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Fonts w:ascii="仿宋" w:hAnsi="仿宋" w:eastAsia="仿宋" w:cs="仿宋"/>
          <w:color w:val="000000" w:themeColor="text1"/>
          <w:sz w:val="32"/>
          <w:szCs w:val="32"/>
          <w:highlight w:val="none"/>
          <w14:textFill>
            <w14:solidFill>
              <w14:schemeClr w14:val="tx1"/>
            </w14:solidFill>
          </w14:textFill>
        </w:rPr>
      </w:pPr>
    </w:p>
    <w:p>
      <w:pPr>
        <w:pStyle w:val="2"/>
        <w:rPr>
          <w:rFonts w:ascii="仿宋" w:hAnsi="仿宋" w:eastAsia="仿宋" w:cs="仿宋"/>
          <w:color w:val="000000" w:themeColor="text1"/>
          <w:sz w:val="32"/>
          <w:szCs w:val="32"/>
          <w:highlight w:val="none"/>
          <w14:textFill>
            <w14:solidFill>
              <w14:schemeClr w14:val="tx1"/>
            </w14:solidFill>
          </w14:textFill>
        </w:rPr>
      </w:pPr>
    </w:p>
    <w:p>
      <w:pPr>
        <w:pStyle w:val="2"/>
        <w:rPr>
          <w:rFonts w:ascii="仿宋" w:hAnsi="仿宋" w:eastAsia="仿宋" w:cs="仿宋"/>
          <w:color w:val="000000" w:themeColor="text1"/>
          <w:sz w:val="32"/>
          <w:szCs w:val="32"/>
          <w:highlight w:val="none"/>
          <w14:textFill>
            <w14:solidFill>
              <w14:schemeClr w14:val="tx1"/>
            </w14:solidFill>
          </w14:textFill>
        </w:rPr>
      </w:pPr>
      <w:bookmarkStart w:id="474" w:name="_GoBack"/>
      <w:bookmarkEnd w:id="474"/>
    </w:p>
    <w:p>
      <w:pPr>
        <w:pStyle w:val="2"/>
        <w:outlineLvl w:val="9"/>
        <w:rPr>
          <w:color w:val="000000" w:themeColor="text1"/>
          <w14:textFill>
            <w14:solidFill>
              <w14:schemeClr w14:val="tx1"/>
            </w14:solidFill>
          </w14:textFill>
        </w:rPr>
      </w:pPr>
    </w:p>
    <w:p>
      <w:pPr>
        <w:jc w:val="center"/>
        <w:outlineLvl w:val="0"/>
        <w:rPr>
          <w:rFonts w:ascii="仿宋" w:hAnsi="仿宋" w:eastAsia="仿宋" w:cs="仿宋"/>
          <w:b/>
          <w:bCs/>
          <w:color w:val="000000" w:themeColor="text1"/>
          <w:sz w:val="60"/>
          <w:szCs w:val="60"/>
          <w:highlight w:val="none"/>
          <w14:textFill>
            <w14:solidFill>
              <w14:schemeClr w14:val="tx1"/>
            </w14:solidFill>
          </w14:textFill>
        </w:rPr>
      </w:pPr>
      <w:bookmarkStart w:id="0" w:name="_Toc2359"/>
      <w:bookmarkStart w:id="1" w:name="_Toc16469"/>
      <w:bookmarkStart w:id="2" w:name="_Toc1231"/>
      <w:bookmarkStart w:id="3" w:name="OLE_LINK10"/>
      <w:r>
        <w:rPr>
          <w:rFonts w:hint="eastAsia" w:ascii="仿宋" w:hAnsi="仿宋" w:eastAsia="仿宋" w:cs="仿宋"/>
          <w:b/>
          <w:bCs/>
          <w:color w:val="000000" w:themeColor="text1"/>
          <w:kern w:val="0"/>
          <w:sz w:val="60"/>
          <w:szCs w:val="60"/>
          <w:highlight w:val="none"/>
          <w14:textFill>
            <w14:solidFill>
              <w14:schemeClr w14:val="tx1"/>
            </w14:solidFill>
          </w14:textFill>
        </w:rPr>
        <w:t>政府采购项目</w:t>
      </w:r>
      <w:r>
        <w:rPr>
          <w:rFonts w:hint="eastAsia" w:ascii="仿宋" w:hAnsi="仿宋" w:eastAsia="仿宋" w:cs="仿宋"/>
          <w:b/>
          <w:bCs/>
          <w:color w:val="000000" w:themeColor="text1"/>
          <w:sz w:val="60"/>
          <w:szCs w:val="60"/>
          <w:highlight w:val="none"/>
          <w14:textFill>
            <w14:solidFill>
              <w14:schemeClr w14:val="tx1"/>
            </w14:solidFill>
          </w14:textFill>
        </w:rPr>
        <w:t>公开招标文件</w:t>
      </w:r>
      <w:bookmarkEnd w:id="0"/>
      <w:bookmarkEnd w:id="1"/>
      <w:bookmarkEnd w:id="2"/>
    </w:p>
    <w:p>
      <w:pPr>
        <w:jc w:val="center"/>
        <w:outlineLvl w:val="9"/>
        <w:rPr>
          <w:rFonts w:ascii="仿宋" w:hAnsi="仿宋" w:eastAsia="仿宋" w:cs="仿宋"/>
          <w:b/>
          <w:bCs/>
          <w:color w:val="000000" w:themeColor="text1"/>
          <w:sz w:val="60"/>
          <w:szCs w:val="60"/>
          <w:highlight w:val="none"/>
          <w14:textFill>
            <w14:solidFill>
              <w14:schemeClr w14:val="tx1"/>
            </w14:solidFill>
          </w14:textFill>
        </w:rPr>
      </w:pPr>
      <w:r>
        <w:rPr>
          <w:rFonts w:hint="eastAsia" w:ascii="仿宋" w:hAnsi="仿宋" w:eastAsia="仿宋" w:cs="仿宋"/>
          <w:b/>
          <w:bCs/>
          <w:color w:val="000000" w:themeColor="text1"/>
          <w:sz w:val="60"/>
          <w:szCs w:val="60"/>
          <w:highlight w:val="none"/>
          <w14:textFill>
            <w14:solidFill>
              <w14:schemeClr w14:val="tx1"/>
            </w14:solidFill>
          </w14:textFill>
        </w:rPr>
        <w:t>（货物）</w:t>
      </w:r>
    </w:p>
    <w:bookmarkEnd w:id="3"/>
    <w:p>
      <w:pPr>
        <w:spacing w:line="240" w:lineRule="auto"/>
        <w:jc w:val="center"/>
        <w:outlineLvl w:val="9"/>
        <w:rPr>
          <w:rFonts w:ascii="仿宋" w:hAnsi="仿宋" w:eastAsia="仿宋" w:cs="仿宋"/>
          <w:color w:val="000000" w:themeColor="text1"/>
          <w:sz w:val="52"/>
          <w:szCs w:val="52"/>
          <w:highlight w:val="none"/>
          <w14:textFill>
            <w14:solidFill>
              <w14:schemeClr w14:val="tx1"/>
            </w14:solidFill>
          </w14:textFill>
        </w:rPr>
      </w:pPr>
    </w:p>
    <w:p>
      <w:pPr>
        <w:spacing w:line="240" w:lineRule="auto"/>
        <w:jc w:val="center"/>
        <w:outlineLvl w:val="9"/>
        <w:rPr>
          <w:rFonts w:ascii="仿宋" w:hAnsi="仿宋" w:eastAsia="仿宋" w:cs="仿宋"/>
          <w:color w:val="000000" w:themeColor="text1"/>
          <w:sz w:val="52"/>
          <w:szCs w:val="52"/>
          <w:highlight w:val="none"/>
          <w14:textFill>
            <w14:solidFill>
              <w14:schemeClr w14:val="tx1"/>
            </w14:solidFill>
          </w14:textFill>
        </w:rPr>
      </w:pPr>
    </w:p>
    <w:p>
      <w:pPr>
        <w:spacing w:line="240" w:lineRule="auto"/>
        <w:jc w:val="center"/>
        <w:outlineLvl w:val="9"/>
        <w:rPr>
          <w:rFonts w:ascii="仿宋" w:hAnsi="仿宋" w:eastAsia="仿宋" w:cs="仿宋"/>
          <w:color w:val="000000" w:themeColor="text1"/>
          <w:sz w:val="52"/>
          <w:szCs w:val="52"/>
          <w:highlight w:val="none"/>
          <w14:textFill>
            <w14:solidFill>
              <w14:schemeClr w14:val="tx1"/>
            </w14:solidFill>
          </w14:textFill>
        </w:rPr>
      </w:pPr>
    </w:p>
    <w:p>
      <w:pPr>
        <w:pStyle w:val="2"/>
        <w:outlineLvl w:val="9"/>
        <w:rPr>
          <w:rFonts w:ascii="仿宋" w:hAnsi="仿宋" w:eastAsia="仿宋" w:cs="仿宋"/>
          <w:color w:val="000000" w:themeColor="text1"/>
          <w:sz w:val="52"/>
          <w:szCs w:val="52"/>
          <w:highlight w:val="none"/>
          <w14:textFill>
            <w14:solidFill>
              <w14:schemeClr w14:val="tx1"/>
            </w14:solidFill>
          </w14:textFill>
        </w:rPr>
      </w:pPr>
    </w:p>
    <w:p>
      <w:pPr>
        <w:pStyle w:val="2"/>
        <w:outlineLvl w:val="9"/>
        <w:rPr>
          <w:rFonts w:ascii="仿宋" w:hAnsi="仿宋" w:eastAsia="仿宋" w:cs="仿宋"/>
          <w:color w:val="000000" w:themeColor="text1"/>
          <w:sz w:val="52"/>
          <w:szCs w:val="52"/>
          <w:highlight w:val="none"/>
          <w14:textFill>
            <w14:solidFill>
              <w14:schemeClr w14:val="tx1"/>
            </w14:solidFill>
          </w14:textFill>
        </w:rPr>
      </w:pPr>
    </w:p>
    <w:p>
      <w:pPr>
        <w:ind w:left="420" w:leftChars="175"/>
        <w:outlineLvl w:val="9"/>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项目编号：</w:t>
      </w:r>
      <w:bookmarkStart w:id="4" w:name="OLE_LINK20"/>
      <w:r>
        <w:rPr>
          <w:rFonts w:hint="eastAsia" w:ascii="仿宋" w:hAnsi="仿宋" w:eastAsia="仿宋" w:cs="仿宋"/>
          <w:color w:val="000000" w:themeColor="text1"/>
          <w:sz w:val="36"/>
          <w:szCs w:val="36"/>
          <w:highlight w:val="none"/>
          <w:u w:val="single"/>
          <w14:textFill>
            <w14:solidFill>
              <w14:schemeClr w14:val="tx1"/>
            </w14:solidFill>
          </w14:textFill>
        </w:rPr>
        <w:t>[2026]9471号</w:t>
      </w:r>
      <w:bookmarkEnd w:id="4"/>
    </w:p>
    <w:p>
      <w:pPr>
        <w:ind w:left="420" w:leftChars="175"/>
        <w:outlineLvl w:val="9"/>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项目名称：</w:t>
      </w:r>
      <w:bookmarkStart w:id="5" w:name="OLE_LINK21"/>
      <w:r>
        <w:rPr>
          <w:rFonts w:hint="eastAsia" w:ascii="仿宋" w:hAnsi="仿宋" w:eastAsia="仿宋" w:cs="仿宋"/>
          <w:color w:val="000000" w:themeColor="text1"/>
          <w:sz w:val="36"/>
          <w:szCs w:val="36"/>
          <w:highlight w:val="none"/>
          <w:u w:val="single"/>
          <w:lang w:eastAsia="zh-CN"/>
          <w14:textFill>
            <w14:solidFill>
              <w14:schemeClr w14:val="tx1"/>
            </w14:solidFill>
          </w14:textFill>
        </w:rPr>
        <w:t>新疆和田学院机电工程学院实验实训基地建设项目</w:t>
      </w:r>
      <w:bookmarkEnd w:id="5"/>
    </w:p>
    <w:p>
      <w:pPr>
        <w:ind w:left="420" w:leftChars="175"/>
        <w:outlineLvl w:val="9"/>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采</w:t>
      </w:r>
      <w:r>
        <w:rPr>
          <w:rFonts w:hint="eastAsia" w:ascii="仿宋" w:hAnsi="仿宋" w:eastAsia="仿宋" w:cs="仿宋"/>
          <w:color w:val="000000" w:themeColor="text1"/>
          <w:sz w:val="36"/>
          <w:szCs w:val="36"/>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6"/>
          <w:szCs w:val="36"/>
          <w:highlight w:val="none"/>
          <w14:textFill>
            <w14:solidFill>
              <w14:schemeClr w14:val="tx1"/>
            </w14:solidFill>
          </w14:textFill>
        </w:rPr>
        <w:t>购</w:t>
      </w:r>
      <w:r>
        <w:rPr>
          <w:rFonts w:hint="eastAsia" w:ascii="仿宋" w:hAnsi="仿宋" w:eastAsia="仿宋" w:cs="仿宋"/>
          <w:color w:val="000000" w:themeColor="text1"/>
          <w:sz w:val="36"/>
          <w:szCs w:val="36"/>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6"/>
          <w:szCs w:val="36"/>
          <w:highlight w:val="none"/>
          <w14:textFill>
            <w14:solidFill>
              <w14:schemeClr w14:val="tx1"/>
            </w14:solidFill>
          </w14:textFill>
        </w:rPr>
        <w:t>人：</w:t>
      </w:r>
      <w:r>
        <w:rPr>
          <w:rFonts w:hint="eastAsia" w:ascii="仿宋" w:hAnsi="仿宋" w:eastAsia="仿宋" w:cs="仿宋"/>
          <w:color w:val="000000" w:themeColor="text1"/>
          <w:sz w:val="36"/>
          <w:szCs w:val="36"/>
          <w:highlight w:val="none"/>
          <w:u w:val="single"/>
          <w:lang w:eastAsia="zh-CN"/>
          <w14:textFill>
            <w14:solidFill>
              <w14:schemeClr w14:val="tx1"/>
            </w14:solidFill>
          </w14:textFill>
        </w:rPr>
        <w:t>新疆和田学院</w:t>
      </w:r>
    </w:p>
    <w:p>
      <w:pPr>
        <w:ind w:firstLine="360" w:firstLineChars="100"/>
        <w:outlineLvl w:val="9"/>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采购代理机构：</w:t>
      </w:r>
      <w:r>
        <w:rPr>
          <w:rFonts w:hint="eastAsia" w:ascii="仿宋" w:hAnsi="仿宋" w:eastAsia="仿宋" w:cs="仿宋"/>
          <w:color w:val="000000" w:themeColor="text1"/>
          <w:sz w:val="36"/>
          <w:szCs w:val="36"/>
          <w:highlight w:val="none"/>
          <w:u w:val="single"/>
          <w14:textFill>
            <w14:solidFill>
              <w14:schemeClr w14:val="tx1"/>
            </w14:solidFill>
          </w14:textFill>
        </w:rPr>
        <w:t>新疆正元工程招标代理有限责任公司</w:t>
      </w:r>
    </w:p>
    <w:p>
      <w:pPr>
        <w:jc w:val="center"/>
        <w:outlineLvl w:val="9"/>
        <w:rPr>
          <w:rFonts w:hint="default" w:ascii="仿宋" w:hAnsi="仿宋" w:eastAsia="仿宋" w:cs="仿宋"/>
          <w:i w:val="0"/>
          <w:i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i w:val="0"/>
          <w:iCs w:val="0"/>
          <w:color w:val="000000" w:themeColor="text1"/>
          <w:sz w:val="32"/>
          <w:szCs w:val="32"/>
          <w:highlight w:val="none"/>
          <w:lang w:val="en-US" w:eastAsia="zh-CN"/>
          <w14:textFill>
            <w14:solidFill>
              <w14:schemeClr w14:val="tx1"/>
            </w14:solidFill>
          </w14:textFill>
        </w:rPr>
        <w:t>二〇二六年五月</w:t>
      </w:r>
    </w:p>
    <w:sdt>
      <w:sdtPr>
        <w:rPr>
          <w:rFonts w:ascii="宋体" w:hAnsi="宋体" w:eastAsia="宋体" w:cstheme="minorBidi"/>
          <w:kern w:val="2"/>
          <w:sz w:val="21"/>
          <w:szCs w:val="22"/>
          <w:lang w:val="en-US" w:eastAsia="zh-CN" w:bidi="ar-SA"/>
        </w:rPr>
        <w:id w:val="147457899"/>
        <w15:color w:val="DBDBDB"/>
        <w:docPartObj>
          <w:docPartGallery w:val="Table of Contents"/>
          <w:docPartUnique/>
        </w:docPartObj>
      </w:sdtPr>
      <w:sdtEndPr>
        <w:rPr>
          <w:rFonts w:hint="eastAsia" w:ascii="仿宋" w:hAnsi="仿宋" w:eastAsia="仿宋" w:cs="仿宋"/>
          <w:bCs/>
          <w:color w:val="000000" w:themeColor="text1"/>
          <w:kern w:val="44"/>
          <w:sz w:val="24"/>
          <w:szCs w:val="36"/>
          <w:highlight w:val="none"/>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目录</w:t>
          </w:r>
        </w:p>
        <w:p>
          <w:pPr>
            <w:pStyle w:val="44"/>
            <w:tabs>
              <w:tab w:val="right" w:leader="dot" w:pos="8306"/>
            </w:tabs>
            <w:rPr>
              <w:rFonts w:hint="eastAsia" w:ascii="仿宋" w:hAnsi="仿宋" w:eastAsia="仿宋" w:cs="仿宋"/>
              <w:b/>
              <w:bCs/>
              <w:sz w:val="28"/>
              <w:szCs w:val="28"/>
            </w:rPr>
          </w:pP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begin"/>
          </w:r>
          <w:r>
            <w:rPr>
              <w:rFonts w:hint="eastAsia" w:ascii="仿宋" w:hAnsi="仿宋" w:eastAsia="仿宋" w:cs="仿宋"/>
              <w:b/>
              <w:bCs/>
              <w:color w:val="000000" w:themeColor="text1"/>
              <w:kern w:val="44"/>
              <w:sz w:val="28"/>
              <w:szCs w:val="28"/>
              <w:highlight w:val="none"/>
              <w14:textFill>
                <w14:solidFill>
                  <w14:schemeClr w14:val="tx1"/>
                </w14:solidFill>
              </w14:textFill>
            </w:rPr>
            <w:instrText xml:space="preserve">TOC \o "1-1" \h \u </w:instrText>
          </w: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separate"/>
          </w: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begin"/>
          </w:r>
          <w:r>
            <w:rPr>
              <w:rFonts w:hint="eastAsia" w:ascii="仿宋" w:hAnsi="仿宋" w:eastAsia="仿宋" w:cs="仿宋"/>
              <w:b/>
              <w:bCs/>
              <w:kern w:val="44"/>
              <w:sz w:val="28"/>
              <w:szCs w:val="28"/>
              <w:highlight w:val="none"/>
            </w:rPr>
            <w:instrText xml:space="preserve"> HYPERLINK \l _Toc27786 </w:instrText>
          </w:r>
          <w:r>
            <w:rPr>
              <w:rFonts w:hint="eastAsia" w:ascii="仿宋" w:hAnsi="仿宋" w:eastAsia="仿宋" w:cs="仿宋"/>
              <w:b/>
              <w:bCs/>
              <w:kern w:val="44"/>
              <w:sz w:val="28"/>
              <w:szCs w:val="28"/>
              <w:highlight w:val="none"/>
            </w:rPr>
            <w:fldChar w:fldCharType="separate"/>
          </w:r>
          <w:r>
            <w:rPr>
              <w:rFonts w:hint="eastAsia" w:ascii="仿宋" w:hAnsi="仿宋" w:eastAsia="仿宋" w:cs="仿宋"/>
              <w:b/>
              <w:bCs/>
              <w:kern w:val="44"/>
              <w:sz w:val="28"/>
              <w:szCs w:val="28"/>
              <w:highlight w:val="none"/>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_Toc27786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end"/>
          </w:r>
        </w:p>
        <w:p>
          <w:pPr>
            <w:pStyle w:val="44"/>
            <w:tabs>
              <w:tab w:val="right" w:leader="dot" w:pos="8306"/>
            </w:tabs>
            <w:rPr>
              <w:rFonts w:hint="eastAsia" w:ascii="仿宋" w:hAnsi="仿宋" w:eastAsia="仿宋" w:cs="仿宋"/>
              <w:b/>
              <w:bCs/>
              <w:sz w:val="28"/>
              <w:szCs w:val="28"/>
            </w:rPr>
          </w:pP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begin"/>
          </w:r>
          <w:r>
            <w:rPr>
              <w:rFonts w:hint="eastAsia" w:ascii="仿宋" w:hAnsi="仿宋" w:eastAsia="仿宋" w:cs="仿宋"/>
              <w:b/>
              <w:bCs/>
              <w:kern w:val="44"/>
              <w:sz w:val="28"/>
              <w:szCs w:val="28"/>
              <w:highlight w:val="none"/>
            </w:rPr>
            <w:instrText xml:space="preserve"> HYPERLINK \l _Toc15484 </w:instrText>
          </w:r>
          <w:r>
            <w:rPr>
              <w:rFonts w:hint="eastAsia" w:ascii="仿宋" w:hAnsi="仿宋" w:eastAsia="仿宋" w:cs="仿宋"/>
              <w:b/>
              <w:bCs/>
              <w:kern w:val="44"/>
              <w:sz w:val="28"/>
              <w:szCs w:val="28"/>
              <w:highlight w:val="none"/>
            </w:rPr>
            <w:fldChar w:fldCharType="separate"/>
          </w:r>
          <w:r>
            <w:rPr>
              <w:rFonts w:hint="eastAsia" w:ascii="仿宋" w:hAnsi="仿宋" w:eastAsia="仿宋" w:cs="仿宋"/>
              <w:b/>
              <w:bCs/>
              <w:kern w:val="44"/>
              <w:sz w:val="28"/>
              <w:szCs w:val="28"/>
              <w:highlight w:val="none"/>
            </w:rPr>
            <w:t>第二章 投标人须知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_Toc15484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end"/>
          </w:r>
        </w:p>
        <w:p>
          <w:pPr>
            <w:pStyle w:val="44"/>
            <w:tabs>
              <w:tab w:val="right" w:leader="dot" w:pos="8306"/>
            </w:tabs>
            <w:rPr>
              <w:rFonts w:hint="eastAsia" w:ascii="仿宋" w:hAnsi="仿宋" w:eastAsia="仿宋" w:cs="仿宋"/>
              <w:b/>
              <w:bCs/>
              <w:sz w:val="28"/>
              <w:szCs w:val="28"/>
            </w:rPr>
          </w:pP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begin"/>
          </w:r>
          <w:r>
            <w:rPr>
              <w:rFonts w:hint="eastAsia" w:ascii="仿宋" w:hAnsi="仿宋" w:eastAsia="仿宋" w:cs="仿宋"/>
              <w:b/>
              <w:bCs/>
              <w:kern w:val="44"/>
              <w:sz w:val="28"/>
              <w:szCs w:val="28"/>
              <w:highlight w:val="none"/>
            </w:rPr>
            <w:instrText xml:space="preserve"> HYPERLINK \l _Toc23190 </w:instrText>
          </w:r>
          <w:r>
            <w:rPr>
              <w:rFonts w:hint="eastAsia" w:ascii="仿宋" w:hAnsi="仿宋" w:eastAsia="仿宋" w:cs="仿宋"/>
              <w:b/>
              <w:bCs/>
              <w:kern w:val="44"/>
              <w:sz w:val="28"/>
              <w:szCs w:val="28"/>
              <w:highlight w:val="none"/>
            </w:rPr>
            <w:fldChar w:fldCharType="separate"/>
          </w:r>
          <w:r>
            <w:rPr>
              <w:rFonts w:hint="eastAsia" w:ascii="仿宋" w:hAnsi="仿宋" w:eastAsia="仿宋" w:cs="仿宋"/>
              <w:b/>
              <w:bCs/>
              <w:kern w:val="44"/>
              <w:sz w:val="28"/>
              <w:szCs w:val="28"/>
              <w:highlight w:val="none"/>
            </w:rPr>
            <w:t>第三章 采购需求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_Toc23190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37</w:t>
          </w:r>
          <w:r>
            <w:rPr>
              <w:rFonts w:hint="eastAsia" w:ascii="仿宋" w:hAnsi="仿宋" w:eastAsia="仿宋" w:cs="仿宋"/>
              <w:b/>
              <w:bCs/>
              <w:sz w:val="28"/>
              <w:szCs w:val="28"/>
            </w:rPr>
            <w:fldChar w:fldCharType="end"/>
          </w: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end"/>
          </w:r>
        </w:p>
        <w:p>
          <w:pPr>
            <w:pStyle w:val="44"/>
            <w:tabs>
              <w:tab w:val="right" w:leader="dot" w:pos="8306"/>
            </w:tabs>
            <w:rPr>
              <w:rFonts w:hint="eastAsia" w:ascii="仿宋" w:hAnsi="仿宋" w:eastAsia="仿宋" w:cs="仿宋"/>
              <w:b/>
              <w:bCs/>
              <w:sz w:val="28"/>
              <w:szCs w:val="28"/>
            </w:rPr>
          </w:pP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begin"/>
          </w:r>
          <w:r>
            <w:rPr>
              <w:rFonts w:hint="eastAsia" w:ascii="仿宋" w:hAnsi="仿宋" w:eastAsia="仿宋" w:cs="仿宋"/>
              <w:b/>
              <w:bCs/>
              <w:kern w:val="44"/>
              <w:sz w:val="28"/>
              <w:szCs w:val="28"/>
              <w:highlight w:val="none"/>
            </w:rPr>
            <w:instrText xml:space="preserve"> HYPERLINK \l _Toc9067 </w:instrText>
          </w:r>
          <w:r>
            <w:rPr>
              <w:rFonts w:hint="eastAsia" w:ascii="仿宋" w:hAnsi="仿宋" w:eastAsia="仿宋" w:cs="仿宋"/>
              <w:b/>
              <w:bCs/>
              <w:kern w:val="44"/>
              <w:sz w:val="28"/>
              <w:szCs w:val="28"/>
              <w:highlight w:val="none"/>
            </w:rPr>
            <w:fldChar w:fldCharType="separate"/>
          </w:r>
          <w:r>
            <w:rPr>
              <w:rFonts w:hint="eastAsia" w:ascii="仿宋" w:hAnsi="仿宋" w:eastAsia="仿宋" w:cs="仿宋"/>
              <w:b/>
              <w:bCs/>
              <w:kern w:val="44"/>
              <w:sz w:val="28"/>
              <w:szCs w:val="28"/>
              <w:highlight w:val="none"/>
            </w:rPr>
            <w:t>第四章 资格审查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_Toc9067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42</w:t>
          </w:r>
          <w:r>
            <w:rPr>
              <w:rFonts w:hint="eastAsia" w:ascii="仿宋" w:hAnsi="仿宋" w:eastAsia="仿宋" w:cs="仿宋"/>
              <w:b/>
              <w:bCs/>
              <w:sz w:val="28"/>
              <w:szCs w:val="28"/>
            </w:rPr>
            <w:fldChar w:fldCharType="end"/>
          </w: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end"/>
          </w:r>
        </w:p>
        <w:p>
          <w:pPr>
            <w:pStyle w:val="44"/>
            <w:tabs>
              <w:tab w:val="right" w:leader="dot" w:pos="8306"/>
            </w:tabs>
            <w:rPr>
              <w:rFonts w:hint="eastAsia" w:ascii="仿宋" w:hAnsi="仿宋" w:eastAsia="仿宋" w:cs="仿宋"/>
              <w:b/>
              <w:bCs/>
              <w:sz w:val="28"/>
              <w:szCs w:val="28"/>
            </w:rPr>
          </w:pP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begin"/>
          </w:r>
          <w:r>
            <w:rPr>
              <w:rFonts w:hint="eastAsia" w:ascii="仿宋" w:hAnsi="仿宋" w:eastAsia="仿宋" w:cs="仿宋"/>
              <w:b/>
              <w:bCs/>
              <w:kern w:val="44"/>
              <w:sz w:val="28"/>
              <w:szCs w:val="28"/>
              <w:highlight w:val="none"/>
            </w:rPr>
            <w:instrText xml:space="preserve"> HYPERLINK \l _Toc14511 </w:instrText>
          </w:r>
          <w:r>
            <w:rPr>
              <w:rFonts w:hint="eastAsia" w:ascii="仿宋" w:hAnsi="仿宋" w:eastAsia="仿宋" w:cs="仿宋"/>
              <w:b/>
              <w:bCs/>
              <w:kern w:val="44"/>
              <w:sz w:val="28"/>
              <w:szCs w:val="28"/>
              <w:highlight w:val="none"/>
            </w:rPr>
            <w:fldChar w:fldCharType="separate"/>
          </w:r>
          <w:r>
            <w:rPr>
              <w:rFonts w:hint="eastAsia" w:ascii="仿宋" w:hAnsi="仿宋" w:eastAsia="仿宋" w:cs="仿宋"/>
              <w:b/>
              <w:bCs/>
              <w:kern w:val="44"/>
              <w:sz w:val="28"/>
              <w:szCs w:val="28"/>
              <w:highlight w:val="none"/>
            </w:rPr>
            <w:t>第五章 评标方法及标准(综合评分法)</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_Toc14511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44</w:t>
          </w:r>
          <w:r>
            <w:rPr>
              <w:rFonts w:hint="eastAsia" w:ascii="仿宋" w:hAnsi="仿宋" w:eastAsia="仿宋" w:cs="仿宋"/>
              <w:b/>
              <w:bCs/>
              <w:sz w:val="28"/>
              <w:szCs w:val="28"/>
            </w:rPr>
            <w:fldChar w:fldCharType="end"/>
          </w: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end"/>
          </w:r>
        </w:p>
        <w:p>
          <w:pPr>
            <w:pStyle w:val="44"/>
            <w:tabs>
              <w:tab w:val="right" w:leader="dot" w:pos="8306"/>
            </w:tabs>
            <w:rPr>
              <w:rFonts w:hint="eastAsia" w:ascii="仿宋" w:hAnsi="仿宋" w:eastAsia="仿宋" w:cs="仿宋"/>
              <w:b/>
              <w:bCs/>
              <w:sz w:val="28"/>
              <w:szCs w:val="28"/>
            </w:rPr>
          </w:pP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begin"/>
          </w:r>
          <w:r>
            <w:rPr>
              <w:rFonts w:hint="eastAsia" w:ascii="仿宋" w:hAnsi="仿宋" w:eastAsia="仿宋" w:cs="仿宋"/>
              <w:b/>
              <w:bCs/>
              <w:kern w:val="44"/>
              <w:sz w:val="28"/>
              <w:szCs w:val="28"/>
              <w:highlight w:val="none"/>
            </w:rPr>
            <w:instrText xml:space="preserve"> HYPERLINK \l _Toc24077 </w:instrText>
          </w:r>
          <w:r>
            <w:rPr>
              <w:rFonts w:hint="eastAsia" w:ascii="仿宋" w:hAnsi="仿宋" w:eastAsia="仿宋" w:cs="仿宋"/>
              <w:b/>
              <w:bCs/>
              <w:kern w:val="44"/>
              <w:sz w:val="28"/>
              <w:szCs w:val="28"/>
              <w:highlight w:val="none"/>
            </w:rPr>
            <w:fldChar w:fldCharType="separate"/>
          </w:r>
          <w:r>
            <w:rPr>
              <w:rFonts w:hint="eastAsia" w:ascii="仿宋" w:hAnsi="仿宋" w:eastAsia="仿宋" w:cs="仿宋"/>
              <w:b/>
              <w:bCs/>
              <w:kern w:val="44"/>
              <w:sz w:val="28"/>
              <w:szCs w:val="28"/>
              <w:highlight w:val="none"/>
              <w:lang w:val="zh-CN"/>
            </w:rPr>
            <w:t>第六章 合同草案</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_Toc24077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58</w:t>
          </w:r>
          <w:r>
            <w:rPr>
              <w:rFonts w:hint="eastAsia" w:ascii="仿宋" w:hAnsi="仿宋" w:eastAsia="仿宋" w:cs="仿宋"/>
              <w:b/>
              <w:bCs/>
              <w:sz w:val="28"/>
              <w:szCs w:val="28"/>
            </w:rPr>
            <w:fldChar w:fldCharType="end"/>
          </w: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end"/>
          </w:r>
        </w:p>
        <w:p>
          <w:pPr>
            <w:pStyle w:val="44"/>
            <w:tabs>
              <w:tab w:val="right" w:leader="dot" w:pos="8306"/>
            </w:tabs>
            <w:rPr>
              <w:rFonts w:hint="eastAsia" w:ascii="仿宋" w:hAnsi="仿宋" w:eastAsia="仿宋" w:cs="仿宋"/>
              <w:b/>
              <w:bCs/>
              <w:sz w:val="28"/>
              <w:szCs w:val="28"/>
            </w:rPr>
          </w:pP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begin"/>
          </w:r>
          <w:r>
            <w:rPr>
              <w:rFonts w:hint="eastAsia" w:ascii="仿宋" w:hAnsi="仿宋" w:eastAsia="仿宋" w:cs="仿宋"/>
              <w:b/>
              <w:bCs/>
              <w:kern w:val="44"/>
              <w:sz w:val="28"/>
              <w:szCs w:val="28"/>
              <w:highlight w:val="none"/>
            </w:rPr>
            <w:instrText xml:space="preserve"> HYPERLINK \l _Toc24871 </w:instrText>
          </w:r>
          <w:r>
            <w:rPr>
              <w:rFonts w:hint="eastAsia" w:ascii="仿宋" w:hAnsi="仿宋" w:eastAsia="仿宋" w:cs="仿宋"/>
              <w:b/>
              <w:bCs/>
              <w:kern w:val="44"/>
              <w:sz w:val="28"/>
              <w:szCs w:val="28"/>
              <w:highlight w:val="none"/>
            </w:rPr>
            <w:fldChar w:fldCharType="separate"/>
          </w:r>
          <w:r>
            <w:rPr>
              <w:rFonts w:hint="eastAsia" w:ascii="仿宋" w:hAnsi="仿宋" w:eastAsia="仿宋" w:cs="仿宋"/>
              <w:b/>
              <w:bCs/>
              <w:kern w:val="44"/>
              <w:sz w:val="28"/>
              <w:szCs w:val="28"/>
              <w:highlight w:val="none"/>
            </w:rPr>
            <w:t>第七章 投标文件格式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_Toc24871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74</w:t>
          </w:r>
          <w:r>
            <w:rPr>
              <w:rFonts w:hint="eastAsia" w:ascii="仿宋" w:hAnsi="仿宋" w:eastAsia="仿宋" w:cs="仿宋"/>
              <w:b/>
              <w:bCs/>
              <w:sz w:val="28"/>
              <w:szCs w:val="28"/>
            </w:rPr>
            <w:fldChar w:fldCharType="end"/>
          </w: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end"/>
          </w:r>
        </w:p>
        <w:p>
          <w:pPr>
            <w:keepNext/>
            <w:keepLines/>
            <w:spacing w:before="220" w:after="220" w:line="480" w:lineRule="auto"/>
            <w:ind w:left="420" w:hanging="420"/>
            <w:jc w:val="center"/>
            <w:outlineLvl w:val="9"/>
            <w:rPr>
              <w:rFonts w:hint="eastAsia" w:ascii="仿宋" w:hAnsi="仿宋" w:eastAsia="仿宋" w:cs="仿宋"/>
              <w:b/>
              <w:bCs/>
              <w:color w:val="000000" w:themeColor="text1"/>
              <w:kern w:val="44"/>
              <w:sz w:val="36"/>
              <w:szCs w:val="36"/>
              <w:highlight w:val="none"/>
              <w14:textFill>
                <w14:solidFill>
                  <w14:schemeClr w14:val="tx1"/>
                </w14:solidFill>
              </w14:textFill>
            </w:rPr>
            <w:sectPr>
              <w:headerReference r:id="rId5"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bCs/>
              <w:color w:val="000000" w:themeColor="text1"/>
              <w:kern w:val="44"/>
              <w:sz w:val="28"/>
              <w:szCs w:val="28"/>
              <w:highlight w:val="none"/>
              <w14:textFill>
                <w14:solidFill>
                  <w14:schemeClr w14:val="tx1"/>
                </w14:solidFill>
              </w14:textFill>
            </w:rPr>
            <w:fldChar w:fldCharType="end"/>
          </w:r>
        </w:p>
      </w:sdtContent>
    </w:sdt>
    <w:p>
      <w:pPr>
        <w:keepNext/>
        <w:keepLines/>
        <w:spacing w:before="220" w:after="220" w:line="480" w:lineRule="auto"/>
        <w:ind w:left="420" w:hanging="420"/>
        <w:jc w:val="center"/>
        <w:outlineLvl w:val="0"/>
        <w:rPr>
          <w:rFonts w:hint="eastAsia" w:ascii="仿宋" w:hAnsi="仿宋" w:eastAsia="仿宋" w:cs="仿宋"/>
          <w:b/>
          <w:bCs/>
          <w:color w:val="000000" w:themeColor="text1"/>
          <w:kern w:val="44"/>
          <w:sz w:val="36"/>
          <w:szCs w:val="36"/>
          <w:highlight w:val="none"/>
          <w14:textFill>
            <w14:solidFill>
              <w14:schemeClr w14:val="tx1"/>
            </w14:solidFill>
          </w14:textFill>
        </w:rPr>
      </w:pPr>
      <w:bookmarkStart w:id="6" w:name="_Toc27786"/>
      <w:r>
        <w:rPr>
          <w:rFonts w:hint="eastAsia" w:ascii="仿宋" w:hAnsi="仿宋" w:eastAsia="仿宋" w:cs="仿宋"/>
          <w:b/>
          <w:bCs/>
          <w:color w:val="000000" w:themeColor="text1"/>
          <w:kern w:val="44"/>
          <w:sz w:val="36"/>
          <w:szCs w:val="36"/>
          <w:highlight w:val="none"/>
          <w14:textFill>
            <w14:solidFill>
              <w14:schemeClr w14:val="tx1"/>
            </w14:solidFill>
          </w14:textFill>
        </w:rPr>
        <w:t xml:space="preserve">第一章 </w:t>
      </w:r>
      <w:bookmarkStart w:id="7" w:name="_Hlk130458318"/>
      <w:r>
        <w:rPr>
          <w:rFonts w:hint="eastAsia" w:ascii="仿宋" w:hAnsi="仿宋" w:eastAsia="仿宋" w:cs="仿宋"/>
          <w:b/>
          <w:bCs/>
          <w:color w:val="000000" w:themeColor="text1"/>
          <w:kern w:val="44"/>
          <w:sz w:val="36"/>
          <w:szCs w:val="36"/>
          <w:highlight w:val="none"/>
          <w14:textFill>
            <w14:solidFill>
              <w14:schemeClr w14:val="tx1"/>
            </w14:solidFill>
          </w14:textFill>
        </w:rPr>
        <w:t>招标公告</w:t>
      </w:r>
      <w:bookmarkEnd w:id="6"/>
    </w:p>
    <w:tbl>
      <w:tblPr>
        <w:tblStyle w:val="15"/>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8280" w:type="dxa"/>
          </w:tcPr>
          <w:p>
            <w:pPr>
              <w:keepNext/>
              <w:keepLines/>
              <w:spacing w:line="440" w:lineRule="exact"/>
              <w:ind w:left="420" w:hanging="420"/>
              <w:outlineLvl w:val="9"/>
              <w:rPr>
                <w:rFonts w:ascii="仿宋" w:hAnsi="仿宋" w:eastAsia="仿宋" w:cs="仿宋"/>
                <w:b/>
                <w:bCs/>
                <w:color w:val="000000" w:themeColor="text1"/>
                <w:szCs w:val="24"/>
                <w:highlight w:val="none"/>
                <w14:textFill>
                  <w14:solidFill>
                    <w14:schemeClr w14:val="tx1"/>
                  </w14:solidFill>
                </w14:textFill>
              </w:rPr>
            </w:pPr>
            <w:bookmarkStart w:id="8" w:name="_Toc17609"/>
            <w:bookmarkStart w:id="9" w:name="_Toc109899829"/>
            <w:bookmarkStart w:id="10" w:name="_Toc35393798"/>
            <w:bookmarkStart w:id="11" w:name="_Toc140132745"/>
            <w:bookmarkStart w:id="12" w:name="_Toc109900248"/>
            <w:bookmarkStart w:id="13" w:name="_Toc35393629"/>
            <w:bookmarkStart w:id="14" w:name="_Toc163492812"/>
            <w:bookmarkStart w:id="15" w:name="_Toc44583628"/>
            <w:bookmarkStart w:id="16" w:name="_Toc28359012"/>
            <w:bookmarkStart w:id="17" w:name="_Toc28359089"/>
            <w:bookmarkStart w:id="18" w:name="_Toc155185860"/>
            <w:bookmarkStart w:id="19" w:name="_Toc109899410"/>
            <w:r>
              <w:rPr>
                <w:rFonts w:hint="eastAsia" w:ascii="仿宋" w:hAnsi="仿宋" w:eastAsia="仿宋" w:cs="仿宋"/>
                <w:b/>
                <w:bCs/>
                <w:color w:val="000000" w:themeColor="text1"/>
                <w:szCs w:val="24"/>
                <w:highlight w:val="none"/>
                <w14:textFill>
                  <w14:solidFill>
                    <w14:schemeClr w14:val="tx1"/>
                  </w14:solidFill>
                </w14:textFill>
              </w:rPr>
              <w:t>项目概况：</w:t>
            </w:r>
            <w:bookmarkEnd w:id="8"/>
          </w:p>
          <w:p>
            <w:pPr>
              <w:keepNext w:val="0"/>
              <w:keepLines w:val="0"/>
              <w:pageBreakBefore w:val="0"/>
              <w:widowControl w:val="0"/>
              <w:kinsoku/>
              <w:wordWrap w:val="0"/>
              <w:overflowPunct/>
              <w:topLinePunct w:val="0"/>
              <w:autoSpaceDE/>
              <w:autoSpaceDN/>
              <w:bidi w:val="0"/>
              <w:adjustRightInd/>
              <w:snapToGrid/>
              <w:ind w:firstLine="480" w:firstLineChars="200"/>
              <w:textAlignment w:val="auto"/>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t>新疆和田学院机电工程学院实验实训基地建设项目</w:t>
            </w:r>
            <w:r>
              <w:rPr>
                <w:rFonts w:hint="eastAsia" w:ascii="仿宋" w:hAnsi="仿宋" w:eastAsia="仿宋" w:cs="仿宋"/>
                <w:iCs/>
                <w:color w:val="000000" w:themeColor="text1"/>
                <w:kern w:val="2"/>
                <w:sz w:val="24"/>
                <w:szCs w:val="24"/>
                <w:highlight w:val="none"/>
                <w:u w:val="single"/>
                <w:shd w:val="clear" w:color="auto" w:fill="FFFFFF" w:themeFill="background1"/>
                <w:lang w:val="en-US" w:eastAsia="zh-CN" w:bidi="ar-SA"/>
                <w14:textFill>
                  <w14:solidFill>
                    <w14:schemeClr w14:val="tx1"/>
                  </w14:solidFill>
                </w14:textFill>
              </w:rPr>
              <w:t xml:space="preserve"> </w:t>
            </w:r>
            <w:r>
              <w:rPr>
                <w:rFonts w:hint="eastAsia" w:ascii="仿宋" w:hAnsi="仿宋" w:eastAsia="仿宋" w:cs="仿宋"/>
                <w:iCs/>
                <w:color w:val="000000" w:themeColor="text1"/>
                <w:kern w:val="2"/>
                <w:sz w:val="24"/>
                <w:szCs w:val="24"/>
                <w:highlight w:val="none"/>
                <w:shd w:val="clear" w:color="auto" w:fill="FFFFFF" w:themeFill="background1"/>
                <w:lang w:val="hr-HR" w:eastAsia="zh-CN" w:bidi="ar-SA"/>
                <w14:textFill>
                  <w14:solidFill>
                    <w14:schemeClr w14:val="tx1"/>
                  </w14:solidFill>
                </w14:textFill>
              </w:rPr>
              <w:t>的潜在投标人应在</w:t>
            </w:r>
            <w:r>
              <w:rPr>
                <w:rFonts w:hint="eastAsia" w:ascii="仿宋" w:hAnsi="仿宋" w:eastAsia="仿宋" w:cs="仿宋"/>
                <w:iCs/>
                <w:color w:val="000000" w:themeColor="text1"/>
                <w:kern w:val="2"/>
                <w:sz w:val="24"/>
                <w:szCs w:val="24"/>
                <w:highlight w:val="none"/>
                <w:u w:val="single"/>
                <w:shd w:val="clear" w:color="auto" w:fill="FFFFFF" w:themeFill="background1"/>
                <w:lang w:val="en-US" w:eastAsia="zh-CN" w:bidi="ar-SA"/>
                <w14:textFill>
                  <w14:solidFill>
                    <w14:schemeClr w14:val="tx1"/>
                  </w14:solidFill>
                </w14:textFill>
              </w:rPr>
              <w:t>政采云平台</w:t>
            </w:r>
            <w:r>
              <w:rPr>
                <w:rFonts w:hint="eastAsia" w:ascii="仿宋" w:hAnsi="仿宋" w:eastAsia="仿宋" w:cs="仿宋"/>
                <w:iCs/>
                <w:color w:val="auto"/>
                <w:kern w:val="2"/>
                <w:sz w:val="24"/>
                <w:szCs w:val="24"/>
                <w:highlight w:val="none"/>
                <w:u w:val="single"/>
                <w:shd w:val="clear" w:color="auto" w:fill="FFFFFF" w:themeFill="background1"/>
                <w:lang w:val="en-US" w:eastAsia="zh-CN" w:bidi="ar-SA"/>
              </w:rPr>
              <w:t>线上</w:t>
            </w:r>
            <w:r>
              <w:rPr>
                <w:rFonts w:hint="eastAsia" w:ascii="仿宋" w:hAnsi="仿宋" w:eastAsia="仿宋" w:cs="仿宋"/>
                <w:iCs/>
                <w:color w:val="auto"/>
                <w:kern w:val="2"/>
                <w:sz w:val="24"/>
                <w:szCs w:val="24"/>
                <w:highlight w:val="none"/>
                <w:u w:val="single"/>
                <w:shd w:val="clear" w:color="auto" w:fill="FFFFFF" w:themeFill="background1"/>
                <w:lang w:val="hr-HR" w:eastAsia="zh-CN" w:bidi="ar-SA"/>
              </w:rPr>
              <w:fldChar w:fldCharType="begin"/>
            </w:r>
            <w:r>
              <w:rPr>
                <w:rFonts w:hint="eastAsia" w:ascii="仿宋" w:hAnsi="仿宋" w:eastAsia="仿宋" w:cs="仿宋"/>
                <w:iCs/>
                <w:color w:val="auto"/>
                <w:kern w:val="2"/>
                <w:sz w:val="24"/>
                <w:szCs w:val="24"/>
                <w:highlight w:val="none"/>
                <w:u w:val="single"/>
                <w:shd w:val="clear" w:color="auto" w:fill="FFFFFF" w:themeFill="background1"/>
                <w:lang w:val="hr-HR" w:eastAsia="zh-CN" w:bidi="ar-SA"/>
              </w:rPr>
              <w:instrText xml:space="preserve"> HYPERLINK "https://www.zcygov.cn/）获取招标文件，并于2026年01月" </w:instrText>
            </w:r>
            <w:r>
              <w:rPr>
                <w:rFonts w:hint="eastAsia" w:ascii="仿宋" w:hAnsi="仿宋" w:eastAsia="仿宋" w:cs="仿宋"/>
                <w:iCs/>
                <w:color w:val="auto"/>
                <w:kern w:val="2"/>
                <w:sz w:val="24"/>
                <w:szCs w:val="24"/>
                <w:highlight w:val="none"/>
                <w:u w:val="single"/>
                <w:shd w:val="clear" w:color="auto" w:fill="FFFFFF" w:themeFill="background1"/>
                <w:lang w:val="hr-HR" w:eastAsia="zh-CN" w:bidi="ar-SA"/>
              </w:rPr>
              <w:fldChar w:fldCharType="separate"/>
            </w:r>
            <w:r>
              <w:rPr>
                <w:rStyle w:val="18"/>
                <w:rFonts w:hint="eastAsia" w:ascii="仿宋" w:hAnsi="仿宋" w:eastAsia="仿宋" w:cs="仿宋"/>
                <w:iCs/>
                <w:color w:val="auto"/>
                <w:kern w:val="2"/>
                <w:sz w:val="24"/>
                <w:szCs w:val="24"/>
                <w:highlight w:val="none"/>
                <w:u w:val="none"/>
                <w:shd w:val="clear" w:color="auto" w:fill="FFFFFF" w:themeFill="background1"/>
                <w:lang w:val="hr-HR" w:eastAsia="zh-CN" w:bidi="ar-SA"/>
              </w:rPr>
              <w:t>获取招标文件，</w:t>
            </w:r>
            <w:r>
              <w:rPr>
                <w:rStyle w:val="18"/>
                <w:rFonts w:hint="eastAsia" w:ascii="仿宋" w:hAnsi="仿宋" w:eastAsia="仿宋" w:cs="仿宋"/>
                <w:iCs/>
                <w:color w:val="auto"/>
                <w:kern w:val="2"/>
                <w:sz w:val="24"/>
                <w:szCs w:val="24"/>
                <w:highlight w:val="none"/>
                <w:shd w:val="clear" w:color="auto" w:fill="FFFFFF" w:themeFill="background1"/>
                <w:lang w:val="hr-HR" w:eastAsia="zh-CN" w:bidi="ar-SA"/>
              </w:rPr>
              <w:t>并于</w:t>
            </w:r>
            <w:r>
              <w:rPr>
                <w:rStyle w:val="18"/>
                <w:rFonts w:hint="eastAsia" w:ascii="仿宋" w:hAnsi="仿宋" w:eastAsia="仿宋" w:cs="仿宋"/>
                <w:iCs/>
                <w:color w:val="auto"/>
                <w:kern w:val="2"/>
                <w:sz w:val="24"/>
                <w:szCs w:val="24"/>
                <w:highlight w:val="none"/>
                <w:shd w:val="clear" w:color="auto" w:fill="FFFFFF" w:themeFill="background1"/>
                <w:lang w:val="en-US" w:eastAsia="zh-CN" w:bidi="ar-SA"/>
              </w:rPr>
              <w:t>2026</w:t>
            </w:r>
            <w:r>
              <w:rPr>
                <w:rStyle w:val="18"/>
                <w:rFonts w:hint="eastAsia" w:ascii="仿宋" w:hAnsi="仿宋" w:eastAsia="仿宋" w:cs="仿宋"/>
                <w:iCs/>
                <w:color w:val="auto"/>
                <w:kern w:val="2"/>
                <w:sz w:val="24"/>
                <w:szCs w:val="24"/>
                <w:highlight w:val="none"/>
                <w:shd w:val="clear" w:color="auto" w:fill="FFFFFF" w:themeFill="background1"/>
                <w:lang w:val="hr-HR" w:eastAsia="zh-CN" w:bidi="ar-SA"/>
              </w:rPr>
              <w:t>年</w:t>
            </w:r>
            <w:r>
              <w:rPr>
                <w:rStyle w:val="18"/>
                <w:rFonts w:hint="eastAsia" w:ascii="仿宋" w:hAnsi="仿宋" w:eastAsia="仿宋" w:cs="仿宋"/>
                <w:iCs/>
                <w:color w:val="auto"/>
                <w:kern w:val="2"/>
                <w:sz w:val="24"/>
                <w:szCs w:val="24"/>
                <w:highlight w:val="none"/>
                <w:shd w:val="clear" w:color="auto" w:fill="FFFFFF" w:themeFill="background1"/>
                <w:lang w:val="en-US" w:eastAsia="zh-CN" w:bidi="ar-SA"/>
              </w:rPr>
              <w:t>06</w:t>
            </w:r>
            <w:r>
              <w:rPr>
                <w:rStyle w:val="18"/>
                <w:rFonts w:hint="eastAsia" w:ascii="仿宋" w:hAnsi="仿宋" w:eastAsia="仿宋" w:cs="仿宋"/>
                <w:iCs/>
                <w:color w:val="auto"/>
                <w:kern w:val="2"/>
                <w:sz w:val="24"/>
                <w:szCs w:val="24"/>
                <w:highlight w:val="none"/>
                <w:shd w:val="clear" w:color="auto" w:fill="FFFFFF" w:themeFill="background1"/>
                <w:lang w:val="hr-HR" w:eastAsia="zh-CN" w:bidi="ar-SA"/>
              </w:rPr>
              <w:t>月</w:t>
            </w:r>
            <w:r>
              <w:rPr>
                <w:rFonts w:hint="eastAsia" w:ascii="仿宋" w:hAnsi="仿宋" w:eastAsia="仿宋" w:cs="仿宋"/>
                <w:iCs/>
                <w:color w:val="auto"/>
                <w:kern w:val="2"/>
                <w:sz w:val="24"/>
                <w:szCs w:val="24"/>
                <w:highlight w:val="none"/>
                <w:u w:val="single"/>
                <w:shd w:val="clear" w:color="auto" w:fill="FFFFFF" w:themeFill="background1"/>
                <w:lang w:val="hr-HR" w:eastAsia="zh-CN" w:bidi="ar-SA"/>
              </w:rPr>
              <w:fldChar w:fldCharType="end"/>
            </w:r>
            <w:r>
              <w:rPr>
                <w:rFonts w:hint="eastAsia" w:ascii="仿宋" w:hAnsi="仿宋" w:eastAsia="仿宋" w:cs="仿宋"/>
                <w:iCs/>
                <w:color w:val="auto"/>
                <w:kern w:val="2"/>
                <w:sz w:val="24"/>
                <w:szCs w:val="24"/>
                <w:highlight w:val="none"/>
                <w:u w:val="single"/>
                <w:shd w:val="clear" w:color="auto" w:fill="FFFFFF" w:themeFill="background1"/>
                <w:lang w:val="en-US" w:eastAsia="zh-CN" w:bidi="ar-SA"/>
              </w:rPr>
              <w:t>03</w:t>
            </w:r>
            <w:r>
              <w:rPr>
                <w:rFonts w:hint="eastAsia" w:ascii="仿宋" w:hAnsi="仿宋" w:eastAsia="仿宋" w:cs="仿宋"/>
                <w:iCs/>
                <w:color w:val="auto"/>
                <w:kern w:val="2"/>
                <w:sz w:val="24"/>
                <w:szCs w:val="24"/>
                <w:highlight w:val="none"/>
                <w:u w:val="single"/>
                <w:shd w:val="clear" w:color="auto" w:fill="FFFFFF" w:themeFill="background1"/>
                <w:lang w:val="hr-HR" w:eastAsia="zh-CN" w:bidi="ar-SA"/>
              </w:rPr>
              <w:t>日</w:t>
            </w:r>
            <w:r>
              <w:rPr>
                <w:rFonts w:hint="eastAsia" w:ascii="仿宋" w:hAnsi="仿宋" w:eastAsia="仿宋" w:cs="仿宋"/>
                <w:iCs/>
                <w:color w:val="auto"/>
                <w:kern w:val="2"/>
                <w:sz w:val="24"/>
                <w:szCs w:val="24"/>
                <w:highlight w:val="none"/>
                <w:u w:val="single"/>
                <w:shd w:val="clear" w:color="auto" w:fill="FFFFFF" w:themeFill="background1"/>
                <w:lang w:val="en-US" w:eastAsia="zh-CN" w:bidi="ar-SA"/>
              </w:rPr>
              <w:t>11时00</w:t>
            </w:r>
            <w:r>
              <w:rPr>
                <w:rFonts w:hint="eastAsia" w:ascii="仿宋" w:hAnsi="仿宋" w:eastAsia="仿宋" w:cs="仿宋"/>
                <w:iCs/>
                <w:color w:val="auto"/>
                <w:kern w:val="2"/>
                <w:sz w:val="24"/>
                <w:szCs w:val="24"/>
                <w:highlight w:val="none"/>
                <w:u w:val="single"/>
                <w:shd w:val="clear" w:color="auto" w:fill="FFFFFF" w:themeFill="background1"/>
                <w:lang w:val="hr-HR" w:eastAsia="zh-CN" w:bidi="ar-SA"/>
              </w:rPr>
              <w:t>分</w:t>
            </w:r>
            <w:r>
              <w:rPr>
                <w:rFonts w:hint="eastAsia" w:ascii="仿宋" w:hAnsi="仿宋" w:eastAsia="仿宋" w:cs="仿宋"/>
                <w:iCs/>
                <w:color w:val="auto"/>
                <w:kern w:val="2"/>
                <w:sz w:val="24"/>
                <w:szCs w:val="24"/>
                <w:highlight w:val="none"/>
                <w:shd w:val="clear" w:color="auto" w:fill="FFFFFF" w:themeFill="background1"/>
                <w:lang w:val="hr-HR" w:eastAsia="zh-CN" w:bidi="ar-SA"/>
              </w:rPr>
              <w:t>（北京时间）前递交投标文件。</w:t>
            </w:r>
          </w:p>
        </w:tc>
      </w:tr>
      <w:bookmarkEnd w:id="9"/>
      <w:bookmarkEnd w:id="10"/>
      <w:bookmarkEnd w:id="11"/>
      <w:bookmarkEnd w:id="12"/>
      <w:bookmarkEnd w:id="13"/>
      <w:bookmarkEnd w:id="14"/>
      <w:bookmarkEnd w:id="15"/>
      <w:bookmarkEnd w:id="16"/>
      <w:bookmarkEnd w:id="17"/>
      <w:bookmarkEnd w:id="18"/>
      <w:bookmarkEnd w:id="19"/>
    </w:tbl>
    <w:p>
      <w:pPr>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outlineLvl w:val="9"/>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bookmarkStart w:id="20" w:name="_Toc1290"/>
      <w:bookmarkStart w:id="21" w:name="_Toc25986"/>
      <w:bookmarkStart w:id="22" w:name="_Toc163492819"/>
      <w:bookmarkStart w:id="23" w:name="_Toc155185867"/>
      <w:bookmarkStart w:id="24" w:name="_Toc29609"/>
      <w:bookmarkStart w:id="25" w:name="_Toc27245"/>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一、项目基本情况</w:t>
      </w:r>
      <w:bookmarkEnd w:id="20"/>
      <w:bookmarkEnd w:id="21"/>
    </w:p>
    <w:p>
      <w:pPr>
        <w:pStyle w:val="19"/>
        <w:pageBreakBefore w:val="0"/>
        <w:kinsoku/>
        <w:overflowPunct/>
        <w:bidi w:val="0"/>
        <w:spacing w:beforeAutospacing="0" w:afterAutospacing="0" w:line="440" w:lineRule="exact"/>
        <w:outlineLvl w:val="9"/>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u w:val="none"/>
          <w:lang w:val="hr-HR"/>
          <w14:textFill>
            <w14:solidFill>
              <w14:schemeClr w14:val="tx1"/>
            </w14:solidFill>
          </w14:textFill>
        </w:rPr>
        <w:t>项目编号：[2026]9471号</w:t>
      </w:r>
    </w:p>
    <w:p>
      <w:pPr>
        <w:pStyle w:val="19"/>
        <w:pageBreakBefore w:val="0"/>
        <w:kinsoku/>
        <w:overflowPunct/>
        <w:bidi w:val="0"/>
        <w:spacing w:beforeAutospacing="0" w:afterAutospacing="0" w:line="440" w:lineRule="exact"/>
        <w:outlineLvl w:val="9"/>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u w:val="none"/>
          <w:lang w:val="hr-HR"/>
          <w14:textFill>
            <w14:solidFill>
              <w14:schemeClr w14:val="tx1"/>
            </w14:solidFill>
          </w14:textFill>
        </w:rPr>
        <w:t>项目名称：</w:t>
      </w:r>
      <w:r>
        <w:rPr>
          <w:rFonts w:hint="eastAsia" w:ascii="仿宋" w:hAnsi="仿宋" w:eastAsia="仿宋" w:cs="仿宋"/>
          <w:color w:val="000000" w:themeColor="text1"/>
          <w:sz w:val="24"/>
          <w:szCs w:val="24"/>
          <w:highlight w:val="none"/>
          <w:u w:val="none"/>
          <w:lang w:val="hr-HR" w:eastAsia="zh-CN"/>
          <w14:textFill>
            <w14:solidFill>
              <w14:schemeClr w14:val="tx1"/>
            </w14:solidFill>
          </w14:textFill>
        </w:rPr>
        <w:t>新疆和田学院机电工程学院实验实训基地建设项目</w:t>
      </w:r>
    </w:p>
    <w:p>
      <w:pPr>
        <w:pStyle w:val="19"/>
        <w:pageBreakBefore w:val="0"/>
        <w:kinsoku/>
        <w:overflowPunct/>
        <w:bidi w:val="0"/>
        <w:spacing w:beforeAutospacing="0" w:afterAutospacing="0" w:line="440" w:lineRule="exact"/>
        <w:outlineLvl w:val="9"/>
        <w:rPr>
          <w:rFonts w:hint="eastAsia" w:ascii="仿宋" w:hAnsi="仿宋" w:eastAsia="仿宋" w:cs="仿宋"/>
          <w:color w:val="auto"/>
          <w:sz w:val="24"/>
          <w:szCs w:val="24"/>
          <w:highlight w:val="none"/>
          <w:u w:val="none"/>
          <w:lang w:val="hr-HR"/>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采购方式：公开招标</w:t>
      </w:r>
    </w:p>
    <w:p>
      <w:pPr>
        <w:pStyle w:val="19"/>
        <w:pageBreakBefore w:val="0"/>
        <w:kinsoku/>
        <w:overflowPunct/>
        <w:bidi w:val="0"/>
        <w:spacing w:beforeAutospacing="0" w:afterAutospacing="0" w:line="440" w:lineRule="exact"/>
        <w:outlineLvl w:val="9"/>
        <w:rPr>
          <w:rFonts w:hint="eastAsia" w:ascii="仿宋" w:hAnsi="仿宋" w:eastAsia="仿宋" w:cs="仿宋"/>
          <w:color w:val="auto"/>
          <w:sz w:val="24"/>
          <w:szCs w:val="24"/>
          <w:highlight w:val="none"/>
          <w:u w:val="none"/>
          <w:lang w:val="hr-HR"/>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lang w:val="hr-HR"/>
        </w:rPr>
        <w:t>预算金额：</w:t>
      </w:r>
      <w:bookmarkStart w:id="26" w:name="OLE_LINK11"/>
      <w:r>
        <w:rPr>
          <w:rFonts w:hint="eastAsia" w:ascii="仿宋" w:hAnsi="仿宋" w:eastAsia="仿宋" w:cs="仿宋"/>
          <w:color w:val="auto"/>
          <w:sz w:val="24"/>
          <w:szCs w:val="24"/>
          <w:highlight w:val="none"/>
          <w:u w:val="none"/>
          <w:lang w:val="en-US" w:eastAsia="zh-CN"/>
        </w:rPr>
        <w:t>3000000.</w:t>
      </w:r>
      <w:r>
        <w:rPr>
          <w:rFonts w:hint="eastAsia" w:ascii="仿宋" w:hAnsi="仿宋" w:eastAsia="仿宋" w:cs="仿宋"/>
          <w:color w:val="auto"/>
          <w:sz w:val="24"/>
          <w:szCs w:val="24"/>
          <w:highlight w:val="none"/>
          <w:u w:val="none"/>
          <w:lang w:val="hr-HR"/>
        </w:rPr>
        <w:t>00元</w:t>
      </w:r>
      <w:bookmarkEnd w:id="26"/>
    </w:p>
    <w:p>
      <w:pPr>
        <w:pStyle w:val="19"/>
        <w:pageBreakBefore w:val="0"/>
        <w:kinsoku/>
        <w:overflowPunct/>
        <w:bidi w:val="0"/>
        <w:spacing w:beforeAutospacing="0" w:afterAutospacing="0" w:line="440" w:lineRule="exact"/>
        <w:outlineLvl w:val="9"/>
        <w:rPr>
          <w:rFonts w:hint="eastAsia" w:ascii="仿宋" w:hAnsi="仿宋" w:eastAsia="仿宋" w:cs="仿宋"/>
          <w:b/>
          <w:bCs/>
          <w:color w:val="auto"/>
          <w:sz w:val="24"/>
          <w:highlight w:val="none"/>
          <w:u w:val="none"/>
          <w:lang w:val="en-US"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最高限价</w:t>
      </w:r>
      <w:r>
        <w:rPr>
          <w:rFonts w:hint="eastAsia" w:ascii="仿宋" w:hAnsi="仿宋" w:eastAsia="仿宋" w:cs="仿宋"/>
          <w:color w:val="auto"/>
          <w:sz w:val="24"/>
          <w:szCs w:val="24"/>
          <w:highlight w:val="none"/>
          <w:u w:val="none"/>
          <w:lang w:val="hr-HR"/>
        </w:rPr>
        <w:t>：</w:t>
      </w:r>
      <w:bookmarkStart w:id="27" w:name="OLE_LINK28"/>
      <w:r>
        <w:rPr>
          <w:rFonts w:hint="eastAsia" w:ascii="仿宋" w:hAnsi="仿宋" w:eastAsia="仿宋" w:cs="仿宋"/>
          <w:color w:val="auto"/>
          <w:sz w:val="24"/>
          <w:szCs w:val="24"/>
          <w:highlight w:val="none"/>
          <w:u w:val="none"/>
          <w:lang w:val="en-US" w:eastAsia="zh-CN"/>
        </w:rPr>
        <w:t>2790000.</w:t>
      </w:r>
      <w:r>
        <w:rPr>
          <w:rFonts w:hint="eastAsia" w:ascii="仿宋" w:hAnsi="仿宋" w:eastAsia="仿宋" w:cs="仿宋"/>
          <w:color w:val="auto"/>
          <w:sz w:val="24"/>
          <w:szCs w:val="24"/>
          <w:highlight w:val="none"/>
          <w:u w:val="none"/>
          <w:lang w:val="hr-HR"/>
        </w:rPr>
        <w:t>00</w:t>
      </w:r>
      <w:bookmarkEnd w:id="27"/>
      <w:r>
        <w:rPr>
          <w:rFonts w:hint="eastAsia" w:ascii="仿宋" w:hAnsi="仿宋" w:eastAsia="仿宋" w:cs="仿宋"/>
          <w:color w:val="auto"/>
          <w:sz w:val="24"/>
          <w:szCs w:val="24"/>
          <w:highlight w:val="none"/>
          <w:u w:val="none"/>
          <w:lang w:val="hr-HR"/>
        </w:rPr>
        <w:t>元</w:t>
      </w:r>
    </w:p>
    <w:p>
      <w:pPr>
        <w:pStyle w:val="19"/>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6.采购需求：</w:t>
      </w:r>
      <w:bookmarkStart w:id="28" w:name="OLE_LINK18"/>
      <w:r>
        <w:rPr>
          <w:rFonts w:hint="eastAsia" w:ascii="仿宋" w:hAnsi="仿宋" w:eastAsia="仿宋" w:cs="仿宋"/>
          <w:color w:val="auto"/>
          <w:sz w:val="24"/>
          <w:szCs w:val="24"/>
          <w:highlight w:val="none"/>
          <w:u w:val="none"/>
          <w:lang w:val="en-US" w:eastAsia="zh-CN"/>
        </w:rPr>
        <w:t>采购通用型普通车床、通用型立铣床、小型通用型磨床、普通桌面型台钻等设备</w:t>
      </w:r>
      <w:r>
        <w:rPr>
          <w:rFonts w:hint="eastAsia" w:ascii="仿宋" w:hAnsi="仿宋" w:eastAsia="仿宋" w:cs="仿宋"/>
          <w:color w:val="auto"/>
          <w:sz w:val="24"/>
          <w:szCs w:val="24"/>
          <w:highlight w:val="none"/>
          <w:u w:val="none"/>
          <w:lang w:val="hr-HR" w:eastAsia="zh-CN"/>
        </w:rPr>
        <w:t>，</w:t>
      </w:r>
      <w:r>
        <w:rPr>
          <w:rFonts w:hint="eastAsia" w:ascii="仿宋" w:hAnsi="仿宋" w:eastAsia="仿宋" w:cs="仿宋"/>
          <w:color w:val="auto"/>
          <w:sz w:val="24"/>
          <w:szCs w:val="24"/>
          <w:highlight w:val="none"/>
          <w:u w:val="none"/>
          <w:lang w:val="en-US" w:eastAsia="zh-CN"/>
        </w:rPr>
        <w:t>具体详见招标文件第三章“采购需求”。</w:t>
      </w:r>
      <w:bookmarkEnd w:id="28"/>
    </w:p>
    <w:p>
      <w:pPr>
        <w:pStyle w:val="19"/>
        <w:pageBreakBefore w:val="0"/>
        <w:kinsoku/>
        <w:overflowPunct/>
        <w:bidi w:val="0"/>
        <w:spacing w:beforeAutospacing="0" w:afterAutospacing="0" w:line="440" w:lineRule="exact"/>
        <w:outlineLvl w:val="9"/>
        <w:rPr>
          <w:rFonts w:hint="eastAsia" w:ascii="仿宋" w:hAnsi="仿宋" w:eastAsia="仿宋" w:cs="仿宋"/>
          <w:color w:val="auto"/>
          <w:sz w:val="24"/>
          <w:szCs w:val="24"/>
          <w:highlight w:val="none"/>
          <w:u w:val="none"/>
          <w:lang w:val="hr-HR" w:eastAsia="zh-CN"/>
        </w:rPr>
      </w:pP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u w:val="none"/>
        </w:rPr>
        <w:t>合同</w:t>
      </w:r>
      <w:r>
        <w:rPr>
          <w:rFonts w:hint="eastAsia" w:ascii="仿宋" w:hAnsi="仿宋" w:eastAsia="仿宋" w:cs="仿宋"/>
          <w:color w:val="auto"/>
          <w:sz w:val="24"/>
          <w:szCs w:val="24"/>
          <w:highlight w:val="none"/>
          <w:u w:val="none"/>
          <w:lang w:val="en-US" w:eastAsia="zh-CN"/>
        </w:rPr>
        <w:t>服务</w:t>
      </w:r>
      <w:r>
        <w:rPr>
          <w:rFonts w:hint="eastAsia" w:ascii="仿宋" w:hAnsi="仿宋" w:eastAsia="仿宋" w:cs="仿宋"/>
          <w:color w:val="auto"/>
          <w:sz w:val="24"/>
          <w:szCs w:val="24"/>
          <w:highlight w:val="none"/>
          <w:u w:val="none"/>
        </w:rPr>
        <w:t>履行期限</w:t>
      </w:r>
      <w:r>
        <w:rPr>
          <w:rFonts w:hint="eastAsia" w:ascii="仿宋" w:hAnsi="仿宋" w:eastAsia="仿宋" w:cs="仿宋"/>
          <w:color w:val="auto"/>
          <w:sz w:val="24"/>
          <w:szCs w:val="24"/>
          <w:highlight w:val="none"/>
          <w:u w:val="none"/>
          <w:lang w:eastAsia="zh-CN"/>
        </w:rPr>
        <w:t>：</w:t>
      </w:r>
      <w:bookmarkStart w:id="29" w:name="OLE_LINK29"/>
      <w:r>
        <w:rPr>
          <w:rFonts w:hint="eastAsia" w:ascii="仿宋" w:hAnsi="仿宋" w:eastAsia="仿宋" w:cs="仿宋"/>
          <w:color w:val="auto"/>
          <w:sz w:val="24"/>
          <w:szCs w:val="24"/>
          <w:highlight w:val="none"/>
          <w:u w:val="none"/>
          <w:lang w:eastAsia="zh-CN"/>
        </w:rPr>
        <w:t>30个日历日。</w:t>
      </w:r>
      <w:bookmarkEnd w:id="29"/>
    </w:p>
    <w:p>
      <w:pPr>
        <w:pStyle w:val="19"/>
        <w:pageBreakBefore w:val="0"/>
        <w:kinsoku/>
        <w:overflowPunct/>
        <w:bidi w:val="0"/>
        <w:spacing w:beforeAutospacing="0" w:afterAutospacing="0" w:line="440" w:lineRule="exact"/>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本项目是否接受联合体投标：□是   ☑否</w:t>
      </w:r>
    </w:p>
    <w:p>
      <w:pPr>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outlineLvl w:val="9"/>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bookmarkStart w:id="30" w:name="_Toc140132746"/>
      <w:bookmarkStart w:id="31" w:name="_Toc17974"/>
      <w:bookmarkStart w:id="32" w:name="_Toc155185861"/>
      <w:bookmarkStart w:id="33" w:name="_Toc109900249"/>
      <w:bookmarkStart w:id="34" w:name="_Toc35393799"/>
      <w:bookmarkStart w:id="35" w:name="_Toc44583629"/>
      <w:bookmarkStart w:id="36" w:name="_Toc28359013"/>
      <w:bookmarkStart w:id="37" w:name="_Toc28359090"/>
      <w:bookmarkStart w:id="38" w:name="_Toc109899830"/>
      <w:bookmarkStart w:id="39" w:name="_Toc35393630"/>
      <w:bookmarkStart w:id="40" w:name="_Toc109899411"/>
      <w:bookmarkStart w:id="41" w:name="_Toc2061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二、申请</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人</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的</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资格要求</w:t>
      </w:r>
      <w:bookmarkEnd w:id="30"/>
      <w:bookmarkEnd w:id="31"/>
      <w:bookmarkEnd w:id="32"/>
      <w:bookmarkEnd w:id="33"/>
      <w:bookmarkEnd w:id="34"/>
      <w:bookmarkEnd w:id="35"/>
      <w:bookmarkEnd w:id="36"/>
      <w:bookmarkEnd w:id="37"/>
      <w:bookmarkEnd w:id="38"/>
      <w:bookmarkEnd w:id="39"/>
      <w:bookmarkEnd w:id="40"/>
      <w:bookmarkEnd w:id="41"/>
    </w:p>
    <w:p>
      <w:pPr>
        <w:pageBreakBefore w:val="0"/>
        <w:kinsoku/>
        <w:overflowPunct/>
        <w:bidi w:val="0"/>
        <w:spacing w:beforeAutospacing="0" w:afterAutospacing="0" w:line="440" w:lineRule="exact"/>
        <w:ind w:firstLine="480" w:firstLineChars="200"/>
        <w:outlineLvl w:val="9"/>
        <w:rPr>
          <w:rFonts w:hint="eastAsia" w:ascii="仿宋" w:hAnsi="仿宋" w:eastAsia="仿宋" w:cs="仿宋"/>
          <w:color w:val="auto"/>
          <w:sz w:val="24"/>
          <w:szCs w:val="24"/>
          <w:highlight w:val="none"/>
          <w:lang w:val="en-US" w:eastAsia="zh-CN"/>
        </w:rPr>
      </w:pPr>
      <w:bookmarkStart w:id="42" w:name="_Hlk89807755"/>
      <w:bookmarkStart w:id="43" w:name="_Toc28359091"/>
      <w:bookmarkStart w:id="44" w:name="_Toc35393631"/>
      <w:bookmarkStart w:id="45" w:name="_Toc28359014"/>
      <w:bookmarkStart w:id="46" w:name="_Toc44583630"/>
      <w:bookmarkStart w:id="47" w:name="_Toc35393800"/>
      <w:r>
        <w:rPr>
          <w:rFonts w:hint="eastAsia" w:ascii="仿宋" w:hAnsi="仿宋" w:eastAsia="仿宋" w:cs="仿宋"/>
          <w:color w:val="000000" w:themeColor="text1"/>
          <w:sz w:val="24"/>
          <w:szCs w:val="24"/>
          <w:highlight w:val="none"/>
          <w:lang w:val="en-US" w:eastAsia="zh-CN"/>
          <w14:textFill>
            <w14:solidFill>
              <w14:schemeClr w14:val="tx1"/>
            </w14:solidFill>
          </w14:textFill>
        </w:rPr>
        <w:t>1.满足《中华人民共和</w:t>
      </w:r>
      <w:r>
        <w:rPr>
          <w:rFonts w:hint="eastAsia" w:ascii="仿宋" w:hAnsi="仿宋" w:eastAsia="仿宋" w:cs="仿宋"/>
          <w:color w:val="auto"/>
          <w:sz w:val="24"/>
          <w:szCs w:val="24"/>
          <w:highlight w:val="none"/>
          <w:lang w:val="en-US" w:eastAsia="zh-CN"/>
        </w:rPr>
        <w:t>国政府采购法》第二十二条规定；</w:t>
      </w:r>
    </w:p>
    <w:p>
      <w:pPr>
        <w:pageBreakBefore w:val="0"/>
        <w:widowControl w:val="0"/>
        <w:kinsoku/>
        <w:overflowPunct/>
        <w:topLinePunct w:val="0"/>
        <w:autoSpaceDE/>
        <w:autoSpaceDN/>
        <w:bidi w:val="0"/>
        <w:adjustRightInd/>
        <w:spacing w:line="44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w:t>
      </w:r>
      <w:r>
        <w:rPr>
          <w:rFonts w:hint="eastAsia" w:ascii="仿宋" w:hAnsi="仿宋" w:eastAsia="仿宋" w:cs="仿宋"/>
          <w:i w:val="0"/>
          <w:iCs w:val="0"/>
          <w:color w:val="auto"/>
          <w:sz w:val="24"/>
          <w:szCs w:val="24"/>
          <w:highlight w:val="none"/>
          <w:u w:val="none"/>
          <w:lang w:val="en-US" w:eastAsia="zh-CN"/>
        </w:rPr>
        <w:t>本项目非专门面向中小企业采购。</w:t>
      </w:r>
    </w:p>
    <w:p>
      <w:pPr>
        <w:pStyle w:val="19"/>
        <w:pageBreakBefore w:val="0"/>
        <w:kinsoku/>
        <w:overflowPunct/>
        <w:bidi w:val="0"/>
        <w:spacing w:line="400" w:lineRule="exac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pPr>
        <w:pStyle w:val="19"/>
        <w:pageBreakBefore w:val="0"/>
        <w:kinsoku/>
        <w:overflowPunct/>
        <w:bidi w:val="0"/>
        <w:spacing w:line="400" w:lineRule="exact"/>
        <w:outlineLvl w:val="9"/>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pPr>
      <w:bookmarkStart w:id="48" w:name="OLE_LINK37"/>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法定代表人或</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单位</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负责人为同一人或者存在</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直接</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控股、管理关系的</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不同供应商</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，不得参加同一合同项下的政府采购活动。</w:t>
      </w:r>
    </w:p>
    <w:p>
      <w:pPr>
        <w:pStyle w:val="19"/>
        <w:pageBreakBefore w:val="0"/>
        <w:kinsoku/>
        <w:overflowPunct/>
        <w:bidi w:val="0"/>
        <w:spacing w:line="400" w:lineRule="exact"/>
        <w:outlineLvl w:val="9"/>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19"/>
        <w:pageBreakBefore w:val="0"/>
        <w:kinsoku/>
        <w:overflowPunct/>
        <w:bidi w:val="0"/>
        <w:spacing w:line="400" w:lineRule="exact"/>
        <w:outlineLvl w:val="9"/>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i w:val="0"/>
          <w:iCs w:val="0"/>
          <w:color w:val="000000" w:themeColor="text1"/>
          <w:sz w:val="24"/>
          <w:szCs w:val="24"/>
          <w:highlight w:val="none"/>
          <w:lang w:val="hr-HR"/>
          <w14:textFill>
            <w14:solidFill>
              <w14:schemeClr w14:val="tx1"/>
            </w14:solidFill>
          </w14:textFill>
        </w:rPr>
        <w:t>供应商的信用行为</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lang w:val="hr-HR"/>
          <w14:textFill>
            <w14:solidFill>
              <w14:schemeClr w14:val="tx1"/>
            </w14:solidFill>
          </w14:textFill>
        </w:rPr>
        <w:t>在</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资格审查阶段经查询</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未被列入“失信被执行人”、“重大税收违法失信主体”、“政府采购严重违法失信行为记录名单”</w:t>
      </w:r>
      <w:r>
        <w:rPr>
          <w:rFonts w:hint="eastAsia" w:ascii="仿宋" w:hAnsi="仿宋" w:eastAsia="仿宋" w:cs="仿宋"/>
          <w:i w:val="0"/>
          <w:iCs w:val="0"/>
          <w:color w:val="000000" w:themeColor="text1"/>
          <w:sz w:val="24"/>
          <w:szCs w:val="24"/>
          <w:highlight w:val="none"/>
          <w:lang w:val="hr-HR"/>
          <w14:textFill>
            <w14:solidFill>
              <w14:schemeClr w14:val="tx1"/>
            </w14:solidFill>
          </w14:textFill>
        </w:rPr>
        <w:t>其中之一</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。如有以上不良信用记录</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之一的，</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其</w:t>
      </w:r>
      <w:r>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t>响应无效</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w:t>
      </w:r>
    </w:p>
    <w:bookmarkEnd w:id="42"/>
    <w:bookmarkEnd w:id="48"/>
    <w:p>
      <w:pPr>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outlineLvl w:val="9"/>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bookmarkStart w:id="49" w:name="_Toc109899412"/>
      <w:bookmarkStart w:id="50" w:name="_Toc24509"/>
      <w:bookmarkStart w:id="51" w:name="_Toc140132747"/>
      <w:bookmarkStart w:id="52" w:name="_Toc155185862"/>
      <w:bookmarkStart w:id="53" w:name="_Toc109899831"/>
      <w:bookmarkStart w:id="54" w:name="_Toc109900250"/>
      <w:bookmarkStart w:id="55" w:name="_Toc1905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获取招标文件</w:t>
      </w:r>
      <w:bookmarkEnd w:id="43"/>
      <w:bookmarkEnd w:id="44"/>
      <w:bookmarkEnd w:id="45"/>
      <w:bookmarkEnd w:id="46"/>
      <w:bookmarkEnd w:id="47"/>
      <w:bookmarkEnd w:id="49"/>
      <w:bookmarkEnd w:id="50"/>
      <w:bookmarkEnd w:id="51"/>
      <w:bookmarkEnd w:id="52"/>
      <w:bookmarkEnd w:id="53"/>
      <w:bookmarkEnd w:id="54"/>
      <w:bookmarkEnd w:id="55"/>
    </w:p>
    <w:p>
      <w:pPr>
        <w:pStyle w:val="19"/>
        <w:pageBreakBefore w:val="0"/>
        <w:kinsoku/>
        <w:overflowPunct/>
        <w:bidi w:val="0"/>
        <w:spacing w:beforeAutospacing="0" w:afterAutospacing="0" w:line="440" w:lineRule="exact"/>
        <w:outlineLvl w:val="9"/>
        <w:rPr>
          <w:rFonts w:hint="eastAsia" w:ascii="仿宋" w:hAnsi="仿宋" w:eastAsia="仿宋" w:cs="仿宋"/>
          <w:color w:val="auto"/>
          <w:sz w:val="24"/>
          <w:szCs w:val="24"/>
          <w:highlight w:val="none"/>
          <w:u w:val="none"/>
          <w:lang w:val="hr-HR"/>
        </w:rPr>
      </w:pPr>
      <w:bookmarkStart w:id="56" w:name="_Hlk130457234"/>
      <w:bookmarkStart w:id="57" w:name="_Hlk130457327"/>
      <w:bookmarkStart w:id="58" w:name="_Toc35393632"/>
      <w:bookmarkStart w:id="59" w:name="_Toc28359092"/>
      <w:bookmarkStart w:id="60" w:name="_Toc35393801"/>
      <w:bookmarkStart w:id="61" w:name="_Hlk130457261"/>
      <w:bookmarkStart w:id="62" w:name="_Toc28359015"/>
      <w:r>
        <w:rPr>
          <w:rFonts w:hint="eastAsia" w:ascii="仿宋" w:hAnsi="仿宋" w:eastAsia="仿宋" w:cs="仿宋"/>
          <w:color w:val="auto"/>
          <w:sz w:val="24"/>
          <w:szCs w:val="24"/>
          <w:highlight w:val="none"/>
          <w:lang w:val="hr-HR"/>
        </w:rPr>
        <w:t>1.时间</w:t>
      </w:r>
      <w:r>
        <w:rPr>
          <w:rFonts w:hint="eastAsia" w:ascii="仿宋" w:hAnsi="仿宋" w:eastAsia="仿宋" w:cs="仿宋"/>
          <w:color w:val="auto"/>
          <w:sz w:val="24"/>
          <w:szCs w:val="24"/>
          <w:highlight w:val="none"/>
          <w:u w:val="none"/>
          <w:lang w:val="hr-HR"/>
        </w:rPr>
        <w:t>：</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05</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12</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u w:val="none"/>
          <w:lang w:val="en-US" w:eastAsia="zh-CN"/>
        </w:rPr>
        <w:t>00</w:t>
      </w:r>
      <w:r>
        <w:rPr>
          <w:rFonts w:hint="eastAsia" w:ascii="仿宋" w:hAnsi="仿宋" w:eastAsia="仿宋" w:cs="仿宋"/>
          <w:color w:val="auto"/>
          <w:sz w:val="24"/>
          <w:szCs w:val="24"/>
          <w:highlight w:val="none"/>
          <w:u w:val="none"/>
        </w:rPr>
        <w:t>时</w:t>
      </w:r>
      <w:r>
        <w:rPr>
          <w:rFonts w:hint="eastAsia" w:ascii="仿宋" w:hAnsi="仿宋" w:eastAsia="仿宋" w:cs="仿宋"/>
          <w:color w:val="auto"/>
          <w:sz w:val="24"/>
          <w:szCs w:val="24"/>
          <w:highlight w:val="none"/>
          <w:u w:val="none"/>
          <w:lang w:val="en-US" w:eastAsia="zh-CN"/>
        </w:rPr>
        <w:t>00</w:t>
      </w:r>
      <w:r>
        <w:rPr>
          <w:rFonts w:hint="eastAsia" w:ascii="仿宋" w:hAnsi="仿宋" w:eastAsia="仿宋" w:cs="仿宋"/>
          <w:color w:val="auto"/>
          <w:sz w:val="24"/>
          <w:szCs w:val="24"/>
          <w:highlight w:val="none"/>
          <w:u w:val="none"/>
        </w:rPr>
        <w:t>分</w:t>
      </w:r>
      <w:r>
        <w:rPr>
          <w:rFonts w:hint="eastAsia" w:ascii="仿宋" w:hAnsi="仿宋" w:eastAsia="仿宋" w:cs="仿宋"/>
          <w:color w:val="auto"/>
          <w:sz w:val="24"/>
          <w:szCs w:val="24"/>
          <w:highlight w:val="none"/>
          <w:u w:val="none"/>
          <w:lang w:val="hr-HR"/>
        </w:rPr>
        <w:t>至</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05</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19</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u w:val="none"/>
          <w:lang w:val="en-US" w:eastAsia="zh-CN"/>
        </w:rPr>
        <w:t>23</w:t>
      </w:r>
      <w:r>
        <w:rPr>
          <w:rFonts w:hint="eastAsia" w:ascii="仿宋" w:hAnsi="仿宋" w:eastAsia="仿宋" w:cs="仿宋"/>
          <w:color w:val="auto"/>
          <w:sz w:val="24"/>
          <w:szCs w:val="24"/>
          <w:highlight w:val="none"/>
          <w:u w:val="none"/>
        </w:rPr>
        <w:t>时</w:t>
      </w:r>
      <w:r>
        <w:rPr>
          <w:rFonts w:hint="eastAsia" w:ascii="仿宋" w:hAnsi="仿宋" w:eastAsia="仿宋" w:cs="仿宋"/>
          <w:color w:val="auto"/>
          <w:sz w:val="24"/>
          <w:szCs w:val="24"/>
          <w:highlight w:val="none"/>
          <w:u w:val="none"/>
          <w:lang w:val="en-US" w:eastAsia="zh-CN"/>
        </w:rPr>
        <w:t>59</w:t>
      </w:r>
      <w:r>
        <w:rPr>
          <w:rFonts w:hint="eastAsia" w:ascii="仿宋" w:hAnsi="仿宋" w:eastAsia="仿宋" w:cs="仿宋"/>
          <w:color w:val="auto"/>
          <w:sz w:val="24"/>
          <w:szCs w:val="24"/>
          <w:highlight w:val="none"/>
          <w:u w:val="none"/>
        </w:rPr>
        <w:t>分</w:t>
      </w:r>
      <w:r>
        <w:rPr>
          <w:rFonts w:hint="eastAsia" w:ascii="仿宋" w:hAnsi="仿宋" w:eastAsia="仿宋" w:cs="仿宋"/>
          <w:color w:val="auto"/>
          <w:sz w:val="24"/>
          <w:szCs w:val="24"/>
          <w:highlight w:val="none"/>
          <w:u w:val="none"/>
          <w:lang w:val="hr-HR"/>
        </w:rPr>
        <w:t>（北京时间）。</w:t>
      </w:r>
    </w:p>
    <w:bookmarkEnd w:id="56"/>
    <w:p>
      <w:pPr>
        <w:pStyle w:val="19"/>
        <w:pageBreakBefore w:val="0"/>
        <w:kinsoku/>
        <w:overflowPunct/>
        <w:bidi w:val="0"/>
        <w:spacing w:beforeAutospacing="0" w:afterAutospacing="0" w:line="440" w:lineRule="exact"/>
        <w:outlineLvl w:val="9"/>
        <w:rPr>
          <w:rFonts w:hint="eastAsia" w:ascii="仿宋" w:hAnsi="仿宋" w:eastAsia="仿宋" w:cs="仿宋"/>
          <w:color w:val="000000" w:themeColor="text1"/>
          <w:sz w:val="24"/>
          <w:szCs w:val="24"/>
          <w:highlight w:val="none"/>
          <w:lang w:val="hr-HR"/>
          <w14:textFill>
            <w14:solidFill>
              <w14:schemeClr w14:val="tx1"/>
            </w14:solidFill>
          </w14:textFill>
        </w:rPr>
      </w:pPr>
      <w:r>
        <w:rPr>
          <w:rFonts w:hint="eastAsia" w:ascii="仿宋" w:hAnsi="仿宋" w:eastAsia="仿宋" w:cs="仿宋"/>
          <w:color w:val="auto"/>
          <w:sz w:val="24"/>
          <w:szCs w:val="24"/>
          <w:highlight w:val="none"/>
          <w:lang w:val="hr-HR"/>
        </w:rPr>
        <w:t>2.</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hr-HR"/>
        </w:rPr>
        <w:t>：</w:t>
      </w:r>
      <w:bookmarkStart w:id="63" w:name="_Hlk89807779"/>
      <w:r>
        <w:rPr>
          <w:rFonts w:hint="eastAsia" w:ascii="仿宋" w:hAnsi="仿宋" w:eastAsia="仿宋" w:cs="仿宋"/>
          <w:color w:val="auto"/>
          <w:sz w:val="24"/>
          <w:szCs w:val="24"/>
          <w:highlight w:val="none"/>
          <w:lang w:val="hr-HR"/>
        </w:rPr>
        <w:t>政采</w:t>
      </w:r>
      <w:r>
        <w:rPr>
          <w:rFonts w:hint="eastAsia" w:ascii="仿宋" w:hAnsi="仿宋" w:eastAsia="仿宋" w:cs="仿宋"/>
          <w:color w:val="000000" w:themeColor="text1"/>
          <w:sz w:val="24"/>
          <w:szCs w:val="24"/>
          <w:highlight w:val="none"/>
          <w:lang w:val="hr-HR"/>
          <w14:textFill>
            <w14:solidFill>
              <w14:schemeClr w14:val="tx1"/>
            </w14:solidFill>
          </w14:textFill>
        </w:rPr>
        <w:t>云平台线上</w:t>
      </w:r>
      <w:r>
        <w:rPr>
          <w:rFonts w:hint="eastAsia" w:ascii="仿宋" w:hAnsi="仿宋" w:eastAsia="仿宋" w:cs="仿宋"/>
          <w:color w:val="000000" w:themeColor="text1"/>
          <w:sz w:val="24"/>
          <w:szCs w:val="24"/>
          <w:highlight w:val="none"/>
          <w14:textFill>
            <w14:solidFill>
              <w14:schemeClr w14:val="tx1"/>
            </w14:solidFill>
          </w14:textFill>
        </w:rPr>
        <w:t>。</w:t>
      </w:r>
      <w:bookmarkEnd w:id="63"/>
    </w:p>
    <w:p>
      <w:pPr>
        <w:pStyle w:val="19"/>
        <w:pageBreakBefore w:val="0"/>
        <w:kinsoku/>
        <w:overflowPunct/>
        <w:bidi w:val="0"/>
        <w:spacing w:beforeAutospacing="0" w:afterAutospacing="0" w:line="440" w:lineRule="exact"/>
        <w:outlineLvl w:val="9"/>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hr-HR"/>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方式</w:t>
      </w:r>
      <w:r>
        <w:rPr>
          <w:rFonts w:hint="eastAsia" w:ascii="仿宋" w:hAnsi="仿宋" w:eastAsia="仿宋" w:cs="仿宋"/>
          <w:color w:val="000000" w:themeColor="text1"/>
          <w:sz w:val="24"/>
          <w:szCs w:val="24"/>
          <w:highlight w:val="none"/>
          <w:lang w:val="hr-HR"/>
          <w14:textFill>
            <w14:solidFill>
              <w14:schemeClr w14:val="tx1"/>
            </w14:solidFill>
          </w14:textFill>
        </w:rPr>
        <w:t>：</w:t>
      </w:r>
      <w:bookmarkStart w:id="64" w:name="OLE_LINK5"/>
      <w:r>
        <w:rPr>
          <w:rFonts w:hint="eastAsia" w:ascii="仿宋" w:hAnsi="仿宋" w:eastAsia="仿宋" w:cs="仿宋"/>
          <w:color w:val="000000" w:themeColor="text1"/>
          <w:sz w:val="24"/>
          <w:szCs w:val="24"/>
          <w:highlight w:val="none"/>
          <w:lang w:val="hr-HR"/>
          <w14:textFill>
            <w14:solidFill>
              <w14:schemeClr w14:val="tx1"/>
            </w14:solidFill>
          </w14:textFill>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bookmarkEnd w:id="64"/>
    </w:p>
    <w:p>
      <w:pPr>
        <w:pStyle w:val="19"/>
        <w:pageBreakBefore w:val="0"/>
        <w:kinsoku/>
        <w:overflowPunct/>
        <w:bidi w:val="0"/>
        <w:spacing w:beforeAutospacing="0" w:afterAutospacing="0" w:line="440" w:lineRule="exact"/>
        <w:outlineLvl w:val="9"/>
        <w:rPr>
          <w:rFonts w:hint="eastAsia" w:ascii="仿宋" w:hAnsi="仿宋" w:eastAsia="仿宋" w:cs="仿宋"/>
          <w:color w:val="000000" w:themeColor="text1"/>
          <w:sz w:val="24"/>
          <w:szCs w:val="24"/>
          <w:highlight w:val="none"/>
          <w:lang w:val="hr-H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4.售价：0元。</w:t>
      </w:r>
    </w:p>
    <w:bookmarkEnd w:id="57"/>
    <w:bookmarkEnd w:id="58"/>
    <w:bookmarkEnd w:id="59"/>
    <w:bookmarkEnd w:id="60"/>
    <w:bookmarkEnd w:id="61"/>
    <w:bookmarkEnd w:id="62"/>
    <w:p>
      <w:pPr>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outlineLvl w:val="9"/>
        <w:rPr>
          <w:rFonts w:hint="eastAsia" w:ascii="仿宋" w:hAnsi="仿宋" w:eastAsia="仿宋" w:cs="仿宋"/>
          <w:b/>
          <w:bCs/>
          <w:color w:val="auto"/>
          <w:kern w:val="2"/>
          <w:sz w:val="24"/>
          <w:szCs w:val="24"/>
          <w:highlight w:val="none"/>
          <w:lang w:val="hr-HR" w:eastAsia="zh-CN" w:bidi="ar-SA"/>
        </w:rPr>
      </w:pPr>
      <w:bookmarkStart w:id="65" w:name="_Toc109899413"/>
      <w:bookmarkStart w:id="66" w:name="_Toc16962"/>
      <w:bookmarkStart w:id="67" w:name="_Toc109900251"/>
      <w:bookmarkStart w:id="68" w:name="_Toc140132748"/>
      <w:bookmarkStart w:id="69" w:name="_Toc155185863"/>
      <w:bookmarkStart w:id="70" w:name="_Toc11313"/>
      <w:bookmarkStart w:id="71" w:name="_Toc109899832"/>
      <w:bookmarkStart w:id="72" w:name="_Hlk130457395"/>
      <w:bookmarkStart w:id="73" w:name="_Toc35393803"/>
      <w:bookmarkStart w:id="74" w:name="_Toc44583633"/>
      <w:bookmarkStart w:id="75" w:name="_Toc35393634"/>
      <w:bookmarkStart w:id="76" w:name="_Toc28359094"/>
      <w:bookmarkStart w:id="77" w:name="_Toc2835901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w:t>
      </w:r>
      <w:bookmarkEnd w:id="65"/>
      <w:bookmarkEnd w:id="66"/>
      <w:bookmarkEnd w:id="67"/>
      <w:bookmarkEnd w:id="68"/>
      <w:bookmarkEnd w:id="69"/>
      <w:bookmarkEnd w:id="70"/>
      <w:bookmarkEnd w:id="7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提</w:t>
      </w:r>
      <w:r>
        <w:rPr>
          <w:rFonts w:hint="eastAsia" w:ascii="仿宋" w:hAnsi="仿宋" w:eastAsia="仿宋" w:cs="仿宋"/>
          <w:b/>
          <w:bCs/>
          <w:color w:val="auto"/>
          <w:kern w:val="2"/>
          <w:sz w:val="24"/>
          <w:szCs w:val="24"/>
          <w:highlight w:val="none"/>
          <w:lang w:val="en-US" w:eastAsia="zh-CN" w:bidi="ar-SA"/>
        </w:rPr>
        <w:t>交投标文件截止时间、开标时间和地点</w:t>
      </w:r>
    </w:p>
    <w:bookmarkEnd w:id="72"/>
    <w:p>
      <w:pPr>
        <w:pStyle w:val="19"/>
        <w:pageBreakBefore w:val="0"/>
        <w:overflowPunct/>
        <w:topLinePunct w:val="0"/>
        <w:bidi w:val="0"/>
        <w:spacing w:line="440" w:lineRule="exact"/>
        <w:outlineLvl w:val="9"/>
        <w:rPr>
          <w:rFonts w:hint="eastAsia" w:ascii="仿宋" w:hAnsi="仿宋" w:eastAsia="仿宋" w:cs="仿宋"/>
          <w:color w:val="auto"/>
          <w:sz w:val="24"/>
          <w:szCs w:val="24"/>
          <w:highlight w:val="none"/>
        </w:rPr>
      </w:pPr>
      <w:bookmarkStart w:id="78" w:name="_Toc155185864"/>
      <w:bookmarkStart w:id="79" w:name="_Toc109899833"/>
      <w:bookmarkStart w:id="80" w:name="_Toc109900252"/>
      <w:bookmarkStart w:id="81" w:name="_Toc109899414"/>
      <w:bookmarkStart w:id="82" w:name="_Toc140132749"/>
      <w:bookmarkStart w:id="83" w:name="_Toc22506"/>
      <w:bookmarkStart w:id="84" w:name="_Toc31237"/>
      <w:r>
        <w:rPr>
          <w:rFonts w:hint="eastAsia" w:ascii="仿宋" w:hAnsi="仿宋" w:eastAsia="仿宋" w:cs="仿宋"/>
          <w:color w:val="auto"/>
          <w:sz w:val="24"/>
          <w:szCs w:val="24"/>
          <w:highlight w:val="none"/>
        </w:rPr>
        <w:t>1.截止时间</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06</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03</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u w:val="none"/>
          <w:lang w:val="en-US" w:eastAsia="zh-CN"/>
        </w:rPr>
        <w:t>11</w:t>
      </w:r>
      <w:r>
        <w:rPr>
          <w:rFonts w:hint="eastAsia" w:ascii="仿宋" w:hAnsi="仿宋" w:eastAsia="仿宋" w:cs="仿宋"/>
          <w:color w:val="auto"/>
          <w:sz w:val="24"/>
          <w:szCs w:val="24"/>
          <w:highlight w:val="none"/>
          <w:u w:val="none"/>
        </w:rPr>
        <w:t>时</w:t>
      </w:r>
      <w:r>
        <w:rPr>
          <w:rFonts w:hint="eastAsia" w:ascii="仿宋" w:hAnsi="仿宋" w:eastAsia="仿宋" w:cs="仿宋"/>
          <w:color w:val="auto"/>
          <w:sz w:val="24"/>
          <w:szCs w:val="24"/>
          <w:highlight w:val="none"/>
          <w:u w:val="none"/>
          <w:lang w:val="en-US" w:eastAsia="zh-CN"/>
        </w:rPr>
        <w:t>00</w:t>
      </w:r>
      <w:r>
        <w:rPr>
          <w:rFonts w:hint="eastAsia" w:ascii="仿宋" w:hAnsi="仿宋" w:eastAsia="仿宋" w:cs="仿宋"/>
          <w:color w:val="auto"/>
          <w:sz w:val="24"/>
          <w:szCs w:val="24"/>
          <w:highlight w:val="none"/>
          <w:u w:val="none"/>
        </w:rPr>
        <w:t>分（北京时间）。</w:t>
      </w:r>
    </w:p>
    <w:p>
      <w:pPr>
        <w:pStyle w:val="19"/>
        <w:pageBreakBefore w:val="0"/>
        <w:overflowPunct/>
        <w:topLinePunct w:val="0"/>
        <w:bidi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投标地点</w:t>
      </w:r>
      <w:r>
        <w:rPr>
          <w:rFonts w:hint="eastAsia" w:ascii="仿宋" w:hAnsi="仿宋" w:eastAsia="仿宋" w:cs="仿宋"/>
          <w:color w:val="auto"/>
          <w:sz w:val="24"/>
          <w:szCs w:val="24"/>
          <w:highlight w:val="none"/>
        </w:rPr>
        <w:t>：</w:t>
      </w:r>
      <w:bookmarkStart w:id="85" w:name="OLE_LINK54"/>
      <w:r>
        <w:rPr>
          <w:rFonts w:hint="eastAsia" w:ascii="仿宋" w:hAnsi="仿宋" w:eastAsia="仿宋" w:cs="仿宋"/>
          <w:color w:val="auto"/>
          <w:sz w:val="24"/>
          <w:szCs w:val="24"/>
          <w:highlight w:val="none"/>
        </w:rPr>
        <w:t>请登录政采云投标客户端投标</w:t>
      </w:r>
      <w:bookmarkEnd w:id="85"/>
    </w:p>
    <w:p>
      <w:pPr>
        <w:pStyle w:val="19"/>
        <w:pageBreakBefore w:val="0"/>
        <w:overflowPunct/>
        <w:topLinePunct w:val="0"/>
        <w:bidi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06</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03</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u w:val="none"/>
          <w:lang w:val="en-US" w:eastAsia="zh-CN"/>
        </w:rPr>
        <w:t>11</w:t>
      </w:r>
      <w:r>
        <w:rPr>
          <w:rFonts w:hint="eastAsia" w:ascii="仿宋" w:hAnsi="仿宋" w:eastAsia="仿宋" w:cs="仿宋"/>
          <w:color w:val="auto"/>
          <w:sz w:val="24"/>
          <w:szCs w:val="24"/>
          <w:highlight w:val="none"/>
          <w:u w:val="none"/>
        </w:rPr>
        <w:t>时</w:t>
      </w:r>
      <w:r>
        <w:rPr>
          <w:rFonts w:hint="eastAsia" w:ascii="仿宋" w:hAnsi="仿宋" w:eastAsia="仿宋" w:cs="仿宋"/>
          <w:color w:val="auto"/>
          <w:sz w:val="24"/>
          <w:szCs w:val="24"/>
          <w:highlight w:val="none"/>
          <w:u w:val="none"/>
          <w:lang w:val="en-US" w:eastAsia="zh-CN"/>
        </w:rPr>
        <w:t>00</w:t>
      </w:r>
      <w:r>
        <w:rPr>
          <w:rFonts w:hint="eastAsia" w:ascii="仿宋" w:hAnsi="仿宋" w:eastAsia="仿宋" w:cs="仿宋"/>
          <w:color w:val="auto"/>
          <w:sz w:val="24"/>
          <w:szCs w:val="24"/>
          <w:highlight w:val="none"/>
          <w:u w:val="none"/>
        </w:rPr>
        <w:t>分（北京时间）</w:t>
      </w:r>
    </w:p>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.开标</w:t>
      </w:r>
      <w:r>
        <w:rPr>
          <w:rFonts w:hint="eastAsia" w:ascii="仿宋" w:hAnsi="仿宋" w:eastAsia="仿宋" w:cs="仿宋"/>
          <w:color w:val="auto"/>
          <w:sz w:val="24"/>
          <w:szCs w:val="24"/>
          <w:highlight w:val="none"/>
          <w:lang w:val="en-US"/>
        </w:rPr>
        <w:t>地点</w:t>
      </w:r>
      <w:r>
        <w:rPr>
          <w:rFonts w:hint="eastAsia" w:ascii="仿宋" w:hAnsi="仿宋" w:eastAsia="仿宋" w:cs="仿宋"/>
          <w:color w:val="auto"/>
          <w:sz w:val="24"/>
          <w:szCs w:val="24"/>
          <w:highlight w:val="none"/>
        </w:rPr>
        <w:t>：</w:t>
      </w:r>
      <w:bookmarkStart w:id="86" w:name="OLE_LINK52"/>
      <w:r>
        <w:rPr>
          <w:rFonts w:hint="eastAsia" w:ascii="仿宋" w:hAnsi="仿宋" w:eastAsia="仿宋" w:cs="仿宋"/>
          <w:color w:val="auto"/>
          <w:sz w:val="24"/>
          <w:szCs w:val="24"/>
          <w:highlight w:val="none"/>
          <w:lang w:val="en-US"/>
        </w:rPr>
        <w:t>投标</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lang w:val="en-US"/>
        </w:rPr>
        <w:t>登录政采云平台https</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//www.zcygov.cn</w:t>
      </w:r>
      <w:r>
        <w:rPr>
          <w:rFonts w:hint="eastAsia" w:ascii="仿宋" w:hAnsi="仿宋" w:eastAsia="仿宋" w:cs="仿宋"/>
          <w:color w:val="000000" w:themeColor="text1"/>
          <w:sz w:val="24"/>
          <w:szCs w:val="24"/>
          <w:highlight w:val="none"/>
          <w:lang w:val="en-US"/>
          <w14:textFill>
            <w14:solidFill>
              <w14:schemeClr w14:val="tx1"/>
            </w14:solidFill>
          </w14:textFill>
        </w:rPr>
        <w:t>/，进入项目采购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开</w:t>
      </w:r>
      <w:r>
        <w:rPr>
          <w:rFonts w:hint="eastAsia" w:ascii="仿宋" w:hAnsi="仿宋" w:eastAsia="仿宋" w:cs="仿宋"/>
          <w:color w:val="000000" w:themeColor="text1"/>
          <w:sz w:val="24"/>
          <w:szCs w:val="24"/>
          <w:highlight w:val="none"/>
          <w:lang w:val="en-US" w:eastAsia="zh-CN"/>
          <w14:textFill>
            <w14:solidFill>
              <w14:schemeClr w14:val="tx1"/>
            </w14:solidFill>
          </w14:textFill>
        </w:rPr>
        <w:t>标</w:t>
      </w:r>
      <w:r>
        <w:rPr>
          <w:rFonts w:hint="eastAsia" w:ascii="仿宋" w:hAnsi="仿宋" w:eastAsia="仿宋" w:cs="仿宋"/>
          <w:color w:val="000000" w:themeColor="text1"/>
          <w:sz w:val="24"/>
          <w:szCs w:val="24"/>
          <w:highlight w:val="none"/>
          <w:lang w:val="en-US"/>
          <w14:textFill>
            <w14:solidFill>
              <w14:schemeClr w14:val="tx1"/>
            </w14:solidFill>
          </w14:textFill>
        </w:rPr>
        <w:t>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右边选择对应项目点击“进入项目”进入开标大厅</w:t>
      </w:r>
      <w:r>
        <w:rPr>
          <w:rFonts w:hint="eastAsia" w:ascii="仿宋" w:hAnsi="仿宋" w:eastAsia="仿宋" w:cs="仿宋"/>
          <w:color w:val="000000" w:themeColor="text1"/>
          <w:sz w:val="24"/>
          <w:szCs w:val="24"/>
          <w:highlight w:val="none"/>
          <w14:textFill>
            <w14:solidFill>
              <w14:schemeClr w14:val="tx1"/>
            </w14:solidFill>
          </w14:textFill>
        </w:rPr>
        <w:t>。</w:t>
      </w:r>
    </w:p>
    <w:bookmarkEnd w:id="86"/>
    <w:p>
      <w:pPr>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outlineLvl w:val="9"/>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五、</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公告期限</w:t>
      </w:r>
      <w:bookmarkEnd w:id="73"/>
      <w:bookmarkEnd w:id="74"/>
      <w:bookmarkEnd w:id="75"/>
      <w:bookmarkEnd w:id="76"/>
      <w:bookmarkEnd w:id="77"/>
      <w:bookmarkEnd w:id="78"/>
      <w:bookmarkEnd w:id="79"/>
      <w:bookmarkEnd w:id="80"/>
      <w:bookmarkEnd w:id="81"/>
      <w:bookmarkEnd w:id="82"/>
      <w:bookmarkEnd w:id="83"/>
      <w:bookmarkEnd w:id="84"/>
    </w:p>
    <w:p>
      <w:pPr>
        <w:pStyle w:val="19"/>
        <w:pageBreakBefore w:val="0"/>
        <w:kinsoku/>
        <w:overflowPunct/>
        <w:bidi w:val="0"/>
        <w:spacing w:beforeAutospacing="0" w:afterAutospacing="0"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自招标公告发布之日起5个工作日。</w:t>
      </w:r>
    </w:p>
    <w:p>
      <w:pPr>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outlineLvl w:val="9"/>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bookmarkStart w:id="87" w:name="_Toc17736"/>
      <w:bookmarkStart w:id="88" w:name="_Toc140132750"/>
      <w:bookmarkStart w:id="89" w:name="_Toc35393804"/>
      <w:bookmarkStart w:id="90" w:name="_Toc109899834"/>
      <w:bookmarkStart w:id="91" w:name="_Toc109900253"/>
      <w:bookmarkStart w:id="92" w:name="_Toc19698"/>
      <w:bookmarkStart w:id="93" w:name="_Toc155185865"/>
      <w:bookmarkStart w:id="94" w:name="_Toc44583634"/>
      <w:bookmarkStart w:id="95" w:name="_Toc35393635"/>
      <w:bookmarkStart w:id="96" w:name="_Toc109899415"/>
      <w:bookmarkStart w:id="97" w:name="_Toc35393637"/>
      <w:bookmarkStart w:id="98" w:name="_Toc28359019"/>
      <w:bookmarkStart w:id="99" w:name="_Toc28359096"/>
      <w:bookmarkStart w:id="100" w:name="_Toc35393806"/>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六、</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其他补充事宜</w:t>
      </w:r>
      <w:bookmarkEnd w:id="87"/>
      <w:bookmarkEnd w:id="88"/>
      <w:bookmarkEnd w:id="89"/>
      <w:bookmarkEnd w:id="90"/>
      <w:bookmarkEnd w:id="91"/>
      <w:bookmarkEnd w:id="92"/>
      <w:bookmarkEnd w:id="93"/>
      <w:bookmarkEnd w:id="94"/>
      <w:bookmarkEnd w:id="95"/>
      <w:bookmarkEnd w:id="96"/>
    </w:p>
    <w:bookmarkEnd w:id="97"/>
    <w:bookmarkEnd w:id="98"/>
    <w:bookmarkEnd w:id="99"/>
    <w:bookmarkEnd w:id="100"/>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bookmarkStart w:id="101" w:name="_Toc28359095"/>
      <w:bookmarkStart w:id="102" w:name="_Toc35393805"/>
      <w:bookmarkStart w:id="103" w:name="_Toc109899835"/>
      <w:bookmarkStart w:id="104" w:name="_Toc35393636"/>
      <w:bookmarkStart w:id="105" w:name="_Toc140132751"/>
      <w:bookmarkStart w:id="106" w:name="_Toc109899416"/>
      <w:bookmarkStart w:id="107" w:name="_Toc28359018"/>
      <w:bookmarkStart w:id="108" w:name="_Toc109900254"/>
      <w:bookmarkStart w:id="109" w:name="_Toc44583635"/>
      <w:bookmarkStart w:id="110" w:name="_Toc155185866"/>
      <w:bookmarkStart w:id="111" w:name="_Toc17135"/>
      <w:bookmarkStart w:id="112" w:name="_Toc23370"/>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本项目实行网上投标，采用电子投标文件。</w:t>
      </w:r>
    </w:p>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供应商将政采云电子交易客户端下载、安装完成后，可通过账号密码或CA登录客户端进行投标文件的制作。在使用政采云投标客户端时，建议使用WIN7及以上操作系统。</w:t>
      </w:r>
    </w:p>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特别提示：</w:t>
      </w:r>
    </w:p>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9"/>
        <w:pageBreakBefore w:val="0"/>
        <w:overflowPunct/>
        <w:topLinePunct w:val="0"/>
        <w:bidi w:val="0"/>
        <w:spacing w:line="440" w:lineRule="exac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outlineLvl w:val="9"/>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七、</w:t>
      </w:r>
      <w:bookmarkEnd w:id="101"/>
      <w:bookmarkEnd w:id="102"/>
      <w:bookmarkEnd w:id="103"/>
      <w:bookmarkEnd w:id="104"/>
      <w:bookmarkEnd w:id="105"/>
      <w:bookmarkEnd w:id="106"/>
      <w:bookmarkEnd w:id="107"/>
      <w:bookmarkEnd w:id="108"/>
      <w:bookmarkEnd w:id="109"/>
      <w:bookmarkEnd w:id="110"/>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对本次</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招标</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提出询问，请按以下方式联系</w:t>
      </w:r>
      <w:bookmarkEnd w:id="111"/>
      <w:bookmarkEnd w:id="112"/>
    </w:p>
    <w:p>
      <w:pPr>
        <w:pStyle w:val="19"/>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1.采购人信息</w:t>
      </w:r>
    </w:p>
    <w:p>
      <w:pPr>
        <w:pStyle w:val="19"/>
        <w:keepNext w:val="0"/>
        <w:keepLines w:val="0"/>
        <w:pageBreakBefore w:val="0"/>
        <w:widowControl w:val="0"/>
        <w:shd w:val="clear"/>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名称：</w:t>
      </w:r>
      <w:bookmarkStart w:id="113" w:name="OLE_LINK12"/>
      <w:r>
        <w:rPr>
          <w:rFonts w:hint="eastAsia" w:ascii="仿宋" w:hAnsi="仿宋" w:eastAsia="仿宋" w:cs="仿宋"/>
          <w:i w:val="0"/>
          <w:iCs w:val="0"/>
          <w:color w:val="auto"/>
          <w:sz w:val="24"/>
          <w:szCs w:val="24"/>
          <w:highlight w:val="none"/>
          <w:u w:val="none"/>
          <w:lang w:eastAsia="zh-CN"/>
        </w:rPr>
        <w:t>新疆和田学院</w:t>
      </w:r>
      <w:bookmarkEnd w:id="113"/>
    </w:p>
    <w:p>
      <w:pPr>
        <w:pStyle w:val="19"/>
        <w:keepNext w:val="0"/>
        <w:keepLines w:val="0"/>
        <w:pageBreakBefore w:val="0"/>
        <w:widowControl w:val="0"/>
        <w:shd w:val="clear"/>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4"/>
          <w:szCs w:val="24"/>
          <w:highlight w:val="none"/>
          <w:u w:val="none"/>
          <w:lang w:val="en-US" w:eastAsia="zh-CN"/>
        </w:rPr>
        <w:t>地址：</w:t>
      </w:r>
      <w:bookmarkStart w:id="114" w:name="OLE_LINK24"/>
      <w:r>
        <w:rPr>
          <w:rFonts w:hint="eastAsia" w:ascii="仿宋" w:hAnsi="仿宋" w:eastAsia="仿宋" w:cs="仿宋"/>
          <w:color w:val="auto"/>
          <w:sz w:val="24"/>
          <w:szCs w:val="24"/>
          <w:highlight w:val="none"/>
          <w:u w:val="none"/>
          <w:lang w:val="en-US" w:eastAsia="zh-CN"/>
        </w:rPr>
        <w:t>和田县昆仑北路1号</w:t>
      </w:r>
      <w:bookmarkEnd w:id="114"/>
    </w:p>
    <w:p>
      <w:pPr>
        <w:pStyle w:val="19"/>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outlineLvl w:val="9"/>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联系方式</w:t>
      </w:r>
      <w:bookmarkStart w:id="115" w:name="_Hlk46775675"/>
      <w:r>
        <w:rPr>
          <w:rFonts w:hint="eastAsia" w:ascii="仿宋" w:hAnsi="仿宋" w:eastAsia="仿宋" w:cs="仿宋"/>
          <w:color w:val="auto"/>
          <w:sz w:val="24"/>
          <w:szCs w:val="24"/>
          <w:highlight w:val="none"/>
          <w:u w:val="none"/>
          <w:lang w:val="en-US" w:eastAsia="zh-CN"/>
        </w:rPr>
        <w:t>：</w:t>
      </w:r>
      <w:bookmarkEnd w:id="115"/>
      <w:bookmarkStart w:id="116" w:name="OLE_LINK22"/>
      <w:bookmarkStart w:id="117" w:name="_Toc35393638"/>
      <w:bookmarkStart w:id="118" w:name="_Toc28359020"/>
      <w:bookmarkStart w:id="119" w:name="_Toc35393807"/>
      <w:bookmarkStart w:id="120" w:name="_Toc28359097"/>
      <w:r>
        <w:rPr>
          <w:rFonts w:hint="eastAsia" w:ascii="仿宋" w:hAnsi="仿宋" w:eastAsia="仿宋" w:cs="仿宋"/>
          <w:color w:val="auto"/>
          <w:sz w:val="24"/>
          <w:szCs w:val="24"/>
          <w:highlight w:val="none"/>
          <w:u w:val="none"/>
          <w:lang w:val="en-US" w:eastAsia="zh-CN"/>
        </w:rPr>
        <w:t>孙先生</w:t>
      </w:r>
      <w:bookmarkEnd w:id="116"/>
      <w:bookmarkStart w:id="121" w:name="OLE_LINK23"/>
      <w:bookmarkStart w:id="122" w:name="OLE_LINK59"/>
      <w:r>
        <w:rPr>
          <w:rFonts w:hint="eastAsia" w:ascii="仿宋" w:hAnsi="仿宋" w:eastAsia="仿宋" w:cs="仿宋"/>
          <w:color w:val="auto"/>
          <w:sz w:val="24"/>
          <w:szCs w:val="24"/>
          <w:highlight w:val="none"/>
          <w:u w:val="none"/>
          <w:lang w:val="en-US" w:eastAsia="zh-CN"/>
        </w:rPr>
        <w:t>0903-</w:t>
      </w:r>
      <w:bookmarkEnd w:id="121"/>
      <w:r>
        <w:rPr>
          <w:rFonts w:hint="eastAsia" w:ascii="仿宋" w:hAnsi="仿宋" w:eastAsia="仿宋" w:cs="仿宋"/>
          <w:color w:val="auto"/>
          <w:sz w:val="24"/>
          <w:szCs w:val="24"/>
          <w:highlight w:val="none"/>
          <w:u w:val="none"/>
          <w:lang w:val="en-US" w:eastAsia="zh-CN"/>
        </w:rPr>
        <w:t>6733232</w:t>
      </w:r>
      <w:bookmarkEnd w:id="122"/>
    </w:p>
    <w:p>
      <w:pPr>
        <w:pStyle w:val="19"/>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2.采购代理机构信息</w:t>
      </w:r>
      <w:bookmarkEnd w:id="117"/>
      <w:bookmarkEnd w:id="118"/>
      <w:bookmarkEnd w:id="119"/>
      <w:bookmarkEnd w:id="120"/>
    </w:p>
    <w:p>
      <w:pPr>
        <w:pStyle w:val="19"/>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名称：新疆正元工程招标代理有限责任公司</w:t>
      </w:r>
    </w:p>
    <w:p>
      <w:pPr>
        <w:pStyle w:val="19"/>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地址：</w:t>
      </w:r>
      <w:bookmarkStart w:id="123" w:name="OLE_LINK6"/>
      <w:r>
        <w:rPr>
          <w:rFonts w:hint="eastAsia" w:ascii="仿宋" w:hAnsi="仿宋" w:eastAsia="仿宋" w:cs="仿宋"/>
          <w:color w:val="000000" w:themeColor="text1"/>
          <w:kern w:val="0"/>
          <w:sz w:val="24"/>
          <w:szCs w:val="22"/>
          <w:highlight w:val="none"/>
          <w14:textFill>
            <w14:solidFill>
              <w14:schemeClr w14:val="tx1"/>
            </w14:solidFill>
          </w14:textFill>
        </w:rPr>
        <w:t>新疆乌鲁木齐市</w:t>
      </w:r>
      <w:r>
        <w:rPr>
          <w:rFonts w:hint="eastAsia" w:ascii="仿宋" w:hAnsi="仿宋" w:eastAsia="仿宋" w:cs="仿宋"/>
          <w:color w:val="000000" w:themeColor="text1"/>
          <w:kern w:val="0"/>
          <w:sz w:val="24"/>
          <w:szCs w:val="22"/>
          <w:highlight w:val="none"/>
          <w:lang w:val="en-US" w:eastAsia="zh-CN"/>
          <w14:textFill>
            <w14:solidFill>
              <w14:schemeClr w14:val="tx1"/>
            </w14:solidFill>
          </w14:textFill>
        </w:rPr>
        <w:t>维泰北路616</w:t>
      </w:r>
      <w:r>
        <w:rPr>
          <w:rFonts w:hint="eastAsia" w:ascii="仿宋" w:hAnsi="仿宋" w:eastAsia="仿宋" w:cs="仿宋"/>
          <w:color w:val="000000" w:themeColor="text1"/>
          <w:kern w:val="0"/>
          <w:sz w:val="24"/>
          <w:szCs w:val="22"/>
          <w:highlight w:val="none"/>
          <w14:textFill>
            <w14:solidFill>
              <w14:schemeClr w14:val="tx1"/>
            </w14:solidFill>
          </w14:textFill>
        </w:rPr>
        <w:t>号</w:t>
      </w:r>
      <w:bookmarkEnd w:id="123"/>
    </w:p>
    <w:p>
      <w:pPr>
        <w:pStyle w:val="19"/>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联系方式：</w:t>
      </w:r>
      <w:r>
        <w:rPr>
          <w:rFonts w:hint="eastAsia" w:ascii="仿宋" w:hAnsi="仿宋" w:eastAsia="仿宋" w:cs="仿宋"/>
          <w:color w:val="000000" w:themeColor="text1"/>
          <w:kern w:val="0"/>
          <w:sz w:val="24"/>
          <w:szCs w:val="22"/>
          <w:highlight w:val="none"/>
          <w14:textFill>
            <w14:solidFill>
              <w14:schemeClr w14:val="tx1"/>
            </w14:solidFill>
          </w14:textFill>
        </w:rPr>
        <w:t>0991-372220</w:t>
      </w:r>
      <w:r>
        <w:rPr>
          <w:rFonts w:hint="eastAsia" w:ascii="仿宋" w:hAnsi="仿宋" w:eastAsia="仿宋" w:cs="仿宋"/>
          <w:color w:val="000000" w:themeColor="text1"/>
          <w:kern w:val="0"/>
          <w:sz w:val="24"/>
          <w:szCs w:val="22"/>
          <w:highlight w:val="none"/>
          <w:lang w:val="en-US" w:eastAsia="zh-CN"/>
          <w14:textFill>
            <w14:solidFill>
              <w14:schemeClr w14:val="tx1"/>
            </w14:solidFill>
          </w14:textFill>
        </w:rPr>
        <w:t>9、18699074330</w:t>
      </w:r>
    </w:p>
    <w:p>
      <w:pPr>
        <w:pStyle w:val="19"/>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bookmarkStart w:id="124" w:name="_Toc35393639"/>
      <w:bookmarkStart w:id="125" w:name="_Toc28359021"/>
      <w:bookmarkStart w:id="126" w:name="_Toc28359098"/>
      <w:bookmarkStart w:id="127" w:name="_Toc35393808"/>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3.项目联系方式</w:t>
      </w:r>
    </w:p>
    <w:p>
      <w:pPr>
        <w:pStyle w:val="19"/>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项目联系人：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李晓波</w:t>
      </w:r>
    </w:p>
    <w:bookmarkEnd w:id="124"/>
    <w:bookmarkEnd w:id="125"/>
    <w:bookmarkEnd w:id="126"/>
    <w:bookmarkEnd w:id="127"/>
    <w:p>
      <w:pPr>
        <w:pStyle w:val="19"/>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电话：</w:t>
      </w:r>
      <w:r>
        <w:rPr>
          <w:rFonts w:hint="eastAsia" w:ascii="仿宋" w:hAnsi="仿宋" w:eastAsia="仿宋" w:cs="仿宋"/>
          <w:color w:val="000000" w:themeColor="text1"/>
          <w:kern w:val="0"/>
          <w:sz w:val="24"/>
          <w:szCs w:val="22"/>
          <w:highlight w:val="none"/>
          <w14:textFill>
            <w14:solidFill>
              <w14:schemeClr w14:val="tx1"/>
            </w14:solidFill>
          </w14:textFill>
        </w:rPr>
        <w:t>0991-372220</w:t>
      </w:r>
      <w:r>
        <w:rPr>
          <w:rFonts w:hint="eastAsia" w:ascii="仿宋" w:hAnsi="仿宋" w:eastAsia="仿宋" w:cs="仿宋"/>
          <w:color w:val="000000" w:themeColor="text1"/>
          <w:kern w:val="0"/>
          <w:sz w:val="24"/>
          <w:szCs w:val="22"/>
          <w:highlight w:val="none"/>
          <w:lang w:val="en-US" w:eastAsia="zh-CN"/>
          <w14:textFill>
            <w14:solidFill>
              <w14:schemeClr w14:val="tx1"/>
            </w14:solidFill>
          </w14:textFill>
        </w:rPr>
        <w:t>9、18699074330</w:t>
      </w:r>
    </w:p>
    <w:p>
      <w:pPr>
        <w:outlineLvl w:val="9"/>
        <w:rPr>
          <w:rFonts w:ascii="仿宋" w:hAnsi="仿宋" w:eastAsia="仿宋" w:cs="仿宋"/>
          <w:b/>
          <w:bCs/>
          <w:color w:val="000000" w:themeColor="text1"/>
          <w:kern w:val="44"/>
          <w:sz w:val="36"/>
          <w:szCs w:val="36"/>
          <w:highlight w:val="none"/>
          <w14:textFill>
            <w14:solidFill>
              <w14:schemeClr w14:val="tx1"/>
            </w14:solidFill>
          </w14:textFill>
        </w:rPr>
      </w:pPr>
      <w:r>
        <w:rPr>
          <w:rFonts w:hint="eastAsia" w:ascii="仿宋" w:hAnsi="仿宋" w:eastAsia="仿宋" w:cs="仿宋"/>
          <w:b/>
          <w:bCs/>
          <w:color w:val="000000" w:themeColor="text1"/>
          <w:kern w:val="44"/>
          <w:sz w:val="36"/>
          <w:szCs w:val="36"/>
          <w:highlight w:val="none"/>
          <w14:textFill>
            <w14:solidFill>
              <w14:schemeClr w14:val="tx1"/>
            </w14:solidFill>
          </w14:textFill>
        </w:rPr>
        <w:br w:type="page"/>
      </w:r>
    </w:p>
    <w:p>
      <w:pPr>
        <w:keepNext/>
        <w:keepLines/>
        <w:spacing w:before="220" w:after="220" w:line="480" w:lineRule="auto"/>
        <w:ind w:left="420" w:hanging="420"/>
        <w:jc w:val="center"/>
        <w:outlineLvl w:val="0"/>
        <w:rPr>
          <w:rFonts w:hint="eastAsia" w:ascii="仿宋" w:hAnsi="仿宋" w:eastAsia="仿宋" w:cs="仿宋"/>
          <w:b/>
          <w:bCs/>
          <w:color w:val="000000" w:themeColor="text1"/>
          <w:kern w:val="44"/>
          <w:sz w:val="36"/>
          <w:szCs w:val="36"/>
          <w:highlight w:val="none"/>
          <w14:textFill>
            <w14:solidFill>
              <w14:schemeClr w14:val="tx1"/>
            </w14:solidFill>
          </w14:textFill>
        </w:rPr>
      </w:pPr>
      <w:bookmarkStart w:id="128" w:name="_Toc19073"/>
      <w:bookmarkStart w:id="129" w:name="_Toc15484"/>
      <w:r>
        <w:rPr>
          <w:rFonts w:hint="eastAsia" w:ascii="仿宋" w:hAnsi="仿宋" w:eastAsia="仿宋" w:cs="仿宋"/>
          <w:b/>
          <w:bCs/>
          <w:color w:val="000000" w:themeColor="text1"/>
          <w:kern w:val="44"/>
          <w:sz w:val="36"/>
          <w:szCs w:val="36"/>
          <w:highlight w:val="none"/>
          <w14:textFill>
            <w14:solidFill>
              <w14:schemeClr w14:val="tx1"/>
            </w14:solidFill>
          </w14:textFill>
        </w:rPr>
        <w:t>第二章 投标人须知</w:t>
      </w:r>
      <w:bookmarkEnd w:id="22"/>
      <w:bookmarkEnd w:id="23"/>
      <w:bookmarkEnd w:id="24"/>
      <w:bookmarkEnd w:id="25"/>
      <w:bookmarkEnd w:id="128"/>
      <w:bookmarkEnd w:id="129"/>
    </w:p>
    <w:bookmarkEnd w:id="7"/>
    <w:p>
      <w:pPr>
        <w:keepNext/>
        <w:keepLines/>
        <w:spacing w:before="80" w:after="80"/>
        <w:ind w:left="420" w:hanging="420"/>
        <w:outlineLvl w:val="9"/>
        <w:rPr>
          <w:rFonts w:ascii="仿宋" w:hAnsi="仿宋" w:eastAsia="仿宋" w:cs="仿宋"/>
          <w:b/>
          <w:bCs/>
          <w:color w:val="000000" w:themeColor="text1"/>
          <w:sz w:val="28"/>
          <w:szCs w:val="28"/>
          <w:highlight w:val="none"/>
          <w14:textFill>
            <w14:solidFill>
              <w14:schemeClr w14:val="tx1"/>
            </w14:solidFill>
          </w14:textFill>
        </w:rPr>
      </w:pPr>
      <w:bookmarkStart w:id="130" w:name="_Toc1412"/>
      <w:bookmarkStart w:id="131" w:name="_Toc155185868"/>
      <w:bookmarkStart w:id="132" w:name="_Toc163492820"/>
      <w:r>
        <w:rPr>
          <w:rFonts w:hint="eastAsia" w:ascii="仿宋" w:hAnsi="仿宋" w:eastAsia="仿宋" w:cs="仿宋"/>
          <w:b/>
          <w:bCs/>
          <w:color w:val="000000" w:themeColor="text1"/>
          <w:sz w:val="28"/>
          <w:szCs w:val="28"/>
          <w:highlight w:val="none"/>
          <w14:textFill>
            <w14:solidFill>
              <w14:schemeClr w14:val="tx1"/>
            </w14:solidFill>
          </w14:textFill>
        </w:rPr>
        <w:t>一、投标人须知前附表</w:t>
      </w:r>
      <w:bookmarkEnd w:id="130"/>
      <w:bookmarkEnd w:id="131"/>
      <w:bookmarkEnd w:id="132"/>
    </w:p>
    <w:p>
      <w:pPr>
        <w:pStyle w:val="19"/>
        <w:outlineLvl w:val="9"/>
        <w:rPr>
          <w:rFonts w:ascii="仿宋" w:hAnsi="仿宋" w:eastAsia="仿宋" w:cs="仿宋"/>
          <w:color w:val="000000" w:themeColor="text1"/>
          <w:szCs w:val="24"/>
          <w:highlight w:val="none"/>
          <w:lang w:val="en-US"/>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投标人应仔细阅读本招标文件的第二章“投标人须知”，下面所列资料是对“投标人须知”的具体补充和说明，如有矛盾，应以本表为准。</w:t>
      </w:r>
      <w:r>
        <w:rPr>
          <w:rFonts w:hint="eastAsia" w:ascii="仿宋" w:hAnsi="仿宋" w:eastAsia="仿宋" w:cs="仿宋"/>
          <w:color w:val="000000" w:themeColor="text1"/>
          <w:szCs w:val="24"/>
          <w:highlight w:val="none"/>
          <w:lang w:val="en-US"/>
          <w14:textFill>
            <w14:solidFill>
              <w14:schemeClr w14:val="tx1"/>
            </w14:solidFill>
          </w14:textFill>
        </w:rPr>
        <w:t>标记“☑”的选项意为适用于本项目，标记“□”的选项意为不适用于本项目。</w:t>
      </w:r>
    </w:p>
    <w:tbl>
      <w:tblPr>
        <w:tblStyle w:val="14"/>
        <w:tblW w:w="95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5"/>
        <w:gridCol w:w="1871"/>
        <w:gridCol w:w="675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tblHeader/>
          <w:jc w:val="center"/>
        </w:trPr>
        <w:tc>
          <w:tcPr>
            <w:tcW w:w="97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20"/>
              <w:spacing w:line="400" w:lineRule="exact"/>
              <w:jc w:val="center"/>
              <w:outlineLvl w:val="9"/>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条款号</w:t>
            </w:r>
          </w:p>
        </w:tc>
        <w:tc>
          <w:tcPr>
            <w:tcW w:w="18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20"/>
              <w:spacing w:line="400" w:lineRule="exact"/>
              <w:jc w:val="center"/>
              <w:outlineLvl w:val="9"/>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条款名称</w:t>
            </w:r>
          </w:p>
        </w:tc>
        <w:tc>
          <w:tcPr>
            <w:tcW w:w="675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20"/>
              <w:spacing w:line="400" w:lineRule="exact"/>
              <w:jc w:val="center"/>
              <w:outlineLvl w:val="9"/>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w:t>
            </w:r>
          </w:p>
        </w:tc>
        <w:tc>
          <w:tcPr>
            <w:tcW w:w="1871" w:type="dxa"/>
            <w:vAlign w:val="center"/>
          </w:tcPr>
          <w:p>
            <w:pPr>
              <w:pStyle w:val="20"/>
              <w:spacing w:line="400" w:lineRule="exact"/>
              <w:jc w:val="center"/>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核心产品</w:t>
            </w:r>
          </w:p>
        </w:tc>
        <w:tc>
          <w:tcPr>
            <w:tcW w:w="6752" w:type="dxa"/>
            <w:vAlign w:val="center"/>
          </w:tcPr>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□本项目第</w:t>
            </w:r>
            <w:r>
              <w:rPr>
                <w:rFonts w:hint="eastAsia" w:ascii="仿宋" w:hAnsi="仿宋" w:eastAsia="仿宋" w:cs="仿宋"/>
                <w:color w:val="auto"/>
                <w:szCs w:val="24"/>
                <w:highlight w:val="none"/>
                <w:u w:val="single"/>
              </w:rPr>
              <w:t>__</w:t>
            </w:r>
            <w:r>
              <w:rPr>
                <w:rFonts w:hint="eastAsia" w:ascii="仿宋" w:hAnsi="仿宋" w:eastAsia="仿宋" w:cs="仿宋"/>
                <w:color w:val="auto"/>
                <w:szCs w:val="24"/>
                <w:highlight w:val="none"/>
              </w:rPr>
              <w:t>包不适用。</w:t>
            </w:r>
          </w:p>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本项目为单一产品采购项目。</w:t>
            </w:r>
          </w:p>
          <w:p>
            <w:pPr>
              <w:pStyle w:val="20"/>
              <w:spacing w:line="400" w:lineRule="exact"/>
              <w:outlineLvl w:val="9"/>
              <w:rPr>
                <w:rFonts w:ascii="仿宋" w:hAnsi="仿宋" w:eastAsia="仿宋" w:cs="仿宋"/>
                <w:color w:val="auto"/>
                <w:szCs w:val="24"/>
                <w:highlight w:val="none"/>
                <w:u w:val="singl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本项目为非单一产品采购项目，其中</w:t>
            </w:r>
            <w:bookmarkStart w:id="133" w:name="OLE_LINK4"/>
            <w:r>
              <w:rPr>
                <w:rFonts w:hint="eastAsia" w:ascii="仿宋" w:hAnsi="仿宋" w:eastAsia="仿宋" w:cs="仿宋"/>
                <w:color w:val="auto"/>
                <w:szCs w:val="24"/>
                <w:highlight w:val="none"/>
              </w:rPr>
              <w:t>核心产品</w:t>
            </w:r>
            <w:r>
              <w:rPr>
                <w:rFonts w:hint="eastAsia" w:ascii="仿宋" w:hAnsi="仿宋" w:eastAsia="仿宋" w:cs="仿宋"/>
                <w:b w:val="0"/>
                <w:bCs w:val="0"/>
                <w:color w:val="auto"/>
                <w:szCs w:val="24"/>
                <w:highlight w:val="none"/>
              </w:rPr>
              <w:t>为</w:t>
            </w:r>
            <w:r>
              <w:rPr>
                <w:rFonts w:hint="eastAsia" w:ascii="仿宋" w:hAnsi="仿宋" w:eastAsia="仿宋" w:cs="仿宋"/>
                <w:b w:val="0"/>
                <w:bCs w:val="0"/>
                <w:color w:val="auto"/>
                <w:szCs w:val="24"/>
                <w:highlight w:val="none"/>
                <w:u w:val="single"/>
              </w:rPr>
              <w:t>：</w:t>
            </w:r>
            <w:bookmarkStart w:id="134" w:name="OLE_LINK3"/>
            <w:r>
              <w:rPr>
                <w:rFonts w:hint="eastAsia" w:ascii="仿宋" w:hAnsi="仿宋" w:eastAsia="仿宋" w:cs="仿宋"/>
                <w:b/>
                <w:bCs/>
                <w:color w:val="auto"/>
                <w:szCs w:val="24"/>
                <w:highlight w:val="none"/>
                <w:u w:val="single"/>
              </w:rPr>
              <w:t>五轴联动车铣复合</w:t>
            </w:r>
            <w:bookmarkEnd w:id="134"/>
            <w:r>
              <w:rPr>
                <w:rFonts w:hint="eastAsia" w:ascii="仿宋" w:hAnsi="仿宋" w:eastAsia="仿宋" w:cs="仿宋"/>
                <w:b/>
                <w:bCs/>
                <w:color w:val="auto"/>
                <w:szCs w:val="24"/>
                <w:highlight w:val="none"/>
                <w:u w:val="single"/>
              </w:rPr>
              <w:t>。</w:t>
            </w:r>
            <w:bookmarkEnd w:id="13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shd w:val="clear" w:color="auto" w:fill="auto"/>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2.6</w:t>
            </w:r>
          </w:p>
        </w:tc>
        <w:tc>
          <w:tcPr>
            <w:tcW w:w="1871" w:type="dxa"/>
            <w:shd w:val="clear" w:color="auto" w:fill="auto"/>
            <w:vAlign w:val="center"/>
          </w:tcPr>
          <w:p>
            <w:pPr>
              <w:widowControl/>
              <w:spacing w:line="400" w:lineRule="exact"/>
              <w:jc w:val="center"/>
              <w:outlineLvl w:val="9"/>
              <w:rPr>
                <w:rFonts w:ascii="仿宋" w:hAnsi="仿宋" w:eastAsia="仿宋" w:cs="仿宋"/>
                <w:color w:val="auto"/>
                <w:szCs w:val="24"/>
                <w:highlight w:val="none"/>
              </w:rPr>
            </w:pPr>
            <w:r>
              <w:rPr>
                <w:rFonts w:hint="eastAsia" w:ascii="仿宋" w:hAnsi="仿宋" w:eastAsia="仿宋" w:cs="仿宋"/>
                <w:color w:val="auto"/>
                <w:kern w:val="0"/>
                <w:szCs w:val="24"/>
                <w:highlight w:val="none"/>
                <w:lang w:bidi="ar"/>
              </w:rPr>
              <w:t>科研仪器设备</w:t>
            </w:r>
          </w:p>
        </w:tc>
        <w:tc>
          <w:tcPr>
            <w:tcW w:w="6752" w:type="dxa"/>
            <w:shd w:val="clear" w:color="auto" w:fill="auto"/>
            <w:vAlign w:val="center"/>
          </w:tcPr>
          <w:p>
            <w:pPr>
              <w:widowControl/>
              <w:spacing w:line="400" w:lineRule="exact"/>
              <w:outlineLvl w:val="9"/>
              <w:rPr>
                <w:rFonts w:ascii="仿宋" w:hAnsi="仿宋" w:eastAsia="仿宋" w:cs="仿宋"/>
                <w:color w:val="auto"/>
                <w:kern w:val="0"/>
                <w:szCs w:val="24"/>
                <w:highlight w:val="none"/>
                <w:lang w:bidi="ar"/>
              </w:rPr>
            </w:pPr>
            <w:r>
              <w:rPr>
                <w:rFonts w:hint="eastAsia" w:ascii="仿宋" w:hAnsi="仿宋" w:eastAsia="仿宋" w:cs="仿宋"/>
                <w:color w:val="auto"/>
                <w:kern w:val="0"/>
                <w:szCs w:val="24"/>
                <w:highlight w:val="none"/>
                <w:lang w:bidi="ar"/>
              </w:rPr>
              <w:t>是否属于</w:t>
            </w:r>
            <w:bookmarkStart w:id="135" w:name="OLE_LINK17"/>
            <w:r>
              <w:rPr>
                <w:rFonts w:hint="eastAsia" w:ascii="仿宋" w:hAnsi="仿宋" w:eastAsia="仿宋" w:cs="仿宋"/>
                <w:color w:val="auto"/>
                <w:kern w:val="0"/>
                <w:szCs w:val="24"/>
                <w:highlight w:val="none"/>
                <w:lang w:bidi="ar"/>
              </w:rPr>
              <w:t>科研仪器设备</w:t>
            </w:r>
            <w:bookmarkEnd w:id="135"/>
            <w:r>
              <w:rPr>
                <w:rFonts w:hint="eastAsia" w:ascii="仿宋" w:hAnsi="仿宋" w:eastAsia="仿宋" w:cs="仿宋"/>
                <w:color w:val="auto"/>
                <w:kern w:val="0"/>
                <w:szCs w:val="24"/>
                <w:highlight w:val="none"/>
                <w:lang w:bidi="ar"/>
              </w:rPr>
              <w:t>采购项目：</w:t>
            </w:r>
          </w:p>
          <w:p>
            <w:pPr>
              <w:widowControl/>
              <w:spacing w:line="400" w:lineRule="exact"/>
              <w:outlineLvl w:val="9"/>
              <w:rPr>
                <w:rFonts w:ascii="仿宋" w:hAnsi="仿宋" w:eastAsia="仿宋" w:cs="仿宋"/>
                <w:color w:val="auto"/>
                <w:kern w:val="0"/>
                <w:szCs w:val="24"/>
                <w:highlight w:val="none"/>
                <w:lang w:bidi="ar"/>
              </w:rPr>
            </w:pP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lang w:bidi="ar"/>
              </w:rPr>
              <w:t>是</w:t>
            </w:r>
          </w:p>
          <w:p>
            <w:pPr>
              <w:widowControl/>
              <w:spacing w:line="400" w:lineRule="exact"/>
              <w:outlineLvl w:val="9"/>
              <w:rPr>
                <w:rFonts w:ascii="仿宋" w:hAnsi="仿宋" w:eastAsia="仿宋" w:cs="仿宋"/>
                <w:color w:val="auto"/>
                <w:kern w:val="0"/>
                <w:szCs w:val="24"/>
                <w:highlight w:val="none"/>
                <w:lang w:bidi="ar"/>
              </w:rPr>
            </w:pP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lang w:bidi="ar"/>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9.1</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bookmarkStart w:id="136" w:name="_Hlk143529175"/>
            <w:r>
              <w:rPr>
                <w:rFonts w:hint="eastAsia" w:ascii="仿宋" w:hAnsi="仿宋" w:eastAsia="仿宋" w:cs="仿宋"/>
                <w:color w:val="000000" w:themeColor="text1"/>
                <w:szCs w:val="24"/>
                <w:highlight w:val="none"/>
                <w14:textFill>
                  <w14:solidFill>
                    <w14:schemeClr w14:val="tx1"/>
                  </w14:solidFill>
                </w14:textFill>
              </w:rPr>
              <w:t>现场考察</w:t>
            </w:r>
            <w:bookmarkEnd w:id="136"/>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不组织，投标人自行前往。</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组织</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时间：</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地点：</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9.5</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答疑会</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不组织</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组织</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时间：</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地点：</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12.1</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询问</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1.方式：</w:t>
            </w:r>
            <w:r>
              <w:rPr>
                <w:rFonts w:hint="eastAsia" w:ascii="仿宋" w:hAnsi="仿宋" w:eastAsia="仿宋" w:cs="仿宋"/>
                <w:color w:val="000000" w:themeColor="text1"/>
                <w:szCs w:val="24"/>
                <w:highlight w:val="none"/>
                <w:u w:val="single"/>
                <w14:textFill>
                  <w14:solidFill>
                    <w14:schemeClr w14:val="tx1"/>
                  </w14:solidFill>
                </w14:textFill>
              </w:rPr>
              <w:t>在供应商客户端中按照格式填写询问函，并在生成询问函后加盖电子印章提交</w:t>
            </w:r>
            <w:r>
              <w:rPr>
                <w:rFonts w:hint="eastAsia" w:ascii="仿宋" w:hAnsi="仿宋" w:eastAsia="仿宋" w:cs="仿宋"/>
                <w:color w:val="000000" w:themeColor="text1"/>
                <w:szCs w:val="24"/>
                <w:highlight w:val="none"/>
                <w14:textFill>
                  <w14:solidFill>
                    <w14:schemeClr w14:val="tx1"/>
                  </w14:solidFill>
                </w14:textFill>
              </w:rPr>
              <w:t>；其他询问方式：</w:t>
            </w:r>
            <w:r>
              <w:rPr>
                <w:rFonts w:hint="eastAsia" w:ascii="仿宋" w:hAnsi="仿宋" w:eastAsia="仿宋" w:cs="仿宋"/>
                <w:color w:val="000000" w:themeColor="text1"/>
                <w:szCs w:val="24"/>
                <w:highlight w:val="none"/>
                <w:u w:val="single"/>
                <w14:textFill>
                  <w14:solidFill>
                    <w14:schemeClr w14:val="tx1"/>
                  </w14:solidFill>
                </w14:textFill>
              </w:rPr>
              <w:t>电话询问，</w:t>
            </w:r>
            <w:r>
              <w:rPr>
                <w:rFonts w:hint="eastAsia" w:ascii="仿宋" w:hAnsi="仿宋" w:eastAsia="仿宋" w:cs="仿宋"/>
                <w:color w:val="000000" w:themeColor="text1"/>
                <w:szCs w:val="24"/>
                <w:highlight w:val="none"/>
                <w14:textFill>
                  <w14:solidFill>
                    <w14:schemeClr w14:val="tx1"/>
                  </w14:solidFill>
                </w14:textFill>
              </w:rPr>
              <w:t>联系人：</w:t>
            </w:r>
            <w:r>
              <w:rPr>
                <w:rFonts w:hint="eastAsia" w:ascii="仿宋" w:hAnsi="仿宋" w:eastAsia="仿宋" w:cs="仿宋"/>
                <w:color w:val="000000" w:themeColor="text1"/>
                <w:szCs w:val="24"/>
                <w:highlight w:val="none"/>
                <w:u w:val="single"/>
                <w:lang w:val="en-US" w:eastAsia="zh-CN"/>
                <w14:textFill>
                  <w14:solidFill>
                    <w14:schemeClr w14:val="tx1"/>
                  </w14:solidFill>
                </w14:textFill>
              </w:rPr>
              <w:t>李晓波</w:t>
            </w:r>
            <w:r>
              <w:rPr>
                <w:rFonts w:hint="eastAsia" w:ascii="仿宋" w:hAnsi="仿宋" w:eastAsia="仿宋" w:cs="仿宋"/>
                <w:color w:val="000000" w:themeColor="text1"/>
                <w:szCs w:val="24"/>
                <w:highlight w:val="none"/>
                <w:u w:val="single"/>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联系方式：</w:t>
            </w:r>
            <w:r>
              <w:rPr>
                <w:rFonts w:hint="eastAsia" w:ascii="仿宋" w:hAnsi="仿宋" w:eastAsia="仿宋" w:cs="仿宋"/>
                <w:color w:val="000000" w:themeColor="text1"/>
                <w:szCs w:val="24"/>
                <w:highlight w:val="none"/>
                <w:u w:val="single"/>
                <w:lang w:val="en-US" w:eastAsia="zh-CN"/>
                <w14:textFill>
                  <w14:solidFill>
                    <w14:schemeClr w14:val="tx1"/>
                  </w14:solidFill>
                </w14:textFill>
              </w:rPr>
              <w:t>18699074330</w:t>
            </w:r>
            <w:r>
              <w:rPr>
                <w:rFonts w:hint="eastAsia" w:ascii="仿宋" w:hAnsi="仿宋" w:eastAsia="仿宋" w:cs="仿宋"/>
                <w:color w:val="000000" w:themeColor="text1"/>
                <w:szCs w:val="24"/>
                <w:highlight w:val="none"/>
                <w14:textFill>
                  <w14:solidFill>
                    <w14:schemeClr w14:val="tx1"/>
                  </w14:solidFill>
                </w14:textFill>
              </w:rPr>
              <w:t>。</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2.时间要求：</w:t>
            </w:r>
            <w:r>
              <w:rPr>
                <w:rFonts w:hint="eastAsia" w:ascii="仿宋" w:hAnsi="仿宋" w:eastAsia="仿宋" w:cs="仿宋"/>
                <w:color w:val="000000" w:themeColor="text1"/>
                <w:szCs w:val="24"/>
                <w:highlight w:val="none"/>
                <w:u w:val="single"/>
                <w14:textFill>
                  <w14:solidFill>
                    <w14:schemeClr w14:val="tx1"/>
                  </w14:solidFill>
                </w14:textFill>
              </w:rPr>
              <w:t>投标人应在投标文件递交截止时间前提出，在收到后3个工作日内对投标人依法提出的询问作出答复</w:t>
            </w:r>
            <w:r>
              <w:rPr>
                <w:rFonts w:hint="eastAsia" w:ascii="仿宋" w:hAnsi="仿宋" w:eastAsia="仿宋" w:cs="仿宋"/>
                <w:color w:val="000000" w:themeColor="text1"/>
                <w:szCs w:val="24"/>
                <w:highlight w:val="none"/>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15.1</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投标有效期</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投标截止时间后</w:t>
            </w:r>
            <w:r>
              <w:rPr>
                <w:rFonts w:hint="eastAsia" w:ascii="仿宋" w:hAnsi="仿宋" w:eastAsia="仿宋" w:cs="仿宋"/>
                <w:color w:val="000000" w:themeColor="text1"/>
                <w:szCs w:val="24"/>
                <w:highlight w:val="none"/>
                <w:u w:val="single"/>
                <w14:textFill>
                  <w14:solidFill>
                    <w14:schemeClr w14:val="tx1"/>
                  </w14:solidFill>
                </w14:textFill>
              </w:rPr>
              <w:t>90</w:t>
            </w:r>
            <w:r>
              <w:rPr>
                <w:rFonts w:hint="eastAsia" w:ascii="仿宋" w:hAnsi="仿宋" w:eastAsia="仿宋" w:cs="仿宋"/>
                <w:color w:val="000000" w:themeColor="text1"/>
                <w:szCs w:val="24"/>
                <w:highlight w:val="none"/>
                <w14:textFill>
                  <w14:solidFill>
                    <w14:schemeClr w14:val="tx1"/>
                  </w14:solidFill>
                </w14:textFill>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17.1</w:t>
            </w:r>
          </w:p>
        </w:tc>
        <w:tc>
          <w:tcPr>
            <w:tcW w:w="1871" w:type="dxa"/>
            <w:vAlign w:val="center"/>
          </w:tcPr>
          <w:p>
            <w:pPr>
              <w:pStyle w:val="20"/>
              <w:spacing w:line="400" w:lineRule="exact"/>
              <w:jc w:val="center"/>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投标保证金</w:t>
            </w:r>
          </w:p>
        </w:tc>
        <w:tc>
          <w:tcPr>
            <w:tcW w:w="6752" w:type="dxa"/>
            <w:vAlign w:val="center"/>
          </w:tcPr>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1.金额：</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□预算金额的   %。</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定额收取：人民币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50000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2.支付方式：</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投标人可自主选择以支票、汇票、本票、电汇、转账、网银、保函等非现金形式缴纳或提交保证金。</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3.收取单位：新疆正元工程招标代理有限责任公司</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4.收取账号：991902947010802</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5.开户行：招商银行乌鲁木齐分行</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6.退还时间：自中标通知书发出之日起5个工作日内退还未中标供应商的投标保证金，自政府采购合同签订之日起5个工作日内退还中标供应商的投标保证金。</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注意事项：</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1.以上各类机构出具的以担保函、保证保险承担责任的方式均须满足无条件见索即付条件。</w:t>
            </w:r>
          </w:p>
          <w:p>
            <w:pPr>
              <w:pStyle w:val="21"/>
              <w:spacing w:line="400" w:lineRule="exact"/>
              <w:outlineLvl w:val="9"/>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2.以担保函、保证保险形式缴纳投标保证金的，受益人和收取单位须为采购人。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22</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实物样品</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投标样品递交：</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☑不需要</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□需要，具体要求如下：</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1.样品制作的标准和要求：_________；</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2.是否需要随样品提交相关检测报告：</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□不需要</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□需要</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3.样品递交要求：递交时间：</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递交地点：</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，逾期提供的样品将不予接受。</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4.未中标人样品退还：</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5.中标人样品保管、封存及退还：_________；</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6.其他要求（如有）：_________。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23.1</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演示</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不进行</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进行，远程线上演示</w:t>
            </w:r>
          </w:p>
          <w:p>
            <w:pPr>
              <w:pStyle w:val="20"/>
              <w:numPr>
                <w:ilvl w:val="0"/>
                <w:numId w:val="0"/>
              </w:numPr>
              <w:spacing w:line="400" w:lineRule="exact"/>
              <w:outlineLvl w:val="9"/>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szCs w:val="24"/>
                <w:highlight w:val="none"/>
                <w14:textFill>
                  <w14:solidFill>
                    <w14:schemeClr w14:val="tx1"/>
                  </w14:solidFill>
                </w14:textFill>
              </w:rPr>
              <w:t>演示时间不得超过</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分钟；</w:t>
            </w:r>
          </w:p>
          <w:p>
            <w:pPr>
              <w:pStyle w:val="20"/>
              <w:numPr>
                <w:ilvl w:val="0"/>
                <w:numId w:val="0"/>
              </w:numPr>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进行远程线上演示的，投标人应提前自行准备好演示的软硬配置环境和网络环境，做好演示的各项准备工作。因投标人自身原因无法演示或者演示效果不理想的，导致的后果由投标人自行承担；</w:t>
            </w:r>
          </w:p>
          <w:p>
            <w:pPr>
              <w:pStyle w:val="20"/>
              <w:spacing w:line="400" w:lineRule="exact"/>
              <w:outlineLvl w:val="9"/>
              <w:rPr>
                <w:rFonts w:ascii="仿宋" w:hAnsi="仿宋" w:eastAsia="仿宋" w:cs="仿宋"/>
                <w:color w:val="000000" w:themeColor="text1"/>
                <w:szCs w:val="24"/>
                <w:highlight w:val="none"/>
                <w:u w:val="singl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3.演示内容：</w:t>
            </w:r>
            <w:r>
              <w:rPr>
                <w:rFonts w:hint="eastAsia" w:ascii="仿宋" w:hAnsi="仿宋" w:eastAsia="仿宋" w:cs="仿宋"/>
                <w:color w:val="000000" w:themeColor="text1"/>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Cs w:val="24"/>
                <w:highlight w:val="none"/>
                <w:u w:val="single"/>
                <w14:textFill>
                  <w14:solidFill>
                    <w14:schemeClr w14:val="tx1"/>
                  </w14:solidFill>
                </w14:textFill>
              </w:rPr>
              <w:t>。</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4.进行现场演示的，演示人员不得超过</w:t>
            </w:r>
            <w:r>
              <w:rPr>
                <w:rFonts w:hint="eastAsia" w:ascii="仿宋" w:hAnsi="仿宋" w:eastAsia="仿宋" w:cs="仿宋"/>
                <w:color w:val="000000" w:themeColor="text1"/>
                <w:szCs w:val="24"/>
                <w:highlight w:val="none"/>
                <w:u w:val="single"/>
                <w14:textFill>
                  <w14:solidFill>
                    <w14:schemeClr w14:val="tx1"/>
                  </w14:solidFill>
                </w14:textFill>
              </w:rPr>
              <w:t xml:space="preserve"> / </w:t>
            </w:r>
            <w:r>
              <w:rPr>
                <w:rFonts w:hint="eastAsia" w:ascii="仿宋" w:hAnsi="仿宋" w:eastAsia="仿宋" w:cs="仿宋"/>
                <w:color w:val="000000" w:themeColor="text1"/>
                <w:szCs w:val="24"/>
                <w:highlight w:val="none"/>
                <w14:textFill>
                  <w14:solidFill>
                    <w14:schemeClr w14:val="tx1"/>
                  </w14:solidFill>
                </w14:textFill>
              </w:rPr>
              <w:t>人，演示现场提供</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25.3</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解密投标文件的时限</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不见面开标默认解密时长：</w:t>
            </w:r>
            <w:r>
              <w:rPr>
                <w:rFonts w:hint="eastAsia" w:ascii="仿宋" w:hAnsi="仿宋" w:eastAsia="仿宋" w:cs="仿宋"/>
                <w:color w:val="000000" w:themeColor="text1"/>
                <w:szCs w:val="24"/>
                <w:highlight w:val="none"/>
                <w:u w:val="single"/>
                <w14:textFill>
                  <w14:solidFill>
                    <w14:schemeClr w14:val="tx1"/>
                  </w14:solidFill>
                </w14:textFill>
              </w:rPr>
              <w:t xml:space="preserve"> 30 </w:t>
            </w:r>
            <w:r>
              <w:rPr>
                <w:rFonts w:hint="eastAsia" w:ascii="仿宋" w:hAnsi="仿宋" w:eastAsia="仿宋" w:cs="仿宋"/>
                <w:color w:val="000000" w:themeColor="text1"/>
                <w:szCs w:val="24"/>
                <w:highlight w:val="none"/>
                <w14:textFill>
                  <w14:solidFill>
                    <w14:schemeClr w14:val="tx1"/>
                  </w14:solidFill>
                </w14:textFill>
              </w:rPr>
              <w:t>分钟。</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除因交易平台发生故障导致投标文件无法按时解密外，投标文件未按时解密的，视为未按规定提交投标文件。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29.1</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评标方法</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综合评分法</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最低评标价法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29.3</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推荐中标候选人</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中标候选人数量</w:t>
            </w:r>
            <w:r>
              <w:rPr>
                <w:rFonts w:hint="eastAsia" w:ascii="仿宋" w:hAnsi="仿宋" w:eastAsia="仿宋" w:cs="仿宋"/>
                <w:color w:val="000000" w:themeColor="text1"/>
                <w:szCs w:val="24"/>
                <w:highlight w:val="none"/>
                <w:u w:val="single"/>
                <w14:textFill>
                  <w14:solidFill>
                    <w14:schemeClr w14:val="tx1"/>
                  </w14:solidFill>
                </w14:textFill>
              </w:rPr>
              <w:t xml:space="preserve"> 3 </w:t>
            </w:r>
            <w:r>
              <w:rPr>
                <w:rFonts w:hint="eastAsia" w:ascii="仿宋" w:hAnsi="仿宋" w:eastAsia="仿宋" w:cs="仿宋"/>
                <w:color w:val="000000" w:themeColor="text1"/>
                <w:szCs w:val="24"/>
                <w:highlight w:val="none"/>
                <w14:textFill>
                  <w14:solidFill>
                    <w14:schemeClr w14:val="tx1"/>
                  </w14:solidFill>
                </w14:textFill>
              </w:rPr>
              <w:t>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30.1</w:t>
            </w:r>
          </w:p>
        </w:tc>
        <w:tc>
          <w:tcPr>
            <w:tcW w:w="1871" w:type="dxa"/>
            <w:vAlign w:val="center"/>
          </w:tcPr>
          <w:p>
            <w:pPr>
              <w:pStyle w:val="20"/>
              <w:spacing w:line="400" w:lineRule="exact"/>
              <w:jc w:val="center"/>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确定中标人</w:t>
            </w:r>
          </w:p>
        </w:tc>
        <w:tc>
          <w:tcPr>
            <w:tcW w:w="6752" w:type="dxa"/>
            <w:vAlign w:val="center"/>
          </w:tcPr>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sym w:font="Wingdings" w:char="00A8"/>
            </w:r>
            <w:r>
              <w:rPr>
                <w:rFonts w:hint="eastAsia" w:ascii="仿宋" w:hAnsi="仿宋" w:eastAsia="仿宋" w:cs="仿宋"/>
                <w:color w:val="auto"/>
                <w:szCs w:val="24"/>
                <w:highlight w:val="none"/>
              </w:rPr>
              <w:t>采购人按评审报告中推荐的中标候选人排序确定中标人。</w:t>
            </w:r>
          </w:p>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sym w:font="Wingdings" w:char="00FE"/>
            </w:r>
            <w:r>
              <w:rPr>
                <w:rFonts w:hint="eastAsia" w:ascii="仿宋" w:hAnsi="仿宋" w:eastAsia="仿宋" w:cs="仿宋"/>
                <w:color w:val="auto"/>
                <w:szCs w:val="24"/>
                <w:highlight w:val="none"/>
              </w:rPr>
              <w:t>采购人委托评标委员会直接确定中标人。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30.2</w:t>
            </w:r>
          </w:p>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30.3</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提供相同品牌产品的不同投标人确定中标候选人的规定</w:t>
            </w:r>
          </w:p>
        </w:tc>
        <w:tc>
          <w:tcPr>
            <w:tcW w:w="6752" w:type="dxa"/>
            <w:vAlign w:val="center"/>
          </w:tcPr>
          <w:p>
            <w:pPr>
              <w:pStyle w:val="20"/>
              <w:spacing w:line="400" w:lineRule="exact"/>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kern w:val="0"/>
                <w:szCs w:val="24"/>
                <w:highlight w:val="none"/>
                <w:lang w:bidi="ar"/>
                <w14:textFill>
                  <w14:solidFill>
                    <w14:schemeClr w14:val="tx1"/>
                  </w14:solidFill>
                </w14:textFill>
              </w:rPr>
              <w:t>综合评分法的采购项目，提供相同品牌产品且通过资格审查、符合性审查的不同投标人参加同一合同项下投标的，按一家投标人计算，评审后得分相同的，按照</w:t>
            </w:r>
            <w:r>
              <w:rPr>
                <w:rFonts w:hint="eastAsia" w:ascii="仿宋" w:hAnsi="仿宋" w:eastAsia="仿宋" w:cs="仿宋"/>
                <w:color w:val="000000" w:themeColor="text1"/>
                <w:kern w:val="0"/>
                <w:szCs w:val="24"/>
                <w:highlight w:val="none"/>
                <w:u w:val="single"/>
                <w:lang w:bidi="ar"/>
                <w14:textFill>
                  <w14:solidFill>
                    <w14:schemeClr w14:val="tx1"/>
                  </w14:solidFill>
                </w14:textFill>
              </w:rPr>
              <w:t xml:space="preserve"> </w:t>
            </w:r>
            <w:r>
              <w:rPr>
                <w:rFonts w:hint="eastAsia" w:ascii="仿宋" w:hAnsi="仿宋" w:eastAsia="仿宋" w:cs="仿宋"/>
                <w:b/>
                <w:bCs/>
                <w:color w:val="000000" w:themeColor="text1"/>
                <w:kern w:val="0"/>
                <w:szCs w:val="24"/>
                <w:highlight w:val="none"/>
                <w:u w:val="single"/>
                <w:lang w:bidi="ar"/>
                <w14:textFill>
                  <w14:solidFill>
                    <w14:schemeClr w14:val="tx1"/>
                  </w14:solidFill>
                </w14:textFill>
              </w:rPr>
              <w:t>报价最低的</w:t>
            </w:r>
            <w:r>
              <w:rPr>
                <w:rFonts w:hint="eastAsia" w:ascii="仿宋" w:hAnsi="仿宋" w:eastAsia="仿宋" w:cs="仿宋"/>
                <w:color w:val="000000" w:themeColor="text1"/>
                <w:kern w:val="0"/>
                <w:szCs w:val="24"/>
                <w:highlight w:val="none"/>
                <w:u w:val="single"/>
                <w:lang w:bidi="ar"/>
                <w14:textFill>
                  <w14:solidFill>
                    <w14:schemeClr w14:val="tx1"/>
                  </w14:solidFill>
                </w14:textFill>
              </w:rPr>
              <w:t xml:space="preserve"> </w:t>
            </w:r>
            <w:r>
              <w:rPr>
                <w:rFonts w:hint="eastAsia" w:ascii="仿宋" w:hAnsi="仿宋" w:eastAsia="仿宋" w:cs="仿宋"/>
                <w:color w:val="000000" w:themeColor="text1"/>
                <w:kern w:val="0"/>
                <w:szCs w:val="24"/>
                <w:highlight w:val="none"/>
                <w:lang w:bidi="ar"/>
                <w14:textFill>
                  <w14:solidFill>
                    <w14:schemeClr w14:val="tx1"/>
                  </w14:solidFill>
                </w14:textFill>
              </w:rPr>
              <w:t>方式确定一个投标人获得中标人推荐资格，其他同品牌投标人不作为中标候选人。</w:t>
            </w:r>
          </w:p>
          <w:p>
            <w:pPr>
              <w:pStyle w:val="20"/>
              <w:spacing w:line="400" w:lineRule="exact"/>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kern w:val="0"/>
                <w:szCs w:val="24"/>
                <w:highlight w:val="none"/>
                <w:lang w:bidi="ar"/>
                <w14:textFill>
                  <w14:solidFill>
                    <w14:schemeClr w14:val="tx1"/>
                  </w14:solidFill>
                </w14:textFill>
              </w:rPr>
              <w:t>最低评标价法的采购项目，提供相同品牌产品的不同投标人参加同一合同项下投标的，以其中通过资格审查、符合性审查且报价最低的参加评标；报价相同的，按照</w:t>
            </w:r>
            <w:r>
              <w:rPr>
                <w:rFonts w:hint="eastAsia" w:ascii="仿宋" w:hAnsi="仿宋" w:eastAsia="仿宋" w:cs="仿宋"/>
                <w:color w:val="000000" w:themeColor="text1"/>
                <w:kern w:val="0"/>
                <w:szCs w:val="24"/>
                <w:highlight w:val="none"/>
                <w:u w:val="single"/>
                <w:lang w:bidi="ar"/>
                <w14:textFill>
                  <w14:solidFill>
                    <w14:schemeClr w14:val="tx1"/>
                  </w14:solidFill>
                </w14:textFill>
              </w:rPr>
              <w:t xml:space="preserve">     </w:t>
            </w:r>
            <w:r>
              <w:rPr>
                <w:rFonts w:hint="eastAsia" w:ascii="仿宋" w:hAnsi="仿宋" w:eastAsia="仿宋" w:cs="仿宋"/>
                <w:color w:val="000000" w:themeColor="text1"/>
                <w:kern w:val="0"/>
                <w:szCs w:val="24"/>
                <w:highlight w:val="none"/>
                <w:lang w:bidi="ar"/>
                <w14:textFill>
                  <w14:solidFill>
                    <w14:schemeClr w14:val="tx1"/>
                  </w14:solidFill>
                </w14:textFill>
              </w:rPr>
              <w:t>方式确定一个参加评标的投标人，其他投标无效。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33.1</w:t>
            </w:r>
          </w:p>
        </w:tc>
        <w:tc>
          <w:tcPr>
            <w:tcW w:w="1871" w:type="dxa"/>
            <w:vAlign w:val="center"/>
          </w:tcPr>
          <w:p>
            <w:pPr>
              <w:pStyle w:val="20"/>
              <w:spacing w:line="400" w:lineRule="exact"/>
              <w:jc w:val="center"/>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履约保证金</w:t>
            </w:r>
          </w:p>
        </w:tc>
        <w:tc>
          <w:tcPr>
            <w:tcW w:w="6752" w:type="dxa"/>
            <w:vAlign w:val="center"/>
          </w:tcPr>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1.金额：</w:t>
            </w:r>
          </w:p>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免收</w:t>
            </w:r>
          </w:p>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合同价的</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p>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□定额收取：人民币/元</w:t>
            </w:r>
          </w:p>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2.支付方式：</w:t>
            </w:r>
            <w:r>
              <w:rPr>
                <w:rFonts w:hint="eastAsia" w:ascii="仿宋" w:hAnsi="仿宋" w:eastAsia="仿宋" w:cs="仿宋"/>
                <w:color w:val="auto"/>
                <w:szCs w:val="24"/>
                <w:highlight w:val="none"/>
                <w:u w:val="single"/>
              </w:rPr>
              <w:t>投标人可自主选择以支票、汇票、本票、电汇、转账、网银、保函等非现金形式缴纳或提交保证金。</w:t>
            </w:r>
          </w:p>
          <w:p>
            <w:pPr>
              <w:pStyle w:val="20"/>
              <w:spacing w:line="440" w:lineRule="exact"/>
              <w:outlineLvl w:val="9"/>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3.收取单位：</w:t>
            </w:r>
            <w:r>
              <w:rPr>
                <w:rFonts w:hint="eastAsia" w:ascii="仿宋" w:hAnsi="仿宋" w:eastAsia="仿宋" w:cs="仿宋"/>
                <w:color w:val="auto"/>
                <w:highlight w:val="none"/>
                <w:u w:val="single"/>
                <w:lang w:eastAsia="zh-CN"/>
              </w:rPr>
              <w:t>新疆和田学院</w:t>
            </w:r>
          </w:p>
          <w:p>
            <w:pPr>
              <w:pStyle w:val="20"/>
              <w:spacing w:line="44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4.收取账号：</w:t>
            </w:r>
            <w:r>
              <w:rPr>
                <w:rFonts w:hint="eastAsia" w:ascii="仿宋" w:hAnsi="仿宋" w:eastAsia="仿宋" w:cs="仿宋"/>
                <w:color w:val="auto"/>
                <w:szCs w:val="24"/>
                <w:highlight w:val="none"/>
                <w:u w:val="single"/>
              </w:rPr>
              <w:t>在中标通知书发放后合同签订之前，中标人与采购人联系获取采购人账户信息</w:t>
            </w:r>
          </w:p>
          <w:p>
            <w:pPr>
              <w:pStyle w:val="20"/>
              <w:spacing w:line="440" w:lineRule="exact"/>
              <w:outlineLvl w:val="9"/>
              <w:rPr>
                <w:rFonts w:ascii="仿宋" w:hAnsi="仿宋" w:eastAsia="仿宋" w:cs="仿宋"/>
                <w:b/>
                <w:bCs/>
                <w:color w:val="auto"/>
                <w:szCs w:val="24"/>
                <w:highlight w:val="none"/>
              </w:rPr>
            </w:pPr>
            <w:r>
              <w:rPr>
                <w:rFonts w:hint="eastAsia" w:ascii="仿宋" w:hAnsi="仿宋" w:eastAsia="仿宋" w:cs="仿宋"/>
                <w:color w:val="auto"/>
                <w:szCs w:val="24"/>
                <w:highlight w:val="none"/>
              </w:rPr>
              <w:t>5.退还时间：</w:t>
            </w:r>
            <w:r>
              <w:rPr>
                <w:rFonts w:hint="eastAsia" w:ascii="仿宋" w:hAnsi="仿宋" w:eastAsia="仿宋" w:cs="仿宋"/>
                <w:color w:val="auto"/>
                <w:szCs w:val="24"/>
                <w:highlight w:val="none"/>
                <w:u w:val="single"/>
              </w:rPr>
              <w:t>合同履约完毕。</w:t>
            </w:r>
          </w:p>
          <w:p>
            <w:pPr>
              <w:pStyle w:val="20"/>
              <w:spacing w:line="400" w:lineRule="exact"/>
              <w:outlineLvl w:val="9"/>
              <w:rPr>
                <w:rFonts w:ascii="仿宋" w:hAnsi="仿宋" w:eastAsia="仿宋" w:cs="仿宋"/>
                <w:b/>
                <w:bCs/>
                <w:color w:val="auto"/>
                <w:szCs w:val="24"/>
                <w:highlight w:val="none"/>
              </w:rPr>
            </w:pPr>
            <w:r>
              <w:rPr>
                <w:rFonts w:hint="eastAsia" w:ascii="仿宋" w:hAnsi="仿宋" w:eastAsia="仿宋" w:cs="仿宋"/>
                <w:b/>
                <w:bCs/>
                <w:color w:val="auto"/>
                <w:szCs w:val="24"/>
                <w:highlight w:val="none"/>
              </w:rPr>
              <w:t>注意事项：</w:t>
            </w:r>
          </w:p>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1.以上各类机构出具的以担保函、保证保险承担责任的方式均须满足无条件见索即付条件。</w:t>
            </w:r>
          </w:p>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auto"/>
                <w:szCs w:val="24"/>
                <w:highlight w:val="none"/>
              </w:rPr>
              <w:t>2.以担保函、保证保险形式缴纳履约保证金的，受益人和收取单位须为采购人。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34.5</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中标后分包</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本项目的非主体、非关键性工作是否允许分包：</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不允许</w:t>
            </w:r>
          </w:p>
          <w:p>
            <w:pPr>
              <w:pStyle w:val="20"/>
              <w:keepNext w:val="0"/>
              <w:keepLines w:val="0"/>
              <w:pageBreakBefore w:val="0"/>
              <w:kinsoku/>
              <w:wordWrap/>
              <w:overflowPunct/>
              <w:topLinePunct w:val="0"/>
              <w:bidi w:val="0"/>
              <w:snapToGrid/>
              <w:spacing w:line="400" w:lineRule="exact"/>
              <w:textAlignment w:val="auto"/>
              <w:outlineLvl w:val="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□允许，具体要求：</w:t>
            </w:r>
          </w:p>
          <w:p>
            <w:pPr>
              <w:pStyle w:val="20"/>
              <w:keepNext w:val="0"/>
              <w:keepLines w:val="0"/>
              <w:pageBreakBefore w:val="0"/>
              <w:kinsoku/>
              <w:wordWrap/>
              <w:overflowPunct/>
              <w:topLinePunct w:val="0"/>
              <w:bidi w:val="0"/>
              <w:snapToGrid/>
              <w:spacing w:line="400" w:lineRule="exact"/>
              <w:textAlignment w:val="auto"/>
              <w:outlineLvl w:val="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1.可以分包履行的具体内容：</w:t>
            </w:r>
            <w:r>
              <w:rPr>
                <w:rFonts w:hint="eastAsia" w:ascii="仿宋" w:hAnsi="仿宋" w:eastAsia="仿宋" w:cs="仿宋"/>
                <w:b w:val="0"/>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w:t>
            </w:r>
          </w:p>
          <w:p>
            <w:pPr>
              <w:pStyle w:val="20"/>
              <w:spacing w:line="400" w:lineRule="exact"/>
              <w:outlineLvl w:val="9"/>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2.允许分包的金额或者比例：</w:t>
            </w:r>
            <w:r>
              <w:rPr>
                <w:rFonts w:hint="eastAsia" w:ascii="仿宋" w:hAnsi="仿宋" w:eastAsia="仿宋" w:cs="仿宋"/>
                <w:b w:val="0"/>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b w:val="0"/>
                <w:color w:val="000000" w:themeColor="text1"/>
                <w:sz w:val="24"/>
                <w:szCs w:val="24"/>
                <w:highlight w:val="none"/>
                <w:u w:val="single"/>
                <w:lang w:eastAsia="zh-CN"/>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35.1</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质疑</w:t>
            </w:r>
          </w:p>
        </w:tc>
        <w:tc>
          <w:tcPr>
            <w:tcW w:w="6752" w:type="dxa"/>
            <w:vAlign w:val="center"/>
          </w:tcPr>
          <w:p>
            <w:pPr>
              <w:pStyle w:val="29"/>
              <w:autoSpaceDE w:val="0"/>
              <w:autoSpaceDN w:val="0"/>
              <w:adjustRightInd w:val="0"/>
              <w:spacing w:line="400" w:lineRule="exact"/>
              <w:outlineLvl w:val="9"/>
              <w:rPr>
                <w:rFonts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递交方式：</w:t>
            </w:r>
            <w:r>
              <w:rPr>
                <w:rFonts w:hint="eastAsia" w:ascii="仿宋" w:hAnsi="仿宋" w:eastAsia="仿宋" w:cs="仿宋"/>
                <w:color w:val="000000" w:themeColor="text1"/>
                <w:sz w:val="24"/>
                <w:highlight w:val="none"/>
                <w:u w:val="single"/>
                <w:lang w:val="zh-CN"/>
                <w14:textFill>
                  <w14:solidFill>
                    <w14:schemeClr w14:val="tx1"/>
                  </w14:solidFill>
                </w14:textFill>
              </w:rPr>
              <w:t>书面形式递交</w:t>
            </w:r>
          </w:p>
          <w:p>
            <w:pPr>
              <w:pStyle w:val="29"/>
              <w:autoSpaceDE w:val="0"/>
              <w:autoSpaceDN w:val="0"/>
              <w:adjustRightInd w:val="0"/>
              <w:spacing w:line="400" w:lineRule="exact"/>
              <w:outlineLvl w:val="9"/>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接收部门：</w:t>
            </w:r>
            <w:r>
              <w:rPr>
                <w:rFonts w:hint="eastAsia" w:ascii="仿宋" w:hAnsi="仿宋" w:eastAsia="仿宋" w:cs="仿宋"/>
                <w:color w:val="000000" w:themeColor="text1"/>
                <w:sz w:val="24"/>
                <w:highlight w:val="none"/>
                <w:u w:val="single"/>
                <w:lang w:val="zh-CN"/>
                <w14:textFill>
                  <w14:solidFill>
                    <w14:schemeClr w14:val="tx1"/>
                  </w14:solidFill>
                </w14:textFill>
              </w:rPr>
              <w:t>新疆正元工程招标代理有限责任公司</w:t>
            </w:r>
          </w:p>
          <w:p>
            <w:pPr>
              <w:pStyle w:val="29"/>
              <w:autoSpaceDE w:val="0"/>
              <w:autoSpaceDN w:val="0"/>
              <w:adjustRightInd w:val="0"/>
              <w:spacing w:line="400" w:lineRule="exact"/>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联系电话：</w:t>
            </w:r>
            <w:r>
              <w:rPr>
                <w:rFonts w:hint="eastAsia" w:ascii="仿宋" w:hAnsi="仿宋" w:eastAsia="仿宋" w:cs="仿宋"/>
                <w:color w:val="000000" w:themeColor="text1"/>
                <w:sz w:val="24"/>
                <w:highlight w:val="none"/>
                <w:u w:val="single"/>
                <w:lang w:val="zh-CN"/>
                <w14:textFill>
                  <w14:solidFill>
                    <w14:schemeClr w14:val="tx1"/>
                  </w14:solidFill>
                </w14:textFill>
              </w:rPr>
              <w:t>0991-3722209</w:t>
            </w:r>
          </w:p>
          <w:p>
            <w:pPr>
              <w:pStyle w:val="29"/>
              <w:autoSpaceDE w:val="0"/>
              <w:autoSpaceDN w:val="0"/>
              <w:adjustRightInd w:val="0"/>
              <w:spacing w:line="400" w:lineRule="exact"/>
              <w:outlineLvl w:val="9"/>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通讯地址：</w:t>
            </w:r>
            <w:r>
              <w:rPr>
                <w:rFonts w:hint="eastAsia" w:ascii="仿宋" w:hAnsi="仿宋" w:eastAsia="仿宋" w:cs="仿宋"/>
                <w:color w:val="000000" w:themeColor="text1"/>
                <w:sz w:val="24"/>
                <w:highlight w:val="none"/>
                <w:u w:val="single"/>
                <w:lang w:val="zh-CN"/>
                <w14:textFill>
                  <w14:solidFill>
                    <w14:schemeClr w14:val="tx1"/>
                  </w14:solidFill>
                </w14:textFill>
              </w:rPr>
              <w:t>新疆乌鲁木齐市维泰北路616号建咨大厦12楼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38.1</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采购代理服务费</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1.收费对象：</w:t>
            </w: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 xml:space="preserve">采购人支付 </w:t>
            </w: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中标人支付</w:t>
            </w:r>
          </w:p>
          <w:p>
            <w:pPr>
              <w:pStyle w:val="20"/>
              <w:spacing w:line="400" w:lineRule="exact"/>
              <w:outlineLvl w:val="9"/>
              <w:rPr>
                <w:rFonts w:ascii="仿宋" w:hAnsi="仿宋" w:eastAsia="仿宋" w:cs="仿宋"/>
                <w:color w:val="000000" w:themeColor="text1"/>
                <w:szCs w:val="24"/>
                <w:highlight w:val="none"/>
                <w:u w:val="singl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2.收费标准：</w:t>
            </w:r>
            <w:r>
              <w:rPr>
                <w:rFonts w:hint="eastAsia" w:ascii="仿宋" w:hAnsi="仿宋" w:eastAsia="仿宋" w:cs="仿宋"/>
                <w:color w:val="000000" w:themeColor="text1"/>
                <w:szCs w:val="24"/>
                <w:highlight w:val="none"/>
                <w:u w:val="single"/>
                <w14:textFill>
                  <w14:solidFill>
                    <w14:schemeClr w14:val="tx1"/>
                  </w14:solidFill>
                </w14:textFill>
              </w:rPr>
              <w:t>以</w:t>
            </w:r>
            <w:r>
              <w:rPr>
                <w:rFonts w:hint="eastAsia" w:ascii="仿宋" w:hAnsi="仿宋" w:eastAsia="仿宋" w:cs="仿宋"/>
                <w:color w:val="000000" w:themeColor="text1"/>
                <w:szCs w:val="24"/>
                <w:highlight w:val="none"/>
                <w:u w:val="single"/>
                <w:lang w:val="en-US" w:eastAsia="zh-CN"/>
                <w14:textFill>
                  <w14:solidFill>
                    <w14:schemeClr w14:val="tx1"/>
                  </w14:solidFill>
                </w14:textFill>
              </w:rPr>
              <w:t>项目中标金额</w:t>
            </w:r>
            <w:r>
              <w:rPr>
                <w:rFonts w:hint="eastAsia" w:ascii="仿宋" w:hAnsi="仿宋" w:eastAsia="仿宋" w:cs="仿宋"/>
                <w:color w:val="000000" w:themeColor="text1"/>
                <w:szCs w:val="24"/>
                <w:highlight w:val="none"/>
                <w:u w:val="single"/>
                <w14:textFill>
                  <w14:solidFill>
                    <w14:schemeClr w14:val="tx1"/>
                  </w14:solidFill>
                </w14:textFill>
              </w:rPr>
              <w:t>为计算基数，参照国家计委计价格〔2002〕1980号、发改办价格〔2003〕857号、发改价格〔2011〕534号文执行。</w:t>
            </w:r>
          </w:p>
          <w:p>
            <w:pPr>
              <w:pStyle w:val="20"/>
              <w:spacing w:line="400" w:lineRule="exact"/>
              <w:outlineLvl w:val="9"/>
              <w:rPr>
                <w:rFonts w:ascii="仿宋" w:hAnsi="仿宋" w:eastAsia="仿宋" w:cs="仿宋"/>
                <w:color w:val="000000" w:themeColor="text1"/>
                <w:szCs w:val="24"/>
                <w:highlight w:val="none"/>
                <w:u w:val="singl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3.收取时间：</w:t>
            </w:r>
            <w:r>
              <w:rPr>
                <w:rFonts w:hint="eastAsia" w:ascii="仿宋" w:hAnsi="仿宋" w:eastAsia="仿宋" w:cs="仿宋"/>
                <w:color w:val="000000" w:themeColor="text1"/>
                <w:szCs w:val="24"/>
                <w:highlight w:val="none"/>
                <w:u w:val="single"/>
                <w14:textFill>
                  <w14:solidFill>
                    <w14:schemeClr w14:val="tx1"/>
                  </w14:solidFill>
                </w14:textFill>
              </w:rPr>
              <w:t>在中标通知书核发前向采购代理机构支付采购代理服务费。</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4.收取方式：</w:t>
            </w:r>
            <w:r>
              <w:rPr>
                <w:rFonts w:hint="eastAsia" w:ascii="仿宋" w:hAnsi="仿宋" w:eastAsia="仿宋" w:cs="仿宋"/>
                <w:color w:val="000000" w:themeColor="text1"/>
                <w:szCs w:val="24"/>
                <w:highlight w:val="none"/>
                <w:u w:val="single"/>
                <w14:textFill>
                  <w14:solidFill>
                    <w14:schemeClr w14:val="tx1"/>
                  </w14:solidFill>
                </w14:textFill>
              </w:rPr>
              <w:t>银行转账。</w:t>
            </w:r>
          </w:p>
          <w:tbl>
            <w:tblPr>
              <w:tblStyle w:val="14"/>
              <w:tblW w:w="5880" w:type="dxa"/>
              <w:jc w:val="center"/>
              <w:tblLayout w:type="fixed"/>
              <w:tblCellMar>
                <w:top w:w="0" w:type="dxa"/>
                <w:left w:w="108" w:type="dxa"/>
                <w:bottom w:w="0" w:type="dxa"/>
                <w:right w:w="108" w:type="dxa"/>
              </w:tblCellMar>
            </w:tblPr>
            <w:tblGrid>
              <w:gridCol w:w="1708"/>
              <w:gridCol w:w="1480"/>
              <w:gridCol w:w="1431"/>
              <w:gridCol w:w="1261"/>
            </w:tblGrid>
            <w:tr>
              <w:tblPrEx>
                <w:tblCellMar>
                  <w:top w:w="0" w:type="dxa"/>
                  <w:left w:w="108" w:type="dxa"/>
                  <w:bottom w:w="0" w:type="dxa"/>
                  <w:right w:w="108" w:type="dxa"/>
                </w:tblCellMar>
              </w:tblPrEx>
              <w:trPr>
                <w:trHeight w:val="355" w:hRule="atLeast"/>
                <w:jc w:val="center"/>
              </w:trPr>
              <w:tc>
                <w:tcPr>
                  <w:tcW w:w="5880" w:type="dxa"/>
                  <w:gridSpan w:val="4"/>
                  <w:tcBorders>
                    <w:top w:val="nil"/>
                    <w:left w:val="nil"/>
                    <w:bottom w:val="nil"/>
                    <w:right w:val="nil"/>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14:textFill>
                        <w14:solidFill>
                          <w14:schemeClr w14:val="tx1"/>
                        </w14:solidFill>
                      </w14:textFill>
                    </w:rPr>
                    <w:t>代理服务收取标准（费率）</w:t>
                  </w:r>
                </w:p>
              </w:tc>
            </w:tr>
            <w:tr>
              <w:tblPrEx>
                <w:tblCellMar>
                  <w:top w:w="0" w:type="dxa"/>
                  <w:left w:w="108" w:type="dxa"/>
                  <w:bottom w:w="0" w:type="dxa"/>
                  <w:right w:w="108" w:type="dxa"/>
                </w:tblCellMar>
              </w:tblPrEx>
              <w:trPr>
                <w:trHeight w:val="522" w:hRule="atLeast"/>
                <w:jc w:val="center"/>
              </w:trPr>
              <w:tc>
                <w:tcPr>
                  <w:tcW w:w="1708" w:type="dxa"/>
                  <w:tcBorders>
                    <w:top w:val="single" w:color="000000" w:sz="4" w:space="0"/>
                    <w:left w:val="single" w:color="000000" w:sz="4" w:space="0"/>
                    <w:bottom w:val="single" w:color="auto" w:sz="4" w:space="0"/>
                    <w:right w:val="single" w:color="000000"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中标金额（万元）</w:t>
                  </w:r>
                </w:p>
              </w:tc>
              <w:tc>
                <w:tcPr>
                  <w:tcW w:w="1480" w:type="dxa"/>
                  <w:tcBorders>
                    <w:top w:val="single" w:color="000000" w:sz="4" w:space="0"/>
                    <w:left w:val="single" w:color="000000" w:sz="4" w:space="0"/>
                    <w:bottom w:val="single" w:color="auto" w:sz="4" w:space="0"/>
                    <w:right w:val="single" w:color="000000"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货物招标</w:t>
                  </w:r>
                </w:p>
              </w:tc>
              <w:tc>
                <w:tcPr>
                  <w:tcW w:w="1431" w:type="dxa"/>
                  <w:tcBorders>
                    <w:top w:val="single" w:color="000000" w:sz="4" w:space="0"/>
                    <w:left w:val="single" w:color="000000" w:sz="4" w:space="0"/>
                    <w:bottom w:val="single" w:color="auto" w:sz="4" w:space="0"/>
                    <w:right w:val="single" w:color="000000"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服务招标</w:t>
                  </w:r>
                </w:p>
              </w:tc>
              <w:tc>
                <w:tcPr>
                  <w:tcW w:w="1261" w:type="dxa"/>
                  <w:tcBorders>
                    <w:top w:val="single" w:color="000000" w:sz="4" w:space="0"/>
                    <w:left w:val="single" w:color="000000" w:sz="4" w:space="0"/>
                    <w:bottom w:val="single" w:color="auto" w:sz="4" w:space="0"/>
                    <w:right w:val="single" w:color="000000"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工程招标</w:t>
                  </w:r>
                </w:p>
              </w:tc>
            </w:tr>
            <w:tr>
              <w:tblPrEx>
                <w:tblCellMar>
                  <w:top w:w="0" w:type="dxa"/>
                  <w:left w:w="108" w:type="dxa"/>
                  <w:bottom w:w="0" w:type="dxa"/>
                  <w:right w:w="108" w:type="dxa"/>
                </w:tblCellMar>
              </w:tblPrEx>
              <w:trPr>
                <w:trHeight w:val="364" w:hRule="atLeast"/>
                <w:jc w:val="center"/>
              </w:trPr>
              <w:tc>
                <w:tcPr>
                  <w:tcW w:w="1708"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100以下</w:t>
                  </w: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1.50%</w:t>
                  </w:r>
                </w:p>
              </w:tc>
              <w:tc>
                <w:tcPr>
                  <w:tcW w:w="1431"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1.50%</w:t>
                  </w:r>
                </w:p>
              </w:tc>
              <w:tc>
                <w:tcPr>
                  <w:tcW w:w="1261"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1.00%</w:t>
                  </w:r>
                </w:p>
              </w:tc>
            </w:tr>
            <w:tr>
              <w:tblPrEx>
                <w:tblCellMar>
                  <w:top w:w="0" w:type="dxa"/>
                  <w:left w:w="108" w:type="dxa"/>
                  <w:bottom w:w="0" w:type="dxa"/>
                  <w:right w:w="108" w:type="dxa"/>
                </w:tblCellMar>
              </w:tblPrEx>
              <w:trPr>
                <w:trHeight w:val="364" w:hRule="atLeast"/>
                <w:jc w:val="center"/>
              </w:trPr>
              <w:tc>
                <w:tcPr>
                  <w:tcW w:w="1708"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100-500</w:t>
                  </w: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1.10%</w:t>
                  </w:r>
                </w:p>
              </w:tc>
              <w:tc>
                <w:tcPr>
                  <w:tcW w:w="1431"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0.80%</w:t>
                  </w:r>
                </w:p>
              </w:tc>
              <w:tc>
                <w:tcPr>
                  <w:tcW w:w="1261"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0.70%</w:t>
                  </w:r>
                </w:p>
              </w:tc>
            </w:tr>
            <w:tr>
              <w:tblPrEx>
                <w:tblCellMar>
                  <w:top w:w="0" w:type="dxa"/>
                  <w:left w:w="108" w:type="dxa"/>
                  <w:bottom w:w="0" w:type="dxa"/>
                  <w:right w:w="108" w:type="dxa"/>
                </w:tblCellMar>
              </w:tblPrEx>
              <w:trPr>
                <w:trHeight w:val="364" w:hRule="atLeast"/>
                <w:jc w:val="center"/>
              </w:trPr>
              <w:tc>
                <w:tcPr>
                  <w:tcW w:w="1708"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500-1000</w:t>
                  </w: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0.80%</w:t>
                  </w:r>
                </w:p>
              </w:tc>
              <w:tc>
                <w:tcPr>
                  <w:tcW w:w="1431"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0.45%</w:t>
                  </w:r>
                </w:p>
              </w:tc>
              <w:tc>
                <w:tcPr>
                  <w:tcW w:w="1261"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0.55%</w:t>
                  </w:r>
                </w:p>
              </w:tc>
            </w:tr>
            <w:tr>
              <w:tblPrEx>
                <w:tblCellMar>
                  <w:top w:w="0" w:type="dxa"/>
                  <w:left w:w="108" w:type="dxa"/>
                  <w:bottom w:w="0" w:type="dxa"/>
                  <w:right w:w="108" w:type="dxa"/>
                </w:tblCellMar>
              </w:tblPrEx>
              <w:trPr>
                <w:trHeight w:val="373" w:hRule="atLeast"/>
                <w:jc w:val="center"/>
              </w:trPr>
              <w:tc>
                <w:tcPr>
                  <w:tcW w:w="1708"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1000-5000</w:t>
                  </w:r>
                </w:p>
              </w:tc>
              <w:tc>
                <w:tcPr>
                  <w:tcW w:w="1480"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0.50%</w:t>
                  </w:r>
                </w:p>
              </w:tc>
              <w:tc>
                <w:tcPr>
                  <w:tcW w:w="1431"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0.25%</w:t>
                  </w:r>
                </w:p>
              </w:tc>
              <w:tc>
                <w:tcPr>
                  <w:tcW w:w="1261" w:type="dxa"/>
                  <w:tcBorders>
                    <w:top w:val="single" w:color="auto" w:sz="4" w:space="0"/>
                    <w:left w:val="single" w:color="auto" w:sz="4" w:space="0"/>
                    <w:bottom w:val="single" w:color="auto" w:sz="4" w:space="0"/>
                    <w:right w:val="single" w:color="auto" w:sz="4" w:space="0"/>
                  </w:tcBorders>
                  <w:noWrap/>
                  <w:vAlign w:val="center"/>
                </w:tcPr>
                <w:p>
                  <w:pPr>
                    <w:pStyle w:val="20"/>
                    <w:spacing w:line="4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0.35%</w:t>
                  </w:r>
                </w:p>
              </w:tc>
            </w:tr>
          </w:tbl>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hint="eastAsia"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41.1</w:t>
            </w:r>
          </w:p>
        </w:tc>
        <w:tc>
          <w:tcPr>
            <w:tcW w:w="1871" w:type="dxa"/>
            <w:vAlign w:val="center"/>
          </w:tcPr>
          <w:p>
            <w:pPr>
              <w:pStyle w:val="20"/>
              <w:spacing w:line="400" w:lineRule="exact"/>
              <w:jc w:val="center"/>
              <w:outlineLvl w:val="9"/>
              <w:rPr>
                <w:rFonts w:hint="eastAsia"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zh-CN" w:eastAsia="zh-CN"/>
                <w14:textFill>
                  <w14:solidFill>
                    <w14:schemeClr w14:val="tx1"/>
                  </w14:solidFill>
                </w14:textFill>
              </w:rPr>
              <w:t>支持本国产品政策</w:t>
            </w:r>
          </w:p>
        </w:tc>
        <w:tc>
          <w:tcPr>
            <w:tcW w:w="6752" w:type="dxa"/>
            <w:vAlign w:val="center"/>
          </w:tcPr>
          <w:p>
            <w:pPr>
              <w:pStyle w:val="20"/>
              <w:spacing w:line="400" w:lineRule="exact"/>
              <w:jc w:val="left"/>
              <w:outlineLvl w:val="9"/>
              <w:rPr>
                <w:rFonts w:hint="eastAsia"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对符合本国产品标准的，依法对本国产品给予价格评审优惠，用扣除后的价格参与评审。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41.</w:t>
            </w:r>
            <w:r>
              <w:rPr>
                <w:rFonts w:hint="eastAsia" w:ascii="仿宋" w:hAnsi="仿宋" w:eastAsia="仿宋" w:cs="仿宋"/>
                <w:color w:val="000000" w:themeColor="text1"/>
                <w:szCs w:val="24"/>
                <w:highlight w:val="none"/>
                <w:lang w:val="en-US" w:eastAsia="zh-CN"/>
                <w14:textFill>
                  <w14:solidFill>
                    <w14:schemeClr w14:val="tx1"/>
                  </w14:solidFill>
                </w14:textFill>
              </w:rPr>
              <w:t>2</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val="zh-CN"/>
                <w14:textFill>
                  <w14:solidFill>
                    <w14:schemeClr w14:val="tx1"/>
                  </w14:solidFill>
                </w14:textFill>
              </w:rPr>
              <w:t>是否接受进口产品</w:t>
            </w:r>
          </w:p>
        </w:tc>
        <w:tc>
          <w:tcPr>
            <w:tcW w:w="6752" w:type="dxa"/>
            <w:vAlign w:val="center"/>
          </w:tcPr>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不接受</w:t>
            </w:r>
          </w:p>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lang w:val="zh-CN"/>
                <w14:textFill>
                  <w14:solidFill>
                    <w14:schemeClr w14:val="tx1"/>
                  </w14:solidFill>
                </w14:textFill>
              </w:rPr>
              <w:t>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42</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支持中小企业政策</w:t>
            </w:r>
          </w:p>
        </w:tc>
        <w:tc>
          <w:tcPr>
            <w:tcW w:w="6752" w:type="dxa"/>
            <w:vAlign w:val="center"/>
          </w:tcPr>
          <w:p>
            <w:pPr>
              <w:pStyle w:val="30"/>
              <w:widowControl w:val="0"/>
              <w:spacing w:before="0" w:beforeAutospacing="0" w:after="0" w:afterAutospacing="0" w:line="400" w:lineRule="exact"/>
              <w:jc w:val="both"/>
              <w:outlineLvl w:val="9"/>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1.小型和微型企业价格扣除：</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u w:val="single"/>
                <w:lang w:val="en-US" w:eastAsia="zh-CN"/>
              </w:rPr>
              <w:t>10%</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w:t>
            </w:r>
          </w:p>
          <w:p>
            <w:pPr>
              <w:pStyle w:val="30"/>
              <w:widowControl w:val="0"/>
              <w:spacing w:before="0" w:beforeAutospacing="0" w:after="0" w:afterAutospacing="0" w:line="400" w:lineRule="exact"/>
              <w:jc w:val="both"/>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2.监狱企业价格扣除：同小型和微型企业。</w:t>
            </w:r>
          </w:p>
          <w:p>
            <w:pPr>
              <w:pStyle w:val="30"/>
              <w:widowControl w:val="0"/>
              <w:spacing w:before="0" w:beforeAutospacing="0" w:after="0" w:afterAutospacing="0" w:line="400" w:lineRule="exact"/>
              <w:jc w:val="both"/>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3.残疾人福利性单位价格扣除：同小型和微型企业。</w:t>
            </w:r>
          </w:p>
          <w:p>
            <w:pPr>
              <w:pStyle w:val="30"/>
              <w:widowControl w:val="0"/>
              <w:spacing w:before="0" w:beforeAutospacing="0" w:after="0" w:afterAutospacing="0" w:line="400" w:lineRule="exact"/>
              <w:jc w:val="both"/>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4.符合条件的联合体价格扣除：</w:t>
            </w:r>
            <w:r>
              <w:rPr>
                <w:rFonts w:hint="eastAsia" w:ascii="仿宋" w:hAnsi="仿宋" w:eastAsia="仿宋" w:cs="仿宋"/>
                <w:b w:val="0"/>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b w:val="0"/>
                <w:color w:val="000000" w:themeColor="text1"/>
                <w:sz w:val="24"/>
                <w:szCs w:val="24"/>
                <w:highlight w:val="none"/>
                <w14:textFill>
                  <w14:solidFill>
                    <w14:schemeClr w14:val="tx1"/>
                  </w14:solidFill>
                </w14:textFill>
              </w:rPr>
              <w:t>。</w:t>
            </w:r>
          </w:p>
          <w:p>
            <w:pPr>
              <w:pStyle w:val="30"/>
              <w:widowControl w:val="0"/>
              <w:spacing w:before="0" w:beforeAutospacing="0" w:after="0" w:afterAutospacing="0" w:line="400" w:lineRule="exact"/>
              <w:jc w:val="both"/>
              <w:outlineLvl w:val="9"/>
              <w:rPr>
                <w:rFonts w:ascii="仿宋" w:hAnsi="仿宋" w:eastAsia="仿宋" w:cs="仿宋"/>
                <w:b w:val="0"/>
                <w:iCs/>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5.符合条件的向小微企业分包的大中型企业价格扣除：</w:t>
            </w:r>
            <w:r>
              <w:rPr>
                <w:rFonts w:hint="eastAsia" w:ascii="仿宋" w:hAnsi="仿宋" w:eastAsia="仿宋" w:cs="仿宋"/>
                <w:b w:val="0"/>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b w:val="0"/>
                <w:color w:val="000000" w:themeColor="text1"/>
                <w:sz w:val="24"/>
                <w:szCs w:val="24"/>
                <w:highlight w:val="none"/>
                <w14:textFill>
                  <w14:solidFill>
                    <w14:schemeClr w14:val="tx1"/>
                  </w14:solidFill>
                </w14:textFill>
              </w:rPr>
              <w:t>。</w:t>
            </w:r>
            <w:r>
              <w:rPr>
                <w:rFonts w:hint="eastAsia" w:ascii="仿宋" w:hAnsi="仿宋" w:eastAsia="仿宋" w:cs="仿宋"/>
                <w:b w:val="0"/>
                <w:iCs/>
                <w:color w:val="000000" w:themeColor="text1"/>
                <w:sz w:val="24"/>
                <w:szCs w:val="24"/>
                <w:highlight w:val="none"/>
                <w14:textFill>
                  <w14:solidFill>
                    <w14:schemeClr w14:val="tx1"/>
                  </w14:solidFill>
                </w14:textFill>
              </w:rPr>
              <w:t>（允许大中型企业向小微企业分包的项目适用）</w:t>
            </w:r>
          </w:p>
          <w:p>
            <w:pPr>
              <w:pStyle w:val="30"/>
              <w:widowControl w:val="0"/>
              <w:spacing w:before="0" w:beforeAutospacing="0" w:after="0" w:afterAutospacing="0" w:line="400" w:lineRule="exact"/>
              <w:jc w:val="both"/>
              <w:outlineLvl w:val="9"/>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iCs/>
                <w:color w:val="000000" w:themeColor="text1"/>
                <w:sz w:val="24"/>
                <w:szCs w:val="24"/>
                <w:highlight w:val="none"/>
                <w14:textFill>
                  <w14:solidFill>
                    <w14:schemeClr w14:val="tx1"/>
                  </w14:solidFill>
                </w14:textFill>
              </w:rPr>
              <w:t>注：</w:t>
            </w:r>
            <w:r>
              <w:rPr>
                <w:rFonts w:hint="eastAsia" w:ascii="仿宋" w:hAnsi="仿宋" w:eastAsia="仿宋" w:cs="仿宋"/>
                <w:b w:val="0"/>
                <w:color w:val="000000" w:themeColor="text1"/>
                <w:sz w:val="24"/>
                <w:szCs w:val="24"/>
                <w:highlight w:val="none"/>
                <w14:textFill>
                  <w14:solidFill>
                    <w14:schemeClr w14:val="tx1"/>
                  </w14:solidFill>
                </w14:textFill>
              </w:rPr>
              <w:t>本次投标人提供的货物由中小企业制造，即货物由中小企业 生产且使用该中小企业商号或者注册商标；供应商提供的货物 既有中小企业制造货物，也有大型企业制造货物的，不享受本办法规定的中小企业扶持政策。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42.5</w:t>
            </w:r>
          </w:p>
        </w:tc>
        <w:tc>
          <w:tcPr>
            <w:tcW w:w="1871" w:type="dxa"/>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标的所属行业</w:t>
            </w:r>
            <w:r>
              <w:rPr>
                <w:rStyle w:val="17"/>
                <w:rFonts w:hint="eastAsia" w:ascii="仿宋" w:hAnsi="仿宋" w:eastAsia="仿宋" w:cs="仿宋"/>
                <w:b w:val="0"/>
                <w:color w:val="000000" w:themeColor="text1"/>
                <w:szCs w:val="24"/>
                <w:highlight w:val="none"/>
                <w14:textFill>
                  <w14:solidFill>
                    <w14:schemeClr w14:val="tx1"/>
                  </w14:solidFill>
                </w14:textFill>
              </w:rPr>
              <w:t>参照后附《工信部联企业〔2011〕300号》</w:t>
            </w:r>
          </w:p>
        </w:tc>
        <w:tc>
          <w:tcPr>
            <w:tcW w:w="6752" w:type="dxa"/>
            <w:vAlign w:val="center"/>
          </w:tcPr>
          <w:p>
            <w:pPr>
              <w:widowControl/>
              <w:spacing w:line="40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本项目采购标的对应的中小企业划分标准所属行业：</w:t>
            </w:r>
          </w:p>
          <w:tbl>
            <w:tblPr>
              <w:tblStyle w:val="15"/>
              <w:tblW w:w="5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3"/>
              <w:gridCol w:w="2684"/>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9" w:hRule="atLeast"/>
                <w:jc w:val="center"/>
              </w:trPr>
              <w:tc>
                <w:tcPr>
                  <w:tcW w:w="753" w:type="dxa"/>
                  <w:shd w:val="clear" w:color="auto" w:fill="auto"/>
                  <w:vAlign w:val="center"/>
                </w:tcPr>
                <w:p>
                  <w:pPr>
                    <w:widowControl/>
                    <w:spacing w:line="240" w:lineRule="auto"/>
                    <w:jc w:val="center"/>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序号</w:t>
                  </w:r>
                </w:p>
              </w:tc>
              <w:tc>
                <w:tcPr>
                  <w:tcW w:w="2684" w:type="dxa"/>
                  <w:shd w:val="clear" w:color="auto" w:fill="auto"/>
                  <w:vAlign w:val="center"/>
                </w:tcPr>
                <w:p>
                  <w:pPr>
                    <w:widowControl/>
                    <w:spacing w:line="240" w:lineRule="auto"/>
                    <w:jc w:val="center"/>
                    <w:outlineLvl w:val="9"/>
                    <w:rPr>
                      <w:rFonts w:ascii="仿宋" w:hAnsi="仿宋" w:eastAsia="仿宋" w:cs="仿宋"/>
                      <w:color w:val="000000" w:themeColor="text1"/>
                      <w:kern w:val="0"/>
                      <w:sz w:val="21"/>
                      <w:szCs w:val="21"/>
                      <w:highlight w:val="none"/>
                      <w:lang w:bidi="ar"/>
                      <w14:textFill>
                        <w14:solidFill>
                          <w14:schemeClr w14:val="tx1"/>
                        </w14:solidFill>
                      </w14:textFill>
                    </w:rPr>
                  </w:pPr>
                  <w:r>
                    <w:rPr>
                      <w:rFonts w:hint="eastAsia" w:ascii="仿宋" w:hAnsi="仿宋" w:eastAsia="仿宋" w:cs="仿宋"/>
                      <w:color w:val="000000" w:themeColor="text1"/>
                      <w:kern w:val="0"/>
                      <w:sz w:val="21"/>
                      <w:szCs w:val="21"/>
                      <w:highlight w:val="none"/>
                      <w:lang w:bidi="ar"/>
                      <w14:textFill>
                        <w14:solidFill>
                          <w14:schemeClr w14:val="tx1"/>
                        </w14:solidFill>
                      </w14:textFill>
                    </w:rPr>
                    <w:t>标的名称</w:t>
                  </w:r>
                </w:p>
              </w:tc>
              <w:tc>
                <w:tcPr>
                  <w:tcW w:w="1901" w:type="dxa"/>
                  <w:shd w:val="clear" w:color="auto" w:fill="auto"/>
                  <w:vAlign w:val="center"/>
                </w:tcPr>
                <w:p>
                  <w:pPr>
                    <w:widowControl/>
                    <w:spacing w:line="240" w:lineRule="auto"/>
                    <w:jc w:val="center"/>
                    <w:outlineLvl w:val="9"/>
                    <w:rPr>
                      <w:rFonts w:hint="eastAsia" w:ascii="仿宋" w:hAnsi="仿宋" w:eastAsia="仿宋" w:cs="仿宋"/>
                      <w:color w:val="000000" w:themeColor="text1"/>
                      <w:kern w:val="0"/>
                      <w:sz w:val="21"/>
                      <w:szCs w:val="21"/>
                      <w:highlight w:val="none"/>
                      <w:lang w:bidi="ar"/>
                      <w14:textFill>
                        <w14:solidFill>
                          <w14:schemeClr w14:val="tx1"/>
                        </w14:solidFill>
                      </w14:textFill>
                    </w:rPr>
                  </w:pPr>
                  <w:r>
                    <w:rPr>
                      <w:rFonts w:hint="eastAsia" w:ascii="仿宋" w:hAnsi="仿宋" w:eastAsia="仿宋" w:cs="仿宋"/>
                      <w:color w:val="000000" w:themeColor="text1"/>
                      <w:kern w:val="0"/>
                      <w:sz w:val="21"/>
                      <w:szCs w:val="21"/>
                      <w:highlight w:val="none"/>
                      <w:lang w:bidi="ar"/>
                      <w14:textFill>
                        <w14:solidFill>
                          <w14:schemeClr w14:val="tx1"/>
                        </w14:solidFill>
                      </w14:textFill>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753" w:type="dxa"/>
                  <w:shd w:val="clear" w:color="auto" w:fill="auto"/>
                  <w:vAlign w:val="center"/>
                </w:tcPr>
                <w:p>
                  <w:pPr>
                    <w:widowControl/>
                    <w:spacing w:line="240" w:lineRule="auto"/>
                    <w:jc w:val="center"/>
                    <w:textAlignment w:val="center"/>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p>
              </w:tc>
              <w:tc>
                <w:tcPr>
                  <w:tcW w:w="2684" w:type="dxa"/>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sz w:val="21"/>
                      <w:szCs w:val="21"/>
                      <w:highlight w:val="none"/>
                    </w:rPr>
                    <w:t>通用型普通车床</w:t>
                  </w:r>
                </w:p>
              </w:tc>
              <w:tc>
                <w:tcPr>
                  <w:tcW w:w="1901" w:type="dxa"/>
                  <w:shd w:val="clear" w:color="auto" w:fill="auto"/>
                  <w:vAlign w:val="center"/>
                </w:tcPr>
                <w:p>
                  <w:pPr>
                    <w:keepNext w:val="0"/>
                    <w:keepLines w:val="0"/>
                    <w:pageBreakBefore w:val="0"/>
                    <w:widowControl/>
                    <w:suppressLineNumbers w:val="0"/>
                    <w:shd w:val="clear"/>
                    <w:kinsoku/>
                    <w:wordWrap/>
                    <w:overflowPunct/>
                    <w:topLinePunct w:val="0"/>
                    <w:bidi w:val="0"/>
                    <w:snapToGrid/>
                    <w:spacing w:line="240" w:lineRule="auto"/>
                    <w:jc w:val="center"/>
                    <w:textAlignment w:val="auto"/>
                    <w:outlineLvl w:val="9"/>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753" w:type="dxa"/>
                  <w:shd w:val="clear" w:color="auto" w:fill="auto"/>
                  <w:vAlign w:val="center"/>
                </w:tcPr>
                <w:p>
                  <w:pPr>
                    <w:widowControl/>
                    <w:spacing w:line="240" w:lineRule="auto"/>
                    <w:jc w:val="center"/>
                    <w:textAlignment w:val="center"/>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c>
                <w:tcPr>
                  <w:tcW w:w="2684" w:type="dxa"/>
                  <w:shd w:val="clear" w:color="auto" w:fill="auto"/>
                  <w:vAlign w:val="center"/>
                </w:tcPr>
                <w:p>
                  <w:pPr>
                    <w:widowControl/>
                    <w:spacing w:line="240" w:lineRule="auto"/>
                    <w:jc w:val="center"/>
                    <w:textAlignment w:val="center"/>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通用型立铣床</w:t>
                  </w:r>
                </w:p>
              </w:tc>
              <w:tc>
                <w:tcPr>
                  <w:tcW w:w="1901" w:type="dxa"/>
                  <w:shd w:val="clear" w:color="auto" w:fill="auto"/>
                  <w:vAlign w:val="center"/>
                </w:tcPr>
                <w:p>
                  <w:pPr>
                    <w:keepNext w:val="0"/>
                    <w:keepLines w:val="0"/>
                    <w:pageBreakBefore w:val="0"/>
                    <w:widowControl/>
                    <w:suppressLineNumbers w:val="0"/>
                    <w:shd w:val="clear"/>
                    <w:kinsoku/>
                    <w:wordWrap/>
                    <w:overflowPunct/>
                    <w:topLinePunct w:val="0"/>
                    <w:bidi w:val="0"/>
                    <w:snapToGrid/>
                    <w:spacing w:line="240" w:lineRule="auto"/>
                    <w:jc w:val="center"/>
                    <w:textAlignment w:val="auto"/>
                    <w:outlineLvl w:val="9"/>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753" w:type="dxa"/>
                  <w:shd w:val="clear" w:color="auto" w:fill="auto"/>
                  <w:vAlign w:val="center"/>
                </w:tcPr>
                <w:p>
                  <w:pPr>
                    <w:widowControl/>
                    <w:spacing w:line="240" w:lineRule="auto"/>
                    <w:jc w:val="center"/>
                    <w:textAlignment w:val="center"/>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w:t>
                  </w:r>
                </w:p>
              </w:tc>
              <w:tc>
                <w:tcPr>
                  <w:tcW w:w="2684" w:type="dxa"/>
                  <w:shd w:val="clear" w:color="auto" w:fill="auto"/>
                  <w:vAlign w:val="center"/>
                </w:tcPr>
                <w:p>
                  <w:pPr>
                    <w:widowControl/>
                    <w:spacing w:line="240" w:lineRule="auto"/>
                    <w:jc w:val="center"/>
                    <w:textAlignment w:val="center"/>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小型通用型磨床</w:t>
                  </w:r>
                </w:p>
              </w:tc>
              <w:tc>
                <w:tcPr>
                  <w:tcW w:w="1901" w:type="dxa"/>
                  <w:shd w:val="clear" w:color="auto" w:fill="auto"/>
                  <w:vAlign w:val="center"/>
                </w:tcPr>
                <w:p>
                  <w:pPr>
                    <w:keepNext w:val="0"/>
                    <w:keepLines w:val="0"/>
                    <w:pageBreakBefore w:val="0"/>
                    <w:widowControl/>
                    <w:suppressLineNumbers w:val="0"/>
                    <w:shd w:val="clear"/>
                    <w:kinsoku/>
                    <w:wordWrap/>
                    <w:overflowPunct/>
                    <w:topLinePunct w:val="0"/>
                    <w:bidi w:val="0"/>
                    <w:snapToGrid/>
                    <w:spacing w:line="240" w:lineRule="auto"/>
                    <w:jc w:val="center"/>
                    <w:textAlignment w:val="auto"/>
                    <w:outlineLvl w:val="9"/>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753" w:type="dxa"/>
                  <w:shd w:val="clear" w:color="auto" w:fill="auto"/>
                  <w:vAlign w:val="center"/>
                </w:tcPr>
                <w:p>
                  <w:pPr>
                    <w:widowControl/>
                    <w:spacing w:line="240" w:lineRule="auto"/>
                    <w:jc w:val="center"/>
                    <w:textAlignment w:val="center"/>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w:t>
                  </w:r>
                </w:p>
              </w:tc>
              <w:tc>
                <w:tcPr>
                  <w:tcW w:w="2684" w:type="dxa"/>
                  <w:shd w:val="clear" w:color="auto" w:fill="auto"/>
                  <w:vAlign w:val="center"/>
                </w:tcPr>
                <w:p>
                  <w:pPr>
                    <w:widowControl/>
                    <w:spacing w:line="240" w:lineRule="auto"/>
                    <w:jc w:val="center"/>
                    <w:textAlignment w:val="center"/>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普通桌面型台钻</w:t>
                  </w:r>
                </w:p>
              </w:tc>
              <w:tc>
                <w:tcPr>
                  <w:tcW w:w="1901" w:type="dxa"/>
                  <w:shd w:val="clear" w:color="auto" w:fill="auto"/>
                  <w:vAlign w:val="center"/>
                </w:tcPr>
                <w:p>
                  <w:pPr>
                    <w:keepNext w:val="0"/>
                    <w:keepLines w:val="0"/>
                    <w:pageBreakBefore w:val="0"/>
                    <w:widowControl/>
                    <w:suppressLineNumbers w:val="0"/>
                    <w:shd w:val="clear"/>
                    <w:kinsoku/>
                    <w:wordWrap/>
                    <w:overflowPunct/>
                    <w:topLinePunct w:val="0"/>
                    <w:bidi w:val="0"/>
                    <w:snapToGrid/>
                    <w:spacing w:line="240" w:lineRule="auto"/>
                    <w:jc w:val="center"/>
                    <w:textAlignment w:val="auto"/>
                    <w:outlineLvl w:val="9"/>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753" w:type="dxa"/>
                  <w:shd w:val="clear" w:color="auto" w:fill="auto"/>
                  <w:vAlign w:val="center"/>
                </w:tcPr>
                <w:p>
                  <w:pPr>
                    <w:spacing w:line="240" w:lineRule="auto"/>
                    <w:jc w:val="center"/>
                    <w:outlineLvl w:val="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w:t>
                  </w:r>
                </w:p>
              </w:tc>
              <w:tc>
                <w:tcPr>
                  <w:tcW w:w="2684" w:type="dxa"/>
                  <w:shd w:val="clear" w:color="auto" w:fill="auto"/>
                  <w:vAlign w:val="center"/>
                </w:tcPr>
                <w:p>
                  <w:pPr>
                    <w:widowControl/>
                    <w:spacing w:line="240" w:lineRule="auto"/>
                    <w:jc w:val="center"/>
                    <w:textAlignment w:val="center"/>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卧式数控机床</w:t>
                  </w:r>
                </w:p>
              </w:tc>
              <w:tc>
                <w:tcPr>
                  <w:tcW w:w="1901" w:type="dxa"/>
                  <w:shd w:val="clear" w:color="auto" w:fill="auto"/>
                  <w:vAlign w:val="center"/>
                </w:tcPr>
                <w:p>
                  <w:pPr>
                    <w:keepNext w:val="0"/>
                    <w:keepLines w:val="0"/>
                    <w:pageBreakBefore w:val="0"/>
                    <w:widowControl/>
                    <w:suppressLineNumbers w:val="0"/>
                    <w:shd w:val="clear"/>
                    <w:kinsoku/>
                    <w:wordWrap/>
                    <w:overflowPunct/>
                    <w:topLinePunct w:val="0"/>
                    <w:bidi w:val="0"/>
                    <w:snapToGrid/>
                    <w:spacing w:line="240" w:lineRule="auto"/>
                    <w:jc w:val="center"/>
                    <w:textAlignment w:val="auto"/>
                    <w:outlineLvl w:val="9"/>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753" w:type="dxa"/>
                  <w:shd w:val="clear" w:color="auto" w:fill="auto"/>
                  <w:vAlign w:val="center"/>
                </w:tcPr>
                <w:p>
                  <w:pPr>
                    <w:spacing w:line="240" w:lineRule="auto"/>
                    <w:jc w:val="center"/>
                    <w:outlineLvl w:val="9"/>
                    <w:rPr>
                      <w:rFonts w:hint="eastAsia" w:ascii="仿宋" w:hAnsi="仿宋" w:eastAsia="仿宋" w:cs="仿宋"/>
                      <w:color w:val="auto"/>
                      <w:kern w:val="0"/>
                      <w:sz w:val="21"/>
                      <w:szCs w:val="21"/>
                      <w:highlight w:val="none"/>
                    </w:rPr>
                  </w:pPr>
                  <w:r>
                    <w:rPr>
                      <w:rFonts w:hint="eastAsia" w:ascii="仿宋" w:hAnsi="仿宋" w:eastAsia="仿宋" w:cs="仿宋"/>
                      <w:color w:val="000000"/>
                      <w:sz w:val="21"/>
                      <w:szCs w:val="21"/>
                      <w:highlight w:val="none"/>
                    </w:rPr>
                    <w:t>6</w:t>
                  </w:r>
                </w:p>
              </w:tc>
              <w:tc>
                <w:tcPr>
                  <w:tcW w:w="2684" w:type="dxa"/>
                  <w:shd w:val="clear" w:color="auto" w:fill="auto"/>
                  <w:vAlign w:val="center"/>
                </w:tcPr>
                <w:p>
                  <w:pPr>
                    <w:widowControl/>
                    <w:spacing w:line="240" w:lineRule="auto"/>
                    <w:jc w:val="center"/>
                    <w:textAlignment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rPr>
                    <w:t>立式铣削加工中心</w:t>
                  </w:r>
                </w:p>
              </w:tc>
              <w:tc>
                <w:tcPr>
                  <w:tcW w:w="1901" w:type="dxa"/>
                  <w:shd w:val="clear" w:color="auto" w:fill="auto"/>
                  <w:vAlign w:val="center"/>
                </w:tcPr>
                <w:p>
                  <w:pPr>
                    <w:keepNext w:val="0"/>
                    <w:keepLines w:val="0"/>
                    <w:pageBreakBefore w:val="0"/>
                    <w:widowControl/>
                    <w:suppressLineNumbers w:val="0"/>
                    <w:shd w:val="clear"/>
                    <w:kinsoku/>
                    <w:wordWrap/>
                    <w:overflowPunct/>
                    <w:topLinePunct w:val="0"/>
                    <w:bidi w:val="0"/>
                    <w:snapToGrid/>
                    <w:spacing w:line="240" w:lineRule="auto"/>
                    <w:jc w:val="center"/>
                    <w:textAlignment w:val="auto"/>
                    <w:outlineLvl w:val="9"/>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753" w:type="dxa"/>
                  <w:shd w:val="clear" w:color="auto" w:fill="auto"/>
                  <w:vAlign w:val="center"/>
                </w:tcPr>
                <w:p>
                  <w:pPr>
                    <w:spacing w:line="240" w:lineRule="auto"/>
                    <w:jc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000000"/>
                      <w:sz w:val="21"/>
                      <w:szCs w:val="21"/>
                      <w:highlight w:val="none"/>
                    </w:rPr>
                    <w:t>7</w:t>
                  </w:r>
                </w:p>
              </w:tc>
              <w:tc>
                <w:tcPr>
                  <w:tcW w:w="2684" w:type="dxa"/>
                  <w:shd w:val="clear" w:color="auto" w:fill="auto"/>
                  <w:vAlign w:val="center"/>
                </w:tcPr>
                <w:p>
                  <w:pPr>
                    <w:widowControl/>
                    <w:spacing w:line="240" w:lineRule="auto"/>
                    <w:jc w:val="center"/>
                    <w:textAlignment w:val="center"/>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bidi="ar"/>
                    </w:rPr>
                    <w:t>五轴联动车铣复合</w:t>
                  </w:r>
                </w:p>
              </w:tc>
              <w:tc>
                <w:tcPr>
                  <w:tcW w:w="1901" w:type="dxa"/>
                  <w:shd w:val="clear" w:color="auto" w:fill="auto"/>
                  <w:vAlign w:val="center"/>
                </w:tcPr>
                <w:p>
                  <w:pPr>
                    <w:keepNext w:val="0"/>
                    <w:keepLines w:val="0"/>
                    <w:pageBreakBefore w:val="0"/>
                    <w:widowControl/>
                    <w:suppressLineNumbers w:val="0"/>
                    <w:shd w:val="clear"/>
                    <w:kinsoku/>
                    <w:wordWrap/>
                    <w:overflowPunct/>
                    <w:topLinePunct w:val="0"/>
                    <w:bidi w:val="0"/>
                    <w:snapToGrid/>
                    <w:spacing w:line="240" w:lineRule="auto"/>
                    <w:jc w:val="center"/>
                    <w:textAlignment w:val="auto"/>
                    <w:outlineLvl w:val="9"/>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753" w:type="dxa"/>
                  <w:shd w:val="clear" w:color="auto" w:fill="auto"/>
                  <w:vAlign w:val="center"/>
                </w:tcPr>
                <w:p>
                  <w:pPr>
                    <w:spacing w:line="240" w:lineRule="auto"/>
                    <w:jc w:val="center"/>
                    <w:outlineLvl w:val="9"/>
                    <w:rPr>
                      <w:rFonts w:hint="eastAsia" w:ascii="仿宋" w:hAnsi="仿宋" w:eastAsia="仿宋" w:cs="仿宋"/>
                      <w:color w:val="auto"/>
                      <w:sz w:val="21"/>
                      <w:szCs w:val="21"/>
                      <w:highlight w:val="none"/>
                    </w:rPr>
                  </w:pPr>
                  <w:r>
                    <w:rPr>
                      <w:rFonts w:hint="eastAsia" w:ascii="仿宋" w:hAnsi="仿宋" w:eastAsia="仿宋" w:cs="仿宋"/>
                      <w:color w:val="000000"/>
                      <w:sz w:val="21"/>
                      <w:szCs w:val="21"/>
                      <w:highlight w:val="none"/>
                    </w:rPr>
                    <w:t>8</w:t>
                  </w:r>
                </w:p>
              </w:tc>
              <w:tc>
                <w:tcPr>
                  <w:tcW w:w="2684" w:type="dxa"/>
                  <w:shd w:val="clear" w:color="auto" w:fill="auto"/>
                  <w:vAlign w:val="center"/>
                </w:tcPr>
                <w:p>
                  <w:pPr>
                    <w:widowControl/>
                    <w:spacing w:line="240" w:lineRule="auto"/>
                    <w:jc w:val="center"/>
                    <w:textAlignment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sz w:val="21"/>
                      <w:szCs w:val="21"/>
                      <w:highlight w:val="none"/>
                    </w:rPr>
                    <w:t>3D打印加工设备</w:t>
                  </w:r>
                </w:p>
              </w:tc>
              <w:tc>
                <w:tcPr>
                  <w:tcW w:w="1901" w:type="dxa"/>
                  <w:shd w:val="clear" w:color="auto" w:fill="auto"/>
                  <w:vAlign w:val="center"/>
                </w:tcPr>
                <w:p>
                  <w:pPr>
                    <w:keepNext w:val="0"/>
                    <w:keepLines w:val="0"/>
                    <w:pageBreakBefore w:val="0"/>
                    <w:widowControl/>
                    <w:suppressLineNumbers w:val="0"/>
                    <w:shd w:val="clear"/>
                    <w:kinsoku/>
                    <w:wordWrap/>
                    <w:overflowPunct/>
                    <w:topLinePunct w:val="0"/>
                    <w:bidi w:val="0"/>
                    <w:snapToGrid/>
                    <w:spacing w:line="240" w:lineRule="auto"/>
                    <w:jc w:val="center"/>
                    <w:textAlignment w:val="auto"/>
                    <w:outlineLvl w:val="9"/>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53" w:type="dxa"/>
                  <w:shd w:val="clear" w:color="auto" w:fill="auto"/>
                  <w:vAlign w:val="center"/>
                </w:tcPr>
                <w:p>
                  <w:pPr>
                    <w:spacing w:line="240" w:lineRule="auto"/>
                    <w:jc w:val="center"/>
                    <w:outlineLvl w:val="9"/>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9</w:t>
                  </w:r>
                </w:p>
              </w:tc>
              <w:tc>
                <w:tcPr>
                  <w:tcW w:w="2684" w:type="dxa"/>
                  <w:shd w:val="clear" w:color="auto" w:fill="auto"/>
                  <w:vAlign w:val="center"/>
                </w:tcPr>
                <w:p>
                  <w:pPr>
                    <w:widowControl/>
                    <w:spacing w:line="240" w:lineRule="auto"/>
                    <w:jc w:val="center"/>
                    <w:textAlignment w:val="center"/>
                    <w:outlineLvl w:val="9"/>
                    <w:rPr>
                      <w:rFonts w:hint="eastAsia" w:ascii="仿宋" w:hAnsi="仿宋" w:eastAsia="仿宋" w:cs="仿宋"/>
                      <w:kern w:val="0"/>
                      <w:sz w:val="21"/>
                      <w:szCs w:val="21"/>
                      <w:highlight w:val="none"/>
                      <w:lang w:val="en-US" w:eastAsia="zh-CN" w:bidi="ar"/>
                    </w:rPr>
                  </w:pPr>
                  <w:r>
                    <w:rPr>
                      <w:rFonts w:hint="eastAsia" w:ascii="仿宋" w:hAnsi="仿宋" w:eastAsia="仿宋" w:cs="仿宋"/>
                      <w:color w:val="000000"/>
                      <w:sz w:val="21"/>
                      <w:szCs w:val="21"/>
                      <w:highlight w:val="none"/>
                    </w:rPr>
                    <w:t>机械设计测绘装置</w:t>
                  </w:r>
                </w:p>
              </w:tc>
              <w:tc>
                <w:tcPr>
                  <w:tcW w:w="1901" w:type="dxa"/>
                  <w:shd w:val="clear" w:color="auto" w:fill="auto"/>
                  <w:vAlign w:val="center"/>
                </w:tcPr>
                <w:p>
                  <w:pPr>
                    <w:keepNext w:val="0"/>
                    <w:keepLines w:val="0"/>
                    <w:pageBreakBefore w:val="0"/>
                    <w:widowControl/>
                    <w:suppressLineNumbers w:val="0"/>
                    <w:shd w:val="clear"/>
                    <w:kinsoku/>
                    <w:wordWrap/>
                    <w:overflowPunct/>
                    <w:topLinePunct w:val="0"/>
                    <w:bidi w:val="0"/>
                    <w:snapToGrid/>
                    <w:spacing w:line="240" w:lineRule="auto"/>
                    <w:jc w:val="center"/>
                    <w:textAlignment w:val="auto"/>
                    <w:outlineLvl w:val="9"/>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工业（制造业）</w:t>
                  </w:r>
                </w:p>
              </w:tc>
            </w:tr>
          </w:tbl>
          <w:p>
            <w:pPr>
              <w:pStyle w:val="20"/>
              <w:spacing w:line="400" w:lineRule="exact"/>
              <w:outlineLvl w:val="9"/>
              <w:rPr>
                <w:rFonts w:ascii="仿宋" w:hAnsi="仿宋" w:eastAsia="仿宋" w:cs="仿宋"/>
                <w:color w:val="000000" w:themeColor="text1"/>
                <w:szCs w:val="24"/>
                <w:highlight w:val="non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tcBorders>
              <w:right w:val="single" w:color="auto" w:sz="4" w:space="0"/>
            </w:tcBorders>
            <w:vAlign w:val="center"/>
          </w:tcPr>
          <w:p>
            <w:pPr>
              <w:pStyle w:val="20"/>
              <w:spacing w:line="400" w:lineRule="exact"/>
              <w:jc w:val="center"/>
              <w:outlineLvl w:val="9"/>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47</w:t>
            </w:r>
          </w:p>
        </w:tc>
        <w:tc>
          <w:tcPr>
            <w:tcW w:w="1871" w:type="dxa"/>
            <w:tcBorders>
              <w:right w:val="single" w:color="auto" w:sz="4" w:space="0"/>
            </w:tcBorders>
            <w:vAlign w:val="center"/>
          </w:tcPr>
          <w:p>
            <w:pPr>
              <w:pStyle w:val="20"/>
              <w:spacing w:line="400" w:lineRule="exact"/>
              <w:jc w:val="cente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需要补充的其他内容</w:t>
            </w:r>
          </w:p>
        </w:tc>
        <w:tc>
          <w:tcPr>
            <w:tcW w:w="6752" w:type="dxa"/>
            <w:tcBorders>
              <w:left w:val="single" w:color="auto" w:sz="4" w:space="0"/>
            </w:tcBorders>
            <w:vAlign w:val="center"/>
          </w:tcPr>
          <w:p>
            <w:pPr>
              <w:widowControl/>
              <w:outlineLvl w:val="9"/>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中标人在领取中标通知书时须向采购代理机构递交纸质投标文件二份。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598" w:type="dxa"/>
            <w:gridSpan w:val="3"/>
            <w:vAlign w:val="center"/>
          </w:tcPr>
          <w:p>
            <w:pPr>
              <w:pStyle w:val="20"/>
              <w:spacing w:line="400" w:lineRule="exact"/>
              <w:outlineLvl w:val="9"/>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备注:</w:t>
            </w:r>
          </w:p>
          <w:p>
            <w:pPr>
              <w:pStyle w:val="20"/>
              <w:spacing w:line="400" w:lineRule="exact"/>
              <w:outlineLvl w:val="9"/>
              <w:rPr>
                <w:rFonts w:ascii="仿宋" w:hAnsi="仿宋" w:eastAsia="仿宋" w:cs="仿宋"/>
                <w:color w:val="auto"/>
                <w:szCs w:val="24"/>
                <w:highlight w:val="none"/>
              </w:rPr>
            </w:pPr>
            <w:r>
              <w:rPr>
                <w:rFonts w:hint="eastAsia" w:ascii="仿宋" w:hAnsi="仿宋" w:eastAsia="仿宋" w:cs="仿宋"/>
                <w:color w:val="000000" w:themeColor="text1"/>
                <w:szCs w:val="24"/>
                <w:highlight w:val="none"/>
                <w14:textFill>
                  <w14:solidFill>
                    <w14:schemeClr w14:val="tx1"/>
                  </w14:solidFill>
                </w14:textFill>
              </w:rPr>
              <w:t>1.除本招标文件另有规定外，招标文件中出现的类似于“近三年”或“前三年”、“近五年”</w:t>
            </w:r>
            <w:r>
              <w:rPr>
                <w:rFonts w:hint="eastAsia" w:ascii="仿宋" w:hAnsi="仿宋" w:eastAsia="仿宋" w:cs="仿宋"/>
                <w:color w:val="auto"/>
                <w:szCs w:val="24"/>
                <w:highlight w:val="none"/>
              </w:rPr>
              <w:t>或“前五年”均指递交投标文件截止时间之前三年或前五年，以此类推。如：递交投标文件时间为20</w:t>
            </w:r>
            <w:r>
              <w:rPr>
                <w:rFonts w:hint="eastAsia" w:ascii="仿宋" w:hAnsi="仿宋" w:eastAsia="仿宋" w:cs="仿宋"/>
                <w:color w:val="auto"/>
                <w:szCs w:val="24"/>
                <w:highlight w:val="none"/>
                <w:lang w:val="en-US" w:eastAsia="zh-CN"/>
              </w:rPr>
              <w:t>26</w:t>
            </w:r>
            <w:r>
              <w:rPr>
                <w:rFonts w:hint="eastAsia" w:ascii="仿宋" w:hAnsi="仿宋" w:eastAsia="仿宋" w:cs="仿宋"/>
                <w:color w:val="auto"/>
                <w:szCs w:val="24"/>
                <w:highlight w:val="none"/>
              </w:rPr>
              <w:t>年</w:t>
            </w:r>
            <w:r>
              <w:rPr>
                <w:rFonts w:hint="eastAsia" w:ascii="仿宋" w:hAnsi="仿宋" w:eastAsia="仿宋" w:cs="仿宋"/>
                <w:color w:val="auto"/>
                <w:szCs w:val="24"/>
                <w:highlight w:val="none"/>
                <w:lang w:val="en-US" w:eastAsia="zh-CN"/>
              </w:rPr>
              <w:t>06</w:t>
            </w:r>
            <w:r>
              <w:rPr>
                <w:rFonts w:hint="eastAsia" w:ascii="仿宋" w:hAnsi="仿宋" w:eastAsia="仿宋" w:cs="仿宋"/>
                <w:color w:val="auto"/>
                <w:szCs w:val="24"/>
                <w:highlight w:val="none"/>
              </w:rPr>
              <w:t>月</w:t>
            </w:r>
            <w:r>
              <w:rPr>
                <w:rFonts w:hint="eastAsia" w:ascii="仿宋" w:hAnsi="仿宋" w:eastAsia="仿宋" w:cs="仿宋"/>
                <w:color w:val="auto"/>
                <w:szCs w:val="24"/>
                <w:highlight w:val="none"/>
                <w:lang w:val="en-US" w:eastAsia="zh-CN"/>
              </w:rPr>
              <w:t>03</w:t>
            </w:r>
            <w:r>
              <w:rPr>
                <w:rFonts w:hint="eastAsia" w:ascii="仿宋" w:hAnsi="仿宋" w:eastAsia="仿宋" w:cs="仿宋"/>
                <w:color w:val="auto"/>
                <w:szCs w:val="24"/>
                <w:highlight w:val="none"/>
              </w:rPr>
              <w:t>日，则“近三年”是指202</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年01月01日至</w:t>
            </w:r>
            <w:r>
              <w:rPr>
                <w:rFonts w:hint="eastAsia" w:ascii="仿宋" w:hAnsi="仿宋" w:eastAsia="仿宋" w:cs="仿宋"/>
                <w:color w:val="auto"/>
                <w:szCs w:val="24"/>
                <w:highlight w:val="none"/>
                <w:lang w:val="en-US" w:eastAsia="zh-CN"/>
              </w:rPr>
              <w:t>投标</w:t>
            </w:r>
            <w:r>
              <w:rPr>
                <w:rFonts w:hint="eastAsia" w:ascii="仿宋" w:hAnsi="仿宋" w:eastAsia="仿宋" w:cs="仿宋"/>
                <w:color w:val="auto"/>
                <w:sz w:val="24"/>
                <w:szCs w:val="24"/>
                <w:highlight w:val="none"/>
              </w:rPr>
              <w:t>截止时间</w:t>
            </w:r>
            <w:r>
              <w:rPr>
                <w:rFonts w:hint="eastAsia" w:ascii="仿宋" w:hAnsi="仿宋" w:eastAsia="仿宋" w:cs="仿宋"/>
                <w:color w:val="auto"/>
                <w:szCs w:val="24"/>
                <w:highlight w:val="none"/>
              </w:rPr>
              <w:t>。</w:t>
            </w:r>
          </w:p>
          <w:p>
            <w:pPr>
              <w:pStyle w:val="20"/>
              <w:spacing w:line="400" w:lineRule="exact"/>
              <w:outlineLvl w:val="9"/>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auto"/>
                <w:szCs w:val="24"/>
                <w:highlight w:val="none"/>
              </w:rPr>
              <w:t>2.本招标文件所称的“以上”、“以下”、“内”、“以内”，包括本数；所称的“不足”，不包括本数。</w:t>
            </w:r>
          </w:p>
        </w:tc>
      </w:tr>
    </w:tbl>
    <w:p>
      <w:pPr>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keepNext/>
        <w:keepLines/>
        <w:spacing w:before="80" w:after="80"/>
        <w:ind w:left="420" w:hanging="420"/>
        <w:outlineLvl w:val="9"/>
        <w:rPr>
          <w:rFonts w:ascii="仿宋" w:hAnsi="仿宋" w:eastAsia="仿宋" w:cs="仿宋"/>
          <w:b/>
          <w:bCs/>
          <w:color w:val="000000" w:themeColor="text1"/>
          <w:sz w:val="28"/>
          <w:szCs w:val="28"/>
          <w:highlight w:val="none"/>
          <w14:textFill>
            <w14:solidFill>
              <w14:schemeClr w14:val="tx1"/>
            </w14:solidFill>
          </w14:textFill>
        </w:rPr>
      </w:pPr>
      <w:bookmarkStart w:id="137" w:name="_Toc163492821"/>
      <w:bookmarkStart w:id="138" w:name="_Toc155185869"/>
      <w:bookmarkStart w:id="139" w:name="_Toc5698"/>
      <w:r>
        <w:rPr>
          <w:rFonts w:hint="eastAsia" w:ascii="仿宋" w:hAnsi="仿宋" w:eastAsia="仿宋" w:cs="仿宋"/>
          <w:b/>
          <w:bCs/>
          <w:color w:val="000000" w:themeColor="text1"/>
          <w:sz w:val="28"/>
          <w:szCs w:val="28"/>
          <w:highlight w:val="none"/>
          <w14:textFill>
            <w14:solidFill>
              <w14:schemeClr w14:val="tx1"/>
            </w14:solidFill>
          </w14:textFill>
        </w:rPr>
        <w:t>二、投标人须知</w:t>
      </w:r>
      <w:bookmarkEnd w:id="137"/>
      <w:bookmarkEnd w:id="138"/>
      <w:bookmarkEnd w:id="139"/>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140" w:name="_Toc163492822"/>
      <w:bookmarkStart w:id="141" w:name="_Toc155185870"/>
      <w:r>
        <w:rPr>
          <w:rFonts w:hint="eastAsia" w:ascii="仿宋" w:hAnsi="仿宋" w:eastAsia="仿宋" w:cs="仿宋"/>
          <w:b/>
          <w:bCs/>
          <w:color w:val="000000" w:themeColor="text1"/>
          <w:szCs w:val="32"/>
          <w:highlight w:val="none"/>
          <w14:textFill>
            <w14:solidFill>
              <w14:schemeClr w14:val="tx1"/>
            </w14:solidFill>
          </w14:textFill>
        </w:rPr>
        <w:t>（一）总则</w:t>
      </w:r>
      <w:bookmarkEnd w:id="140"/>
      <w:bookmarkEnd w:id="141"/>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42" w:name="_Toc109900050"/>
      <w:bookmarkStart w:id="143" w:name="_Toc163492823"/>
      <w:bookmarkStart w:id="144" w:name="_Toc109900469"/>
      <w:bookmarkStart w:id="145" w:name="_Toc109899631"/>
      <w:bookmarkStart w:id="146" w:name="_Toc109897532"/>
      <w:bookmarkStart w:id="147" w:name="_Toc155095689"/>
      <w:bookmarkStart w:id="148" w:name="_Toc31233"/>
      <w:r>
        <w:rPr>
          <w:rFonts w:hint="eastAsia" w:ascii="仿宋" w:hAnsi="仿宋" w:eastAsia="仿宋" w:cs="仿宋"/>
          <w:b/>
          <w:bCs/>
          <w:color w:val="000000" w:themeColor="text1"/>
          <w:szCs w:val="28"/>
          <w:highlight w:val="none"/>
          <w14:textFill>
            <w14:solidFill>
              <w14:schemeClr w14:val="tx1"/>
            </w14:solidFill>
          </w14:textFill>
        </w:rPr>
        <w:t>1.适用范围</w:t>
      </w:r>
      <w:bookmarkEnd w:id="142"/>
      <w:bookmarkEnd w:id="143"/>
      <w:bookmarkEnd w:id="144"/>
      <w:bookmarkEnd w:id="145"/>
      <w:bookmarkEnd w:id="146"/>
      <w:bookmarkEnd w:id="147"/>
      <w:bookmarkEnd w:id="148"/>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14:textFill>
            <w14:solidFill>
              <w14:schemeClr w14:val="tx1"/>
            </w14:solidFill>
          </w14:textFill>
        </w:rPr>
        <w:t>1.1本招标文件仅适用于本项目的采购活动。</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49" w:name="_Toc163492824"/>
      <w:r>
        <w:rPr>
          <w:rFonts w:hint="eastAsia" w:ascii="仿宋" w:hAnsi="仿宋" w:eastAsia="仿宋" w:cs="仿宋"/>
          <w:b/>
          <w:bCs/>
          <w:color w:val="000000" w:themeColor="text1"/>
          <w:szCs w:val="28"/>
          <w:highlight w:val="none"/>
          <w14:textFill>
            <w14:solidFill>
              <w14:schemeClr w14:val="tx1"/>
            </w14:solidFill>
          </w14:textFill>
        </w:rPr>
        <w:t>2.基本定义</w:t>
      </w:r>
      <w:bookmarkEnd w:id="149"/>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2.1根据《中华人民共和国政府采购法》及其实施条例等有关法律、法规和规章的规定，制定本招标文件。</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2.2采购人：</w:t>
      </w:r>
      <w:r>
        <w:rPr>
          <w:rFonts w:hint="eastAsia" w:ascii="仿宋" w:hAnsi="仿宋" w:eastAsia="仿宋" w:cs="仿宋"/>
          <w:color w:val="000000" w:themeColor="text1"/>
          <w:kern w:val="0"/>
          <w:szCs w:val="24"/>
          <w:highlight w:val="none"/>
          <w:lang w:bidi="ar"/>
          <w14:textFill>
            <w14:solidFill>
              <w14:schemeClr w14:val="tx1"/>
            </w14:solidFill>
          </w14:textFill>
        </w:rPr>
        <w:t>指依法进行政府采购的国家机关、事业单位、团体组织</w:t>
      </w:r>
      <w:r>
        <w:rPr>
          <w:rFonts w:hint="eastAsia" w:ascii="仿宋" w:hAnsi="仿宋" w:eastAsia="仿宋" w:cs="仿宋"/>
          <w:color w:val="000000" w:themeColor="text1"/>
          <w:highlight w:val="none"/>
          <w14:textFill>
            <w14:solidFill>
              <w14:schemeClr w14:val="tx1"/>
            </w14:solidFill>
          </w14:textFill>
        </w:rPr>
        <w:t>。</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2.3采购代理机构：</w:t>
      </w:r>
      <w:r>
        <w:rPr>
          <w:rFonts w:hint="eastAsia" w:ascii="仿宋" w:hAnsi="仿宋" w:eastAsia="仿宋" w:cs="仿宋"/>
          <w:color w:val="000000" w:themeColor="text1"/>
          <w:kern w:val="0"/>
          <w:szCs w:val="24"/>
          <w:highlight w:val="none"/>
          <w:lang w:bidi="ar"/>
          <w14:textFill>
            <w14:solidFill>
              <w14:schemeClr w14:val="tx1"/>
            </w14:solidFill>
          </w14:textFill>
        </w:rPr>
        <w:t>指依法进行政府采购的国家机关、事业单位、团体组织</w:t>
      </w:r>
      <w:r>
        <w:rPr>
          <w:rFonts w:hint="eastAsia" w:ascii="仿宋" w:hAnsi="仿宋" w:eastAsia="仿宋" w:cs="仿宋"/>
          <w:color w:val="000000" w:themeColor="text1"/>
          <w:highlight w:val="none"/>
          <w14:textFill>
            <w14:solidFill>
              <w14:schemeClr w14:val="tx1"/>
            </w14:solidFill>
          </w14:textFill>
        </w:rPr>
        <w:t>委托的采购代理机构。</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2.4政府采购监督管理部门：各级人民政府财政部门是负责政府采购监督管理的部门，依法履行对政府采购活动的监督管理职责。各级人民政府其他有关部门依法履行与政府采购活动有关的监督管理职责。</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2.5 核心产品见</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highlight w:val="none"/>
          <w:lang w:val="en-US"/>
          <w14:textFill>
            <w14:solidFill>
              <w14:schemeClr w14:val="tx1"/>
            </w14:solidFill>
          </w14:textFill>
        </w:rPr>
        <w:t>。</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2.6</w:t>
      </w:r>
      <w:bookmarkStart w:id="150" w:name="OLE_LINK14"/>
      <w:r>
        <w:rPr>
          <w:rFonts w:hint="eastAsia" w:ascii="仿宋" w:hAnsi="仿宋" w:eastAsia="仿宋" w:cs="仿宋"/>
          <w:color w:val="000000" w:themeColor="text1"/>
          <w:highlight w:val="none"/>
          <w:lang w:val="en-US"/>
          <w14:textFill>
            <w14:solidFill>
              <w14:schemeClr w14:val="tx1"/>
            </w14:solidFill>
          </w14:textFill>
        </w:rPr>
        <w:t>是否属于</w:t>
      </w:r>
      <w:bookmarkStart w:id="151" w:name="OLE_LINK15"/>
      <w:r>
        <w:rPr>
          <w:rFonts w:hint="eastAsia" w:ascii="仿宋" w:hAnsi="仿宋" w:eastAsia="仿宋" w:cs="仿宋"/>
          <w:color w:val="000000" w:themeColor="text1"/>
          <w:kern w:val="0"/>
          <w:szCs w:val="24"/>
          <w:highlight w:val="none"/>
          <w:lang w:val="en-US" w:bidi="ar"/>
          <w14:textFill>
            <w14:solidFill>
              <w14:schemeClr w14:val="tx1"/>
            </w14:solidFill>
          </w14:textFill>
        </w:rPr>
        <w:t>科研仪器设备</w:t>
      </w:r>
      <w:bookmarkEnd w:id="151"/>
      <w:r>
        <w:rPr>
          <w:rFonts w:hint="eastAsia" w:ascii="仿宋" w:hAnsi="仿宋" w:eastAsia="仿宋" w:cs="仿宋"/>
          <w:color w:val="000000" w:themeColor="text1"/>
          <w:kern w:val="0"/>
          <w:szCs w:val="24"/>
          <w:highlight w:val="none"/>
          <w:lang w:val="en-US" w:bidi="ar"/>
          <w14:textFill>
            <w14:solidFill>
              <w14:schemeClr w14:val="tx1"/>
            </w14:solidFill>
          </w14:textFill>
        </w:rPr>
        <w:t>采购</w:t>
      </w:r>
      <w:bookmarkEnd w:id="150"/>
      <w:r>
        <w:rPr>
          <w:rFonts w:hint="eastAsia" w:ascii="仿宋" w:hAnsi="仿宋" w:eastAsia="仿宋" w:cs="仿宋"/>
          <w:color w:val="000000" w:themeColor="text1"/>
          <w:highlight w:val="none"/>
          <w:lang w:val="en-US"/>
          <w14:textFill>
            <w14:solidFill>
              <w14:schemeClr w14:val="tx1"/>
            </w14:solidFill>
          </w14:textFill>
        </w:rPr>
        <w:t>见</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须知前附表”</w:t>
      </w:r>
      <w:r>
        <w:rPr>
          <w:rFonts w:hint="eastAsia" w:ascii="仿宋" w:hAnsi="仿宋" w:eastAsia="仿宋" w:cs="仿宋"/>
          <w:color w:val="000000" w:themeColor="text1"/>
          <w:highlight w:val="none"/>
          <w:lang w:val="en-US"/>
          <w14:textFill>
            <w14:solidFill>
              <w14:schemeClr w14:val="tx1"/>
            </w14:solidFill>
          </w14:textFill>
        </w:rPr>
        <w:t>。</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iCs/>
          <w:color w:val="000000" w:themeColor="text1"/>
          <w:highlight w:val="none"/>
          <w:shd w:val="clear" w:color="auto" w:fill="FFFFFF" w:themeFill="background1"/>
          <w14:textFill>
            <w14:solidFill>
              <w14:schemeClr w14:val="tx1"/>
            </w14:solidFill>
          </w14:textFill>
        </w:rPr>
        <w:t>2.7投标人（也称“供应商”、“申请人”）：指向采购人提供货物、工程或者服务的法人、其他组织或者自然人。</w:t>
      </w:r>
      <w:r>
        <w:rPr>
          <w:rFonts w:hint="eastAsia" w:ascii="仿宋" w:hAnsi="仿宋" w:eastAsia="仿宋" w:cs="仿宋"/>
          <w:color w:val="000000" w:themeColor="text1"/>
          <w:highlight w:val="none"/>
          <w14:textFill>
            <w14:solidFill>
              <w14:schemeClr w14:val="tx1"/>
            </w14:solidFill>
          </w14:textFill>
        </w:rPr>
        <w:t>分支机构不得参加政府采购活动，但银行、保险、石油石化、电力、电信等有行业特殊情况的除外。本项目的投标人须满足以下条件：</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2.7.1具备《中华人民共和国政府采购法》第二十二条规定的条件，遵守本项目采购人本级和上级财政部门政府采购的有关规定。</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2.7.2以招标公告中发布的方式依法获得了本项目的招标文件。</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2.7.3符合本招标文件规定并参加投标的供应商。</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w:t>
      </w:r>
      <w:r>
        <w:rPr>
          <w:rFonts w:hint="eastAsia" w:ascii="仿宋" w:hAnsi="仿宋" w:eastAsia="仿宋" w:cs="仿宋"/>
          <w:iCs/>
          <w:color w:val="000000" w:themeColor="text1"/>
          <w:highlight w:val="none"/>
          <w:shd w:val="clear" w:color="auto" w:fill="FFFFFF" w:themeFill="background1"/>
          <w14:textFill>
            <w14:solidFill>
              <w14:schemeClr w14:val="tx1"/>
            </w14:solidFill>
          </w14:textFill>
        </w:rPr>
        <w:t>潜在投标人、潜在供应商：指</w:t>
      </w:r>
      <w:r>
        <w:rPr>
          <w:rFonts w:hint="eastAsia" w:ascii="仿宋" w:hAnsi="仿宋" w:eastAsia="仿宋" w:cs="仿宋"/>
          <w:color w:val="000000" w:themeColor="text1"/>
          <w:highlight w:val="none"/>
          <w14:textFill>
            <w14:solidFill>
              <w14:schemeClr w14:val="tx1"/>
            </w14:solidFill>
          </w14:textFill>
        </w:rPr>
        <w:t>符合本招标文件规定的供应商。</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52" w:name="_Toc163492825"/>
      <w:bookmarkStart w:id="153" w:name="_Toc140132758"/>
      <w:r>
        <w:rPr>
          <w:rFonts w:hint="eastAsia" w:ascii="仿宋" w:hAnsi="仿宋" w:eastAsia="仿宋" w:cs="仿宋"/>
          <w:b/>
          <w:bCs/>
          <w:color w:val="000000" w:themeColor="text1"/>
          <w:szCs w:val="28"/>
          <w:highlight w:val="none"/>
          <w14:textFill>
            <w14:solidFill>
              <w14:schemeClr w14:val="tx1"/>
            </w14:solidFill>
          </w14:textFill>
        </w:rPr>
        <w:t>3.资金来源</w:t>
      </w:r>
      <w:bookmarkEnd w:id="152"/>
      <w:bookmarkEnd w:id="153"/>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3.1资金来源：</w:t>
      </w:r>
      <w:r>
        <w:rPr>
          <w:rFonts w:hint="eastAsia" w:ascii="仿宋" w:hAnsi="仿宋" w:eastAsia="仿宋" w:cs="仿宋"/>
          <w:color w:val="000000" w:themeColor="text1"/>
          <w:highlight w:val="none"/>
          <w:lang w:val="en-US"/>
          <w14:textFill>
            <w14:solidFill>
              <w14:schemeClr w14:val="tx1"/>
            </w14:solidFill>
          </w14:textFill>
        </w:rPr>
        <w:t>为财政性资金即</w:t>
      </w:r>
      <w:r>
        <w:rPr>
          <w:rFonts w:hint="eastAsia" w:ascii="仿宋" w:hAnsi="仿宋" w:eastAsia="仿宋" w:cs="仿宋"/>
          <w:color w:val="000000" w:themeColor="text1"/>
          <w:highlight w:val="none"/>
          <w14:textFill>
            <w14:solidFill>
              <w14:schemeClr w14:val="tx1"/>
            </w14:solidFill>
          </w14:textFill>
        </w:rPr>
        <w:t>纳入预算管理的资金。以财政性资金作为还款来源的借贷资金，视同财政性资金。财政性资金与非财政性资金无法分割采购的，统一适用《中华人民共和国政府采购法》及其实施条例。</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54" w:name="_Toc140132760"/>
      <w:bookmarkStart w:id="155" w:name="_Toc163492826"/>
      <w:r>
        <w:rPr>
          <w:rFonts w:hint="eastAsia" w:ascii="仿宋" w:hAnsi="仿宋" w:eastAsia="仿宋" w:cs="仿宋"/>
          <w:b/>
          <w:bCs/>
          <w:color w:val="000000" w:themeColor="text1"/>
          <w:szCs w:val="28"/>
          <w:highlight w:val="none"/>
          <w14:textFill>
            <w14:solidFill>
              <w14:schemeClr w14:val="tx1"/>
            </w14:solidFill>
          </w14:textFill>
        </w:rPr>
        <w:t>4.投标人资格要求</w:t>
      </w:r>
      <w:bookmarkEnd w:id="154"/>
      <w:bookmarkEnd w:id="155"/>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4.1投标人资格要求：见“</w:t>
      </w:r>
      <w:r>
        <w:rPr>
          <w:rFonts w:hint="eastAsia" w:ascii="仿宋" w:hAnsi="仿宋" w:eastAsia="仿宋" w:cs="仿宋"/>
          <w:color w:val="000000" w:themeColor="text1"/>
          <w:highlight w:val="none"/>
          <w:lang w:val="en-US"/>
          <w14:textFill>
            <w14:solidFill>
              <w14:schemeClr w14:val="tx1"/>
            </w14:solidFill>
          </w14:textFill>
        </w:rPr>
        <w:t>第一章 招标公告</w:t>
      </w:r>
      <w:r>
        <w:rPr>
          <w:rFonts w:hint="eastAsia" w:ascii="仿宋" w:hAnsi="仿宋" w:eastAsia="仿宋" w:cs="仿宋"/>
          <w:color w:val="000000" w:themeColor="text1"/>
          <w:highlight w:val="none"/>
          <w14:textFill>
            <w14:solidFill>
              <w14:schemeClr w14:val="tx1"/>
            </w14:solidFill>
          </w14:textFill>
        </w:rPr>
        <w:t>”；</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第一章 招标公告</w:t>
      </w:r>
      <w:r>
        <w:rPr>
          <w:rFonts w:hint="eastAsia" w:ascii="仿宋" w:hAnsi="仿宋" w:eastAsia="仿宋" w:cs="仿宋"/>
          <w:color w:val="000000" w:themeColor="text1"/>
          <w:highlight w:val="none"/>
          <w14:textFill>
            <w14:solidFill>
              <w14:schemeClr w14:val="tx1"/>
            </w14:solidFill>
          </w14:textFill>
        </w:rPr>
        <w:t>”规定接受联合体投标的，还应遵守以下规定：</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1两个以上的自然人、法人或者其他组织可以组成一个联合体，以一个</w:t>
      </w:r>
      <w:r>
        <w:rPr>
          <w:rFonts w:hint="eastAsia" w:ascii="仿宋" w:hAnsi="仿宋" w:eastAsia="仿宋" w:cs="仿宋"/>
          <w:color w:val="000000" w:themeColor="text1"/>
          <w:highlight w:val="none"/>
          <w:lang w:val="en-US"/>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的身份共同参加政府采购。以联合体形式进行政府采购的，参加联合体的供应商均应当具备《中华人民共和国政府采购法》第二十二条规定的条件。</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2.2</w:t>
      </w:r>
      <w:r>
        <w:rPr>
          <w:rFonts w:hint="eastAsia" w:ascii="仿宋" w:hAnsi="仿宋" w:eastAsia="仿宋" w:cs="仿宋"/>
          <w:color w:val="000000" w:themeColor="text1"/>
          <w:highlight w:val="none"/>
          <w14:textFill>
            <w14:solidFill>
              <w14:schemeClr w14:val="tx1"/>
            </w14:solidFill>
          </w14:textFill>
        </w:rPr>
        <w:t>联合体各方应按招标文件提供的格式签订联合</w:t>
      </w:r>
      <w:r>
        <w:rPr>
          <w:rFonts w:hint="eastAsia" w:ascii="仿宋" w:hAnsi="仿宋" w:eastAsia="仿宋" w:cs="仿宋"/>
          <w:color w:val="000000" w:themeColor="text1"/>
          <w:highlight w:val="none"/>
          <w:lang w:val="en-US"/>
          <w14:textFill>
            <w14:solidFill>
              <w14:schemeClr w14:val="tx1"/>
            </w14:solidFill>
          </w14:textFill>
        </w:rPr>
        <w:t>体</w:t>
      </w:r>
      <w:r>
        <w:rPr>
          <w:rFonts w:hint="eastAsia" w:ascii="仿宋" w:hAnsi="仿宋" w:eastAsia="仿宋" w:cs="仿宋"/>
          <w:color w:val="000000" w:themeColor="text1"/>
          <w:highlight w:val="none"/>
          <w14:textFill>
            <w14:solidFill>
              <w14:schemeClr w14:val="tx1"/>
            </w14:solidFill>
          </w14:textFill>
        </w:rPr>
        <w:t>协议</w:t>
      </w:r>
      <w:r>
        <w:rPr>
          <w:rFonts w:hint="eastAsia" w:ascii="仿宋" w:hAnsi="仿宋" w:eastAsia="仿宋" w:cs="仿宋"/>
          <w:color w:val="000000" w:themeColor="text1"/>
          <w:highlight w:val="none"/>
          <w:lang w:val="en-US"/>
          <w14:textFill>
            <w14:solidFill>
              <w14:schemeClr w14:val="tx1"/>
            </w14:solidFill>
          </w14:textFill>
        </w:rPr>
        <w:t>书</w:t>
      </w:r>
      <w:r>
        <w:rPr>
          <w:rFonts w:hint="eastAsia" w:ascii="仿宋" w:hAnsi="仿宋" w:eastAsia="仿宋" w:cs="仿宋"/>
          <w:color w:val="000000" w:themeColor="text1"/>
          <w:highlight w:val="none"/>
          <w14:textFill>
            <w14:solidFill>
              <w14:schemeClr w14:val="tx1"/>
            </w14:solidFill>
          </w14:textFill>
        </w:rPr>
        <w:t>，明确约定联合体各方承担的工作和相应的责任，并将联合</w:t>
      </w:r>
      <w:r>
        <w:rPr>
          <w:rFonts w:hint="eastAsia" w:ascii="仿宋" w:hAnsi="仿宋" w:eastAsia="仿宋" w:cs="仿宋"/>
          <w:color w:val="000000" w:themeColor="text1"/>
          <w:highlight w:val="none"/>
          <w:lang w:val="en-US"/>
          <w14:textFill>
            <w14:solidFill>
              <w14:schemeClr w14:val="tx1"/>
            </w14:solidFill>
          </w14:textFill>
        </w:rPr>
        <w:t>体</w:t>
      </w:r>
      <w:r>
        <w:rPr>
          <w:rFonts w:hint="eastAsia" w:ascii="仿宋" w:hAnsi="仿宋" w:eastAsia="仿宋" w:cs="仿宋"/>
          <w:color w:val="000000" w:themeColor="text1"/>
          <w:highlight w:val="none"/>
          <w14:textFill>
            <w14:solidFill>
              <w14:schemeClr w14:val="tx1"/>
            </w14:solidFill>
          </w14:textFill>
        </w:rPr>
        <w:t>协议</w:t>
      </w:r>
      <w:r>
        <w:rPr>
          <w:rFonts w:hint="eastAsia" w:ascii="仿宋" w:hAnsi="仿宋" w:eastAsia="仿宋" w:cs="仿宋"/>
          <w:color w:val="000000" w:themeColor="text1"/>
          <w:highlight w:val="none"/>
          <w:lang w:val="en-US"/>
          <w14:textFill>
            <w14:solidFill>
              <w14:schemeClr w14:val="tx1"/>
            </w14:solidFill>
          </w14:textFill>
        </w:rPr>
        <w:t>书</w:t>
      </w:r>
      <w:r>
        <w:rPr>
          <w:rFonts w:hint="eastAsia" w:ascii="仿宋" w:hAnsi="仿宋" w:eastAsia="仿宋" w:cs="仿宋"/>
          <w:color w:val="000000" w:themeColor="text1"/>
          <w:highlight w:val="none"/>
          <w14:textFill>
            <w14:solidFill>
              <w14:schemeClr w14:val="tx1"/>
            </w14:solidFill>
          </w14:textFill>
        </w:rPr>
        <w:t>作为投标文件的一部分提交，该协议书对联合</w:t>
      </w:r>
      <w:r>
        <w:rPr>
          <w:rFonts w:hint="eastAsia" w:ascii="仿宋" w:hAnsi="仿宋" w:eastAsia="仿宋" w:cs="仿宋"/>
          <w:color w:val="000000" w:themeColor="text1"/>
          <w:highlight w:val="none"/>
          <w:lang w:val="en-US"/>
          <w14:textFill>
            <w14:solidFill>
              <w14:schemeClr w14:val="tx1"/>
            </w14:solidFill>
          </w14:textFill>
        </w:rPr>
        <w:t>体所有成员</w:t>
      </w:r>
      <w:r>
        <w:rPr>
          <w:rFonts w:hint="eastAsia" w:ascii="仿宋" w:hAnsi="仿宋" w:eastAsia="仿宋" w:cs="仿宋"/>
          <w:color w:val="000000" w:themeColor="text1"/>
          <w:highlight w:val="none"/>
          <w14:textFill>
            <w14:solidFill>
              <w14:schemeClr w14:val="tx1"/>
            </w14:solidFill>
          </w14:textFill>
        </w:rPr>
        <w:t>均具有法律约束力。</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4.2.3</w:t>
      </w:r>
      <w:r>
        <w:rPr>
          <w:rFonts w:hint="eastAsia" w:ascii="仿宋" w:hAnsi="仿宋" w:eastAsia="仿宋" w:cs="仿宋"/>
          <w:color w:val="000000" w:themeColor="text1"/>
          <w:highlight w:val="none"/>
          <w14:textFill>
            <w14:solidFill>
              <w14:schemeClr w14:val="tx1"/>
            </w14:solidFill>
          </w14:textFill>
        </w:rPr>
        <w:t>联合体中有同类资质的供应商按照联合体分工承担相同工作的，应当按照资质等级较低的供应商确定资质等级。</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4.2</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以联合体形式参加政府采购活动的，联合体各方不得再单独参加或者与其他供应商另外组成联合体参加</w:t>
      </w:r>
      <w:r>
        <w:rPr>
          <w:rFonts w:hint="eastAsia" w:ascii="仿宋" w:hAnsi="仿宋" w:eastAsia="仿宋" w:cs="仿宋"/>
          <w:color w:val="000000" w:themeColor="text1"/>
          <w:highlight w:val="none"/>
          <w:lang w:val="en-US"/>
          <w14:textFill>
            <w14:solidFill>
              <w14:schemeClr w14:val="tx1"/>
            </w14:solidFill>
          </w14:textFill>
        </w:rPr>
        <w:t>同一合同项下的</w:t>
      </w:r>
      <w:r>
        <w:rPr>
          <w:rFonts w:hint="eastAsia" w:ascii="仿宋" w:hAnsi="仿宋" w:eastAsia="仿宋" w:cs="仿宋"/>
          <w:color w:val="000000" w:themeColor="text1"/>
          <w:highlight w:val="none"/>
          <w14:textFill>
            <w14:solidFill>
              <w14:schemeClr w14:val="tx1"/>
            </w14:solidFill>
          </w14:textFill>
        </w:rPr>
        <w:t>投标，否则相关投标将被认定为</w:t>
      </w:r>
      <w:r>
        <w:rPr>
          <w:rFonts w:hint="eastAsia" w:ascii="仿宋" w:hAnsi="仿宋" w:eastAsia="仿宋" w:cs="仿宋"/>
          <w:b/>
          <w:bCs/>
          <w:color w:val="000000" w:themeColor="text1"/>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4.2</w:t>
      </w:r>
      <w:r>
        <w:rPr>
          <w:rFonts w:hint="eastAsia" w:ascii="仿宋" w:hAnsi="仿宋" w:eastAsia="仿宋" w:cs="仿宋"/>
          <w:color w:val="000000" w:themeColor="text1"/>
          <w:highlight w:val="none"/>
          <w14:textFill>
            <w14:solidFill>
              <w14:schemeClr w14:val="tx1"/>
            </w14:solidFill>
          </w14:textFill>
        </w:rPr>
        <w:t>.5大中型企业、其他自然人、法人或者非法人组织与小型、微型企业组成联合体共同参加投标</w:t>
      </w:r>
      <w:r>
        <w:rPr>
          <w:rFonts w:hint="eastAsia" w:ascii="仿宋" w:hAnsi="仿宋" w:eastAsia="仿宋" w:cs="仿宋"/>
          <w:color w:val="000000" w:themeColor="text1"/>
          <w:highlight w:val="none"/>
          <w:lang w:val="en-US"/>
          <w14:textFill>
            <w14:solidFill>
              <w14:schemeClr w14:val="tx1"/>
            </w14:solidFill>
          </w14:textFill>
        </w:rPr>
        <w:t>的</w:t>
      </w:r>
      <w:r>
        <w:rPr>
          <w:rFonts w:hint="eastAsia" w:ascii="仿宋" w:hAnsi="仿宋" w:eastAsia="仿宋" w:cs="仿宋"/>
          <w:color w:val="000000" w:themeColor="text1"/>
          <w:highlight w:val="none"/>
          <w14:textFill>
            <w14:solidFill>
              <w14:schemeClr w14:val="tx1"/>
            </w14:solidFill>
          </w14:textFill>
        </w:rPr>
        <w:t>，联合</w:t>
      </w:r>
      <w:r>
        <w:rPr>
          <w:rFonts w:hint="eastAsia" w:ascii="仿宋" w:hAnsi="仿宋" w:eastAsia="仿宋" w:cs="仿宋"/>
          <w:color w:val="000000" w:themeColor="text1"/>
          <w:highlight w:val="none"/>
          <w:lang w:val="en-US"/>
          <w14:textFill>
            <w14:solidFill>
              <w14:schemeClr w14:val="tx1"/>
            </w14:solidFill>
          </w14:textFill>
        </w:rPr>
        <w:t>体</w:t>
      </w:r>
      <w:r>
        <w:rPr>
          <w:rFonts w:hint="eastAsia" w:ascii="仿宋" w:hAnsi="仿宋" w:eastAsia="仿宋" w:cs="仿宋"/>
          <w:color w:val="000000" w:themeColor="text1"/>
          <w:highlight w:val="none"/>
          <w14:textFill>
            <w14:solidFill>
              <w14:schemeClr w14:val="tx1"/>
            </w14:solidFill>
          </w14:textFill>
        </w:rPr>
        <w:t>协议</w:t>
      </w:r>
      <w:r>
        <w:rPr>
          <w:rFonts w:hint="eastAsia" w:ascii="仿宋" w:hAnsi="仿宋" w:eastAsia="仿宋" w:cs="仿宋"/>
          <w:color w:val="000000" w:themeColor="text1"/>
          <w:highlight w:val="none"/>
          <w:lang w:val="en-US"/>
          <w14:textFill>
            <w14:solidFill>
              <w14:schemeClr w14:val="tx1"/>
            </w14:solidFill>
          </w14:textFill>
        </w:rPr>
        <w:t>书</w:t>
      </w:r>
      <w:r>
        <w:rPr>
          <w:rFonts w:hint="eastAsia" w:ascii="仿宋" w:hAnsi="仿宋" w:eastAsia="仿宋" w:cs="仿宋"/>
          <w:color w:val="000000" w:themeColor="text1"/>
          <w:highlight w:val="none"/>
          <w14:textFill>
            <w14:solidFill>
              <w14:schemeClr w14:val="tx1"/>
            </w14:solidFill>
          </w14:textFill>
        </w:rPr>
        <w:t>中应写明小型、微型企业的合同金额占到联合</w:t>
      </w:r>
      <w:r>
        <w:rPr>
          <w:rFonts w:hint="eastAsia" w:ascii="仿宋" w:hAnsi="仿宋" w:eastAsia="仿宋" w:cs="仿宋"/>
          <w:color w:val="000000" w:themeColor="text1"/>
          <w:highlight w:val="none"/>
          <w:lang w:val="en-US"/>
          <w14:textFill>
            <w14:solidFill>
              <w14:schemeClr w14:val="tx1"/>
            </w14:solidFill>
          </w14:textFill>
        </w:rPr>
        <w:t>体</w:t>
      </w:r>
      <w:r>
        <w:rPr>
          <w:rFonts w:hint="eastAsia" w:ascii="仿宋" w:hAnsi="仿宋" w:eastAsia="仿宋" w:cs="仿宋"/>
          <w:color w:val="000000" w:themeColor="text1"/>
          <w:highlight w:val="none"/>
          <w14:textFill>
            <w14:solidFill>
              <w14:schemeClr w14:val="tx1"/>
            </w14:solidFill>
          </w14:textFill>
        </w:rPr>
        <w:t>投标</w:t>
      </w:r>
      <w:r>
        <w:rPr>
          <w:rFonts w:hint="eastAsia" w:ascii="仿宋" w:hAnsi="仿宋" w:eastAsia="仿宋" w:cs="仿宋"/>
          <w:color w:val="000000" w:themeColor="text1"/>
          <w:highlight w:val="none"/>
          <w:lang w:val="en-US"/>
          <w14:textFill>
            <w14:solidFill>
              <w14:schemeClr w14:val="tx1"/>
            </w14:solidFill>
          </w14:textFill>
        </w:rPr>
        <w:t>合同</w:t>
      </w:r>
      <w:r>
        <w:rPr>
          <w:rFonts w:hint="eastAsia" w:ascii="仿宋" w:hAnsi="仿宋" w:eastAsia="仿宋" w:cs="仿宋"/>
          <w:color w:val="000000" w:themeColor="text1"/>
          <w:highlight w:val="none"/>
          <w14:textFill>
            <w14:solidFill>
              <w14:schemeClr w14:val="tx1"/>
            </w14:solidFill>
          </w14:textFill>
        </w:rPr>
        <w:t>总金额的比例。</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联合体中标</w:t>
      </w:r>
      <w:r>
        <w:rPr>
          <w:rFonts w:hint="eastAsia" w:ascii="仿宋" w:hAnsi="仿宋" w:eastAsia="仿宋" w:cs="仿宋"/>
          <w:color w:val="000000" w:themeColor="text1"/>
          <w:highlight w:val="none"/>
          <w:lang w:val="en-US"/>
          <w14:textFill>
            <w14:solidFill>
              <w14:schemeClr w14:val="tx1"/>
            </w14:solidFill>
          </w14:textFill>
        </w:rPr>
        <w:t>的</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合同应由</w:t>
      </w:r>
      <w:r>
        <w:rPr>
          <w:rFonts w:hint="eastAsia" w:ascii="仿宋" w:hAnsi="仿宋" w:eastAsia="仿宋" w:cs="仿宋"/>
          <w:color w:val="000000" w:themeColor="text1"/>
          <w:highlight w:val="none"/>
          <w:lang w:val="en-US"/>
          <w14:textFill>
            <w14:solidFill>
              <w14:schemeClr w14:val="tx1"/>
            </w14:solidFill>
          </w14:textFill>
        </w:rPr>
        <w:t>联合体</w:t>
      </w:r>
      <w:r>
        <w:rPr>
          <w:rFonts w:hint="eastAsia" w:ascii="仿宋" w:hAnsi="仿宋" w:eastAsia="仿宋" w:cs="仿宋"/>
          <w:color w:val="000000" w:themeColor="text1"/>
          <w:highlight w:val="none"/>
          <w14:textFill>
            <w14:solidFill>
              <w14:schemeClr w14:val="tx1"/>
            </w14:solidFill>
          </w14:textFill>
        </w:rPr>
        <w:t>各成员的合法授权代表签字</w:t>
      </w:r>
      <w:r>
        <w:rPr>
          <w:rFonts w:hint="eastAsia" w:ascii="仿宋" w:hAnsi="仿宋" w:eastAsia="仿宋" w:cs="仿宋"/>
          <w:color w:val="000000" w:themeColor="text1"/>
          <w:highlight w:val="none"/>
          <w:lang w:val="en-US"/>
          <w14:textFill>
            <w14:solidFill>
              <w14:schemeClr w14:val="tx1"/>
            </w14:solidFill>
          </w14:textFill>
        </w:rPr>
        <w:t>及</w:t>
      </w:r>
      <w:r>
        <w:rPr>
          <w:rFonts w:hint="eastAsia" w:ascii="仿宋" w:hAnsi="仿宋" w:eastAsia="仿宋" w:cs="仿宋"/>
          <w:color w:val="000000" w:themeColor="text1"/>
          <w:highlight w:val="none"/>
          <w14:textFill>
            <w14:solidFill>
              <w14:schemeClr w14:val="tx1"/>
            </w14:solidFill>
          </w14:textFill>
        </w:rPr>
        <w:t>加盖</w:t>
      </w:r>
      <w:r>
        <w:rPr>
          <w:rFonts w:hint="eastAsia" w:ascii="仿宋" w:hAnsi="仿宋" w:eastAsia="仿宋" w:cs="仿宋"/>
          <w:color w:val="000000" w:themeColor="text1"/>
          <w:highlight w:val="none"/>
          <w:lang w:val="en-US"/>
          <w14:textFill>
            <w14:solidFill>
              <w14:schemeClr w14:val="tx1"/>
            </w14:solidFill>
          </w14:textFill>
        </w:rPr>
        <w:t>联合体</w:t>
      </w:r>
      <w:r>
        <w:rPr>
          <w:rFonts w:hint="eastAsia" w:ascii="仿宋" w:hAnsi="仿宋" w:eastAsia="仿宋" w:cs="仿宋"/>
          <w:color w:val="000000" w:themeColor="text1"/>
          <w:highlight w:val="none"/>
          <w14:textFill>
            <w14:solidFill>
              <w14:schemeClr w14:val="tx1"/>
            </w14:solidFill>
          </w14:textFill>
        </w:rPr>
        <w:t>各成员公章，</w:t>
      </w:r>
      <w:r>
        <w:rPr>
          <w:rFonts w:hint="eastAsia" w:ascii="仿宋" w:hAnsi="仿宋" w:eastAsia="仿宋" w:cs="仿宋"/>
          <w:color w:val="000000" w:themeColor="text1"/>
          <w:highlight w:val="none"/>
          <w:lang w:val="en-US"/>
          <w14:textFill>
            <w14:solidFill>
              <w14:schemeClr w14:val="tx1"/>
            </w14:solidFill>
          </w14:textFill>
        </w:rPr>
        <w:t>并</w:t>
      </w:r>
      <w:r>
        <w:rPr>
          <w:rFonts w:hint="eastAsia" w:ascii="仿宋" w:hAnsi="仿宋" w:eastAsia="仿宋" w:cs="仿宋"/>
          <w:color w:val="000000" w:themeColor="text1"/>
          <w:highlight w:val="none"/>
          <w14:textFill>
            <w14:solidFill>
              <w14:schemeClr w14:val="tx1"/>
            </w14:solidFill>
          </w14:textFill>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联合体或其成员不得将其在合同项下的权利或义务全部或部分转让给第三人，有关分包事项须事先取得采购</w:t>
      </w:r>
      <w:r>
        <w:rPr>
          <w:rFonts w:hint="eastAsia" w:ascii="仿宋" w:hAnsi="仿宋" w:eastAsia="仿宋" w:cs="仿宋"/>
          <w:color w:val="000000" w:themeColor="text1"/>
          <w:highlight w:val="none"/>
          <w:lang w:val="en-US"/>
          <w14:textFill>
            <w14:solidFill>
              <w14:schemeClr w14:val="tx1"/>
            </w14:solidFill>
          </w14:textFill>
        </w:rPr>
        <w:t>人</w:t>
      </w:r>
      <w:r>
        <w:rPr>
          <w:rFonts w:hint="eastAsia" w:ascii="仿宋" w:hAnsi="仿宋" w:eastAsia="仿宋" w:cs="仿宋"/>
          <w:color w:val="000000" w:themeColor="text1"/>
          <w:highlight w:val="none"/>
          <w14:textFill>
            <w14:solidFill>
              <w14:schemeClr w14:val="tx1"/>
            </w14:solidFill>
          </w14:textFill>
        </w:rPr>
        <w:t>书面同意并且须遵守相关法律、法规、本次招标的全部相关规定。</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4.2</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对联合体投标的其他资格要求见“</w:t>
      </w:r>
      <w:r>
        <w:rPr>
          <w:rFonts w:hint="eastAsia" w:ascii="仿宋" w:hAnsi="仿宋" w:eastAsia="仿宋" w:cs="仿宋"/>
          <w:color w:val="000000" w:themeColor="text1"/>
          <w:highlight w:val="none"/>
          <w:lang w:val="en-US"/>
          <w14:textFill>
            <w14:solidFill>
              <w14:schemeClr w14:val="tx1"/>
            </w14:solidFill>
          </w14:textFill>
        </w:rPr>
        <w:t>第一章 招标公告</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中的“二、申请人的</w:t>
      </w:r>
      <w:r>
        <w:rPr>
          <w:rFonts w:hint="eastAsia" w:ascii="仿宋" w:hAnsi="仿宋" w:eastAsia="仿宋" w:cs="仿宋"/>
          <w:color w:val="000000" w:themeColor="text1"/>
          <w:highlight w:val="none"/>
          <w14:textFill>
            <w14:solidFill>
              <w14:schemeClr w14:val="tx1"/>
            </w14:solidFill>
          </w14:textFill>
        </w:rPr>
        <w:t>资格</w:t>
      </w:r>
      <w:r>
        <w:rPr>
          <w:rFonts w:hint="eastAsia" w:ascii="仿宋" w:hAnsi="仿宋" w:eastAsia="仿宋" w:cs="仿宋"/>
          <w:color w:val="000000" w:themeColor="text1"/>
          <w:highlight w:val="none"/>
          <w:lang w:val="en-US"/>
          <w14:textFill>
            <w14:solidFill>
              <w14:schemeClr w14:val="tx1"/>
            </w14:solidFill>
          </w14:textFill>
        </w:rPr>
        <w:t>要求”</w:t>
      </w:r>
      <w:r>
        <w:rPr>
          <w:rFonts w:hint="eastAsia" w:ascii="仿宋" w:hAnsi="仿宋" w:eastAsia="仿宋" w:cs="仿宋"/>
          <w:color w:val="000000" w:themeColor="text1"/>
          <w:highlight w:val="none"/>
          <w14:textFill>
            <w14:solidFill>
              <w14:schemeClr w14:val="tx1"/>
            </w14:solidFill>
          </w14:textFill>
        </w:rPr>
        <w:t>。</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56" w:name="_Toc163492827"/>
      <w:r>
        <w:rPr>
          <w:rFonts w:hint="eastAsia" w:ascii="仿宋" w:hAnsi="仿宋" w:eastAsia="仿宋" w:cs="仿宋"/>
          <w:b/>
          <w:bCs/>
          <w:color w:val="000000" w:themeColor="text1"/>
          <w:szCs w:val="28"/>
          <w:highlight w:val="none"/>
          <w14:textFill>
            <w14:solidFill>
              <w14:schemeClr w14:val="tx1"/>
            </w14:solidFill>
          </w14:textFill>
        </w:rPr>
        <w:t>5.费用承担</w:t>
      </w:r>
      <w:bookmarkEnd w:id="156"/>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w:t>
      </w:r>
      <w:r>
        <w:rPr>
          <w:rFonts w:hint="eastAsia" w:ascii="仿宋" w:hAnsi="仿宋" w:eastAsia="仿宋" w:cs="仿宋"/>
          <w:color w:val="000000" w:themeColor="text1"/>
          <w:highlight w:val="none"/>
          <w:lang w:val="en-US"/>
          <w14:textFill>
            <w14:solidFill>
              <w14:schemeClr w14:val="tx1"/>
            </w14:solidFill>
          </w14:textFill>
        </w:rPr>
        <w:t>不论投标的结果如何，投标人应承担所有与准备和参加投标有关的费用。</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57" w:name="_Toc163492828"/>
      <w:bookmarkStart w:id="158" w:name="_Toc140132761"/>
      <w:r>
        <w:rPr>
          <w:rFonts w:hint="eastAsia" w:ascii="仿宋" w:hAnsi="仿宋" w:eastAsia="仿宋" w:cs="仿宋"/>
          <w:b/>
          <w:bCs/>
          <w:color w:val="000000" w:themeColor="text1"/>
          <w:szCs w:val="28"/>
          <w:highlight w:val="none"/>
          <w14:textFill>
            <w14:solidFill>
              <w14:schemeClr w14:val="tx1"/>
            </w14:solidFill>
          </w14:textFill>
        </w:rPr>
        <w:t>6.保密</w:t>
      </w:r>
      <w:bookmarkEnd w:id="157"/>
      <w:bookmarkEnd w:id="158"/>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参与招标投标活动的各方应对招标文件和投标文件中的商业和技术等秘密保密，否则应承担相应的法律责任。</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6.3 采购代理机构有权将投标人提供的所有资料向有关政府部门或评审投标文件的有关人员披露。</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6.4 各级人民政府财政部门对政府采购活动进行监督检查，有权查阅、复制有关文件、资料，相关单位和人员应当予以配合。</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59" w:name="_Toc140132762"/>
      <w:bookmarkStart w:id="160" w:name="_Toc163492829"/>
      <w:r>
        <w:rPr>
          <w:rFonts w:hint="eastAsia" w:ascii="仿宋" w:hAnsi="仿宋" w:eastAsia="仿宋" w:cs="仿宋"/>
          <w:b/>
          <w:bCs/>
          <w:color w:val="000000" w:themeColor="text1"/>
          <w:szCs w:val="28"/>
          <w:highlight w:val="none"/>
          <w14:textFill>
            <w14:solidFill>
              <w14:schemeClr w14:val="tx1"/>
            </w14:solidFill>
          </w14:textFill>
        </w:rPr>
        <w:t>7.语言文字</w:t>
      </w:r>
      <w:bookmarkEnd w:id="159"/>
      <w:bookmarkEnd w:id="160"/>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7.1招标投标</w:t>
      </w:r>
      <w:r>
        <w:rPr>
          <w:rFonts w:hint="eastAsia" w:ascii="仿宋" w:hAnsi="仿宋" w:eastAsia="仿宋" w:cs="仿宋"/>
          <w:color w:val="000000" w:themeColor="text1"/>
          <w:highlight w:val="none"/>
          <w:lang w:val="en-US"/>
          <w14:textFill>
            <w14:solidFill>
              <w14:schemeClr w14:val="tx1"/>
            </w14:solidFill>
          </w14:textFill>
        </w:rPr>
        <w:t>过程</w:t>
      </w:r>
      <w:r>
        <w:rPr>
          <w:rFonts w:hint="eastAsia" w:ascii="仿宋" w:hAnsi="仿宋" w:eastAsia="仿宋" w:cs="仿宋"/>
          <w:color w:val="000000" w:themeColor="text1"/>
          <w:highlight w:val="none"/>
          <w14:textFill>
            <w14:solidFill>
              <w14:schemeClr w14:val="tx1"/>
            </w14:solidFill>
          </w14:textFill>
        </w:rPr>
        <w:t>文件使用的语言文字为中文。专用术语使用外文的，应附有中文注释。</w:t>
      </w:r>
      <w:r>
        <w:rPr>
          <w:rFonts w:hint="eastAsia" w:ascii="仿宋" w:hAnsi="仿宋" w:eastAsia="仿宋" w:cs="仿宋"/>
          <w:color w:val="000000" w:themeColor="text1"/>
          <w:highlight w:val="none"/>
          <w:lang w:val="en-US"/>
          <w14:textFill>
            <w14:solidFill>
              <w14:schemeClr w14:val="tx1"/>
            </w14:solidFill>
          </w14:textFill>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61" w:name="_Toc140132763"/>
      <w:bookmarkStart w:id="162" w:name="_Toc163492830"/>
      <w:r>
        <w:rPr>
          <w:rFonts w:hint="eastAsia" w:ascii="仿宋" w:hAnsi="仿宋" w:eastAsia="仿宋" w:cs="仿宋"/>
          <w:b/>
          <w:bCs/>
          <w:color w:val="000000" w:themeColor="text1"/>
          <w:szCs w:val="28"/>
          <w:highlight w:val="none"/>
          <w14:textFill>
            <w14:solidFill>
              <w14:schemeClr w14:val="tx1"/>
            </w14:solidFill>
          </w14:textFill>
        </w:rPr>
        <w:t>8.计量单位</w:t>
      </w:r>
      <w:bookmarkEnd w:id="161"/>
      <w:bookmarkEnd w:id="162"/>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8.1所有计量均采用中华人民共和国法定计量单位。</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63" w:name="_Toc163492831"/>
      <w:bookmarkStart w:id="164" w:name="_Toc140132764"/>
      <w:r>
        <w:rPr>
          <w:rFonts w:hint="eastAsia" w:ascii="仿宋" w:hAnsi="仿宋" w:eastAsia="仿宋" w:cs="仿宋"/>
          <w:b/>
          <w:bCs/>
          <w:color w:val="000000" w:themeColor="text1"/>
          <w:szCs w:val="28"/>
          <w:highlight w:val="none"/>
          <w14:textFill>
            <w14:solidFill>
              <w14:schemeClr w14:val="tx1"/>
            </w14:solidFill>
          </w14:textFill>
        </w:rPr>
        <w:t>9.现场考察和答疑会</w:t>
      </w:r>
      <w:bookmarkEnd w:id="163"/>
      <w:bookmarkEnd w:id="164"/>
    </w:p>
    <w:p>
      <w:pPr>
        <w:pStyle w:val="19"/>
        <w:outlineLvl w:val="9"/>
        <w:rPr>
          <w:rFonts w:ascii="仿宋" w:hAnsi="仿宋" w:eastAsia="仿宋" w:cs="仿宋"/>
          <w:color w:val="000000" w:themeColor="text1"/>
          <w:highlight w:val="none"/>
          <w14:textFill>
            <w14:solidFill>
              <w14:schemeClr w14:val="tx1"/>
            </w14:solidFill>
          </w14:textFill>
        </w:rPr>
      </w:pPr>
      <w:bookmarkStart w:id="165" w:name="_Hlk143529198"/>
      <w:r>
        <w:rPr>
          <w:rFonts w:hint="eastAsia" w:ascii="仿宋" w:hAnsi="仿宋" w:eastAsia="仿宋" w:cs="仿宋"/>
          <w:color w:val="000000" w:themeColor="text1"/>
          <w:highlight w:val="none"/>
          <w14:textFill>
            <w14:solidFill>
              <w14:schemeClr w14:val="tx1"/>
            </w14:solidFill>
          </w14:textFill>
        </w:rPr>
        <w:t xml:space="preserve">9.1 “投标人须知前附表”规定组织现场考察的，采购代理机构按“投标人须知前附表”规定的时间、地点组织投标人项目现场考察。 </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9.2 投标人现场考察发生的费用自理。</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9.3 在现场考察中，因投标人自身原因发生的人员伤亡和财产损失，由投标人自行负责。</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9.4 采购人在现场考察中介绍的项目场地和相关的周边环境情况，仅供投标人在编制投标文件时参考，采购人和采购代理机构不对投标人据此作出的判断和决策负责。</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 “投标人须知前附表”规定召开答疑会的，采购代理机构按“投标人须知前附表”规定的时间和地点召开答疑会，澄清投标人提出的问题。</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9.6 由于未参加现场考察或未参加标前答疑会而导致对项目实际情况不了解，影响投标文件编制、投标报价准确性、综合因素响应不全面等问题的，由投标人自行承担不利评审后果。</w:t>
      </w:r>
    </w:p>
    <w:bookmarkEnd w:id="165"/>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66" w:name="_Toc163492833"/>
      <w:bookmarkStart w:id="167" w:name="_Toc155185858"/>
      <w:bookmarkStart w:id="168" w:name="_Toc155185871"/>
      <w:r>
        <w:rPr>
          <w:rFonts w:hint="eastAsia" w:ascii="仿宋" w:hAnsi="仿宋" w:eastAsia="仿宋" w:cs="仿宋"/>
          <w:b/>
          <w:bCs/>
          <w:color w:val="000000" w:themeColor="text1"/>
          <w:szCs w:val="28"/>
          <w:highlight w:val="none"/>
          <w14:textFill>
            <w14:solidFill>
              <w14:schemeClr w14:val="tx1"/>
            </w14:solidFill>
          </w14:textFill>
        </w:rPr>
        <w:t>10.电子投标说明</w:t>
      </w:r>
      <w:bookmarkEnd w:id="166"/>
      <w:bookmarkEnd w:id="167"/>
    </w:p>
    <w:p>
      <w:pPr>
        <w:pStyle w:val="19"/>
        <w:outlineLvl w:val="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 xml:space="preserve">10.1 </w:t>
      </w:r>
      <w:r>
        <w:rPr>
          <w:rFonts w:hint="eastAsia" w:ascii="仿宋" w:hAnsi="仿宋" w:eastAsia="仿宋" w:cs="仿宋"/>
          <w:color w:val="000000" w:themeColor="text1"/>
          <w:highlight w:val="none"/>
          <w14:textFill>
            <w14:solidFill>
              <w14:schemeClr w14:val="tx1"/>
            </w14:solidFill>
          </w14:textFill>
        </w:rPr>
        <w:t>本次采购采用电子交易方式，电子交易平台为</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w:t>
      </w:r>
      <w:r>
        <w:rPr>
          <w:rFonts w:hint="eastAsia" w:ascii="仿宋" w:hAnsi="仿宋" w:eastAsia="仿宋" w:cs="仿宋"/>
          <w:color w:val="000000" w:themeColor="text1"/>
          <w:highlight w:val="none"/>
          <w:lang w:val="en-US"/>
          <w14:textFill>
            <w14:solidFill>
              <w14:schemeClr w14:val="tx1"/>
            </w14:solidFill>
          </w14:textFill>
        </w:rPr>
        <w:t>电子交易云</w:t>
      </w:r>
      <w:r>
        <w:rPr>
          <w:rFonts w:hint="eastAsia" w:ascii="仿宋" w:hAnsi="仿宋" w:eastAsia="仿宋" w:cs="仿宋"/>
          <w:color w:val="000000" w:themeColor="text1"/>
          <w:highlight w:val="none"/>
          <w14:textFill>
            <w14:solidFill>
              <w14:schemeClr w14:val="tx1"/>
            </w14:solidFill>
          </w14:textFill>
        </w:rPr>
        <w:t>平台。投标人参与本项目电子交易活动前，应</w:t>
      </w:r>
      <w:r>
        <w:rPr>
          <w:rFonts w:hint="eastAsia" w:ascii="仿宋" w:hAnsi="仿宋" w:eastAsia="仿宋" w:cs="仿宋"/>
          <w:color w:val="000000" w:themeColor="text1"/>
          <w:highlight w:val="none"/>
          <w:lang w:val="en-US"/>
          <w14:textFill>
            <w14:solidFill>
              <w14:schemeClr w14:val="tx1"/>
            </w14:solidFill>
          </w14:textFill>
        </w:rPr>
        <w:t>在</w:t>
      </w:r>
      <w:r>
        <w:rPr>
          <w:rFonts w:hint="eastAsia" w:ascii="仿宋" w:hAnsi="仿宋" w:eastAsia="仿宋" w:cs="仿宋"/>
          <w:color w:val="000000" w:themeColor="text1"/>
          <w:highlight w:val="none"/>
          <w14:textFill>
            <w14:solidFill>
              <w14:schemeClr w14:val="tx1"/>
            </w14:solidFill>
          </w14:textFill>
        </w:rPr>
        <w:t>政</w:t>
      </w:r>
      <w:r>
        <w:rPr>
          <w:rFonts w:hint="eastAsia" w:ascii="仿宋" w:hAnsi="仿宋" w:eastAsia="仿宋" w:cs="仿宋"/>
          <w:color w:val="000000" w:themeColor="text1"/>
          <w:highlight w:val="none"/>
          <w:lang w:val="en-US"/>
          <w14:textFill>
            <w14:solidFill>
              <w14:schemeClr w14:val="tx1"/>
            </w14:solidFill>
          </w14:textFill>
        </w:rPr>
        <w:t>采云</w:t>
      </w:r>
      <w:r>
        <w:rPr>
          <w:rFonts w:hint="eastAsia" w:ascii="仿宋" w:hAnsi="仿宋" w:eastAsia="仿宋" w:cs="仿宋"/>
          <w:color w:val="000000" w:themeColor="text1"/>
          <w:highlight w:val="none"/>
          <w14:textFill>
            <w14:solidFill>
              <w14:schemeClr w14:val="tx1"/>
            </w14:solidFill>
          </w14:textFill>
        </w:rPr>
        <w:t>平台</w:t>
      </w:r>
      <w:r>
        <w:rPr>
          <w:rFonts w:hint="eastAsia" w:ascii="仿宋" w:hAnsi="仿宋" w:eastAsia="仿宋" w:cs="仿宋"/>
          <w:color w:val="000000" w:themeColor="text1"/>
          <w:highlight w:val="none"/>
          <w:lang w:val="en-US"/>
          <w14:textFill>
            <w14:solidFill>
              <w14:schemeClr w14:val="tx1"/>
            </w14:solidFill>
          </w14:textFill>
        </w:rPr>
        <w:t>上</w:t>
      </w:r>
      <w:r>
        <w:rPr>
          <w:rFonts w:hint="eastAsia" w:ascii="仿宋" w:hAnsi="仿宋" w:eastAsia="仿宋" w:cs="仿宋"/>
          <w:color w:val="000000" w:themeColor="text1"/>
          <w:highlight w:val="none"/>
          <w14:textFill>
            <w14:solidFill>
              <w14:schemeClr w14:val="tx1"/>
            </w14:solidFill>
          </w14:textFill>
        </w:rPr>
        <w:t>注册</w:t>
      </w:r>
      <w:r>
        <w:rPr>
          <w:rFonts w:hint="eastAsia" w:ascii="仿宋" w:hAnsi="仿宋" w:eastAsia="仿宋" w:cs="仿宋"/>
          <w:color w:val="000000" w:themeColor="text1"/>
          <w:highlight w:val="none"/>
          <w:lang w:val="en-US"/>
          <w14:textFill>
            <w14:solidFill>
              <w14:schemeClr w14:val="tx1"/>
            </w14:solidFill>
          </w14:textFill>
        </w:rPr>
        <w:t>供应商账号</w:t>
      </w:r>
      <w:r>
        <w:rPr>
          <w:rFonts w:hint="eastAsia" w:ascii="仿宋" w:hAnsi="仿宋" w:eastAsia="仿宋" w:cs="仿宋"/>
          <w:color w:val="000000" w:themeColor="text1"/>
          <w:highlight w:val="none"/>
          <w14:textFill>
            <w14:solidFill>
              <w14:schemeClr w14:val="tx1"/>
            </w14:solidFill>
          </w14:textFill>
        </w:rPr>
        <w:t>。编制电子</w:t>
      </w:r>
      <w:r>
        <w:rPr>
          <w:rFonts w:hint="eastAsia" w:ascii="仿宋" w:hAnsi="仿宋" w:eastAsia="仿宋" w:cs="仿宋"/>
          <w:color w:val="000000" w:themeColor="text1"/>
          <w:highlight w:val="none"/>
          <w:lang w:val="en-US"/>
          <w14:textFill>
            <w14:solidFill>
              <w14:schemeClr w14:val="tx1"/>
            </w14:solidFill>
          </w14:textFill>
        </w:rPr>
        <w:t>投标</w:t>
      </w:r>
      <w:r>
        <w:rPr>
          <w:rFonts w:hint="eastAsia" w:ascii="仿宋" w:hAnsi="仿宋" w:eastAsia="仿宋" w:cs="仿宋"/>
          <w:color w:val="000000" w:themeColor="text1"/>
          <w:highlight w:val="none"/>
          <w14:textFill>
            <w14:solidFill>
              <w14:schemeClr w14:val="tx1"/>
            </w14:solidFill>
          </w14:textFill>
        </w:rPr>
        <w:t>文件前还需</w:t>
      </w:r>
      <w:r>
        <w:rPr>
          <w:rFonts w:hint="eastAsia" w:ascii="仿宋" w:hAnsi="仿宋" w:eastAsia="仿宋" w:cs="仿宋"/>
          <w:color w:val="000000" w:themeColor="text1"/>
          <w:highlight w:val="none"/>
          <w:lang w:val="en-US"/>
          <w14:textFill>
            <w14:solidFill>
              <w14:schemeClr w14:val="tx1"/>
            </w14:solidFill>
          </w14:textFill>
        </w:rPr>
        <w:t>申领CA证书并绑定</w:t>
      </w:r>
      <w:r>
        <w:rPr>
          <w:rFonts w:hint="eastAsia" w:ascii="仿宋" w:hAnsi="仿宋" w:eastAsia="仿宋" w:cs="仿宋"/>
          <w:color w:val="000000" w:themeColor="text1"/>
          <w:highlight w:val="none"/>
          <w:lang w:val="en-US" w:eastAsia="zh-CN"/>
          <w14:textFill>
            <w14:solidFill>
              <w14:schemeClr w14:val="tx1"/>
            </w14:solidFill>
          </w14:textFill>
        </w:rPr>
        <w:t>账号</w:t>
      </w:r>
      <w:r>
        <w:rPr>
          <w:rFonts w:hint="eastAsia" w:ascii="仿宋" w:hAnsi="仿宋" w:eastAsia="仿宋" w:cs="仿宋"/>
          <w:color w:val="000000" w:themeColor="text1"/>
          <w:highlight w:val="none"/>
          <w:lang w:val="en-US"/>
          <w14:textFill>
            <w14:solidFill>
              <w14:schemeClr w14:val="tx1"/>
            </w14:solidFill>
          </w14:textFill>
        </w:rPr>
        <w:t>。投标人应充分考虑完成平台注册、申领CA证书等所需的时间。</w:t>
      </w:r>
      <w:r>
        <w:rPr>
          <w:rFonts w:hint="eastAsia" w:ascii="仿宋" w:hAnsi="仿宋" w:eastAsia="仿宋" w:cs="仿宋"/>
          <w:color w:val="000000" w:themeColor="text1"/>
          <w:highlight w:val="none"/>
          <w14:textFill>
            <w14:solidFill>
              <w14:schemeClr w14:val="tx1"/>
            </w14:solidFill>
          </w14:textFill>
        </w:rPr>
        <w:t>潜在投标人领取文件须提前完成注册、CA证书和电子签章申领和绑定、下载“投标客户端”。因未办理CA数字证书、CA证书故障、操作不当等原因造成无法投标或投标失败等后果由投标人自行承担。</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投标人将</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w:t>
      </w:r>
      <w:r>
        <w:rPr>
          <w:rFonts w:hint="eastAsia" w:ascii="仿宋" w:hAnsi="仿宋" w:eastAsia="仿宋" w:cs="仿宋"/>
          <w:color w:val="000000" w:themeColor="text1"/>
          <w:highlight w:val="none"/>
          <w:lang w:val="en-US"/>
          <w14:textFill>
            <w14:solidFill>
              <w14:schemeClr w14:val="tx1"/>
            </w14:solidFill>
          </w14:textFill>
        </w:rPr>
        <w:t>电子交易云</w:t>
      </w:r>
      <w:r>
        <w:rPr>
          <w:rFonts w:hint="eastAsia" w:ascii="仿宋" w:hAnsi="仿宋" w:eastAsia="仿宋" w:cs="仿宋"/>
          <w:color w:val="000000" w:themeColor="text1"/>
          <w:highlight w:val="none"/>
          <w14:textFill>
            <w14:solidFill>
              <w14:schemeClr w14:val="tx1"/>
            </w14:solidFill>
          </w14:textFill>
        </w:rPr>
        <w:t>平台电子交易客户端下载、安装完成后，可通过账号密码或CA登录客户端进行投标文件制作。在使用政采云“投标客户端”时，建议使用WIN7及以上操作系统。</w:t>
      </w:r>
      <w:r>
        <w:rPr>
          <w:rFonts w:hint="eastAsia" w:ascii="仿宋" w:hAnsi="仿宋" w:eastAsia="仿宋" w:cs="仿宋"/>
          <w:color w:val="000000" w:themeColor="text1"/>
          <w:highlight w:val="none"/>
          <w:lang w:val="en-US"/>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登录</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政府采购网“下载专区”—“电子招投标客户端下载”下载相关客户端，如有问题可拨打政采云客户服务热线95763进行咨询。</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加密的电子投标文件应在投标文件递交截止时间前通过政采云平台上传完成。逾期上传或者未上传指定地点的投标文件，不予受理。</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投标人在开标前须提前配置好电脑</w:t>
      </w:r>
      <w:r>
        <w:rPr>
          <w:rFonts w:hint="eastAsia" w:ascii="仿宋" w:hAnsi="仿宋" w:eastAsia="仿宋" w:cs="仿宋"/>
          <w:color w:val="000000" w:themeColor="text1"/>
          <w:highlight w:val="none"/>
          <w:lang w:val="en-US"/>
          <w14:textFill>
            <w14:solidFill>
              <w14:schemeClr w14:val="tx1"/>
            </w14:solidFill>
          </w14:textFill>
        </w:rPr>
        <w:t>及</w:t>
      </w:r>
      <w:r>
        <w:rPr>
          <w:rFonts w:hint="eastAsia" w:ascii="仿宋" w:hAnsi="仿宋" w:eastAsia="仿宋" w:cs="仿宋"/>
          <w:color w:val="000000" w:themeColor="text1"/>
          <w:highlight w:val="none"/>
          <w14:textFill>
            <w14:solidFill>
              <w14:schemeClr w14:val="tx1"/>
            </w14:solidFill>
          </w14:textFill>
        </w:rPr>
        <w:t>浏览器，开标时请使用制作加密电子投标文件的CA锁进行解密及报价确认。本项目投标文件解密时间</w:t>
      </w:r>
      <w:r>
        <w:rPr>
          <w:rFonts w:hint="eastAsia" w:ascii="仿宋" w:hAnsi="仿宋" w:eastAsia="仿宋" w:cs="仿宋"/>
          <w:color w:val="000000" w:themeColor="text1"/>
          <w:highlight w:val="none"/>
          <w:lang w:val="en-US"/>
          <w14:textFill>
            <w14:solidFill>
              <w14:schemeClr w14:val="tx1"/>
            </w14:solidFill>
          </w14:textFill>
        </w:rPr>
        <w:t>详见“投标人须知前附表”</w:t>
      </w:r>
      <w:r>
        <w:rPr>
          <w:rFonts w:hint="eastAsia" w:ascii="仿宋" w:hAnsi="仿宋" w:eastAsia="仿宋" w:cs="仿宋"/>
          <w:color w:val="000000" w:themeColor="text1"/>
          <w:highlight w:val="none"/>
          <w14:textFill>
            <w14:solidFill>
              <w14:schemeClr w14:val="tx1"/>
            </w14:solidFill>
          </w14:textFill>
        </w:rPr>
        <w:t>，如因自身原因导致无法正常解密，后果由投标人自行承担。</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5</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如遇“</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w:t>
      </w:r>
      <w:r>
        <w:rPr>
          <w:rFonts w:hint="eastAsia" w:ascii="仿宋" w:hAnsi="仿宋" w:eastAsia="仿宋" w:cs="仿宋"/>
          <w:color w:val="000000" w:themeColor="text1"/>
          <w:highlight w:val="none"/>
          <w:lang w:val="en-US"/>
          <w14:textFill>
            <w14:solidFill>
              <w14:schemeClr w14:val="tx1"/>
            </w14:solidFill>
          </w14:textFill>
        </w:rPr>
        <w:t>电子交易云</w:t>
      </w:r>
      <w:r>
        <w:rPr>
          <w:rFonts w:hint="eastAsia" w:ascii="仿宋" w:hAnsi="仿宋" w:eastAsia="仿宋" w:cs="仿宋"/>
          <w:color w:val="000000" w:themeColor="text1"/>
          <w:highlight w:val="none"/>
          <w14:textFill>
            <w14:solidFill>
              <w14:schemeClr w14:val="tx1"/>
            </w14:solidFill>
          </w14:textFill>
        </w:rPr>
        <w:t>平台”电子交易规则调整，以最新要求为准。</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10.6 电子交易系统咨询：投标人应当充分考虑到电子投标可能会发生的各种问题和风险，特别是投标文件签署、提交等问题，可按照“第一章 招标公告”的联系方式咨询相关人员。</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169" w:name="_Toc163492834"/>
      <w:r>
        <w:rPr>
          <w:rFonts w:hint="eastAsia" w:ascii="仿宋" w:hAnsi="仿宋" w:eastAsia="仿宋" w:cs="仿宋"/>
          <w:b/>
          <w:bCs/>
          <w:color w:val="000000" w:themeColor="text1"/>
          <w:szCs w:val="32"/>
          <w:highlight w:val="none"/>
          <w14:textFill>
            <w14:solidFill>
              <w14:schemeClr w14:val="tx1"/>
            </w14:solidFill>
          </w14:textFill>
        </w:rPr>
        <w:t>（二）招标文件</w:t>
      </w:r>
      <w:bookmarkEnd w:id="168"/>
      <w:bookmarkEnd w:id="169"/>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70" w:name="_Toc163492835"/>
      <w:bookmarkStart w:id="171" w:name="_Toc140132768"/>
      <w:r>
        <w:rPr>
          <w:rFonts w:hint="eastAsia" w:ascii="仿宋" w:hAnsi="仿宋" w:eastAsia="仿宋" w:cs="仿宋"/>
          <w:b/>
          <w:bCs/>
          <w:color w:val="000000" w:themeColor="text1"/>
          <w:szCs w:val="28"/>
          <w:highlight w:val="none"/>
          <w14:textFill>
            <w14:solidFill>
              <w14:schemeClr w14:val="tx1"/>
            </w14:solidFill>
          </w14:textFill>
        </w:rPr>
        <w:t>11.招标文件的组成</w:t>
      </w:r>
      <w:bookmarkEnd w:id="170"/>
      <w:bookmarkEnd w:id="171"/>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11.1本招标文件包括下列文件及根据本章第9款、第12款对招标文件所作的澄清或者修改。</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第一章 </w:t>
      </w:r>
      <w:r>
        <w:rPr>
          <w:rFonts w:hint="eastAsia" w:ascii="仿宋" w:hAnsi="仿宋" w:eastAsia="仿宋" w:cs="仿宋"/>
          <w:color w:val="000000" w:themeColor="text1"/>
          <w:highlight w:val="none"/>
          <w14:textFill>
            <w14:solidFill>
              <w14:schemeClr w14:val="tx1"/>
            </w14:solidFill>
          </w14:textFill>
        </w:rPr>
        <w:t>招标公告</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第二章 投标人须知</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第三章 采购需求</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第四章 资格审查</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第五章 评标方法及标准</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第六章 合同草案</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第七章 投标文件的格式</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72" w:name="_Toc163492836"/>
      <w:bookmarkStart w:id="173" w:name="_Toc140132769"/>
      <w:r>
        <w:rPr>
          <w:rFonts w:hint="eastAsia" w:ascii="仿宋" w:hAnsi="仿宋" w:eastAsia="仿宋" w:cs="仿宋"/>
          <w:b/>
          <w:bCs/>
          <w:color w:val="000000" w:themeColor="text1"/>
          <w:szCs w:val="28"/>
          <w:highlight w:val="none"/>
          <w14:textFill>
            <w14:solidFill>
              <w14:schemeClr w14:val="tx1"/>
            </w14:solidFill>
          </w14:textFill>
        </w:rPr>
        <w:t>12.招标文件的询问、澄清或者修改</w:t>
      </w:r>
      <w:bookmarkEnd w:id="172"/>
      <w:bookmarkEnd w:id="173"/>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12.1投标人如对招标文件内容有疑问，须在“投标人须知前附表”规定的询问方式和时间提交给采购人或采购代理机构。</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12.2采购人可主动地或在答复投标人提出的询问时对招标文件进行澄清与修改。采购代理机构将在</w:t>
      </w:r>
      <w:r>
        <w:rPr>
          <w:rFonts w:hint="eastAsia" w:ascii="仿宋" w:hAnsi="仿宋" w:eastAsia="仿宋" w:cs="仿宋"/>
          <w:color w:val="000000" w:themeColor="text1"/>
          <w:szCs w:val="24"/>
          <w:highlight w:val="none"/>
          <w:lang w:val="en-US" w:eastAsia="zh-CN"/>
          <w14:textFill>
            <w14:solidFill>
              <w14:schemeClr w14:val="tx1"/>
            </w14:solidFill>
          </w14:textFill>
        </w:rPr>
        <w:t>新疆</w:t>
      </w:r>
      <w:r>
        <w:rPr>
          <w:rFonts w:hint="eastAsia" w:ascii="仿宋" w:hAnsi="仿宋" w:eastAsia="仿宋" w:cs="仿宋"/>
          <w:color w:val="000000" w:themeColor="text1"/>
          <w:szCs w:val="24"/>
          <w:highlight w:val="none"/>
          <w14:textFill>
            <w14:solidFill>
              <w14:schemeClr w14:val="tx1"/>
            </w14:solidFill>
          </w14:textFill>
        </w:rPr>
        <w:t>政府采购云平台以发布更正公告的方式澄清或修改招标文件，更正公告的内容作为招标文件的组成部分，对投标人起约束作用。投标人应主动上网查询。采购代理机构不承担投标人未及时关注相关信息引发的相关责任。</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12.5对于没有提出疑问又参与了本项目投标的投标人将被视为完全认同本招标文件（含更正公告的内容）。</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Cs w:val="24"/>
          <w:highlight w:val="none"/>
          <w:lang w:val="en-US"/>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投标人须知”所称“</w:t>
      </w:r>
      <w:r>
        <w:rPr>
          <w:rFonts w:hint="eastAsia" w:ascii="仿宋" w:hAnsi="仿宋" w:eastAsia="仿宋" w:cs="仿宋"/>
          <w:color w:val="000000" w:themeColor="text1"/>
          <w:highlight w:val="none"/>
          <w14:textFill>
            <w14:solidFill>
              <w14:schemeClr w14:val="tx1"/>
            </w14:solidFill>
          </w14:textFill>
        </w:rPr>
        <w:t>书面形式</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包括系统消息、政府采购</w:t>
      </w:r>
      <w:r>
        <w:rPr>
          <w:rFonts w:hint="eastAsia" w:ascii="仿宋" w:hAnsi="仿宋" w:eastAsia="仿宋" w:cs="仿宋"/>
          <w:color w:val="000000" w:themeColor="text1"/>
          <w:highlight w:val="none"/>
          <w:lang w:val="en-US"/>
          <w14:textFill>
            <w14:solidFill>
              <w14:schemeClr w14:val="tx1"/>
            </w14:solidFill>
          </w14:textFill>
        </w:rPr>
        <w:t>云平台</w:t>
      </w:r>
      <w:r>
        <w:rPr>
          <w:rFonts w:hint="eastAsia" w:ascii="仿宋" w:hAnsi="仿宋" w:eastAsia="仿宋" w:cs="仿宋"/>
          <w:color w:val="000000" w:themeColor="text1"/>
          <w:highlight w:val="none"/>
          <w14:textFill>
            <w14:solidFill>
              <w14:schemeClr w14:val="tx1"/>
            </w14:solidFill>
          </w14:textFill>
        </w:rPr>
        <w:t>发布的公告。</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12.7当招标文件的澄清、修改及其他答复等就同一内容的表述不一致时，以最后发布的内容为准。</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174" w:name="_Toc155185872"/>
      <w:bookmarkStart w:id="175" w:name="_Toc163492837"/>
      <w:r>
        <w:rPr>
          <w:rFonts w:hint="eastAsia" w:ascii="仿宋" w:hAnsi="仿宋" w:eastAsia="仿宋" w:cs="仿宋"/>
          <w:b/>
          <w:bCs/>
          <w:color w:val="000000" w:themeColor="text1"/>
          <w:szCs w:val="32"/>
          <w:highlight w:val="none"/>
          <w14:textFill>
            <w14:solidFill>
              <w14:schemeClr w14:val="tx1"/>
            </w14:solidFill>
          </w14:textFill>
        </w:rPr>
        <w:t>（三）投标文件</w:t>
      </w:r>
      <w:bookmarkEnd w:id="174"/>
      <w:bookmarkEnd w:id="175"/>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76" w:name="_Toc163492838"/>
      <w:r>
        <w:rPr>
          <w:rFonts w:hint="eastAsia" w:ascii="仿宋" w:hAnsi="仿宋" w:eastAsia="仿宋" w:cs="仿宋"/>
          <w:b/>
          <w:bCs/>
          <w:color w:val="000000" w:themeColor="text1"/>
          <w:szCs w:val="28"/>
          <w:highlight w:val="none"/>
          <w14:textFill>
            <w14:solidFill>
              <w14:schemeClr w14:val="tx1"/>
            </w14:solidFill>
          </w14:textFill>
        </w:rPr>
        <w:t>13.投标文件的组成</w:t>
      </w:r>
      <w:bookmarkEnd w:id="176"/>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bookmarkStart w:id="177" w:name="_Toc140132772"/>
      <w:bookmarkStart w:id="178" w:name="_Toc163492839"/>
      <w:r>
        <w:rPr>
          <w:rFonts w:hint="eastAsia" w:ascii="仿宋" w:hAnsi="仿宋" w:eastAsia="仿宋" w:cs="仿宋"/>
          <w:color w:val="000000" w:themeColor="text1"/>
          <w:kern w:val="2"/>
          <w:sz w:val="24"/>
          <w:szCs w:val="22"/>
          <w:highlight w:val="none"/>
          <w14:textFill>
            <w14:solidFill>
              <w14:schemeClr w14:val="tx1"/>
            </w14:solidFill>
          </w14:textFill>
        </w:rPr>
        <w:t>13.1投标人应完整地按招标文件提供的投标文件格式及要求编写投标文件，具体内容详见“第七章 投标文件格式”的相关内容。</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13.2投标人应提交招标文件要求的证明文件，证明其投标内容符合招标文件规定，该证明文件是投标文件的一部分。证明文件形式可以是文字资料、图纸和数据</w:t>
      </w:r>
      <w:bookmarkStart w:id="179" w:name="_Hlk11703583"/>
      <w:r>
        <w:rPr>
          <w:rFonts w:hint="eastAsia" w:ascii="仿宋" w:hAnsi="仿宋" w:eastAsia="仿宋" w:cs="仿宋"/>
          <w:color w:val="000000" w:themeColor="text1"/>
          <w:kern w:val="2"/>
          <w:sz w:val="24"/>
          <w:szCs w:val="22"/>
          <w:highlight w:val="none"/>
          <w14:textFill>
            <w14:solidFill>
              <w14:schemeClr w14:val="tx1"/>
            </w14:solidFill>
          </w14:textFill>
        </w:rPr>
        <w:t>等。</w:t>
      </w:r>
    </w:p>
    <w:bookmarkEnd w:id="179"/>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13.3为保证公平公正，除非本招标文件另有规定或说明，投标人对同一项目投标时，不得同时提供备选投标方案。</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14.投标报价</w:t>
      </w:r>
      <w:bookmarkEnd w:id="177"/>
      <w:bookmarkEnd w:id="178"/>
    </w:p>
    <w:p>
      <w:pPr>
        <w:ind w:firstLine="480" w:firstLineChars="200"/>
        <w:outlineLvl w:val="9"/>
        <w:rPr>
          <w:rFonts w:ascii="仿宋" w:hAnsi="仿宋" w:eastAsia="仿宋" w:cs="仿宋"/>
          <w:snapToGrid w:val="0"/>
          <w:color w:val="000000" w:themeColor="text1"/>
          <w:szCs w:val="24"/>
          <w:highlight w:val="none"/>
          <w:lang w:val="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 xml:space="preserve">14.1 </w:t>
      </w:r>
      <w:r>
        <w:rPr>
          <w:rFonts w:hint="eastAsia" w:ascii="仿宋" w:hAnsi="仿宋" w:eastAsia="仿宋" w:cs="仿宋"/>
          <w:snapToGrid w:val="0"/>
          <w:color w:val="000000" w:themeColor="text1"/>
          <w:szCs w:val="24"/>
          <w:highlight w:val="none"/>
          <w:lang w:val="zh-CN"/>
          <w14:textFill>
            <w14:solidFill>
              <w14:schemeClr w14:val="tx1"/>
            </w14:solidFill>
          </w14:textFill>
        </w:rPr>
        <w:t>投标人的报价均应以人民币进行报价。</w:t>
      </w:r>
    </w:p>
    <w:p>
      <w:pPr>
        <w:ind w:firstLine="480" w:firstLineChars="200"/>
        <w:outlineLvl w:val="9"/>
        <w:rPr>
          <w:rFonts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14.2 投标人应按照本招标文件规定的报价方式进行报价，投标报价中不得包含招标文件要求以外的内容，否则，在评标时不予核减。投标报价中也不得缺漏招标文件所要求的内容，否则其</w:t>
      </w:r>
      <w:r>
        <w:rPr>
          <w:rFonts w:hint="eastAsia" w:ascii="仿宋" w:hAnsi="仿宋" w:eastAsia="仿宋" w:cs="仿宋"/>
          <w:b/>
          <w:bCs/>
          <w:snapToGrid w:val="0"/>
          <w:color w:val="000000" w:themeColor="text1"/>
          <w:szCs w:val="24"/>
          <w:highlight w:val="none"/>
          <w14:textFill>
            <w14:solidFill>
              <w14:schemeClr w14:val="tx1"/>
            </w14:solidFill>
          </w14:textFill>
        </w:rPr>
        <w:t>投标无效</w:t>
      </w:r>
      <w:r>
        <w:rPr>
          <w:rFonts w:hint="eastAsia" w:ascii="仿宋" w:hAnsi="仿宋" w:eastAsia="仿宋" w:cs="仿宋"/>
          <w:snapToGrid w:val="0"/>
          <w:color w:val="000000" w:themeColor="text1"/>
          <w:szCs w:val="24"/>
          <w:highlight w:val="none"/>
          <w14:textFill>
            <w14:solidFill>
              <w14:schemeClr w14:val="tx1"/>
            </w14:solidFill>
          </w14:textFill>
        </w:rPr>
        <w:t>。</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pPr>
        <w:pStyle w:val="6"/>
        <w:ind w:firstLine="48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投标人的报价应包括但不限于下列内容： </w:t>
      </w:r>
    </w:p>
    <w:p>
      <w:pPr>
        <w:pStyle w:val="6"/>
        <w:ind w:firstLine="48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14.2.1 投标货物及标准附件、备品备件、专用工具等的出厂价（包括已在中</w:t>
      </w:r>
      <w:r>
        <w:rPr>
          <w:rFonts w:hint="eastAsia" w:ascii="仿宋" w:hAnsi="仿宋" w:eastAsia="仿宋" w:cs="仿宋"/>
          <w:color w:val="000000" w:themeColor="text1"/>
          <w:highlight w:val="none"/>
          <w14:textFill>
            <w14:solidFill>
              <w14:schemeClr w14:val="tx1"/>
            </w14:solidFill>
          </w14:textFill>
        </w:rPr>
        <w:t xml:space="preserve">国国内的进口货物完税后的仓库交货价、展室交货价或货架交货价）和运至最终目的地的运输费和保险费，安装调试、检验、技术服务、培训、质量保证、售后服务、税费等； </w:t>
      </w:r>
    </w:p>
    <w:p>
      <w:pPr>
        <w:pStyle w:val="6"/>
        <w:ind w:firstLine="480"/>
        <w:outlineLvl w:val="9"/>
        <w:rPr>
          <w:rFonts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14.2.2 按照招标文件要求完成本项目的全部相关费用。</w:t>
      </w:r>
    </w:p>
    <w:p>
      <w:pPr>
        <w:ind w:firstLine="480" w:firstLineChars="200"/>
        <w:outlineLvl w:val="9"/>
        <w:rPr>
          <w:rFonts w:ascii="仿宋" w:hAnsi="仿宋" w:eastAsia="仿宋" w:cs="仿宋"/>
          <w:snapToGrid w:val="0"/>
          <w:color w:val="000000" w:themeColor="text1"/>
          <w:szCs w:val="24"/>
          <w:highlight w:val="none"/>
          <w:lang w:val="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 xml:space="preserve">14.3 </w:t>
      </w:r>
      <w:r>
        <w:rPr>
          <w:rFonts w:hint="eastAsia" w:ascii="仿宋" w:hAnsi="仿宋" w:eastAsia="仿宋" w:cs="仿宋"/>
          <w:color w:val="000000" w:themeColor="text1"/>
          <w:highlight w:val="none"/>
          <w14:textFill>
            <w14:solidFill>
              <w14:schemeClr w14:val="tx1"/>
            </w14:solidFill>
          </w14:textFill>
        </w:rPr>
        <w:t>投标人须严格按照分项报价表规定的内容填写货物单价以及其他事项。</w:t>
      </w:r>
      <w:r>
        <w:rPr>
          <w:rFonts w:hint="eastAsia" w:ascii="仿宋" w:hAnsi="仿宋" w:eastAsia="仿宋" w:cs="仿宋"/>
          <w:snapToGrid w:val="0"/>
          <w:color w:val="000000" w:themeColor="text1"/>
          <w:szCs w:val="24"/>
          <w:highlight w:val="none"/>
          <w:lang w:val="zh-CN"/>
          <w14:textFill>
            <w14:solidFill>
              <w14:schemeClr w14:val="tx1"/>
            </w14:solidFill>
          </w14:textFill>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仿宋" w:hAnsi="仿宋" w:eastAsia="仿宋" w:cs="仿宋"/>
          <w:snapToGrid w:val="0"/>
          <w:color w:val="000000" w:themeColor="text1"/>
          <w:szCs w:val="24"/>
          <w:highlight w:val="none"/>
          <w14:textFill>
            <w14:solidFill>
              <w14:schemeClr w14:val="tx1"/>
            </w14:solidFill>
          </w14:textFill>
        </w:rPr>
        <w:t>缴</w:t>
      </w:r>
      <w:r>
        <w:rPr>
          <w:rFonts w:hint="eastAsia" w:ascii="仿宋" w:hAnsi="仿宋" w:eastAsia="仿宋" w:cs="仿宋"/>
          <w:snapToGrid w:val="0"/>
          <w:color w:val="000000" w:themeColor="text1"/>
          <w:szCs w:val="24"/>
          <w:highlight w:val="none"/>
          <w:lang w:val="zh-CN"/>
          <w14:textFill>
            <w14:solidFill>
              <w14:schemeClr w14:val="tx1"/>
            </w14:solidFill>
          </w14:textFill>
        </w:rPr>
        <w:t>纳的费用都应包括在投标人提交的投标报价中。</w:t>
      </w:r>
    </w:p>
    <w:p>
      <w:pPr>
        <w:ind w:firstLine="480" w:firstLineChars="200"/>
        <w:outlineLvl w:val="9"/>
        <w:rPr>
          <w:rFonts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14.4 投标人在投标文件中注明免费的项目将视为包含在投标报价中。</w:t>
      </w:r>
    </w:p>
    <w:p>
      <w:pPr>
        <w:pStyle w:val="6"/>
        <w:ind w:firstLine="48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14.5 每一种采购内容只允许有一个报价，否则其</w:t>
      </w:r>
      <w:r>
        <w:rPr>
          <w:rFonts w:hint="eastAsia" w:ascii="仿宋" w:hAnsi="仿宋" w:eastAsia="仿宋" w:cs="仿宋"/>
          <w:b/>
          <w:bCs/>
          <w:snapToGrid w:val="0"/>
          <w:color w:val="000000" w:themeColor="text1"/>
          <w:szCs w:val="24"/>
          <w:highlight w:val="none"/>
          <w14:textFill>
            <w14:solidFill>
              <w14:schemeClr w14:val="tx1"/>
            </w14:solidFill>
          </w14:textFill>
        </w:rPr>
        <w:t>投标无效</w:t>
      </w:r>
      <w:r>
        <w:rPr>
          <w:rFonts w:hint="eastAsia" w:ascii="仿宋" w:hAnsi="仿宋" w:eastAsia="仿宋" w:cs="仿宋"/>
          <w:snapToGrid w:val="0"/>
          <w:color w:val="000000" w:themeColor="text1"/>
          <w:szCs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除非招标文件另有规定，不接受可选择或可调整的投标方案和报价，任何有选择的或可调整的投标方案和报价将被视为非实质性响应招标文件,其</w:t>
      </w:r>
      <w:r>
        <w:rPr>
          <w:rFonts w:hint="eastAsia" w:ascii="仿宋" w:hAnsi="仿宋" w:eastAsia="仿宋" w:cs="仿宋"/>
          <w:b/>
          <w:bCs/>
          <w:snapToGrid w:val="0"/>
          <w:color w:val="000000" w:themeColor="text1"/>
          <w:szCs w:val="24"/>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14.6 投标报价不得超过“</w:t>
      </w:r>
      <w:r>
        <w:rPr>
          <w:rFonts w:hint="eastAsia" w:ascii="仿宋" w:hAnsi="仿宋" w:eastAsia="仿宋" w:cs="仿宋"/>
          <w:color w:val="000000" w:themeColor="text1"/>
          <w:highlight w:val="none"/>
          <w14:textFill>
            <w14:solidFill>
              <w14:schemeClr w14:val="tx1"/>
            </w14:solidFill>
          </w14:textFill>
        </w:rPr>
        <w:t>第一章 招标公告</w:t>
      </w:r>
      <w:r>
        <w:rPr>
          <w:rFonts w:hint="eastAsia" w:ascii="仿宋" w:hAnsi="仿宋" w:eastAsia="仿宋" w:cs="仿宋"/>
          <w:color w:val="000000" w:themeColor="text1"/>
          <w:szCs w:val="24"/>
          <w:highlight w:val="none"/>
          <w14:textFill>
            <w14:solidFill>
              <w14:schemeClr w14:val="tx1"/>
            </w14:solidFill>
          </w14:textFill>
        </w:rPr>
        <w:t>”中规定的最高投标限价</w:t>
      </w:r>
      <w:r>
        <w:rPr>
          <w:rFonts w:hint="eastAsia" w:ascii="仿宋" w:hAnsi="仿宋" w:eastAsia="仿宋" w:cs="仿宋"/>
          <w:color w:val="000000" w:themeColor="text1"/>
          <w:highlight w:val="none"/>
          <w14:textFill>
            <w14:solidFill>
              <w14:schemeClr w14:val="tx1"/>
            </w14:solidFill>
          </w14:textFill>
        </w:rPr>
        <w:t>或者预算金额</w:t>
      </w:r>
      <w:r>
        <w:rPr>
          <w:rFonts w:hint="eastAsia" w:ascii="仿宋" w:hAnsi="仿宋" w:eastAsia="仿宋" w:cs="仿宋"/>
          <w:color w:val="000000" w:themeColor="text1"/>
          <w:szCs w:val="24"/>
          <w:highlight w:val="none"/>
          <w14:textFill>
            <w14:solidFill>
              <w14:schemeClr w14:val="tx1"/>
            </w14:solidFill>
          </w14:textFill>
        </w:rPr>
        <w:t>，否则评标委员会将对其作</w:t>
      </w:r>
      <w:r>
        <w:rPr>
          <w:rFonts w:hint="eastAsia" w:ascii="仿宋" w:hAnsi="仿宋" w:eastAsia="仿宋" w:cs="仿宋"/>
          <w:b/>
          <w:bCs/>
          <w:color w:val="000000" w:themeColor="text1"/>
          <w:szCs w:val="24"/>
          <w:highlight w:val="none"/>
          <w14:textFill>
            <w14:solidFill>
              <w14:schemeClr w14:val="tx1"/>
            </w14:solidFill>
          </w14:textFill>
        </w:rPr>
        <w:t>无效投标处理</w:t>
      </w:r>
      <w:r>
        <w:rPr>
          <w:rFonts w:hint="eastAsia" w:ascii="仿宋" w:hAnsi="仿宋" w:eastAsia="仿宋" w:cs="仿宋"/>
          <w:color w:val="000000" w:themeColor="text1"/>
          <w:szCs w:val="24"/>
          <w:highlight w:val="none"/>
          <w14:textFill>
            <w14:solidFill>
              <w14:schemeClr w14:val="tx1"/>
            </w14:solidFill>
          </w14:textFill>
        </w:rPr>
        <w:t>。</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14.7 投标人对投标报价若有说明应在投标文件中显著处注明。</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除政策性文件规定以外，投标人所报价格在合同实施期间不因市场变化因素而变动。</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14.9 最低报价不能作为中标的保证。</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14.10</w:t>
      </w:r>
      <w:r>
        <w:rPr>
          <w:rFonts w:hint="eastAsia" w:ascii="仿宋" w:hAnsi="仿宋" w:eastAsia="仿宋" w:cs="仿宋"/>
          <w:color w:val="000000" w:themeColor="text1"/>
          <w:kern w:val="0"/>
          <w:szCs w:val="24"/>
          <w:highlight w:val="none"/>
          <w:lang w:bidi="ar"/>
          <w14:textFill>
            <w14:solidFill>
              <w14:schemeClr w14:val="tx1"/>
            </w14:solidFill>
          </w14:textFill>
        </w:rPr>
        <w:t>采购人不得向投标人索要或者接受其给予的赠品、回扣或者与采购无关的其他商品、服务。</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80" w:name="_Toc163492840"/>
      <w:bookmarkStart w:id="181" w:name="_Toc140132773"/>
      <w:r>
        <w:rPr>
          <w:rFonts w:hint="eastAsia" w:ascii="仿宋" w:hAnsi="仿宋" w:eastAsia="仿宋" w:cs="仿宋"/>
          <w:b/>
          <w:bCs/>
          <w:color w:val="000000" w:themeColor="text1"/>
          <w:szCs w:val="28"/>
          <w:highlight w:val="none"/>
          <w14:textFill>
            <w14:solidFill>
              <w14:schemeClr w14:val="tx1"/>
            </w14:solidFill>
          </w14:textFill>
        </w:rPr>
        <w:t>15.投标有效期</w:t>
      </w:r>
      <w:bookmarkEnd w:id="180"/>
      <w:bookmarkEnd w:id="181"/>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15.1 </w:t>
      </w:r>
      <w:r>
        <w:rPr>
          <w:rFonts w:hint="eastAsia" w:ascii="仿宋" w:hAnsi="仿宋" w:eastAsia="仿宋" w:cs="仿宋"/>
          <w:color w:val="000000" w:themeColor="text1"/>
          <w:kern w:val="0"/>
          <w:szCs w:val="21"/>
          <w:highlight w:val="none"/>
          <w:lang w:val="en"/>
          <w14:textFill>
            <w14:solidFill>
              <w14:schemeClr w14:val="tx1"/>
            </w14:solidFill>
          </w14:textFill>
        </w:rPr>
        <w:t>投标有效期</w:t>
      </w:r>
      <w:r>
        <w:rPr>
          <w:rFonts w:hint="eastAsia" w:ascii="仿宋" w:hAnsi="仿宋" w:eastAsia="仿宋" w:cs="仿宋"/>
          <w:color w:val="000000" w:themeColor="text1"/>
          <w:szCs w:val="24"/>
          <w:highlight w:val="none"/>
          <w14:textFill>
            <w14:solidFill>
              <w14:schemeClr w14:val="tx1"/>
            </w14:solidFill>
          </w14:textFill>
        </w:rPr>
        <w:t>见“第二章 投标人须知前附表”，投标人承诺的投标有效期</w:t>
      </w:r>
      <w:r>
        <w:rPr>
          <w:rFonts w:hint="eastAsia" w:ascii="仿宋" w:hAnsi="仿宋" w:eastAsia="仿宋" w:cs="仿宋"/>
          <w:snapToGrid w:val="0"/>
          <w:color w:val="000000" w:themeColor="text1"/>
          <w:highlight w:val="none"/>
          <w:lang w:val="zh-CN"/>
          <w14:textFill>
            <w14:solidFill>
              <w14:schemeClr w14:val="tx1"/>
            </w14:solidFill>
          </w14:textFill>
        </w:rPr>
        <w:t>少于</w:t>
      </w:r>
      <w:r>
        <w:rPr>
          <w:rFonts w:hint="eastAsia" w:ascii="仿宋" w:hAnsi="仿宋" w:eastAsia="仿宋" w:cs="仿宋"/>
          <w:snapToGrid w:val="0"/>
          <w:color w:val="000000" w:themeColor="text1"/>
          <w:highlight w:val="none"/>
          <w14:textFill>
            <w14:solidFill>
              <w14:schemeClr w14:val="tx1"/>
            </w14:solidFill>
          </w14:textFill>
        </w:rPr>
        <w:t>招标</w:t>
      </w:r>
      <w:r>
        <w:rPr>
          <w:rFonts w:hint="eastAsia" w:ascii="仿宋" w:hAnsi="仿宋" w:eastAsia="仿宋" w:cs="仿宋"/>
          <w:snapToGrid w:val="0"/>
          <w:color w:val="000000" w:themeColor="text1"/>
          <w:highlight w:val="none"/>
          <w:lang w:val="zh-CN"/>
          <w14:textFill>
            <w14:solidFill>
              <w14:schemeClr w14:val="tx1"/>
            </w14:solidFill>
          </w14:textFill>
        </w:rPr>
        <w:t>文件规定期限的，其</w:t>
      </w:r>
      <w:r>
        <w:rPr>
          <w:rFonts w:hint="eastAsia" w:ascii="仿宋" w:hAnsi="仿宋" w:eastAsia="仿宋" w:cs="仿宋"/>
          <w:b/>
          <w:bCs/>
          <w:snapToGrid w:val="0"/>
          <w:color w:val="000000" w:themeColor="text1"/>
          <w:highlight w:val="none"/>
          <w14:textFill>
            <w14:solidFill>
              <w14:schemeClr w14:val="tx1"/>
            </w14:solidFill>
          </w14:textFill>
        </w:rPr>
        <w:t>投标</w:t>
      </w:r>
      <w:r>
        <w:rPr>
          <w:rFonts w:hint="eastAsia" w:ascii="仿宋" w:hAnsi="仿宋" w:eastAsia="仿宋" w:cs="仿宋"/>
          <w:b/>
          <w:bCs/>
          <w:snapToGrid w:val="0"/>
          <w:color w:val="000000" w:themeColor="text1"/>
          <w:highlight w:val="none"/>
          <w:lang w:val="zh-CN"/>
          <w14:textFill>
            <w14:solidFill>
              <w14:schemeClr w14:val="tx1"/>
            </w14:solidFill>
          </w14:textFill>
        </w:rPr>
        <w:t>无效</w:t>
      </w:r>
      <w:r>
        <w:rPr>
          <w:rFonts w:hint="eastAsia" w:ascii="仿宋" w:hAnsi="仿宋" w:eastAsia="仿宋" w:cs="仿宋"/>
          <w:snapToGrid w:val="0"/>
          <w:color w:val="000000" w:themeColor="text1"/>
          <w:highlight w:val="none"/>
          <w:lang w:val="zh-CN"/>
          <w14:textFill>
            <w14:solidFill>
              <w14:schemeClr w14:val="tx1"/>
            </w14:solidFill>
          </w14:textFill>
        </w:rPr>
        <w:t>。</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15.4投标人同意延长的，</w:t>
      </w:r>
      <w:r>
        <w:rPr>
          <w:rFonts w:hint="eastAsia" w:ascii="仿宋" w:hAnsi="仿宋" w:eastAsia="仿宋" w:cs="仿宋"/>
          <w:color w:val="000000" w:themeColor="text1"/>
          <w:highlight w:val="none"/>
          <w14:textFill>
            <w14:solidFill>
              <w14:schemeClr w14:val="tx1"/>
            </w14:solidFill>
          </w14:textFill>
        </w:rPr>
        <w:t>其投标保证金的有效期也相应延长，但</w:t>
      </w:r>
      <w:r>
        <w:rPr>
          <w:rFonts w:hint="eastAsia" w:ascii="仿宋" w:hAnsi="仿宋" w:eastAsia="仿宋" w:cs="仿宋"/>
          <w:color w:val="000000" w:themeColor="text1"/>
          <w:szCs w:val="24"/>
          <w:highlight w:val="none"/>
          <w14:textFill>
            <w14:solidFill>
              <w14:schemeClr w14:val="tx1"/>
            </w14:solidFill>
          </w14:textFill>
        </w:rPr>
        <w:t>不得要求或被允许修改或撤销其投标文件；投标人拒绝延长的，其投标文件在原投标有效期满后将不再有效，但其提交的投标保证金可予以退还。</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82" w:name="_Toc163492841"/>
      <w:bookmarkStart w:id="183" w:name="_Toc140132774"/>
      <w:r>
        <w:rPr>
          <w:rFonts w:hint="eastAsia" w:ascii="仿宋" w:hAnsi="仿宋" w:eastAsia="仿宋" w:cs="仿宋"/>
          <w:b/>
          <w:bCs/>
          <w:color w:val="000000" w:themeColor="text1"/>
          <w:szCs w:val="28"/>
          <w:highlight w:val="none"/>
          <w14:textFill>
            <w14:solidFill>
              <w14:schemeClr w14:val="tx1"/>
            </w14:solidFill>
          </w14:textFill>
        </w:rPr>
        <w:t>16.投标文件的编制</w:t>
      </w:r>
      <w:bookmarkEnd w:id="182"/>
      <w:bookmarkEnd w:id="183"/>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16.1投标文件应在“投标客户端”中进行编制，在投标文件中要求加盖印章的，除有特殊说明之外，可使用电子签章签署。</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bookmarkStart w:id="184" w:name="_Hlk143528557"/>
      <w:r>
        <w:rPr>
          <w:rFonts w:hint="eastAsia" w:ascii="仿宋" w:hAnsi="仿宋" w:eastAsia="仿宋" w:cs="仿宋"/>
          <w:color w:val="000000" w:themeColor="text1"/>
          <w:highlight w:val="none"/>
          <w14:textFill>
            <w14:solidFill>
              <w14:schemeClr w14:val="tx1"/>
            </w14:solidFill>
          </w14:textFill>
        </w:rPr>
        <w:t>2投标人在</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szCs w:val="24"/>
          <w:highlight w:val="none"/>
          <w:lang w:val="en-US"/>
          <w14:textFill>
            <w14:solidFill>
              <w14:schemeClr w14:val="tx1"/>
            </w14:solidFill>
          </w14:textFill>
        </w:rPr>
        <w:t>投标</w:t>
      </w:r>
      <w:r>
        <w:rPr>
          <w:rFonts w:hint="eastAsia" w:ascii="仿宋" w:hAnsi="仿宋" w:eastAsia="仿宋" w:cs="仿宋"/>
          <w:color w:val="000000" w:themeColor="text1"/>
          <w:szCs w:val="24"/>
          <w:highlight w:val="none"/>
          <w14:textFill>
            <w14:solidFill>
              <w14:schemeClr w14:val="tx1"/>
            </w14:solidFill>
          </w14:textFill>
        </w:rPr>
        <w:t>客户端”</w:t>
      </w:r>
      <w:r>
        <w:rPr>
          <w:rFonts w:hint="eastAsia" w:ascii="仿宋" w:hAnsi="仿宋" w:eastAsia="仿宋" w:cs="仿宋"/>
          <w:color w:val="000000" w:themeColor="text1"/>
          <w:highlight w:val="none"/>
          <w14:textFill>
            <w14:solidFill>
              <w14:schemeClr w14:val="tx1"/>
            </w14:solidFill>
          </w14:textFill>
        </w:rPr>
        <w:t>中按照</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szCs w:val="24"/>
          <w:highlight w:val="none"/>
          <w:lang w:val="en-US"/>
          <w14:textFill>
            <w14:solidFill>
              <w14:schemeClr w14:val="tx1"/>
            </w14:solidFill>
          </w14:textFill>
        </w:rPr>
        <w:t>投标</w:t>
      </w:r>
      <w:r>
        <w:rPr>
          <w:rFonts w:hint="eastAsia" w:ascii="仿宋" w:hAnsi="仿宋" w:eastAsia="仿宋" w:cs="仿宋"/>
          <w:color w:val="000000" w:themeColor="text1"/>
          <w:szCs w:val="24"/>
          <w:highlight w:val="none"/>
          <w14:textFill>
            <w14:solidFill>
              <w14:schemeClr w14:val="tx1"/>
            </w14:solidFill>
          </w14:textFill>
        </w:rPr>
        <w:t>客户端”</w:t>
      </w:r>
      <w:r>
        <w:rPr>
          <w:rFonts w:hint="eastAsia" w:ascii="仿宋" w:hAnsi="仿宋" w:eastAsia="仿宋" w:cs="仿宋"/>
          <w:color w:val="000000" w:themeColor="text1"/>
          <w:highlight w:val="none"/>
          <w14:textFill>
            <w14:solidFill>
              <w14:schemeClr w14:val="tx1"/>
            </w14:solidFill>
          </w14:textFill>
        </w:rPr>
        <w:t>中的格式要求填写响应内容后，生成投标文件。投标人须按照招标文件的要求使用电子签章对要求加盖印章的部分逐一进行签章。</w:t>
      </w:r>
      <w:bookmarkEnd w:id="184"/>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color w:val="000000" w:themeColor="text1"/>
          <w:highlight w:val="none"/>
          <w14:textFill>
            <w14:solidFill>
              <w14:schemeClr w14:val="tx1"/>
            </w14:solidFill>
          </w14:textFill>
        </w:rPr>
        <w:t>导致</w:t>
      </w:r>
      <w:r>
        <w:rPr>
          <w:rFonts w:hint="eastAsia" w:ascii="仿宋" w:hAnsi="仿宋" w:eastAsia="仿宋" w:cs="仿宋"/>
          <w:b/>
          <w:bCs/>
          <w:color w:val="000000" w:themeColor="text1"/>
          <w:highlight w:val="none"/>
          <w:lang w:val="en-US"/>
          <w14:textFill>
            <w14:solidFill>
              <w14:schemeClr w14:val="tx1"/>
            </w14:solidFill>
          </w14:textFill>
        </w:rPr>
        <w:t>其</w:t>
      </w:r>
      <w:r>
        <w:rPr>
          <w:rFonts w:hint="eastAsia" w:ascii="仿宋" w:hAnsi="仿宋" w:eastAsia="仿宋" w:cs="仿宋"/>
          <w:b/>
          <w:bCs/>
          <w:color w:val="000000" w:themeColor="text1"/>
          <w:highlight w:val="none"/>
          <w14:textFill>
            <w14:solidFill>
              <w14:schemeClr w14:val="tx1"/>
            </w14:solidFill>
          </w14:textFill>
        </w:rPr>
        <w:t>投标</w:t>
      </w:r>
      <w:r>
        <w:rPr>
          <w:rFonts w:hint="eastAsia" w:ascii="仿宋" w:hAnsi="仿宋" w:eastAsia="仿宋" w:cs="仿宋"/>
          <w:b/>
          <w:bCs/>
          <w:color w:val="000000" w:themeColor="text1"/>
          <w:highlight w:val="none"/>
          <w:lang w:val="en-US"/>
          <w14:textFill>
            <w14:solidFill>
              <w14:schemeClr w14:val="tx1"/>
            </w14:solidFill>
          </w14:textFill>
        </w:rPr>
        <w:t>无效</w:t>
      </w:r>
      <w:r>
        <w:rPr>
          <w:rFonts w:hint="eastAsia" w:ascii="仿宋" w:hAnsi="仿宋" w:eastAsia="仿宋" w:cs="仿宋"/>
          <w:color w:val="000000" w:themeColor="text1"/>
          <w:highlight w:val="none"/>
          <w14:textFill>
            <w14:solidFill>
              <w14:schemeClr w14:val="tx1"/>
            </w14:solidFill>
          </w14:textFill>
        </w:rPr>
        <w:t>。</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投标文件须严格按照</w:t>
      </w:r>
      <w:r>
        <w:rPr>
          <w:rFonts w:hint="eastAsia" w:ascii="仿宋" w:hAnsi="仿宋" w:eastAsia="仿宋" w:cs="仿宋"/>
          <w:color w:val="000000" w:themeColor="text1"/>
          <w:highlight w:val="none"/>
          <w:lang w:val="en-US"/>
          <w14:textFill>
            <w14:solidFill>
              <w14:schemeClr w14:val="tx1"/>
            </w14:solidFill>
          </w14:textFill>
        </w:rPr>
        <w:t>本</w:t>
      </w:r>
      <w:r>
        <w:rPr>
          <w:rFonts w:hint="eastAsia" w:ascii="仿宋" w:hAnsi="仿宋" w:eastAsia="仿宋" w:cs="仿宋"/>
          <w:color w:val="000000" w:themeColor="text1"/>
          <w:highlight w:val="none"/>
          <w14:textFill>
            <w14:solidFill>
              <w14:schemeClr w14:val="tx1"/>
            </w14:solidFill>
          </w14:textFill>
        </w:rPr>
        <w:t>招标文件第</w:t>
      </w:r>
      <w:r>
        <w:rPr>
          <w:rFonts w:hint="eastAsia" w:ascii="仿宋" w:hAnsi="仿宋" w:eastAsia="仿宋" w:cs="仿宋"/>
          <w:color w:val="000000" w:themeColor="text1"/>
          <w:highlight w:val="none"/>
          <w:lang w:val="en-US"/>
          <w14:textFill>
            <w14:solidFill>
              <w14:schemeClr w14:val="tx1"/>
            </w14:solidFill>
          </w14:textFill>
        </w:rPr>
        <w:t>七章</w:t>
      </w:r>
      <w:r>
        <w:rPr>
          <w:rFonts w:hint="eastAsia" w:ascii="仿宋" w:hAnsi="仿宋" w:eastAsia="仿宋" w:cs="仿宋"/>
          <w:color w:val="000000" w:themeColor="text1"/>
          <w:highlight w:val="none"/>
          <w14:textFill>
            <w14:solidFill>
              <w14:schemeClr w14:val="tx1"/>
            </w14:solidFill>
          </w14:textFill>
        </w:rPr>
        <w:t>规定的格式提交，并按规定的统一格式逐项填写，不准有空项；无相应内容可填的项，应填写“无”、“未测试”、“没有相应指标”等明确的回答文字。由于编排混乱导致投标文件被误读或查找不到，其责任由投标人承担。</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仿宋" w:hAnsi="仿宋" w:eastAsia="仿宋" w:cs="仿宋"/>
          <w:b/>
          <w:bCs/>
          <w:color w:val="000000" w:themeColor="text1"/>
          <w:highlight w:val="none"/>
          <w:lang w:val="en-US"/>
          <w14:textFill>
            <w14:solidFill>
              <w14:schemeClr w14:val="tx1"/>
            </w14:solidFill>
          </w14:textFill>
        </w:rPr>
        <w:t>视为未响应</w:t>
      </w:r>
      <w:r>
        <w:rPr>
          <w:rFonts w:hint="eastAsia" w:ascii="仿宋" w:hAnsi="仿宋" w:eastAsia="仿宋" w:cs="仿宋"/>
          <w:color w:val="000000" w:themeColor="text1"/>
          <w:highlight w:val="none"/>
          <w:lang w:val="en-US"/>
          <w14:textFill>
            <w14:solidFill>
              <w14:schemeClr w14:val="tx1"/>
            </w14:solidFill>
          </w14:textFill>
        </w:rPr>
        <w:t>。</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开标一览表为在开标</w:t>
      </w:r>
      <w:r>
        <w:rPr>
          <w:rFonts w:hint="eastAsia" w:ascii="仿宋" w:hAnsi="仿宋" w:eastAsia="仿宋" w:cs="仿宋"/>
          <w:color w:val="000000" w:themeColor="text1"/>
          <w:highlight w:val="none"/>
          <w:lang w:val="en-US"/>
          <w14:textFill>
            <w14:solidFill>
              <w14:schemeClr w14:val="tx1"/>
            </w14:solidFill>
          </w14:textFill>
        </w:rPr>
        <w:t>时</w:t>
      </w:r>
      <w:r>
        <w:rPr>
          <w:rFonts w:hint="eastAsia" w:ascii="仿宋" w:hAnsi="仿宋" w:eastAsia="仿宋" w:cs="仿宋"/>
          <w:color w:val="000000" w:themeColor="text1"/>
          <w:highlight w:val="none"/>
          <w14:textFill>
            <w14:solidFill>
              <w14:schemeClr w14:val="tx1"/>
            </w14:solidFill>
          </w14:textFill>
        </w:rPr>
        <w:t>唱标的内容，要求按格式统一填写，不得自行增减内容。</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color w:val="000000" w:themeColor="text1"/>
          <w:highlight w:val="none"/>
          <w:lang w:val="en-US"/>
          <w14:textFill>
            <w14:solidFill>
              <w14:schemeClr w14:val="tx1"/>
            </w14:solidFill>
          </w14:textFill>
        </w:rPr>
        <w:t>按</w:t>
      </w:r>
      <w:r>
        <w:rPr>
          <w:rFonts w:hint="eastAsia" w:ascii="仿宋" w:hAnsi="仿宋" w:eastAsia="仿宋" w:cs="仿宋"/>
          <w:b/>
          <w:bCs/>
          <w:color w:val="000000" w:themeColor="text1"/>
          <w:highlight w:val="none"/>
          <w:lang w:val="en-US"/>
          <w14:textFill>
            <w14:solidFill>
              <w14:schemeClr w14:val="tx1"/>
            </w14:solidFill>
          </w14:textFill>
        </w:rPr>
        <w:t>无效投标</w:t>
      </w:r>
      <w:r>
        <w:rPr>
          <w:rFonts w:hint="eastAsia" w:ascii="仿宋" w:hAnsi="仿宋" w:eastAsia="仿宋" w:cs="仿宋"/>
          <w:color w:val="000000" w:themeColor="text1"/>
          <w:highlight w:val="none"/>
          <w14:textFill>
            <w14:solidFill>
              <w14:schemeClr w14:val="tx1"/>
            </w14:solidFill>
          </w14:textFill>
        </w:rPr>
        <w:t>处理。</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投标人必须保证投标文件所提供的全部资料真实可靠，并接受采购</w:t>
      </w:r>
      <w:r>
        <w:rPr>
          <w:rFonts w:hint="eastAsia" w:ascii="仿宋" w:hAnsi="仿宋" w:eastAsia="仿宋" w:cs="仿宋"/>
          <w:color w:val="000000" w:themeColor="text1"/>
          <w:highlight w:val="none"/>
          <w:lang w:val="en-US"/>
          <w14:textFill>
            <w14:solidFill>
              <w14:schemeClr w14:val="tx1"/>
            </w14:solidFill>
          </w14:textFill>
        </w:rPr>
        <w:t>人、采购</w:t>
      </w:r>
      <w:r>
        <w:rPr>
          <w:rFonts w:hint="eastAsia" w:ascii="仿宋" w:hAnsi="仿宋" w:eastAsia="仿宋" w:cs="仿宋"/>
          <w:color w:val="000000" w:themeColor="text1"/>
          <w:highlight w:val="none"/>
          <w14:textFill>
            <w14:solidFill>
              <w14:schemeClr w14:val="tx1"/>
            </w14:solidFill>
          </w14:textFill>
        </w:rPr>
        <w:t>代理机构或评标委员会对其中任何资料进一步审查的要求。</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color w:val="000000" w:themeColor="text1"/>
          <w:highlight w:val="none"/>
          <w14:textFill>
            <w14:solidFill>
              <w14:schemeClr w14:val="tx1"/>
            </w14:solidFill>
          </w14:textFill>
        </w:rPr>
        <w:t>无效投标</w:t>
      </w:r>
      <w:r>
        <w:rPr>
          <w:rFonts w:hint="eastAsia" w:ascii="仿宋" w:hAnsi="仿宋" w:eastAsia="仿宋" w:cs="仿宋"/>
          <w:color w:val="000000" w:themeColor="text1"/>
          <w:highlight w:val="none"/>
          <w14:textFill>
            <w14:solidFill>
              <w14:schemeClr w14:val="tx1"/>
            </w14:solidFill>
          </w14:textFill>
        </w:rPr>
        <w:t>处理。</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16.10电子投标文件的编制</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16.10.1电子投标文件需按招标文件要求进行制作编制。投标文件制作时，不同内容按标签提示制作导入，按照招标文件中明确的投标文件目录和格式进行编制，保证目录清晰、内容完整；           </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color w:val="000000" w:themeColor="text1"/>
          <w:kern w:val="2"/>
          <w:sz w:val="24"/>
          <w:szCs w:val="22"/>
          <w:highlight w:val="none"/>
          <w:shd w:val="clear" w:color="auto" w:fill="FFFFFF" w:themeFill="background1"/>
          <w14:textFill>
            <w14:solidFill>
              <w14:schemeClr w14:val="tx1"/>
            </w14:solidFill>
          </w14:textFill>
        </w:rPr>
        <w:t>其投标无效</w:t>
      </w: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 </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185" w:name="_Toc163492842"/>
      <w:bookmarkStart w:id="186" w:name="_Toc155185873"/>
      <w:r>
        <w:rPr>
          <w:rFonts w:hint="eastAsia" w:ascii="仿宋" w:hAnsi="仿宋" w:eastAsia="仿宋" w:cs="仿宋"/>
          <w:b/>
          <w:bCs/>
          <w:color w:val="000000" w:themeColor="text1"/>
          <w:szCs w:val="32"/>
          <w:highlight w:val="none"/>
          <w14:textFill>
            <w14:solidFill>
              <w14:schemeClr w14:val="tx1"/>
            </w14:solidFill>
          </w14:textFill>
        </w:rPr>
        <w:t>（四）投标</w:t>
      </w:r>
      <w:bookmarkEnd w:id="185"/>
      <w:bookmarkEnd w:id="186"/>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87" w:name="_Toc163492843"/>
      <w:r>
        <w:rPr>
          <w:rFonts w:hint="eastAsia" w:ascii="仿宋" w:hAnsi="仿宋" w:eastAsia="仿宋" w:cs="仿宋"/>
          <w:b/>
          <w:bCs/>
          <w:color w:val="000000" w:themeColor="text1"/>
          <w:szCs w:val="28"/>
          <w:highlight w:val="none"/>
          <w14:textFill>
            <w14:solidFill>
              <w14:schemeClr w14:val="tx1"/>
            </w14:solidFill>
          </w14:textFill>
        </w:rPr>
        <w:t>17.投标保证金</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17.1投标人应按照招标文件“第二章 投标人须知前附表”规定的金额及要求提交投标保证金。投标人自愿超额缴纳投标保证金的，投标文件不做无效处理。</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iCs/>
          <w:color w:val="000000" w:themeColor="text1"/>
          <w:highlight w:val="none"/>
          <w:shd w:val="clear" w:color="auto" w:fill="FFFFFF" w:themeFill="background1"/>
          <w14:textFill>
            <w14:solidFill>
              <w14:schemeClr w14:val="tx1"/>
            </w14:solidFill>
          </w14:textFill>
        </w:rPr>
        <w:t>17.2提交投标保证金可采用的形式：政府采购法律法规接受的支票、汇票、本票、网上银行支付或者金融机构、担保机构出具的保函等非现金形式。</w:t>
      </w:r>
      <w:r>
        <w:rPr>
          <w:rFonts w:hint="eastAsia" w:ascii="仿宋" w:hAnsi="仿宋" w:eastAsia="仿宋" w:cs="仿宋"/>
          <w:color w:val="000000" w:themeColor="text1"/>
          <w:highlight w:val="none"/>
          <w14:textFill>
            <w14:solidFill>
              <w14:schemeClr w14:val="tx1"/>
            </w14:solidFill>
          </w14:textFill>
        </w:rPr>
        <w:t>投标人未按照招标文件要求提交投标保证金的，其</w:t>
      </w:r>
      <w:r>
        <w:rPr>
          <w:rFonts w:hint="eastAsia" w:ascii="仿宋" w:hAnsi="仿宋" w:eastAsia="仿宋" w:cs="仿宋"/>
          <w:b/>
          <w:bCs/>
          <w:color w:val="000000" w:themeColor="text1"/>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。投标保证金有效期同投标有效期。</w:t>
      </w:r>
    </w:p>
    <w:p>
      <w:pPr>
        <w:pStyle w:val="6"/>
        <w:ind w:firstLine="48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color w:val="000000" w:themeColor="text1"/>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17.4 投标人为联合体的，可以由联合体中的一方或者多方共同提交投标保证金，其提交的投标保证金对联合体各方均具有约束力。</w:t>
      </w:r>
    </w:p>
    <w:p>
      <w:pPr>
        <w:pStyle w:val="31"/>
        <w:spacing w:line="360" w:lineRule="auto"/>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17.6 投标人在投标截止时间前撤回已提交的投标文件的，自收到投标人书面撤回通知之日起 5 个工作日内，退还已收取的投标保证金，但因投标人自身原因导致无法及时退还的除外。 </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17.7 终止招标项目已经收取投标保证金的，自终止采购活动后 5 个工作日内退还已收取的投标保证金及其在银行产生的孳息。</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 有下列情形之一的，采购人或采购代理机构可以不予退还投标保证金,</w:t>
      </w:r>
      <w:r>
        <w:rPr>
          <w:rFonts w:hint="eastAsia" w:ascii="仿宋" w:hAnsi="仿宋" w:eastAsia="仿宋" w:cs="仿宋"/>
          <w:color w:val="000000" w:themeColor="text1"/>
          <w:kern w:val="2"/>
          <w:sz w:val="24"/>
          <w:szCs w:val="22"/>
          <w:highlight w:val="none"/>
          <w14:textFill>
            <w14:solidFill>
              <w14:schemeClr w14:val="tx1"/>
            </w14:solidFill>
          </w14:textFill>
        </w:rPr>
        <w:t>情节严重的将其列入不良记录名单</w:t>
      </w: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 </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17.8.1 </w:t>
      </w:r>
      <w:r>
        <w:rPr>
          <w:rFonts w:hint="eastAsia" w:ascii="仿宋" w:hAnsi="仿宋" w:eastAsia="仿宋" w:cs="仿宋"/>
          <w:color w:val="000000" w:themeColor="text1"/>
          <w:kern w:val="2"/>
          <w:sz w:val="24"/>
          <w:szCs w:val="22"/>
          <w:highlight w:val="none"/>
          <w14:textFill>
            <w14:solidFill>
              <w14:schemeClr w14:val="tx1"/>
            </w14:solidFill>
          </w14:textFill>
        </w:rPr>
        <w:t>开标后在投标有效期内，投标人撤销其投标的；</w:t>
      </w: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 </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17.8.2 </w:t>
      </w:r>
      <w:r>
        <w:rPr>
          <w:rFonts w:hint="eastAsia" w:ascii="仿宋" w:hAnsi="仿宋" w:eastAsia="仿宋" w:cs="仿宋"/>
          <w:color w:val="000000" w:themeColor="text1"/>
          <w:kern w:val="2"/>
          <w:sz w:val="24"/>
          <w:szCs w:val="22"/>
          <w:highlight w:val="none"/>
          <w14:textFill>
            <w14:solidFill>
              <w14:schemeClr w14:val="tx1"/>
            </w14:solidFill>
          </w14:textFill>
        </w:rPr>
        <w:t>中标后无正当理由不与采购人签订合同的；</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17.8.3 </w:t>
      </w:r>
      <w:r>
        <w:rPr>
          <w:rFonts w:hint="eastAsia" w:ascii="仿宋" w:hAnsi="仿宋" w:eastAsia="仿宋" w:cs="仿宋"/>
          <w:color w:val="000000" w:themeColor="text1"/>
          <w:kern w:val="2"/>
          <w:sz w:val="24"/>
          <w:szCs w:val="22"/>
          <w:highlight w:val="none"/>
          <w14:textFill>
            <w14:solidFill>
              <w14:schemeClr w14:val="tx1"/>
            </w14:solidFill>
          </w14:textFill>
        </w:rPr>
        <w:t>中标人与采购人订立背离合同实质性内容的其他协议；</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w:t>
      </w:r>
      <w:r>
        <w:rPr>
          <w:rFonts w:hint="eastAsia" w:ascii="仿宋" w:hAnsi="仿宋" w:eastAsia="仿宋" w:cs="仿宋"/>
          <w:color w:val="000000" w:themeColor="text1"/>
          <w:kern w:val="2"/>
          <w:sz w:val="24"/>
          <w:szCs w:val="22"/>
          <w:highlight w:val="none"/>
          <w14:textFill>
            <w14:solidFill>
              <w14:schemeClr w14:val="tx1"/>
            </w14:solidFill>
          </w14:textFill>
        </w:rPr>
        <w:t>4 将中标项目转让给他人，或者在投标文件中未说明，且未经采购人同意，将中标项目分包给他人的；</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w:t>
      </w:r>
      <w:r>
        <w:rPr>
          <w:rFonts w:hint="eastAsia" w:ascii="仿宋" w:hAnsi="仿宋" w:eastAsia="仿宋" w:cs="仿宋"/>
          <w:color w:val="000000" w:themeColor="text1"/>
          <w:kern w:val="2"/>
          <w:sz w:val="24"/>
          <w:szCs w:val="22"/>
          <w:highlight w:val="none"/>
          <w14:textFill>
            <w14:solidFill>
              <w14:schemeClr w14:val="tx1"/>
            </w14:solidFill>
          </w14:textFill>
        </w:rPr>
        <w:t>5 存在串通投标行为的；</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w:t>
      </w:r>
      <w:r>
        <w:rPr>
          <w:rFonts w:hint="eastAsia" w:ascii="仿宋" w:hAnsi="仿宋" w:eastAsia="仿宋" w:cs="仿宋"/>
          <w:color w:val="000000" w:themeColor="text1"/>
          <w:kern w:val="2"/>
          <w:sz w:val="24"/>
          <w:szCs w:val="22"/>
          <w:highlight w:val="none"/>
          <w14:textFill>
            <w14:solidFill>
              <w14:schemeClr w14:val="tx1"/>
            </w14:solidFill>
          </w14:textFill>
        </w:rPr>
        <w:t>6 存在弄虚作假或提供虚假材料谋取中标的；</w:t>
      </w:r>
    </w:p>
    <w:p>
      <w:pPr>
        <w:pStyle w:val="31"/>
        <w:spacing w:line="360" w:lineRule="auto"/>
        <w:ind w:firstLine="480" w:firstLineChars="200"/>
        <w:outlineLvl w:val="9"/>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w:t>
      </w:r>
      <w:r>
        <w:rPr>
          <w:rFonts w:hint="eastAsia" w:ascii="仿宋" w:hAnsi="仿宋" w:eastAsia="仿宋" w:cs="仿宋"/>
          <w:color w:val="000000" w:themeColor="text1"/>
          <w:kern w:val="2"/>
          <w:sz w:val="24"/>
          <w:szCs w:val="22"/>
          <w:highlight w:val="none"/>
          <w14:textFill>
            <w14:solidFill>
              <w14:schemeClr w14:val="tx1"/>
            </w14:solidFill>
          </w14:textFill>
        </w:rPr>
        <w:t>7 投标人其他未按招标文件规定和合同约定履行义务的行为。</w:t>
      </w:r>
    </w:p>
    <w:p>
      <w:pPr>
        <w:pStyle w:val="31"/>
        <w:spacing w:line="360" w:lineRule="auto"/>
        <w:ind w:firstLine="480" w:firstLineChars="200"/>
        <w:outlineLvl w:val="9"/>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17.9如开标时投标人对本单位投标保证金缴纳情况有疑义，投标人应在开标结束前向采购人提交书面申请核实保证金缴纳情况。由银行或保险公司核实后出具书面材料予以答复。</w:t>
      </w:r>
    </w:p>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18.投标文件的加密</w:t>
      </w:r>
      <w:bookmarkEnd w:id="187"/>
    </w:p>
    <w:p>
      <w:pPr>
        <w:ind w:firstLine="480" w:firstLineChars="200"/>
        <w:outlineLvl w:val="9"/>
        <w:rPr>
          <w:rFonts w:ascii="仿宋" w:hAnsi="仿宋" w:eastAsia="仿宋" w:cs="仿宋"/>
          <w:color w:val="000000" w:themeColor="text1"/>
          <w:szCs w:val="24"/>
          <w:highlight w:val="none"/>
          <w:u w:val="single"/>
          <w14:textFill>
            <w14:solidFill>
              <w14:schemeClr w14:val="tx1"/>
            </w14:solidFill>
          </w14:textFill>
        </w:rPr>
      </w:pPr>
      <w:bookmarkStart w:id="188" w:name="_Hlk143531864"/>
      <w:r>
        <w:rPr>
          <w:rFonts w:hint="eastAsia" w:ascii="仿宋" w:hAnsi="仿宋" w:eastAsia="仿宋" w:cs="仿宋"/>
          <w:color w:val="000000" w:themeColor="text1"/>
          <w:szCs w:val="24"/>
          <w:highlight w:val="none"/>
          <w14:textFill>
            <w14:solidFill>
              <w14:schemeClr w14:val="tx1"/>
            </w14:solidFill>
          </w14:textFill>
        </w:rPr>
        <w:t>18.1投标人在“投标客户端”中生成投标文件并完成签章之后，使用CA证书在“投标客户端”中对投标文件进行加密。</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18.2投标人应在“投标客户端”中对加密的投标文件进行解密验证，以防止投标文件加密异常，在开标时无法解密。</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18.3 投标人应保证加密投标文件的CA证书有效期在开标时间之前。若CA证书有效期临近开标时间，建议投标人提前办理CA证书续期，以免开标时无法进行解密。</w:t>
      </w:r>
    </w:p>
    <w:p>
      <w:pPr>
        <w:wordWrap w:val="0"/>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18.4投标人在投标文件递交截止时间前通过</w:t>
      </w:r>
      <w:r>
        <w:rPr>
          <w:rFonts w:hint="eastAsia" w:ascii="仿宋" w:hAnsi="仿宋" w:eastAsia="仿宋" w:cs="仿宋"/>
          <w:color w:val="000000" w:themeColor="text1"/>
          <w:szCs w:val="24"/>
          <w:highlight w:val="none"/>
          <w:lang w:val="en-US" w:eastAsia="zh-CN"/>
          <w14:textFill>
            <w14:solidFill>
              <w14:schemeClr w14:val="tx1"/>
            </w14:solidFill>
          </w14:textFill>
        </w:rPr>
        <w:t>新疆</w:t>
      </w:r>
      <w:r>
        <w:rPr>
          <w:rFonts w:hint="eastAsia" w:ascii="仿宋" w:hAnsi="仿宋" w:eastAsia="仿宋" w:cs="仿宋"/>
          <w:color w:val="000000" w:themeColor="text1"/>
          <w:szCs w:val="24"/>
          <w:highlight w:val="none"/>
          <w14:textFill>
            <w14:solidFill>
              <w14:schemeClr w14:val="tx1"/>
            </w14:solidFill>
          </w14:textFill>
        </w:rPr>
        <w:t>政府采购网的政采云登录入口”登录后，将加密电子投标文件（为.jmbs后缀格式）上传到对应项目的指定位置，投标人认为有必要提交的其他资料请于投标截止时间前一并提交。</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18.5如果投标人未按上述要求加密并上传，采购代理机构对投标文件的误投、无法解密、传输错误等问题概不负责。对由此造成无法正常开启的投标文件，采购代理机构有权予以拒绝，并退回投标人。</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18.6本项目采用不见面开标，无需提供电子投标文件U盘。</w:t>
      </w:r>
    </w:p>
    <w:bookmarkEnd w:id="188"/>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89" w:name="_Toc140132777"/>
      <w:bookmarkStart w:id="190" w:name="_Toc163492844"/>
      <w:r>
        <w:rPr>
          <w:rFonts w:hint="eastAsia" w:ascii="仿宋" w:hAnsi="仿宋" w:eastAsia="仿宋" w:cs="仿宋"/>
          <w:b/>
          <w:bCs/>
          <w:color w:val="000000" w:themeColor="text1"/>
          <w:szCs w:val="28"/>
          <w:highlight w:val="none"/>
          <w14:textFill>
            <w14:solidFill>
              <w14:schemeClr w14:val="tx1"/>
            </w14:solidFill>
          </w14:textFill>
        </w:rPr>
        <w:t>19.投标文件的递交</w:t>
      </w:r>
      <w:bookmarkEnd w:id="189"/>
      <w:r>
        <w:rPr>
          <w:rFonts w:hint="eastAsia" w:ascii="仿宋" w:hAnsi="仿宋" w:eastAsia="仿宋" w:cs="仿宋"/>
          <w:b/>
          <w:bCs/>
          <w:color w:val="000000" w:themeColor="text1"/>
          <w:szCs w:val="28"/>
          <w:highlight w:val="none"/>
          <w14:textFill>
            <w14:solidFill>
              <w14:schemeClr w14:val="tx1"/>
            </w14:solidFill>
          </w14:textFill>
        </w:rPr>
        <w:t>（上传）</w:t>
      </w:r>
      <w:bookmarkEnd w:id="190"/>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bookmarkStart w:id="191" w:name="_Hlk143531977"/>
      <w:r>
        <w:rPr>
          <w:rFonts w:hint="eastAsia" w:ascii="仿宋" w:hAnsi="仿宋" w:eastAsia="仿宋" w:cs="仿宋"/>
          <w:color w:val="000000" w:themeColor="text1"/>
          <w:szCs w:val="24"/>
          <w:highlight w:val="none"/>
          <w14:textFill>
            <w14:solidFill>
              <w14:schemeClr w14:val="tx1"/>
            </w14:solidFill>
          </w14:textFill>
        </w:rPr>
        <w:t xml:space="preserve">19.1 投标人应在“第一章 </w:t>
      </w:r>
      <w:r>
        <w:rPr>
          <w:rFonts w:hint="eastAsia" w:ascii="仿宋" w:hAnsi="仿宋" w:eastAsia="仿宋" w:cs="仿宋"/>
          <w:color w:val="000000" w:themeColor="text1"/>
          <w:highlight w:val="none"/>
          <w14:textFill>
            <w14:solidFill>
              <w14:schemeClr w14:val="tx1"/>
            </w14:solidFill>
          </w14:textFill>
        </w:rPr>
        <w:t>招标公告</w:t>
      </w:r>
      <w:r>
        <w:rPr>
          <w:rFonts w:hint="eastAsia" w:ascii="仿宋" w:hAnsi="仿宋" w:eastAsia="仿宋" w:cs="仿宋"/>
          <w:color w:val="000000" w:themeColor="text1"/>
          <w:szCs w:val="24"/>
          <w:highlight w:val="none"/>
          <w14:textFill>
            <w14:solidFill>
              <w14:schemeClr w14:val="tx1"/>
            </w14:solidFill>
          </w14:textFill>
        </w:rPr>
        <w:t>”规定的投标截止时间前递交（上传）投标文件。</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19.2 投标人递交（上传）投标文件的地点见“第一章 </w:t>
      </w:r>
      <w:r>
        <w:rPr>
          <w:rFonts w:hint="eastAsia" w:ascii="仿宋" w:hAnsi="仿宋" w:eastAsia="仿宋" w:cs="仿宋"/>
          <w:color w:val="000000" w:themeColor="text1"/>
          <w:highlight w:val="none"/>
          <w14:textFill>
            <w14:solidFill>
              <w14:schemeClr w14:val="tx1"/>
            </w14:solidFill>
          </w14:textFill>
        </w:rPr>
        <w:t>招标公告</w:t>
      </w:r>
      <w:r>
        <w:rPr>
          <w:rFonts w:hint="eastAsia" w:ascii="仿宋" w:hAnsi="仿宋" w:eastAsia="仿宋" w:cs="仿宋"/>
          <w:color w:val="000000" w:themeColor="text1"/>
          <w:szCs w:val="24"/>
          <w:highlight w:val="none"/>
          <w14:textFill>
            <w14:solidFill>
              <w14:schemeClr w14:val="tx1"/>
            </w14:solidFill>
          </w14:textFill>
        </w:rPr>
        <w:t>”。</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19.3投标人应充分评估集中同时投标带来的网络影响，尽量避开投标高峰时间，错峰进行电子投标。投标人递交全部的投标文件后可在政采云平台（项目采购—投标文件上传）中获取投标文件递交回执单。</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19.4 投标人应在“投标客户端”中下载未加密且完成签章的投标文件妥善保存，以便启动应急开标程序时使用。</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19.5投标人所递交的投标文件不予退还。</w:t>
      </w:r>
    </w:p>
    <w:bookmarkEnd w:id="191"/>
    <w:p>
      <w:pPr>
        <w:spacing w:before="80" w:after="6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92" w:name="_Toc163492845"/>
      <w:r>
        <w:rPr>
          <w:rFonts w:hint="eastAsia" w:ascii="仿宋" w:hAnsi="仿宋" w:eastAsia="仿宋" w:cs="仿宋"/>
          <w:b/>
          <w:bCs/>
          <w:color w:val="000000" w:themeColor="text1"/>
          <w:szCs w:val="28"/>
          <w:highlight w:val="none"/>
          <w14:textFill>
            <w14:solidFill>
              <w14:schemeClr w14:val="tx1"/>
            </w14:solidFill>
          </w14:textFill>
        </w:rPr>
        <w:t>20.拒收</w:t>
      </w:r>
      <w:bookmarkEnd w:id="192"/>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20.1 超过投标文件提交截止时间</w:t>
      </w:r>
      <w:bookmarkStart w:id="193" w:name="_Hlk143532404"/>
      <w:r>
        <w:rPr>
          <w:rFonts w:hint="eastAsia" w:ascii="仿宋" w:hAnsi="仿宋" w:eastAsia="仿宋" w:cs="仿宋"/>
          <w:color w:val="000000" w:themeColor="text1"/>
          <w:szCs w:val="24"/>
          <w:highlight w:val="none"/>
          <w14:textFill>
            <w14:solidFill>
              <w14:schemeClr w14:val="tx1"/>
            </w14:solidFill>
          </w14:textFill>
        </w:rPr>
        <w:t>或者不按照本章要求加密的投标文件，交易系统应当拒收</w:t>
      </w:r>
      <w:bookmarkEnd w:id="193"/>
      <w:r>
        <w:rPr>
          <w:rFonts w:hint="eastAsia" w:ascii="仿宋" w:hAnsi="仿宋" w:eastAsia="仿宋" w:cs="仿宋"/>
          <w:color w:val="000000" w:themeColor="text1"/>
          <w:szCs w:val="24"/>
          <w:highlight w:val="none"/>
          <w14:textFill>
            <w14:solidFill>
              <w14:schemeClr w14:val="tx1"/>
            </w14:solidFill>
          </w14:textFill>
        </w:rPr>
        <w:t>。</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94" w:name="_Toc140132778"/>
      <w:bookmarkStart w:id="195" w:name="_Toc163492846"/>
      <w:r>
        <w:rPr>
          <w:rFonts w:hint="eastAsia" w:ascii="仿宋" w:hAnsi="仿宋" w:eastAsia="仿宋" w:cs="仿宋"/>
          <w:b/>
          <w:bCs/>
          <w:color w:val="000000" w:themeColor="text1"/>
          <w:szCs w:val="28"/>
          <w:highlight w:val="none"/>
          <w14:textFill>
            <w14:solidFill>
              <w14:schemeClr w14:val="tx1"/>
            </w14:solidFill>
          </w14:textFill>
        </w:rPr>
        <w:t>21.投标文件的修改与撤回</w:t>
      </w:r>
      <w:bookmarkEnd w:id="194"/>
      <w:bookmarkEnd w:id="195"/>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21.1</w:t>
      </w:r>
      <w:bookmarkStart w:id="196" w:name="_Hlk143532466"/>
      <w:r>
        <w:rPr>
          <w:rFonts w:hint="eastAsia" w:ascii="仿宋" w:hAnsi="仿宋" w:eastAsia="仿宋" w:cs="仿宋"/>
          <w:color w:val="000000" w:themeColor="text1"/>
          <w:szCs w:val="24"/>
          <w:highlight w:val="none"/>
          <w14:textFill>
            <w14:solidFill>
              <w14:schemeClr w14:val="tx1"/>
            </w14:solidFill>
          </w14:textFill>
        </w:rPr>
        <w:t>投标人在“</w:t>
      </w:r>
      <w:r>
        <w:rPr>
          <w:rFonts w:hint="eastAsia" w:ascii="仿宋" w:hAnsi="仿宋" w:eastAsia="仿宋" w:cs="仿宋"/>
          <w:color w:val="000000" w:themeColor="text1"/>
          <w:highlight w:val="none"/>
          <w14:textFill>
            <w14:solidFill>
              <w14:schemeClr w14:val="tx1"/>
            </w14:solidFill>
          </w14:textFill>
        </w:rPr>
        <w:t>第一章 招标公告</w:t>
      </w:r>
      <w:r>
        <w:rPr>
          <w:rFonts w:hint="eastAsia" w:ascii="仿宋" w:hAnsi="仿宋" w:eastAsia="仿宋" w:cs="仿宋"/>
          <w:color w:val="000000" w:themeColor="text1"/>
          <w:szCs w:val="24"/>
          <w:highlight w:val="none"/>
          <w14:textFill>
            <w14:solidFill>
              <w14:schemeClr w14:val="tx1"/>
            </w14:solidFill>
          </w14:textFill>
        </w:rPr>
        <w:t>”规定的投标文件递交截止时间之前，可在</w:t>
      </w:r>
      <w:r>
        <w:rPr>
          <w:rFonts w:hint="eastAsia" w:ascii="仿宋" w:hAnsi="仿宋" w:eastAsia="仿宋" w:cs="仿宋"/>
          <w:color w:val="000000" w:themeColor="text1"/>
          <w:szCs w:val="24"/>
          <w:highlight w:val="none"/>
          <w:lang w:val="en-US" w:eastAsia="zh-CN"/>
          <w14:textFill>
            <w14:solidFill>
              <w14:schemeClr w14:val="tx1"/>
            </w14:solidFill>
          </w14:textFill>
        </w:rPr>
        <w:t>新疆</w:t>
      </w:r>
      <w:r>
        <w:rPr>
          <w:rFonts w:hint="eastAsia" w:ascii="仿宋" w:hAnsi="仿宋" w:eastAsia="仿宋" w:cs="仿宋"/>
          <w:color w:val="000000" w:themeColor="text1"/>
          <w:szCs w:val="24"/>
          <w:highlight w:val="none"/>
          <w14:textFill>
            <w14:solidFill>
              <w14:schemeClr w14:val="tx1"/>
            </w14:solidFill>
          </w14:textFill>
        </w:rPr>
        <w:t>政府采购电子交易云平台上随时撤回已上传的电子投标文件，将修改好的电子投标文件在投标文件递交截止时间前重新上传到</w:t>
      </w:r>
      <w:r>
        <w:rPr>
          <w:rFonts w:hint="eastAsia" w:ascii="仿宋" w:hAnsi="仿宋" w:eastAsia="仿宋" w:cs="仿宋"/>
          <w:color w:val="000000" w:themeColor="text1"/>
          <w:szCs w:val="24"/>
          <w:highlight w:val="none"/>
          <w:lang w:val="en-US" w:eastAsia="zh-CN"/>
          <w14:textFill>
            <w14:solidFill>
              <w14:schemeClr w14:val="tx1"/>
            </w14:solidFill>
          </w14:textFill>
        </w:rPr>
        <w:t>新疆</w:t>
      </w:r>
      <w:r>
        <w:rPr>
          <w:rFonts w:hint="eastAsia" w:ascii="仿宋" w:hAnsi="仿宋" w:eastAsia="仿宋" w:cs="仿宋"/>
          <w:color w:val="000000" w:themeColor="text1"/>
          <w:szCs w:val="24"/>
          <w:highlight w:val="none"/>
          <w14:textFill>
            <w14:solidFill>
              <w14:schemeClr w14:val="tx1"/>
            </w14:solidFill>
          </w14:textFill>
        </w:rPr>
        <w:t>政府采购电子交易云平台的指定位置。</w:t>
      </w:r>
    </w:p>
    <w:bookmarkEnd w:id="196"/>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97" w:name="_Toc163492847"/>
      <w:bookmarkStart w:id="198" w:name="_Toc155185874"/>
      <w:r>
        <w:rPr>
          <w:rFonts w:hint="eastAsia" w:ascii="仿宋" w:hAnsi="仿宋" w:eastAsia="仿宋" w:cs="仿宋"/>
          <w:b/>
          <w:bCs/>
          <w:color w:val="000000" w:themeColor="text1"/>
          <w:szCs w:val="28"/>
          <w:highlight w:val="none"/>
          <w14:textFill>
            <w14:solidFill>
              <w14:schemeClr w14:val="tx1"/>
            </w14:solidFill>
          </w14:textFill>
        </w:rPr>
        <w:t>22.实物样品</w:t>
      </w:r>
      <w:bookmarkEnd w:id="197"/>
      <w:bookmarkEnd w:id="198"/>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.1“投标人须知前附表”要求提供样品的，样品的具体要求及评审详见“第三章 采购需求”和“第五章 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p>
    <w:p>
      <w:pPr>
        <w:pStyle w:val="19"/>
        <w:outlineLvl w:val="9"/>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.2样品退还：未中标的投标人应</w:t>
      </w:r>
      <w:r>
        <w:rPr>
          <w:rFonts w:hint="eastAsia" w:ascii="仿宋" w:hAnsi="仿宋" w:eastAsia="仿宋" w:cs="仿宋"/>
          <w:color w:val="000000" w:themeColor="text1"/>
          <w:highlight w:val="none"/>
          <w:lang w:val="en-US"/>
          <w14:textFill>
            <w14:solidFill>
              <w14:schemeClr w14:val="tx1"/>
            </w14:solidFill>
          </w14:textFill>
        </w:rPr>
        <w:t>按照</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highlight w:val="none"/>
          <w:lang w:val="en-US"/>
          <w14:textFill>
            <w14:solidFill>
              <w14:schemeClr w14:val="tx1"/>
            </w14:solidFill>
          </w14:textFill>
        </w:rPr>
        <w:t>要求</w:t>
      </w:r>
      <w:r>
        <w:rPr>
          <w:rFonts w:hint="eastAsia" w:ascii="仿宋" w:hAnsi="仿宋" w:eastAsia="仿宋" w:cs="仿宋"/>
          <w:color w:val="000000" w:themeColor="text1"/>
          <w:highlight w:val="none"/>
          <w14:textFill>
            <w14:solidFill>
              <w14:schemeClr w14:val="tx1"/>
            </w14:solidFill>
          </w14:textFill>
        </w:rPr>
        <w:t>自行联系采购人取回投标样品；中标人的样品由采购人进行保管、封存，并作为履约验收的参考（招标文件另有规定的从其规定）。</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199" w:name="_Toc163492848"/>
      <w:bookmarkStart w:id="200" w:name="_Toc155185875"/>
      <w:r>
        <w:rPr>
          <w:rFonts w:hint="eastAsia" w:ascii="仿宋" w:hAnsi="仿宋" w:eastAsia="仿宋" w:cs="仿宋"/>
          <w:b/>
          <w:bCs/>
          <w:color w:val="000000" w:themeColor="text1"/>
          <w:szCs w:val="28"/>
          <w:highlight w:val="none"/>
          <w14:textFill>
            <w14:solidFill>
              <w14:schemeClr w14:val="tx1"/>
            </w14:solidFill>
          </w14:textFill>
        </w:rPr>
        <w:t>23.演示</w:t>
      </w:r>
      <w:bookmarkEnd w:id="199"/>
      <w:bookmarkEnd w:id="200"/>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.1要求投标人进行演示的，演示要求详见“投标人须知前附表”。</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.2演示的评审详见“第三章 采购需求”和“第五章 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01" w:name="_Toc163492849"/>
      <w:bookmarkStart w:id="202" w:name="_Toc155185876"/>
      <w:bookmarkStart w:id="203" w:name="_Toc140132779"/>
      <w:r>
        <w:rPr>
          <w:rFonts w:hint="eastAsia" w:ascii="仿宋" w:hAnsi="仿宋" w:eastAsia="仿宋" w:cs="仿宋"/>
          <w:b/>
          <w:bCs/>
          <w:color w:val="000000" w:themeColor="text1"/>
          <w:szCs w:val="32"/>
          <w:highlight w:val="none"/>
          <w14:textFill>
            <w14:solidFill>
              <w14:schemeClr w14:val="tx1"/>
            </w14:solidFill>
          </w14:textFill>
        </w:rPr>
        <w:t>（五）开标</w:t>
      </w:r>
      <w:bookmarkEnd w:id="201"/>
      <w:bookmarkEnd w:id="202"/>
      <w:bookmarkEnd w:id="203"/>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04" w:name="_Toc163492850"/>
      <w:bookmarkStart w:id="205" w:name="_Toc140132780"/>
      <w:r>
        <w:rPr>
          <w:rFonts w:hint="eastAsia" w:ascii="仿宋" w:hAnsi="仿宋" w:eastAsia="仿宋" w:cs="仿宋"/>
          <w:b/>
          <w:bCs/>
          <w:color w:val="000000" w:themeColor="text1"/>
          <w:szCs w:val="28"/>
          <w:highlight w:val="none"/>
          <w14:textFill>
            <w14:solidFill>
              <w14:schemeClr w14:val="tx1"/>
            </w14:solidFill>
          </w14:textFill>
        </w:rPr>
        <w:t>24.开标会议</w:t>
      </w:r>
      <w:bookmarkEnd w:id="204"/>
      <w:bookmarkEnd w:id="205"/>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bookmarkStart w:id="206" w:name="_Toc140132781"/>
      <w:r>
        <w:rPr>
          <w:rFonts w:hint="eastAsia" w:ascii="仿宋" w:hAnsi="仿宋" w:eastAsia="仿宋" w:cs="仿宋"/>
          <w:color w:val="000000" w:themeColor="text1"/>
          <w:szCs w:val="24"/>
          <w:highlight w:val="none"/>
          <w14:textFill>
            <w14:solidFill>
              <w14:schemeClr w14:val="tx1"/>
            </w14:solidFill>
          </w14:textFill>
        </w:rPr>
        <w:t xml:space="preserve">24.1开标会按“第一章 </w:t>
      </w:r>
      <w:r>
        <w:rPr>
          <w:rFonts w:hint="eastAsia" w:ascii="仿宋" w:hAnsi="仿宋" w:eastAsia="仿宋" w:cs="仿宋"/>
          <w:color w:val="000000" w:themeColor="text1"/>
          <w:highlight w:val="none"/>
          <w14:textFill>
            <w14:solidFill>
              <w14:schemeClr w14:val="tx1"/>
            </w14:solidFill>
          </w14:textFill>
        </w:rPr>
        <w:t>招标公告</w:t>
      </w:r>
      <w:r>
        <w:rPr>
          <w:rFonts w:hint="eastAsia" w:ascii="仿宋" w:hAnsi="仿宋" w:eastAsia="仿宋" w:cs="仿宋"/>
          <w:color w:val="000000" w:themeColor="text1"/>
          <w:szCs w:val="24"/>
          <w:highlight w:val="none"/>
          <w14:textFill>
            <w14:solidFill>
              <w14:schemeClr w14:val="tx1"/>
            </w14:solidFill>
          </w14:textFill>
        </w:rPr>
        <w:t>”规定的开标时间和地点准时举行，采购人、采购代理机构邀请所有投标人准时参加开标会。</w:t>
      </w:r>
      <w:r>
        <w:rPr>
          <w:rFonts w:hint="eastAsia" w:ascii="仿宋" w:hAnsi="仿宋" w:eastAsia="仿宋" w:cs="仿宋"/>
          <w:color w:val="000000" w:themeColor="text1"/>
          <w:highlight w:val="none"/>
          <w14:textFill>
            <w14:solidFill>
              <w14:schemeClr w14:val="tx1"/>
            </w14:solidFill>
          </w14:textFill>
        </w:rPr>
        <w:t>投标人应按照招标文件的要求参与不见面开标。</w:t>
      </w:r>
    </w:p>
    <w:p>
      <w:pPr>
        <w:wordWrap w:val="0"/>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24.2 </w:t>
      </w:r>
      <w:bookmarkEnd w:id="206"/>
      <w:r>
        <w:rPr>
          <w:rFonts w:hint="eastAsia" w:ascii="仿宋" w:hAnsi="仿宋" w:eastAsia="仿宋" w:cs="仿宋"/>
          <w:color w:val="000000" w:themeColor="text1"/>
          <w:highlight w:val="none"/>
          <w14:textFill>
            <w14:solidFill>
              <w14:schemeClr w14:val="tx1"/>
            </w14:solidFill>
          </w14:textFill>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政府采购电子交易云平台的“政采云登录入口”登录后，进入“政采云远程开标大厅”参加开标会议，并使用CA密钥完成远程解密、提疑澄清、开标唱标、结果公布等交互环节。</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07" w:name="_Toc140132783"/>
      <w:bookmarkStart w:id="208" w:name="_Toc163492852"/>
      <w:r>
        <w:rPr>
          <w:rFonts w:hint="eastAsia" w:ascii="仿宋" w:hAnsi="仿宋" w:eastAsia="仿宋" w:cs="仿宋"/>
          <w:b/>
          <w:bCs/>
          <w:color w:val="000000" w:themeColor="text1"/>
          <w:szCs w:val="28"/>
          <w:highlight w:val="none"/>
          <w14:textFill>
            <w14:solidFill>
              <w14:schemeClr w14:val="tx1"/>
            </w14:solidFill>
          </w14:textFill>
        </w:rPr>
        <w:t>25.开标程序</w:t>
      </w:r>
      <w:bookmarkEnd w:id="207"/>
      <w:bookmarkEnd w:id="208"/>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25.1 投标人不足3家的，不得开标。</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25.2 评标委员会成员不得参加开标活动。</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25.3主持人按下列程序进行开标：</w:t>
      </w:r>
    </w:p>
    <w:p>
      <w:pPr>
        <w:ind w:firstLine="398" w:firstLineChars="166"/>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（1）宣布开标会纪律；</w:t>
      </w:r>
    </w:p>
    <w:p>
      <w:pPr>
        <w:ind w:firstLine="398" w:firstLineChars="166"/>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（2）介绍参加开标会的单位和人员；</w:t>
      </w:r>
    </w:p>
    <w:p>
      <w:pPr>
        <w:ind w:firstLine="398" w:firstLineChars="166"/>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（3）发起投标文件解密。投标人应在“投标人须知前附表”规定的时间内使用加密投标文件的CA证书在系统中完成投标文件的解密；投标人不足3家的，不予解密；</w:t>
      </w:r>
    </w:p>
    <w:p>
      <w:pPr>
        <w:ind w:firstLine="398" w:firstLineChars="166"/>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（4）解密完成后，系统自动显示投标人名称、投标价格和招标文件规定的需要宣布的其他内容；</w:t>
      </w:r>
    </w:p>
    <w:p>
      <w:pPr>
        <w:ind w:left="564" w:leftChars="200" w:hanging="84" w:hangingChars="35"/>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（5）系统自动生成开标记录表，投标人应在线对开标记录进行签署确认；</w:t>
      </w:r>
    </w:p>
    <w:p>
      <w:pPr>
        <w:ind w:left="564" w:leftChars="200" w:hanging="84" w:hangingChars="35"/>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（6）开标会结束。</w:t>
      </w:r>
      <w:bookmarkStart w:id="209" w:name="_Toc140132784"/>
      <w:bookmarkStart w:id="210" w:name="_Toc163492853"/>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26.开标疑义及回避情形</w:t>
      </w:r>
      <w:bookmarkEnd w:id="209"/>
      <w:bookmarkEnd w:id="210"/>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.2投标人未参加开标的，视同认可开标结果。</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11" w:name="_Toc140132785"/>
      <w:bookmarkStart w:id="212" w:name="_Toc155185877"/>
      <w:bookmarkStart w:id="213" w:name="_Toc163492854"/>
      <w:r>
        <w:rPr>
          <w:rFonts w:hint="eastAsia" w:ascii="仿宋" w:hAnsi="仿宋" w:eastAsia="仿宋" w:cs="仿宋"/>
          <w:b/>
          <w:bCs/>
          <w:color w:val="000000" w:themeColor="text1"/>
          <w:szCs w:val="32"/>
          <w:highlight w:val="none"/>
          <w14:textFill>
            <w14:solidFill>
              <w14:schemeClr w14:val="tx1"/>
            </w14:solidFill>
          </w14:textFill>
        </w:rPr>
        <w:t>（六）资格审查</w:t>
      </w:r>
      <w:bookmarkEnd w:id="211"/>
      <w:bookmarkEnd w:id="212"/>
      <w:bookmarkEnd w:id="213"/>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14" w:name="_Toc163492855"/>
      <w:r>
        <w:rPr>
          <w:rFonts w:hint="eastAsia" w:ascii="仿宋" w:hAnsi="仿宋" w:eastAsia="仿宋" w:cs="仿宋"/>
          <w:b/>
          <w:bCs/>
          <w:color w:val="000000" w:themeColor="text1"/>
          <w:szCs w:val="28"/>
          <w:highlight w:val="none"/>
          <w14:textFill>
            <w14:solidFill>
              <w14:schemeClr w14:val="tx1"/>
            </w14:solidFill>
          </w14:textFill>
        </w:rPr>
        <w:t>27.资格审查及审查主体</w:t>
      </w:r>
      <w:bookmarkEnd w:id="214"/>
    </w:p>
    <w:p>
      <w:pPr>
        <w:pStyle w:val="19"/>
        <w:outlineLvl w:val="9"/>
        <w:rPr>
          <w:rFonts w:ascii="仿宋" w:hAnsi="仿宋" w:eastAsia="仿宋" w:cs="仿宋"/>
          <w:color w:val="000000" w:themeColor="text1"/>
          <w:highlight w:val="none"/>
          <w14:textFill>
            <w14:solidFill>
              <w14:schemeClr w14:val="tx1"/>
            </w14:solidFill>
          </w14:textFill>
        </w:rPr>
      </w:pPr>
      <w:bookmarkStart w:id="215" w:name="_Toc140132786"/>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.1</w:t>
      </w:r>
      <w:bookmarkEnd w:id="215"/>
      <w:r>
        <w:rPr>
          <w:rFonts w:hint="eastAsia" w:ascii="仿宋" w:hAnsi="仿宋" w:eastAsia="仿宋" w:cs="仿宋"/>
          <w:color w:val="000000" w:themeColor="text1"/>
          <w:highlight w:val="none"/>
          <w14:textFill>
            <w14:solidFill>
              <w14:schemeClr w14:val="tx1"/>
            </w14:solidFill>
          </w14:textFill>
        </w:rPr>
        <w:t>开标结束后，采购人或者采购代理机构应当依法对投标人的资格进行审查。</w:t>
      </w:r>
    </w:p>
    <w:p>
      <w:pPr>
        <w:pStyle w:val="19"/>
        <w:outlineLvl w:val="9"/>
        <w:rPr>
          <w:rFonts w:ascii="仿宋" w:hAnsi="仿宋" w:eastAsia="仿宋" w:cs="仿宋"/>
          <w:color w:val="000000" w:themeColor="text1"/>
          <w:highlight w:val="none"/>
          <w14:textFill>
            <w14:solidFill>
              <w14:schemeClr w14:val="tx1"/>
            </w14:solidFill>
          </w14:textFill>
        </w:rPr>
      </w:pPr>
      <w:bookmarkStart w:id="216" w:name="_Toc140132787"/>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.2资格审查按“第四章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资格审查”的规定进行。</w:t>
      </w:r>
      <w:bookmarkEnd w:id="216"/>
    </w:p>
    <w:p>
      <w:pPr>
        <w:pStyle w:val="19"/>
        <w:outlineLvl w:val="9"/>
        <w:rPr>
          <w:rFonts w:ascii="仿宋" w:hAnsi="仿宋" w:eastAsia="仿宋" w:cs="仿宋"/>
          <w:color w:val="000000" w:themeColor="text1"/>
          <w:highlight w:val="none"/>
          <w14:textFill>
            <w14:solidFill>
              <w14:schemeClr w14:val="tx1"/>
            </w14:solidFill>
          </w14:textFill>
        </w:rPr>
      </w:pPr>
      <w:bookmarkStart w:id="217" w:name="_Toc140132788"/>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.3资格审查结束后，应及时对资格审查结果进行复核，对资格审查错误进行及时纠正并记录。</w:t>
      </w:r>
      <w:bookmarkEnd w:id="217"/>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27.4</w:t>
      </w:r>
      <w:r>
        <w:rPr>
          <w:rFonts w:hint="eastAsia" w:ascii="仿宋" w:hAnsi="仿宋" w:eastAsia="仿宋" w:cs="仿宋"/>
          <w:color w:val="000000" w:themeColor="text1"/>
          <w:highlight w:val="none"/>
          <w14:textFill>
            <w14:solidFill>
              <w14:schemeClr w14:val="tx1"/>
            </w14:solidFill>
          </w14:textFill>
        </w:rPr>
        <w:t>资格审查合格投标人不足3家的，不得评标。</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18" w:name="_Toc155185878"/>
      <w:bookmarkStart w:id="219" w:name="_Toc163492856"/>
      <w:bookmarkStart w:id="220" w:name="_Toc140132789"/>
      <w:r>
        <w:rPr>
          <w:rFonts w:hint="eastAsia" w:ascii="仿宋" w:hAnsi="仿宋" w:eastAsia="仿宋" w:cs="仿宋"/>
          <w:b/>
          <w:bCs/>
          <w:color w:val="000000" w:themeColor="text1"/>
          <w:szCs w:val="32"/>
          <w:highlight w:val="none"/>
          <w14:textFill>
            <w14:solidFill>
              <w14:schemeClr w14:val="tx1"/>
            </w14:solidFill>
          </w14:textFill>
        </w:rPr>
        <w:t>（七）评标</w:t>
      </w:r>
      <w:bookmarkEnd w:id="218"/>
      <w:bookmarkEnd w:id="219"/>
      <w:bookmarkEnd w:id="220"/>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21" w:name="_Toc163492857"/>
      <w:bookmarkStart w:id="222" w:name="_Toc140132790"/>
      <w:r>
        <w:rPr>
          <w:rFonts w:hint="eastAsia" w:ascii="仿宋" w:hAnsi="仿宋" w:eastAsia="仿宋" w:cs="仿宋"/>
          <w:b/>
          <w:bCs/>
          <w:color w:val="000000" w:themeColor="text1"/>
          <w:szCs w:val="28"/>
          <w:highlight w:val="none"/>
          <w14:textFill>
            <w14:solidFill>
              <w14:schemeClr w14:val="tx1"/>
            </w14:solidFill>
          </w14:textFill>
        </w:rPr>
        <w:t>28.评标委员会</w:t>
      </w:r>
      <w:bookmarkEnd w:id="221"/>
      <w:bookmarkEnd w:id="222"/>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.1 评标由采购人依法组建的评标委员会负责。评标委员会由采购人代表和评审专家组成，</w:t>
      </w:r>
      <w:r>
        <w:rPr>
          <w:rFonts w:hint="eastAsia" w:ascii="仿宋" w:hAnsi="仿宋" w:eastAsia="仿宋" w:cs="仿宋"/>
          <w:color w:val="000000" w:themeColor="text1"/>
          <w:highlight w:val="none"/>
          <w:lang w:val="en-US"/>
          <w14:textFill>
            <w14:solidFill>
              <w14:schemeClr w14:val="tx1"/>
            </w14:solidFill>
          </w14:textFill>
        </w:rPr>
        <w:t>成员人数应当为5</w:t>
      </w:r>
      <w:r>
        <w:rPr>
          <w:rFonts w:hint="eastAsia" w:ascii="仿宋" w:hAnsi="仿宋" w:eastAsia="仿宋" w:cs="仿宋"/>
          <w:color w:val="000000" w:themeColor="text1"/>
          <w:highlight w:val="none"/>
          <w14:textFill>
            <w14:solidFill>
              <w14:schemeClr w14:val="tx1"/>
            </w14:solidFill>
          </w14:textFill>
        </w:rPr>
        <w:t>人以上单数，其中</w:t>
      </w:r>
      <w:r>
        <w:rPr>
          <w:rFonts w:hint="eastAsia" w:ascii="仿宋" w:hAnsi="仿宋" w:eastAsia="仿宋" w:cs="仿宋"/>
          <w:color w:val="000000" w:themeColor="text1"/>
          <w:highlight w:val="none"/>
          <w:lang w:val="en-US"/>
          <w14:textFill>
            <w14:solidFill>
              <w14:schemeClr w14:val="tx1"/>
            </w14:solidFill>
          </w14:textFill>
        </w:rPr>
        <w:t>评审</w:t>
      </w:r>
      <w:r>
        <w:rPr>
          <w:rFonts w:hint="eastAsia" w:ascii="仿宋" w:hAnsi="仿宋" w:eastAsia="仿宋" w:cs="仿宋"/>
          <w:color w:val="000000" w:themeColor="text1"/>
          <w:highlight w:val="none"/>
          <w14:textFill>
            <w14:solidFill>
              <w14:schemeClr w14:val="tx1"/>
            </w14:solidFill>
          </w14:textFill>
        </w:rPr>
        <w:t>专家不</w:t>
      </w:r>
      <w:r>
        <w:rPr>
          <w:rFonts w:hint="eastAsia" w:ascii="仿宋" w:hAnsi="仿宋" w:eastAsia="仿宋" w:cs="仿宋"/>
          <w:color w:val="000000" w:themeColor="text1"/>
          <w:highlight w:val="none"/>
          <w:lang w:val="en-US"/>
          <w14:textFill>
            <w14:solidFill>
              <w14:schemeClr w14:val="tx1"/>
            </w14:solidFill>
          </w14:textFill>
        </w:rPr>
        <w:t>得</w:t>
      </w:r>
      <w:r>
        <w:rPr>
          <w:rFonts w:hint="eastAsia" w:ascii="仿宋" w:hAnsi="仿宋" w:eastAsia="仿宋" w:cs="仿宋"/>
          <w:color w:val="000000" w:themeColor="text1"/>
          <w:highlight w:val="none"/>
          <w14:textFill>
            <w14:solidFill>
              <w14:schemeClr w14:val="tx1"/>
            </w14:solidFill>
          </w14:textFill>
        </w:rPr>
        <w:t>少于</w:t>
      </w:r>
      <w:r>
        <w:rPr>
          <w:rFonts w:hint="eastAsia" w:ascii="仿宋" w:hAnsi="仿宋" w:eastAsia="仿宋" w:cs="仿宋"/>
          <w:color w:val="000000" w:themeColor="text1"/>
          <w:highlight w:val="none"/>
          <w:lang w:val="en-US"/>
          <w14:textFill>
            <w14:solidFill>
              <w14:schemeClr w14:val="tx1"/>
            </w14:solidFill>
          </w14:textFill>
        </w:rPr>
        <w:t>成员总数的</w:t>
      </w:r>
      <w:r>
        <w:rPr>
          <w:rFonts w:hint="eastAsia" w:ascii="仿宋" w:hAnsi="仿宋" w:eastAsia="仿宋" w:cs="仿宋"/>
          <w:color w:val="000000" w:themeColor="text1"/>
          <w:highlight w:val="none"/>
          <w14:textFill>
            <w14:solidFill>
              <w14:schemeClr w14:val="tx1"/>
            </w14:solidFill>
          </w14:textFill>
        </w:rPr>
        <w:t>三分之二。</w:t>
      </w:r>
      <w:r>
        <w:rPr>
          <w:rFonts w:hint="eastAsia" w:ascii="仿宋" w:hAnsi="仿宋" w:eastAsia="仿宋" w:cs="仿宋"/>
          <w:color w:val="000000" w:themeColor="text1"/>
          <w:highlight w:val="none"/>
          <w:lang w:val="en-US"/>
          <w14:textFill>
            <w14:solidFill>
              <w14:schemeClr w14:val="tx1"/>
            </w14:solidFill>
          </w14:textFill>
        </w:rPr>
        <w:t>采购人或者采购代理机构应当从省级以上财政部门设立的政府采购评审专家库中，通过随机方式抽取评审专家。</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28.2 采购项目符合下列情形之一的，评标委员会成员人数应当为7人以上单数：</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（1）采购预算金额在1000万元以上；</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（2）技术复杂；</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（3）社会影响较大。</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28.4评标委员会成员名单在评标结果公告前应当保密。</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28.5评标中因评标委员会成员缺席、回避或者健康等特殊原因导致评标委员会组成不符合本办法规定的，采购人或者采购代理机构应当依法补足后继续评标。被更换的评标委员会成员所作出的评标意见无效。</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28.6无法及时补足评标委员会成员的，采购人或者采购代理机构应当停止评标活动，封存所有投标文件和开标、评标资料，依法重新组建评标委员会进行评标。原评标委员会所作出的评标意见无效。</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 xml:space="preserve"> 评标委员会成员有下列情形之一的，应当回避：</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（1）参加采购活动前3年内与投标人存在劳动关系；</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（2）参加采购活动前3年内担任投标人的董事、监事；</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（3）参加采购活动前3年内是投标人的控股股东或实际控制人；</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（4）与投标人的法定代表人或者负责人有夫妻、直系血亲、三代以内旁系血亲或者近姻亲关系；</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（5）与投标人有其他可能影响采购活动公平、公正进行的关系。</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23" w:name="_Toc140132791"/>
      <w:bookmarkStart w:id="224" w:name="_Toc163492858"/>
      <w:r>
        <w:rPr>
          <w:rFonts w:hint="eastAsia" w:ascii="仿宋" w:hAnsi="仿宋" w:eastAsia="仿宋" w:cs="仿宋"/>
          <w:b/>
          <w:bCs/>
          <w:color w:val="000000" w:themeColor="text1"/>
          <w:szCs w:val="28"/>
          <w:highlight w:val="none"/>
          <w14:textFill>
            <w14:solidFill>
              <w14:schemeClr w14:val="tx1"/>
            </w14:solidFill>
          </w14:textFill>
        </w:rPr>
        <w:t>29.评标</w:t>
      </w:r>
      <w:bookmarkEnd w:id="223"/>
      <w:bookmarkEnd w:id="224"/>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 xml:space="preserve"> 评标方法分为综合评分法和</w:t>
      </w:r>
      <w:r>
        <w:rPr>
          <w:rFonts w:hint="eastAsia" w:ascii="仿宋" w:hAnsi="仿宋" w:eastAsia="仿宋" w:cs="仿宋"/>
          <w:color w:val="000000" w:themeColor="text1"/>
          <w:highlight w:val="none"/>
          <w14:textFill>
            <w14:solidFill>
              <w14:schemeClr w14:val="tx1"/>
            </w14:solidFill>
          </w14:textFill>
        </w:rPr>
        <w:t>最低评标价法，本项目评标</w:t>
      </w:r>
      <w:r>
        <w:rPr>
          <w:rFonts w:hint="eastAsia" w:ascii="仿宋" w:hAnsi="仿宋" w:eastAsia="仿宋" w:cs="仿宋"/>
          <w:color w:val="000000" w:themeColor="text1"/>
          <w:highlight w:val="none"/>
          <w:lang w:val="en-US"/>
          <w14:textFill>
            <w14:solidFill>
              <w14:schemeClr w14:val="tx1"/>
            </w14:solidFill>
          </w14:textFill>
        </w:rPr>
        <w:t>方法详见</w:t>
      </w:r>
      <w:r>
        <w:rPr>
          <w:rFonts w:hint="eastAsia" w:ascii="仿宋" w:hAnsi="仿宋" w:eastAsia="仿宋" w:cs="仿宋"/>
          <w:color w:val="000000" w:themeColor="text1"/>
          <w:highlight w:val="none"/>
          <w14:textFill>
            <w14:solidFill>
              <w14:schemeClr w14:val="tx1"/>
            </w14:solidFill>
          </w14:textFill>
        </w:rPr>
        <w:t>“投标人须知前附表”。</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9.1.1</w:t>
      </w:r>
      <w:r>
        <w:rPr>
          <w:rFonts w:hint="eastAsia" w:ascii="仿宋" w:hAnsi="仿宋" w:eastAsia="仿宋" w:cs="仿宋"/>
          <w:color w:val="000000" w:themeColor="text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29.1.2.</w:t>
      </w:r>
      <w:r>
        <w:rPr>
          <w:rFonts w:hint="eastAsia" w:ascii="仿宋" w:hAnsi="仿宋" w:eastAsia="仿宋" w:cs="仿宋"/>
          <w:color w:val="000000" w:themeColor="text1"/>
          <w:highlight w:val="none"/>
          <w14:textFill>
            <w14:solidFill>
              <w14:schemeClr w14:val="tx1"/>
            </w14:solidFill>
          </w14:textFill>
        </w:rPr>
        <w:t>最低评标价法，是指投标文件满足招标文件全部实质性要求，且投标报价最低的投标人为中标候选人的评标方法。</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 xml:space="preserve">2 </w:t>
      </w:r>
      <w:r>
        <w:rPr>
          <w:rFonts w:hint="eastAsia" w:ascii="仿宋" w:hAnsi="仿宋" w:eastAsia="仿宋" w:cs="仿宋"/>
          <w:color w:val="000000" w:themeColor="text1"/>
          <w:highlight w:val="none"/>
          <w14:textFill>
            <w14:solidFill>
              <w14:schemeClr w14:val="tx1"/>
            </w14:solidFill>
          </w14:textFill>
        </w:rPr>
        <w:t>评标委员会按照“第五章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r>
        <w:rPr>
          <w:rFonts w:hint="eastAsia" w:ascii="仿宋" w:hAnsi="仿宋" w:eastAsia="仿宋" w:cs="仿宋"/>
          <w:color w:val="000000" w:themeColor="text1"/>
          <w:highlight w:val="none"/>
          <w:lang w:val="en-US"/>
          <w14:textFill>
            <w14:solidFill>
              <w14:schemeClr w14:val="tx1"/>
            </w14:solidFill>
          </w14:textFill>
        </w:rPr>
        <w:t>的</w:t>
      </w:r>
      <w:r>
        <w:rPr>
          <w:rFonts w:hint="eastAsia" w:ascii="仿宋" w:hAnsi="仿宋" w:eastAsia="仿宋" w:cs="仿宋"/>
          <w:color w:val="000000" w:themeColor="text1"/>
          <w:highlight w:val="none"/>
          <w14:textFill>
            <w14:solidFill>
              <w14:schemeClr w14:val="tx1"/>
            </w14:solidFill>
          </w14:textFill>
        </w:rPr>
        <w:t>规定对投标文件进行评审。“第五章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法及标准”没有规定的方法、评审因素和标准，不作为评标依据。</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 xml:space="preserve">3 </w:t>
      </w:r>
      <w:r>
        <w:rPr>
          <w:rFonts w:hint="eastAsia" w:ascii="仿宋" w:hAnsi="仿宋" w:eastAsia="仿宋" w:cs="仿宋"/>
          <w:color w:val="000000" w:themeColor="text1"/>
          <w:highlight w:val="none"/>
          <w14:textFill>
            <w14:solidFill>
              <w14:schemeClr w14:val="tx1"/>
            </w14:solidFill>
          </w14:textFill>
        </w:rPr>
        <w:t>评标委员会按“投标人须知前附表”规定的中标候选人数量在评标报告中向采购人推荐中标候选人。</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29.4 开标之后，直到签订合同止，凡是属于审查、澄清、评价和比较投标的有关资料以及定标意向等，均不得向投标人或者其他与评标无关的人员透露。</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29.5 在确定中标人之前，投标人试图在投标文件审查、澄清、比较和评标时对评标委员会、采购人和采购代理机构施加任何影响都可能导致其</w:t>
      </w:r>
      <w:r>
        <w:rPr>
          <w:rFonts w:hint="eastAsia" w:ascii="仿宋" w:hAnsi="仿宋" w:eastAsia="仿宋" w:cs="仿宋"/>
          <w:b/>
          <w:bCs/>
          <w:color w:val="000000" w:themeColor="text1"/>
          <w:highlight w:val="none"/>
          <w:lang w:val="en-US"/>
          <w14:textFill>
            <w14:solidFill>
              <w14:schemeClr w14:val="tx1"/>
            </w14:solidFill>
          </w14:textFill>
        </w:rPr>
        <w:t>投标无效</w:t>
      </w:r>
      <w:r>
        <w:rPr>
          <w:rFonts w:hint="eastAsia" w:ascii="仿宋" w:hAnsi="仿宋" w:eastAsia="仿宋" w:cs="仿宋"/>
          <w:color w:val="000000" w:themeColor="text1"/>
          <w:highlight w:val="none"/>
          <w:lang w:val="en-US"/>
          <w14:textFill>
            <w14:solidFill>
              <w14:schemeClr w14:val="tx1"/>
            </w14:solidFill>
          </w14:textFill>
        </w:rPr>
        <w:t>。</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29.6 电子招投标的应急措施</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29.6.1电子开标、评标如出现下列原因，导致系统无法正常运行或无法正常评标时，应采取应急措施。</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（1）系统服务器发生故障，无法访问或无法使用系统；</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（2）系统的软件或数据库出现错误，不能进行正常操作；</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（3）系统发现有安全漏洞，有潜在的泄密危险；</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（4）病毒发作或受到外来病毒的攻击；</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（5）出现其他不可抗拒的客观原因造成开评标系统无法正常使用。</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出现上述情况时，应对未开标的暂停开标。已在系统内开标、评标的立即停止。采取应急措施时，必须对原有资料及信息作出妥善保密处理。</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29.6.2因系统原因导致投标人均无法解密电子投标文件时，采购代理机构可在开标现场直接导入投标人在投标截止时间前递交的未加密的电子投标文件进行开标、评标。</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29.7 投标人瑕疵滞后发现的处理规则</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29.7.1无论基于何种原因，各项本应作</w:t>
      </w:r>
      <w:r>
        <w:rPr>
          <w:rFonts w:hint="eastAsia" w:ascii="仿宋" w:hAnsi="仿宋" w:eastAsia="仿宋" w:cs="仿宋"/>
          <w:b/>
          <w:bCs/>
          <w:color w:val="000000" w:themeColor="text1"/>
          <w:highlight w:val="none"/>
          <w:lang w:val="en-US"/>
          <w14:textFill>
            <w14:solidFill>
              <w14:schemeClr w14:val="tx1"/>
            </w14:solidFill>
          </w14:textFill>
        </w:rPr>
        <w:t>无效投标</w:t>
      </w:r>
      <w:r>
        <w:rPr>
          <w:rFonts w:hint="eastAsia" w:ascii="仿宋" w:hAnsi="仿宋" w:eastAsia="仿宋" w:cs="仿宋"/>
          <w:color w:val="000000" w:themeColor="text1"/>
          <w:highlight w:val="none"/>
          <w:lang w:val="en-US"/>
          <w14:textFill>
            <w14:solidFill>
              <w14:schemeClr w14:val="tx1"/>
            </w14:solidFill>
          </w14:textFill>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25" w:name="_Toc163492859"/>
      <w:bookmarkStart w:id="226" w:name="_Toc155185879"/>
      <w:bookmarkStart w:id="227" w:name="_Toc140132792"/>
      <w:r>
        <w:rPr>
          <w:rFonts w:hint="eastAsia" w:ascii="仿宋" w:hAnsi="仿宋" w:eastAsia="仿宋" w:cs="仿宋"/>
          <w:b/>
          <w:bCs/>
          <w:color w:val="000000" w:themeColor="text1"/>
          <w:szCs w:val="32"/>
          <w:highlight w:val="none"/>
          <w14:textFill>
            <w14:solidFill>
              <w14:schemeClr w14:val="tx1"/>
            </w14:solidFill>
          </w14:textFill>
        </w:rPr>
        <w:t>（八）中标</w:t>
      </w:r>
      <w:bookmarkEnd w:id="225"/>
      <w:bookmarkEnd w:id="226"/>
      <w:bookmarkEnd w:id="227"/>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28" w:name="_Toc140132793"/>
      <w:bookmarkStart w:id="229" w:name="_Toc163492860"/>
      <w:r>
        <w:rPr>
          <w:rFonts w:hint="eastAsia" w:ascii="仿宋" w:hAnsi="仿宋" w:eastAsia="仿宋" w:cs="仿宋"/>
          <w:b/>
          <w:bCs/>
          <w:color w:val="000000" w:themeColor="text1"/>
          <w:szCs w:val="28"/>
          <w:highlight w:val="none"/>
          <w14:textFill>
            <w14:solidFill>
              <w14:schemeClr w14:val="tx1"/>
            </w14:solidFill>
          </w14:textFill>
        </w:rPr>
        <w:t>30.确定中标人</w:t>
      </w:r>
      <w:bookmarkEnd w:id="228"/>
      <w:bookmarkEnd w:id="229"/>
    </w:p>
    <w:p>
      <w:pPr>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30.1</w:t>
      </w:r>
      <w:r>
        <w:rPr>
          <w:rFonts w:hint="eastAsia" w:ascii="仿宋" w:hAnsi="仿宋" w:eastAsia="仿宋" w:cs="仿宋"/>
          <w:color w:val="000000" w:themeColor="text1"/>
          <w:kern w:val="0"/>
          <w:szCs w:val="24"/>
          <w:highlight w:val="none"/>
          <w:lang w:bidi="ar"/>
          <w14:textFill>
            <w14:solidFill>
              <w14:schemeClr w14:val="tx1"/>
            </w14:solidFill>
          </w14:textFill>
        </w:rPr>
        <w:t>采购人将在评标报告确定的中标候选人名单中按顺序确定中标人，中标候选人并列的，按照</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确定中标人；招标文件未规定的，采取随机抽取的方式确定。采购人是否委托评标委员会直接确定中标人，见</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w:t>
      </w:r>
    </w:p>
    <w:p>
      <w:pPr>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规定的方式确定一个投标人获得中标人推荐资格，招标文件未规定的采取随机抽取方式确定，其他同品牌投标人不作为中标候选人。</w:t>
      </w:r>
    </w:p>
    <w:p>
      <w:pPr>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规定的方式确定一个参加评标的投标人，招标文件未规定的采取随机抽取方式确定，其他投标无效。</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30.4非单一产品采购项目，采购人应当根据采购项目技术构成、产品价格比重等合理确定核心产品，并在</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 xml:space="preserve">中载明。多家投标人提供的核心产品品牌相同的，按前两款规定处理。 </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30" w:name="_Toc163492861"/>
      <w:bookmarkStart w:id="231" w:name="_Toc140132794"/>
      <w:r>
        <w:rPr>
          <w:rFonts w:hint="eastAsia" w:ascii="仿宋" w:hAnsi="仿宋" w:eastAsia="仿宋" w:cs="仿宋"/>
          <w:b/>
          <w:bCs/>
          <w:color w:val="000000" w:themeColor="text1"/>
          <w:szCs w:val="28"/>
          <w:highlight w:val="none"/>
          <w14:textFill>
            <w14:solidFill>
              <w14:schemeClr w14:val="tx1"/>
            </w14:solidFill>
          </w14:textFill>
        </w:rPr>
        <w:t>31.中标结果公告</w:t>
      </w:r>
      <w:bookmarkEnd w:id="230"/>
      <w:bookmarkEnd w:id="231"/>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采购人或</w:t>
      </w:r>
      <w:r>
        <w:rPr>
          <w:rFonts w:hint="eastAsia" w:ascii="仿宋" w:hAnsi="仿宋" w:eastAsia="仿宋" w:cs="仿宋"/>
          <w:color w:val="000000" w:themeColor="text1"/>
          <w:highlight w:val="none"/>
          <w14:textFill>
            <w14:solidFill>
              <w14:schemeClr w14:val="tx1"/>
            </w14:solidFill>
          </w14:textFill>
        </w:rPr>
        <w:t>采购代理机构应当自中标人确定之日起2个工作日内，在</w:t>
      </w:r>
      <w:r>
        <w:rPr>
          <w:rFonts w:hint="eastAsia" w:ascii="仿宋" w:hAnsi="仿宋" w:eastAsia="仿宋" w:cs="仿宋"/>
          <w:color w:val="000000" w:themeColor="text1"/>
          <w:highlight w:val="none"/>
          <w:lang w:val="en-US"/>
          <w14:textFill>
            <w14:solidFill>
              <w14:schemeClr w14:val="tx1"/>
            </w14:solidFill>
          </w14:textFill>
        </w:rPr>
        <w:t>发布招标公告的同一</w:t>
      </w:r>
      <w:r>
        <w:rPr>
          <w:rFonts w:hint="eastAsia" w:ascii="仿宋" w:hAnsi="仿宋" w:eastAsia="仿宋" w:cs="仿宋"/>
          <w:color w:val="000000" w:themeColor="text1"/>
          <w:highlight w:val="none"/>
          <w14:textFill>
            <w14:solidFill>
              <w14:schemeClr w14:val="tx1"/>
            </w14:solidFill>
          </w14:textFill>
        </w:rPr>
        <w:t>媒体上发布中标结果公告，</w:t>
      </w:r>
      <w:r>
        <w:rPr>
          <w:rFonts w:hint="eastAsia" w:ascii="仿宋" w:hAnsi="仿宋" w:eastAsia="仿宋" w:cs="仿宋"/>
          <w:color w:val="000000" w:themeColor="text1"/>
          <w:highlight w:val="none"/>
          <w:lang w:val="en-US"/>
          <w14:textFill>
            <w14:solidFill>
              <w14:schemeClr w14:val="tx1"/>
            </w14:solidFill>
          </w14:textFill>
        </w:rPr>
        <w:t>同时向中标人</w:t>
      </w:r>
      <w:r>
        <w:rPr>
          <w:rFonts w:hint="eastAsia" w:ascii="仿宋" w:hAnsi="仿宋" w:eastAsia="仿宋" w:cs="仿宋"/>
          <w:color w:val="000000" w:themeColor="text1"/>
          <w:highlight w:val="none"/>
          <w14:textFill>
            <w14:solidFill>
              <w14:schemeClr w14:val="tx1"/>
            </w14:solidFill>
          </w14:textFill>
        </w:rPr>
        <w:t>发出中标通知书。招标文件随中标结果同时公告，中标结果公告期限为1个工作日。</w:t>
      </w:r>
    </w:p>
    <w:p>
      <w:pPr>
        <w:pStyle w:val="19"/>
        <w:outlineLvl w:val="9"/>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1</w:t>
      </w:r>
      <w:r>
        <w:rPr>
          <w:rFonts w:hint="eastAsia" w:ascii="仿宋" w:hAnsi="仿宋" w:eastAsia="仿宋" w:cs="仿宋"/>
          <w:bCs/>
          <w:color w:val="000000" w:themeColor="text1"/>
          <w:highlight w:val="none"/>
          <w14:textFill>
            <w14:solidFill>
              <w14:schemeClr w14:val="tx1"/>
            </w14:solidFill>
          </w14:textFill>
        </w:rPr>
        <w:t>.2中标</w:t>
      </w:r>
      <w:r>
        <w:rPr>
          <w:rFonts w:hint="eastAsia" w:ascii="仿宋" w:hAnsi="仿宋" w:eastAsia="仿宋" w:cs="仿宋"/>
          <w:bCs/>
          <w:color w:val="000000" w:themeColor="text1"/>
          <w:highlight w:val="none"/>
          <w:lang w:val="en-US"/>
          <w14:textFill>
            <w14:solidFill>
              <w14:schemeClr w14:val="tx1"/>
            </w14:solidFill>
          </w14:textFill>
        </w:rPr>
        <w:t>人</w:t>
      </w:r>
      <w:r>
        <w:rPr>
          <w:rFonts w:hint="eastAsia" w:ascii="仿宋" w:hAnsi="仿宋" w:eastAsia="仿宋" w:cs="仿宋"/>
          <w:bCs/>
          <w:color w:val="000000" w:themeColor="text1"/>
          <w:highlight w:val="none"/>
          <w14:textFill>
            <w14:solidFill>
              <w14:schemeClr w14:val="tx1"/>
            </w14:solidFill>
          </w14:textFill>
        </w:rPr>
        <w:t>为中小企业</w:t>
      </w:r>
      <w:r>
        <w:rPr>
          <w:rFonts w:hint="eastAsia" w:ascii="仿宋" w:hAnsi="仿宋" w:eastAsia="仿宋" w:cs="仿宋"/>
          <w:bCs/>
          <w:color w:val="000000" w:themeColor="text1"/>
          <w:highlight w:val="none"/>
          <w:lang w:val="en-US"/>
          <w14:textFill>
            <w14:solidFill>
              <w14:schemeClr w14:val="tx1"/>
            </w14:solidFill>
          </w14:textFill>
        </w:rPr>
        <w:t>享受中小企业扶持政策的</w:t>
      </w:r>
      <w:r>
        <w:rPr>
          <w:rFonts w:hint="eastAsia" w:ascii="仿宋" w:hAnsi="仿宋" w:eastAsia="仿宋" w:cs="仿宋"/>
          <w:bCs/>
          <w:color w:val="000000" w:themeColor="text1"/>
          <w:highlight w:val="none"/>
          <w14:textFill>
            <w14:solidFill>
              <w14:schemeClr w14:val="tx1"/>
            </w14:solidFill>
          </w14:textFill>
        </w:rPr>
        <w:t>，其“中小企业声明函”随中标结果同时公告。中标</w:t>
      </w:r>
      <w:r>
        <w:rPr>
          <w:rFonts w:hint="eastAsia" w:ascii="仿宋" w:hAnsi="仿宋" w:eastAsia="仿宋" w:cs="仿宋"/>
          <w:bCs/>
          <w:color w:val="000000" w:themeColor="text1"/>
          <w:highlight w:val="none"/>
          <w:lang w:val="en-US"/>
          <w14:textFill>
            <w14:solidFill>
              <w14:schemeClr w14:val="tx1"/>
            </w14:solidFill>
          </w14:textFill>
        </w:rPr>
        <w:t>人</w:t>
      </w:r>
      <w:r>
        <w:rPr>
          <w:rFonts w:hint="eastAsia" w:ascii="仿宋" w:hAnsi="仿宋" w:eastAsia="仿宋" w:cs="仿宋"/>
          <w:bCs/>
          <w:color w:val="000000" w:themeColor="text1"/>
          <w:highlight w:val="none"/>
          <w14:textFill>
            <w14:solidFill>
              <w14:schemeClr w14:val="tx1"/>
            </w14:solidFill>
          </w14:textFill>
        </w:rPr>
        <w:t>为残疾人福利性单位的，其“残疾人福利性单位声明函”随中标结果同时公告。</w:t>
      </w:r>
    </w:p>
    <w:p>
      <w:pPr>
        <w:pStyle w:val="19"/>
        <w:outlineLvl w:val="9"/>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14:textFill>
            <w14:solidFill>
              <w14:schemeClr w14:val="tx1"/>
            </w14:solidFill>
          </w14:textFill>
        </w:rPr>
        <w:t>31.3</w:t>
      </w:r>
      <w:r>
        <w:rPr>
          <w:rFonts w:hint="eastAsia" w:ascii="仿宋" w:hAnsi="仿宋" w:eastAsia="仿宋" w:cs="仿宋"/>
          <w:bCs/>
          <w:color w:val="000000" w:themeColor="text1"/>
          <w:highlight w:val="none"/>
          <w14:textFill>
            <w14:solidFill>
              <w14:schemeClr w14:val="tx1"/>
            </w14:solidFill>
          </w14:textFill>
        </w:rPr>
        <w:t>项目采购采用最低评标价法的，公告中标结果时同时公告因落实政府采购政策等原因进行价格扣除后中标</w:t>
      </w:r>
      <w:r>
        <w:rPr>
          <w:rFonts w:hint="eastAsia" w:ascii="仿宋" w:hAnsi="仿宋" w:eastAsia="仿宋" w:cs="仿宋"/>
          <w:bCs/>
          <w:color w:val="000000" w:themeColor="text1"/>
          <w:highlight w:val="none"/>
          <w:lang w:val="en-US"/>
          <w14:textFill>
            <w14:solidFill>
              <w14:schemeClr w14:val="tx1"/>
            </w14:solidFill>
          </w14:textFill>
        </w:rPr>
        <w:t>人</w:t>
      </w:r>
      <w:r>
        <w:rPr>
          <w:rFonts w:hint="eastAsia" w:ascii="仿宋" w:hAnsi="仿宋" w:eastAsia="仿宋" w:cs="仿宋"/>
          <w:bCs/>
          <w:color w:val="000000" w:themeColor="text1"/>
          <w:highlight w:val="none"/>
          <w14:textFill>
            <w14:solidFill>
              <w14:schemeClr w14:val="tx1"/>
            </w14:solidFill>
          </w14:textFill>
        </w:rPr>
        <w:t>的评审报价；项目采购采用综合评分法的，公告中标结果时同时公告中标</w:t>
      </w:r>
      <w:r>
        <w:rPr>
          <w:rFonts w:hint="eastAsia" w:ascii="仿宋" w:hAnsi="仿宋" w:eastAsia="仿宋" w:cs="仿宋"/>
          <w:bCs/>
          <w:color w:val="000000" w:themeColor="text1"/>
          <w:highlight w:val="none"/>
          <w:lang w:val="en-US"/>
          <w14:textFill>
            <w14:solidFill>
              <w14:schemeClr w14:val="tx1"/>
            </w14:solidFill>
          </w14:textFill>
        </w:rPr>
        <w:t>供应商</w:t>
      </w:r>
      <w:r>
        <w:rPr>
          <w:rFonts w:hint="eastAsia" w:ascii="仿宋" w:hAnsi="仿宋" w:eastAsia="仿宋" w:cs="仿宋"/>
          <w:bCs/>
          <w:color w:val="000000" w:themeColor="text1"/>
          <w:highlight w:val="none"/>
          <w14:textFill>
            <w14:solidFill>
              <w14:schemeClr w14:val="tx1"/>
            </w14:solidFill>
          </w14:textFill>
        </w:rPr>
        <w:t>的评审总得分。</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32" w:name="_Toc140132795"/>
      <w:bookmarkStart w:id="233" w:name="_Toc163492862"/>
      <w:r>
        <w:rPr>
          <w:rFonts w:hint="eastAsia" w:ascii="仿宋" w:hAnsi="仿宋" w:eastAsia="仿宋" w:cs="仿宋"/>
          <w:b/>
          <w:bCs/>
          <w:color w:val="000000" w:themeColor="text1"/>
          <w:szCs w:val="28"/>
          <w:highlight w:val="none"/>
          <w14:textFill>
            <w14:solidFill>
              <w14:schemeClr w14:val="tx1"/>
            </w14:solidFill>
          </w14:textFill>
        </w:rPr>
        <w:t>32.中标通知</w:t>
      </w:r>
      <w:bookmarkEnd w:id="232"/>
      <w:bookmarkEnd w:id="233"/>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32.2中标通知书对采购人和中标人均具有法律效力。中标通知书发出后，采购人改变中标结果的，或者中标人放弃中标项目的，应当依法承担法律责任。</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34" w:name="_Toc163492863"/>
      <w:r>
        <w:rPr>
          <w:rFonts w:hint="eastAsia" w:ascii="仿宋" w:hAnsi="仿宋" w:eastAsia="仿宋" w:cs="仿宋"/>
          <w:b/>
          <w:bCs/>
          <w:color w:val="000000" w:themeColor="text1"/>
          <w:szCs w:val="32"/>
          <w:highlight w:val="none"/>
          <w14:textFill>
            <w14:solidFill>
              <w14:schemeClr w14:val="tx1"/>
            </w14:solidFill>
          </w14:textFill>
        </w:rPr>
        <w:t>（九）签订</w:t>
      </w:r>
      <w:bookmarkStart w:id="235" w:name="_Toc155185880"/>
      <w:bookmarkStart w:id="236" w:name="_Toc140132796"/>
      <w:r>
        <w:rPr>
          <w:rFonts w:hint="eastAsia" w:ascii="仿宋" w:hAnsi="仿宋" w:eastAsia="仿宋" w:cs="仿宋"/>
          <w:b/>
          <w:bCs/>
          <w:color w:val="000000" w:themeColor="text1"/>
          <w:szCs w:val="32"/>
          <w:highlight w:val="none"/>
          <w14:textFill>
            <w14:solidFill>
              <w14:schemeClr w14:val="tx1"/>
            </w14:solidFill>
          </w14:textFill>
        </w:rPr>
        <w:t>合同</w:t>
      </w:r>
      <w:bookmarkEnd w:id="234"/>
      <w:bookmarkEnd w:id="235"/>
      <w:bookmarkEnd w:id="236"/>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37" w:name="_Toc163492864"/>
      <w:bookmarkStart w:id="238" w:name="_Toc140132797"/>
      <w:r>
        <w:rPr>
          <w:rFonts w:hint="eastAsia" w:ascii="仿宋" w:hAnsi="仿宋" w:eastAsia="仿宋" w:cs="仿宋"/>
          <w:b/>
          <w:bCs/>
          <w:color w:val="000000" w:themeColor="text1"/>
          <w:szCs w:val="28"/>
          <w:highlight w:val="none"/>
          <w14:textFill>
            <w14:solidFill>
              <w14:schemeClr w14:val="tx1"/>
            </w14:solidFill>
          </w14:textFill>
        </w:rPr>
        <w:t>33.履约保证金</w:t>
      </w:r>
      <w:bookmarkEnd w:id="237"/>
      <w:bookmarkEnd w:id="238"/>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.1在签订合同前，中标人应按“投标人须知前附表”规定的金额、担保形式和采购人认可的履约担保格式向采购人提交履约保证金。</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.2中标人不能按本章第3</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.1项要求提交履约担保的，视为放弃中标，给采购人造成损失的，中标人还应当承担民事责任。</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39" w:name="_Toc163492865"/>
      <w:bookmarkStart w:id="240" w:name="_Toc140132798"/>
      <w:r>
        <w:rPr>
          <w:rFonts w:hint="eastAsia" w:ascii="仿宋" w:hAnsi="仿宋" w:eastAsia="仿宋" w:cs="仿宋"/>
          <w:b/>
          <w:bCs/>
          <w:color w:val="000000" w:themeColor="text1"/>
          <w:szCs w:val="28"/>
          <w:highlight w:val="none"/>
          <w14:textFill>
            <w14:solidFill>
              <w14:schemeClr w14:val="tx1"/>
            </w14:solidFill>
          </w14:textFill>
        </w:rPr>
        <w:t>34.签订合同</w:t>
      </w:r>
      <w:bookmarkEnd w:id="239"/>
      <w:bookmarkEnd w:id="240"/>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.1 采购人和中标人应当自中标通知书发出之日起</w:t>
      </w:r>
      <w:r>
        <w:rPr>
          <w:rFonts w:hint="eastAsia" w:ascii="仿宋" w:hAnsi="仿宋" w:eastAsia="仿宋" w:cs="仿宋"/>
          <w:color w:val="000000" w:themeColor="text1"/>
          <w:highlight w:val="none"/>
          <w:lang w:val="en-US"/>
          <w14:textFill>
            <w14:solidFill>
              <w14:schemeClr w14:val="tx1"/>
            </w14:solidFill>
          </w14:textFill>
        </w:rPr>
        <w:t>25</w:t>
      </w:r>
      <w:r>
        <w:rPr>
          <w:rFonts w:hint="eastAsia" w:ascii="仿宋" w:hAnsi="仿宋" w:eastAsia="仿宋" w:cs="仿宋"/>
          <w:color w:val="000000" w:themeColor="text1"/>
          <w:highlight w:val="none"/>
          <w14:textFill>
            <w14:solidFill>
              <w14:schemeClr w14:val="tx1"/>
            </w14:solidFill>
          </w14:textFill>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34.2 中标人拒绝与采购人签订合同的，采购人可以按照评标报告推荐的中标候选人名单排序，确定下一候选人为中标人，也可以重新开展政府采购活动。</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 xml:space="preserve"> 采购人和中标人不得向对方提出任何不合理的要求，作为签订合同的条件，双方不得私下订立背离合同实质性内容的协议。</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34.4 联合体中标的，联合体各方应当共同与采购人签订合同，就采购合同约定的事项向采购人承担连带责任。</w:t>
      </w:r>
    </w:p>
    <w:p>
      <w:pPr>
        <w:pStyle w:val="19"/>
        <w:outlineLvl w:val="9"/>
        <w:rPr>
          <w:rFonts w:ascii="仿宋" w:hAnsi="仿宋" w:eastAsia="仿宋" w:cs="仿宋"/>
          <w:b/>
          <w:bCs/>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000000" w:themeColor="text1"/>
          <w:highlight w:val="none"/>
          <w:lang w:val="en-US"/>
          <w14:textFill>
            <w14:solidFill>
              <w14:schemeClr w14:val="tx1"/>
            </w14:solidFill>
          </w14:textFill>
        </w:rPr>
        <w:t>投标无效</w:t>
      </w:r>
      <w:r>
        <w:rPr>
          <w:rFonts w:hint="eastAsia" w:ascii="仿宋" w:hAnsi="仿宋" w:eastAsia="仿宋" w:cs="仿宋"/>
          <w:color w:val="000000" w:themeColor="text1"/>
          <w:highlight w:val="none"/>
          <w:lang w:val="en-US"/>
          <w14:textFill>
            <w14:solidFill>
              <w14:schemeClr w14:val="tx1"/>
            </w14:solidFill>
          </w14:textFill>
        </w:rPr>
        <w:t>。中标人就采购项目和分包项目向采购人负责，分包供应商就分包项目承担责任。</w:t>
      </w:r>
      <w:r>
        <w:rPr>
          <w:rFonts w:hint="eastAsia" w:ascii="仿宋" w:hAnsi="仿宋" w:eastAsia="仿宋" w:cs="仿宋"/>
          <w:b/>
          <w:bCs/>
          <w:color w:val="000000" w:themeColor="text1"/>
          <w:highlight w:val="none"/>
          <w:lang w:val="en-US"/>
          <w14:textFill>
            <w14:solidFill>
              <w14:schemeClr w14:val="tx1"/>
            </w14:solidFill>
          </w14:textFill>
        </w:rPr>
        <w:t>政府采购合同不能转包。</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采购合同履行中，采购人需追加与合同标的相同的</w:t>
      </w:r>
      <w:r>
        <w:rPr>
          <w:rFonts w:hint="eastAsia" w:ascii="仿宋" w:hAnsi="仿宋" w:eastAsia="仿宋" w:cs="仿宋"/>
          <w:color w:val="000000" w:themeColor="text1"/>
          <w:highlight w:val="none"/>
          <w:lang w:val="en-US"/>
          <w14:textFill>
            <w14:solidFill>
              <w14:schemeClr w14:val="tx1"/>
            </w14:solidFill>
          </w14:textFill>
        </w:rPr>
        <w:t>货物、工程或者服务</w:t>
      </w:r>
      <w:r>
        <w:rPr>
          <w:rFonts w:hint="eastAsia" w:ascii="仿宋" w:hAnsi="仿宋" w:eastAsia="仿宋" w:cs="仿宋"/>
          <w:color w:val="000000" w:themeColor="text1"/>
          <w:highlight w:val="none"/>
          <w14:textFill>
            <w14:solidFill>
              <w14:schemeClr w14:val="tx1"/>
            </w14:solidFill>
          </w14:textFill>
        </w:rPr>
        <w:t>的，在不改变合同其他条款的前提下，可以与中标人协商签订补充合同，但所有补充合同的采购金额不得超过原合同采购金额的百分之十。</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34.7 采购人应于签订合同之日起2个工作日内在政采云平台备案公示。</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41" w:name="_Toc140132799"/>
      <w:bookmarkStart w:id="242" w:name="_Toc155185881"/>
      <w:bookmarkStart w:id="243" w:name="_Toc163492866"/>
      <w:r>
        <w:rPr>
          <w:rFonts w:hint="eastAsia" w:ascii="仿宋" w:hAnsi="仿宋" w:eastAsia="仿宋" w:cs="仿宋"/>
          <w:b/>
          <w:bCs/>
          <w:color w:val="000000" w:themeColor="text1"/>
          <w:szCs w:val="32"/>
          <w:highlight w:val="none"/>
          <w14:textFill>
            <w14:solidFill>
              <w14:schemeClr w14:val="tx1"/>
            </w14:solidFill>
          </w14:textFill>
        </w:rPr>
        <w:t>（十）质疑和投诉</w:t>
      </w:r>
      <w:bookmarkEnd w:id="241"/>
      <w:bookmarkEnd w:id="242"/>
      <w:bookmarkEnd w:id="243"/>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44" w:name="_Toc163492867"/>
      <w:bookmarkStart w:id="245" w:name="_Toc140132800"/>
      <w:r>
        <w:rPr>
          <w:rFonts w:hint="eastAsia" w:ascii="仿宋" w:hAnsi="仿宋" w:eastAsia="仿宋" w:cs="仿宋"/>
          <w:b/>
          <w:bCs/>
          <w:color w:val="000000" w:themeColor="text1"/>
          <w:szCs w:val="28"/>
          <w:highlight w:val="none"/>
          <w14:textFill>
            <w14:solidFill>
              <w14:schemeClr w14:val="tx1"/>
            </w14:solidFill>
          </w14:textFill>
        </w:rPr>
        <w:t>35.质疑</w:t>
      </w:r>
      <w:bookmarkEnd w:id="244"/>
      <w:bookmarkEnd w:id="245"/>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color w:val="000000" w:themeColor="text1"/>
          <w:highlight w:val="none"/>
          <w:lang w:val="en-US"/>
          <w14:textFill>
            <w14:solidFill>
              <w14:schemeClr w14:val="tx1"/>
            </w14:solidFill>
          </w14:textFill>
        </w:rPr>
        <w:t>详见“投标人须知前附表”</w:t>
      </w:r>
      <w:r>
        <w:rPr>
          <w:rFonts w:hint="eastAsia" w:ascii="仿宋" w:hAnsi="仿宋" w:eastAsia="仿宋" w:cs="仿宋"/>
          <w:color w:val="000000" w:themeColor="text1"/>
          <w:highlight w:val="none"/>
          <w14:textFill>
            <w14:solidFill>
              <w14:schemeClr w14:val="tx1"/>
            </w14:solidFill>
          </w14:textFill>
        </w:rPr>
        <w:t>。供应商在法定质疑期内一次性提出针对同一采购程序环节的质疑。</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.2提出质疑的供应商（以下简称质疑供应商）应当是参与所质疑项目采购活动的供应商。</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35.3</w:t>
      </w:r>
      <w:r>
        <w:rPr>
          <w:rFonts w:hint="eastAsia" w:ascii="仿宋" w:hAnsi="仿宋" w:eastAsia="仿宋" w:cs="仿宋"/>
          <w:color w:val="000000" w:themeColor="text1"/>
          <w:highlight w:val="none"/>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35.4</w:t>
      </w:r>
      <w:r>
        <w:rPr>
          <w:rFonts w:hint="eastAsia" w:ascii="仿宋" w:hAnsi="仿宋" w:eastAsia="仿宋" w:cs="仿宋"/>
          <w:color w:val="000000" w:themeColor="text1"/>
          <w:highlight w:val="none"/>
          <w14:textFill>
            <w14:solidFill>
              <w14:schemeClr w14:val="tx1"/>
            </w14:solidFill>
          </w14:textFill>
        </w:rPr>
        <w:t>供应商提出质疑应当提交质疑函和必要的证明材料。质疑函应当包括下列内容：</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）供应商的姓名或者名称、地址、邮编、联系人及联系电话；</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）质疑项目的名称、</w:t>
      </w:r>
      <w:r>
        <w:rPr>
          <w:rFonts w:hint="eastAsia" w:ascii="仿宋" w:hAnsi="仿宋" w:eastAsia="仿宋" w:cs="仿宋"/>
          <w:color w:val="000000" w:themeColor="text1"/>
          <w:highlight w:val="none"/>
          <w:lang w:val="en-US"/>
          <w14:textFill>
            <w14:solidFill>
              <w14:schemeClr w14:val="tx1"/>
            </w14:solidFill>
          </w14:textFill>
        </w:rPr>
        <w:t>项目</w:t>
      </w:r>
      <w:r>
        <w:rPr>
          <w:rFonts w:hint="eastAsia" w:ascii="仿宋" w:hAnsi="仿宋" w:eastAsia="仿宋" w:cs="仿宋"/>
          <w:color w:val="000000" w:themeColor="text1"/>
          <w:highlight w:val="none"/>
          <w14:textFill>
            <w14:solidFill>
              <w14:schemeClr w14:val="tx1"/>
            </w14:solidFill>
          </w14:textFill>
        </w:rPr>
        <w:t>编号</w:t>
      </w:r>
      <w:r>
        <w:rPr>
          <w:rFonts w:hint="eastAsia" w:ascii="仿宋" w:hAnsi="仿宋" w:eastAsia="仿宋" w:cs="仿宋"/>
          <w:color w:val="000000" w:themeColor="text1"/>
          <w:highlight w:val="none"/>
          <w:lang w:val="en-US"/>
          <w14:textFill>
            <w14:solidFill>
              <w14:schemeClr w14:val="tx1"/>
            </w14:solidFill>
          </w14:textFill>
        </w:rPr>
        <w:t>/包号</w:t>
      </w:r>
      <w:r>
        <w:rPr>
          <w:rFonts w:hint="eastAsia" w:ascii="仿宋" w:hAnsi="仿宋" w:eastAsia="仿宋" w:cs="仿宋"/>
          <w:color w:val="000000" w:themeColor="text1"/>
          <w:highlight w:val="none"/>
          <w14:textFill>
            <w14:solidFill>
              <w14:schemeClr w14:val="tx1"/>
            </w14:solidFill>
          </w14:textFill>
        </w:rPr>
        <w:t>；</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）具体、明确的质疑事项和与质疑事项相关的请求；</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）事实依据；</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）必要的法律依据；</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）提出质疑的日期。</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.5质疑函不符合上述要求的，采购人或代理机构应书面告知具体事项，质疑人应当按要求进行修改或补充，并在质疑有效期限内提交。</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14:textFill>
            <w14:solidFill>
              <w14:schemeClr w14:val="tx1"/>
            </w14:solidFill>
          </w14:textFill>
        </w:rPr>
        <w:t>3</w:t>
      </w:r>
      <w:r>
        <w:rPr>
          <w:rFonts w:hint="eastAsia" w:ascii="仿宋" w:hAnsi="仿宋" w:eastAsia="仿宋" w:cs="仿宋"/>
          <w:snapToGrid w:val="0"/>
          <w:color w:val="000000" w:themeColor="text1"/>
          <w:highlight w:val="none"/>
          <w:lang w:val="en-US"/>
          <w14:textFill>
            <w14:solidFill>
              <w14:schemeClr w14:val="tx1"/>
            </w14:solidFill>
          </w14:textFill>
        </w:rPr>
        <w:t>5</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en-US"/>
          <w14:textFill>
            <w14:solidFill>
              <w14:schemeClr w14:val="tx1"/>
            </w14:solidFill>
          </w14:textFill>
        </w:rPr>
        <w:t>6</w:t>
      </w:r>
      <w:r>
        <w:rPr>
          <w:rFonts w:hint="eastAsia" w:ascii="仿宋" w:hAnsi="仿宋" w:eastAsia="仿宋" w:cs="仿宋"/>
          <w:snapToGrid w:val="0"/>
          <w:color w:val="000000" w:themeColor="text1"/>
          <w:highlight w:val="none"/>
          <w14:textFill>
            <w14:solidFill>
              <w14:schemeClr w14:val="tx1"/>
            </w14:solidFill>
          </w14:textFill>
        </w:rPr>
        <w:t>投标人进行虚假和恶意</w:t>
      </w:r>
      <w:r>
        <w:rPr>
          <w:rFonts w:hint="eastAsia" w:ascii="仿宋" w:hAnsi="仿宋" w:eastAsia="仿宋" w:cs="仿宋"/>
          <w:snapToGrid w:val="0"/>
          <w:color w:val="000000" w:themeColor="text1"/>
          <w:highlight w:val="none"/>
          <w:lang w:val="en-US"/>
          <w14:textFill>
            <w14:solidFill>
              <w14:schemeClr w14:val="tx1"/>
            </w14:solidFill>
          </w14:textFill>
        </w:rPr>
        <w:t>质疑投诉</w:t>
      </w:r>
      <w:r>
        <w:rPr>
          <w:rFonts w:hint="eastAsia" w:ascii="仿宋" w:hAnsi="仿宋" w:eastAsia="仿宋" w:cs="仿宋"/>
          <w:snapToGrid w:val="0"/>
          <w:color w:val="000000" w:themeColor="text1"/>
          <w:highlight w:val="none"/>
          <w14:textFill>
            <w14:solidFill>
              <w14:schemeClr w14:val="tx1"/>
            </w14:solidFill>
          </w14:textFill>
        </w:rPr>
        <w:t>的，采购代理机构将提请有关部门将其列入不良记录名单，在一至三年内禁止参加政府采购活动，并将处理决定在相关政府采购媒体上公布。</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35.7</w:t>
      </w:r>
      <w:r>
        <w:rPr>
          <w:rFonts w:hint="eastAsia" w:ascii="仿宋" w:hAnsi="仿宋" w:eastAsia="仿宋" w:cs="仿宋"/>
          <w:color w:val="000000" w:themeColor="text1"/>
          <w:highlight w:val="none"/>
          <w14:textFill>
            <w14:solidFill>
              <w14:schemeClr w14:val="tx1"/>
            </w14:solidFill>
          </w14:textFill>
        </w:rPr>
        <w:t>质疑函</w:t>
      </w:r>
      <w:r>
        <w:rPr>
          <w:rFonts w:hint="eastAsia" w:ascii="仿宋" w:hAnsi="仿宋" w:eastAsia="仿宋" w:cs="仿宋"/>
          <w:color w:val="000000" w:themeColor="text1"/>
          <w:highlight w:val="none"/>
          <w:lang w:val="en-US"/>
          <w14:textFill>
            <w14:solidFill>
              <w14:schemeClr w14:val="tx1"/>
            </w14:solidFill>
          </w14:textFill>
        </w:rPr>
        <w:t>应当使用中文，并采用财政部门制定的范本。</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46" w:name="_Toc140132801"/>
      <w:bookmarkStart w:id="247" w:name="_Toc163492868"/>
      <w:r>
        <w:rPr>
          <w:rFonts w:hint="eastAsia" w:ascii="仿宋" w:hAnsi="仿宋" w:eastAsia="仿宋" w:cs="仿宋"/>
          <w:b/>
          <w:bCs/>
          <w:color w:val="000000" w:themeColor="text1"/>
          <w:szCs w:val="28"/>
          <w:highlight w:val="none"/>
          <w14:textFill>
            <w14:solidFill>
              <w14:schemeClr w14:val="tx1"/>
            </w14:solidFill>
          </w14:textFill>
        </w:rPr>
        <w:t>36.质疑答复</w:t>
      </w:r>
      <w:bookmarkEnd w:id="246"/>
      <w:bookmarkEnd w:id="247"/>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.1采购人、采购代理机构不得拒收质疑供应商在法定质疑期内发出的质疑函，应当在收到质疑函后7个工作日内作出答复，并以书面形式通知质疑供应商和其他有关供应商。</w:t>
      </w:r>
    </w:p>
    <w:p>
      <w:pPr>
        <w:pStyle w:val="19"/>
        <w:outlineLvl w:val="9"/>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36.2供应商对评审过程、中标结果提出质疑的，采购人、采购代理机构可以组织原评标委员会协助答复质疑。</w:t>
      </w:r>
    </w:p>
    <w:p>
      <w:pPr>
        <w:pStyle w:val="19"/>
        <w:outlineLvl w:val="9"/>
        <w:rPr>
          <w:rFonts w:ascii="仿宋" w:hAnsi="仿宋" w:eastAsia="仿宋" w:cs="仿宋"/>
          <w:color w:val="000000" w:themeColor="text1"/>
          <w:highlight w:val="none"/>
          <w14:textFill>
            <w14:solidFill>
              <w14:schemeClr w14:val="tx1"/>
            </w14:solidFill>
          </w14:textFill>
        </w:rPr>
      </w:pPr>
      <w:bookmarkStart w:id="248" w:name="_Toc140132802"/>
      <w:bookmarkStart w:id="249" w:name="_Toc163492869"/>
      <w:r>
        <w:rPr>
          <w:rFonts w:hint="eastAsia" w:ascii="仿宋" w:hAnsi="仿宋" w:eastAsia="仿宋" w:cs="仿宋"/>
          <w:color w:val="000000" w:themeColor="text1"/>
          <w:highlight w:val="none"/>
          <w14:textFill>
            <w14:solidFill>
              <w14:schemeClr w14:val="tx1"/>
            </w14:solidFill>
          </w14:textFill>
        </w:rPr>
        <w:t>质疑答复应当包括下列内容：</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）质疑供应商的姓名或者名称；</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）收到质疑函的日期、质疑项目名称及</w:t>
      </w:r>
      <w:r>
        <w:rPr>
          <w:rFonts w:hint="eastAsia" w:ascii="仿宋" w:hAnsi="仿宋" w:eastAsia="仿宋" w:cs="仿宋"/>
          <w:color w:val="000000" w:themeColor="text1"/>
          <w:highlight w:val="none"/>
          <w:lang w:val="en-US"/>
          <w14:textFill>
            <w14:solidFill>
              <w14:schemeClr w14:val="tx1"/>
            </w14:solidFill>
          </w14:textFill>
        </w:rPr>
        <w:t>项目</w:t>
      </w:r>
      <w:r>
        <w:rPr>
          <w:rFonts w:hint="eastAsia" w:ascii="仿宋" w:hAnsi="仿宋" w:eastAsia="仿宋" w:cs="仿宋"/>
          <w:color w:val="000000" w:themeColor="text1"/>
          <w:highlight w:val="none"/>
          <w14:textFill>
            <w14:solidFill>
              <w14:schemeClr w14:val="tx1"/>
            </w14:solidFill>
          </w14:textFill>
        </w:rPr>
        <w:t>编号/包号；</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）质疑事项、质疑答复的具体内容、事实依据和法律依据；</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）告知质疑供应商依法投诉的权利；</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）质疑答复人名称；</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）答复质疑的日期。</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质疑答复的内容不得涉及商业秘密。</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37.投诉</w:t>
      </w:r>
      <w:bookmarkEnd w:id="248"/>
      <w:bookmarkEnd w:id="249"/>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37.1</w:t>
      </w:r>
      <w:r>
        <w:rPr>
          <w:rFonts w:hint="eastAsia" w:ascii="仿宋" w:hAnsi="仿宋" w:eastAsia="仿宋" w:cs="仿宋"/>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w:t>
      </w:r>
      <w:r>
        <w:rPr>
          <w:rFonts w:hint="eastAsia" w:ascii="仿宋" w:hAnsi="仿宋" w:eastAsia="仿宋" w:cs="仿宋"/>
          <w:color w:val="000000" w:themeColor="text1"/>
          <w:highlight w:val="none"/>
          <w:lang w:val="en-US"/>
          <w14:textFill>
            <w14:solidFill>
              <w14:schemeClr w14:val="tx1"/>
            </w14:solidFill>
          </w14:textFill>
        </w:rPr>
        <w:t>同级政府采购监督管理部门</w:t>
      </w:r>
      <w:r>
        <w:rPr>
          <w:rFonts w:hint="eastAsia" w:ascii="仿宋" w:hAnsi="仿宋" w:eastAsia="仿宋" w:cs="仿宋"/>
          <w:color w:val="000000" w:themeColor="text1"/>
          <w:highlight w:val="none"/>
          <w14:textFill>
            <w14:solidFill>
              <w14:schemeClr w14:val="tx1"/>
            </w14:solidFill>
          </w14:textFill>
        </w:rPr>
        <w:t>提起投诉。</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37.2</w:t>
      </w:r>
      <w:r>
        <w:rPr>
          <w:rFonts w:hint="eastAsia" w:ascii="仿宋" w:hAnsi="仿宋" w:eastAsia="仿宋" w:cs="仿宋"/>
          <w:color w:val="000000" w:themeColor="text1"/>
          <w:highlight w:val="none"/>
          <w14:textFill>
            <w14:solidFill>
              <w14:schemeClr w14:val="tx1"/>
            </w14:solidFill>
          </w14:textFill>
        </w:rPr>
        <w:t>投诉人投诉时,应当提交投诉书和必要的证明材料，并按照被投诉采购人、采购代理机构（以下简称被投诉人）和与投诉事项有关的供应商数量提供投诉书的副本。投诉书应当包括下列内容：</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）投诉人和被投诉人的姓名或者名称、通讯地址、邮编、联系人及联系电话；</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）质疑和质疑答复情况说明及相关证明材料；</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）具体、明确的投诉事项和与投诉事项相关的投诉请求；</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）事实依据；</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）法律依据；</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）提起投诉的日期。</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37.3</w:t>
      </w: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color w:val="000000" w:themeColor="text1"/>
          <w:highlight w:val="none"/>
          <w:lang w:val="en-US"/>
          <w14:textFill>
            <w14:solidFill>
              <w14:schemeClr w14:val="tx1"/>
            </w14:solidFill>
          </w14:textFill>
        </w:rPr>
        <w:t>质疑、</w:t>
      </w:r>
      <w:r>
        <w:rPr>
          <w:rFonts w:hint="eastAsia" w:ascii="仿宋" w:hAnsi="仿宋" w:eastAsia="仿宋" w:cs="仿宋"/>
          <w:color w:val="000000" w:themeColor="text1"/>
          <w:highlight w:val="none"/>
          <w14:textFill>
            <w14:solidFill>
              <w14:schemeClr w14:val="tx1"/>
            </w14:solidFill>
          </w14:textFill>
        </w:rPr>
        <w:t>投诉</w:t>
      </w:r>
      <w:r>
        <w:rPr>
          <w:rFonts w:hint="eastAsia" w:ascii="仿宋" w:hAnsi="仿宋" w:eastAsia="仿宋" w:cs="仿宋"/>
          <w:color w:val="000000" w:themeColor="text1"/>
          <w:highlight w:val="none"/>
          <w:lang w:val="en-US"/>
          <w14:textFill>
            <w14:solidFill>
              <w14:schemeClr w14:val="tx1"/>
            </w14:solidFill>
          </w14:textFill>
        </w:rPr>
        <w:t>应当有明确的请求和必要的证明材料</w:t>
      </w:r>
      <w:r>
        <w:rPr>
          <w:rFonts w:hint="eastAsia" w:ascii="仿宋" w:hAnsi="仿宋" w:eastAsia="仿宋" w:cs="仿宋"/>
          <w:color w:val="000000" w:themeColor="text1"/>
          <w:highlight w:val="none"/>
          <w14:textFill>
            <w14:solidFill>
              <w14:schemeClr w14:val="tx1"/>
            </w14:solidFill>
          </w14:textFill>
        </w:rPr>
        <w:t>。供应商投诉的事项不得超出</w:t>
      </w:r>
      <w:r>
        <w:rPr>
          <w:rFonts w:hint="eastAsia" w:ascii="仿宋" w:hAnsi="仿宋" w:eastAsia="仿宋" w:cs="仿宋"/>
          <w:color w:val="000000" w:themeColor="text1"/>
          <w:highlight w:val="none"/>
          <w:lang w:val="en-US"/>
          <w14:textFill>
            <w14:solidFill>
              <w14:schemeClr w14:val="tx1"/>
            </w14:solidFill>
          </w14:textFill>
        </w:rPr>
        <w:t>已</w:t>
      </w:r>
      <w:r>
        <w:rPr>
          <w:rFonts w:hint="eastAsia" w:ascii="仿宋" w:hAnsi="仿宋" w:eastAsia="仿宋" w:cs="仿宋"/>
          <w:color w:val="000000" w:themeColor="text1"/>
          <w:highlight w:val="none"/>
          <w14:textFill>
            <w14:solidFill>
              <w14:schemeClr w14:val="tx1"/>
            </w14:solidFill>
          </w14:textFill>
        </w:rPr>
        <w:t>质疑事项的范围，但基于质疑答复内容提出的投诉事项除外。</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37.4</w:t>
      </w:r>
      <w:r>
        <w:rPr>
          <w:rFonts w:hint="eastAsia" w:ascii="仿宋" w:hAnsi="仿宋" w:eastAsia="仿宋" w:cs="仿宋"/>
          <w:color w:val="000000" w:themeColor="text1"/>
          <w:highlight w:val="none"/>
          <w:lang w:val="en-US"/>
          <w14:textFill>
            <w14:solidFill>
              <w14:schemeClr w14:val="tx1"/>
            </w14:solidFill>
          </w14:textFill>
        </w:rPr>
        <w:t>投诉书应当使用中文，并采用财政部门制定的范本。</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50" w:name="_Toc140132803"/>
      <w:bookmarkStart w:id="251" w:name="_Toc163492870"/>
      <w:bookmarkStart w:id="252" w:name="_Toc155185882"/>
      <w:r>
        <w:rPr>
          <w:rFonts w:hint="eastAsia" w:ascii="仿宋" w:hAnsi="仿宋" w:eastAsia="仿宋" w:cs="仿宋"/>
          <w:b/>
          <w:bCs/>
          <w:color w:val="000000" w:themeColor="text1"/>
          <w:szCs w:val="32"/>
          <w:highlight w:val="none"/>
          <w14:textFill>
            <w14:solidFill>
              <w14:schemeClr w14:val="tx1"/>
            </w14:solidFill>
          </w14:textFill>
        </w:rPr>
        <w:t>（十一）采购代理服务费</w:t>
      </w:r>
      <w:bookmarkEnd w:id="250"/>
      <w:bookmarkEnd w:id="251"/>
      <w:bookmarkEnd w:id="252"/>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53" w:name="_Toc140132804"/>
      <w:bookmarkStart w:id="254" w:name="_Toc163492871"/>
      <w:r>
        <w:rPr>
          <w:rFonts w:hint="eastAsia" w:ascii="仿宋" w:hAnsi="仿宋" w:eastAsia="仿宋" w:cs="仿宋"/>
          <w:b/>
          <w:bCs/>
          <w:color w:val="000000" w:themeColor="text1"/>
          <w:szCs w:val="28"/>
          <w:highlight w:val="none"/>
          <w14:textFill>
            <w14:solidFill>
              <w14:schemeClr w14:val="tx1"/>
            </w14:solidFill>
          </w14:textFill>
        </w:rPr>
        <w:t>38.收取方式和标准</w:t>
      </w:r>
      <w:bookmarkEnd w:id="253"/>
      <w:bookmarkEnd w:id="254"/>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.1采购代理机构按“投标人须知前附表”规定的方式和标准收取采购代理服务费。</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55" w:name="_Toc163492872"/>
      <w:bookmarkStart w:id="256" w:name="_Toc140132805"/>
      <w:bookmarkStart w:id="257" w:name="_Toc155185883"/>
      <w:r>
        <w:rPr>
          <w:rFonts w:hint="eastAsia" w:ascii="仿宋" w:hAnsi="仿宋" w:eastAsia="仿宋" w:cs="仿宋"/>
          <w:b/>
          <w:bCs/>
          <w:color w:val="000000" w:themeColor="text1"/>
          <w:szCs w:val="32"/>
          <w:highlight w:val="none"/>
          <w14:textFill>
            <w14:solidFill>
              <w14:schemeClr w14:val="tx1"/>
            </w14:solidFill>
          </w14:textFill>
        </w:rPr>
        <w:t>（十二）无效投标和废标</w:t>
      </w:r>
      <w:bookmarkEnd w:id="255"/>
      <w:bookmarkEnd w:id="256"/>
      <w:bookmarkEnd w:id="257"/>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58" w:name="_Toc140132806"/>
      <w:bookmarkStart w:id="259" w:name="_Toc163492873"/>
      <w:r>
        <w:rPr>
          <w:rFonts w:hint="eastAsia" w:ascii="仿宋" w:hAnsi="仿宋" w:eastAsia="仿宋" w:cs="仿宋"/>
          <w:b/>
          <w:bCs/>
          <w:color w:val="000000" w:themeColor="text1"/>
          <w:szCs w:val="28"/>
          <w:highlight w:val="none"/>
          <w14:textFill>
            <w14:solidFill>
              <w14:schemeClr w14:val="tx1"/>
            </w14:solidFill>
          </w14:textFill>
        </w:rPr>
        <w:t>39.无效投标</w:t>
      </w:r>
      <w:bookmarkEnd w:id="258"/>
      <w:bookmarkEnd w:id="259"/>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39</w:t>
      </w:r>
      <w:r>
        <w:rPr>
          <w:rFonts w:hint="eastAsia" w:ascii="仿宋" w:hAnsi="仿宋" w:eastAsia="仿宋" w:cs="仿宋"/>
          <w:color w:val="000000" w:themeColor="text1"/>
          <w:highlight w:val="none"/>
          <w14:textFill>
            <w14:solidFill>
              <w14:schemeClr w14:val="tx1"/>
            </w14:solidFill>
          </w14:textFill>
        </w:rPr>
        <w:t>.1投标文件存在“第四章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资格审查”、“第五章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r>
        <w:rPr>
          <w:rFonts w:hint="eastAsia" w:ascii="仿宋" w:hAnsi="仿宋" w:eastAsia="仿宋" w:cs="仿宋"/>
          <w:color w:val="000000" w:themeColor="text1"/>
          <w:highlight w:val="none"/>
          <w:lang w:val="en-US"/>
          <w14:textFill>
            <w14:solidFill>
              <w14:schemeClr w14:val="tx1"/>
            </w14:solidFill>
          </w14:textFill>
        </w:rPr>
        <w:t>及本招标文件</w:t>
      </w:r>
      <w:r>
        <w:rPr>
          <w:rFonts w:hint="eastAsia" w:ascii="仿宋" w:hAnsi="仿宋" w:eastAsia="仿宋" w:cs="仿宋"/>
          <w:color w:val="000000" w:themeColor="text1"/>
          <w:highlight w:val="none"/>
          <w14:textFill>
            <w14:solidFill>
              <w14:schemeClr w14:val="tx1"/>
            </w14:solidFill>
          </w14:textFill>
        </w:rPr>
        <w:t>规定的投标无效情形的，其</w:t>
      </w:r>
      <w:r>
        <w:rPr>
          <w:rFonts w:hint="eastAsia" w:ascii="仿宋" w:hAnsi="仿宋" w:eastAsia="仿宋" w:cs="仿宋"/>
          <w:b/>
          <w:bCs/>
          <w:color w:val="000000" w:themeColor="text1"/>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60" w:name="_Toc163492874"/>
      <w:bookmarkStart w:id="261" w:name="_Toc140132807"/>
      <w:r>
        <w:rPr>
          <w:rFonts w:hint="eastAsia" w:ascii="仿宋" w:hAnsi="仿宋" w:eastAsia="仿宋" w:cs="仿宋"/>
          <w:b/>
          <w:bCs/>
          <w:color w:val="000000" w:themeColor="text1"/>
          <w:szCs w:val="28"/>
          <w:highlight w:val="none"/>
          <w14:textFill>
            <w14:solidFill>
              <w14:schemeClr w14:val="tx1"/>
            </w14:solidFill>
          </w14:textFill>
        </w:rPr>
        <w:t>40.废标</w:t>
      </w:r>
      <w:bookmarkEnd w:id="260"/>
      <w:bookmarkEnd w:id="261"/>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lang w:val="en-US"/>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.1在招标采购中出现有“第五章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r>
        <w:rPr>
          <w:rFonts w:hint="eastAsia" w:ascii="仿宋" w:hAnsi="仿宋" w:eastAsia="仿宋" w:cs="仿宋"/>
          <w:color w:val="000000" w:themeColor="text1"/>
          <w:highlight w:val="none"/>
          <w:lang w:val="en-US"/>
          <w14:textFill>
            <w14:solidFill>
              <w14:schemeClr w14:val="tx1"/>
            </w14:solidFill>
          </w14:textFill>
        </w:rPr>
        <w:t>及本招标文件</w:t>
      </w:r>
      <w:r>
        <w:rPr>
          <w:rFonts w:hint="eastAsia" w:ascii="仿宋" w:hAnsi="仿宋" w:eastAsia="仿宋" w:cs="仿宋"/>
          <w:color w:val="000000" w:themeColor="text1"/>
          <w:highlight w:val="none"/>
          <w14:textFill>
            <w14:solidFill>
              <w14:schemeClr w14:val="tx1"/>
            </w14:solidFill>
          </w14:textFill>
        </w:rPr>
        <w:t>规定的废标情形的，应予以</w:t>
      </w:r>
      <w:r>
        <w:rPr>
          <w:rFonts w:hint="eastAsia" w:ascii="仿宋" w:hAnsi="仿宋" w:eastAsia="仿宋" w:cs="仿宋"/>
          <w:b/>
          <w:bCs/>
          <w:color w:val="000000" w:themeColor="text1"/>
          <w:highlight w:val="none"/>
          <w14:textFill>
            <w14:solidFill>
              <w14:schemeClr w14:val="tx1"/>
            </w14:solidFill>
          </w14:textFill>
        </w:rPr>
        <w:t>废标</w:t>
      </w:r>
      <w:r>
        <w:rPr>
          <w:rFonts w:hint="eastAsia" w:ascii="仿宋" w:hAnsi="仿宋" w:eastAsia="仿宋" w:cs="仿宋"/>
          <w:color w:val="000000" w:themeColor="text1"/>
          <w:highlight w:val="none"/>
          <w14:textFill>
            <w14:solidFill>
              <w14:schemeClr w14:val="tx1"/>
            </w14:solidFill>
          </w14:textFill>
        </w:rPr>
        <w:t>。</w:t>
      </w:r>
    </w:p>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62" w:name="_Toc163492875"/>
      <w:bookmarkStart w:id="263" w:name="_Toc140132766"/>
      <w:bookmarkStart w:id="264" w:name="_Toc140132808"/>
      <w:bookmarkStart w:id="265" w:name="_Toc155185884"/>
      <w:r>
        <w:rPr>
          <w:rFonts w:hint="eastAsia" w:ascii="仿宋" w:hAnsi="仿宋" w:eastAsia="仿宋" w:cs="仿宋"/>
          <w:b/>
          <w:bCs/>
          <w:color w:val="000000" w:themeColor="text1"/>
          <w:szCs w:val="32"/>
          <w:highlight w:val="none"/>
          <w14:textFill>
            <w14:solidFill>
              <w14:schemeClr w14:val="tx1"/>
            </w14:solidFill>
          </w14:textFill>
        </w:rPr>
        <w:t>（十三）落实政府采购政策</w:t>
      </w:r>
      <w:bookmarkEnd w:id="262"/>
      <w:bookmarkEnd w:id="263"/>
      <w:r>
        <w:rPr>
          <w:rFonts w:hint="eastAsia" w:ascii="仿宋" w:hAnsi="仿宋" w:eastAsia="仿宋" w:cs="仿宋"/>
          <w:b/>
          <w:bCs/>
          <w:color w:val="000000" w:themeColor="text1"/>
          <w:szCs w:val="32"/>
          <w:highlight w:val="none"/>
          <w14:textFill>
            <w14:solidFill>
              <w14:schemeClr w14:val="tx1"/>
            </w14:solidFill>
          </w14:textFill>
        </w:rPr>
        <w:t>（包括但不限于下列具体政策要求）</w:t>
      </w:r>
    </w:p>
    <w:p>
      <w:pPr>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8"/>
          <w:highlight w:val="none"/>
          <w:lang w:val="en-US" w:eastAsia="zh-CN" w:bidi="ar-SA"/>
          <w14:textFill>
            <w14:solidFill>
              <w14:schemeClr w14:val="tx1"/>
            </w14:solidFill>
          </w14:textFill>
        </w:rPr>
      </w:pPr>
      <w:bookmarkStart w:id="266" w:name="_Toc163492876"/>
      <w:bookmarkStart w:id="267" w:name="_Toc163492877"/>
      <w:r>
        <w:rPr>
          <w:rFonts w:hint="eastAsia" w:ascii="仿宋" w:hAnsi="仿宋" w:eastAsia="仿宋" w:cs="仿宋"/>
          <w:b/>
          <w:bCs/>
          <w:color w:val="000000" w:themeColor="text1"/>
          <w:kern w:val="2"/>
          <w:sz w:val="24"/>
          <w:szCs w:val="28"/>
          <w:highlight w:val="none"/>
          <w:lang w:val="en-US" w:eastAsia="zh-CN" w:bidi="ar-SA"/>
          <w14:textFill>
            <w14:solidFill>
              <w14:schemeClr w14:val="tx1"/>
            </w14:solidFill>
          </w14:textFill>
        </w:rPr>
        <w:t>41.本国产品和进口产品</w:t>
      </w:r>
      <w:bookmarkEnd w:id="266"/>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41.1本国产品标准及支持政策</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41.1.3对国家相关部门后续发布的特定产品清单内的产品，除满足上述条件外，还需同时满足关键组件境内生产、关键工序境内完成等特定要求。</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41.1.5供应商对其提供的产品出具《关于符合本国产品标准的声明函》（样式见附件1，以下简称《声明函》）或财政部会同有关部门规定的有关证明文件。出具符合要求的《声明函》或有关证明文件的，该产品视为本国产品。</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医疗器械产品，取得药品监督管理部门授予的准字号医疗器械注册证的，视为符合本国产品标准。</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41.2进口产品</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4</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 w:val="24"/>
          <w:highlight w:val="none"/>
          <w14:textFill>
            <w14:solidFill>
              <w14:schemeClr w14:val="tx1"/>
            </w14:solidFill>
          </w14:textFill>
        </w:rPr>
        <w:t>.</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 xml:space="preserve">2.2进口产品指通过中国海关报关验放进入中国境内且产自关境外的产品，包括已经进入中国境内的进口产品。 </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4</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 w:val="24"/>
          <w:highlight w:val="none"/>
          <w14:textFill>
            <w14:solidFill>
              <w14:schemeClr w14:val="tx1"/>
            </w14:solidFill>
          </w14:textFill>
        </w:rPr>
        <w:t>.</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2.3若采购需求中写明允许采购进口产品，投标人应保证所投产品可履行合法报通关手续进入中国关境内。</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4</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 w:val="24"/>
          <w:highlight w:val="none"/>
          <w14:textFill>
            <w14:solidFill>
              <w14:schemeClr w14:val="tx1"/>
            </w14:solidFill>
          </w14:textFill>
        </w:rPr>
        <w:t>.</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2.4若采购需求中未写明允许采购进口产品，如投标人所投产品为进口产品，其投标将被认定为</w:t>
      </w:r>
      <w:r>
        <w:rPr>
          <w:rFonts w:hint="eastAsia" w:ascii="仿宋" w:hAnsi="仿宋" w:eastAsia="仿宋" w:cs="仿宋"/>
          <w:b/>
          <w:bCs/>
          <w:snapToGrid w:val="0"/>
          <w:color w:val="000000" w:themeColor="text1"/>
          <w:sz w:val="24"/>
          <w:highlight w:val="none"/>
          <w:lang w:val="en-US" w:eastAsia="zh-CN"/>
          <w14:textFill>
            <w14:solidFill>
              <w14:schemeClr w14:val="tx1"/>
            </w14:solidFill>
          </w14:textFill>
        </w:rPr>
        <w:t>投标无效</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42.中小企业、监狱企业及残疾人福利性单位</w:t>
      </w:r>
      <w:bookmarkEnd w:id="267"/>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42</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en-US"/>
          <w14:textFill>
            <w14:solidFill>
              <w14:schemeClr w14:val="tx1"/>
            </w14:solidFill>
          </w14:textFill>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42</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en-US"/>
          <w14:textFill>
            <w14:solidFill>
              <w14:schemeClr w14:val="tx1"/>
            </w14:solidFill>
          </w14:textFill>
        </w:rPr>
        <w:t>2</w:t>
      </w:r>
      <w:r>
        <w:rPr>
          <w:rFonts w:hint="eastAsia" w:ascii="仿宋" w:hAnsi="仿宋" w:eastAsia="仿宋" w:cs="仿宋"/>
          <w:snapToGrid w:val="0"/>
          <w:color w:val="000000" w:themeColor="text1"/>
          <w:highlight w:val="none"/>
          <w14:textFill>
            <w14:solidFill>
              <w14:schemeClr w14:val="tx1"/>
            </w14:solidFill>
          </w14:textFill>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仿宋" w:hAnsi="仿宋" w:eastAsia="仿宋" w:cs="仿宋"/>
          <w:snapToGrid w:val="0"/>
          <w:color w:val="000000" w:themeColor="text1"/>
          <w:highlight w:val="none"/>
          <w:lang w:val="en-US"/>
          <w14:textFill>
            <w14:solidFill>
              <w14:schemeClr w14:val="tx1"/>
            </w14:solidFill>
          </w14:textFill>
        </w:rPr>
        <w:t>招标</w:t>
      </w:r>
      <w:r>
        <w:rPr>
          <w:rFonts w:hint="eastAsia" w:ascii="仿宋" w:hAnsi="仿宋" w:eastAsia="仿宋" w:cs="仿宋"/>
          <w:snapToGrid w:val="0"/>
          <w:color w:val="000000" w:themeColor="text1"/>
          <w:highlight w:val="none"/>
          <w14:textFill>
            <w14:solidFill>
              <w14:schemeClr w14:val="tx1"/>
            </w14:solidFill>
          </w14:textFill>
        </w:rPr>
        <w:t>文件规定格式提供“中小企业声明函”</w:t>
      </w:r>
      <w:r>
        <w:rPr>
          <w:rFonts w:hint="eastAsia" w:ascii="仿宋" w:hAnsi="仿宋" w:eastAsia="仿宋" w:cs="仿宋"/>
          <w:snapToGrid w:val="0"/>
          <w:color w:val="000000" w:themeColor="text1"/>
          <w:highlight w:val="none"/>
          <w:lang w:val="en-US"/>
          <w14:textFill>
            <w14:solidFill>
              <w14:schemeClr w14:val="tx1"/>
            </w14:solidFill>
          </w14:textFill>
        </w:rPr>
        <w:t>或“</w:t>
      </w:r>
      <w:r>
        <w:rPr>
          <w:rFonts w:hint="eastAsia" w:ascii="仿宋" w:hAnsi="仿宋" w:eastAsia="仿宋" w:cs="仿宋"/>
          <w:snapToGrid w:val="0"/>
          <w:color w:val="000000" w:themeColor="text1"/>
          <w:highlight w:val="none"/>
          <w14:textFill>
            <w14:solidFill>
              <w14:schemeClr w14:val="tx1"/>
            </w14:solidFill>
          </w14:textFill>
        </w:rPr>
        <w:t>监狱企业证明文件”</w:t>
      </w:r>
      <w:r>
        <w:rPr>
          <w:rFonts w:hint="eastAsia" w:ascii="仿宋" w:hAnsi="仿宋" w:eastAsia="仿宋" w:cs="仿宋"/>
          <w:snapToGrid w:val="0"/>
          <w:color w:val="000000" w:themeColor="text1"/>
          <w:highlight w:val="none"/>
          <w:lang w:val="en-US"/>
          <w14:textFill>
            <w14:solidFill>
              <w14:schemeClr w14:val="tx1"/>
            </w14:solidFill>
          </w14:textFill>
        </w:rPr>
        <w:t>或</w:t>
      </w:r>
      <w:r>
        <w:rPr>
          <w:rFonts w:hint="eastAsia" w:ascii="仿宋" w:hAnsi="仿宋" w:eastAsia="仿宋" w:cs="仿宋"/>
          <w:snapToGrid w:val="0"/>
          <w:color w:val="000000" w:themeColor="text1"/>
          <w:highlight w:val="none"/>
          <w14:textFill>
            <w14:solidFill>
              <w14:schemeClr w14:val="tx1"/>
            </w14:solidFill>
          </w14:textFill>
        </w:rPr>
        <w:t>“残疾人福利性单位声明函”，评审时，</w:t>
      </w:r>
      <w:r>
        <w:rPr>
          <w:rFonts w:hint="eastAsia" w:ascii="仿宋" w:hAnsi="仿宋" w:eastAsia="仿宋" w:cs="仿宋"/>
          <w:snapToGrid w:val="0"/>
          <w:color w:val="000000" w:themeColor="text1"/>
          <w:highlight w:val="none"/>
          <w:lang w:val="en-US"/>
          <w14:textFill>
            <w14:solidFill>
              <w14:schemeClr w14:val="tx1"/>
            </w14:solidFill>
          </w14:textFill>
        </w:rPr>
        <w:t>评标委员会</w:t>
      </w:r>
      <w:r>
        <w:rPr>
          <w:rFonts w:hint="eastAsia" w:ascii="仿宋" w:hAnsi="仿宋" w:eastAsia="仿宋" w:cs="仿宋"/>
          <w:snapToGrid w:val="0"/>
          <w:color w:val="000000" w:themeColor="text1"/>
          <w:highlight w:val="none"/>
          <w14:textFill>
            <w14:solidFill>
              <w14:schemeClr w14:val="tx1"/>
            </w14:solidFill>
          </w14:textFill>
        </w:rPr>
        <w:t>将依据本</w:t>
      </w:r>
      <w:r>
        <w:rPr>
          <w:rFonts w:hint="eastAsia" w:ascii="仿宋" w:hAnsi="仿宋" w:eastAsia="仿宋" w:cs="仿宋"/>
          <w:snapToGrid w:val="0"/>
          <w:color w:val="000000" w:themeColor="text1"/>
          <w:highlight w:val="none"/>
          <w:lang w:val="en-US"/>
          <w14:textFill>
            <w14:solidFill>
              <w14:schemeClr w14:val="tx1"/>
            </w14:solidFill>
          </w14:textFill>
        </w:rPr>
        <w:t>招标</w:t>
      </w:r>
      <w:r>
        <w:rPr>
          <w:rFonts w:hint="eastAsia" w:ascii="仿宋" w:hAnsi="仿宋" w:eastAsia="仿宋" w:cs="仿宋"/>
          <w:snapToGrid w:val="0"/>
          <w:color w:val="000000" w:themeColor="text1"/>
          <w:highlight w:val="none"/>
          <w14:textFill>
            <w14:solidFill>
              <w14:schemeClr w14:val="tx1"/>
            </w14:solidFill>
          </w14:textFill>
        </w:rPr>
        <w:t>文件“</w:t>
      </w:r>
      <w:r>
        <w:rPr>
          <w:rFonts w:hint="eastAsia" w:ascii="仿宋" w:hAnsi="仿宋" w:eastAsia="仿宋" w:cs="仿宋"/>
          <w:snapToGrid w:val="0"/>
          <w:color w:val="000000" w:themeColor="text1"/>
          <w:highlight w:val="none"/>
          <w:lang w:val="en-US"/>
          <w14:textFill>
            <w14:solidFill>
              <w14:schemeClr w14:val="tx1"/>
            </w14:solidFill>
          </w14:textFill>
        </w:rPr>
        <w:t>投标人</w:t>
      </w:r>
      <w:r>
        <w:rPr>
          <w:rFonts w:hint="eastAsia" w:ascii="仿宋" w:hAnsi="仿宋" w:eastAsia="仿宋" w:cs="仿宋"/>
          <w:snapToGrid w:val="0"/>
          <w:color w:val="000000" w:themeColor="text1"/>
          <w:highlight w:val="none"/>
          <w14:textFill>
            <w14:solidFill>
              <w14:schemeClr w14:val="tx1"/>
            </w14:solidFill>
          </w14:textFill>
        </w:rPr>
        <w:t>须知前附表”规定的报价扣除比例，对供应商报价进行价格扣除，用扣除后的价格参与评审；</w:t>
      </w:r>
      <w:r>
        <w:rPr>
          <w:rFonts w:hint="eastAsia" w:ascii="仿宋" w:hAnsi="仿宋" w:eastAsia="仿宋" w:cs="仿宋"/>
          <w:snapToGrid w:val="0"/>
          <w:color w:val="000000" w:themeColor="text1"/>
          <w:highlight w:val="none"/>
          <w:lang w:val="en-US"/>
          <w14:textFill>
            <w14:solidFill>
              <w14:schemeClr w14:val="tx1"/>
            </w14:solidFill>
          </w14:textFill>
        </w:rPr>
        <w:t>招标</w:t>
      </w:r>
      <w:r>
        <w:rPr>
          <w:rFonts w:hint="eastAsia" w:ascii="仿宋" w:hAnsi="仿宋" w:eastAsia="仿宋" w:cs="仿宋"/>
          <w:snapToGrid w:val="0"/>
          <w:color w:val="000000" w:themeColor="text1"/>
          <w:highlight w:val="none"/>
          <w14:textFill>
            <w14:solidFill>
              <w14:schemeClr w14:val="tx1"/>
            </w14:solidFill>
          </w14:textFill>
        </w:rPr>
        <w:t>公告中明确项目专门面向中小企业采购的，“中小企业声明函”为资格要求文件，供应商参与</w:t>
      </w:r>
      <w:r>
        <w:rPr>
          <w:rFonts w:hint="eastAsia" w:ascii="仿宋" w:hAnsi="仿宋" w:eastAsia="仿宋" w:cs="仿宋"/>
          <w:snapToGrid w:val="0"/>
          <w:color w:val="000000" w:themeColor="text1"/>
          <w:highlight w:val="none"/>
          <w:lang w:val="en-US"/>
          <w14:textFill>
            <w14:solidFill>
              <w14:schemeClr w14:val="tx1"/>
            </w14:solidFill>
          </w14:textFill>
        </w:rPr>
        <w:t>投标</w:t>
      </w:r>
      <w:r>
        <w:rPr>
          <w:rFonts w:hint="eastAsia" w:ascii="仿宋" w:hAnsi="仿宋" w:eastAsia="仿宋" w:cs="仿宋"/>
          <w:snapToGrid w:val="0"/>
          <w:color w:val="000000" w:themeColor="text1"/>
          <w:highlight w:val="none"/>
          <w14:textFill>
            <w14:solidFill>
              <w14:schemeClr w14:val="tx1"/>
            </w14:solidFill>
          </w14:textFill>
        </w:rPr>
        <w:t>须按本</w:t>
      </w:r>
      <w:r>
        <w:rPr>
          <w:rFonts w:hint="eastAsia" w:ascii="仿宋" w:hAnsi="仿宋" w:eastAsia="仿宋" w:cs="仿宋"/>
          <w:snapToGrid w:val="0"/>
          <w:color w:val="000000" w:themeColor="text1"/>
          <w:highlight w:val="none"/>
          <w:lang w:val="en-US"/>
          <w14:textFill>
            <w14:solidFill>
              <w14:schemeClr w14:val="tx1"/>
            </w14:solidFill>
          </w14:textFill>
        </w:rPr>
        <w:t>招标</w:t>
      </w:r>
      <w:r>
        <w:rPr>
          <w:rFonts w:hint="eastAsia" w:ascii="仿宋" w:hAnsi="仿宋" w:eastAsia="仿宋" w:cs="仿宋"/>
          <w:snapToGrid w:val="0"/>
          <w:color w:val="000000" w:themeColor="text1"/>
          <w:highlight w:val="none"/>
          <w14:textFill>
            <w14:solidFill>
              <w14:schemeClr w14:val="tx1"/>
            </w14:solidFill>
          </w14:textFill>
        </w:rPr>
        <w:t>文件规定格式提供“中小企业声明函”</w:t>
      </w:r>
      <w:r>
        <w:rPr>
          <w:rFonts w:hint="eastAsia" w:ascii="仿宋" w:hAnsi="仿宋" w:eastAsia="仿宋" w:cs="仿宋"/>
          <w:snapToGrid w:val="0"/>
          <w:color w:val="000000" w:themeColor="text1"/>
          <w:highlight w:val="none"/>
          <w:lang w:val="en-US"/>
          <w14:textFill>
            <w14:solidFill>
              <w14:schemeClr w14:val="tx1"/>
            </w14:solidFill>
          </w14:textFill>
        </w:rPr>
        <w:t>或“</w:t>
      </w:r>
      <w:r>
        <w:rPr>
          <w:rFonts w:hint="eastAsia" w:ascii="仿宋" w:hAnsi="仿宋" w:eastAsia="仿宋" w:cs="仿宋"/>
          <w:snapToGrid w:val="0"/>
          <w:color w:val="000000" w:themeColor="text1"/>
          <w:highlight w:val="none"/>
          <w14:textFill>
            <w14:solidFill>
              <w14:schemeClr w14:val="tx1"/>
            </w14:solidFill>
          </w14:textFill>
        </w:rPr>
        <w:t>监狱企业证明文件”</w:t>
      </w:r>
      <w:r>
        <w:rPr>
          <w:rFonts w:hint="eastAsia" w:ascii="仿宋" w:hAnsi="仿宋" w:eastAsia="仿宋" w:cs="仿宋"/>
          <w:snapToGrid w:val="0"/>
          <w:color w:val="000000" w:themeColor="text1"/>
          <w:highlight w:val="none"/>
          <w:lang w:val="en-US"/>
          <w14:textFill>
            <w14:solidFill>
              <w14:schemeClr w14:val="tx1"/>
            </w14:solidFill>
          </w14:textFill>
        </w:rPr>
        <w:t>或</w:t>
      </w:r>
      <w:r>
        <w:rPr>
          <w:rFonts w:hint="eastAsia" w:ascii="仿宋" w:hAnsi="仿宋" w:eastAsia="仿宋" w:cs="仿宋"/>
          <w:snapToGrid w:val="0"/>
          <w:color w:val="000000" w:themeColor="text1"/>
          <w:highlight w:val="none"/>
          <w14:textFill>
            <w14:solidFill>
              <w14:schemeClr w14:val="tx1"/>
            </w14:solidFill>
          </w14:textFill>
        </w:rPr>
        <w:t>“残疾人福利性单位声明函”等作为资格证明文件。</w:t>
      </w:r>
      <w:r>
        <w:rPr>
          <w:rFonts w:hint="eastAsia" w:ascii="仿宋" w:hAnsi="仿宋" w:eastAsia="仿宋" w:cs="仿宋"/>
          <w:snapToGrid w:val="0"/>
          <w:color w:val="000000" w:themeColor="text1"/>
          <w:highlight w:val="none"/>
          <w:lang w:val="en-US"/>
          <w14:textFill>
            <w14:solidFill>
              <w14:schemeClr w14:val="tx1"/>
            </w14:solidFill>
          </w14:textFill>
        </w:rPr>
        <w:t xml:space="preserve">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42.3 投标人提供的货物、工程或者服务符合下列情形的，享受中小企业扶持政策：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（1）在货物采购项目中，货物由中小企业制造，即货物由中小企业生产且使用该中小企业商号或者注册商标；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（2）在工程采购项目中，工程由中小企业承建，即工程施工单位为中小企业；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（3）在服务采购项目中，服务由中小企业承接，即提供服务的人员为中小企业依照《中华人民共和国劳动合同法》订立劳动合同的从业人员。</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42.4 在货物采购项目中，投标人提供的货物既有中小企业制造货物，也有大型企业制造货物的，不享受中小企业扶持政策。 </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42.5 以联合体形式参加政府采购活动，联合体各方均为中小企业的，联合体视同中小企业。其中，联合体各方均为小微企业的，联合体视同小微企业。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42.7.1 安置的残疾人占本单位在职职工人数的比例不低于 25% （含 25%），并且安置的残疾人人数不少于 10 人（含 10人）；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42.7.2 依法与安置的每位残疾人签订了1年以上（含1年）的劳动合同或服务协议；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42.7.3 为安置的每位残疾人按月足额缴纳了基本养老保险、基本医疗保险、失业保险、工伤保险和生育保险等社会保险费；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42.7.4 通过银行等金融机构向安置的每位残疾人，按月支付了不低于单位所在区县适用的经省级人民政府批准的月最低工资标准的工资；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42.7.5 提供本单位制造的货物、承担的工程或者服务（以下简称产品），或者提供其他残疾人福利性单位制造的货物（不包括使用非残疾人福利性单位注册商标的货物）；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68" w:name="_Toc163492878"/>
      <w:r>
        <w:rPr>
          <w:rFonts w:hint="eastAsia" w:ascii="仿宋" w:hAnsi="仿宋" w:eastAsia="仿宋" w:cs="仿宋"/>
          <w:b/>
          <w:bCs/>
          <w:color w:val="000000" w:themeColor="text1"/>
          <w:szCs w:val="28"/>
          <w:highlight w:val="none"/>
          <w14:textFill>
            <w14:solidFill>
              <w14:schemeClr w14:val="tx1"/>
            </w14:solidFill>
          </w14:textFill>
        </w:rPr>
        <w:t>43.政府采购节能产品、环境标志产品</w:t>
      </w:r>
      <w:bookmarkEnd w:id="268"/>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napToGrid w:val="0"/>
          <w:color w:val="000000" w:themeColor="text1"/>
          <w:highlight w:val="none"/>
          <w:lang w:val="en-US"/>
          <w14:textFill>
            <w14:solidFill>
              <w14:schemeClr w14:val="tx1"/>
            </w14:solidFill>
          </w14:textFill>
        </w:rPr>
        <w:t>投标无效</w:t>
      </w:r>
      <w:r>
        <w:rPr>
          <w:rFonts w:hint="eastAsia" w:ascii="仿宋" w:hAnsi="仿宋" w:eastAsia="仿宋" w:cs="仿宋"/>
          <w:snapToGrid w:val="0"/>
          <w:color w:val="000000" w:themeColor="text1"/>
          <w:highlight w:val="none"/>
          <w:lang w:val="en-US"/>
          <w14:textFill>
            <w14:solidFill>
              <w14:schemeClr w14:val="tx1"/>
            </w14:solidFill>
          </w14:textFill>
        </w:rPr>
        <w:t xml:space="preserve">。 </w:t>
      </w:r>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43.4 非政府强制采购的节能产品或环境标志产品，依据品目清单和认证证书实施政府优先采购。优先采购的具体规定见“第五章 评标方法及标准”（如涉及）。</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43.5 </w:t>
      </w:r>
      <w:r>
        <w:rPr>
          <w:rFonts w:hint="eastAsia" w:ascii="仿宋" w:hAnsi="仿宋" w:eastAsia="仿宋" w:cs="仿宋"/>
          <w:snapToGrid w:val="0"/>
          <w:color w:val="000000" w:themeColor="text1"/>
          <w:highlight w:val="none"/>
          <w14:textFill>
            <w14:solidFill>
              <w14:schemeClr w14:val="tx1"/>
            </w14:solidFill>
          </w14:textFill>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仿宋" w:hAnsi="仿宋" w:eastAsia="仿宋" w:cs="仿宋"/>
          <w:snapToGrid w:val="0"/>
          <w:color w:val="000000" w:themeColor="text1"/>
          <w:highlight w:val="none"/>
          <w:lang w:val="en-US"/>
          <w14:textFill>
            <w14:solidFill>
              <w14:schemeClr w14:val="tx1"/>
            </w14:solidFill>
          </w14:textFill>
        </w:rPr>
        <w:t>评审优惠</w:t>
      </w:r>
      <w:r>
        <w:rPr>
          <w:rFonts w:hint="eastAsia" w:ascii="仿宋" w:hAnsi="仿宋" w:eastAsia="仿宋" w:cs="仿宋"/>
          <w:snapToGrid w:val="0"/>
          <w:color w:val="000000" w:themeColor="text1"/>
          <w:highlight w:val="none"/>
          <w14:textFill>
            <w14:solidFill>
              <w14:schemeClr w14:val="tx1"/>
            </w14:solidFill>
          </w14:textFill>
        </w:rPr>
        <w:t>，未提供认证证书的视为</w:t>
      </w:r>
      <w:r>
        <w:rPr>
          <w:rFonts w:hint="eastAsia" w:ascii="仿宋" w:hAnsi="仿宋" w:eastAsia="仿宋" w:cs="仿宋"/>
          <w:b/>
          <w:bCs/>
          <w:snapToGrid w:val="0"/>
          <w:color w:val="000000" w:themeColor="text1"/>
          <w:highlight w:val="none"/>
          <w:lang w:val="en-US"/>
          <w14:textFill>
            <w14:solidFill>
              <w14:schemeClr w14:val="tx1"/>
            </w14:solidFill>
          </w14:textFill>
        </w:rPr>
        <w:t>投标</w:t>
      </w:r>
      <w:r>
        <w:rPr>
          <w:rFonts w:hint="eastAsia" w:ascii="仿宋" w:hAnsi="仿宋" w:eastAsia="仿宋" w:cs="仿宋"/>
          <w:b/>
          <w:bCs/>
          <w:snapToGrid w:val="0"/>
          <w:color w:val="000000" w:themeColor="text1"/>
          <w:highlight w:val="none"/>
          <w14:textFill>
            <w14:solidFill>
              <w14:schemeClr w14:val="tx1"/>
            </w14:solidFill>
          </w14:textFill>
        </w:rPr>
        <w:t>无效</w:t>
      </w:r>
      <w:r>
        <w:rPr>
          <w:rFonts w:hint="eastAsia" w:ascii="仿宋" w:hAnsi="仿宋" w:eastAsia="仿宋" w:cs="仿宋"/>
          <w:snapToGrid w:val="0"/>
          <w:color w:val="000000" w:themeColor="text1"/>
          <w:highlight w:val="none"/>
          <w14:textFill>
            <w14:solidFill>
              <w14:schemeClr w14:val="tx1"/>
            </w14:solidFill>
          </w14:textFill>
        </w:rPr>
        <w:t>。属于</w:t>
      </w:r>
      <w:r>
        <w:rPr>
          <w:rFonts w:hint="eastAsia" w:ascii="仿宋" w:hAnsi="仿宋" w:eastAsia="仿宋" w:cs="仿宋"/>
          <w:snapToGrid w:val="0"/>
          <w:color w:val="000000" w:themeColor="text1"/>
          <w:highlight w:val="none"/>
          <w:lang w:val="en-US"/>
          <w14:textFill>
            <w14:solidFill>
              <w14:schemeClr w14:val="tx1"/>
            </w14:solidFill>
          </w14:textFill>
        </w:rPr>
        <w:t>优先采购</w:t>
      </w:r>
      <w:r>
        <w:rPr>
          <w:rFonts w:hint="eastAsia" w:ascii="仿宋" w:hAnsi="仿宋" w:eastAsia="仿宋" w:cs="仿宋"/>
          <w:snapToGrid w:val="0"/>
          <w:color w:val="000000" w:themeColor="text1"/>
          <w:highlight w:val="none"/>
          <w14:textFill>
            <w14:solidFill>
              <w14:schemeClr w14:val="tx1"/>
            </w14:solidFill>
          </w14:textFill>
        </w:rPr>
        <w:t>节能产品政府采购品目清单、环境标志产品政府采购品目清单、</w:t>
      </w:r>
      <w:r>
        <w:rPr>
          <w:rFonts w:hint="eastAsia" w:ascii="仿宋" w:hAnsi="仿宋" w:eastAsia="仿宋" w:cs="仿宋"/>
          <w:snapToGrid w:val="0"/>
          <w:color w:val="000000" w:themeColor="text1"/>
          <w:highlight w:val="none"/>
          <w:lang w:val="en-US"/>
          <w14:textFill>
            <w14:solidFill>
              <w14:schemeClr w14:val="tx1"/>
            </w14:solidFill>
          </w14:textFill>
        </w:rPr>
        <w:t>创新产品</w:t>
      </w:r>
      <w:r>
        <w:rPr>
          <w:rFonts w:hint="eastAsia" w:ascii="仿宋" w:hAnsi="仿宋" w:eastAsia="仿宋" w:cs="仿宋"/>
          <w:snapToGrid w:val="0"/>
          <w:color w:val="000000" w:themeColor="text1"/>
          <w:highlight w:val="none"/>
          <w14:textFill>
            <w14:solidFill>
              <w14:schemeClr w14:val="tx1"/>
            </w14:solidFill>
          </w14:textFill>
        </w:rPr>
        <w:t>范围的，按照“</w:t>
      </w:r>
      <w:r>
        <w:rPr>
          <w:rFonts w:hint="eastAsia" w:ascii="仿宋" w:hAnsi="仿宋" w:eastAsia="仿宋" w:cs="仿宋"/>
          <w:color w:val="000000" w:themeColor="text1"/>
          <w:highlight w:val="none"/>
          <w:lang w:val="en-US"/>
          <w14:textFill>
            <w14:solidFill>
              <w14:schemeClr w14:val="tx1"/>
            </w14:solidFill>
          </w14:textFill>
        </w:rPr>
        <w:t>第五章 评标方法及标准</w:t>
      </w:r>
      <w:r>
        <w:rPr>
          <w:rFonts w:hint="eastAsia" w:ascii="仿宋" w:hAnsi="仿宋" w:eastAsia="仿宋" w:cs="仿宋"/>
          <w:snapToGrid w:val="0"/>
          <w:color w:val="000000" w:themeColor="text1"/>
          <w:highlight w:val="none"/>
          <w14:textFill>
            <w14:solidFill>
              <w14:schemeClr w14:val="tx1"/>
            </w14:solidFill>
          </w14:textFill>
        </w:rPr>
        <w:t>”中相关规定</w:t>
      </w:r>
      <w:r>
        <w:rPr>
          <w:rFonts w:hint="eastAsia" w:ascii="仿宋" w:hAnsi="仿宋" w:eastAsia="仿宋" w:cs="仿宋"/>
          <w:color w:val="000000" w:themeColor="text1"/>
          <w:highlight w:val="none"/>
          <w:lang w:val="en-US"/>
          <w14:textFill>
            <w14:solidFill>
              <w14:schemeClr w14:val="tx1"/>
            </w14:solidFill>
          </w14:textFill>
        </w:rPr>
        <w:t>在评审时给予优惠，具体详见</w:t>
      </w:r>
      <w:r>
        <w:rPr>
          <w:rFonts w:hint="eastAsia" w:ascii="仿宋" w:hAnsi="仿宋" w:eastAsia="仿宋" w:cs="仿宋"/>
          <w:snapToGrid w:val="0"/>
          <w:color w:val="000000" w:themeColor="text1"/>
          <w:highlight w:val="none"/>
          <w:lang w:val="en-US"/>
          <w14:textFill>
            <w14:solidFill>
              <w14:schemeClr w14:val="tx1"/>
            </w14:solidFill>
          </w14:textFill>
        </w:rPr>
        <w:t>“投标人须知前附表”及</w:t>
      </w:r>
      <w:r>
        <w:rPr>
          <w:rFonts w:hint="eastAsia" w:ascii="仿宋" w:hAnsi="仿宋" w:eastAsia="仿宋" w:cs="仿宋"/>
          <w:color w:val="000000" w:themeColor="text1"/>
          <w:highlight w:val="none"/>
          <w:lang w:val="en-US"/>
          <w14:textFill>
            <w14:solidFill>
              <w14:schemeClr w14:val="tx1"/>
            </w14:solidFill>
          </w14:textFill>
        </w:rPr>
        <w:t>“第五章 评标方法及标准”</w:t>
      </w:r>
      <w:r>
        <w:rPr>
          <w:rFonts w:hint="eastAsia" w:ascii="仿宋" w:hAnsi="仿宋" w:eastAsia="仿宋" w:cs="仿宋"/>
          <w:color w:val="000000" w:themeColor="text1"/>
          <w:highlight w:val="none"/>
          <w14:textFill>
            <w14:solidFill>
              <w14:schemeClr w14:val="tx1"/>
            </w14:solidFill>
          </w14:textFill>
        </w:rPr>
        <w:t>。</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69" w:name="_Toc163492879"/>
      <w:r>
        <w:rPr>
          <w:rFonts w:hint="eastAsia" w:ascii="仿宋" w:hAnsi="仿宋" w:eastAsia="仿宋" w:cs="仿宋"/>
          <w:b/>
          <w:bCs/>
          <w:color w:val="000000" w:themeColor="text1"/>
          <w:szCs w:val="28"/>
          <w:highlight w:val="none"/>
          <w14:textFill>
            <w14:solidFill>
              <w14:schemeClr w14:val="tx1"/>
            </w14:solidFill>
          </w14:textFill>
        </w:rPr>
        <w:t xml:space="preserve">44.正版软件  </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 xml:space="preserve">45.网络安全专用产品   </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 xml:space="preserve">46.采购需求标准   </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46.1 商品包装、快递包装政府采购需求标准（试行） </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46.2 绿色数据中心政府采购需求标准（试行） </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46.3台式计算机政府采购需求标准</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46.4便携式计算机政府采购需求标准</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46.5一体式计算机政府采购需求标准</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46.6工作站政府采购需求标准</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46.7通用服务器政府采购需求标准</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46.8操作系统政府采购需求标准</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46.9数据库政府采购需求标准</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46.10物业管理服务政府采购需求标准（办公场所类）（试行）</w:t>
      </w:r>
    </w:p>
    <w:p>
      <w:pPr>
        <w:pStyle w:val="19"/>
        <w:outlineLvl w:val="9"/>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bookmarkEnd w:id="264"/>
    <w:bookmarkEnd w:id="265"/>
    <w:bookmarkEnd w:id="269"/>
    <w:p>
      <w:pPr>
        <w:spacing w:before="180" w:after="180" w:line="240" w:lineRule="auto"/>
        <w:ind w:left="420" w:hanging="420"/>
        <w:outlineLvl w:val="9"/>
        <w:rPr>
          <w:rFonts w:ascii="仿宋" w:hAnsi="仿宋" w:eastAsia="仿宋" w:cs="仿宋"/>
          <w:b/>
          <w:bCs/>
          <w:color w:val="000000" w:themeColor="text1"/>
          <w:szCs w:val="32"/>
          <w:highlight w:val="none"/>
          <w14:textFill>
            <w14:solidFill>
              <w14:schemeClr w14:val="tx1"/>
            </w14:solidFill>
          </w14:textFill>
        </w:rPr>
      </w:pPr>
      <w:bookmarkStart w:id="270" w:name="_Toc163492881"/>
      <w:r>
        <w:rPr>
          <w:rFonts w:hint="eastAsia" w:ascii="仿宋" w:hAnsi="仿宋" w:eastAsia="仿宋" w:cs="仿宋"/>
          <w:b/>
          <w:bCs/>
          <w:color w:val="000000" w:themeColor="text1"/>
          <w:szCs w:val="32"/>
          <w:highlight w:val="none"/>
          <w14:textFill>
            <w14:solidFill>
              <w14:schemeClr w14:val="tx1"/>
            </w14:solidFill>
          </w14:textFill>
        </w:rPr>
        <w:t>（十</w:t>
      </w:r>
      <w:r>
        <w:rPr>
          <w:rFonts w:hint="eastAsia" w:ascii="仿宋" w:hAnsi="仿宋" w:eastAsia="仿宋" w:cs="仿宋"/>
          <w:b/>
          <w:bCs/>
          <w:color w:val="000000" w:themeColor="text1"/>
          <w:szCs w:val="32"/>
          <w:highlight w:val="none"/>
          <w:lang w:val="en-US" w:eastAsia="zh-CN"/>
          <w14:textFill>
            <w14:solidFill>
              <w14:schemeClr w14:val="tx1"/>
            </w14:solidFill>
          </w14:textFill>
        </w:rPr>
        <w:t>四</w:t>
      </w:r>
      <w:r>
        <w:rPr>
          <w:rFonts w:hint="eastAsia" w:ascii="仿宋" w:hAnsi="仿宋" w:eastAsia="仿宋" w:cs="仿宋"/>
          <w:b/>
          <w:bCs/>
          <w:color w:val="000000" w:themeColor="text1"/>
          <w:szCs w:val="32"/>
          <w:highlight w:val="none"/>
          <w14:textFill>
            <w14:solidFill>
              <w14:schemeClr w14:val="tx1"/>
            </w14:solidFill>
          </w14:textFill>
        </w:rPr>
        <w:t>）其他</w:t>
      </w:r>
      <w:bookmarkEnd w:id="270"/>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71" w:name="_Toc163492882"/>
      <w:r>
        <w:rPr>
          <w:rFonts w:hint="eastAsia" w:ascii="仿宋" w:hAnsi="仿宋" w:eastAsia="仿宋" w:cs="仿宋"/>
          <w:b/>
          <w:bCs/>
          <w:color w:val="000000" w:themeColor="text1"/>
          <w:szCs w:val="28"/>
          <w:highlight w:val="none"/>
          <w14:textFill>
            <w14:solidFill>
              <w14:schemeClr w14:val="tx1"/>
            </w14:solidFill>
          </w14:textFill>
        </w:rPr>
        <w:t>4</w:t>
      </w:r>
      <w:r>
        <w:rPr>
          <w:rFonts w:hint="eastAsia" w:ascii="仿宋" w:hAnsi="仿宋" w:eastAsia="仿宋" w:cs="仿宋"/>
          <w:b/>
          <w:bCs/>
          <w:color w:val="000000" w:themeColor="text1"/>
          <w:szCs w:val="28"/>
          <w:highlight w:val="none"/>
          <w:lang w:val="en-US" w:eastAsia="zh-CN"/>
          <w14:textFill>
            <w14:solidFill>
              <w14:schemeClr w14:val="tx1"/>
            </w14:solidFill>
          </w14:textFill>
        </w:rPr>
        <w:t>7</w:t>
      </w:r>
      <w:r>
        <w:rPr>
          <w:rFonts w:hint="eastAsia" w:ascii="仿宋" w:hAnsi="仿宋" w:eastAsia="仿宋" w:cs="仿宋"/>
          <w:b/>
          <w:bCs/>
          <w:color w:val="000000" w:themeColor="text1"/>
          <w:szCs w:val="28"/>
          <w:highlight w:val="none"/>
          <w14:textFill>
            <w14:solidFill>
              <w14:schemeClr w14:val="tx1"/>
            </w14:solidFill>
          </w14:textFill>
        </w:rPr>
        <w:t>.需要补充的其他内容</w:t>
      </w:r>
      <w:bookmarkEnd w:id="271"/>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.1需要补充的其他内容：见投标人须知前附表。</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72" w:name="_Toc155185886"/>
      <w:bookmarkStart w:id="273" w:name="_Toc163492883"/>
      <w:bookmarkStart w:id="274" w:name="_Toc140132810"/>
      <w:r>
        <w:rPr>
          <w:rFonts w:hint="eastAsia" w:ascii="仿宋" w:hAnsi="仿宋" w:eastAsia="仿宋" w:cs="仿宋"/>
          <w:b/>
          <w:bCs/>
          <w:color w:val="000000" w:themeColor="text1"/>
          <w:szCs w:val="28"/>
          <w:highlight w:val="none"/>
          <w14:textFill>
            <w14:solidFill>
              <w14:schemeClr w14:val="tx1"/>
            </w14:solidFill>
          </w14:textFill>
        </w:rPr>
        <w:t>4</w:t>
      </w:r>
      <w:r>
        <w:rPr>
          <w:rFonts w:hint="eastAsia" w:ascii="仿宋" w:hAnsi="仿宋" w:eastAsia="仿宋" w:cs="仿宋"/>
          <w:b/>
          <w:bCs/>
          <w:color w:val="000000" w:themeColor="text1"/>
          <w:szCs w:val="28"/>
          <w:highlight w:val="none"/>
          <w:lang w:val="en-US" w:eastAsia="zh-CN"/>
          <w14:textFill>
            <w14:solidFill>
              <w14:schemeClr w14:val="tx1"/>
            </w14:solidFill>
          </w14:textFill>
        </w:rPr>
        <w:t>8</w:t>
      </w:r>
      <w:r>
        <w:rPr>
          <w:rFonts w:hint="eastAsia" w:ascii="仿宋" w:hAnsi="仿宋" w:eastAsia="仿宋" w:cs="仿宋"/>
          <w:b/>
          <w:bCs/>
          <w:color w:val="000000" w:themeColor="text1"/>
          <w:szCs w:val="28"/>
          <w:highlight w:val="none"/>
          <w14:textFill>
            <w14:solidFill>
              <w14:schemeClr w14:val="tx1"/>
            </w14:solidFill>
          </w14:textFill>
        </w:rPr>
        <w:t>.适用法律</w:t>
      </w:r>
      <w:bookmarkEnd w:id="272"/>
      <w:bookmarkEnd w:id="273"/>
      <w:bookmarkEnd w:id="274"/>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w:t>
      </w:r>
      <w:r>
        <w:rPr>
          <w:rFonts w:hint="eastAsia" w:ascii="仿宋" w:hAnsi="仿宋" w:eastAsia="仿宋" w:cs="仿宋"/>
          <w:snapToGrid w:val="0"/>
          <w:color w:val="000000" w:themeColor="text1"/>
          <w:highlight w:val="none"/>
          <w:lang w:val="en-US" w:eastAsia="zh-CN"/>
          <w14:textFill>
            <w14:solidFill>
              <w14:schemeClr w14:val="tx1"/>
            </w14:solidFill>
          </w14:textFill>
        </w:rPr>
        <w:t>8</w:t>
      </w:r>
      <w:r>
        <w:rPr>
          <w:rFonts w:hint="eastAsia" w:ascii="仿宋" w:hAnsi="仿宋" w:eastAsia="仿宋" w:cs="仿宋"/>
          <w:snapToGrid w:val="0"/>
          <w:color w:val="000000" w:themeColor="text1"/>
          <w:highlight w:val="none"/>
          <w14:textFill>
            <w14:solidFill>
              <w14:schemeClr w14:val="tx1"/>
            </w14:solidFill>
          </w14:textFill>
        </w:rPr>
        <w:t>.1采购人、采购代理机构及投标人的一切采购活动均适用《中华人民共和国政府采购法》、《中华人民共和国政府采购法实施条例》、《政府采购货物和服务招标投标管理办法》（财政部令第87号）及相关法律法规。</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w:t>
      </w:r>
      <w:r>
        <w:rPr>
          <w:rFonts w:hint="eastAsia" w:ascii="仿宋" w:hAnsi="仿宋" w:eastAsia="仿宋" w:cs="仿宋"/>
          <w:snapToGrid w:val="0"/>
          <w:color w:val="000000" w:themeColor="text1"/>
          <w:highlight w:val="none"/>
          <w:lang w:val="en-US" w:eastAsia="zh-CN"/>
          <w14:textFill>
            <w14:solidFill>
              <w14:schemeClr w14:val="tx1"/>
            </w14:solidFill>
          </w14:textFill>
        </w:rPr>
        <w:t>8</w:t>
      </w:r>
      <w:r>
        <w:rPr>
          <w:rFonts w:hint="eastAsia" w:ascii="仿宋" w:hAnsi="仿宋" w:eastAsia="仿宋" w:cs="仿宋"/>
          <w:snapToGrid w:val="0"/>
          <w:color w:val="000000" w:themeColor="text1"/>
          <w:highlight w:val="none"/>
          <w14:textFill>
            <w14:solidFill>
              <w14:schemeClr w14:val="tx1"/>
            </w14:solidFill>
          </w14:textFill>
        </w:rPr>
        <w:t>.2政府采购合同的履行、违约责任和解决争议的方法等适用《中华人民共和国民法典》。</w:t>
      </w:r>
    </w:p>
    <w:p>
      <w:pPr>
        <w:spacing w:before="80" w:after="80" w:line="240" w:lineRule="auto"/>
        <w:ind w:left="420" w:hanging="420"/>
        <w:outlineLvl w:val="9"/>
        <w:rPr>
          <w:rFonts w:ascii="仿宋" w:hAnsi="仿宋" w:eastAsia="仿宋" w:cs="仿宋"/>
          <w:b/>
          <w:bCs/>
          <w:color w:val="000000" w:themeColor="text1"/>
          <w:szCs w:val="28"/>
          <w:highlight w:val="none"/>
          <w14:textFill>
            <w14:solidFill>
              <w14:schemeClr w14:val="tx1"/>
            </w14:solidFill>
          </w14:textFill>
        </w:rPr>
      </w:pPr>
      <w:bookmarkStart w:id="275" w:name="_Toc155185887"/>
      <w:bookmarkStart w:id="276" w:name="_Toc163492884"/>
      <w:r>
        <w:rPr>
          <w:rFonts w:hint="eastAsia" w:ascii="仿宋" w:hAnsi="仿宋" w:eastAsia="仿宋" w:cs="仿宋"/>
          <w:b/>
          <w:bCs/>
          <w:color w:val="000000" w:themeColor="text1"/>
          <w:szCs w:val="28"/>
          <w:highlight w:val="none"/>
          <w:lang w:val="en-US" w:eastAsia="zh-CN"/>
          <w14:textFill>
            <w14:solidFill>
              <w14:schemeClr w14:val="tx1"/>
            </w14:solidFill>
          </w14:textFill>
        </w:rPr>
        <w:t>49</w:t>
      </w:r>
      <w:r>
        <w:rPr>
          <w:rFonts w:hint="eastAsia" w:ascii="仿宋" w:hAnsi="仿宋" w:eastAsia="仿宋" w:cs="仿宋"/>
          <w:b/>
          <w:bCs/>
          <w:color w:val="000000" w:themeColor="text1"/>
          <w:szCs w:val="28"/>
          <w:highlight w:val="none"/>
          <w14:textFill>
            <w14:solidFill>
              <w14:schemeClr w14:val="tx1"/>
            </w14:solidFill>
          </w14:textFill>
        </w:rPr>
        <w:t>.解释权</w:t>
      </w:r>
      <w:bookmarkEnd w:id="275"/>
      <w:bookmarkEnd w:id="276"/>
    </w:p>
    <w:p>
      <w:pPr>
        <w:pStyle w:val="19"/>
        <w:outlineLvl w:val="9"/>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eastAsia="zh-CN"/>
          <w14:textFill>
            <w14:solidFill>
              <w14:schemeClr w14:val="tx1"/>
            </w14:solidFill>
          </w14:textFill>
        </w:rPr>
        <w:t>49</w:t>
      </w:r>
      <w:r>
        <w:rPr>
          <w:rFonts w:hint="eastAsia" w:ascii="仿宋" w:hAnsi="仿宋" w:eastAsia="仿宋" w:cs="仿宋"/>
          <w:snapToGrid w:val="0"/>
          <w:color w:val="000000" w:themeColor="text1"/>
          <w:highlight w:val="none"/>
          <w14:textFill>
            <w14:solidFill>
              <w14:schemeClr w14:val="tx1"/>
            </w14:solidFill>
          </w14:textFill>
        </w:rPr>
        <w:t>.1本招标文件最终解释权归采购人或采购代理机构所有。</w:t>
      </w:r>
    </w:p>
    <w:p>
      <w:pPr>
        <w:outlineLvl w:val="9"/>
        <w:rPr>
          <w:rFonts w:ascii="仿宋" w:hAnsi="仿宋" w:eastAsia="仿宋" w:cs="仿宋"/>
          <w:b/>
          <w:bCs/>
          <w:color w:val="000000" w:themeColor="text1"/>
          <w:kern w:val="44"/>
          <w:sz w:val="36"/>
          <w:szCs w:val="36"/>
          <w:highlight w:val="none"/>
          <w14:textFill>
            <w14:solidFill>
              <w14:schemeClr w14:val="tx1"/>
            </w14:solidFill>
          </w14:textFill>
        </w:rPr>
      </w:pPr>
      <w:bookmarkStart w:id="277" w:name="_Toc163492885"/>
      <w:bookmarkStart w:id="278" w:name="_Toc155185888"/>
      <w:bookmarkStart w:id="279" w:name="_Toc22090"/>
      <w:r>
        <w:rPr>
          <w:rFonts w:hint="eastAsia" w:ascii="仿宋" w:hAnsi="仿宋" w:eastAsia="仿宋" w:cs="仿宋"/>
          <w:b/>
          <w:bCs/>
          <w:color w:val="000000" w:themeColor="text1"/>
          <w:kern w:val="44"/>
          <w:sz w:val="36"/>
          <w:szCs w:val="36"/>
          <w:highlight w:val="none"/>
          <w14:textFill>
            <w14:solidFill>
              <w14:schemeClr w14:val="tx1"/>
            </w14:solidFill>
          </w14:textFill>
        </w:rPr>
        <w:br w:type="page"/>
      </w:r>
    </w:p>
    <w:p>
      <w:pPr>
        <w:keepNext/>
        <w:keepLines/>
        <w:spacing w:before="220" w:after="220" w:line="480" w:lineRule="auto"/>
        <w:ind w:left="420" w:hanging="420"/>
        <w:jc w:val="center"/>
        <w:outlineLvl w:val="0"/>
        <w:rPr>
          <w:rFonts w:ascii="仿宋" w:hAnsi="仿宋" w:eastAsia="仿宋" w:cs="仿宋"/>
          <w:b/>
          <w:bCs/>
          <w:iCs w:val="0"/>
          <w:color w:val="000000" w:themeColor="text1"/>
          <w:sz w:val="28"/>
          <w:szCs w:val="28"/>
          <w:highlight w:val="none"/>
          <w:shd w:val="clear" w:color="auto" w:fill="auto"/>
          <w:lang w:val="en-US"/>
          <w14:textFill>
            <w14:solidFill>
              <w14:schemeClr w14:val="tx1"/>
            </w14:solidFill>
          </w14:textFill>
        </w:rPr>
      </w:pPr>
      <w:bookmarkStart w:id="280" w:name="_Toc6600"/>
      <w:bookmarkStart w:id="281" w:name="_Toc23190"/>
      <w:bookmarkStart w:id="282" w:name="_Toc14307"/>
      <w:r>
        <w:rPr>
          <w:rFonts w:hint="eastAsia" w:ascii="仿宋" w:hAnsi="仿宋" w:eastAsia="仿宋" w:cs="仿宋"/>
          <w:b/>
          <w:bCs/>
          <w:color w:val="000000" w:themeColor="text1"/>
          <w:kern w:val="44"/>
          <w:sz w:val="36"/>
          <w:szCs w:val="36"/>
          <w:highlight w:val="none"/>
          <w14:textFill>
            <w14:solidFill>
              <w14:schemeClr w14:val="tx1"/>
            </w14:solidFill>
          </w14:textFill>
        </w:rPr>
        <w:t>第三章 采购需求</w:t>
      </w:r>
      <w:bookmarkEnd w:id="277"/>
      <w:bookmarkEnd w:id="278"/>
      <w:bookmarkEnd w:id="279"/>
      <w:bookmarkEnd w:id="280"/>
      <w:bookmarkEnd w:id="281"/>
      <w:bookmarkEnd w:id="282"/>
      <w:bookmarkStart w:id="283" w:name="_Toc155185889"/>
      <w:bookmarkStart w:id="284" w:name="_Toc140132812"/>
      <w:bookmarkStart w:id="285" w:name="_Toc163492886"/>
      <w:bookmarkStart w:id="286" w:name="_Toc163492892"/>
      <w:bookmarkStart w:id="287" w:name="_Toc12252"/>
      <w:bookmarkStart w:id="288" w:name="_Toc155185895"/>
    </w:p>
    <w:bookmarkEnd w:id="283"/>
    <w:bookmarkEnd w:id="284"/>
    <w:bookmarkEnd w:id="285"/>
    <w:p>
      <w:pPr>
        <w:spacing w:line="440" w:lineRule="exact"/>
        <w:outlineLvl w:val="9"/>
        <w:rPr>
          <w:rFonts w:ascii="仿宋" w:hAnsi="仿宋" w:eastAsia="仿宋" w:cs="仿宋"/>
          <w:b/>
          <w:bCs/>
          <w:color w:val="000000" w:themeColor="text1"/>
          <w:sz w:val="28"/>
          <w:szCs w:val="28"/>
          <w:highlight w:val="none"/>
          <w14:textFill>
            <w14:solidFill>
              <w14:schemeClr w14:val="tx1"/>
            </w14:solidFill>
          </w14:textFill>
        </w:rPr>
      </w:pPr>
      <w:bookmarkStart w:id="289" w:name="_Toc2251"/>
      <w:bookmarkStart w:id="290" w:name="OLE_LINK27"/>
      <w:r>
        <w:rPr>
          <w:rFonts w:hint="eastAsia" w:ascii="仿宋" w:hAnsi="仿宋" w:eastAsia="仿宋" w:cs="仿宋"/>
          <w:b/>
          <w:bCs/>
          <w:color w:val="000000" w:themeColor="text1"/>
          <w:sz w:val="28"/>
          <w:szCs w:val="28"/>
          <w:highlight w:val="none"/>
          <w14:textFill>
            <w14:solidFill>
              <w14:schemeClr w14:val="tx1"/>
            </w14:solidFill>
          </w14:textFill>
        </w:rPr>
        <w:t>一、采购标的</w:t>
      </w:r>
      <w:bookmarkEnd w:id="289"/>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1.采购标的</w:t>
      </w:r>
    </w:p>
    <w:tbl>
      <w:tblPr>
        <w:tblStyle w:val="14"/>
        <w:tblW w:w="8158" w:type="dxa"/>
        <w:jc w:val="center"/>
        <w:tblLayout w:type="fixed"/>
        <w:tblCellMar>
          <w:top w:w="0" w:type="dxa"/>
          <w:left w:w="108" w:type="dxa"/>
          <w:bottom w:w="0" w:type="dxa"/>
          <w:right w:w="108" w:type="dxa"/>
        </w:tblCellMar>
      </w:tblPr>
      <w:tblGrid>
        <w:gridCol w:w="782"/>
        <w:gridCol w:w="3029"/>
        <w:gridCol w:w="1017"/>
        <w:gridCol w:w="1110"/>
        <w:gridCol w:w="1110"/>
        <w:gridCol w:w="1110"/>
      </w:tblGrid>
      <w:tr>
        <w:tblPrEx>
          <w:tblCellMar>
            <w:top w:w="0" w:type="dxa"/>
            <w:left w:w="108" w:type="dxa"/>
            <w:bottom w:w="0" w:type="dxa"/>
            <w:right w:w="108" w:type="dxa"/>
          </w:tblCellMar>
        </w:tblPrEx>
        <w:trPr>
          <w:trHeight w:val="455"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top"/>
              <w:outlineLvl w:val="9"/>
              <w:rPr>
                <w:rFonts w:ascii="仿宋" w:hAnsi="仿宋" w:eastAsia="仿宋" w:cs="仿宋"/>
                <w:b/>
                <w:bCs/>
                <w:color w:val="000000" w:themeColor="text1"/>
                <w:sz w:val="21"/>
                <w:szCs w:val="21"/>
                <w:highlight w:val="none"/>
                <w14:textFill>
                  <w14:solidFill>
                    <w14:schemeClr w14:val="tx1"/>
                  </w14:solidFill>
                </w14:textFill>
              </w:rPr>
            </w:pPr>
            <w:r>
              <w:rPr>
                <w:rStyle w:val="32"/>
                <w:rFonts w:hint="eastAsia" w:ascii="仿宋" w:hAnsi="仿宋" w:eastAsia="仿宋" w:cs="仿宋"/>
                <w:b/>
                <w:bCs/>
                <w:i w:val="0"/>
                <w:iCs w:val="0"/>
                <w:color w:val="auto"/>
                <w:sz w:val="21"/>
                <w:szCs w:val="21"/>
                <w:highlight w:val="none"/>
                <w:lang w:val="en-US" w:eastAsia="zh-CN" w:bidi="ar"/>
              </w:rPr>
              <w:t>序号</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top"/>
              <w:outlineLvl w:val="9"/>
              <w:rPr>
                <w:rFonts w:ascii="仿宋" w:hAnsi="仿宋" w:eastAsia="仿宋" w:cs="仿宋"/>
                <w:b/>
                <w:bCs/>
                <w:color w:val="000000" w:themeColor="text1"/>
                <w:sz w:val="21"/>
                <w:szCs w:val="21"/>
                <w:highlight w:val="none"/>
                <w14:textFill>
                  <w14:solidFill>
                    <w14:schemeClr w14:val="tx1"/>
                  </w14:solidFill>
                </w14:textFill>
              </w:rPr>
            </w:pPr>
            <w:r>
              <w:rPr>
                <w:rStyle w:val="32"/>
                <w:rFonts w:hint="eastAsia" w:ascii="仿宋" w:hAnsi="仿宋" w:eastAsia="仿宋" w:cs="仿宋"/>
                <w:b/>
                <w:bCs/>
                <w:i w:val="0"/>
                <w:iCs w:val="0"/>
                <w:color w:val="auto"/>
                <w:sz w:val="21"/>
                <w:szCs w:val="21"/>
                <w:highlight w:val="none"/>
                <w:lang w:val="en-US" w:eastAsia="zh-CN" w:bidi="ar"/>
              </w:rPr>
              <w:t>设备名称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top"/>
              <w:outlineLvl w:val="9"/>
              <w:rPr>
                <w:rFonts w:ascii="仿宋" w:hAnsi="仿宋" w:eastAsia="仿宋" w:cs="仿宋"/>
                <w:b/>
                <w:bCs/>
                <w:color w:val="000000" w:themeColor="text1"/>
                <w:sz w:val="21"/>
                <w:szCs w:val="21"/>
                <w:highlight w:val="none"/>
                <w14:textFill>
                  <w14:solidFill>
                    <w14:schemeClr w14:val="tx1"/>
                  </w14:solidFill>
                </w14:textFill>
              </w:rPr>
            </w:pPr>
            <w:r>
              <w:rPr>
                <w:rStyle w:val="32"/>
                <w:rFonts w:hint="eastAsia" w:ascii="仿宋" w:hAnsi="仿宋" w:eastAsia="仿宋" w:cs="仿宋"/>
                <w:b/>
                <w:bCs/>
                <w:i w:val="0"/>
                <w:iCs w:val="0"/>
                <w:color w:val="auto"/>
                <w:sz w:val="21"/>
                <w:szCs w:val="21"/>
                <w:highlight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top"/>
              <w:outlineLvl w:val="9"/>
              <w:rPr>
                <w:rFonts w:ascii="仿宋" w:hAnsi="仿宋" w:eastAsia="仿宋" w:cs="仿宋"/>
                <w:b/>
                <w:bCs/>
                <w:color w:val="000000" w:themeColor="text1"/>
                <w:sz w:val="21"/>
                <w:szCs w:val="21"/>
                <w:highlight w:val="none"/>
                <w14:textFill>
                  <w14:solidFill>
                    <w14:schemeClr w14:val="tx1"/>
                  </w14:solidFill>
                </w14:textFill>
              </w:rPr>
            </w:pPr>
            <w:r>
              <w:rPr>
                <w:rStyle w:val="32"/>
                <w:rFonts w:hint="eastAsia" w:ascii="仿宋" w:hAnsi="仿宋" w:eastAsia="仿宋" w:cs="仿宋"/>
                <w:b/>
                <w:bCs/>
                <w:i w:val="0"/>
                <w:iCs w:val="0"/>
                <w:color w:val="auto"/>
                <w:sz w:val="21"/>
                <w:szCs w:val="21"/>
                <w:highlight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outlineLvl w:val="9"/>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auto"/>
                <w:sz w:val="21"/>
                <w:szCs w:val="21"/>
                <w:highlight w:val="none"/>
                <w:lang w:val="en-US" w:eastAsia="zh-CN"/>
              </w:rPr>
              <w:t>是否进口</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top"/>
              <w:outlineLvl w:val="9"/>
              <w:rPr>
                <w:rFonts w:hint="eastAsia" w:ascii="仿宋" w:hAnsi="仿宋" w:eastAsia="仿宋" w:cs="仿宋"/>
                <w:b/>
                <w:bCs/>
                <w:color w:val="000000" w:themeColor="text1"/>
                <w:kern w:val="0"/>
                <w:sz w:val="21"/>
                <w:szCs w:val="21"/>
                <w:highlight w:val="none"/>
                <w14:textFill>
                  <w14:solidFill>
                    <w14:schemeClr w14:val="tx1"/>
                  </w14:solidFill>
                </w14:textFill>
              </w:rPr>
            </w:pPr>
            <w:r>
              <w:rPr>
                <w:rStyle w:val="32"/>
                <w:rFonts w:hint="eastAsia" w:ascii="仿宋" w:hAnsi="仿宋" w:eastAsia="仿宋" w:cs="仿宋"/>
                <w:b/>
                <w:bCs/>
                <w:i w:val="0"/>
                <w:iCs w:val="0"/>
                <w:color w:val="auto"/>
                <w:sz w:val="21"/>
                <w:szCs w:val="21"/>
                <w:highlight w:val="none"/>
                <w:lang w:val="en-US" w:eastAsia="zh-CN" w:bidi="ar"/>
              </w:rPr>
              <w:t>备注</w:t>
            </w:r>
          </w:p>
        </w:tc>
      </w:tr>
      <w:tr>
        <w:tblPrEx>
          <w:tblCellMar>
            <w:top w:w="0" w:type="dxa"/>
            <w:left w:w="108" w:type="dxa"/>
            <w:bottom w:w="0" w:type="dxa"/>
            <w:right w:w="108" w:type="dxa"/>
          </w:tblCellMar>
        </w:tblPrEx>
        <w:trPr>
          <w:trHeight w:val="44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1</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sz w:val="21"/>
                <w:szCs w:val="21"/>
              </w:rPr>
              <w:t>通用型普通车床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sz w:val="21"/>
                <w:szCs w:val="21"/>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bookmarkStart w:id="291" w:name="OLE_LINK2"/>
            <w:r>
              <w:rPr>
                <w:rFonts w:hint="eastAsia" w:ascii="仿宋" w:hAnsi="仿宋" w:eastAsia="仿宋" w:cs="仿宋"/>
                <w:color w:val="000000"/>
                <w:sz w:val="21"/>
                <w:szCs w:val="21"/>
              </w:rPr>
              <w:t>2</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通用型立铣床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sz w:val="21"/>
                <w:szCs w:val="21"/>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小型通用型磨床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sz w:val="21"/>
                <w:szCs w:val="21"/>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普通桌面型台钻</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sz w:val="21"/>
                <w:szCs w:val="21"/>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卧式数控机床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 xml:space="preserve">4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sz w:val="21"/>
                <w:szCs w:val="21"/>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kern w:val="0"/>
                <w:sz w:val="21"/>
                <w:szCs w:val="21"/>
              </w:rPr>
              <w:t>立式铣削加工中心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sz w:val="21"/>
                <w:szCs w:val="21"/>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auto"/>
                <w:sz w:val="21"/>
                <w:szCs w:val="21"/>
                <w:lang w:eastAsia="zh-CN"/>
              </w:rPr>
            </w:pPr>
            <w:bookmarkStart w:id="292" w:name="OLE_LINK1"/>
            <w:r>
              <w:rPr>
                <w:rFonts w:hint="eastAsia" w:ascii="仿宋" w:hAnsi="仿宋" w:eastAsia="仿宋" w:cs="仿宋"/>
                <w:color w:val="auto"/>
                <w:kern w:val="0"/>
                <w:sz w:val="21"/>
                <w:szCs w:val="21"/>
                <w:lang w:bidi="ar"/>
              </w:rPr>
              <w:t>五轴联动车铣复合</w:t>
            </w:r>
            <w:bookmarkEnd w:id="292"/>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sz w:val="21"/>
                <w:szCs w:val="21"/>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auto"/>
                <w:kern w:val="0"/>
                <w:sz w:val="21"/>
                <w:szCs w:val="21"/>
                <w:lang w:bidi="ar"/>
              </w:rPr>
            </w:pPr>
            <w:bookmarkStart w:id="293" w:name="OLE_LINK9"/>
            <w:r>
              <w:rPr>
                <w:rFonts w:hint="eastAsia" w:ascii="仿宋" w:hAnsi="仿宋" w:eastAsia="仿宋" w:cs="仿宋"/>
                <w:color w:val="auto"/>
                <w:sz w:val="21"/>
                <w:szCs w:val="21"/>
              </w:rPr>
              <w:t>3D打印加工设备</w:t>
            </w:r>
            <w:bookmarkEnd w:id="293"/>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44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kern w:val="0"/>
                <w:sz w:val="21"/>
                <w:szCs w:val="21"/>
                <w:lang w:bidi="ar"/>
              </w:rPr>
            </w:pPr>
            <w:r>
              <w:rPr>
                <w:rFonts w:hint="eastAsia" w:ascii="仿宋" w:hAnsi="仿宋" w:eastAsia="仿宋" w:cs="仿宋"/>
                <w:color w:val="000000"/>
                <w:sz w:val="21"/>
                <w:szCs w:val="21"/>
              </w:rPr>
              <w:t>机械设计测绘装置</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outlineLvl w:val="9"/>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p>
        </w:tc>
      </w:tr>
    </w:tbl>
    <w:p>
      <w:pPr>
        <w:numPr>
          <w:ilvl w:val="0"/>
          <w:numId w:val="0"/>
        </w:numPr>
        <w:ind w:firstLine="480" w:firstLineChars="200"/>
        <w:outlineLvl w:val="9"/>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kern w:val="2"/>
          <w:sz w:val="24"/>
          <w:szCs w:val="22"/>
          <w:lang w:val="en-US" w:eastAsia="zh-CN" w:bidi="ar-SA"/>
        </w:rPr>
        <w:t>2.</w:t>
      </w:r>
      <w:r>
        <w:rPr>
          <w:rFonts w:hint="eastAsia" w:ascii="仿宋" w:hAnsi="仿宋" w:eastAsia="仿宋" w:cs="仿宋"/>
          <w:sz w:val="24"/>
        </w:rPr>
        <w:t>项目简介：为贯彻自治区党委十届十三次全会精神，聚力解决南疆发展突出问题，为进一步推进“新工科”的机电工程学院及相关本科专业建设，为机电工程学院等新工科学院提早布局</w:t>
      </w:r>
      <w:r>
        <w:rPr>
          <w:rFonts w:hint="eastAsia" w:ascii="仿宋" w:hAnsi="仿宋" w:eastAsia="仿宋" w:cs="仿宋"/>
          <w:sz w:val="24"/>
          <w:highlight w:val="none"/>
        </w:rPr>
        <w:t>、</w:t>
      </w:r>
      <w:bookmarkStart w:id="294" w:name="OLE_LINK16"/>
      <w:r>
        <w:rPr>
          <w:rFonts w:hint="eastAsia" w:ascii="仿宋" w:hAnsi="仿宋" w:eastAsia="仿宋" w:cs="仿宋"/>
          <w:sz w:val="24"/>
          <w:highlight w:val="none"/>
        </w:rPr>
        <w:t>牟定发展打下良好基础</w:t>
      </w:r>
      <w:bookmarkEnd w:id="294"/>
      <w:r>
        <w:rPr>
          <w:rFonts w:hint="eastAsia" w:ascii="仿宋" w:hAnsi="仿宋" w:eastAsia="仿宋" w:cs="仿宋"/>
          <w:sz w:val="24"/>
          <w:highlight w:val="none"/>
        </w:rPr>
        <w:t>，现提出</w:t>
      </w:r>
      <w:r>
        <w:rPr>
          <w:rFonts w:hint="eastAsia" w:ascii="仿宋" w:hAnsi="仿宋" w:eastAsia="仿宋" w:cs="仿宋"/>
          <w:sz w:val="24"/>
          <w:highlight w:val="none"/>
          <w:lang w:eastAsia="zh-CN"/>
        </w:rPr>
        <w:t>新疆和田学院机电工程学院实验实训基地建设项目</w:t>
      </w:r>
      <w:r>
        <w:rPr>
          <w:rFonts w:hint="eastAsia" w:ascii="仿宋" w:hAnsi="仿宋" w:eastAsia="仿宋" w:cs="仿宋"/>
          <w:sz w:val="24"/>
          <w:highlight w:val="none"/>
        </w:rPr>
        <w:t>方案。机电工程学院为新疆和</w:t>
      </w:r>
      <w:r>
        <w:rPr>
          <w:rFonts w:hint="eastAsia" w:ascii="仿宋" w:hAnsi="仿宋" w:eastAsia="仿宋" w:cs="仿宋"/>
          <w:sz w:val="24"/>
        </w:rPr>
        <w:t>田学院计划筹建学院，机械设计制造及其自动化本科专业已完成申报工作，计划于2026年招生。配套专业本科课程讲授，学院初步规划筹建机械专业相关实验室包括：金工实习实训基地、工程图学与设计基础实验室。</w:t>
      </w:r>
    </w:p>
    <w:p>
      <w:pPr>
        <w:spacing w:line="440" w:lineRule="exact"/>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二、商务要求</w:t>
      </w:r>
    </w:p>
    <w:p>
      <w:pPr>
        <w:pStyle w:val="19"/>
        <w:spacing w:line="440" w:lineRule="exact"/>
        <w:ind w:firstLine="482"/>
        <w:outlineLvl w:val="9"/>
        <w:rPr>
          <w:rFonts w:ascii="仿宋" w:hAnsi="仿宋" w:eastAsia="仿宋" w:cs="仿宋"/>
          <w:snapToGrid w:val="0"/>
          <w:color w:val="000000" w:themeColor="text1"/>
          <w:szCs w:val="24"/>
          <w:highlight w:val="none"/>
          <w:lang w:val="en-US"/>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Cs w:val="24"/>
          <w:highlight w:val="none"/>
          <w:lang w:val="en-US"/>
          <w14:textFill>
            <w14:solidFill>
              <w14:schemeClr w14:val="tx1"/>
            </w14:solidFill>
          </w14:textFill>
        </w:rPr>
        <w:t>交货期：自合同签订之日起30个日历日内交货并完成安装调试。</w:t>
      </w:r>
    </w:p>
    <w:p>
      <w:pPr>
        <w:pStyle w:val="19"/>
        <w:spacing w:line="440" w:lineRule="exact"/>
        <w:ind w:firstLine="482"/>
        <w:outlineLvl w:val="9"/>
        <w:rPr>
          <w:rFonts w:hint="eastAsia" w:ascii="仿宋" w:hAnsi="仿宋" w:eastAsia="仿宋" w:cs="仿宋"/>
          <w:snapToGrid w:val="0"/>
          <w:color w:val="auto"/>
          <w:szCs w:val="24"/>
          <w:highlight w:val="none"/>
          <w:lang w:val="en-US" w:eastAsia="zh-CN"/>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snapToGrid w:val="0"/>
          <w:color w:val="auto"/>
          <w:szCs w:val="24"/>
          <w:highlight w:val="none"/>
          <w:lang w:val="en-US"/>
        </w:rPr>
        <w:t>交货地点：新疆和田学院</w:t>
      </w:r>
      <w:r>
        <w:rPr>
          <w:rFonts w:hint="eastAsia" w:ascii="仿宋" w:hAnsi="仿宋" w:eastAsia="仿宋" w:cs="仿宋"/>
          <w:snapToGrid w:val="0"/>
          <w:color w:val="auto"/>
          <w:szCs w:val="24"/>
          <w:highlight w:val="none"/>
          <w:lang w:val="en-US" w:eastAsia="zh-CN"/>
        </w:rPr>
        <w:t>。</w:t>
      </w:r>
    </w:p>
    <w:p>
      <w:pPr>
        <w:pStyle w:val="19"/>
        <w:spacing w:line="440" w:lineRule="exact"/>
        <w:ind w:firstLine="482"/>
        <w:outlineLvl w:val="9"/>
        <w:rPr>
          <w:rFonts w:ascii="仿宋" w:hAnsi="仿宋" w:eastAsia="仿宋" w:cs="仿宋"/>
          <w:snapToGrid w:val="0"/>
          <w:color w:val="auto"/>
          <w:szCs w:val="24"/>
          <w:highlight w:val="none"/>
          <w:lang w:val="en-US"/>
        </w:rPr>
      </w:pPr>
      <w:r>
        <w:rPr>
          <w:rFonts w:hint="eastAsia" w:ascii="仿宋" w:hAnsi="仿宋" w:eastAsia="仿宋" w:cs="仿宋"/>
          <w:snapToGrid w:val="0"/>
          <w:color w:val="auto"/>
          <w:szCs w:val="24"/>
          <w:highlight w:val="none"/>
          <w:lang w:val="en-US"/>
        </w:rPr>
        <w:t>★</w:t>
      </w:r>
      <w:r>
        <w:rPr>
          <w:rFonts w:hint="eastAsia" w:ascii="仿宋" w:hAnsi="仿宋" w:eastAsia="仿宋" w:cs="仿宋"/>
          <w:snapToGrid w:val="0"/>
          <w:color w:val="auto"/>
          <w:szCs w:val="24"/>
          <w:highlight w:val="none"/>
          <w:lang w:val="en-US" w:eastAsia="zh-CN"/>
        </w:rPr>
        <w:t>3.</w:t>
      </w:r>
      <w:r>
        <w:rPr>
          <w:rFonts w:hint="eastAsia" w:ascii="仿宋" w:hAnsi="仿宋" w:eastAsia="仿宋" w:cs="仿宋"/>
          <w:snapToGrid w:val="0"/>
          <w:color w:val="auto"/>
          <w:szCs w:val="24"/>
          <w:highlight w:val="none"/>
          <w:lang w:val="en-US"/>
        </w:rPr>
        <w:t>付款方式：合同签订后支付合同金额30%的预付款，所有货物到场后经双方现场点验无误支付合同金额30%，所有货物安装调试完成、验收合格后支付合同金额40%。</w:t>
      </w:r>
    </w:p>
    <w:p>
      <w:pPr>
        <w:pStyle w:val="19"/>
        <w:spacing w:line="440" w:lineRule="exact"/>
        <w:ind w:firstLine="482"/>
        <w:outlineLvl w:val="9"/>
        <w:rPr>
          <w:rFonts w:hint="eastAsia" w:ascii="仿宋" w:hAnsi="仿宋" w:eastAsia="仿宋" w:cs="仿宋"/>
          <w:snapToGrid w:val="0"/>
          <w:color w:val="000000" w:themeColor="text1"/>
          <w:szCs w:val="24"/>
          <w:highlight w:val="none"/>
          <w:lang w:val="en-US"/>
          <w14:textFill>
            <w14:solidFill>
              <w14:schemeClr w14:val="tx1"/>
            </w14:solidFill>
          </w14:textFill>
        </w:rPr>
      </w:pPr>
      <w:bookmarkStart w:id="295" w:name="OLE_LINK8"/>
      <w:r>
        <w:rPr>
          <w:rFonts w:hint="eastAsia" w:ascii="仿宋" w:hAnsi="仿宋" w:eastAsia="仿宋" w:cs="仿宋"/>
          <w:snapToGrid w:val="0"/>
          <w:color w:val="000000" w:themeColor="text1"/>
          <w:szCs w:val="24"/>
          <w:highlight w:val="none"/>
          <w:lang w:val="en-US"/>
          <w14:textFill>
            <w14:solidFill>
              <w14:schemeClr w14:val="tx1"/>
            </w14:solidFill>
          </w14:textFill>
        </w:rPr>
        <w:t>★</w:t>
      </w:r>
      <w:bookmarkEnd w:id="295"/>
      <w:r>
        <w:rPr>
          <w:rFonts w:hint="eastAsia" w:ascii="仿宋" w:hAnsi="仿宋" w:eastAsia="仿宋" w:cs="仿宋"/>
          <w:snapToGrid w:val="0"/>
          <w:color w:val="000000" w:themeColor="text1"/>
          <w:szCs w:val="24"/>
          <w:highlight w:val="none"/>
          <w:lang w:val="en-US" w:eastAsia="zh-CN"/>
          <w14:textFill>
            <w14:solidFill>
              <w14:schemeClr w14:val="tx1"/>
            </w14:solidFill>
          </w14:textFill>
        </w:rPr>
        <w:t>4.</w:t>
      </w:r>
      <w:r>
        <w:rPr>
          <w:rFonts w:hint="eastAsia" w:ascii="仿宋" w:hAnsi="仿宋" w:eastAsia="仿宋" w:cs="仿宋"/>
          <w:snapToGrid w:val="0"/>
          <w:color w:val="000000" w:themeColor="text1"/>
          <w:szCs w:val="24"/>
          <w:highlight w:val="none"/>
          <w:lang w:val="en-US"/>
          <w14:textFill>
            <w14:solidFill>
              <w14:schemeClr w14:val="tx1"/>
            </w14:solidFill>
          </w14:textFill>
        </w:rPr>
        <w:t>质保期：</w:t>
      </w:r>
    </w:p>
    <w:p>
      <w:pPr>
        <w:pStyle w:val="19"/>
        <w:spacing w:line="440" w:lineRule="exact"/>
        <w:ind w:firstLine="482"/>
        <w:outlineLvl w:val="9"/>
        <w:rPr>
          <w:rFonts w:hint="eastAsia" w:ascii="仿宋" w:hAnsi="仿宋" w:eastAsia="仿宋" w:cs="仿宋"/>
          <w:snapToGrid w:val="0"/>
          <w:color w:val="FF0000"/>
          <w:szCs w:val="24"/>
          <w:highlight w:val="none"/>
          <w:lang w:val="en-US"/>
        </w:rPr>
      </w:pPr>
      <w:r>
        <w:rPr>
          <w:rFonts w:hint="eastAsia" w:ascii="仿宋" w:hAnsi="仿宋" w:eastAsia="仿宋" w:cs="仿宋"/>
          <w:snapToGrid w:val="0"/>
          <w:color w:val="000000" w:themeColor="text1"/>
          <w:szCs w:val="24"/>
          <w:highlight w:val="none"/>
          <w:lang w:val="en-US" w:eastAsia="zh-CN"/>
          <w14:textFill>
            <w14:solidFill>
              <w14:schemeClr w14:val="tx1"/>
            </w14:solidFill>
          </w14:textFill>
        </w:rPr>
        <w:t>4.1</w:t>
      </w:r>
      <w:r>
        <w:rPr>
          <w:rFonts w:hint="eastAsia" w:ascii="仿宋" w:hAnsi="仿宋" w:eastAsia="仿宋" w:cs="仿宋"/>
          <w:snapToGrid w:val="0"/>
          <w:color w:val="000000" w:themeColor="text1"/>
          <w:szCs w:val="24"/>
          <w:highlight w:val="none"/>
          <w:lang w:val="en-US"/>
          <w14:textFill>
            <w14:solidFill>
              <w14:schemeClr w14:val="tx1"/>
            </w14:solidFill>
          </w14:textFill>
        </w:rPr>
        <w:t>自验收合格</w:t>
      </w:r>
      <w:r>
        <w:rPr>
          <w:rFonts w:hint="eastAsia" w:ascii="仿宋" w:hAnsi="仿宋" w:eastAsia="仿宋" w:cs="仿宋"/>
          <w:snapToGrid w:val="0"/>
          <w:color w:val="auto"/>
          <w:szCs w:val="24"/>
          <w:highlight w:val="none"/>
          <w:lang w:val="en-US"/>
        </w:rPr>
        <w:t>之日起3年。</w:t>
      </w:r>
    </w:p>
    <w:p>
      <w:pPr>
        <w:pStyle w:val="19"/>
        <w:spacing w:line="440" w:lineRule="exact"/>
        <w:ind w:firstLine="482"/>
        <w:outlineLvl w:val="9"/>
        <w:rPr>
          <w:rFonts w:hint="eastAsia" w:ascii="仿宋" w:hAnsi="仿宋" w:eastAsia="仿宋" w:cs="仿宋"/>
          <w:snapToGrid w:val="0"/>
          <w:color w:val="000000" w:themeColor="text1"/>
          <w:szCs w:val="24"/>
          <w:highlight w:val="none"/>
          <w:lang w:val="en-US"/>
          <w14:textFill>
            <w14:solidFill>
              <w14:schemeClr w14:val="tx1"/>
            </w14:solidFill>
          </w14:textFill>
        </w:rPr>
      </w:pPr>
      <w:r>
        <w:rPr>
          <w:rFonts w:hint="eastAsia" w:ascii="仿宋" w:hAnsi="仿宋" w:eastAsia="仿宋" w:cs="仿宋"/>
          <w:snapToGrid w:val="0"/>
          <w:color w:val="000000" w:themeColor="text1"/>
          <w:szCs w:val="24"/>
          <w:highlight w:val="none"/>
          <w:lang w:val="en-US" w:eastAsia="zh-CN"/>
          <w14:textFill>
            <w14:solidFill>
              <w14:schemeClr w14:val="tx1"/>
            </w14:solidFill>
          </w14:textFill>
        </w:rPr>
        <w:t>4</w:t>
      </w:r>
      <w:r>
        <w:rPr>
          <w:rFonts w:hint="eastAsia" w:ascii="仿宋" w:hAnsi="仿宋" w:eastAsia="仿宋" w:cs="仿宋"/>
          <w:snapToGrid w:val="0"/>
          <w:color w:val="000000" w:themeColor="text1"/>
          <w:szCs w:val="24"/>
          <w:highlight w:val="none"/>
          <w:lang w:val="en-US"/>
          <w14:textFill>
            <w14:solidFill>
              <w14:schemeClr w14:val="tx1"/>
            </w14:solidFill>
          </w14:textFill>
        </w:rPr>
        <w:t>.2质量保证期内，如果证实货物是有缺陷的，包括潜在的缺陷或者使用不符合要求的材料等，中标人应立即免费维修或者更换有缺陷的货物或者部件，保证达到合同规定的技术以及性能要求。如果中标人在收到通知后5天内没有弥补缺陷，采购人可自行采取必要的补救措施，但风险和费用由中标人承担，采购人同时保留通过法律途径进行索赔的权利。</w:t>
      </w:r>
    </w:p>
    <w:p>
      <w:pPr>
        <w:pStyle w:val="19"/>
        <w:spacing w:line="440" w:lineRule="exact"/>
        <w:ind w:firstLine="482"/>
        <w:outlineLvl w:val="9"/>
        <w:rPr>
          <w:rFonts w:hint="eastAsia" w:ascii="仿宋" w:hAnsi="仿宋" w:eastAsia="仿宋" w:cs="仿宋"/>
          <w:snapToGrid w:val="0"/>
          <w:color w:val="000000" w:themeColor="text1"/>
          <w:szCs w:val="24"/>
          <w:highlight w:val="none"/>
          <w:lang w:val="en-US"/>
          <w14:textFill>
            <w14:solidFill>
              <w14:schemeClr w14:val="tx1"/>
            </w14:solidFill>
          </w14:textFill>
        </w:rPr>
      </w:pPr>
      <w:r>
        <w:rPr>
          <w:rFonts w:hint="eastAsia" w:ascii="仿宋" w:hAnsi="仿宋" w:eastAsia="仿宋" w:cs="仿宋"/>
          <w:snapToGrid w:val="0"/>
          <w:color w:val="000000" w:themeColor="text1"/>
          <w:szCs w:val="24"/>
          <w:highlight w:val="none"/>
          <w:lang w:val="en-US" w:eastAsia="zh-CN"/>
          <w14:textFill>
            <w14:solidFill>
              <w14:schemeClr w14:val="tx1"/>
            </w14:solidFill>
          </w14:textFill>
        </w:rPr>
        <w:t>4.3</w:t>
      </w:r>
      <w:r>
        <w:rPr>
          <w:rFonts w:hint="eastAsia" w:ascii="仿宋" w:hAnsi="仿宋" w:eastAsia="仿宋" w:cs="仿宋"/>
          <w:snapToGrid w:val="0"/>
          <w:color w:val="000000" w:themeColor="text1"/>
          <w:szCs w:val="24"/>
          <w:highlight w:val="none"/>
          <w:lang w:val="en-US"/>
          <w14:textFill>
            <w14:solidFill>
              <w14:schemeClr w14:val="tx1"/>
            </w14:solidFill>
          </w14:textFill>
        </w:rPr>
        <w:t>在质保期内，</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投标人</w:t>
      </w:r>
      <w:r>
        <w:rPr>
          <w:rFonts w:hint="eastAsia" w:ascii="仿宋" w:hAnsi="仿宋" w:eastAsia="仿宋" w:cs="仿宋"/>
          <w:snapToGrid w:val="0"/>
          <w:color w:val="000000" w:themeColor="text1"/>
          <w:szCs w:val="24"/>
          <w:highlight w:val="none"/>
          <w:lang w:val="en-US"/>
          <w14:textFill>
            <w14:solidFill>
              <w14:schemeClr w14:val="tx1"/>
            </w14:solidFill>
          </w14:textFill>
        </w:rPr>
        <w:t>应对货物出现的质量及安全问题负责处理解决并承担一切费用。</w:t>
      </w:r>
    </w:p>
    <w:p>
      <w:pPr>
        <w:pStyle w:val="19"/>
        <w:spacing w:line="440" w:lineRule="exact"/>
        <w:ind w:firstLine="482"/>
        <w:outlineLvl w:val="9"/>
        <w:rPr>
          <w:rFonts w:hint="eastAsia" w:ascii="仿宋" w:hAnsi="仿宋" w:eastAsia="仿宋" w:cs="仿宋"/>
          <w:snapToGrid w:val="0"/>
          <w:color w:val="000000" w:themeColor="text1"/>
          <w:szCs w:val="24"/>
          <w:highlight w:val="none"/>
          <w:lang w:val="en-US"/>
          <w14:textFill>
            <w14:solidFill>
              <w14:schemeClr w14:val="tx1"/>
            </w14:solidFill>
          </w14:textFill>
        </w:rPr>
      </w:pPr>
      <w:r>
        <w:rPr>
          <w:rFonts w:hint="eastAsia" w:ascii="仿宋" w:hAnsi="仿宋" w:eastAsia="仿宋" w:cs="仿宋"/>
          <w:snapToGrid w:val="0"/>
          <w:color w:val="000000" w:themeColor="text1"/>
          <w:szCs w:val="24"/>
          <w:highlight w:val="none"/>
          <w:lang w:val="en-US" w:eastAsia="zh-CN"/>
          <w14:textFill>
            <w14:solidFill>
              <w14:schemeClr w14:val="tx1"/>
            </w14:solidFill>
          </w14:textFill>
        </w:rPr>
        <w:t>4.4</w:t>
      </w:r>
      <w:r>
        <w:rPr>
          <w:rFonts w:hint="eastAsia" w:ascii="仿宋" w:hAnsi="仿宋" w:eastAsia="仿宋" w:cs="仿宋"/>
          <w:snapToGrid w:val="0"/>
          <w:color w:val="000000" w:themeColor="text1"/>
          <w:szCs w:val="24"/>
          <w:highlight w:val="none"/>
          <w:lang w:val="en-US"/>
          <w14:textFill>
            <w14:solidFill>
              <w14:schemeClr w14:val="tx1"/>
            </w14:solidFill>
          </w14:textFill>
        </w:rPr>
        <w:t>质保期届满后，</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投标人</w:t>
      </w:r>
      <w:r>
        <w:rPr>
          <w:rFonts w:hint="eastAsia" w:ascii="仿宋" w:hAnsi="仿宋" w:eastAsia="仿宋" w:cs="仿宋"/>
          <w:snapToGrid w:val="0"/>
          <w:color w:val="000000" w:themeColor="text1"/>
          <w:szCs w:val="24"/>
          <w:highlight w:val="none"/>
          <w:lang w:val="en-US"/>
          <w14:textFill>
            <w14:solidFill>
              <w14:schemeClr w14:val="tx1"/>
            </w14:solidFill>
          </w14:textFill>
        </w:rPr>
        <w:t>对本合同项下货物提供终身维修服务，且维修时只收取所需维修部件的成本费，服务内容应与质保期内的要求相一致。</w:t>
      </w:r>
    </w:p>
    <w:p>
      <w:pPr>
        <w:pStyle w:val="19"/>
        <w:spacing w:line="440" w:lineRule="exact"/>
        <w:ind w:firstLine="482"/>
        <w:outlineLvl w:val="9"/>
        <w:rPr>
          <w:rFonts w:hint="eastAsia" w:ascii="仿宋" w:hAnsi="仿宋" w:eastAsia="仿宋" w:cs="仿宋"/>
          <w:b/>
          <w:bCs/>
          <w:snapToGrid w:val="0"/>
          <w:color w:val="000000" w:themeColor="text1"/>
          <w:szCs w:val="24"/>
          <w:highlight w:val="none"/>
          <w:lang w:val="en-US"/>
          <w14:textFill>
            <w14:solidFill>
              <w14:schemeClr w14:val="tx1"/>
            </w14:solidFill>
          </w14:textFill>
        </w:rPr>
      </w:pPr>
      <w:r>
        <w:rPr>
          <w:rFonts w:hint="eastAsia" w:ascii="仿宋" w:hAnsi="仿宋" w:eastAsia="仿宋" w:cs="仿宋"/>
          <w:b/>
          <w:bCs/>
          <w:snapToGrid w:val="0"/>
          <w:color w:val="000000" w:themeColor="text1"/>
          <w:szCs w:val="24"/>
          <w:highlight w:val="none"/>
          <w:lang w:val="en-US" w:eastAsia="zh-CN"/>
          <w14:textFill>
            <w14:solidFill>
              <w14:schemeClr w14:val="tx1"/>
            </w14:solidFill>
          </w14:textFill>
        </w:rPr>
        <w:t>5.</w:t>
      </w:r>
      <w:r>
        <w:rPr>
          <w:rFonts w:hint="eastAsia" w:ascii="仿宋" w:hAnsi="仿宋" w:eastAsia="仿宋" w:cs="仿宋"/>
          <w:b/>
          <w:bCs/>
          <w:snapToGrid w:val="0"/>
          <w:color w:val="000000" w:themeColor="text1"/>
          <w:szCs w:val="24"/>
          <w:highlight w:val="none"/>
          <w:lang w:val="en-US"/>
          <w14:textFill>
            <w14:solidFill>
              <w14:schemeClr w14:val="tx1"/>
            </w14:solidFill>
          </w14:textFill>
        </w:rPr>
        <w:t>售后服务</w:t>
      </w:r>
    </w:p>
    <w:p>
      <w:pPr>
        <w:pStyle w:val="19"/>
        <w:spacing w:line="440" w:lineRule="exact"/>
        <w:ind w:firstLine="482"/>
        <w:outlineLvl w:val="9"/>
        <w:rPr>
          <w:rFonts w:hint="eastAsia" w:ascii="仿宋" w:hAnsi="仿宋" w:eastAsia="仿宋" w:cs="仿宋"/>
          <w:snapToGrid w:val="0"/>
          <w:color w:val="auto"/>
          <w:szCs w:val="24"/>
          <w:highlight w:val="none"/>
          <w:lang w:val="en-US" w:eastAsia="zh-CN"/>
        </w:rPr>
      </w:pPr>
      <w:r>
        <w:rPr>
          <w:rFonts w:hint="eastAsia" w:ascii="仿宋" w:hAnsi="仿宋" w:eastAsia="仿宋" w:cs="仿宋"/>
          <w:snapToGrid w:val="0"/>
          <w:color w:val="auto"/>
          <w:szCs w:val="24"/>
          <w:highlight w:val="none"/>
          <w:lang w:val="en-US" w:eastAsia="zh-CN"/>
        </w:rPr>
        <w:t>5.1</w:t>
      </w:r>
      <w:r>
        <w:rPr>
          <w:rFonts w:hint="eastAsia" w:ascii="仿宋" w:hAnsi="仿宋" w:eastAsia="仿宋" w:cs="仿宋"/>
          <w:snapToGrid w:val="0"/>
          <w:color w:val="auto"/>
          <w:szCs w:val="24"/>
          <w:highlight w:val="none"/>
          <w:lang w:val="en-US"/>
        </w:rPr>
        <w:t>伴随服务:实施、安装、培训、运维、优化、更新、升级。</w:t>
      </w:r>
    </w:p>
    <w:p>
      <w:pPr>
        <w:pStyle w:val="19"/>
        <w:spacing w:line="440" w:lineRule="exact"/>
        <w:ind w:firstLine="482"/>
        <w:outlineLvl w:val="9"/>
        <w:rPr>
          <w:rFonts w:hint="eastAsia" w:ascii="仿宋" w:hAnsi="仿宋" w:eastAsia="仿宋" w:cs="仿宋"/>
          <w:snapToGrid w:val="0"/>
          <w:color w:val="auto"/>
          <w:szCs w:val="24"/>
          <w:highlight w:val="none"/>
          <w:lang w:val="en-US"/>
        </w:rPr>
      </w:pPr>
      <w:r>
        <w:rPr>
          <w:rFonts w:hint="eastAsia" w:ascii="仿宋" w:hAnsi="仿宋" w:eastAsia="仿宋" w:cs="仿宋"/>
          <w:snapToGrid w:val="0"/>
          <w:color w:val="auto"/>
          <w:szCs w:val="24"/>
          <w:highlight w:val="none"/>
          <w:lang w:val="en-US" w:eastAsia="zh-CN"/>
        </w:rPr>
        <w:t>5.2</w:t>
      </w:r>
      <w:r>
        <w:rPr>
          <w:rFonts w:hint="eastAsia" w:ascii="仿宋" w:hAnsi="仿宋" w:eastAsia="仿宋" w:cs="仿宋"/>
          <w:snapToGrid w:val="0"/>
          <w:color w:val="auto"/>
          <w:szCs w:val="24"/>
          <w:highlight w:val="none"/>
          <w:lang w:val="en-US"/>
        </w:rPr>
        <w:t>质保期内，任何由制造商选材和制造不当引起的质量问题，厂家负责免费维修。质保期自验收签字之日起计算。质保期满前1个月内</w:t>
      </w:r>
      <w:r>
        <w:rPr>
          <w:rFonts w:hint="eastAsia" w:ascii="仿宋" w:hAnsi="仿宋" w:eastAsia="仿宋" w:cs="仿宋"/>
          <w:snapToGrid w:val="0"/>
          <w:color w:val="auto"/>
          <w:szCs w:val="24"/>
          <w:highlight w:val="none"/>
          <w:lang w:val="en-US" w:eastAsia="zh-CN"/>
        </w:rPr>
        <w:t>投标人</w:t>
      </w:r>
      <w:r>
        <w:rPr>
          <w:rFonts w:hint="eastAsia" w:ascii="仿宋" w:hAnsi="仿宋" w:eastAsia="仿宋" w:cs="仿宋"/>
          <w:snapToGrid w:val="0"/>
          <w:color w:val="auto"/>
          <w:szCs w:val="24"/>
          <w:highlight w:val="none"/>
          <w:lang w:val="en-US"/>
        </w:rPr>
        <w:t>应负责一次免费全面检查，并写出正式报告，如发现潜在问题，应负责排除。质保期内中标</w:t>
      </w:r>
      <w:r>
        <w:rPr>
          <w:rFonts w:hint="eastAsia" w:ascii="仿宋" w:hAnsi="仿宋" w:eastAsia="仿宋" w:cs="仿宋"/>
          <w:snapToGrid w:val="0"/>
          <w:color w:val="auto"/>
          <w:szCs w:val="24"/>
          <w:highlight w:val="none"/>
          <w:lang w:val="en-US" w:eastAsia="zh-CN"/>
        </w:rPr>
        <w:t>人</w:t>
      </w:r>
      <w:r>
        <w:rPr>
          <w:rFonts w:hint="eastAsia" w:ascii="仿宋" w:hAnsi="仿宋" w:eastAsia="仿宋" w:cs="仿宋"/>
          <w:snapToGrid w:val="0"/>
          <w:color w:val="auto"/>
          <w:szCs w:val="24"/>
          <w:highlight w:val="none"/>
          <w:lang w:val="en-US"/>
        </w:rPr>
        <w:t>负责维护，提供7×24小时售后响应服务。售后服务从货物终验通过之日起计算。</w:t>
      </w:r>
      <w:r>
        <w:rPr>
          <w:rFonts w:hint="eastAsia" w:ascii="仿宋" w:hAnsi="仿宋" w:eastAsia="仿宋" w:cs="仿宋"/>
          <w:snapToGrid w:val="0"/>
          <w:color w:val="auto"/>
          <w:szCs w:val="24"/>
          <w:highlight w:val="none"/>
          <w:lang w:val="en-US" w:eastAsia="zh-CN"/>
        </w:rPr>
        <w:t>投标人</w:t>
      </w:r>
      <w:r>
        <w:rPr>
          <w:rFonts w:hint="eastAsia" w:ascii="仿宋" w:hAnsi="仿宋" w:eastAsia="仿宋" w:cs="仿宋"/>
          <w:snapToGrid w:val="0"/>
          <w:color w:val="auto"/>
          <w:szCs w:val="24"/>
          <w:highlight w:val="none"/>
          <w:lang w:val="en-US"/>
        </w:rPr>
        <w:t>提供免费质保及售后服务，并提供终身定期维护保养服务，质保期内出现三次以上质量问题，免费更换同型号或质量更好的同类产品。质保期结束后，中标</w:t>
      </w:r>
      <w:r>
        <w:rPr>
          <w:rFonts w:hint="eastAsia" w:ascii="仿宋" w:hAnsi="仿宋" w:eastAsia="仿宋" w:cs="仿宋"/>
          <w:snapToGrid w:val="0"/>
          <w:color w:val="auto"/>
          <w:szCs w:val="24"/>
          <w:highlight w:val="none"/>
          <w:lang w:val="en-US" w:eastAsia="zh-CN"/>
        </w:rPr>
        <w:t>人</w:t>
      </w:r>
      <w:r>
        <w:rPr>
          <w:rFonts w:hint="eastAsia" w:ascii="仿宋" w:hAnsi="仿宋" w:eastAsia="仿宋" w:cs="仿宋"/>
          <w:snapToGrid w:val="0"/>
          <w:color w:val="auto"/>
          <w:szCs w:val="24"/>
          <w:highlight w:val="none"/>
          <w:lang w:val="en-US"/>
        </w:rPr>
        <w:t>及时联系生产厂家提供维修服务。</w:t>
      </w:r>
    </w:p>
    <w:p>
      <w:pPr>
        <w:pStyle w:val="19"/>
        <w:spacing w:line="440" w:lineRule="exact"/>
        <w:ind w:firstLine="482"/>
        <w:outlineLvl w:val="9"/>
        <w:rPr>
          <w:rFonts w:hint="eastAsia" w:ascii="仿宋" w:hAnsi="仿宋" w:eastAsia="仿宋" w:cs="仿宋"/>
          <w:snapToGrid w:val="0"/>
          <w:color w:val="auto"/>
          <w:szCs w:val="24"/>
          <w:highlight w:val="none"/>
          <w:lang w:val="en-US"/>
        </w:rPr>
      </w:pPr>
      <w:r>
        <w:rPr>
          <w:rFonts w:hint="eastAsia" w:ascii="仿宋" w:hAnsi="仿宋" w:eastAsia="仿宋" w:cs="仿宋"/>
          <w:snapToGrid w:val="0"/>
          <w:color w:val="auto"/>
          <w:szCs w:val="24"/>
          <w:highlight w:val="none"/>
          <w:lang w:val="en-US" w:eastAsia="zh-CN"/>
        </w:rPr>
        <w:t>5.3</w:t>
      </w:r>
      <w:r>
        <w:rPr>
          <w:rFonts w:hint="eastAsia" w:ascii="仿宋" w:hAnsi="仿宋" w:eastAsia="仿宋" w:cs="仿宋"/>
          <w:snapToGrid w:val="0"/>
          <w:color w:val="auto"/>
          <w:szCs w:val="24"/>
          <w:highlight w:val="none"/>
          <w:lang w:val="en-US"/>
        </w:rPr>
        <w:t>安装及培训：中标后，</w:t>
      </w:r>
      <w:r>
        <w:rPr>
          <w:rFonts w:hint="eastAsia" w:ascii="仿宋" w:hAnsi="仿宋" w:eastAsia="仿宋" w:cs="仿宋"/>
          <w:snapToGrid w:val="0"/>
          <w:color w:val="auto"/>
          <w:szCs w:val="24"/>
          <w:highlight w:val="none"/>
          <w:lang w:val="en-US" w:eastAsia="zh-CN"/>
        </w:rPr>
        <w:t>投标人</w:t>
      </w:r>
      <w:r>
        <w:rPr>
          <w:rFonts w:hint="eastAsia" w:ascii="仿宋" w:hAnsi="仿宋" w:eastAsia="仿宋" w:cs="仿宋"/>
          <w:snapToGrid w:val="0"/>
          <w:color w:val="auto"/>
          <w:szCs w:val="24"/>
          <w:highlight w:val="none"/>
          <w:lang w:val="en-US"/>
        </w:rPr>
        <w:t>需对用户的场地及人员等进行规划提出可行性方案。验收完成后在安装调试时要进行操作培训。由专业工程师现场提供一次系统的使用培训服务，直至采购人相关人员熟练掌握为止，所有培训费由中标人承担。</w:t>
      </w:r>
    </w:p>
    <w:p>
      <w:pPr>
        <w:pStyle w:val="19"/>
        <w:spacing w:line="440" w:lineRule="exact"/>
        <w:ind w:firstLine="482"/>
        <w:outlineLvl w:val="9"/>
        <w:rPr>
          <w:rFonts w:hint="eastAsia" w:ascii="仿宋" w:hAnsi="仿宋" w:eastAsia="仿宋" w:cs="仿宋"/>
          <w:snapToGrid w:val="0"/>
          <w:color w:val="auto"/>
          <w:szCs w:val="24"/>
          <w:highlight w:val="none"/>
          <w:lang w:val="en-US"/>
        </w:rPr>
      </w:pPr>
      <w:r>
        <w:rPr>
          <w:rFonts w:hint="eastAsia" w:ascii="仿宋" w:hAnsi="仿宋" w:eastAsia="仿宋" w:cs="仿宋"/>
          <w:snapToGrid w:val="0"/>
          <w:color w:val="auto"/>
          <w:szCs w:val="24"/>
          <w:highlight w:val="none"/>
          <w:lang w:val="en-US" w:eastAsia="zh-CN"/>
        </w:rPr>
        <w:t>5.4</w:t>
      </w:r>
      <w:r>
        <w:rPr>
          <w:rFonts w:hint="eastAsia" w:ascii="仿宋" w:hAnsi="仿宋" w:eastAsia="仿宋" w:cs="仿宋"/>
          <w:snapToGrid w:val="0"/>
          <w:color w:val="auto"/>
          <w:szCs w:val="24"/>
          <w:highlight w:val="none"/>
          <w:lang w:val="en-US"/>
        </w:rPr>
        <w:t>中标人必须提供具有合法销售途径及完善售后服务的原装正品、全新、符合有关质量标准的产品。货物到货安装前，采购人依据招标文件要求及投标文件承诺对产品逐条进行核验，验收不合格的，采购人有权终止合同并全部退货，同时报相关监督管理部门处理，由此造成采购人经济损失的由中标供应商负责承担全部赔偿责任。</w:t>
      </w:r>
    </w:p>
    <w:p>
      <w:pPr>
        <w:spacing w:line="440" w:lineRule="exac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三、技术要求</w:t>
      </w:r>
    </w:p>
    <w:p>
      <w:pPr>
        <w:pStyle w:val="13"/>
        <w:spacing w:before="0" w:beforeAutospacing="0" w:after="0" w:afterAutospacing="0" w:line="440" w:lineRule="exact"/>
        <w:ind w:firstLine="482" w:firstLineChars="200"/>
        <w:jc w:val="both"/>
        <w:outlineLvl w:val="9"/>
        <w:rPr>
          <w:rFonts w:hint="default" w:ascii="仿宋" w:hAnsi="仿宋" w:eastAsia="仿宋" w:cs="仿宋"/>
          <w:b/>
          <w:color w:val="000000" w:themeColor="text1"/>
          <w:kern w:val="2"/>
          <w:highlight w:val="none"/>
          <w:lang w:val="en-US" w:eastAsia="zh-CN"/>
          <w14:textFill>
            <w14:solidFill>
              <w14:schemeClr w14:val="tx1"/>
            </w14:solidFill>
          </w14:textFill>
        </w:rPr>
      </w:pPr>
      <w:r>
        <w:rPr>
          <w:rFonts w:hint="eastAsia" w:ascii="仿宋" w:hAnsi="仿宋" w:eastAsia="仿宋" w:cs="仿宋"/>
          <w:b/>
          <w:color w:val="000000" w:themeColor="text1"/>
          <w:kern w:val="2"/>
          <w:highlight w:val="none"/>
          <w:lang w:val="en-US" w:eastAsia="zh-CN"/>
          <w14:textFill>
            <w14:solidFill>
              <w14:schemeClr w14:val="tx1"/>
            </w14:solidFill>
          </w14:textFill>
        </w:rPr>
        <w:t>1.基本参数</w:t>
      </w:r>
    </w:p>
    <w:tbl>
      <w:tblPr>
        <w:tblStyle w:val="14"/>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376"/>
        <w:gridCol w:w="5513"/>
        <w:gridCol w:w="839"/>
        <w:gridCol w:w="802"/>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625" w:type="dxa"/>
            <w:vAlign w:val="center"/>
          </w:tcPr>
          <w:p>
            <w:pPr>
              <w:widowControl/>
              <w:jc w:val="center"/>
              <w:textAlignment w:val="center"/>
              <w:outlineLvl w:val="9"/>
              <w:rPr>
                <w:rFonts w:hint="eastAsia" w:ascii="仿宋" w:hAnsi="仿宋" w:eastAsia="仿宋" w:cs="仿宋"/>
                <w:b/>
                <w:bCs/>
                <w:color w:val="auto"/>
                <w:sz w:val="21"/>
                <w:szCs w:val="21"/>
              </w:rPr>
            </w:pPr>
            <w:r>
              <w:rPr>
                <w:rFonts w:hint="eastAsia" w:ascii="仿宋" w:hAnsi="仿宋" w:eastAsia="仿宋" w:cs="仿宋"/>
                <w:b/>
                <w:bCs/>
                <w:snapToGrid w:val="0"/>
                <w:color w:val="auto"/>
                <w:kern w:val="0"/>
                <w:sz w:val="21"/>
                <w:szCs w:val="21"/>
                <w:lang w:bidi="ar"/>
              </w:rPr>
              <w:t>序号</w:t>
            </w:r>
          </w:p>
        </w:tc>
        <w:tc>
          <w:tcPr>
            <w:tcW w:w="1376" w:type="dxa"/>
            <w:vAlign w:val="center"/>
          </w:tcPr>
          <w:p>
            <w:pPr>
              <w:widowControl/>
              <w:jc w:val="center"/>
              <w:textAlignment w:val="center"/>
              <w:outlineLvl w:val="9"/>
              <w:rPr>
                <w:rFonts w:hint="eastAsia" w:ascii="仿宋" w:hAnsi="仿宋" w:eastAsia="仿宋" w:cs="仿宋"/>
                <w:b/>
                <w:bCs/>
                <w:snapToGrid w:val="0"/>
                <w:color w:val="auto"/>
                <w:kern w:val="0"/>
                <w:sz w:val="21"/>
                <w:szCs w:val="21"/>
                <w:lang w:bidi="ar"/>
              </w:rPr>
            </w:pPr>
            <w:r>
              <w:rPr>
                <w:rFonts w:hint="eastAsia" w:ascii="仿宋" w:hAnsi="仿宋" w:eastAsia="仿宋" w:cs="仿宋"/>
                <w:b/>
                <w:bCs/>
                <w:snapToGrid w:val="0"/>
                <w:color w:val="auto"/>
                <w:kern w:val="0"/>
                <w:sz w:val="21"/>
                <w:szCs w:val="21"/>
                <w:lang w:bidi="ar"/>
              </w:rPr>
              <w:t>采购标的</w:t>
            </w:r>
          </w:p>
        </w:tc>
        <w:tc>
          <w:tcPr>
            <w:tcW w:w="5513" w:type="dxa"/>
            <w:vAlign w:val="center"/>
          </w:tcPr>
          <w:p>
            <w:pPr>
              <w:widowControl/>
              <w:jc w:val="center"/>
              <w:textAlignment w:val="center"/>
              <w:outlineLvl w:val="9"/>
              <w:rPr>
                <w:rFonts w:hint="eastAsia" w:ascii="仿宋" w:hAnsi="仿宋" w:eastAsia="仿宋" w:cs="仿宋"/>
                <w:b/>
                <w:bCs/>
                <w:snapToGrid w:val="0"/>
                <w:color w:val="auto"/>
                <w:kern w:val="0"/>
                <w:sz w:val="21"/>
                <w:szCs w:val="21"/>
                <w:lang w:bidi="ar"/>
              </w:rPr>
            </w:pPr>
            <w:r>
              <w:rPr>
                <w:rFonts w:hint="eastAsia" w:ascii="仿宋" w:hAnsi="仿宋" w:eastAsia="仿宋" w:cs="仿宋"/>
                <w:b/>
                <w:bCs/>
                <w:snapToGrid w:val="0"/>
                <w:color w:val="auto"/>
                <w:kern w:val="0"/>
                <w:sz w:val="21"/>
                <w:szCs w:val="21"/>
                <w:lang w:bidi="ar"/>
              </w:rPr>
              <w:t>技术规格及功能要求</w:t>
            </w:r>
          </w:p>
        </w:tc>
        <w:tc>
          <w:tcPr>
            <w:tcW w:w="839" w:type="dxa"/>
            <w:vAlign w:val="center"/>
          </w:tcPr>
          <w:p>
            <w:pPr>
              <w:widowControl/>
              <w:jc w:val="center"/>
              <w:textAlignment w:val="center"/>
              <w:outlineLvl w:val="9"/>
              <w:rPr>
                <w:rFonts w:hint="eastAsia" w:ascii="仿宋" w:hAnsi="仿宋" w:eastAsia="仿宋" w:cs="仿宋"/>
                <w:b/>
                <w:bCs/>
                <w:color w:val="auto"/>
                <w:sz w:val="21"/>
                <w:szCs w:val="21"/>
              </w:rPr>
            </w:pPr>
            <w:r>
              <w:rPr>
                <w:rFonts w:hint="eastAsia" w:ascii="仿宋" w:hAnsi="仿宋" w:eastAsia="仿宋" w:cs="仿宋"/>
                <w:b/>
                <w:bCs/>
                <w:snapToGrid w:val="0"/>
                <w:color w:val="auto"/>
                <w:kern w:val="0"/>
                <w:sz w:val="21"/>
                <w:szCs w:val="21"/>
                <w:lang w:bidi="ar"/>
              </w:rPr>
              <w:t>数量</w:t>
            </w:r>
          </w:p>
        </w:tc>
        <w:tc>
          <w:tcPr>
            <w:tcW w:w="802" w:type="dxa"/>
            <w:vAlign w:val="center"/>
          </w:tcPr>
          <w:p>
            <w:pPr>
              <w:widowControl/>
              <w:jc w:val="center"/>
              <w:textAlignment w:val="center"/>
              <w:outlineLvl w:val="9"/>
              <w:rPr>
                <w:rFonts w:hint="eastAsia" w:ascii="仿宋" w:hAnsi="仿宋" w:eastAsia="仿宋" w:cs="仿宋"/>
                <w:b/>
                <w:bCs/>
                <w:color w:val="auto"/>
                <w:sz w:val="21"/>
                <w:szCs w:val="21"/>
              </w:rPr>
            </w:pPr>
            <w:r>
              <w:rPr>
                <w:rFonts w:hint="eastAsia" w:ascii="仿宋" w:hAnsi="仿宋" w:eastAsia="仿宋" w:cs="仿宋"/>
                <w:b/>
                <w:bCs/>
                <w:snapToGrid w:val="0"/>
                <w:color w:val="auto"/>
                <w:kern w:val="0"/>
                <w:sz w:val="21"/>
                <w:szCs w:val="21"/>
                <w:lang w:bidi="ar"/>
              </w:rPr>
              <w:t>单位</w:t>
            </w:r>
          </w:p>
        </w:tc>
        <w:tc>
          <w:tcPr>
            <w:tcW w:w="561" w:type="dxa"/>
            <w:vAlign w:val="center"/>
          </w:tcPr>
          <w:p>
            <w:pPr>
              <w:widowControl/>
              <w:jc w:val="center"/>
              <w:textAlignment w:val="center"/>
              <w:outlineLvl w:val="9"/>
              <w:rPr>
                <w:rFonts w:hint="eastAsia" w:ascii="仿宋" w:hAnsi="仿宋" w:eastAsia="仿宋" w:cs="仿宋"/>
                <w:b/>
                <w:bCs/>
                <w:color w:val="auto"/>
                <w:sz w:val="21"/>
                <w:szCs w:val="21"/>
              </w:rPr>
            </w:pPr>
            <w:r>
              <w:rPr>
                <w:rFonts w:hint="eastAsia" w:ascii="仿宋" w:hAnsi="仿宋" w:eastAsia="仿宋" w:cs="仿宋"/>
                <w:b/>
                <w:bCs/>
                <w:snapToGrid w:val="0"/>
                <w:color w:val="auto"/>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25"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376" w:type="dxa"/>
            <w:vAlign w:val="center"/>
          </w:tcPr>
          <w:p>
            <w:pPr>
              <w:widowControl/>
              <w:jc w:val="center"/>
              <w:textAlignment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通用型普通车床</w:t>
            </w:r>
          </w:p>
        </w:tc>
        <w:tc>
          <w:tcPr>
            <w:tcW w:w="5513" w:type="dxa"/>
            <w:vAlign w:val="center"/>
          </w:tcPr>
          <w:p>
            <w:pPr>
              <w:widowControl/>
              <w:spacing w:after="0" w:line="240" w:lineRule="auto"/>
              <w:jc w:val="left"/>
              <w:textAlignment w:val="center"/>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功能：车削外圆、内孔、端面、锥面、切槽、切断、螺纹</w:t>
            </w:r>
            <w:r>
              <w:rPr>
                <w:rFonts w:hint="eastAsia" w:ascii="仿宋" w:hAnsi="仿宋" w:eastAsia="仿宋" w:cs="仿宋"/>
                <w:color w:val="auto"/>
                <w:sz w:val="21"/>
                <w:szCs w:val="21"/>
                <w:highlight w:val="none"/>
                <w:lang w:eastAsia="zh-CN"/>
              </w:rPr>
              <w:t>；</w:t>
            </w:r>
          </w:p>
          <w:p>
            <w:pPr>
              <w:widowControl/>
              <w:spacing w:after="0" w:line="240" w:lineRule="auto"/>
              <w:jc w:val="left"/>
              <w:textAlignment w:val="center"/>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技术规格：床身最大回转直径：</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360mm，刀架最大回转直径：</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00mm，最大加工长度：</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750mm</w:t>
            </w:r>
            <w:r>
              <w:rPr>
                <w:rFonts w:hint="eastAsia" w:ascii="仿宋" w:hAnsi="仿宋" w:eastAsia="仿宋" w:cs="仿宋"/>
                <w:color w:val="auto"/>
                <w:sz w:val="21"/>
                <w:szCs w:val="21"/>
                <w:highlight w:val="none"/>
                <w:lang w:eastAsia="zh-CN"/>
              </w:rPr>
              <w:t>；</w:t>
            </w:r>
          </w:p>
          <w:p>
            <w:pPr>
              <w:widowControl/>
              <w:spacing w:after="0" w:line="240" w:lineRule="auto"/>
              <w:jc w:val="left"/>
              <w:textAlignment w:val="center"/>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主轴通孔：</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40mm</w:t>
            </w:r>
            <w:r>
              <w:rPr>
                <w:rFonts w:hint="eastAsia" w:ascii="仿宋" w:hAnsi="仿宋" w:eastAsia="仿宋" w:cs="仿宋"/>
                <w:color w:val="auto"/>
                <w:sz w:val="21"/>
                <w:szCs w:val="21"/>
                <w:highlight w:val="none"/>
                <w:lang w:eastAsia="zh-CN"/>
              </w:rPr>
              <w:t>；</w:t>
            </w:r>
          </w:p>
          <w:p>
            <w:pPr>
              <w:widowControl/>
              <w:spacing w:after="0" w:line="240" w:lineRule="auto"/>
              <w:jc w:val="left"/>
              <w:textAlignment w:val="center"/>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bookmarkStart w:id="296" w:name="OLE_LINK41"/>
            <w:r>
              <w:rPr>
                <w:rFonts w:hint="eastAsia" w:ascii="仿宋" w:hAnsi="仿宋" w:eastAsia="仿宋" w:cs="仿宋"/>
                <w:color w:val="auto"/>
                <w:sz w:val="21"/>
                <w:szCs w:val="21"/>
                <w:highlight w:val="none"/>
              </w:rPr>
              <w:t>进给级数：多级机械变速</w:t>
            </w:r>
            <w:bookmarkEnd w:id="296"/>
            <w:r>
              <w:rPr>
                <w:rFonts w:hint="eastAsia" w:ascii="仿宋" w:hAnsi="仿宋" w:eastAsia="仿宋" w:cs="仿宋"/>
                <w:color w:val="auto"/>
                <w:sz w:val="21"/>
                <w:szCs w:val="21"/>
                <w:highlight w:val="none"/>
                <w:lang w:eastAsia="zh-CN"/>
              </w:rPr>
              <w:t>；</w:t>
            </w:r>
          </w:p>
          <w:p>
            <w:pPr>
              <w:widowControl/>
              <w:spacing w:after="0" w:line="240" w:lineRule="auto"/>
              <w:jc w:val="left"/>
              <w:textAlignment w:val="center"/>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电机功率：3-11kW</w:t>
            </w:r>
            <w:r>
              <w:rPr>
                <w:rFonts w:hint="eastAsia" w:ascii="仿宋" w:hAnsi="仿宋" w:eastAsia="仿宋" w:cs="仿宋"/>
                <w:color w:val="auto"/>
                <w:sz w:val="21"/>
                <w:szCs w:val="21"/>
                <w:highlight w:val="none"/>
                <w:lang w:eastAsia="zh-CN"/>
              </w:rPr>
              <w:t>；</w:t>
            </w:r>
          </w:p>
        </w:tc>
        <w:tc>
          <w:tcPr>
            <w:tcW w:w="839"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802"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561" w:type="dxa"/>
            <w:vAlign w:val="center"/>
          </w:tcPr>
          <w:p>
            <w:pPr>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625"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376" w:type="dxa"/>
            <w:vAlign w:val="center"/>
          </w:tcPr>
          <w:p>
            <w:pPr>
              <w:widowControl/>
              <w:jc w:val="center"/>
              <w:textAlignment w:val="center"/>
              <w:outlineLvl w:val="9"/>
              <w:rPr>
                <w:rFonts w:hint="eastAsia" w:ascii="仿宋" w:hAnsi="仿宋" w:eastAsia="仿宋" w:cs="仿宋"/>
                <w:color w:val="auto"/>
                <w:sz w:val="21"/>
                <w:szCs w:val="21"/>
                <w:highlight w:val="none"/>
              </w:rPr>
            </w:pPr>
            <w:bookmarkStart w:id="297" w:name="OLE_LINK43"/>
            <w:r>
              <w:rPr>
                <w:rFonts w:hint="eastAsia" w:ascii="仿宋" w:hAnsi="仿宋" w:eastAsia="仿宋" w:cs="仿宋"/>
                <w:color w:val="auto"/>
                <w:sz w:val="21"/>
                <w:szCs w:val="21"/>
                <w:highlight w:val="none"/>
              </w:rPr>
              <w:t>通用型立铣床</w:t>
            </w:r>
            <w:bookmarkEnd w:id="297"/>
          </w:p>
        </w:tc>
        <w:tc>
          <w:tcPr>
            <w:tcW w:w="5513" w:type="dxa"/>
            <w:vAlign w:val="center"/>
          </w:tcPr>
          <w:p>
            <w:pPr>
              <w:keepNext w:val="0"/>
              <w:keepLines w:val="0"/>
              <w:widowControl w:val="0"/>
              <w:suppressLineNumbers w:val="0"/>
              <w:spacing w:before="0" w:beforeAutospacing="0" w:after="0" w:afterAutospacing="0" w:line="240" w:lineRule="auto"/>
              <w:ind w:left="0" w:right="0"/>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工作台尺寸：</w:t>
            </w:r>
            <w:r>
              <w:rPr>
                <w:rFonts w:hint="eastAsia" w:ascii="仿宋" w:hAnsi="仿宋" w:eastAsia="仿宋" w:cs="仿宋"/>
                <w:color w:val="auto"/>
                <w:sz w:val="21"/>
                <w:szCs w:val="21"/>
                <w:highlight w:val="none"/>
                <w:lang w:eastAsia="zh-CN"/>
              </w:rPr>
              <w:t>长度≥</w:t>
            </w:r>
            <w:r>
              <w:rPr>
                <w:rFonts w:hint="eastAsia" w:ascii="仿宋" w:hAnsi="仿宋" w:eastAsia="仿宋" w:cs="仿宋"/>
                <w:color w:val="auto"/>
                <w:sz w:val="21"/>
                <w:szCs w:val="21"/>
                <w:highlight w:val="none"/>
              </w:rPr>
              <w:t>1250mm</w:t>
            </w:r>
            <w:r>
              <w:rPr>
                <w:rFonts w:hint="eastAsia" w:ascii="仿宋" w:hAnsi="仿宋" w:eastAsia="仿宋" w:cs="仿宋"/>
                <w:color w:val="auto"/>
                <w:sz w:val="21"/>
                <w:szCs w:val="21"/>
                <w:highlight w:val="none"/>
                <w:lang w:eastAsia="zh-CN"/>
              </w:rPr>
              <w:t>，宽度≥</w:t>
            </w:r>
            <w:r>
              <w:rPr>
                <w:rFonts w:hint="eastAsia" w:ascii="仿宋" w:hAnsi="仿宋" w:eastAsia="仿宋" w:cs="仿宋"/>
                <w:color w:val="auto"/>
                <w:sz w:val="21"/>
                <w:szCs w:val="21"/>
                <w:highlight w:val="none"/>
              </w:rPr>
              <w:t>320mm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工作台最大承载：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300kg</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bookmarkStart w:id="298" w:name="OLE_LINK38"/>
            <w:r>
              <w:rPr>
                <w:rFonts w:hint="eastAsia" w:ascii="仿宋" w:hAnsi="仿宋" w:eastAsia="仿宋" w:cs="仿宋"/>
                <w:color w:val="auto"/>
                <w:sz w:val="21"/>
                <w:szCs w:val="21"/>
                <w:highlight w:val="none"/>
              </w:rPr>
              <w:t>X/Y/Z行程：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700</w:t>
            </w:r>
            <w:r>
              <w:rPr>
                <w:rFonts w:hint="eastAsia" w:ascii="仿宋" w:hAnsi="仿宋" w:eastAsia="仿宋" w:cs="仿宋"/>
                <w:color w:val="auto"/>
                <w:sz w:val="21"/>
                <w:szCs w:val="21"/>
                <w:highlight w:val="none"/>
                <w:lang w:val="en-US" w:eastAsia="zh-CN"/>
              </w:rPr>
              <w:t xml:space="preserve">mm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250</w:t>
            </w:r>
            <w:r>
              <w:rPr>
                <w:rFonts w:hint="eastAsia" w:ascii="仿宋" w:hAnsi="仿宋" w:eastAsia="仿宋" w:cs="仿宋"/>
                <w:color w:val="auto"/>
                <w:sz w:val="21"/>
                <w:szCs w:val="21"/>
                <w:highlight w:val="none"/>
                <w:lang w:val="en-US" w:eastAsia="zh-CN"/>
              </w:rPr>
              <w:t xml:space="preserve">mm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350mm</w:t>
            </w:r>
            <w:r>
              <w:rPr>
                <w:rFonts w:hint="eastAsia" w:ascii="仿宋" w:hAnsi="仿宋" w:eastAsia="仿宋" w:cs="仿宋"/>
                <w:color w:val="auto"/>
                <w:sz w:val="21"/>
                <w:szCs w:val="21"/>
                <w:highlight w:val="none"/>
                <w:lang w:eastAsia="zh-CN"/>
              </w:rPr>
              <w:t>；</w:t>
            </w:r>
            <w:bookmarkEnd w:id="298"/>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bookmarkStart w:id="299" w:name="OLE_LINK53"/>
            <w:r>
              <w:rPr>
                <w:rFonts w:hint="eastAsia" w:ascii="仿宋" w:hAnsi="仿宋" w:eastAsia="仿宋" w:cs="仿宋"/>
                <w:b w:val="0"/>
                <w:bCs w:val="0"/>
                <w:color w:val="auto"/>
                <w:sz w:val="21"/>
                <w:szCs w:val="21"/>
                <w:highlight w:val="none"/>
              </w:rPr>
              <w:t>主轴</w:t>
            </w:r>
            <w:r>
              <w:rPr>
                <w:rFonts w:hint="eastAsia" w:ascii="仿宋" w:hAnsi="仿宋" w:eastAsia="仿宋" w:cs="仿宋"/>
                <w:b w:val="0"/>
                <w:bCs w:val="0"/>
                <w:color w:val="auto"/>
                <w:sz w:val="21"/>
                <w:szCs w:val="21"/>
                <w:highlight w:val="none"/>
                <w:lang w:val="en-US" w:eastAsia="zh-CN"/>
              </w:rPr>
              <w:t>最大</w:t>
            </w:r>
            <w:r>
              <w:rPr>
                <w:rFonts w:hint="eastAsia" w:ascii="仿宋" w:hAnsi="仿宋" w:eastAsia="仿宋" w:cs="仿宋"/>
                <w:b w:val="0"/>
                <w:bCs w:val="0"/>
                <w:color w:val="auto"/>
                <w:sz w:val="21"/>
                <w:szCs w:val="21"/>
                <w:highlight w:val="none"/>
              </w:rPr>
              <w:t>转速：</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3500</w:t>
            </w:r>
            <w:r>
              <w:rPr>
                <w:rFonts w:hint="eastAsia" w:ascii="仿宋" w:hAnsi="仿宋" w:eastAsia="仿宋" w:cs="仿宋"/>
                <w:color w:val="auto"/>
                <w:sz w:val="21"/>
                <w:szCs w:val="21"/>
                <w:highlight w:val="none"/>
              </w:rPr>
              <w:t>r/min</w:t>
            </w:r>
            <w:r>
              <w:rPr>
                <w:rFonts w:hint="eastAsia" w:ascii="仿宋" w:hAnsi="仿宋" w:eastAsia="仿宋" w:cs="仿宋"/>
                <w:color w:val="auto"/>
                <w:sz w:val="21"/>
                <w:szCs w:val="21"/>
                <w:highlight w:val="none"/>
                <w:lang w:eastAsia="zh-CN"/>
              </w:rPr>
              <w:t>；</w:t>
            </w:r>
            <w:bookmarkEnd w:id="299"/>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工作台进给：</w:t>
            </w:r>
            <w:bookmarkStart w:id="300" w:name="OLE_LINK42"/>
            <w:r>
              <w:rPr>
                <w:rFonts w:hint="eastAsia" w:ascii="仿宋" w:hAnsi="仿宋" w:eastAsia="仿宋" w:cs="仿宋"/>
                <w:color w:val="auto"/>
                <w:sz w:val="21"/>
                <w:szCs w:val="21"/>
                <w:highlight w:val="none"/>
              </w:rPr>
              <w:t>多级机械进给</w:t>
            </w:r>
            <w:r>
              <w:rPr>
                <w:rFonts w:hint="eastAsia" w:ascii="仿宋" w:hAnsi="仿宋" w:eastAsia="仿宋" w:cs="仿宋"/>
                <w:color w:val="auto"/>
                <w:sz w:val="21"/>
                <w:szCs w:val="21"/>
                <w:highlight w:val="none"/>
                <w:lang w:eastAsia="zh-CN"/>
              </w:rPr>
              <w:t>；</w:t>
            </w:r>
            <w:bookmarkEnd w:id="300"/>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bookmarkStart w:id="301" w:name="OLE_LINK7"/>
            <w:r>
              <w:rPr>
                <w:rFonts w:hint="eastAsia" w:ascii="仿宋" w:hAnsi="仿宋" w:eastAsia="仿宋" w:cs="仿宋"/>
                <w:color w:val="auto"/>
                <w:sz w:val="21"/>
                <w:szCs w:val="21"/>
                <w:highlight w:val="none"/>
              </w:rPr>
              <w:t>主电机功率</w:t>
            </w:r>
            <w:bookmarkEnd w:id="301"/>
            <w:r>
              <w:rPr>
                <w:rFonts w:hint="eastAsia" w:ascii="仿宋" w:hAnsi="仿宋" w:eastAsia="仿宋" w:cs="仿宋"/>
                <w:color w:val="auto"/>
                <w:sz w:val="21"/>
                <w:szCs w:val="21"/>
                <w:highlight w:val="none"/>
              </w:rPr>
              <w:t>：4 kW≤主电机功率≤7.5kW</w:t>
            </w:r>
            <w:r>
              <w:rPr>
                <w:rFonts w:hint="eastAsia" w:ascii="仿宋" w:hAnsi="仿宋" w:eastAsia="仿宋" w:cs="仿宋"/>
                <w:color w:val="auto"/>
                <w:sz w:val="21"/>
                <w:szCs w:val="21"/>
                <w:highlight w:val="none"/>
                <w:lang w:eastAsia="zh-CN"/>
              </w:rPr>
              <w:t>；</w:t>
            </w:r>
          </w:p>
          <w:p>
            <w:pPr>
              <w:widowControl/>
              <w:spacing w:after="0" w:line="240" w:lineRule="auto"/>
              <w:jc w:val="left"/>
              <w:textAlignment w:val="center"/>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机床结构：立式升降台式</w:t>
            </w:r>
            <w:r>
              <w:rPr>
                <w:rFonts w:hint="eastAsia" w:ascii="仿宋" w:hAnsi="仿宋" w:eastAsia="仿宋" w:cs="仿宋"/>
                <w:color w:val="auto"/>
                <w:sz w:val="21"/>
                <w:szCs w:val="21"/>
                <w:highlight w:val="none"/>
                <w:lang w:eastAsia="zh-CN"/>
              </w:rPr>
              <w:t>。</w:t>
            </w:r>
          </w:p>
        </w:tc>
        <w:tc>
          <w:tcPr>
            <w:tcW w:w="839"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802"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561" w:type="dxa"/>
            <w:vAlign w:val="center"/>
          </w:tcPr>
          <w:p>
            <w:pPr>
              <w:jc w:val="center"/>
              <w:outlineLvl w:val="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625"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376" w:type="dxa"/>
            <w:vAlign w:val="center"/>
          </w:tcPr>
          <w:p>
            <w:pPr>
              <w:widowControl/>
              <w:jc w:val="center"/>
              <w:textAlignment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小型通用型磨床</w:t>
            </w:r>
          </w:p>
        </w:tc>
        <w:tc>
          <w:tcPr>
            <w:tcW w:w="5513" w:type="dxa"/>
            <w:vAlign w:val="center"/>
          </w:tcPr>
          <w:p>
            <w:pPr>
              <w:spacing w:after="0" w:line="240" w:lineRule="auto"/>
              <w:jc w:val="left"/>
              <w:outlineLvl w:val="9"/>
              <w:rPr>
                <w:rFonts w:hint="eastAsia" w:ascii="仿宋" w:hAnsi="仿宋" w:eastAsia="仿宋" w:cs="仿宋"/>
                <w:color w:val="auto"/>
                <w:sz w:val="21"/>
                <w:szCs w:val="21"/>
                <w:highlight w:val="none"/>
                <w:lang w:eastAsia="zh-CN"/>
              </w:rPr>
            </w:pPr>
            <w:bookmarkStart w:id="302" w:name="OLE_LINK39"/>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最大磨削直径：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100mm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最大磨削长度：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300</w:t>
            </w:r>
            <w:r>
              <w:rPr>
                <w:rFonts w:hint="eastAsia" w:ascii="仿宋" w:hAnsi="仿宋" w:eastAsia="仿宋" w:cs="仿宋"/>
                <w:color w:val="auto"/>
                <w:sz w:val="21"/>
                <w:szCs w:val="21"/>
                <w:highlight w:val="none"/>
                <w:lang w:val="en-US" w:eastAsia="zh-CN"/>
              </w:rPr>
              <w:t>mm，</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750mm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顶尖距：300mm</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500mm</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750mm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砂轮尺寸：</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Φ300mm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工件转速：可调</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头架、尾架配置齐全</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主电机功率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2kW</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主电机功率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5.5kW</w:t>
            </w:r>
            <w:r>
              <w:rPr>
                <w:rFonts w:hint="eastAsia" w:ascii="仿宋" w:hAnsi="仿宋" w:eastAsia="仿宋" w:cs="仿宋"/>
                <w:color w:val="auto"/>
                <w:sz w:val="21"/>
                <w:szCs w:val="21"/>
                <w:highlight w:val="none"/>
                <w:lang w:eastAsia="zh-CN"/>
              </w:rPr>
              <w:t>。</w:t>
            </w:r>
            <w:bookmarkEnd w:id="302"/>
          </w:p>
        </w:tc>
        <w:tc>
          <w:tcPr>
            <w:tcW w:w="839"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802"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561" w:type="dxa"/>
            <w:vAlign w:val="center"/>
          </w:tcPr>
          <w:p>
            <w:pPr>
              <w:jc w:val="center"/>
              <w:outlineLvl w:val="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625" w:type="dxa"/>
            <w:vAlign w:val="center"/>
          </w:tcPr>
          <w:p>
            <w:pPr>
              <w:widowControl/>
              <w:jc w:val="center"/>
              <w:textAlignment w:val="center"/>
              <w:outlineLvl w:val="9"/>
              <w:rPr>
                <w:rFonts w:hint="eastAsia" w:ascii="仿宋" w:hAnsi="仿宋" w:eastAsia="仿宋" w:cs="仿宋"/>
                <w:color w:val="auto"/>
                <w:sz w:val="21"/>
                <w:szCs w:val="21"/>
              </w:rPr>
            </w:pPr>
            <w:bookmarkStart w:id="303" w:name="OLE_LINK40" w:colFirst="1" w:colLast="2"/>
            <w:r>
              <w:rPr>
                <w:rFonts w:hint="eastAsia" w:ascii="仿宋" w:hAnsi="仿宋" w:eastAsia="仿宋" w:cs="仿宋"/>
                <w:color w:val="auto"/>
                <w:sz w:val="21"/>
                <w:szCs w:val="21"/>
              </w:rPr>
              <w:t>4</w:t>
            </w:r>
          </w:p>
        </w:tc>
        <w:tc>
          <w:tcPr>
            <w:tcW w:w="1376" w:type="dxa"/>
            <w:vAlign w:val="center"/>
          </w:tcPr>
          <w:p>
            <w:pPr>
              <w:widowControl/>
              <w:jc w:val="center"/>
              <w:textAlignment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普通桌面型台钻</w:t>
            </w:r>
          </w:p>
        </w:tc>
        <w:tc>
          <w:tcPr>
            <w:tcW w:w="5513" w:type="dxa"/>
            <w:vAlign w:val="center"/>
          </w:tcPr>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最大钻孔直径：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12mm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主轴最大行程：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80mm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bookmarkStart w:id="304" w:name="OLE_LINK44"/>
            <w:r>
              <w:rPr>
                <w:rFonts w:hint="eastAsia" w:ascii="仿宋" w:hAnsi="仿宋" w:eastAsia="仿宋" w:cs="仿宋"/>
                <w:color w:val="auto"/>
                <w:sz w:val="21"/>
                <w:szCs w:val="21"/>
                <w:highlight w:val="none"/>
              </w:rPr>
              <w:t>主轴锥孔：B16</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MT2</w:t>
            </w:r>
            <w:r>
              <w:rPr>
                <w:rFonts w:hint="eastAsia" w:ascii="仿宋" w:hAnsi="仿宋" w:eastAsia="仿宋" w:cs="仿宋"/>
                <w:color w:val="auto"/>
                <w:sz w:val="21"/>
                <w:szCs w:val="21"/>
                <w:highlight w:val="none"/>
                <w:lang w:eastAsia="zh-CN"/>
              </w:rPr>
              <w:t>；</w:t>
            </w:r>
            <w:bookmarkEnd w:id="304"/>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主轴转速级数：5–12级</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主轴转速范围：</w:t>
            </w:r>
            <w:r>
              <w:rPr>
                <w:rFonts w:hint="eastAsia" w:ascii="仿宋" w:hAnsi="仿宋" w:eastAsia="仿宋" w:cs="仿宋"/>
                <w:color w:val="auto"/>
                <w:sz w:val="21"/>
                <w:szCs w:val="21"/>
                <w:highlight w:val="none"/>
                <w:lang w:val="en-US" w:eastAsia="zh-CN"/>
              </w:rPr>
              <w:t>最低转速：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200r/min</w:t>
            </w:r>
            <w:r>
              <w:rPr>
                <w:rFonts w:hint="eastAsia" w:ascii="仿宋" w:hAnsi="仿宋" w:eastAsia="仿宋" w:cs="仿宋"/>
                <w:color w:val="auto"/>
                <w:sz w:val="21"/>
                <w:szCs w:val="21"/>
                <w:highlight w:val="none"/>
                <w:lang w:val="en-US" w:eastAsia="zh-CN"/>
              </w:rPr>
              <w:t>；最高转速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2000</w:t>
            </w:r>
            <w:r>
              <w:rPr>
                <w:rFonts w:hint="eastAsia" w:ascii="仿宋" w:hAnsi="仿宋" w:eastAsia="仿宋" w:cs="仿宋"/>
                <w:color w:val="auto"/>
                <w:sz w:val="21"/>
                <w:szCs w:val="21"/>
                <w:highlight w:val="none"/>
              </w:rPr>
              <w:t>r/min</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工作台尺寸：200×200mm</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300×300mm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主电机功率：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0.37kW主电机功率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1.1kW</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安装方式：桌面式/台式</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立柱直径：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70mm</w:t>
            </w:r>
            <w:r>
              <w:rPr>
                <w:rFonts w:hint="eastAsia" w:ascii="仿宋" w:hAnsi="仿宋" w:eastAsia="仿宋" w:cs="仿宋"/>
                <w:color w:val="auto"/>
                <w:sz w:val="21"/>
                <w:szCs w:val="21"/>
                <w:highlight w:val="none"/>
                <w:lang w:eastAsia="zh-CN"/>
              </w:rPr>
              <w:t>。</w:t>
            </w:r>
          </w:p>
        </w:tc>
        <w:tc>
          <w:tcPr>
            <w:tcW w:w="839"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802"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561" w:type="dxa"/>
            <w:vAlign w:val="center"/>
          </w:tcPr>
          <w:p>
            <w:pPr>
              <w:jc w:val="center"/>
              <w:outlineLvl w:val="9"/>
              <w:rPr>
                <w:rFonts w:hint="eastAsia" w:ascii="仿宋" w:hAnsi="仿宋" w:eastAsia="仿宋" w:cs="仿宋"/>
                <w:color w:val="auto"/>
                <w:sz w:val="21"/>
                <w:szCs w:val="21"/>
              </w:rPr>
            </w:pPr>
          </w:p>
        </w:tc>
      </w:tr>
      <w:bookmarkEnd w:id="3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625" w:type="dxa"/>
            <w:vAlign w:val="center"/>
          </w:tcPr>
          <w:p>
            <w:pPr>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1376" w:type="dxa"/>
            <w:vAlign w:val="center"/>
          </w:tcPr>
          <w:p>
            <w:pPr>
              <w:widowControl/>
              <w:jc w:val="center"/>
              <w:textAlignment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卧式数控机床</w:t>
            </w:r>
          </w:p>
        </w:tc>
        <w:tc>
          <w:tcPr>
            <w:tcW w:w="5513" w:type="dxa"/>
            <w:vAlign w:val="center"/>
          </w:tcPr>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床身上最大回转直径：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360mm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最大加工直径：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180mm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最大加工长度：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500mm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主轴通孔：48</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52</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66</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82mm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卡盘尺寸：6</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10英寸</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刀架：6工位电动刀架</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主轴</w:t>
            </w:r>
            <w:r>
              <w:rPr>
                <w:rFonts w:hint="eastAsia" w:ascii="仿宋" w:hAnsi="仿宋" w:eastAsia="仿宋" w:cs="仿宋"/>
                <w:color w:val="auto"/>
                <w:sz w:val="21"/>
                <w:szCs w:val="21"/>
                <w:highlight w:val="none"/>
                <w:lang w:val="en-US" w:eastAsia="zh-CN"/>
              </w:rPr>
              <w:t>最高</w:t>
            </w:r>
            <w:r>
              <w:rPr>
                <w:rFonts w:hint="eastAsia" w:ascii="仿宋" w:hAnsi="仿宋" w:eastAsia="仿宋" w:cs="仿宋"/>
                <w:color w:val="auto"/>
                <w:sz w:val="21"/>
                <w:szCs w:val="21"/>
                <w:highlight w:val="none"/>
              </w:rPr>
              <w:t>转速：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00r/min</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X/Z轴行程：视机型而定</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主电机功率：4kW</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主电机功率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11kW</w:t>
            </w:r>
            <w:r>
              <w:rPr>
                <w:rFonts w:hint="eastAsia" w:ascii="仿宋" w:hAnsi="仿宋" w:eastAsia="仿宋" w:cs="仿宋"/>
                <w:color w:val="auto"/>
                <w:sz w:val="21"/>
                <w:szCs w:val="21"/>
                <w:highlight w:val="none"/>
                <w:lang w:eastAsia="zh-CN"/>
              </w:rPr>
              <w:t>。</w:t>
            </w:r>
          </w:p>
        </w:tc>
        <w:tc>
          <w:tcPr>
            <w:tcW w:w="839"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 xml:space="preserve">4 </w:t>
            </w:r>
          </w:p>
        </w:tc>
        <w:tc>
          <w:tcPr>
            <w:tcW w:w="802"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561" w:type="dxa"/>
            <w:vAlign w:val="center"/>
          </w:tcPr>
          <w:p>
            <w:pPr>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625" w:type="dxa"/>
            <w:vAlign w:val="center"/>
          </w:tcPr>
          <w:p>
            <w:pPr>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1376" w:type="dxa"/>
            <w:vAlign w:val="center"/>
          </w:tcPr>
          <w:p>
            <w:pPr>
              <w:widowControl/>
              <w:jc w:val="center"/>
              <w:textAlignment w:val="center"/>
              <w:outlineLvl w:val="9"/>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立式铣削加工中心</w:t>
            </w:r>
          </w:p>
        </w:tc>
        <w:tc>
          <w:tcPr>
            <w:tcW w:w="5513" w:type="dxa"/>
            <w:vAlign w:val="center"/>
          </w:tcPr>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X/Y/Z行程：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600</w:t>
            </w:r>
            <w:r>
              <w:rPr>
                <w:rFonts w:hint="eastAsia" w:ascii="仿宋" w:hAnsi="仿宋" w:eastAsia="仿宋" w:cs="仿宋"/>
                <w:color w:val="auto"/>
                <w:sz w:val="21"/>
                <w:szCs w:val="21"/>
                <w:highlight w:val="none"/>
                <w:lang w:val="en-US" w:eastAsia="zh-CN"/>
              </w:rPr>
              <w:t xml:space="preserve">mm /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400</w:t>
            </w:r>
            <w:r>
              <w:rPr>
                <w:rFonts w:hint="eastAsia" w:ascii="仿宋" w:hAnsi="仿宋" w:eastAsia="仿宋" w:cs="仿宋"/>
                <w:color w:val="auto"/>
                <w:sz w:val="21"/>
                <w:szCs w:val="21"/>
                <w:highlight w:val="none"/>
                <w:lang w:val="en-US" w:eastAsia="zh-CN"/>
              </w:rPr>
              <w:t xml:space="preserve">mm /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450mm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工作台尺寸：800×400mm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工作台承重：</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300kg</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主轴转速：6000</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8000</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10000rpm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刀库容量：16</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20</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24把</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快移速度：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15m/min</w:t>
            </w:r>
            <w:r>
              <w:rPr>
                <w:rFonts w:hint="eastAsia" w:ascii="仿宋" w:hAnsi="仿宋" w:eastAsia="仿宋" w:cs="仿宋"/>
                <w:color w:val="auto"/>
                <w:sz w:val="21"/>
                <w:szCs w:val="21"/>
                <w:highlight w:val="none"/>
                <w:lang w:eastAsia="zh-CN"/>
              </w:rPr>
              <w:t>。</w:t>
            </w:r>
          </w:p>
        </w:tc>
        <w:tc>
          <w:tcPr>
            <w:tcW w:w="839"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802"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561" w:type="dxa"/>
            <w:vAlign w:val="center"/>
          </w:tcPr>
          <w:p>
            <w:pPr>
              <w:jc w:val="center"/>
              <w:outlineLvl w:val="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625" w:type="dxa"/>
            <w:vAlign w:val="center"/>
          </w:tcPr>
          <w:p>
            <w:pPr>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1376" w:type="dxa"/>
            <w:vAlign w:val="center"/>
          </w:tcPr>
          <w:p>
            <w:pPr>
              <w:widowControl/>
              <w:jc w:val="center"/>
              <w:textAlignment w:val="center"/>
              <w:outlineLvl w:val="9"/>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bidi="ar"/>
              </w:rPr>
              <w:t>五轴联动车铣复合</w:t>
            </w:r>
          </w:p>
        </w:tc>
        <w:tc>
          <w:tcPr>
            <w:tcW w:w="5513" w:type="dxa"/>
            <w:vAlign w:val="center"/>
          </w:tcPr>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最大回转直径：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300mm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最大加工长度：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500mm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主轴通孔：</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45mm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卡盘：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6英寸</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车削主轴</w:t>
            </w:r>
            <w:r>
              <w:rPr>
                <w:rFonts w:hint="eastAsia" w:ascii="仿宋" w:hAnsi="仿宋" w:eastAsia="仿宋" w:cs="仿宋"/>
                <w:color w:val="auto"/>
                <w:sz w:val="21"/>
                <w:szCs w:val="21"/>
                <w:highlight w:val="none"/>
                <w:lang w:val="en-US" w:eastAsia="zh-CN"/>
              </w:rPr>
              <w:t>最大</w:t>
            </w:r>
            <w:r>
              <w:rPr>
                <w:rFonts w:hint="eastAsia" w:ascii="仿宋" w:hAnsi="仿宋" w:eastAsia="仿宋" w:cs="仿宋"/>
                <w:color w:val="auto"/>
                <w:sz w:val="21"/>
                <w:szCs w:val="21"/>
                <w:highlight w:val="none"/>
              </w:rPr>
              <w:t>转速：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3000rpm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铣削动力头</w:t>
            </w:r>
            <w:r>
              <w:rPr>
                <w:rFonts w:hint="eastAsia" w:ascii="仿宋" w:hAnsi="仿宋" w:eastAsia="仿宋" w:cs="仿宋"/>
                <w:color w:val="auto"/>
                <w:sz w:val="21"/>
                <w:szCs w:val="21"/>
                <w:highlight w:val="none"/>
                <w:lang w:val="en-US" w:eastAsia="zh-CN"/>
              </w:rPr>
              <w:t>最大</w:t>
            </w:r>
            <w:r>
              <w:rPr>
                <w:rFonts w:hint="eastAsia" w:ascii="仿宋" w:hAnsi="仿宋" w:eastAsia="仿宋" w:cs="仿宋"/>
                <w:color w:val="auto"/>
                <w:sz w:val="21"/>
                <w:szCs w:val="21"/>
                <w:highlight w:val="none"/>
              </w:rPr>
              <w:t>转速：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8000rpm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刀塔/刀库：</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12工位</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联动轴数：5轴联动</w:t>
            </w:r>
            <w:r>
              <w:rPr>
                <w:rFonts w:hint="eastAsia" w:ascii="仿宋" w:hAnsi="仿宋" w:eastAsia="仿宋" w:cs="仿宋"/>
                <w:color w:val="auto"/>
                <w:sz w:val="21"/>
                <w:szCs w:val="21"/>
                <w:highlight w:val="none"/>
                <w:lang w:eastAsia="zh-CN"/>
              </w:rPr>
              <w:t>。</w:t>
            </w:r>
          </w:p>
        </w:tc>
        <w:tc>
          <w:tcPr>
            <w:tcW w:w="839"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802"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台</w:t>
            </w:r>
          </w:p>
        </w:tc>
        <w:tc>
          <w:tcPr>
            <w:tcW w:w="561" w:type="dxa"/>
            <w:vAlign w:val="center"/>
          </w:tcPr>
          <w:p>
            <w:pPr>
              <w:jc w:val="center"/>
              <w:outlineLvl w:val="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625" w:type="dxa"/>
            <w:vAlign w:val="center"/>
          </w:tcPr>
          <w:p>
            <w:pPr>
              <w:jc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8</w:t>
            </w:r>
          </w:p>
        </w:tc>
        <w:tc>
          <w:tcPr>
            <w:tcW w:w="1376" w:type="dxa"/>
            <w:vAlign w:val="center"/>
          </w:tcPr>
          <w:p>
            <w:pPr>
              <w:widowControl/>
              <w:jc w:val="center"/>
              <w:textAlignment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3D打印加工设备</w:t>
            </w:r>
          </w:p>
        </w:tc>
        <w:tc>
          <w:tcPr>
            <w:tcW w:w="5513" w:type="dxa"/>
            <w:vAlign w:val="center"/>
          </w:tcPr>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成形尺寸：400×400×400mm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bookmarkStart w:id="305" w:name="OLE_LINK45"/>
            <w:bookmarkStart w:id="306" w:name="OLE_LINK46"/>
            <w:r>
              <w:rPr>
                <w:rFonts w:hint="eastAsia" w:ascii="仿宋" w:hAnsi="仿宋" w:eastAsia="仿宋" w:cs="仿宋"/>
                <w:color w:val="auto"/>
                <w:sz w:val="21"/>
                <w:szCs w:val="21"/>
                <w:highlight w:val="none"/>
              </w:rPr>
              <w:t>喷嘴直径：</w:t>
            </w:r>
            <w:r>
              <w:rPr>
                <w:rFonts w:hint="eastAsia" w:ascii="仿宋" w:hAnsi="仿宋" w:eastAsia="仿宋" w:cs="仿宋"/>
                <w:color w:val="auto"/>
                <w:sz w:val="21"/>
                <w:szCs w:val="21"/>
                <w:highlight w:val="none"/>
                <w:lang w:val="en-US" w:eastAsia="zh-CN"/>
              </w:rPr>
              <w:t>0.3</w:t>
            </w:r>
            <w:r>
              <w:rPr>
                <w:rFonts w:hint="eastAsia" w:ascii="仿宋" w:hAnsi="仿宋" w:eastAsia="仿宋" w:cs="仿宋"/>
                <w:color w:val="auto"/>
                <w:sz w:val="21"/>
                <w:szCs w:val="21"/>
                <w:highlight w:val="none"/>
              </w:rPr>
              <w:t>mm</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0.4mm</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mm（</w:t>
            </w:r>
            <w:r>
              <w:rPr>
                <w:rFonts w:hint="eastAsia" w:ascii="仿宋" w:hAnsi="仿宋" w:eastAsia="仿宋" w:cs="仿宋"/>
                <w:color w:val="auto"/>
                <w:sz w:val="21"/>
                <w:szCs w:val="21"/>
                <w:highlight w:val="none"/>
                <w:lang w:val="en-US" w:eastAsia="zh-CN"/>
              </w:rPr>
              <w:t>同时满足</w:t>
            </w:r>
            <w:r>
              <w:rPr>
                <w:rFonts w:hint="eastAsia" w:ascii="仿宋" w:hAnsi="仿宋" w:eastAsia="仿宋" w:cs="仿宋"/>
                <w:color w:val="auto"/>
                <w:sz w:val="21"/>
                <w:szCs w:val="21"/>
                <w:highlight w:val="none"/>
              </w:rPr>
              <w:t>）</w:t>
            </w:r>
            <w:bookmarkEnd w:id="305"/>
            <w:r>
              <w:rPr>
                <w:rFonts w:hint="eastAsia" w:ascii="仿宋" w:hAnsi="仿宋" w:eastAsia="仿宋" w:cs="仿宋"/>
                <w:color w:val="auto"/>
                <w:sz w:val="21"/>
                <w:szCs w:val="21"/>
                <w:highlight w:val="none"/>
                <w:lang w:eastAsia="zh-CN"/>
              </w:rPr>
              <w:t>；</w:t>
            </w:r>
            <w:bookmarkEnd w:id="306"/>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层厚：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0.05mm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打印精度：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±0.1mm</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打印速度：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40mm/s</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材料：PLA</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ABS</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PETG</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TPU等（</w:t>
            </w:r>
            <w:r>
              <w:rPr>
                <w:rFonts w:hint="eastAsia" w:ascii="仿宋" w:hAnsi="仿宋" w:eastAsia="仿宋" w:cs="仿宋"/>
                <w:color w:val="auto"/>
                <w:sz w:val="21"/>
                <w:szCs w:val="21"/>
                <w:highlight w:val="none"/>
                <w:lang w:val="en-US" w:eastAsia="zh-CN"/>
              </w:rPr>
              <w:t>同时满足</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热床温度：可加热</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喷嘴温度：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200℃</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文件格式：STL</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OBJ</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3MF</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lang w:eastAsia="zh-CN"/>
              </w:rPr>
              <w:t>；</w:t>
            </w:r>
          </w:p>
          <w:p>
            <w:pPr>
              <w:widowControl/>
              <w:spacing w:after="0" w:line="240" w:lineRule="auto"/>
              <w:jc w:val="left"/>
              <w:textAlignment w:val="center"/>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软件流程：建模→切片→打印→后处理</w:t>
            </w:r>
            <w:r>
              <w:rPr>
                <w:rFonts w:hint="eastAsia" w:ascii="仿宋" w:hAnsi="仿宋" w:eastAsia="仿宋" w:cs="仿宋"/>
                <w:color w:val="auto"/>
                <w:sz w:val="21"/>
                <w:szCs w:val="21"/>
                <w:highlight w:val="none"/>
                <w:lang w:eastAsia="zh-CN"/>
              </w:rPr>
              <w:t>。</w:t>
            </w:r>
          </w:p>
        </w:tc>
        <w:tc>
          <w:tcPr>
            <w:tcW w:w="839"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02"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561" w:type="dxa"/>
            <w:vAlign w:val="center"/>
          </w:tcPr>
          <w:p>
            <w:pPr>
              <w:jc w:val="center"/>
              <w:outlineLvl w:val="9"/>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625" w:type="dxa"/>
            <w:vAlign w:val="center"/>
          </w:tcPr>
          <w:p>
            <w:pPr>
              <w:jc w:val="center"/>
              <w:outlineLvl w:val="9"/>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9</w:t>
            </w:r>
          </w:p>
        </w:tc>
        <w:tc>
          <w:tcPr>
            <w:tcW w:w="1376" w:type="dxa"/>
            <w:vAlign w:val="center"/>
          </w:tcPr>
          <w:p>
            <w:pPr>
              <w:widowControl/>
              <w:jc w:val="center"/>
              <w:textAlignment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机械设计测绘装置</w:t>
            </w:r>
          </w:p>
        </w:tc>
        <w:tc>
          <w:tcPr>
            <w:tcW w:w="5513" w:type="dxa"/>
            <w:vAlign w:val="center"/>
          </w:tcPr>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小型外啮合齿轮泵，排量：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0.6 m</w:t>
            </w:r>
            <w:r>
              <w:rPr>
                <w:rFonts w:hint="eastAsia" w:ascii="仿宋" w:hAnsi="仿宋" w:eastAsia="仿宋" w:cs="仿宋"/>
                <w:color w:val="auto"/>
                <w:sz w:val="21"/>
                <w:szCs w:val="21"/>
                <w:highlight w:val="none"/>
                <w:lang w:val="en-US" w:eastAsia="zh-CN"/>
              </w:rPr>
              <w:t>l</w:t>
            </w:r>
            <w:r>
              <w:rPr>
                <w:rFonts w:hint="eastAsia" w:ascii="仿宋" w:hAnsi="仿宋" w:eastAsia="仿宋" w:cs="仿宋"/>
                <w:color w:val="auto"/>
                <w:sz w:val="21"/>
                <w:szCs w:val="21"/>
                <w:highlight w:val="none"/>
              </w:rPr>
              <w:t>/r</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额定压力：</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2.5</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MPa，最高压力：</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16</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MPa</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额定转速：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1000</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r/min，最高转速：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2000</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r/min</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流量：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 xml:space="preserve"> l</w:t>
            </w:r>
            <w:r>
              <w:rPr>
                <w:rFonts w:hint="eastAsia" w:ascii="仿宋" w:hAnsi="仿宋" w:eastAsia="仿宋" w:cs="仿宋"/>
                <w:color w:val="auto"/>
                <w:sz w:val="21"/>
                <w:szCs w:val="21"/>
                <w:highlight w:val="none"/>
              </w:rPr>
              <w:t>/min</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安装方式：法兰安装</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支架安装</w:t>
            </w:r>
            <w:r>
              <w:rPr>
                <w:rFonts w:hint="eastAsia" w:ascii="仿宋" w:hAnsi="仿宋" w:eastAsia="仿宋" w:cs="仿宋"/>
                <w:color w:val="auto"/>
                <w:sz w:val="21"/>
                <w:szCs w:val="21"/>
                <w:highlight w:val="none"/>
                <w:lang w:eastAsia="zh-CN"/>
              </w:rPr>
              <w:t>；</w:t>
            </w:r>
          </w:p>
          <w:p>
            <w:pPr>
              <w:spacing w:after="0" w:line="240" w:lineRule="auto"/>
              <w:jc w:val="left"/>
              <w:outlineLvl w:val="9"/>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连接形式：键连接或联轴器连接</w:t>
            </w:r>
            <w:r>
              <w:rPr>
                <w:rFonts w:hint="eastAsia" w:ascii="仿宋" w:hAnsi="仿宋" w:eastAsia="仿宋" w:cs="仿宋"/>
                <w:color w:val="auto"/>
                <w:sz w:val="21"/>
                <w:szCs w:val="21"/>
                <w:highlight w:val="none"/>
                <w:lang w:eastAsia="zh-CN"/>
              </w:rPr>
              <w:t>；</w:t>
            </w:r>
          </w:p>
        </w:tc>
        <w:tc>
          <w:tcPr>
            <w:tcW w:w="839"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02" w:type="dxa"/>
            <w:vAlign w:val="center"/>
          </w:tcPr>
          <w:p>
            <w:pPr>
              <w:widowControl/>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561" w:type="dxa"/>
            <w:vAlign w:val="center"/>
          </w:tcPr>
          <w:p>
            <w:pPr>
              <w:jc w:val="center"/>
              <w:outlineLvl w:val="9"/>
              <w:rPr>
                <w:rFonts w:hint="eastAsia" w:ascii="仿宋" w:hAnsi="仿宋" w:eastAsia="仿宋" w:cs="仿宋"/>
                <w:color w:val="auto"/>
                <w:sz w:val="21"/>
                <w:szCs w:val="21"/>
              </w:rPr>
            </w:pPr>
          </w:p>
        </w:tc>
      </w:tr>
    </w:tbl>
    <w:p>
      <w:pPr>
        <w:pStyle w:val="13"/>
        <w:keepNext w:val="0"/>
        <w:keepLines w:val="0"/>
        <w:pageBreakBefore w:val="0"/>
        <w:widowControl/>
        <w:shd w:val="clear"/>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投标时，以上技术参数描述中要求提供具体证明材料的，应按具体要求提供应提供的证明材料，未提供或提供内容不符合要求的，视为未响应技术参数。以上技术参数描述中未要求提供证明材料的，不做要求。</w:t>
      </w:r>
    </w:p>
    <w:p>
      <w:pPr>
        <w:spacing w:line="460" w:lineRule="exact"/>
        <w:ind w:firstLine="480" w:firstLineChars="200"/>
        <w:outlineLvl w:val="9"/>
        <w:rPr>
          <w:rFonts w:hint="eastAsia" w:ascii="仿宋_GB2312" w:hAnsi="仿宋_GB2312" w:eastAsia="仿宋_GB2312" w:cs="仿宋_GB2312"/>
          <w:b/>
          <w:bCs/>
          <w:color w:val="auto"/>
          <w:sz w:val="24"/>
        </w:rPr>
      </w:pPr>
      <w:r>
        <w:rPr>
          <w:rFonts w:hint="eastAsia" w:ascii="仿宋" w:hAnsi="仿宋" w:eastAsia="仿宋" w:cs="仿宋"/>
          <w:snapToGrid w:val="0"/>
          <w:color w:val="auto"/>
          <w:szCs w:val="24"/>
          <w:highlight w:val="none"/>
          <w:lang w:val="en-US"/>
        </w:rPr>
        <w:t>★</w:t>
      </w:r>
      <w:r>
        <w:rPr>
          <w:rFonts w:hint="eastAsia" w:ascii="仿宋" w:hAnsi="仿宋" w:eastAsia="仿宋" w:cs="仿宋"/>
          <w:snapToGrid w:val="0"/>
          <w:color w:val="auto"/>
          <w:szCs w:val="24"/>
          <w:highlight w:val="none"/>
          <w:lang w:val="en-US" w:eastAsia="zh-CN"/>
        </w:rPr>
        <w:t>2</w:t>
      </w:r>
      <w:r>
        <w:rPr>
          <w:rFonts w:hint="eastAsia" w:ascii="仿宋_GB2312" w:hAnsi="仿宋_GB2312" w:eastAsia="仿宋_GB2312" w:cs="仿宋_GB2312"/>
          <w:b/>
          <w:bCs/>
          <w:color w:val="auto"/>
          <w:sz w:val="24"/>
        </w:rPr>
        <w:t>.供货要求：</w:t>
      </w:r>
    </w:p>
    <w:p>
      <w:pPr>
        <w:spacing w:line="460" w:lineRule="exact"/>
        <w:ind w:firstLine="480" w:firstLineChars="200"/>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.1按规定时间由</w:t>
      </w:r>
      <w:r>
        <w:rPr>
          <w:rFonts w:hint="eastAsia" w:ascii="仿宋_GB2312" w:hAnsi="仿宋_GB2312" w:eastAsia="仿宋_GB2312" w:cs="仿宋_GB2312"/>
          <w:color w:val="auto"/>
          <w:sz w:val="24"/>
          <w:lang w:val="en-US" w:eastAsia="zh-CN"/>
        </w:rPr>
        <w:t>投标人</w:t>
      </w:r>
      <w:r>
        <w:rPr>
          <w:rFonts w:hint="eastAsia" w:ascii="仿宋_GB2312" w:hAnsi="仿宋_GB2312" w:eastAsia="仿宋_GB2312" w:cs="仿宋_GB2312"/>
          <w:color w:val="auto"/>
          <w:sz w:val="24"/>
        </w:rPr>
        <w:t>将符合参数的货物运抵</w:t>
      </w:r>
      <w:r>
        <w:rPr>
          <w:rFonts w:hint="eastAsia" w:ascii="仿宋_GB2312" w:hAnsi="仿宋_GB2312" w:eastAsia="仿宋_GB2312" w:cs="仿宋_GB2312"/>
          <w:color w:val="auto"/>
          <w:sz w:val="24"/>
          <w:lang w:val="en-US" w:eastAsia="zh-CN"/>
        </w:rPr>
        <w:t>采购人</w:t>
      </w:r>
      <w:r>
        <w:rPr>
          <w:rFonts w:hint="eastAsia" w:ascii="仿宋_GB2312" w:hAnsi="仿宋_GB2312" w:eastAsia="仿宋_GB2312" w:cs="仿宋_GB2312"/>
          <w:color w:val="auto"/>
          <w:sz w:val="24"/>
        </w:rPr>
        <w:t>指定地点。</w:t>
      </w:r>
    </w:p>
    <w:p>
      <w:pPr>
        <w:spacing w:line="460" w:lineRule="exact"/>
        <w:ind w:firstLine="480" w:firstLineChars="20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.2若所供货物与合同约定不符，</w:t>
      </w:r>
      <w:r>
        <w:rPr>
          <w:rFonts w:hint="eastAsia" w:ascii="仿宋_GB2312" w:hAnsi="仿宋_GB2312" w:eastAsia="仿宋_GB2312" w:cs="仿宋_GB2312"/>
          <w:color w:val="auto"/>
          <w:sz w:val="24"/>
          <w:highlight w:val="none"/>
          <w:lang w:val="en-US" w:eastAsia="zh-CN"/>
        </w:rPr>
        <w:t>采购人</w:t>
      </w:r>
      <w:r>
        <w:rPr>
          <w:rFonts w:hint="eastAsia" w:ascii="仿宋_GB2312" w:hAnsi="仿宋_GB2312" w:eastAsia="仿宋_GB2312" w:cs="仿宋_GB2312"/>
          <w:color w:val="auto"/>
          <w:sz w:val="24"/>
          <w:highlight w:val="none"/>
        </w:rPr>
        <w:t>有权退货或要求</w:t>
      </w:r>
      <w:r>
        <w:rPr>
          <w:rFonts w:hint="eastAsia" w:ascii="仿宋_GB2312" w:hAnsi="仿宋_GB2312" w:eastAsia="仿宋_GB2312" w:cs="仿宋_GB2312"/>
          <w:color w:val="auto"/>
          <w:sz w:val="24"/>
          <w:highlight w:val="none"/>
          <w:lang w:val="en-US" w:eastAsia="zh-CN"/>
        </w:rPr>
        <w:t>投标人</w:t>
      </w:r>
      <w:r>
        <w:rPr>
          <w:rFonts w:hint="eastAsia" w:ascii="仿宋_GB2312" w:hAnsi="仿宋_GB2312" w:eastAsia="仿宋_GB2312" w:cs="仿宋_GB2312"/>
          <w:color w:val="auto"/>
          <w:sz w:val="24"/>
          <w:highlight w:val="none"/>
        </w:rPr>
        <w:t>进行更换、补齐，因此造成逾期交货的，</w:t>
      </w:r>
      <w:r>
        <w:rPr>
          <w:rFonts w:hint="eastAsia" w:ascii="仿宋_GB2312" w:hAnsi="仿宋_GB2312" w:eastAsia="仿宋_GB2312" w:cs="仿宋_GB2312"/>
          <w:color w:val="auto"/>
          <w:sz w:val="24"/>
          <w:highlight w:val="none"/>
          <w:lang w:val="en-US" w:eastAsia="zh-CN"/>
        </w:rPr>
        <w:t>投标人</w:t>
      </w:r>
      <w:r>
        <w:rPr>
          <w:rFonts w:hint="eastAsia" w:ascii="仿宋_GB2312" w:hAnsi="仿宋_GB2312" w:eastAsia="仿宋_GB2312" w:cs="仿宋_GB2312"/>
          <w:color w:val="auto"/>
          <w:sz w:val="24"/>
          <w:highlight w:val="none"/>
        </w:rPr>
        <w:t>应承担逾期交货的违约责任。</w:t>
      </w:r>
    </w:p>
    <w:p>
      <w:pPr>
        <w:spacing w:line="460" w:lineRule="exact"/>
        <w:ind w:firstLine="480" w:firstLineChars="20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投标人</w:t>
      </w:r>
      <w:r>
        <w:rPr>
          <w:rFonts w:hint="eastAsia" w:ascii="仿宋_GB2312" w:hAnsi="仿宋_GB2312" w:eastAsia="仿宋_GB2312" w:cs="仿宋_GB2312"/>
          <w:color w:val="auto"/>
          <w:sz w:val="24"/>
          <w:highlight w:val="none"/>
        </w:rPr>
        <w:t>应在接到</w:t>
      </w:r>
      <w:r>
        <w:rPr>
          <w:rFonts w:hint="eastAsia" w:ascii="仿宋_GB2312" w:hAnsi="仿宋_GB2312" w:eastAsia="仿宋_GB2312" w:cs="仿宋_GB2312"/>
          <w:color w:val="auto"/>
          <w:sz w:val="24"/>
          <w:highlight w:val="none"/>
          <w:lang w:val="en-US" w:eastAsia="zh-CN"/>
        </w:rPr>
        <w:t>采购人</w:t>
      </w:r>
      <w:r>
        <w:rPr>
          <w:rFonts w:hint="eastAsia" w:ascii="仿宋_GB2312" w:hAnsi="仿宋_GB2312" w:eastAsia="仿宋_GB2312" w:cs="仿宋_GB2312"/>
          <w:color w:val="auto"/>
          <w:sz w:val="24"/>
          <w:highlight w:val="none"/>
        </w:rPr>
        <w:t>要求后7日内予以补救，所产生的费用及法律后果由</w:t>
      </w:r>
      <w:r>
        <w:rPr>
          <w:rFonts w:hint="eastAsia" w:ascii="仿宋_GB2312" w:hAnsi="仿宋_GB2312" w:eastAsia="仿宋_GB2312" w:cs="仿宋_GB2312"/>
          <w:color w:val="auto"/>
          <w:sz w:val="24"/>
          <w:highlight w:val="none"/>
          <w:lang w:val="en-US" w:eastAsia="zh-CN"/>
        </w:rPr>
        <w:t>投标人</w:t>
      </w:r>
      <w:r>
        <w:rPr>
          <w:rFonts w:hint="eastAsia" w:ascii="仿宋_GB2312" w:hAnsi="仿宋_GB2312" w:eastAsia="仿宋_GB2312" w:cs="仿宋_GB2312"/>
          <w:color w:val="auto"/>
          <w:sz w:val="24"/>
          <w:highlight w:val="none"/>
        </w:rPr>
        <w:t>承担。</w:t>
      </w:r>
    </w:p>
    <w:p>
      <w:pPr>
        <w:pStyle w:val="13"/>
        <w:spacing w:before="0" w:beforeAutospacing="0" w:after="0" w:afterAutospacing="0" w:line="440" w:lineRule="exact"/>
        <w:ind w:firstLine="482" w:firstLineChars="200"/>
        <w:jc w:val="both"/>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val="en-US" w:eastAsia="zh-CN"/>
        </w:rPr>
        <w:t>★3.验收标准：</w:t>
      </w:r>
    </w:p>
    <w:p>
      <w:pPr>
        <w:pStyle w:val="13"/>
        <w:spacing w:before="0" w:beforeAutospacing="0" w:after="0" w:afterAutospacing="0" w:line="440" w:lineRule="exact"/>
        <w:ind w:firstLine="480" w:firstLineChars="200"/>
        <w:jc w:val="both"/>
        <w:outlineLvl w:val="9"/>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lang w:val="en-US" w:eastAsia="zh-CN"/>
        </w:rPr>
        <w:t>3</w:t>
      </w:r>
      <w:r>
        <w:rPr>
          <w:rFonts w:hint="eastAsia" w:ascii="仿宋" w:hAnsi="仿宋" w:eastAsia="仿宋" w:cs="仿宋"/>
          <w:snapToGrid w:val="0"/>
          <w:color w:val="auto"/>
          <w:highlight w:val="none"/>
        </w:rPr>
        <w:t>.1设备安装、调试完成后，由采购人组织验收，验收合格后，采购人及中标人双方共同签署验收文件。</w:t>
      </w:r>
    </w:p>
    <w:p>
      <w:pPr>
        <w:pStyle w:val="13"/>
        <w:spacing w:before="0" w:beforeAutospacing="0" w:after="0" w:afterAutospacing="0" w:line="440" w:lineRule="exact"/>
        <w:ind w:firstLine="480" w:firstLineChars="200"/>
        <w:jc w:val="both"/>
        <w:outlineLvl w:val="9"/>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lang w:val="en-US" w:eastAsia="zh-CN"/>
        </w:rPr>
        <w:t>3</w:t>
      </w:r>
      <w:r>
        <w:rPr>
          <w:rFonts w:hint="eastAsia" w:ascii="仿宋" w:hAnsi="仿宋" w:eastAsia="仿宋" w:cs="仿宋"/>
          <w:snapToGrid w:val="0"/>
          <w:color w:val="auto"/>
          <w:highlight w:val="none"/>
        </w:rPr>
        <w:t>.2设备到货：货物到货前应将安装环境要求书面通知给用户，并与用户协商足够准备时间。到货时需按用户要求免费将设备在双方商定的时间运到指定安装位置，并由安装工程师当场进行开箱检查。</w:t>
      </w:r>
    </w:p>
    <w:p>
      <w:pPr>
        <w:pStyle w:val="13"/>
        <w:spacing w:before="0" w:beforeAutospacing="0" w:after="0" w:afterAutospacing="0" w:line="440" w:lineRule="exact"/>
        <w:ind w:firstLine="480" w:firstLineChars="200"/>
        <w:jc w:val="both"/>
        <w:outlineLvl w:val="9"/>
        <w:rPr>
          <w:rFonts w:hint="eastAsia" w:ascii="仿宋" w:hAnsi="仿宋" w:eastAsia="仿宋" w:cs="仿宋"/>
          <w:snapToGrid w:val="0"/>
          <w:color w:val="auto"/>
          <w:highlight w:val="none"/>
          <w:lang w:val="en-US" w:eastAsia="zh-CN"/>
        </w:rPr>
      </w:pPr>
      <w:r>
        <w:rPr>
          <w:rFonts w:hint="eastAsia" w:ascii="仿宋" w:hAnsi="仿宋" w:eastAsia="仿宋" w:cs="仿宋"/>
          <w:snapToGrid w:val="0"/>
          <w:color w:val="auto"/>
          <w:highlight w:val="none"/>
          <w:lang w:val="en-US" w:eastAsia="zh-CN"/>
        </w:rPr>
        <w:t>3</w:t>
      </w:r>
      <w:r>
        <w:rPr>
          <w:rFonts w:hint="eastAsia" w:ascii="仿宋" w:hAnsi="仿宋" w:eastAsia="仿宋" w:cs="仿宋"/>
          <w:snapToGrid w:val="0"/>
          <w:color w:val="auto"/>
          <w:highlight w:val="none"/>
        </w:rPr>
        <w:t>.3安装调试：设备经开箱检查确认一切正常后，由安装工程师免费执行安装调试直至达到验收指标（以技术规格要求指标为验收指标）。由用户单位进行使用性能方面的验收。设备的性能应符合投标人应答文件中承诺的技术指标，所有指标验收必须由用户确认。</w:t>
      </w:r>
    </w:p>
    <w:bookmarkEnd w:id="291"/>
    <w:p>
      <w:pPr>
        <w:pStyle w:val="13"/>
        <w:spacing w:before="0" w:beforeAutospacing="0" w:after="0" w:afterAutospacing="0" w:line="440" w:lineRule="exact"/>
        <w:ind w:firstLine="482" w:firstLineChars="200"/>
        <w:jc w:val="both"/>
        <w:outlineLvl w:val="9"/>
        <w:rPr>
          <w:rFonts w:hint="eastAsia" w:ascii="仿宋" w:hAnsi="仿宋" w:eastAsia="仿宋" w:cs="仿宋"/>
          <w:b/>
          <w:color w:val="000000" w:themeColor="text1"/>
          <w:kern w:val="2"/>
          <w:highlight w:val="none"/>
          <w14:textFill>
            <w14:solidFill>
              <w14:schemeClr w14:val="tx1"/>
            </w14:solidFill>
          </w14:textFill>
        </w:rPr>
      </w:pPr>
    </w:p>
    <w:p>
      <w:pPr>
        <w:pStyle w:val="13"/>
        <w:spacing w:before="0" w:beforeAutospacing="0" w:after="0" w:afterAutospacing="0" w:line="440" w:lineRule="exact"/>
        <w:ind w:firstLine="482" w:firstLineChars="200"/>
        <w:jc w:val="both"/>
        <w:outlineLvl w:val="9"/>
        <w:rPr>
          <w:rFonts w:hint="eastAsia" w:ascii="仿宋" w:hAnsi="仿宋" w:eastAsia="仿宋" w:cs="仿宋"/>
          <w:b/>
          <w:color w:val="000000" w:themeColor="text1"/>
          <w:kern w:val="2"/>
          <w:highlight w:val="none"/>
          <w14:textFill>
            <w14:solidFill>
              <w14:schemeClr w14:val="tx1"/>
            </w14:solidFill>
          </w14:textFill>
        </w:rPr>
      </w:pPr>
      <w:r>
        <w:rPr>
          <w:rFonts w:hint="eastAsia" w:ascii="仿宋" w:hAnsi="仿宋" w:eastAsia="仿宋" w:cs="仿宋"/>
          <w:b/>
          <w:color w:val="000000" w:themeColor="text1"/>
          <w:kern w:val="2"/>
          <w:highlight w:val="none"/>
          <w14:textFill>
            <w14:solidFill>
              <w14:schemeClr w14:val="tx1"/>
            </w14:solidFill>
          </w14:textFill>
        </w:rPr>
        <w:t>注：以上如有加“★”的条款内容为本项目的实质性技术或服务要求，如不满足，按无效投标处理。</w:t>
      </w:r>
    </w:p>
    <w:bookmarkEnd w:id="290"/>
    <w:p>
      <w:pPr>
        <w:outlineLvl w:val="9"/>
        <w:rPr>
          <w:rFonts w:ascii="仿宋" w:hAnsi="仿宋" w:eastAsia="仿宋" w:cs="仿宋"/>
          <w:b/>
          <w:bCs/>
          <w:color w:val="000000" w:themeColor="text1"/>
          <w:sz w:val="28"/>
          <w:szCs w:val="28"/>
          <w:highlight w:val="none"/>
          <w:shd w:val="clear" w:color="auto" w:fill="FFFFFF" w:themeFill="background1"/>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FFFFFF" w:themeFill="background1"/>
          <w14:textFill>
            <w14:solidFill>
              <w14:schemeClr w14:val="tx1"/>
            </w14:solidFill>
          </w14:textFill>
        </w:rPr>
        <w:br w:type="page"/>
      </w:r>
    </w:p>
    <w:p>
      <w:pPr>
        <w:keepNext/>
        <w:keepLines/>
        <w:spacing w:before="100" w:after="100" w:line="480" w:lineRule="auto"/>
        <w:ind w:left="420" w:hanging="420"/>
        <w:jc w:val="center"/>
        <w:outlineLvl w:val="0"/>
        <w:rPr>
          <w:rFonts w:ascii="仿宋" w:hAnsi="仿宋" w:eastAsia="仿宋" w:cs="仿宋"/>
          <w:b/>
          <w:bCs/>
          <w:color w:val="000000" w:themeColor="text1"/>
          <w:kern w:val="44"/>
          <w:sz w:val="36"/>
          <w:szCs w:val="36"/>
          <w:highlight w:val="none"/>
          <w14:textFill>
            <w14:solidFill>
              <w14:schemeClr w14:val="tx1"/>
            </w14:solidFill>
          </w14:textFill>
        </w:rPr>
      </w:pPr>
      <w:bookmarkStart w:id="307" w:name="_Toc9067"/>
      <w:bookmarkStart w:id="308" w:name="_Toc16917"/>
      <w:bookmarkStart w:id="309" w:name="_Toc3273"/>
      <w:r>
        <w:rPr>
          <w:rFonts w:hint="eastAsia" w:ascii="仿宋" w:hAnsi="仿宋" w:eastAsia="仿宋" w:cs="仿宋"/>
          <w:b/>
          <w:bCs/>
          <w:color w:val="000000" w:themeColor="text1"/>
          <w:kern w:val="44"/>
          <w:sz w:val="36"/>
          <w:szCs w:val="36"/>
          <w:highlight w:val="none"/>
          <w14:textFill>
            <w14:solidFill>
              <w14:schemeClr w14:val="tx1"/>
            </w14:solidFill>
          </w14:textFill>
        </w:rPr>
        <w:t>第四章 资格审查</w:t>
      </w:r>
      <w:bookmarkEnd w:id="286"/>
      <w:bookmarkEnd w:id="287"/>
      <w:bookmarkEnd w:id="288"/>
      <w:bookmarkEnd w:id="307"/>
      <w:bookmarkEnd w:id="308"/>
      <w:bookmarkEnd w:id="309"/>
    </w:p>
    <w:p>
      <w:pPr>
        <w:keepNext/>
        <w:keepLines/>
        <w:spacing w:before="60" w:after="60"/>
        <w:ind w:left="420" w:hanging="420"/>
        <w:outlineLvl w:val="9"/>
        <w:rPr>
          <w:rFonts w:ascii="仿宋" w:hAnsi="仿宋" w:eastAsia="仿宋" w:cs="仿宋"/>
          <w:b/>
          <w:bCs/>
          <w:color w:val="000000" w:themeColor="text1"/>
          <w:sz w:val="28"/>
          <w:szCs w:val="28"/>
          <w:highlight w:val="none"/>
          <w:lang w:val="zh-CN"/>
          <w14:textFill>
            <w14:solidFill>
              <w14:schemeClr w14:val="tx1"/>
            </w14:solidFill>
          </w14:textFill>
        </w:rPr>
      </w:pPr>
      <w:bookmarkStart w:id="310" w:name="_Toc17619"/>
      <w:r>
        <w:rPr>
          <w:rFonts w:hint="eastAsia" w:ascii="仿宋" w:hAnsi="仿宋" w:eastAsia="仿宋" w:cs="仿宋"/>
          <w:b/>
          <w:bCs/>
          <w:color w:val="000000" w:themeColor="text1"/>
          <w:sz w:val="28"/>
          <w:szCs w:val="28"/>
          <w:highlight w:val="none"/>
          <w14:textFill>
            <w14:solidFill>
              <w14:schemeClr w14:val="tx1"/>
            </w14:solidFill>
          </w14:textFill>
        </w:rPr>
        <w:t>一、资格审查程序</w:t>
      </w:r>
      <w:bookmarkEnd w:id="310"/>
    </w:p>
    <w:p>
      <w:pPr>
        <w:pStyle w:val="19"/>
        <w:spacing w:line="400" w:lineRule="exact"/>
        <w:ind w:firstLine="482"/>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val="en-US"/>
          <w14:textFill>
            <w14:solidFill>
              <w14:schemeClr w14:val="tx1"/>
            </w14:solidFill>
          </w14:textFill>
        </w:rPr>
        <w:t xml:space="preserve">1 开标结束后，采购人或采购代理机构将根据《资格审查要求》中的规定，对投标人进行资格审查，并形成资格审查结果。 </w:t>
      </w:r>
    </w:p>
    <w:p>
      <w:pPr>
        <w:pStyle w:val="19"/>
        <w:spacing w:line="400" w:lineRule="exact"/>
        <w:ind w:firstLine="482"/>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val="en-US"/>
          <w14:textFill>
            <w14:solidFill>
              <w14:schemeClr w14:val="tx1"/>
            </w14:solidFill>
          </w14:textFill>
        </w:rPr>
        <w:t>2 投标人《资格证明文件》有任何一项不符合《资格审查要求》的，资格审查不合格，其</w:t>
      </w:r>
      <w:r>
        <w:rPr>
          <w:rFonts w:hint="eastAsia" w:ascii="仿宋" w:hAnsi="仿宋" w:eastAsia="仿宋" w:cs="仿宋"/>
          <w:b/>
          <w:bCs/>
          <w:color w:val="000000" w:themeColor="text1"/>
          <w:szCs w:val="24"/>
          <w:highlight w:val="none"/>
          <w:lang w:val="en-US"/>
          <w14:textFill>
            <w14:solidFill>
              <w14:schemeClr w14:val="tx1"/>
            </w14:solidFill>
          </w14:textFill>
        </w:rPr>
        <w:t>投标无效</w:t>
      </w:r>
      <w:r>
        <w:rPr>
          <w:rFonts w:hint="eastAsia" w:ascii="仿宋" w:hAnsi="仿宋" w:eastAsia="仿宋" w:cs="仿宋"/>
          <w:color w:val="000000" w:themeColor="text1"/>
          <w:szCs w:val="24"/>
          <w:highlight w:val="none"/>
          <w:lang w:val="en-US"/>
          <w14:textFill>
            <w14:solidFill>
              <w14:schemeClr w14:val="tx1"/>
            </w14:solidFill>
          </w14:textFill>
        </w:rPr>
        <w:t>。</w:t>
      </w:r>
    </w:p>
    <w:p>
      <w:pPr>
        <w:pStyle w:val="19"/>
        <w:spacing w:line="400" w:lineRule="exact"/>
        <w:ind w:firstLine="482"/>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val="en-US"/>
          <w14:textFill>
            <w14:solidFill>
              <w14:schemeClr w14:val="tx1"/>
            </w14:solidFill>
          </w14:textFill>
        </w:rPr>
        <w:t xml:space="preserve">3 资格审查合格的投标人不足3家的，不进行评标。 </w:t>
      </w:r>
    </w:p>
    <w:p>
      <w:pPr>
        <w:keepNext/>
        <w:keepLines/>
        <w:spacing w:before="60" w:after="60"/>
        <w:ind w:left="420" w:hanging="420"/>
        <w:outlineLvl w:val="9"/>
        <w:rPr>
          <w:rFonts w:ascii="仿宋" w:hAnsi="仿宋" w:eastAsia="仿宋" w:cs="仿宋"/>
          <w:b/>
          <w:bCs/>
          <w:color w:val="000000" w:themeColor="text1"/>
          <w:sz w:val="28"/>
          <w:szCs w:val="28"/>
          <w:highlight w:val="none"/>
          <w14:textFill>
            <w14:solidFill>
              <w14:schemeClr w14:val="tx1"/>
            </w14:solidFill>
          </w14:textFill>
        </w:rPr>
      </w:pPr>
      <w:bookmarkStart w:id="311" w:name="_Toc5337"/>
      <w:r>
        <w:rPr>
          <w:rFonts w:hint="eastAsia" w:ascii="仿宋" w:hAnsi="仿宋" w:eastAsia="仿宋" w:cs="仿宋"/>
          <w:b/>
          <w:bCs/>
          <w:color w:val="000000" w:themeColor="text1"/>
          <w:sz w:val="28"/>
          <w:szCs w:val="28"/>
          <w:highlight w:val="none"/>
          <w14:textFill>
            <w14:solidFill>
              <w14:schemeClr w14:val="tx1"/>
            </w14:solidFill>
          </w14:textFill>
        </w:rPr>
        <w:t>二、资格审查要求</w:t>
      </w:r>
      <w:bookmarkEnd w:id="311"/>
    </w:p>
    <w:tbl>
      <w:tblPr>
        <w:tblStyle w:val="1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58"/>
        <w:gridCol w:w="2006"/>
        <w:gridCol w:w="519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8" w:type="dxa"/>
            <w:shd w:val="clear" w:color="auto" w:fill="D8D8D8" w:themeFill="background1" w:themeFillShade="D9"/>
            <w:vAlign w:val="center"/>
          </w:tcPr>
          <w:p>
            <w:pPr>
              <w:pStyle w:val="20"/>
              <w:jc w:val="center"/>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序号</w:t>
            </w:r>
          </w:p>
        </w:tc>
        <w:tc>
          <w:tcPr>
            <w:tcW w:w="2006" w:type="dxa"/>
            <w:shd w:val="clear" w:color="auto" w:fill="D8D8D8" w:themeFill="background1" w:themeFillShade="D9"/>
            <w:vAlign w:val="center"/>
          </w:tcPr>
          <w:p>
            <w:pPr>
              <w:pStyle w:val="20"/>
              <w:jc w:val="center"/>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审查因素</w:t>
            </w:r>
          </w:p>
        </w:tc>
        <w:tc>
          <w:tcPr>
            <w:tcW w:w="5195" w:type="dxa"/>
            <w:shd w:val="clear" w:color="auto" w:fill="D8D8D8" w:themeFill="background1" w:themeFillShade="D9"/>
            <w:vAlign w:val="center"/>
          </w:tcPr>
          <w:p>
            <w:pPr>
              <w:pStyle w:val="20"/>
              <w:jc w:val="center"/>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审查内容</w:t>
            </w:r>
          </w:p>
        </w:tc>
        <w:tc>
          <w:tcPr>
            <w:tcW w:w="1500" w:type="dxa"/>
            <w:shd w:val="clear" w:color="auto" w:fill="D8D8D8" w:themeFill="background1" w:themeFillShade="D9"/>
            <w:vAlign w:val="center"/>
          </w:tcPr>
          <w:p>
            <w:pPr>
              <w:pStyle w:val="20"/>
              <w:jc w:val="center"/>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8"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14:textFill>
                  <w14:solidFill>
                    <w14:schemeClr w14:val="tx1"/>
                  </w14:solidFill>
                </w14:textFill>
              </w:rPr>
              <w:t>1</w:t>
            </w:r>
          </w:p>
        </w:tc>
        <w:tc>
          <w:tcPr>
            <w:tcW w:w="2006"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34" w:leftChars="0" w:right="108" w:rightChars="0" w:hanging="15" w:firstLineChars="0"/>
              <w:jc w:val="center"/>
              <w:textAlignment w:val="baseline"/>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2"/>
                <w:sz w:val="21"/>
                <w:szCs w:val="21"/>
                <w:highlight w:val="none"/>
                <w:lang w:val="en-US" w:eastAsia="zh-CN"/>
                <w14:textFill>
                  <w14:solidFill>
                    <w14:schemeClr w14:val="tx1"/>
                  </w14:solidFill>
                </w14:textFill>
              </w:rPr>
              <w:t>独立承担民事责任的能力</w:t>
            </w:r>
          </w:p>
        </w:tc>
        <w:tc>
          <w:tcPr>
            <w:tcW w:w="5195"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pacing w:val="3"/>
                <w:sz w:val="21"/>
                <w:szCs w:val="21"/>
                <w:highlight w:val="none"/>
                <w14:textFill>
                  <w14:solidFill>
                    <w14:schemeClr w14:val="tx1"/>
                  </w14:solidFill>
                </w14:textFill>
              </w:rPr>
            </w:pPr>
            <w:bookmarkStart w:id="312" w:name="OLE_LINK25"/>
            <w:r>
              <w:rPr>
                <w:rFonts w:hint="eastAsia" w:ascii="仿宋" w:hAnsi="仿宋" w:eastAsia="仿宋" w:cs="仿宋"/>
                <w:color w:val="000000" w:themeColor="text1"/>
                <w:spacing w:val="3"/>
                <w:sz w:val="21"/>
                <w:szCs w:val="21"/>
                <w:highlight w:val="none"/>
                <w14:textFill>
                  <w14:solidFill>
                    <w14:schemeClr w14:val="tx1"/>
                  </w14:solidFill>
                </w14:textFill>
              </w:rPr>
              <w:t>供应商为企业（包括合伙企业）的，应提供有效的“营业执照”；</w:t>
            </w:r>
          </w:p>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pacing w:val="3"/>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供应商为事业单位的，应提供有效的“事业单位法人证书”；</w:t>
            </w:r>
          </w:p>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pacing w:val="3"/>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供应商是非企业机构的，应提供有效的“执业许可证”、“登记证书”等证明文件；</w:t>
            </w:r>
          </w:p>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pacing w:val="3"/>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供应商是个体工商户的，应提供有效的“个体工商户营业执照”；</w:t>
            </w:r>
          </w:p>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供应商是自然人的，应提供有效的自然人身份证明。</w:t>
            </w:r>
            <w:bookmarkEnd w:id="312"/>
          </w:p>
        </w:tc>
        <w:tc>
          <w:tcPr>
            <w:tcW w:w="1500" w:type="dxa"/>
            <w:shd w:val="clear" w:color="auto" w:fill="auto"/>
            <w:vAlign w:val="center"/>
          </w:tcPr>
          <w:p>
            <w:pPr>
              <w:pStyle w:val="20"/>
              <w:spacing w:line="280" w:lineRule="exact"/>
              <w:jc w:val="center"/>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提供证明文</w:t>
            </w:r>
            <w:r>
              <w:rPr>
                <w:rFonts w:hint="eastAsia" w:ascii="仿宋" w:hAnsi="仿宋" w:eastAsia="仿宋" w:cs="仿宋"/>
                <w:color w:val="000000" w:themeColor="text1"/>
                <w:spacing w:val="-2"/>
                <w:sz w:val="21"/>
                <w:szCs w:val="21"/>
                <w:highlight w:val="none"/>
                <w14:textFill>
                  <w14:solidFill>
                    <w14:schemeClr w14:val="tx1"/>
                  </w14:solidFill>
                </w14:textFill>
              </w:rPr>
              <w:t>件的</w:t>
            </w: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扫描</w:t>
            </w:r>
            <w:r>
              <w:rPr>
                <w:rFonts w:hint="eastAsia" w:ascii="仿宋" w:hAnsi="仿宋" w:eastAsia="仿宋" w:cs="仿宋"/>
                <w:color w:val="000000" w:themeColor="text1"/>
                <w:spacing w:val="-2"/>
                <w:sz w:val="21"/>
                <w:szCs w:val="21"/>
                <w:highlight w:val="none"/>
                <w14:textFill>
                  <w14:solidFill>
                    <w14:schemeClr w14:val="tx1"/>
                  </w14:solidFill>
                </w14:textFill>
              </w:rPr>
              <w:t>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8"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2</w:t>
            </w:r>
          </w:p>
        </w:tc>
        <w:tc>
          <w:tcPr>
            <w:tcW w:w="2006"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4" w:leftChars="0" w:right="166" w:rightChars="0"/>
              <w:jc w:val="center"/>
              <w:textAlignment w:val="baseline"/>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2"/>
                <w:sz w:val="21"/>
                <w:szCs w:val="21"/>
                <w:highlight w:val="none"/>
                <w14:textFill>
                  <w14:solidFill>
                    <w14:schemeClr w14:val="tx1"/>
                  </w14:solidFill>
                </w14:textFill>
              </w:rPr>
              <w:t>具有良好的商业信誉和健全的财务会计制度</w:t>
            </w:r>
          </w:p>
        </w:tc>
        <w:tc>
          <w:tcPr>
            <w:tcW w:w="5195"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pacing w:val="-6"/>
                <w:sz w:val="21"/>
                <w:szCs w:val="21"/>
                <w:highlight w:val="none"/>
                <w14:textFill>
                  <w14:solidFill>
                    <w14:schemeClr w14:val="tx1"/>
                  </w14:solidFill>
                </w14:textFill>
              </w:rPr>
            </w:pPr>
            <w:bookmarkStart w:id="313" w:name="OLE_LINK26"/>
            <w:r>
              <w:rPr>
                <w:rFonts w:hint="eastAsia" w:ascii="仿宋" w:hAnsi="仿宋" w:eastAsia="仿宋" w:cs="仿宋"/>
                <w:color w:val="000000" w:themeColor="text1"/>
                <w:spacing w:val="3"/>
                <w:sz w:val="21"/>
                <w:szCs w:val="21"/>
                <w:highlight w:val="none"/>
                <w:lang w:val="en-US" w:eastAsia="zh-CN"/>
                <w14:textFill>
                  <w14:solidFill>
                    <w14:schemeClr w14:val="tx1"/>
                  </w14:solidFill>
                </w14:textFill>
              </w:rPr>
              <w:t>供应商</w:t>
            </w:r>
            <w:r>
              <w:rPr>
                <w:rFonts w:hint="eastAsia" w:ascii="仿宋" w:hAnsi="仿宋" w:eastAsia="仿宋" w:cs="仿宋"/>
                <w:color w:val="000000" w:themeColor="text1"/>
                <w:spacing w:val="3"/>
                <w:sz w:val="21"/>
                <w:szCs w:val="21"/>
                <w:highlight w:val="none"/>
                <w14:textFill>
                  <w14:solidFill>
                    <w14:schemeClr w14:val="tx1"/>
                  </w14:solidFill>
                </w14:textFill>
              </w:rPr>
              <w:t>是法人的，应提供</w:t>
            </w:r>
            <w:r>
              <w:rPr>
                <w:rFonts w:hint="eastAsia" w:ascii="仿宋" w:hAnsi="仿宋" w:eastAsia="仿宋" w:cs="仿宋"/>
                <w:color w:val="000000" w:themeColor="text1"/>
                <w:spacing w:val="3"/>
                <w:sz w:val="21"/>
                <w:szCs w:val="21"/>
                <w:highlight w:val="none"/>
                <w:lang w:val="en-US" w:eastAsia="zh-CN"/>
                <w14:textFill>
                  <w14:solidFill>
                    <w14:schemeClr w14:val="tx1"/>
                  </w14:solidFill>
                </w14:textFill>
              </w:rPr>
              <w:t>上年度（2024年或2025年）</w:t>
            </w:r>
            <w:r>
              <w:rPr>
                <w:rFonts w:hint="eastAsia" w:ascii="仿宋" w:hAnsi="仿宋" w:eastAsia="仿宋" w:cs="仿宋"/>
                <w:color w:val="000000" w:themeColor="text1"/>
                <w:spacing w:val="3"/>
                <w:sz w:val="21"/>
                <w:szCs w:val="21"/>
                <w:highlight w:val="none"/>
                <w14:textFill>
                  <w14:solidFill>
                    <w14:schemeClr w14:val="tx1"/>
                  </w14:solidFill>
                </w14:textFill>
              </w:rPr>
              <w:t>经审计的财务报告，或银行出具的资信证明。其他组织和自然人，没有经审计的财务报告，提供银行出具的资信证明。</w:t>
            </w:r>
            <w:bookmarkEnd w:id="313"/>
          </w:p>
        </w:tc>
        <w:tc>
          <w:tcPr>
            <w:tcW w:w="1500" w:type="dxa"/>
            <w:shd w:val="clear" w:color="auto" w:fill="auto"/>
            <w:vAlign w:val="center"/>
          </w:tcPr>
          <w:p>
            <w:pPr>
              <w:pStyle w:val="20"/>
              <w:spacing w:line="280" w:lineRule="exact"/>
              <w:jc w:val="center"/>
              <w:outlineLvl w:val="9"/>
              <w:rPr>
                <w:rFonts w:hint="eastAsia" w:ascii="仿宋" w:hAnsi="仿宋" w:eastAsia="仿宋" w:cs="仿宋"/>
                <w:color w:val="000000" w:themeColor="text1"/>
                <w:spacing w:val="-2"/>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8"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3</w:t>
            </w:r>
          </w:p>
        </w:tc>
        <w:tc>
          <w:tcPr>
            <w:tcW w:w="2006" w:type="dxa"/>
            <w:shd w:val="clear" w:color="auto" w:fill="auto"/>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93" w:leftChars="0" w:right="62" w:rightChars="0" w:hanging="93" w:hangingChars="50"/>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napToGrid w:val="0"/>
                <w:color w:val="000000" w:themeColor="text1"/>
                <w:spacing w:val="-12"/>
                <w:kern w:val="0"/>
                <w:sz w:val="21"/>
                <w:szCs w:val="21"/>
                <w:highlight w:val="none"/>
                <w:lang w:val="en-US" w:eastAsia="en-US" w:bidi="ar-SA"/>
                <w14:textFill>
                  <w14:solidFill>
                    <w14:schemeClr w14:val="tx1"/>
                  </w14:solidFill>
                </w14:textFill>
              </w:rPr>
              <w:t>具有履行合同所必需的设备和专业技术能力</w:t>
            </w:r>
          </w:p>
        </w:tc>
        <w:tc>
          <w:tcPr>
            <w:tcW w:w="5195" w:type="dxa"/>
            <w:shd w:val="clear" w:color="auto" w:fill="auto"/>
            <w:vAlign w:val="center"/>
          </w:tcPr>
          <w:p>
            <w:pPr>
              <w:pStyle w:val="34"/>
              <w:pageBreakBefore w:val="0"/>
              <w:widowControl/>
              <w:shd w:val="clear"/>
              <w:kinsoku/>
              <w:wordWrap/>
              <w:overflowPunct/>
              <w:topLinePunct w:val="0"/>
              <w:autoSpaceDE/>
              <w:autoSpaceDN/>
              <w:bidi w:val="0"/>
              <w:snapToGrid/>
              <w:spacing w:before="0" w:after="0" w:line="240" w:lineRule="auto"/>
              <w:jc w:val="left"/>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履行合同所必须的设备和专业技术能力的证明材料或声明</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w:t>
            </w:r>
          </w:p>
        </w:tc>
        <w:tc>
          <w:tcPr>
            <w:tcW w:w="1500" w:type="dxa"/>
            <w:shd w:val="clear" w:color="auto" w:fill="auto"/>
            <w:vAlign w:val="center"/>
          </w:tcPr>
          <w:p>
            <w:pPr>
              <w:pStyle w:val="20"/>
              <w:spacing w:line="280" w:lineRule="exact"/>
              <w:jc w:val="center"/>
              <w:outlineLvl w:val="9"/>
              <w:rPr>
                <w:rFonts w:hint="eastAsia" w:ascii="仿宋" w:hAnsi="仿宋" w:eastAsia="仿宋" w:cs="仿宋"/>
                <w:color w:val="000000" w:themeColor="text1"/>
                <w:spacing w:val="-2"/>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8"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4</w:t>
            </w:r>
          </w:p>
        </w:tc>
        <w:tc>
          <w:tcPr>
            <w:tcW w:w="2006" w:type="dxa"/>
            <w:shd w:val="clear" w:color="auto" w:fill="auto"/>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101" w:leftChars="0" w:right="62" w:rightChars="0" w:hanging="101" w:hangingChars="50"/>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napToGrid w:val="0"/>
                <w:color w:val="000000" w:themeColor="text1"/>
                <w:spacing w:val="-4"/>
                <w:kern w:val="0"/>
                <w:sz w:val="21"/>
                <w:szCs w:val="21"/>
                <w:highlight w:val="none"/>
                <w:lang w:val="en-US" w:eastAsia="en-US" w:bidi="ar-SA"/>
                <w14:textFill>
                  <w14:solidFill>
                    <w14:schemeClr w14:val="tx1"/>
                  </w14:solidFill>
                </w14:textFill>
              </w:rPr>
              <w:t>具有依法缴纳税收和社会保障资金的良好记录</w:t>
            </w:r>
          </w:p>
        </w:tc>
        <w:tc>
          <w:tcPr>
            <w:tcW w:w="5195" w:type="dxa"/>
            <w:shd w:val="clear" w:color="auto" w:fill="auto"/>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right="62" w:rightChars="0"/>
              <w:jc w:val="left"/>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依法缴纳税收的证明材料：本项目投标截止时间前6个月内（至少提供1个月）缴纳税收的凭据；</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依法缴纳社会保障资金的证明材料：本项目投标截止时间前6个月内（至少提供1个月）缴纳社会保险的凭据；</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为其他组织或自然人的，也需要按此项规定提供缴纳税收的凭据和交纳社会保险的凭据。如</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的社会保险为委托第三方代缴，还需同时提供</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与第三方服务机构签署的服务合同（合同中应明确写明第三方为供应商代缴其社会保险）</w:t>
            </w:r>
          </w:p>
        </w:tc>
        <w:tc>
          <w:tcPr>
            <w:tcW w:w="1500" w:type="dxa"/>
            <w:shd w:val="clear" w:color="auto" w:fill="auto"/>
            <w:vAlign w:val="center"/>
          </w:tcPr>
          <w:p>
            <w:pPr>
              <w:pStyle w:val="20"/>
              <w:spacing w:line="280" w:lineRule="exact"/>
              <w:jc w:val="center"/>
              <w:outlineLvl w:val="9"/>
              <w:rPr>
                <w:rFonts w:hint="eastAsia" w:ascii="仿宋" w:hAnsi="仿宋" w:eastAsia="仿宋" w:cs="仿宋"/>
                <w:color w:val="000000" w:themeColor="text1"/>
                <w:spacing w:val="-2"/>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8"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5</w:t>
            </w:r>
          </w:p>
        </w:tc>
        <w:tc>
          <w:tcPr>
            <w:tcW w:w="2006" w:type="dxa"/>
            <w:shd w:val="clear" w:color="auto" w:fill="auto"/>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101" w:leftChars="0" w:right="62" w:rightChars="0" w:hanging="101" w:hangingChars="50"/>
              <w:jc w:val="center"/>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napToGrid w:val="0"/>
                <w:color w:val="000000" w:themeColor="text1"/>
                <w:spacing w:val="-4"/>
                <w:kern w:val="0"/>
                <w:sz w:val="21"/>
                <w:szCs w:val="21"/>
                <w:highlight w:val="none"/>
                <w:lang w:val="en-US" w:eastAsia="en-US" w:bidi="ar-SA"/>
                <w14:textFill>
                  <w14:solidFill>
                    <w14:schemeClr w14:val="tx1"/>
                  </w14:solidFill>
                </w14:textFill>
              </w:rPr>
              <w:t>参加政府采购活动前三年内，在经营活动中没有重大违法记录</w:t>
            </w:r>
          </w:p>
        </w:tc>
        <w:tc>
          <w:tcPr>
            <w:tcW w:w="5195" w:type="dxa"/>
            <w:shd w:val="clear" w:color="auto" w:fill="auto"/>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108" w:leftChars="0" w:right="62" w:rightChars="0" w:hanging="108" w:hangingChars="50"/>
              <w:jc w:val="left"/>
              <w:textAlignment w:val="auto"/>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参加政府采购活动前3年内在经营活动中没有重大违法记录的书面声明</w:t>
            </w:r>
          </w:p>
        </w:tc>
        <w:tc>
          <w:tcPr>
            <w:tcW w:w="1500" w:type="dxa"/>
            <w:shd w:val="clear" w:color="auto" w:fill="auto"/>
            <w:vAlign w:val="center"/>
          </w:tcPr>
          <w:p>
            <w:pPr>
              <w:pStyle w:val="20"/>
              <w:spacing w:line="280" w:lineRule="exact"/>
              <w:jc w:val="center"/>
              <w:outlineLvl w:val="9"/>
              <w:rPr>
                <w:rFonts w:hint="eastAsia" w:ascii="仿宋" w:hAnsi="仿宋" w:eastAsia="仿宋" w:cs="仿宋"/>
                <w:color w:val="000000" w:themeColor="text1"/>
                <w:spacing w:val="-2"/>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8"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6</w:t>
            </w:r>
          </w:p>
        </w:tc>
        <w:tc>
          <w:tcPr>
            <w:tcW w:w="2006"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1" w:leftChars="0" w:right="105" w:rightChars="0" w:firstLine="1" w:firstLineChars="0"/>
              <w:jc w:val="center"/>
              <w:textAlignment w:val="baseline"/>
              <w:outlineLvl w:val="9"/>
              <w:rPr>
                <w:rFonts w:hint="eastAsia" w:ascii="仿宋" w:hAnsi="仿宋" w:eastAsia="仿宋" w:cs="仿宋"/>
                <w:color w:val="000000" w:themeColor="text1"/>
                <w:kern w:val="0"/>
                <w:sz w:val="21"/>
                <w:szCs w:val="21"/>
                <w:highlight w:val="none"/>
                <w:lang w:bidi="ar"/>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法律、行政法规</w:t>
            </w:r>
            <w:r>
              <w:rPr>
                <w:rFonts w:hint="eastAsia" w:ascii="仿宋" w:hAnsi="仿宋" w:eastAsia="仿宋" w:cs="仿宋"/>
                <w:color w:val="000000" w:themeColor="text1"/>
                <w:spacing w:val="36"/>
                <w:sz w:val="21"/>
                <w:szCs w:val="21"/>
                <w:highlight w:val="none"/>
                <w14:textFill>
                  <w14:solidFill>
                    <w14:schemeClr w14:val="tx1"/>
                  </w14:solidFill>
                </w14:textFill>
              </w:rPr>
              <w:t>规定的其他条</w:t>
            </w:r>
            <w:r>
              <w:rPr>
                <w:rFonts w:hint="eastAsia" w:ascii="仿宋" w:hAnsi="仿宋" w:eastAsia="仿宋" w:cs="仿宋"/>
                <w:color w:val="000000" w:themeColor="text1"/>
                <w:sz w:val="21"/>
                <w:szCs w:val="21"/>
                <w:highlight w:val="none"/>
                <w14:textFill>
                  <w14:solidFill>
                    <w14:schemeClr w14:val="tx1"/>
                  </w14:solidFill>
                </w14:textFill>
              </w:rPr>
              <w:t>件</w:t>
            </w:r>
          </w:p>
        </w:tc>
        <w:tc>
          <w:tcPr>
            <w:tcW w:w="5195"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kern w:val="0"/>
                <w:sz w:val="21"/>
                <w:szCs w:val="21"/>
                <w:highlight w:val="none"/>
                <w:lang w:bidi="ar"/>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法律、行政法规规定的其他条件</w:t>
            </w:r>
          </w:p>
        </w:tc>
        <w:tc>
          <w:tcPr>
            <w:tcW w:w="1500" w:type="dxa"/>
            <w:shd w:val="clear" w:color="auto" w:fill="auto"/>
            <w:vAlign w:val="center"/>
          </w:tcPr>
          <w:p>
            <w:pPr>
              <w:pStyle w:val="20"/>
              <w:spacing w:line="280" w:lineRule="exact"/>
              <w:jc w:val="center"/>
              <w:outlineLvl w:val="9"/>
              <w:rPr>
                <w:rFonts w:hint="eastAsia" w:ascii="仿宋" w:hAnsi="仿宋" w:eastAsia="仿宋" w:cs="仿宋"/>
                <w:color w:val="000000" w:themeColor="text1"/>
                <w:spacing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8"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outlineLvl w:val="9"/>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7</w:t>
            </w:r>
          </w:p>
        </w:tc>
        <w:tc>
          <w:tcPr>
            <w:tcW w:w="2006"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4" w:leftChars="0" w:right="108" w:rightChars="0" w:hanging="2" w:firstLineChars="0"/>
              <w:jc w:val="center"/>
              <w:textAlignment w:val="baseline"/>
              <w:outlineLvl w:val="9"/>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在资格审查阶段经查询，未被列入“失信被执行人”、“重大税收违法失信主体”、“政府采购严重违法失信行为记录名单”其中之一。如有以上不良信用记录之一的，其响应无效。</w:t>
            </w:r>
          </w:p>
        </w:tc>
        <w:tc>
          <w:tcPr>
            <w:tcW w:w="5195"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查询渠道：信用中国网站和中国政府采购网（</w:t>
            </w:r>
            <w:bookmarkStart w:id="314" w:name="OLE_LINK19"/>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www.creditchina.gov.cn</w:t>
            </w:r>
            <w:bookmarkEnd w:id="314"/>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、www.ccgp.gov.cn）；</w:t>
            </w:r>
          </w:p>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截止时间：递交响应文件截止时间以后、资格审查阶段对供应商信用记录的实际查询时间；</w:t>
            </w:r>
          </w:p>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信用信息查询记录和证据留存具体方式：查询结果网页打印页作为查询记录和证据，与其他采购文件一并保存；</w:t>
            </w:r>
          </w:p>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outlineLvl w:val="9"/>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信用记录的使用原则：经认定被列入失信被执行人、重大税收违法失信主体、政府采购严重违法失信行为 记录名单的供应商，其磋商响应无效。联合体形式响应的，联合体成员存在不良信用记录，视同联合体存 在不良信用记录。</w:t>
            </w:r>
          </w:p>
        </w:tc>
        <w:tc>
          <w:tcPr>
            <w:tcW w:w="1500" w:type="dxa"/>
            <w:shd w:val="clear" w:color="auto" w:fill="auto"/>
            <w:vAlign w:val="center"/>
          </w:tcPr>
          <w:p>
            <w:pPr>
              <w:pStyle w:val="20"/>
              <w:spacing w:line="280" w:lineRule="exact"/>
              <w:jc w:val="center"/>
              <w:outlineLvl w:val="9"/>
              <w:rPr>
                <w:rFonts w:hint="eastAsia" w:ascii="仿宋" w:hAnsi="仿宋" w:eastAsia="仿宋" w:cs="仿宋"/>
                <w:color w:val="000000" w:themeColor="text1"/>
                <w:spacing w:val="-2"/>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无须供应商提供，由采购人或采购代理机构查询。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58"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outlineLvl w:val="9"/>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8</w:t>
            </w:r>
          </w:p>
        </w:tc>
        <w:tc>
          <w:tcPr>
            <w:tcW w:w="2006" w:type="dxa"/>
            <w:shd w:val="clear" w:color="auto" w:fill="auto"/>
            <w:vAlign w:val="center"/>
          </w:tcPr>
          <w:p>
            <w:pPr>
              <w:pStyle w:val="3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4" w:leftChars="0" w:right="108" w:rightChars="0" w:hanging="2" w:firstLineChars="0"/>
              <w:jc w:val="center"/>
              <w:textAlignment w:val="baseline"/>
              <w:outlineLvl w:val="9"/>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其他特定资格要求</w:t>
            </w:r>
          </w:p>
        </w:tc>
        <w:tc>
          <w:tcPr>
            <w:tcW w:w="5195" w:type="dxa"/>
            <w:shd w:val="clear" w:color="auto" w:fill="auto"/>
            <w:vAlign w:val="center"/>
          </w:tcPr>
          <w:p>
            <w:pPr>
              <w:pStyle w:val="20"/>
              <w:jc w:val="both"/>
              <w:outlineLvl w:val="9"/>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pPr>
            <w:bookmarkStart w:id="315" w:name="OLE_LINK60"/>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（1）法定代表人或单位负责人为同一人或者存在直接控股、管理关系的不同供应商，不得参加同一合同项下的政府采购活动。</w:t>
            </w:r>
          </w:p>
          <w:p>
            <w:pPr>
              <w:pStyle w:val="20"/>
              <w:jc w:val="both"/>
              <w:outlineLvl w:val="9"/>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（2）除单一来源采购项目外，为采购项目提供整体设计、规范编制或者项目管理、监理、检测等服务的供应商，不得再参加该采购项目的其他采购活动。</w:t>
            </w:r>
            <w:bookmarkEnd w:id="315"/>
          </w:p>
        </w:tc>
        <w:tc>
          <w:tcPr>
            <w:tcW w:w="1500" w:type="dxa"/>
            <w:shd w:val="clear" w:color="auto" w:fill="auto"/>
            <w:vAlign w:val="center"/>
          </w:tcPr>
          <w:p>
            <w:pPr>
              <w:pStyle w:val="20"/>
              <w:jc w:val="center"/>
              <w:outlineLvl w:val="9"/>
              <w:rPr>
                <w:rFonts w:hint="eastAsia" w:ascii="仿宋" w:hAnsi="仿宋" w:eastAsia="仿宋" w:cs="仿宋"/>
                <w:color w:val="000000" w:themeColor="text1"/>
                <w:spacing w:val="-8"/>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w:t>
            </w:r>
          </w:p>
        </w:tc>
      </w:tr>
    </w:tbl>
    <w:p>
      <w:pPr>
        <w:outlineLvl w:val="9"/>
        <w:rPr>
          <w:rFonts w:ascii="仿宋" w:hAnsi="仿宋" w:eastAsia="仿宋" w:cs="仿宋"/>
          <w:b/>
          <w:bCs/>
          <w:color w:val="000000" w:themeColor="text1"/>
          <w:kern w:val="44"/>
          <w:sz w:val="36"/>
          <w:szCs w:val="36"/>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 xml:space="preserve"> </w:t>
      </w:r>
      <w:bookmarkStart w:id="316" w:name="_Toc155185903"/>
      <w:bookmarkStart w:id="317" w:name="_Toc163492899"/>
      <w:bookmarkStart w:id="318" w:name="_Toc23606"/>
      <w:r>
        <w:rPr>
          <w:rFonts w:hint="eastAsia" w:ascii="仿宋" w:hAnsi="仿宋" w:eastAsia="仿宋" w:cs="仿宋"/>
          <w:b/>
          <w:bCs/>
          <w:color w:val="000000" w:themeColor="text1"/>
          <w:kern w:val="44"/>
          <w:sz w:val="36"/>
          <w:szCs w:val="36"/>
          <w:highlight w:val="none"/>
          <w14:textFill>
            <w14:solidFill>
              <w14:schemeClr w14:val="tx1"/>
            </w14:solidFill>
          </w14:textFill>
        </w:rPr>
        <w:br w:type="page"/>
      </w:r>
    </w:p>
    <w:p>
      <w:pPr>
        <w:keepNext/>
        <w:keepLines/>
        <w:spacing w:before="220" w:after="220" w:line="480" w:lineRule="auto"/>
        <w:ind w:left="420" w:hanging="420"/>
        <w:jc w:val="center"/>
        <w:outlineLvl w:val="0"/>
        <w:rPr>
          <w:rFonts w:ascii="仿宋" w:hAnsi="仿宋" w:eastAsia="仿宋" w:cs="仿宋"/>
          <w:b/>
          <w:bCs/>
          <w:color w:val="000000" w:themeColor="text1"/>
          <w:kern w:val="44"/>
          <w:sz w:val="36"/>
          <w:szCs w:val="36"/>
          <w:highlight w:val="none"/>
          <w14:textFill>
            <w14:solidFill>
              <w14:schemeClr w14:val="tx1"/>
            </w14:solidFill>
          </w14:textFill>
        </w:rPr>
      </w:pPr>
      <w:bookmarkStart w:id="319" w:name="_Toc25092"/>
      <w:bookmarkStart w:id="320" w:name="_Toc12964"/>
      <w:bookmarkStart w:id="321" w:name="_Toc14511"/>
      <w:r>
        <w:rPr>
          <w:rFonts w:hint="eastAsia" w:ascii="仿宋" w:hAnsi="仿宋" w:eastAsia="仿宋" w:cs="仿宋"/>
          <w:b/>
          <w:bCs/>
          <w:color w:val="000000" w:themeColor="text1"/>
          <w:kern w:val="44"/>
          <w:sz w:val="36"/>
          <w:szCs w:val="36"/>
          <w:highlight w:val="none"/>
          <w14:textFill>
            <w14:solidFill>
              <w14:schemeClr w14:val="tx1"/>
            </w14:solidFill>
          </w14:textFill>
        </w:rPr>
        <w:t>第五章 评标方法</w:t>
      </w:r>
      <w:bookmarkEnd w:id="316"/>
      <w:r>
        <w:rPr>
          <w:rFonts w:hint="eastAsia" w:ascii="仿宋" w:hAnsi="仿宋" w:eastAsia="仿宋" w:cs="仿宋"/>
          <w:b/>
          <w:bCs/>
          <w:color w:val="000000" w:themeColor="text1"/>
          <w:kern w:val="44"/>
          <w:sz w:val="36"/>
          <w:szCs w:val="36"/>
          <w:highlight w:val="none"/>
          <w14:textFill>
            <w14:solidFill>
              <w14:schemeClr w14:val="tx1"/>
            </w14:solidFill>
          </w14:textFill>
        </w:rPr>
        <w:t>及标准</w:t>
      </w:r>
      <w:bookmarkEnd w:id="317"/>
      <w:r>
        <w:rPr>
          <w:rFonts w:hint="eastAsia" w:ascii="仿宋" w:hAnsi="仿宋" w:eastAsia="仿宋" w:cs="仿宋"/>
          <w:b/>
          <w:bCs/>
          <w:color w:val="000000" w:themeColor="text1"/>
          <w:kern w:val="44"/>
          <w:sz w:val="36"/>
          <w:szCs w:val="36"/>
          <w:highlight w:val="none"/>
          <w14:textFill>
            <w14:solidFill>
              <w14:schemeClr w14:val="tx1"/>
            </w14:solidFill>
          </w14:textFill>
        </w:rPr>
        <w:t>(综合评分法)</w:t>
      </w:r>
      <w:bookmarkEnd w:id="318"/>
      <w:bookmarkEnd w:id="319"/>
      <w:bookmarkEnd w:id="320"/>
      <w:bookmarkEnd w:id="321"/>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bookmarkStart w:id="322" w:name="_Toc155185915"/>
      <w:bookmarkStart w:id="323" w:name="_Toc12589"/>
      <w:bookmarkStart w:id="324" w:name="_Toc163492908"/>
      <w:r>
        <w:rPr>
          <w:rFonts w:hint="eastAsia" w:ascii="仿宋" w:hAnsi="仿宋" w:eastAsia="仿宋" w:cs="仿宋"/>
          <w:color w:val="000000" w:themeColor="text1"/>
          <w:sz w:val="24"/>
          <w:szCs w:val="24"/>
          <w:highlight w:val="none"/>
          <w14:textFill>
            <w14:solidFill>
              <w14:schemeClr w14:val="tx1"/>
            </w14:solidFill>
          </w14:textFill>
        </w:rPr>
        <w:t>根据《中华人民共和国政府采购法》及其实施条例、《政府采购货物和服务招标投标管理办法》</w:t>
      </w:r>
      <w:r>
        <w:rPr>
          <w:rFonts w:hint="eastAsia" w:ascii="仿宋" w:hAnsi="仿宋" w:eastAsia="仿宋" w:cs="仿宋"/>
          <w:color w:val="000000" w:themeColor="text1"/>
          <w:sz w:val="24"/>
          <w:szCs w:val="24"/>
          <w:highlight w:val="none"/>
          <w:lang w:val="en-US" w:eastAsia="zh-CN"/>
          <w14:textFill>
            <w14:solidFill>
              <w14:schemeClr w14:val="tx1"/>
            </w14:solidFill>
          </w14:textFill>
        </w:rPr>
        <w:t>及</w:t>
      </w:r>
      <w:r>
        <w:rPr>
          <w:rFonts w:hint="eastAsia" w:ascii="仿宋" w:hAnsi="仿宋" w:eastAsia="仿宋" w:cs="仿宋"/>
          <w:color w:val="000000" w:themeColor="text1"/>
          <w:sz w:val="24"/>
          <w:szCs w:val="24"/>
          <w:highlight w:val="none"/>
          <w14:textFill>
            <w14:solidFill>
              <w14:schemeClr w14:val="tx1"/>
            </w14:solidFill>
          </w14:textFill>
        </w:rPr>
        <w:t>相关法律法规确定以下评标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w:t>
      </w:r>
    </w:p>
    <w:p>
      <w:pPr>
        <w:pStyle w:val="19"/>
        <w:jc w:val="both"/>
        <w:outlineLvl w:val="9"/>
        <w:rPr>
          <w:rFonts w:hint="eastAsia" w:ascii="仿宋" w:hAnsi="仿宋" w:eastAsia="仿宋" w:cs="仿宋"/>
          <w:b/>
          <w:bCs/>
          <w:color w:val="000000" w:themeColor="text1"/>
          <w:sz w:val="28"/>
          <w:szCs w:val="28"/>
          <w:highlight w:val="none"/>
          <w:lang w:val="zh-CN" w:eastAsia="zh-CN"/>
          <w14:textFill>
            <w14:solidFill>
              <w14:schemeClr w14:val="tx1"/>
            </w14:solidFill>
          </w14:textFill>
        </w:rPr>
      </w:pPr>
      <w:bookmarkStart w:id="325" w:name="_Toc4291"/>
      <w:bookmarkStart w:id="326" w:name="_Toc163492900"/>
      <w:bookmarkStart w:id="327" w:name="_Toc272247709"/>
      <w:bookmarkStart w:id="328" w:name="_Toc109900322"/>
      <w:bookmarkStart w:id="329" w:name="_Toc61280402"/>
      <w:bookmarkStart w:id="330" w:name="_Toc140132826"/>
      <w:bookmarkStart w:id="331" w:name="_Toc494561962"/>
      <w:bookmarkStart w:id="332" w:name="_Toc109899903"/>
      <w:bookmarkStart w:id="333" w:name="_Toc109899484"/>
      <w:bookmarkStart w:id="334" w:name="_Toc511894518"/>
      <w:bookmarkStart w:id="335" w:name="_Toc278891606"/>
      <w:bookmarkStart w:id="336" w:name="_Toc155185905"/>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一、评标</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方</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法</w:t>
      </w:r>
      <w:bookmarkEnd w:id="325"/>
      <w:bookmarkEnd w:id="326"/>
    </w:p>
    <w:p>
      <w:pPr>
        <w:pStyle w:val="19"/>
        <w:jc w:val="both"/>
        <w:outlineLvl w:val="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b/>
          <w:bCs/>
          <w:color w:val="000000" w:themeColor="text1"/>
          <w:highlight w:val="none"/>
          <w14:textFill>
            <w14:solidFill>
              <w14:schemeClr w14:val="tx1"/>
            </w14:solidFill>
          </w14:textFill>
        </w:rPr>
        <w:t>本项目采用综合评分法</w:t>
      </w:r>
      <w:r>
        <w:rPr>
          <w:rFonts w:hint="eastAsia" w:ascii="仿宋" w:hAnsi="仿宋" w:eastAsia="仿宋" w:cs="仿宋"/>
          <w:color w:val="000000" w:themeColor="text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pPr>
        <w:pStyle w:val="19"/>
        <w:jc w:val="both"/>
        <w:outlineLvl w:val="9"/>
        <w:rPr>
          <w:rFonts w:hint="eastAsia" w:ascii="仿宋" w:hAnsi="仿宋" w:eastAsia="仿宋" w:cs="仿宋"/>
          <w:b/>
          <w:bCs/>
          <w:color w:val="000000" w:themeColor="text1"/>
          <w:sz w:val="28"/>
          <w:szCs w:val="28"/>
          <w:highlight w:val="none"/>
          <w:lang w:val="zh-CN" w:eastAsia="zh-CN"/>
          <w14:textFill>
            <w14:solidFill>
              <w14:schemeClr w14:val="tx1"/>
            </w14:solidFill>
          </w14:textFill>
        </w:rPr>
      </w:pPr>
      <w:bookmarkStart w:id="337" w:name="_Toc11920"/>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、评标程序</w:t>
      </w:r>
      <w:bookmarkEnd w:id="337"/>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（一）符合性审查</w:t>
      </w:r>
    </w:p>
    <w:p>
      <w:pPr>
        <w:pStyle w:val="19"/>
        <w:jc w:val="both"/>
        <w:outlineLvl w:val="9"/>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评标委员会应当对</w:t>
      </w:r>
      <w:r>
        <w:rPr>
          <w:rFonts w:hint="eastAsia" w:ascii="仿宋" w:hAnsi="仿宋" w:eastAsia="仿宋" w:cs="仿宋"/>
          <w:color w:val="000000" w:themeColor="text1"/>
          <w:sz w:val="24"/>
          <w:szCs w:val="24"/>
          <w:highlight w:val="none"/>
          <w:lang w:val="en-US" w:eastAsia="zh-CN"/>
          <w14:textFill>
            <w14:solidFill>
              <w14:schemeClr w14:val="tx1"/>
            </w14:solidFill>
          </w14:textFill>
        </w:rPr>
        <w:t>通过</w:t>
      </w:r>
      <w:r>
        <w:rPr>
          <w:rFonts w:hint="eastAsia" w:ascii="仿宋" w:hAnsi="仿宋" w:eastAsia="仿宋" w:cs="仿宋"/>
          <w:color w:val="000000" w:themeColor="text1"/>
          <w:sz w:val="24"/>
          <w:szCs w:val="24"/>
          <w:highlight w:val="none"/>
          <w14:textFill>
            <w14:solidFill>
              <w14:schemeClr w14:val="tx1"/>
            </w14:solidFill>
          </w14:textFill>
        </w:rPr>
        <w:t>资格</w:t>
      </w:r>
      <w:r>
        <w:rPr>
          <w:rFonts w:hint="eastAsia" w:ascii="仿宋" w:hAnsi="仿宋" w:eastAsia="仿宋" w:cs="仿宋"/>
          <w:color w:val="000000" w:themeColor="text1"/>
          <w:sz w:val="24"/>
          <w:szCs w:val="24"/>
          <w:highlight w:val="none"/>
          <w:lang w:val="en-US" w:eastAsia="zh-CN"/>
          <w14:textFill>
            <w14:solidFill>
              <w14:schemeClr w14:val="tx1"/>
            </w14:solidFill>
          </w14:textFill>
        </w:rPr>
        <w:t>审查</w:t>
      </w:r>
      <w:r>
        <w:rPr>
          <w:rFonts w:hint="eastAsia" w:ascii="仿宋" w:hAnsi="仿宋" w:eastAsia="仿宋" w:cs="仿宋"/>
          <w:color w:val="000000" w:themeColor="text1"/>
          <w:sz w:val="24"/>
          <w:szCs w:val="24"/>
          <w:highlight w:val="none"/>
          <w14:textFill>
            <w14:solidFill>
              <w14:schemeClr w14:val="tx1"/>
            </w14:solidFill>
          </w14:textFill>
        </w:rPr>
        <w:t>的投标人的投标文件进行符合性审查，以确定其是否满足招标文件的实质性要求。投标人必须通过符合性审查的全部评审指标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不满足招标文件的实质性要求的，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其</w:t>
      </w:r>
      <w:r>
        <w:rPr>
          <w:rFonts w:hint="eastAsia" w:ascii="仿宋" w:hAnsi="仿宋" w:eastAsia="仿宋" w:cs="仿宋"/>
          <w:b/>
          <w:bCs/>
          <w:color w:val="000000" w:themeColor="text1"/>
          <w:sz w:val="24"/>
          <w:szCs w:val="24"/>
          <w:highlight w:val="none"/>
          <w14:textFill>
            <w14:solidFill>
              <w14:schemeClr w14:val="tx1"/>
            </w14:solidFill>
          </w14:textFill>
        </w:rPr>
        <w:t>投标无效</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具体内容详见</w:t>
      </w:r>
      <w:r>
        <w:rPr>
          <w:rFonts w:hint="eastAsia" w:ascii="仿宋" w:hAnsi="仿宋" w:eastAsia="仿宋" w:cs="仿宋"/>
          <w:color w:val="000000" w:themeColor="text1"/>
          <w:sz w:val="24"/>
          <w:szCs w:val="24"/>
          <w:highlight w:val="none"/>
          <w:lang w:val="zh-CN"/>
          <w14:textFill>
            <w14:solidFill>
              <w14:schemeClr w14:val="tx1"/>
            </w14:solidFill>
          </w14:textFill>
        </w:rPr>
        <w:t>本章“</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lang w:val="zh-CN"/>
          <w14:textFill>
            <w14:solidFill>
              <w14:schemeClr w14:val="tx1"/>
            </w14:solidFill>
          </w14:textFill>
        </w:rPr>
        <w:t>、评标标准”中</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lang w:val="zh-CN"/>
          <w14:textFill>
            <w14:solidFill>
              <w14:schemeClr w14:val="tx1"/>
            </w14:solidFill>
          </w14:textFill>
        </w:rPr>
        <w:t>“（一）符合性审查”。</w:t>
      </w:r>
    </w:p>
    <w:p>
      <w:pPr>
        <w:pStyle w:val="19"/>
        <w:jc w:val="both"/>
        <w:outlineLvl w:val="9"/>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通过</w:t>
      </w:r>
      <w:r>
        <w:rPr>
          <w:rFonts w:hint="eastAsia" w:ascii="仿宋" w:hAnsi="仿宋" w:eastAsia="仿宋" w:cs="仿宋"/>
          <w:color w:val="000000" w:themeColor="text1"/>
          <w:sz w:val="24"/>
          <w:szCs w:val="24"/>
          <w:highlight w:val="none"/>
          <w14:textFill>
            <w14:solidFill>
              <w14:schemeClr w14:val="tx1"/>
            </w14:solidFill>
          </w14:textFill>
        </w:rPr>
        <w:t>符合性审查</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有效</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不足3家的应当终止采购活动，发布项目终止公告并说明原因，重新开展采购活动。</w:t>
      </w:r>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338" w:name="_Toc102057744"/>
      <w:bookmarkStart w:id="339" w:name="_Toc102116178"/>
      <w:bookmarkStart w:id="340" w:name="_Toc155185907"/>
      <w:bookmarkStart w:id="341" w:name="_Toc102114946"/>
      <w:bookmarkStart w:id="342" w:name="_Toc102116048"/>
      <w:bookmarkStart w:id="343" w:name="_Toc102056244"/>
      <w:bookmarkStart w:id="344" w:name="_Toc102119879"/>
      <w:bookmarkStart w:id="345" w:name="_Toc163492903"/>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）投标文件澄清</w:t>
      </w:r>
      <w:bookmarkEnd w:id="338"/>
      <w:bookmarkEnd w:id="339"/>
      <w:bookmarkEnd w:id="340"/>
      <w:bookmarkEnd w:id="341"/>
      <w:bookmarkEnd w:id="342"/>
      <w:bookmarkEnd w:id="343"/>
      <w:bookmarkEnd w:id="344"/>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及修正</w:t>
      </w:r>
      <w:bookmarkEnd w:id="345"/>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.评标期间，对于投标文件中含义不明确、同类问题表述不一致或者有明显文字和计算错误的内容需要投标人作出必要的澄清、说明或者补正的，评标委员会应当在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政采云平台评标</w:t>
      </w:r>
      <w:r>
        <w:rPr>
          <w:rFonts w:hint="eastAsia" w:ascii="仿宋" w:hAnsi="仿宋" w:eastAsia="仿宋" w:cs="仿宋"/>
          <w:color w:val="000000" w:themeColor="text1"/>
          <w:sz w:val="24"/>
          <w:szCs w:val="24"/>
          <w:highlight w:val="none"/>
          <w14:textFill>
            <w14:solidFill>
              <w14:schemeClr w14:val="tx1"/>
            </w14:solidFill>
          </w14:textFill>
        </w:rPr>
        <w:t>系统中以书面形式要求投标人作出必要的澄清、说明或者补正。</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.投标人应按照评标委员会要求在规定时间内作出澄清、说明或者补正，澄清、说明或者补正不得超出投标文件的范围或者改变投标文件的实质性内容。</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.投标人的澄清、说明或者补正是其投标文件的有效组成部分，澄清、说明或者补正应当在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政采云平台评标</w:t>
      </w:r>
      <w:r>
        <w:rPr>
          <w:rFonts w:hint="eastAsia" w:ascii="仿宋" w:hAnsi="仿宋" w:eastAsia="仿宋" w:cs="仿宋"/>
          <w:color w:val="000000" w:themeColor="text1"/>
          <w:sz w:val="24"/>
          <w:szCs w:val="24"/>
          <w:highlight w:val="none"/>
          <w14:textFill>
            <w14:solidFill>
              <w14:schemeClr w14:val="tx1"/>
            </w14:solidFill>
          </w14:textFill>
        </w:rPr>
        <w:t>系统中加盖电子印章后提交。</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.报价合理性说明：评标委员会认为投标人的报价明显低于其他通过符合性审查投标人的报价，有可能影响</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w:t>
      </w:r>
      <w:r>
        <w:rPr>
          <w:rFonts w:hint="eastAsia" w:ascii="仿宋" w:hAnsi="仿宋" w:eastAsia="仿宋" w:cs="仿宋"/>
          <w:color w:val="000000" w:themeColor="text1"/>
          <w:sz w:val="24"/>
          <w:szCs w:val="24"/>
          <w:highlight w:val="none"/>
          <w14:textFill>
            <w14:solidFill>
              <w14:schemeClr w14:val="tx1"/>
            </w14:solidFill>
          </w14:textFill>
        </w:rPr>
        <w:t>质量或者不能诚信履约的，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应当</w:t>
      </w:r>
      <w:r>
        <w:rPr>
          <w:rFonts w:hint="eastAsia" w:ascii="仿宋" w:hAnsi="仿宋" w:eastAsia="仿宋" w:cs="仿宋"/>
          <w:color w:val="000000" w:themeColor="text1"/>
          <w:sz w:val="24"/>
          <w:szCs w:val="24"/>
          <w:highlight w:val="none"/>
          <w14:textFill>
            <w14:solidFill>
              <w14:schemeClr w14:val="tx1"/>
            </w14:solidFill>
          </w14:textFill>
        </w:rPr>
        <w:t>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该投标人</w:t>
      </w:r>
      <w:r>
        <w:rPr>
          <w:rFonts w:hint="eastAsia" w:ascii="仿宋" w:hAnsi="仿宋" w:eastAsia="仿宋" w:cs="仿宋"/>
          <w:color w:val="000000" w:themeColor="text1"/>
          <w:sz w:val="24"/>
          <w:szCs w:val="24"/>
          <w:highlight w:val="none"/>
          <w14:textFill>
            <w14:solidFill>
              <w14:schemeClr w14:val="tx1"/>
            </w14:solidFill>
          </w14:textFill>
        </w:rPr>
        <w:t>在合理的时间内提供说明，必要时提交相关证明材料；</w:t>
      </w: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sz w:val="24"/>
          <w:szCs w:val="24"/>
          <w:highlight w:val="none"/>
          <w14:textFill>
            <w14:solidFill>
              <w14:schemeClr w14:val="tx1"/>
            </w14:solidFill>
          </w14:textFill>
        </w:rPr>
        <w:t>投标人不能证明其报价合理性的，评标委员</w:t>
      </w:r>
      <w:r>
        <w:rPr>
          <w:rFonts w:hint="eastAsia" w:ascii="仿宋" w:hAnsi="仿宋" w:eastAsia="仿宋" w:cs="仿宋"/>
          <w:color w:val="000000" w:themeColor="text1"/>
          <w:sz w:val="24"/>
          <w:szCs w:val="24"/>
          <w:highlight w:val="none"/>
          <w:lang w:val="en-US" w:eastAsia="zh-CN"/>
          <w14:textFill>
            <w14:solidFill>
              <w14:schemeClr w14:val="tx1"/>
            </w14:solidFill>
          </w14:textFill>
        </w:rPr>
        <w:t>会应当</w:t>
      </w:r>
      <w:r>
        <w:rPr>
          <w:rFonts w:hint="eastAsia" w:ascii="仿宋" w:hAnsi="仿宋" w:eastAsia="仿宋" w:cs="仿宋"/>
          <w:color w:val="000000" w:themeColor="text1"/>
          <w:sz w:val="24"/>
          <w:szCs w:val="24"/>
          <w:highlight w:val="none"/>
          <w14:textFill>
            <w14:solidFill>
              <w14:schemeClr w14:val="tx1"/>
            </w14:solidFill>
          </w14:textFill>
        </w:rPr>
        <w:t>将其作</w:t>
      </w:r>
      <w:r>
        <w:rPr>
          <w:rFonts w:hint="eastAsia" w:ascii="仿宋" w:hAnsi="仿宋" w:eastAsia="仿宋" w:cs="仿宋"/>
          <w:b/>
          <w:bCs/>
          <w:color w:val="000000" w:themeColor="text1"/>
          <w:sz w:val="24"/>
          <w:szCs w:val="24"/>
          <w:highlight w:val="none"/>
          <w14:textFill>
            <w14:solidFill>
              <w14:schemeClr w14:val="tx1"/>
            </w14:solidFill>
          </w14:textFill>
        </w:rPr>
        <w:t>无效投标</w:t>
      </w:r>
      <w:r>
        <w:rPr>
          <w:rFonts w:hint="eastAsia" w:ascii="仿宋" w:hAnsi="仿宋" w:eastAsia="仿宋" w:cs="仿宋"/>
          <w:color w:val="000000" w:themeColor="text1"/>
          <w:sz w:val="24"/>
          <w:szCs w:val="24"/>
          <w:highlight w:val="none"/>
          <w14:textFill>
            <w14:solidFill>
              <w14:schemeClr w14:val="tx1"/>
            </w14:solidFill>
          </w14:textFill>
        </w:rPr>
        <w:t>处理。</w:t>
      </w:r>
    </w:p>
    <w:p>
      <w:pPr>
        <w:pStyle w:val="19"/>
        <w:ind w:left="0" w:leftChars="0" w:firstLine="480" w:firstLineChars="200"/>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ind w:left="0" w:leftChars="0" w:firstLine="480" w:firstLineChars="200"/>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8.投标文件报价出现前后不一致的，除招标文件另有规定外，按照下列规定修正：</w:t>
      </w:r>
    </w:p>
    <w:p>
      <w:pPr>
        <w:pStyle w:val="19"/>
        <w:ind w:left="0" w:leftChars="0" w:firstLine="480" w:firstLineChars="200"/>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8.1投标文件中开标一览表（报价表）内容与投标文件中相应内容不一致的，以开标一览表（报价表）为准；</w:t>
      </w:r>
    </w:p>
    <w:p>
      <w:pPr>
        <w:pStyle w:val="19"/>
        <w:ind w:left="0" w:leftChars="0" w:firstLine="480" w:firstLineChars="200"/>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8.2大写金额和小写金额不一致的，以大写金额为准；</w:t>
      </w:r>
    </w:p>
    <w:p>
      <w:pPr>
        <w:pStyle w:val="19"/>
        <w:ind w:left="0" w:leftChars="0" w:firstLine="480" w:firstLineChars="200"/>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8.3单价金额小数点或者百分比有明显错位的，以开标一览表的总价为准，并修改单价；</w:t>
      </w:r>
    </w:p>
    <w:p>
      <w:pPr>
        <w:pStyle w:val="19"/>
        <w:ind w:left="0" w:leftChars="0" w:firstLine="480" w:firstLineChars="200"/>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8.4总价金额与按单价汇总金额不一致的，以单价金额计算结果为准。</w:t>
      </w:r>
    </w:p>
    <w:p>
      <w:pPr>
        <w:pStyle w:val="19"/>
        <w:ind w:left="0" w:leftChars="0" w:firstLine="480" w:firstLineChars="200"/>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）比较与评价</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评标委员会应当按照招标文件中规定的评标方法和标准，对符合性审查合格的投标文件进行商务和技术评</w:t>
      </w:r>
      <w:r>
        <w:rPr>
          <w:rFonts w:hint="eastAsia" w:ascii="仿宋" w:hAnsi="仿宋" w:eastAsia="仿宋" w:cs="仿宋"/>
          <w:color w:val="000000" w:themeColor="text1"/>
          <w:sz w:val="24"/>
          <w:szCs w:val="24"/>
          <w:highlight w:val="none"/>
          <w:lang w:val="en-US" w:eastAsia="zh-CN"/>
          <w14:textFill>
            <w14:solidFill>
              <w14:schemeClr w14:val="tx1"/>
            </w14:solidFill>
          </w14:textFill>
        </w:rPr>
        <w:t>估</w:t>
      </w:r>
      <w:r>
        <w:rPr>
          <w:rFonts w:hint="eastAsia" w:ascii="仿宋" w:hAnsi="仿宋" w:eastAsia="仿宋" w:cs="仿宋"/>
          <w:color w:val="000000" w:themeColor="text1"/>
          <w:sz w:val="24"/>
          <w:szCs w:val="24"/>
          <w:highlight w:val="none"/>
          <w14:textFill>
            <w14:solidFill>
              <w14:schemeClr w14:val="tx1"/>
            </w14:solidFill>
          </w14:textFill>
        </w:rPr>
        <w:t>，综合比较与评价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；未通过符合性审查的投标文件不得进入比较与评价</w:t>
      </w:r>
      <w:r>
        <w:rPr>
          <w:rFonts w:hint="eastAsia" w:ascii="仿宋" w:hAnsi="仿宋" w:eastAsia="仿宋" w:cs="仿宋"/>
          <w:color w:val="000000" w:themeColor="text1"/>
          <w:sz w:val="24"/>
          <w:szCs w:val="24"/>
          <w:highlight w:val="none"/>
          <w14:textFill>
            <w14:solidFill>
              <w14:schemeClr w14:val="tx1"/>
            </w14:solidFill>
          </w14:textFill>
        </w:rPr>
        <w:t>。评审因素包括投标报价、商务技术以及落实政府采购政策。评审因素及标准见本章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评</w:t>
      </w:r>
      <w:r>
        <w:rPr>
          <w:rFonts w:hint="eastAsia" w:ascii="仿宋" w:hAnsi="仿宋" w:eastAsia="仿宋" w:cs="仿宋"/>
          <w:color w:val="000000" w:themeColor="text1"/>
          <w:sz w:val="24"/>
          <w:szCs w:val="24"/>
          <w:highlight w:val="none"/>
          <w:lang w:val="en-US" w:eastAsia="zh-CN"/>
          <w14:textFill>
            <w14:solidFill>
              <w14:schemeClr w14:val="tx1"/>
            </w14:solidFill>
          </w14:textFill>
        </w:rPr>
        <w:t>标</w:t>
      </w:r>
      <w:r>
        <w:rPr>
          <w:rFonts w:hint="eastAsia" w:ascii="仿宋" w:hAnsi="仿宋" w:eastAsia="仿宋" w:cs="仿宋"/>
          <w:color w:val="000000" w:themeColor="text1"/>
          <w:sz w:val="24"/>
          <w:szCs w:val="24"/>
          <w:highlight w:val="none"/>
          <w14:textFill>
            <w14:solidFill>
              <w14:schemeClr w14:val="tx1"/>
            </w14:solidFill>
          </w14:textFill>
        </w:rPr>
        <w:t>标准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10.相同品牌处理原则</w:t>
      </w:r>
    </w:p>
    <w:p>
      <w:pPr>
        <w:pStyle w:val="19"/>
        <w:keepNext w:val="0"/>
        <w:keepLines w:val="0"/>
        <w:pageBreakBefore w:val="0"/>
        <w:widowControl w:val="0"/>
        <w:kinsoku/>
        <w:overflowPunct/>
        <w:topLinePunct w:val="0"/>
        <w:autoSpaceDE/>
        <w:autoSpaceDN/>
        <w:bidi w:val="0"/>
        <w:adjustRightInd/>
        <w:snapToGrid/>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.1单一产品采购（或非单一产品采购中的核心产品），提供相同品牌产品且通过资格审查、符合性审查的不同投标人参加同一合同项下投标的，按一家投标人计算。</w:t>
      </w:r>
    </w:p>
    <w:p>
      <w:pPr>
        <w:pStyle w:val="19"/>
        <w:keepNext w:val="0"/>
        <w:keepLines w:val="0"/>
        <w:pageBreakBefore w:val="0"/>
        <w:widowControl w:val="0"/>
        <w:kinsoku/>
        <w:overflowPunct/>
        <w:topLinePunct w:val="0"/>
        <w:autoSpaceDE/>
        <w:autoSpaceDN/>
        <w:bidi w:val="0"/>
        <w:adjustRightInd/>
        <w:snapToGrid/>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.2非单一产品采购项目，采购人应当根据采购项目技术构成、产品价格比重等合理确定</w:t>
      </w:r>
      <w:r>
        <w:rPr>
          <w:rFonts w:hint="eastAsia" w:ascii="仿宋" w:hAnsi="仿宋" w:eastAsia="仿宋" w:cs="仿宋"/>
          <w:color w:val="000000" w:themeColor="text1"/>
          <w:sz w:val="24"/>
          <w:szCs w:val="24"/>
          <w:highlight w:val="none"/>
          <w:lang w:eastAsia="zh-CN"/>
          <w14:textFill>
            <w14:solidFill>
              <w14:schemeClr w14:val="tx1"/>
            </w14:solidFill>
          </w14:textFill>
        </w:rPr>
        <w:t>核心产品</w:t>
      </w:r>
      <w:r>
        <w:rPr>
          <w:rFonts w:hint="eastAsia" w:ascii="仿宋" w:hAnsi="仿宋" w:eastAsia="仿宋" w:cs="仿宋"/>
          <w:color w:val="000000" w:themeColor="text1"/>
          <w:sz w:val="24"/>
          <w:szCs w:val="24"/>
          <w:highlight w:val="none"/>
          <w14:textFill>
            <w14:solidFill>
              <w14:schemeClr w14:val="tx1"/>
            </w14:solidFill>
          </w14:textFill>
        </w:rPr>
        <w:t>（采购清单中作“与核心产品相同〈或同一〉品牌”实质性要求的产品，视为</w:t>
      </w:r>
      <w:r>
        <w:rPr>
          <w:rFonts w:hint="eastAsia" w:ascii="仿宋" w:hAnsi="仿宋" w:eastAsia="仿宋" w:cs="仿宋"/>
          <w:color w:val="000000" w:themeColor="text1"/>
          <w:sz w:val="24"/>
          <w:szCs w:val="24"/>
          <w:highlight w:val="none"/>
          <w:lang w:eastAsia="zh-CN"/>
          <w14:textFill>
            <w14:solidFill>
              <w14:schemeClr w14:val="tx1"/>
            </w14:solidFill>
          </w14:textFill>
        </w:rPr>
        <w:t>核心产品</w:t>
      </w:r>
      <w:r>
        <w:rPr>
          <w:rFonts w:hint="eastAsia" w:ascii="仿宋" w:hAnsi="仿宋" w:eastAsia="仿宋" w:cs="仿宋"/>
          <w:color w:val="000000" w:themeColor="text1"/>
          <w:sz w:val="24"/>
          <w:szCs w:val="24"/>
          <w:highlight w:val="none"/>
          <w14:textFill>
            <w14:solidFill>
              <w14:schemeClr w14:val="tx1"/>
            </w14:solidFill>
          </w14:textFill>
        </w:rPr>
        <w:t>），并以“核心产品”在“投标人须知前附表”中载明，评审时按前款规定处理。</w:t>
      </w:r>
    </w:p>
    <w:p>
      <w:pPr>
        <w:pStyle w:val="19"/>
        <w:keepNext w:val="0"/>
        <w:keepLines w:val="0"/>
        <w:pageBreakBefore w:val="0"/>
        <w:widowControl w:val="0"/>
        <w:kinsoku/>
        <w:overflowPunct/>
        <w:topLinePunct w:val="0"/>
        <w:autoSpaceDE/>
        <w:autoSpaceDN/>
        <w:bidi w:val="0"/>
        <w:adjustRightInd/>
        <w:snapToGrid/>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.3有效投标品牌不足3家的应按</w:t>
      </w:r>
      <w:r>
        <w:rPr>
          <w:rFonts w:hint="eastAsia" w:ascii="仿宋" w:hAnsi="仿宋" w:eastAsia="仿宋" w:cs="仿宋"/>
          <w:b/>
          <w:bCs/>
          <w:color w:val="000000" w:themeColor="text1"/>
          <w:sz w:val="24"/>
          <w:szCs w:val="24"/>
          <w:highlight w:val="none"/>
          <w14:textFill>
            <w14:solidFill>
              <w14:schemeClr w14:val="tx1"/>
            </w14:solidFill>
          </w14:textFill>
        </w:rPr>
        <w:t>废标</w:t>
      </w:r>
      <w:r>
        <w:rPr>
          <w:rFonts w:hint="eastAsia" w:ascii="仿宋" w:hAnsi="仿宋" w:eastAsia="仿宋" w:cs="仿宋"/>
          <w:color w:val="000000" w:themeColor="text1"/>
          <w:sz w:val="24"/>
          <w:szCs w:val="24"/>
          <w:highlight w:val="none"/>
          <w14:textFill>
            <w14:solidFill>
              <w14:schemeClr w14:val="tx1"/>
            </w14:solidFill>
          </w14:textFill>
        </w:rPr>
        <w:t>处理。</w:t>
      </w:r>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）报价评审</w:t>
      </w:r>
    </w:p>
    <w:p>
      <w:pPr>
        <w:pStyle w:val="19"/>
        <w:jc w:val="both"/>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none"/>
          <w14:textFill>
            <w14:solidFill>
              <w14:schemeClr w14:val="tx1"/>
            </w14:solidFill>
          </w14:textFill>
        </w:rPr>
        <w:t>投标报价评审</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货物项目的价格分值占总分值的比重不得低于30%。执行国家统一定价标准和采用固定价格采购的项目，其价格不列为评审因素。</w:t>
      </w:r>
      <w:r>
        <w:rPr>
          <w:rFonts w:hint="eastAsia" w:ascii="仿宋" w:hAnsi="仿宋" w:eastAsia="仿宋" w:cs="仿宋"/>
          <w:color w:val="000000" w:themeColor="text1"/>
          <w:sz w:val="24"/>
          <w:szCs w:val="24"/>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评标基准价／投标报价)×价格分值</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评标过程中，不得去掉报价中的最高报价和最低报价。</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iCs/>
          <w:color w:val="000000" w:themeColor="text1"/>
          <w:spacing w:val="-6"/>
          <w:sz w:val="24"/>
          <w:szCs w:val="24"/>
          <w:highlight w:val="none"/>
          <w14:textFill>
            <w14:solidFill>
              <w14:schemeClr w14:val="tx1"/>
            </w14:solidFill>
          </w14:textFill>
        </w:rPr>
        <w:t>除算术修正和落实政府采购政策的价格扣除外，不对投标报价进行调整；</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3价格</w:t>
      </w:r>
      <w:r>
        <w:rPr>
          <w:rFonts w:hint="eastAsia" w:ascii="仿宋" w:hAnsi="仿宋" w:eastAsia="仿宋" w:cs="仿宋"/>
          <w:color w:val="000000" w:themeColor="text1"/>
          <w:sz w:val="24"/>
          <w:szCs w:val="24"/>
          <w:highlight w:val="none"/>
          <w:lang w:eastAsia="zh-CN"/>
          <w14:textFill>
            <w14:solidFill>
              <w14:schemeClr w14:val="tx1"/>
            </w14:solidFill>
          </w14:textFill>
        </w:rPr>
        <w:t>分值</w:t>
      </w:r>
      <w:r>
        <w:rPr>
          <w:rFonts w:hint="eastAsia" w:ascii="仿宋" w:hAnsi="仿宋" w:eastAsia="仿宋" w:cs="仿宋"/>
          <w:color w:val="000000" w:themeColor="text1"/>
          <w:sz w:val="24"/>
          <w:szCs w:val="24"/>
          <w:highlight w:val="none"/>
          <w14:textFill>
            <w14:solidFill>
              <w14:schemeClr w14:val="tx1"/>
            </w14:solidFill>
          </w14:textFill>
        </w:rPr>
        <w:t>见本章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评</w:t>
      </w:r>
      <w:r>
        <w:rPr>
          <w:rFonts w:hint="eastAsia" w:ascii="仿宋" w:hAnsi="仿宋" w:eastAsia="仿宋" w:cs="仿宋"/>
          <w:color w:val="000000" w:themeColor="text1"/>
          <w:sz w:val="24"/>
          <w:szCs w:val="24"/>
          <w:highlight w:val="none"/>
          <w:lang w:val="en-US" w:eastAsia="zh-CN"/>
          <w14:textFill>
            <w14:solidFill>
              <w14:schemeClr w14:val="tx1"/>
            </w14:solidFill>
          </w14:textFill>
        </w:rPr>
        <w:t>标</w:t>
      </w:r>
      <w:r>
        <w:rPr>
          <w:rFonts w:hint="eastAsia" w:ascii="仿宋" w:hAnsi="仿宋" w:eastAsia="仿宋" w:cs="仿宋"/>
          <w:color w:val="000000" w:themeColor="text1"/>
          <w:sz w:val="24"/>
          <w:szCs w:val="24"/>
          <w:highlight w:val="none"/>
          <w14:textFill>
            <w14:solidFill>
              <w14:schemeClr w14:val="tx1"/>
            </w14:solidFill>
          </w14:textFill>
        </w:rPr>
        <w:t>标准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pStyle w:val="19"/>
        <w:jc w:val="both"/>
        <w:outlineLvl w:val="9"/>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14:textFill>
            <w14:solidFill>
              <w14:schemeClr w14:val="tx1"/>
            </w14:solidFill>
          </w14:textFill>
        </w:rPr>
        <w:t>政府采购异常低价审查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12.1</w:t>
      </w:r>
      <w:r>
        <w:rPr>
          <w:rFonts w:hint="eastAsia" w:ascii="仿宋" w:hAnsi="仿宋" w:eastAsia="仿宋" w:cs="仿宋"/>
          <w:color w:val="000000" w:themeColor="text1"/>
          <w:sz w:val="24"/>
          <w:szCs w:val="24"/>
          <w:highlight w:val="none"/>
          <w14:textFill>
            <w14:solidFill>
              <w14:schemeClr w14:val="tx1"/>
            </w14:solidFill>
          </w14:textFill>
        </w:rPr>
        <w:t>政府采购评审中出现下列情形之一的，评审委员会应当启动异常低价投标（响应）审查程序：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投标（响应）报价低于全部通过符合性审查供应商投标（响应）报价平均值50%的，即投标（响应）报价&lt;全部通过符合性审查供应商投标（响应）报价平均值×50%；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投标（响应）报价低于采购项目最高限价45%的，即投标（响应）报价&lt;采购项目最高限价×45%；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评审委员会基于专业判断，认为供应商报价过低，有可能影响产品质量或者不能诚信履约的其他情形。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12.2</w:t>
      </w:r>
      <w:r>
        <w:rPr>
          <w:rFonts w:hint="eastAsia" w:ascii="仿宋" w:hAnsi="仿宋" w:eastAsia="仿宋" w:cs="仿宋"/>
          <w:color w:val="000000" w:themeColor="text1"/>
          <w:sz w:val="24"/>
          <w:szCs w:val="24"/>
          <w:highlight w:val="none"/>
          <w14:textFill>
            <w14:solidFill>
              <w14:schemeClr w14:val="tx1"/>
            </w14:solidFill>
          </w14:textFill>
        </w:rPr>
        <w:t>评审委员会启动异常低价投标（响应）审查后，属于前述第</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项至第</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9"/>
        <w:jc w:val="both"/>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.政府采购政策评审</w:t>
      </w:r>
    </w:p>
    <w:p>
      <w:pPr>
        <w:pStyle w:val="19"/>
        <w:numPr>
          <w:ilvl w:val="0"/>
          <w:numId w:val="0"/>
        </w:numPr>
        <w:ind w:firstLine="480" w:firstLineChars="200"/>
        <w:jc w:val="both"/>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.1非专门面向中小企业的采购项目或采购包，对符合规定的小微企业（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含</w:t>
      </w:r>
      <w:r>
        <w:rPr>
          <w:rFonts w:hint="eastAsia" w:ascii="仿宋" w:hAnsi="仿宋" w:eastAsia="仿宋" w:cs="仿宋"/>
          <w:color w:val="000000" w:themeColor="text1"/>
          <w:sz w:val="24"/>
          <w:szCs w:val="24"/>
          <w:highlight w:val="none"/>
          <w14:textFill>
            <w14:solidFill>
              <w14:schemeClr w14:val="tx1"/>
            </w14:solidFill>
          </w14:textFill>
        </w:rPr>
        <w:t>监狱企业、残疾人福利性单位、联合体各方均为小微企业的联合体、符合小微企业划分标准的个体工商户视同小微企业）报价按照本招标文件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投标人须知前附表”中的规定扣除，对小微企业中的监狱企业、残疾人福利性单位的报价按照本</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须知前附表”中的规定扣除，用扣除后的价格</w:t>
      </w:r>
      <w:r>
        <w:rPr>
          <w:rFonts w:hint="eastAsia" w:ascii="仿宋" w:hAnsi="仿宋" w:eastAsia="仿宋" w:cs="仿宋"/>
          <w:color w:val="000000" w:themeColor="text1"/>
          <w:sz w:val="24"/>
          <w:szCs w:val="24"/>
          <w:highlight w:val="none"/>
          <w:lang w:val="en-US" w:eastAsia="zh-CN"/>
          <w14:textFill>
            <w14:solidFill>
              <w14:schemeClr w14:val="tx1"/>
            </w14:solidFill>
          </w14:textFill>
        </w:rPr>
        <w:t>参与</w:t>
      </w:r>
      <w:r>
        <w:rPr>
          <w:rFonts w:hint="eastAsia" w:ascii="仿宋" w:hAnsi="仿宋" w:eastAsia="仿宋" w:cs="仿宋"/>
          <w:color w:val="000000" w:themeColor="text1"/>
          <w:sz w:val="24"/>
          <w:szCs w:val="24"/>
          <w:highlight w:val="none"/>
          <w14:textFill>
            <w14:solidFill>
              <w14:schemeClr w14:val="tx1"/>
            </w14:solidFill>
          </w14:textFill>
        </w:rPr>
        <w:t>评审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采购产品纳入创新产品应用示范推荐目录内企业、采购产品获得节能产品或环境标志产品认证证书</w:t>
      </w:r>
      <w:r>
        <w:rPr>
          <w:rFonts w:hint="eastAsia" w:ascii="仿宋" w:hAnsi="仿宋" w:eastAsia="仿宋" w:cs="仿宋"/>
          <w:color w:val="000000" w:themeColor="text1"/>
          <w:sz w:val="24"/>
          <w:szCs w:val="24"/>
          <w:highlight w:val="none"/>
          <w:lang w:val="en-US" w:eastAsia="zh-CN"/>
          <w14:textFill>
            <w14:solidFill>
              <w14:schemeClr w14:val="tx1"/>
            </w14:solidFill>
          </w14:textFill>
        </w:rPr>
        <w:t>的投标人</w:t>
      </w:r>
      <w:r>
        <w:rPr>
          <w:rFonts w:hint="eastAsia" w:ascii="仿宋" w:hAnsi="仿宋" w:eastAsia="仿宋" w:cs="仿宋"/>
          <w:color w:val="000000" w:themeColor="text1"/>
          <w:sz w:val="24"/>
          <w:szCs w:val="24"/>
          <w:highlight w:val="none"/>
          <w14:textFill>
            <w14:solidFill>
              <w14:schemeClr w14:val="tx1"/>
            </w14:solidFill>
          </w14:textFill>
        </w:rPr>
        <w:t>按照本</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须知前附表”中的规定</w:t>
      </w:r>
      <w:r>
        <w:rPr>
          <w:rFonts w:hint="eastAsia" w:ascii="仿宋" w:hAnsi="仿宋" w:eastAsia="仿宋" w:cs="仿宋"/>
          <w:color w:val="000000" w:themeColor="text1"/>
          <w:sz w:val="24"/>
          <w:szCs w:val="24"/>
          <w:highlight w:val="none"/>
          <w:lang w:val="en-US" w:eastAsia="zh-CN"/>
          <w14:textFill>
            <w14:solidFill>
              <w14:schemeClr w14:val="tx1"/>
            </w14:solidFill>
          </w14:textFill>
        </w:rPr>
        <w:t>给予评审优惠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19"/>
        <w:numPr>
          <w:ilvl w:val="0"/>
          <w:numId w:val="0"/>
        </w:numPr>
        <w:ind w:firstLine="480" w:firstLineChars="200"/>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lang w:val="zh-CN"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color w:val="000000" w:themeColor="text1"/>
          <w:sz w:val="24"/>
          <w:szCs w:val="24"/>
          <w:highlight w:val="none"/>
          <w:lang w:val="en-US" w:eastAsia="zh-CN"/>
          <w14:textFill>
            <w14:solidFill>
              <w14:schemeClr w14:val="tx1"/>
            </w14:solidFill>
          </w14:textFill>
        </w:rPr>
        <w:t>若供应商同时属于小型或微型企业、监狱企业、残疾人福利性单位 中的两种及以上，将不重复享受小微企业价格扣减的优惠政策。</w:t>
      </w:r>
    </w:p>
    <w:p>
      <w:pPr>
        <w:pStyle w:val="19"/>
        <w:numPr>
          <w:ilvl w:val="0"/>
          <w:numId w:val="0"/>
        </w:numPr>
        <w:ind w:firstLine="480" w:firstLineChars="200"/>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组成联合体或者接受分包的小微企业与联合体内其他企业、分包企业之间存在直接控股、管理关系的，不享受价格扣除优惠政策。</w:t>
      </w:r>
    </w:p>
    <w:p>
      <w:pPr>
        <w:pStyle w:val="19"/>
        <w:numPr>
          <w:ilvl w:val="0"/>
          <w:numId w:val="0"/>
        </w:numPr>
        <w:ind w:firstLine="480" w:firstLineChars="200"/>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价格扣除比例对小型企业和微型企业同等对待，不作区分。</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13.</w:t>
      </w:r>
      <w:r>
        <w:rPr>
          <w:rFonts w:hint="eastAsia" w:ascii="仿宋" w:hAnsi="仿宋" w:eastAsia="仿宋" w:cs="仿宋"/>
          <w:iCs/>
          <w:color w:val="000000" w:themeColor="text1"/>
          <w:kern w:val="2"/>
          <w:sz w:val="24"/>
          <w:szCs w:val="24"/>
          <w:highlight w:val="none"/>
          <w:shd w:val="clear" w:fill="FFFFFF" w:themeFill="background1"/>
          <w:lang w:val="zh-CN" w:eastAsia="zh-CN" w:bidi="ar-SA"/>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专门面向中小企业、预留部分采购份额面向中小企业采购的项目或采购包，评审时不再进行价格扣除。</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13.4</w:t>
      </w:r>
      <w:r>
        <w:rPr>
          <w:rFonts w:hint="eastAsia" w:ascii="仿宋" w:hAnsi="仿宋" w:eastAsia="仿宋" w:cs="仿宋"/>
          <w:color w:val="000000" w:themeColor="text1"/>
          <w:sz w:val="24"/>
          <w:szCs w:val="24"/>
          <w:highlight w:val="none"/>
          <w14:textFill>
            <w14:solidFill>
              <w14:schemeClr w14:val="tx1"/>
            </w14:solidFill>
          </w14:textFill>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color w:val="000000" w:themeColor="text1"/>
          <w:sz w:val="24"/>
          <w:szCs w:val="24"/>
          <w:highlight w:val="none"/>
          <w:lang w:val="en-US" w:eastAsia="zh-CN"/>
          <w14:textFill>
            <w14:solidFill>
              <w14:schemeClr w14:val="tx1"/>
            </w14:solidFill>
          </w14:textFill>
        </w:rPr>
        <w:t>体</w:t>
      </w:r>
      <w:r>
        <w:rPr>
          <w:rFonts w:hint="eastAsia" w:ascii="仿宋" w:hAnsi="仿宋" w:eastAsia="仿宋" w:cs="仿宋"/>
          <w:color w:val="000000" w:themeColor="text1"/>
          <w:sz w:val="24"/>
          <w:szCs w:val="24"/>
          <w:highlight w:val="none"/>
          <w14:textFill>
            <w14:solidFill>
              <w14:schemeClr w14:val="tx1"/>
            </w14:solidFill>
          </w14:textFill>
        </w:rPr>
        <w:t>协议</w:t>
      </w:r>
      <w:r>
        <w:rPr>
          <w:rFonts w:hint="eastAsia" w:ascii="仿宋" w:hAnsi="仿宋" w:eastAsia="仿宋" w:cs="仿宋"/>
          <w:color w:val="000000" w:themeColor="text1"/>
          <w:sz w:val="24"/>
          <w:szCs w:val="24"/>
          <w:highlight w:val="none"/>
          <w:lang w:val="en-US" w:eastAsia="zh-CN"/>
          <w14:textFill>
            <w14:solidFill>
              <w14:schemeClr w14:val="tx1"/>
            </w14:solidFill>
          </w14:textFill>
        </w:rPr>
        <w:t>书</w:t>
      </w:r>
      <w:r>
        <w:rPr>
          <w:rFonts w:hint="eastAsia" w:ascii="仿宋" w:hAnsi="仿宋" w:eastAsia="仿宋" w:cs="仿宋"/>
          <w:color w:val="000000" w:themeColor="text1"/>
          <w:sz w:val="24"/>
          <w:szCs w:val="24"/>
          <w:highlight w:val="none"/>
          <w14:textFill>
            <w14:solidFill>
              <w14:schemeClr w14:val="tx1"/>
            </w14:solidFill>
          </w14:textFill>
        </w:rPr>
        <w:t>或者分包意向协议</w:t>
      </w:r>
      <w:r>
        <w:rPr>
          <w:rFonts w:hint="eastAsia" w:ascii="仿宋" w:hAnsi="仿宋" w:eastAsia="仿宋" w:cs="仿宋"/>
          <w:color w:val="000000" w:themeColor="text1"/>
          <w:sz w:val="24"/>
          <w:szCs w:val="24"/>
          <w:highlight w:val="none"/>
          <w:lang w:val="en-US" w:eastAsia="zh-CN"/>
          <w14:textFill>
            <w14:solidFill>
              <w14:schemeClr w14:val="tx1"/>
            </w14:solidFill>
          </w14:textFill>
        </w:rPr>
        <w:t>书</w:t>
      </w:r>
      <w:r>
        <w:rPr>
          <w:rFonts w:hint="eastAsia" w:ascii="仿宋" w:hAnsi="仿宋" w:eastAsia="仿宋" w:cs="仿宋"/>
          <w:color w:val="000000" w:themeColor="text1"/>
          <w:sz w:val="24"/>
          <w:szCs w:val="24"/>
          <w:highlight w:val="none"/>
          <w14:textFill>
            <w14:solidFill>
              <w14:schemeClr w14:val="tx1"/>
            </w14:solidFill>
          </w14:textFill>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13.5供应商对其提供的产品出具《关于符合本国产品标准的声明函》（样式见附件1，以下简称《声明函》）或财政部会同有关部门规定的有关证明文件。出具符合要求的《声明函》或有关证明文件的，该产品视为本国产品。</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13.6采购标的仅包含单一产品时，</w:t>
      </w:r>
      <w:r>
        <w:rPr>
          <w:rFonts w:hint="eastAsia" w:ascii="仿宋" w:hAnsi="仿宋" w:eastAsia="仿宋" w:cs="仿宋"/>
          <w:color w:val="000000" w:themeColor="text1"/>
          <w:sz w:val="24"/>
          <w:szCs w:val="24"/>
          <w:highlight w:val="none"/>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pPr>
        <w:pStyle w:val="19"/>
        <w:keepNext w:val="0"/>
        <w:keepLines w:val="0"/>
        <w:pageBreakBefore w:val="0"/>
        <w:widowControl w:val="0"/>
        <w:kinsoku/>
        <w:overflowPunct/>
        <w:topLinePunct w:val="0"/>
        <w:autoSpaceDE/>
        <w:autoSpaceDN/>
        <w:bidi w:val="0"/>
        <w:adjustRightInd/>
        <w:jc w:val="both"/>
        <w:textAlignment w:val="auto"/>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pPr>
        <w:pStyle w:val="19"/>
        <w:jc w:val="both"/>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pPr>
        <w:pStyle w:val="19"/>
        <w:jc w:val="both"/>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对医疗器械产品，提供取得药品监督管理部门授予的准字号医疗器械注册证的，视为符合本国产品标准，无须填写《声明函》，</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报价给予20%的价格扣除，用扣除后的价格参与评审。</w:t>
      </w:r>
    </w:p>
    <w:p>
      <w:pPr>
        <w:pStyle w:val="19"/>
        <w:jc w:val="both"/>
        <w:outlineLvl w:val="9"/>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五</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）评标得分及复核</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评标过程中，各项分值一般精确到小数点后两位，评标得分应为商务评分、技术评分、报价评分之和。评标委员会各成员应汇总每个投标人的得分。</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14.1</w:t>
      </w:r>
      <w:r>
        <w:rPr>
          <w:rFonts w:hint="eastAsia" w:ascii="仿宋" w:hAnsi="仿宋" w:eastAsia="仿宋" w:cs="仿宋"/>
          <w:iCs/>
          <w:color w:val="000000" w:themeColor="text1"/>
          <w:spacing w:val="-6"/>
          <w:sz w:val="24"/>
          <w:szCs w:val="24"/>
          <w:highlight w:val="none"/>
          <w14:textFill>
            <w14:solidFill>
              <w14:schemeClr w14:val="tx1"/>
            </w14:solidFill>
          </w14:textFill>
        </w:rPr>
        <w:t>评标结果汇总完成后，采购代理机构应对评标结果进行复核。经复核发现存在以下情形之一的，评标委员会应当当场修改评标结果，并在评标报告中记载：</w:t>
      </w:r>
    </w:p>
    <w:p>
      <w:pPr>
        <w:pStyle w:val="19"/>
        <w:numPr>
          <w:ilvl w:val="0"/>
          <w:numId w:val="0"/>
        </w:numPr>
        <w:ind w:left="900" w:leftChars="0" w:hanging="420" w:firstLineChars="0"/>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分值汇总计算错误的；</w:t>
      </w:r>
    </w:p>
    <w:p>
      <w:pPr>
        <w:pStyle w:val="19"/>
        <w:numPr>
          <w:ilvl w:val="0"/>
          <w:numId w:val="0"/>
        </w:numPr>
        <w:ind w:left="900" w:leftChars="0" w:hanging="420" w:firstLineChars="0"/>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分项评分超出评分标准范围的；</w:t>
      </w:r>
    </w:p>
    <w:p>
      <w:pPr>
        <w:pStyle w:val="19"/>
        <w:numPr>
          <w:ilvl w:val="0"/>
          <w:numId w:val="0"/>
        </w:numPr>
        <w:ind w:left="900" w:leftChars="0" w:hanging="420" w:firstLineChars="0"/>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评标委员会成员对客观评审因素评分不一致的；</w:t>
      </w:r>
    </w:p>
    <w:p>
      <w:pPr>
        <w:pStyle w:val="19"/>
        <w:numPr>
          <w:ilvl w:val="0"/>
          <w:numId w:val="0"/>
        </w:numPr>
        <w:ind w:left="900" w:leftChars="0" w:hanging="420" w:firstLineChars="0"/>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经评标委员会认定评分畸高、畸低的。</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各投标人的最终得分为评标委员会所有成员对各投标人评标得分汇总后的算术平均值。</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15.2采购人或者采购代理机构不得通过对样品进行检测、对投标人进行考察等方式改变评审结果。</w:t>
      </w:r>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六</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）排序与推荐</w:t>
      </w:r>
    </w:p>
    <w:p>
      <w:pPr>
        <w:pStyle w:val="19"/>
        <w:keepNext w:val="0"/>
        <w:keepLines w:val="0"/>
        <w:pageBreakBefore w:val="0"/>
        <w:widowControl w:val="0"/>
        <w:kinsoku/>
        <w:overflowPunct/>
        <w:topLinePunct w:val="0"/>
        <w:autoSpaceDE/>
        <w:autoSpaceDN/>
        <w:bidi w:val="0"/>
        <w:adjustRightInd/>
        <w:snapToGrid/>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pPr>
        <w:pStyle w:val="19"/>
        <w:keepNext w:val="0"/>
        <w:keepLines w:val="0"/>
        <w:pageBreakBefore w:val="0"/>
        <w:widowControl w:val="0"/>
        <w:kinsoku/>
        <w:overflowPunct/>
        <w:topLinePunct w:val="0"/>
        <w:autoSpaceDE/>
        <w:autoSpaceDN/>
        <w:bidi w:val="0"/>
        <w:adjustRightInd/>
        <w:snapToGrid/>
        <w:jc w:val="both"/>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18.中标候选人推荐家数详见“投标人须知前附表”。</w:t>
      </w:r>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七</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）编写评标报告</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46" w:name="_Toc102116021"/>
      <w:bookmarkStart w:id="347" w:name="_Toc163492906"/>
      <w:bookmarkStart w:id="348" w:name="_Toc155185913"/>
      <w:bookmarkStart w:id="349" w:name="_Toc102056217"/>
      <w:bookmarkStart w:id="350" w:name="_Toc102057717"/>
      <w:bookmarkStart w:id="351" w:name="_Toc102114919"/>
      <w:bookmarkStart w:id="352" w:name="_Toc102119852"/>
      <w:bookmarkStart w:id="353" w:name="_Toc102116151"/>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八</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投标无效及</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应予废标的情形</w:t>
      </w:r>
      <w:bookmarkEnd w:id="346"/>
      <w:bookmarkEnd w:id="347"/>
      <w:bookmarkEnd w:id="348"/>
      <w:bookmarkEnd w:id="349"/>
      <w:bookmarkEnd w:id="350"/>
      <w:bookmarkEnd w:id="351"/>
      <w:bookmarkEnd w:id="352"/>
      <w:bookmarkEnd w:id="353"/>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20.投标人存在下列情形之一的，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不具备《中华人民共和国政府采购法》第二十二条规定条件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投标文件未按招标文件要求签署、盖章的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不具备招标文件中规定的资格要求的（投标人未提供有效资格文件的，视为投标人不具备招标文件中规定的资格要求）；</w:t>
      </w:r>
    </w:p>
    <w:p>
      <w:pPr>
        <w:pStyle w:val="19"/>
        <w:jc w:val="both"/>
        <w:outlineLvl w:val="9"/>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文件提供虚假材料的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文件不满足</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文件中标注“★”号的实质性条款（或指标）要求的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6</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报价超过招标文件中规定的最高限价或者预算金额的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7联合体的供应商未提交各方共同签署的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联合体</w:t>
      </w:r>
      <w:r>
        <w:rPr>
          <w:rFonts w:hint="eastAsia" w:ascii="仿宋" w:hAnsi="仿宋" w:eastAsia="仿宋" w:cs="仿宋"/>
          <w:color w:val="000000" w:themeColor="text1"/>
          <w:sz w:val="24"/>
          <w:szCs w:val="24"/>
          <w:highlight w:val="none"/>
          <w:lang w:val="zh-CN" w:eastAsia="zh-CN"/>
          <w14:textFill>
            <w14:solidFill>
              <w14:schemeClr w14:val="tx1"/>
            </w14:solidFill>
          </w14:textFill>
        </w:rPr>
        <w:t>协议</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p>
    <w:p>
      <w:pPr>
        <w:pStyle w:val="19"/>
        <w:jc w:val="both"/>
        <w:outlineLvl w:val="9"/>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未按</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的规定</w:t>
      </w:r>
      <w:r>
        <w:rPr>
          <w:rFonts w:hint="eastAsia" w:ascii="仿宋" w:hAnsi="仿宋" w:eastAsia="仿宋" w:cs="仿宋"/>
          <w:color w:val="000000" w:themeColor="text1"/>
          <w:sz w:val="24"/>
          <w:szCs w:val="24"/>
          <w:highlight w:val="none"/>
          <w:lang w:val="zh-CN" w:eastAsia="zh-CN"/>
          <w14:textFill>
            <w14:solidFill>
              <w14:schemeClr w14:val="tx1"/>
            </w14:solidFill>
          </w14:textFill>
        </w:rPr>
        <w:t>交纳投标保证金</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p>
    <w:p>
      <w:pPr>
        <w:pStyle w:val="19"/>
        <w:jc w:val="both"/>
        <w:outlineLvl w:val="9"/>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9评审期间，</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没有按评标委员会的要求提交经授权代表签字的澄清、说明、补正或改变了</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文件的实质性内容</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10</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对采购人、采购代理机构、评标委员会及其工作人员施加影响，有碍公平、公正</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20.11投标文件含有采购人不能接受的附加条件的；</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eastAsia="zh-CN"/>
          <w14:textFill>
            <w14:solidFill>
              <w14:schemeClr w14:val="tx1"/>
            </w14:solidFill>
          </w14:textFill>
        </w:rPr>
        <w:t>法律、法规、规章规定属于</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无效的其他情形。</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21.有下列情形之一的，视为投标人串通投标，其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21.1不同投标人的投标文件由同一单位或者个人编制；</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21.2不同投标人委托同一单位或者个人办理投标事宜；</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21.3不同投标人的投标文件载明的项目管理成员或者联系人员为同一人；</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21.4不同投标人的投标文件异常一致或者投标报价呈规律性差异；</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21.5不同投标人的投标文件相互混装；</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21.6不同投标人的投标保证金从同一单位或者个人的账户转出；</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21.7</w:t>
      </w:r>
      <w:r>
        <w:rPr>
          <w:rFonts w:hint="eastAsia" w:ascii="仿宋" w:hAnsi="仿宋" w:eastAsia="仿宋" w:cs="仿宋"/>
          <w:color w:val="000000" w:themeColor="text1"/>
          <w:sz w:val="24"/>
          <w:szCs w:val="24"/>
          <w:highlight w:val="none"/>
          <w:lang w:val="zh-CN" w:eastAsia="zh-CN"/>
          <w14:textFill>
            <w14:solidFill>
              <w14:schemeClr w14:val="tx1"/>
            </w14:solidFill>
          </w14:textFill>
        </w:rPr>
        <w:t>不同投标人使用同一电脑（机器特征值一致：如MAC地址等）或使用同一电子密钥，编制或上传电子投标文件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21.8法律、法规、规章规定属于投标人串通投标的其他情形</w:t>
      </w:r>
      <w:r>
        <w:rPr>
          <w:rFonts w:hint="eastAsia" w:ascii="仿宋" w:hAnsi="仿宋" w:eastAsia="仿宋" w:cs="仿宋"/>
          <w:color w:val="000000" w:themeColor="text1"/>
          <w:sz w:val="24"/>
          <w:szCs w:val="24"/>
          <w:highlight w:val="none"/>
          <w:lang w:val="zh-CN"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.根据《中华人民共和国政府采购法》第三十六条之规定，在招标采购过程中，出现下列情形之一的，应予</w:t>
      </w:r>
      <w:r>
        <w:rPr>
          <w:rFonts w:hint="eastAsia" w:ascii="仿宋" w:hAnsi="仿宋" w:eastAsia="仿宋" w:cs="仿宋"/>
          <w:b/>
          <w:bCs/>
          <w:color w:val="000000" w:themeColor="text1"/>
          <w:sz w:val="24"/>
          <w:szCs w:val="24"/>
          <w:highlight w:val="none"/>
          <w14:textFill>
            <w14:solidFill>
              <w14:schemeClr w14:val="tx1"/>
            </w14:solidFill>
          </w14:textFill>
        </w:rPr>
        <w:t>废标</w:t>
      </w:r>
      <w:r>
        <w:rPr>
          <w:rFonts w:hint="eastAsia" w:ascii="仿宋" w:hAnsi="仿宋" w:eastAsia="仿宋" w:cs="仿宋"/>
          <w:color w:val="000000" w:themeColor="text1"/>
          <w:sz w:val="24"/>
          <w:szCs w:val="24"/>
          <w:highlight w:val="none"/>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.1符合专业条件的供应商或者对招标文件作实质响应的供应商不足3家的；</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.2出现影响采购公正的违法、违规行为的；</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.3投标人的报价均超过了采购预算，采购人不能支付的；</w:t>
      </w:r>
    </w:p>
    <w:p>
      <w:pPr>
        <w:pStyle w:val="19"/>
        <w:jc w:val="both"/>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.4因重大变故，采购任务取消的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22.5 </w:t>
      </w:r>
      <w:r>
        <w:rPr>
          <w:rFonts w:hint="eastAsia" w:ascii="仿宋" w:hAnsi="仿宋" w:eastAsia="仿宋" w:cs="仿宋"/>
          <w:color w:val="000000" w:themeColor="text1"/>
          <w:sz w:val="24"/>
          <w:szCs w:val="24"/>
          <w:highlight w:val="none"/>
          <w14:textFill>
            <w14:solidFill>
              <w14:schemeClr w14:val="tx1"/>
            </w14:solidFill>
          </w14:textFill>
        </w:rPr>
        <w:t>法律、法规、规章规定属于</w:t>
      </w:r>
      <w:r>
        <w:rPr>
          <w:rFonts w:hint="eastAsia" w:ascii="仿宋" w:hAnsi="仿宋" w:eastAsia="仿宋" w:cs="仿宋"/>
          <w:color w:val="000000" w:themeColor="text1"/>
          <w:sz w:val="24"/>
          <w:szCs w:val="24"/>
          <w:highlight w:val="none"/>
          <w:lang w:val="en-US" w:eastAsia="zh-CN"/>
          <w14:textFill>
            <w14:solidFill>
              <w14:schemeClr w14:val="tx1"/>
            </w14:solidFill>
          </w14:textFill>
        </w:rPr>
        <w:t>废标</w:t>
      </w:r>
      <w:r>
        <w:rPr>
          <w:rFonts w:hint="eastAsia" w:ascii="仿宋" w:hAnsi="仿宋" w:eastAsia="仿宋" w:cs="仿宋"/>
          <w:color w:val="000000" w:themeColor="text1"/>
          <w:sz w:val="24"/>
          <w:szCs w:val="24"/>
          <w:highlight w:val="none"/>
          <w14:textFill>
            <w14:solidFill>
              <w14:schemeClr w14:val="tx1"/>
            </w14:solidFill>
          </w14:textFill>
        </w:rPr>
        <w:t>的其他情形。</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color w:val="000000" w:themeColor="text1"/>
          <w:sz w:val="24"/>
          <w:szCs w:val="24"/>
          <w:highlight w:val="none"/>
          <w14:textFill>
            <w14:solidFill>
              <w14:schemeClr w14:val="tx1"/>
            </w14:solidFill>
          </w14:textFill>
        </w:rPr>
        <w:t>废标后，采购人应当将废标理由通知所有投标人。</w:t>
      </w:r>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354" w:name="_Toc102116022"/>
      <w:bookmarkStart w:id="355" w:name="_Toc102056218"/>
      <w:bookmarkStart w:id="356" w:name="_Toc163492907"/>
      <w:bookmarkStart w:id="357" w:name="_Toc102119853"/>
      <w:bookmarkStart w:id="358" w:name="_Toc155185914"/>
      <w:bookmarkStart w:id="359" w:name="_Toc102116152"/>
      <w:bookmarkStart w:id="360" w:name="_Toc102057718"/>
      <w:bookmarkStart w:id="361" w:name="_Toc102114920"/>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九</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）停止评标的情形</w:t>
      </w:r>
      <w:bookmarkEnd w:id="354"/>
      <w:bookmarkEnd w:id="355"/>
      <w:bookmarkEnd w:id="356"/>
      <w:bookmarkEnd w:id="357"/>
      <w:bookmarkEnd w:id="358"/>
      <w:bookmarkEnd w:id="359"/>
      <w:bookmarkEnd w:id="360"/>
      <w:bookmarkEnd w:id="361"/>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outlineLvl w:val="9"/>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十</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）重新开展采购</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有</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中华人民共和国政府采购法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第七十一条、第七十二条规定的违法行为之一，影响或者可能影响中标结果的，依照下列规定处理：</w:t>
      </w:r>
    </w:p>
    <w:p>
      <w:pPr>
        <w:pStyle w:val="19"/>
        <w:jc w:val="both"/>
        <w:outlineLvl w:val="9"/>
        <w:rPr>
          <w:rFonts w:hint="eastAsia" w:ascii="仿宋" w:hAnsi="仿宋" w:eastAsia="仿宋" w:cs="仿宋"/>
          <w:iCs/>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iCs/>
          <w:color w:val="000000" w:themeColor="text1"/>
          <w:spacing w:val="-6"/>
          <w:sz w:val="24"/>
          <w:szCs w:val="24"/>
          <w:highlight w:val="none"/>
          <w14:textFill>
            <w14:solidFill>
              <w14:schemeClr w14:val="tx1"/>
            </w14:solidFill>
          </w14:textFill>
        </w:rPr>
        <w:t>未确定中标供应商的，终止本次政府采购活动，重新开展政府采购活动。</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.2已确定中标供应商但尚未签订政府采购合同的，中标结果无效，从合格的中标候选人中另行确定中标供应商；没有合格的中标候选人的，重新开展政府采购活动。</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.3政府采购合同已签订但尚未履行的，撤销合同，从合格的中标候选人中另行确定中标供应商；没有合格的中标候选人的，重新开展政府采购活动。</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.4政府采购合同已经履行，给采购人、供应商造成损失的，由责任人承担赔偿责任。</w:t>
      </w:r>
    </w:p>
    <w:p>
      <w:pPr>
        <w:pStyle w:val="19"/>
        <w:jc w:val="both"/>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.5政府采购当事人有其他违反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中华人民共和国政府采购法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或者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中华人民共和国政府采购法实施条例</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等法律法规规定的行为，经改正后仍然影响或者可能影响中标结果或者依法被认定为中标无效的，依照</w:t>
      </w: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.4规定处理。</w:t>
      </w:r>
    </w:p>
    <w:bookmarkEnd w:id="327"/>
    <w:bookmarkEnd w:id="328"/>
    <w:bookmarkEnd w:id="329"/>
    <w:bookmarkEnd w:id="330"/>
    <w:bookmarkEnd w:id="331"/>
    <w:bookmarkEnd w:id="332"/>
    <w:bookmarkEnd w:id="333"/>
    <w:bookmarkEnd w:id="334"/>
    <w:bookmarkEnd w:id="335"/>
    <w:bookmarkEnd w:id="336"/>
    <w:p>
      <w:pPr>
        <w:pStyle w:val="19"/>
        <w:jc w:val="both"/>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362" w:name="_Toc17247"/>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三、评标</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其他要求</w:t>
      </w:r>
      <w:bookmarkEnd w:id="362"/>
    </w:p>
    <w:p>
      <w:pPr>
        <w:keepNext/>
        <w:keepLines/>
        <w:spacing w:line="440" w:lineRule="exact"/>
        <w:ind w:left="480" w:leftChars="200" w:firstLine="300" w:firstLineChars="125"/>
        <w:outlineLvl w:val="9"/>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w:t>
      </w:r>
    </w:p>
    <w:p>
      <w:pPr>
        <w:pStyle w:val="19"/>
        <w:jc w:val="both"/>
        <w:outlineLvl w:val="9"/>
        <w:rPr>
          <w:rFonts w:hint="eastAsia" w:ascii="仿宋" w:hAnsi="仿宋" w:eastAsia="仿宋" w:cs="仿宋"/>
          <w:b/>
          <w:bCs/>
          <w:color w:val="000000" w:themeColor="text1"/>
          <w:sz w:val="28"/>
          <w:szCs w:val="28"/>
          <w:highlight w:val="none"/>
          <w:lang w:val="zh-CN" w:eastAsia="zh-CN"/>
          <w14:textFill>
            <w14:solidFill>
              <w14:schemeClr w14:val="tx1"/>
            </w14:solidFill>
          </w14:textFill>
        </w:rPr>
      </w:pP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四、评标标准</w:t>
      </w:r>
      <w:bookmarkEnd w:id="322"/>
      <w:bookmarkEnd w:id="323"/>
      <w:bookmarkEnd w:id="324"/>
    </w:p>
    <w:p>
      <w:pPr>
        <w:spacing w:line="440" w:lineRule="exact"/>
        <w:ind w:left="420" w:hanging="420"/>
        <w:outlineLvl w:val="9"/>
        <w:rPr>
          <w:rFonts w:ascii="仿宋" w:hAnsi="仿宋" w:eastAsia="仿宋" w:cs="仿宋"/>
          <w:b/>
          <w:bCs/>
          <w:color w:val="000000" w:themeColor="text1"/>
          <w:szCs w:val="24"/>
          <w:highlight w:val="none"/>
          <w:lang w:val="zh-CN"/>
          <w14:textFill>
            <w14:solidFill>
              <w14:schemeClr w14:val="tx1"/>
            </w14:solidFill>
          </w14:textFill>
        </w:rPr>
      </w:pPr>
      <w:bookmarkStart w:id="363" w:name="_Toc163492909"/>
      <w:r>
        <w:rPr>
          <w:rFonts w:hint="eastAsia" w:ascii="仿宋" w:hAnsi="仿宋" w:eastAsia="仿宋" w:cs="仿宋"/>
          <w:b/>
          <w:bCs/>
          <w:color w:val="000000" w:themeColor="text1"/>
          <w:szCs w:val="24"/>
          <w:highlight w:val="none"/>
          <w:lang w:val="zh-CN"/>
          <w14:textFill>
            <w14:solidFill>
              <w14:schemeClr w14:val="tx1"/>
            </w14:solidFill>
          </w14:textFill>
        </w:rPr>
        <w:t>（一）符合性审查表</w:t>
      </w:r>
      <w:bookmarkEnd w:id="363"/>
    </w:p>
    <w:tbl>
      <w:tblPr>
        <w:tblStyle w:val="14"/>
        <w:tblW w:w="9396"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
        <w:gridCol w:w="1579"/>
        <w:gridCol w:w="5678"/>
        <w:gridCol w:w="728"/>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92" w:type="dxa"/>
            <w:vMerge w:val="restart"/>
            <w:shd w:val="clear" w:color="auto" w:fill="D8D8D8" w:themeFill="background1" w:themeFillShade="D9"/>
            <w:vAlign w:val="center"/>
          </w:tcPr>
          <w:p>
            <w:pPr>
              <w:pStyle w:val="20"/>
              <w:jc w:val="center"/>
              <w:outlineLvl w:val="9"/>
              <w:rPr>
                <w:rFonts w:ascii="仿宋" w:hAnsi="仿宋" w:eastAsia="仿宋" w:cs="仿宋"/>
                <w:b/>
                <w:bCs/>
                <w:color w:val="000000" w:themeColor="text1"/>
                <w:sz w:val="21"/>
                <w:szCs w:val="21"/>
                <w:highlight w:val="none"/>
                <w:lang w:val="zh-CN"/>
                <w14:textFill>
                  <w14:solidFill>
                    <w14:schemeClr w14:val="tx1"/>
                  </w14:solidFill>
                </w14:textFill>
              </w:rPr>
            </w:pPr>
            <w:r>
              <w:rPr>
                <w:rFonts w:hint="eastAsia" w:ascii="仿宋" w:hAnsi="仿宋" w:eastAsia="仿宋" w:cs="仿宋"/>
                <w:b/>
                <w:bCs/>
                <w:color w:val="000000" w:themeColor="text1"/>
                <w:sz w:val="21"/>
                <w:szCs w:val="21"/>
                <w:highlight w:val="none"/>
                <w:lang w:val="zh-CN"/>
                <w14:textFill>
                  <w14:solidFill>
                    <w14:schemeClr w14:val="tx1"/>
                  </w14:solidFill>
                </w14:textFill>
              </w:rPr>
              <w:t>序号</w:t>
            </w:r>
          </w:p>
        </w:tc>
        <w:tc>
          <w:tcPr>
            <w:tcW w:w="1579" w:type="dxa"/>
            <w:vMerge w:val="restart"/>
            <w:shd w:val="clear" w:color="auto" w:fill="D8D8D8" w:themeFill="background1" w:themeFillShade="D9"/>
            <w:vAlign w:val="center"/>
          </w:tcPr>
          <w:p>
            <w:pPr>
              <w:pStyle w:val="20"/>
              <w:jc w:val="center"/>
              <w:outlineLvl w:val="9"/>
              <w:rPr>
                <w:rFonts w:ascii="仿宋" w:hAnsi="仿宋" w:eastAsia="仿宋" w:cs="仿宋"/>
                <w:b/>
                <w:bCs/>
                <w:color w:val="000000" w:themeColor="text1"/>
                <w:sz w:val="21"/>
                <w:szCs w:val="21"/>
                <w:highlight w:val="none"/>
                <w:lang w:val="zh-CN"/>
                <w14:textFill>
                  <w14:solidFill>
                    <w14:schemeClr w14:val="tx1"/>
                  </w14:solidFill>
                </w14:textFill>
              </w:rPr>
            </w:pPr>
            <w:r>
              <w:rPr>
                <w:rFonts w:hint="eastAsia" w:ascii="仿宋" w:hAnsi="仿宋" w:eastAsia="仿宋" w:cs="仿宋"/>
                <w:b/>
                <w:bCs/>
                <w:color w:val="000000" w:themeColor="text1"/>
                <w:sz w:val="21"/>
                <w:szCs w:val="21"/>
                <w:highlight w:val="none"/>
                <w:lang w:val="zh-CN"/>
                <w14:textFill>
                  <w14:solidFill>
                    <w14:schemeClr w14:val="tx1"/>
                  </w14:solidFill>
                </w14:textFill>
              </w:rPr>
              <w:t>审查项名称</w:t>
            </w:r>
          </w:p>
        </w:tc>
        <w:tc>
          <w:tcPr>
            <w:tcW w:w="5678" w:type="dxa"/>
            <w:vMerge w:val="restart"/>
            <w:shd w:val="clear" w:color="auto" w:fill="D8D8D8" w:themeFill="background1" w:themeFillShade="D9"/>
            <w:vAlign w:val="center"/>
          </w:tcPr>
          <w:p>
            <w:pPr>
              <w:pStyle w:val="20"/>
              <w:jc w:val="center"/>
              <w:outlineLvl w:val="9"/>
              <w:rPr>
                <w:rFonts w:ascii="仿宋" w:hAnsi="仿宋" w:eastAsia="仿宋" w:cs="仿宋"/>
                <w:b/>
                <w:bCs/>
                <w:color w:val="000000" w:themeColor="text1"/>
                <w:sz w:val="21"/>
                <w:szCs w:val="21"/>
                <w:highlight w:val="none"/>
                <w:lang w:val="zh-CN"/>
                <w14:textFill>
                  <w14:solidFill>
                    <w14:schemeClr w14:val="tx1"/>
                  </w14:solidFill>
                </w14:textFill>
              </w:rPr>
            </w:pPr>
            <w:r>
              <w:rPr>
                <w:rFonts w:hint="eastAsia" w:ascii="仿宋" w:hAnsi="仿宋" w:eastAsia="仿宋" w:cs="仿宋"/>
                <w:b/>
                <w:bCs/>
                <w:color w:val="000000" w:themeColor="text1"/>
                <w:sz w:val="21"/>
                <w:szCs w:val="21"/>
                <w:highlight w:val="none"/>
                <w:lang w:val="zh-CN"/>
                <w14:textFill>
                  <w14:solidFill>
                    <w14:schemeClr w14:val="tx1"/>
                  </w14:solidFill>
                </w14:textFill>
              </w:rPr>
              <w:t>审查内容</w:t>
            </w:r>
          </w:p>
        </w:tc>
        <w:tc>
          <w:tcPr>
            <w:tcW w:w="1647" w:type="dxa"/>
            <w:gridSpan w:val="2"/>
            <w:shd w:val="clear" w:color="auto" w:fill="D8D8D8" w:themeFill="background1" w:themeFillShade="D9"/>
            <w:vAlign w:val="center"/>
          </w:tcPr>
          <w:p>
            <w:pPr>
              <w:pStyle w:val="20"/>
              <w:jc w:val="center"/>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492" w:type="dxa"/>
            <w:vMerge w:val="continue"/>
            <w:shd w:val="clear" w:color="auto" w:fill="D8D8D8" w:themeFill="background1" w:themeFillShade="D9"/>
            <w:vAlign w:val="center"/>
          </w:tcPr>
          <w:p>
            <w:pPr>
              <w:pStyle w:val="20"/>
              <w:jc w:val="center"/>
              <w:outlineLvl w:val="9"/>
              <w:rPr>
                <w:rFonts w:ascii="仿宋" w:hAnsi="仿宋" w:eastAsia="仿宋" w:cs="仿宋"/>
                <w:b/>
                <w:bCs/>
                <w:color w:val="000000" w:themeColor="text1"/>
                <w:sz w:val="21"/>
                <w:szCs w:val="21"/>
                <w:highlight w:val="none"/>
                <w:lang w:val="zh-CN"/>
                <w14:textFill>
                  <w14:solidFill>
                    <w14:schemeClr w14:val="tx1"/>
                  </w14:solidFill>
                </w14:textFill>
              </w:rPr>
            </w:pPr>
          </w:p>
        </w:tc>
        <w:tc>
          <w:tcPr>
            <w:tcW w:w="1579" w:type="dxa"/>
            <w:vMerge w:val="continue"/>
            <w:shd w:val="clear" w:color="auto" w:fill="D8D8D8" w:themeFill="background1" w:themeFillShade="D9"/>
            <w:vAlign w:val="center"/>
          </w:tcPr>
          <w:p>
            <w:pPr>
              <w:pStyle w:val="20"/>
              <w:jc w:val="center"/>
              <w:outlineLvl w:val="9"/>
              <w:rPr>
                <w:rFonts w:ascii="仿宋" w:hAnsi="仿宋" w:eastAsia="仿宋" w:cs="仿宋"/>
                <w:b/>
                <w:bCs/>
                <w:color w:val="000000" w:themeColor="text1"/>
                <w:sz w:val="21"/>
                <w:szCs w:val="21"/>
                <w:highlight w:val="none"/>
                <w:lang w:val="zh-CN"/>
                <w14:textFill>
                  <w14:solidFill>
                    <w14:schemeClr w14:val="tx1"/>
                  </w14:solidFill>
                </w14:textFill>
              </w:rPr>
            </w:pPr>
          </w:p>
        </w:tc>
        <w:tc>
          <w:tcPr>
            <w:tcW w:w="5678" w:type="dxa"/>
            <w:vMerge w:val="continue"/>
            <w:shd w:val="clear" w:color="auto" w:fill="D8D8D8" w:themeFill="background1" w:themeFillShade="D9"/>
            <w:vAlign w:val="center"/>
          </w:tcPr>
          <w:p>
            <w:pPr>
              <w:pStyle w:val="20"/>
              <w:jc w:val="center"/>
              <w:outlineLvl w:val="9"/>
              <w:rPr>
                <w:rFonts w:ascii="仿宋" w:hAnsi="仿宋" w:eastAsia="仿宋" w:cs="仿宋"/>
                <w:b/>
                <w:bCs/>
                <w:color w:val="000000" w:themeColor="text1"/>
                <w:sz w:val="21"/>
                <w:szCs w:val="21"/>
                <w:highlight w:val="none"/>
                <w:lang w:val="zh-CN"/>
                <w14:textFill>
                  <w14:solidFill>
                    <w14:schemeClr w14:val="tx1"/>
                  </w14:solidFill>
                </w14:textFill>
              </w:rPr>
            </w:pPr>
          </w:p>
        </w:tc>
        <w:tc>
          <w:tcPr>
            <w:tcW w:w="728" w:type="dxa"/>
            <w:shd w:val="clear" w:color="auto" w:fill="D8D8D8" w:themeFill="background1" w:themeFillShade="D9"/>
            <w:vAlign w:val="center"/>
          </w:tcPr>
          <w:p>
            <w:pPr>
              <w:pStyle w:val="20"/>
              <w:jc w:val="center"/>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符合</w:t>
            </w:r>
          </w:p>
        </w:tc>
        <w:tc>
          <w:tcPr>
            <w:tcW w:w="919" w:type="dxa"/>
            <w:shd w:val="clear" w:color="auto" w:fill="D8D8D8" w:themeFill="background1" w:themeFillShade="D9"/>
            <w:vAlign w:val="center"/>
          </w:tcPr>
          <w:p>
            <w:pPr>
              <w:pStyle w:val="20"/>
              <w:jc w:val="center"/>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492" w:type="dxa"/>
            <w:shd w:val="clear" w:color="auto" w:fill="auto"/>
            <w:vAlign w:val="center"/>
          </w:tcPr>
          <w:p>
            <w:pPr>
              <w:pStyle w:val="20"/>
              <w:ind w:left="420" w:hanging="420"/>
              <w:jc w:val="center"/>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1</w:t>
            </w:r>
          </w:p>
        </w:tc>
        <w:tc>
          <w:tcPr>
            <w:tcW w:w="1579" w:type="dxa"/>
            <w:vAlign w:val="center"/>
          </w:tcPr>
          <w:p>
            <w:pPr>
              <w:pStyle w:val="20"/>
              <w:jc w:val="center"/>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投标文件</w:t>
            </w:r>
            <w:r>
              <w:rPr>
                <w:rFonts w:hint="eastAsia" w:ascii="仿宋" w:hAnsi="仿宋" w:eastAsia="仿宋" w:cs="仿宋"/>
                <w:color w:val="000000" w:themeColor="text1"/>
                <w:sz w:val="21"/>
                <w:szCs w:val="21"/>
                <w:highlight w:val="none"/>
                <w14:textFill>
                  <w14:solidFill>
                    <w14:schemeClr w14:val="tx1"/>
                  </w14:solidFill>
                </w14:textFill>
              </w:rPr>
              <w:t>签署</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投标文件按招标文件要求签署、盖章的</w:t>
            </w:r>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492" w:type="dxa"/>
            <w:shd w:val="clear" w:color="auto" w:fill="auto"/>
            <w:vAlign w:val="center"/>
          </w:tcPr>
          <w:p>
            <w:pPr>
              <w:pStyle w:val="20"/>
              <w:ind w:left="420" w:hanging="420"/>
              <w:jc w:val="center"/>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2</w:t>
            </w:r>
          </w:p>
        </w:tc>
        <w:tc>
          <w:tcPr>
            <w:tcW w:w="1579" w:type="dxa"/>
            <w:shd w:val="clear" w:color="auto" w:fill="auto"/>
            <w:vAlign w:val="center"/>
          </w:tcPr>
          <w:p>
            <w:pPr>
              <w:pStyle w:val="20"/>
              <w:jc w:val="center"/>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实质性要求</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bookmarkStart w:id="364" w:name="OLE_LINK47"/>
            <w:r>
              <w:rPr>
                <w:rFonts w:hint="eastAsia" w:ascii="仿宋" w:hAnsi="仿宋" w:eastAsia="仿宋" w:cs="仿宋"/>
                <w:color w:val="000000" w:themeColor="text1"/>
                <w:sz w:val="21"/>
                <w:szCs w:val="21"/>
                <w:highlight w:val="none"/>
                <w14:textFill>
                  <w14:solidFill>
                    <w14:schemeClr w14:val="tx1"/>
                  </w14:solidFill>
                </w14:textFill>
              </w:rPr>
              <w:t>投标</w:t>
            </w:r>
            <w:r>
              <w:rPr>
                <w:rFonts w:hint="eastAsia" w:ascii="仿宋" w:hAnsi="仿宋" w:eastAsia="仿宋" w:cs="仿宋"/>
                <w:color w:val="000000" w:themeColor="text1"/>
                <w:sz w:val="21"/>
                <w:szCs w:val="21"/>
                <w:highlight w:val="none"/>
                <w:lang w:val="zh-CN"/>
                <w14:textFill>
                  <w14:solidFill>
                    <w14:schemeClr w14:val="tx1"/>
                  </w14:solidFill>
                </w14:textFill>
              </w:rPr>
              <w:t>文件满足</w:t>
            </w:r>
            <w:r>
              <w:rPr>
                <w:rFonts w:hint="eastAsia" w:ascii="仿宋" w:hAnsi="仿宋" w:eastAsia="仿宋" w:cs="仿宋"/>
                <w:color w:val="000000" w:themeColor="text1"/>
                <w:sz w:val="21"/>
                <w:szCs w:val="21"/>
                <w:highlight w:val="none"/>
                <w14:textFill>
                  <w14:solidFill>
                    <w14:schemeClr w14:val="tx1"/>
                  </w14:solidFill>
                </w14:textFill>
              </w:rPr>
              <w:t>招标</w:t>
            </w:r>
            <w:r>
              <w:rPr>
                <w:rFonts w:hint="eastAsia" w:ascii="仿宋" w:hAnsi="仿宋" w:eastAsia="仿宋" w:cs="仿宋"/>
                <w:color w:val="000000" w:themeColor="text1"/>
                <w:sz w:val="21"/>
                <w:szCs w:val="21"/>
                <w:highlight w:val="none"/>
                <w:lang w:val="zh-CN"/>
                <w14:textFill>
                  <w14:solidFill>
                    <w14:schemeClr w14:val="tx1"/>
                  </w14:solidFill>
                </w14:textFill>
              </w:rPr>
              <w:t>文件中标注“★”号的实质性条款（或指标）要求的</w:t>
            </w:r>
            <w:r>
              <w:rPr>
                <w:rFonts w:hint="eastAsia" w:ascii="仿宋" w:hAnsi="仿宋" w:eastAsia="仿宋" w:cs="仿宋"/>
                <w:color w:val="000000" w:themeColor="text1"/>
                <w:sz w:val="21"/>
                <w:szCs w:val="21"/>
                <w:highlight w:val="none"/>
                <w14:textFill>
                  <w14:solidFill>
                    <w14:schemeClr w14:val="tx1"/>
                  </w14:solidFill>
                </w14:textFill>
              </w:rPr>
              <w:t>，具体详见</w:t>
            </w:r>
            <w:r>
              <w:rPr>
                <w:rFonts w:hint="eastAsia" w:ascii="仿宋" w:hAnsi="仿宋" w:eastAsia="仿宋" w:cs="仿宋"/>
                <w:color w:val="000000" w:themeColor="text1"/>
                <w:sz w:val="21"/>
                <w:szCs w:val="21"/>
                <w:highlight w:val="none"/>
                <w:lang w:val="zh-CN"/>
                <w14:textFill>
                  <w14:solidFill>
                    <w14:schemeClr w14:val="tx1"/>
                  </w14:solidFill>
                </w14:textFill>
              </w:rPr>
              <w:t>“实质性响应一览表”</w:t>
            </w:r>
            <w:bookmarkEnd w:id="364"/>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92" w:type="dxa"/>
            <w:shd w:val="clear" w:color="auto" w:fill="auto"/>
            <w:vAlign w:val="center"/>
          </w:tcPr>
          <w:p>
            <w:pPr>
              <w:pStyle w:val="20"/>
              <w:ind w:left="420" w:hanging="420"/>
              <w:jc w:val="center"/>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3</w:t>
            </w:r>
          </w:p>
        </w:tc>
        <w:tc>
          <w:tcPr>
            <w:tcW w:w="1579" w:type="dxa"/>
            <w:vAlign w:val="center"/>
          </w:tcPr>
          <w:p>
            <w:pPr>
              <w:pStyle w:val="20"/>
              <w:jc w:val="center"/>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投标报价</w:t>
            </w:r>
          </w:p>
        </w:tc>
        <w:tc>
          <w:tcPr>
            <w:tcW w:w="5678" w:type="dxa"/>
            <w:shd w:val="clear" w:color="auto" w:fill="auto"/>
            <w:vAlign w:val="center"/>
          </w:tcPr>
          <w:p>
            <w:pPr>
              <w:pStyle w:val="20"/>
              <w:outlineLvl w:val="9"/>
              <w:rPr>
                <w:rFonts w:hint="eastAsia" w:ascii="仿宋" w:hAnsi="仿宋" w:eastAsia="仿宋" w:cs="仿宋"/>
                <w:color w:val="000000" w:themeColor="text1"/>
                <w:sz w:val="21"/>
                <w:szCs w:val="21"/>
                <w:highlight w:val="none"/>
                <w:lang w:eastAsia="zh-CN"/>
                <w14:textFill>
                  <w14:solidFill>
                    <w14:schemeClr w14:val="tx1"/>
                  </w14:solidFill>
                </w14:textFill>
              </w:rPr>
            </w:pPr>
            <w:bookmarkStart w:id="365" w:name="OLE_LINK48"/>
            <w:r>
              <w:rPr>
                <w:rFonts w:hint="eastAsia" w:ascii="仿宋" w:hAnsi="仿宋" w:eastAsia="仿宋" w:cs="仿宋"/>
                <w:color w:val="000000" w:themeColor="text1"/>
                <w:sz w:val="21"/>
                <w:szCs w:val="21"/>
                <w:highlight w:val="none"/>
                <w14:textFill>
                  <w14:solidFill>
                    <w14:schemeClr w14:val="tx1"/>
                  </w14:solidFill>
                </w14:textFill>
              </w:rPr>
              <w:t>投标人报价未超过招标文件中规定的最高限价或者预算金额的</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bookmarkEnd w:id="365"/>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492" w:type="dxa"/>
            <w:shd w:val="clear" w:color="auto" w:fill="auto"/>
            <w:vAlign w:val="center"/>
          </w:tcPr>
          <w:p>
            <w:pPr>
              <w:pStyle w:val="20"/>
              <w:ind w:left="420" w:hanging="420"/>
              <w:jc w:val="center"/>
              <w:outlineLvl w:val="9"/>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4</w:t>
            </w:r>
          </w:p>
        </w:tc>
        <w:tc>
          <w:tcPr>
            <w:tcW w:w="1579" w:type="dxa"/>
            <w:vAlign w:val="center"/>
          </w:tcPr>
          <w:p>
            <w:pPr>
              <w:pStyle w:val="20"/>
              <w:jc w:val="center"/>
              <w:outlineLvl w:val="9"/>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采购清单</w:t>
            </w:r>
          </w:p>
        </w:tc>
        <w:tc>
          <w:tcPr>
            <w:tcW w:w="5678" w:type="dxa"/>
            <w:shd w:val="clear" w:color="auto" w:fill="auto"/>
            <w:vAlign w:val="center"/>
          </w:tcPr>
          <w:p>
            <w:pPr>
              <w:pStyle w:val="20"/>
              <w:jc w:val="both"/>
              <w:outlineLvl w:val="9"/>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未改变招标文件提供</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kern w:val="2"/>
                <w:sz w:val="21"/>
                <w:szCs w:val="21"/>
                <w:highlight w:val="none"/>
                <w:lang w:val="en-US" w:eastAsia="zh-CN" w:bidi="ar-SA"/>
              </w:rPr>
              <w:t>采购标的、清单数量的</w:t>
            </w:r>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492" w:type="dxa"/>
            <w:shd w:val="clear" w:color="auto" w:fill="auto"/>
            <w:vAlign w:val="center"/>
          </w:tcPr>
          <w:p>
            <w:pPr>
              <w:pStyle w:val="20"/>
              <w:ind w:left="420" w:leftChars="0" w:hanging="420" w:firstLineChars="0"/>
              <w:jc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5</w:t>
            </w:r>
          </w:p>
        </w:tc>
        <w:tc>
          <w:tcPr>
            <w:tcW w:w="1579"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虚假材料</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bookmarkStart w:id="366" w:name="OLE_LINK30"/>
            <w:r>
              <w:rPr>
                <w:rFonts w:hint="eastAsia" w:ascii="仿宋" w:hAnsi="仿宋" w:eastAsia="仿宋" w:cs="仿宋"/>
                <w:color w:val="000000" w:themeColor="text1"/>
                <w:sz w:val="21"/>
                <w:szCs w:val="21"/>
                <w:highlight w:val="none"/>
                <w14:textFill>
                  <w14:solidFill>
                    <w14:schemeClr w14:val="tx1"/>
                  </w14:solidFill>
                </w14:textFill>
              </w:rPr>
              <w:t>投标</w:t>
            </w:r>
            <w:r>
              <w:rPr>
                <w:rFonts w:hint="eastAsia" w:ascii="仿宋" w:hAnsi="仿宋" w:eastAsia="仿宋" w:cs="仿宋"/>
                <w:color w:val="000000" w:themeColor="text1"/>
                <w:sz w:val="21"/>
                <w:szCs w:val="21"/>
                <w:highlight w:val="none"/>
                <w:lang w:val="zh-CN"/>
                <w14:textFill>
                  <w14:solidFill>
                    <w14:schemeClr w14:val="tx1"/>
                  </w14:solidFill>
                </w14:textFill>
              </w:rPr>
              <w:t>文件</w:t>
            </w:r>
            <w:r>
              <w:rPr>
                <w:rFonts w:hint="eastAsia" w:ascii="仿宋" w:hAnsi="仿宋" w:eastAsia="仿宋" w:cs="仿宋"/>
                <w:color w:val="000000" w:themeColor="text1"/>
                <w:sz w:val="21"/>
                <w:szCs w:val="21"/>
                <w:highlight w:val="none"/>
                <w14:textFill>
                  <w14:solidFill>
                    <w14:schemeClr w14:val="tx1"/>
                  </w14:solidFill>
                </w14:textFill>
              </w:rPr>
              <w:t>未</w:t>
            </w:r>
            <w:r>
              <w:rPr>
                <w:rFonts w:hint="eastAsia" w:ascii="仿宋" w:hAnsi="仿宋" w:eastAsia="仿宋" w:cs="仿宋"/>
                <w:color w:val="000000" w:themeColor="text1"/>
                <w:sz w:val="21"/>
                <w:szCs w:val="21"/>
                <w:highlight w:val="none"/>
                <w:lang w:val="zh-CN"/>
                <w14:textFill>
                  <w14:solidFill>
                    <w14:schemeClr w14:val="tx1"/>
                  </w14:solidFill>
                </w14:textFill>
              </w:rPr>
              <w:t>提供虚假材料的</w:t>
            </w:r>
            <w:bookmarkEnd w:id="366"/>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492" w:type="dxa"/>
            <w:shd w:val="clear" w:color="auto" w:fill="auto"/>
            <w:vAlign w:val="center"/>
          </w:tcPr>
          <w:p>
            <w:pPr>
              <w:pStyle w:val="20"/>
              <w:ind w:left="420" w:leftChars="0" w:hanging="420" w:firstLineChars="0"/>
              <w:jc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6</w:t>
            </w:r>
          </w:p>
        </w:tc>
        <w:tc>
          <w:tcPr>
            <w:tcW w:w="1579"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联合体</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14:textFill>
                  <w14:solidFill>
                    <w14:schemeClr w14:val="tx1"/>
                  </w14:solidFill>
                </w14:textFill>
              </w:rPr>
            </w:pPr>
            <w:bookmarkStart w:id="367" w:name="OLE_LINK49"/>
            <w:r>
              <w:rPr>
                <w:rFonts w:hint="eastAsia" w:ascii="仿宋" w:hAnsi="仿宋" w:eastAsia="仿宋" w:cs="仿宋"/>
                <w:color w:val="000000" w:themeColor="text1"/>
                <w:sz w:val="21"/>
                <w:szCs w:val="21"/>
                <w:highlight w:val="none"/>
                <w:lang w:val="zh-CN"/>
                <w14:textFill>
                  <w14:solidFill>
                    <w14:schemeClr w14:val="tx1"/>
                  </w14:solidFill>
                </w14:textFill>
              </w:rPr>
              <w:t>联合体的供应商提交</w:t>
            </w:r>
            <w:r>
              <w:rPr>
                <w:rFonts w:hint="eastAsia" w:ascii="仿宋" w:hAnsi="仿宋" w:eastAsia="仿宋" w:cs="仿宋"/>
                <w:color w:val="000000" w:themeColor="text1"/>
                <w:sz w:val="21"/>
                <w:szCs w:val="21"/>
                <w:highlight w:val="none"/>
                <w14:textFill>
                  <w14:solidFill>
                    <w14:schemeClr w14:val="tx1"/>
                  </w14:solidFill>
                </w14:textFill>
              </w:rPr>
              <w:t>了</w:t>
            </w:r>
            <w:r>
              <w:rPr>
                <w:rFonts w:hint="eastAsia" w:ascii="仿宋" w:hAnsi="仿宋" w:eastAsia="仿宋" w:cs="仿宋"/>
                <w:color w:val="000000" w:themeColor="text1"/>
                <w:sz w:val="21"/>
                <w:szCs w:val="21"/>
                <w:highlight w:val="none"/>
                <w:lang w:val="zh-CN"/>
                <w14:textFill>
                  <w14:solidFill>
                    <w14:schemeClr w14:val="tx1"/>
                  </w14:solidFill>
                </w14:textFill>
              </w:rPr>
              <w:t>各方共同签署的联合体协议的（</w:t>
            </w:r>
            <w:r>
              <w:rPr>
                <w:rFonts w:hint="eastAsia" w:ascii="仿宋" w:hAnsi="仿宋" w:eastAsia="仿宋" w:cs="仿宋"/>
                <w:color w:val="000000" w:themeColor="text1"/>
                <w:sz w:val="21"/>
                <w:szCs w:val="21"/>
                <w:highlight w:val="none"/>
                <w14:textFill>
                  <w14:solidFill>
                    <w14:schemeClr w14:val="tx1"/>
                  </w14:solidFill>
                </w14:textFill>
              </w:rPr>
              <w:t>如允许联合体投标的</w:t>
            </w:r>
            <w:r>
              <w:rPr>
                <w:rFonts w:hint="eastAsia" w:ascii="仿宋" w:hAnsi="仿宋" w:eastAsia="仿宋" w:cs="仿宋"/>
                <w:color w:val="000000" w:themeColor="text1"/>
                <w:sz w:val="21"/>
                <w:szCs w:val="21"/>
                <w:highlight w:val="none"/>
                <w:lang w:val="zh-CN"/>
                <w14:textFill>
                  <w14:solidFill>
                    <w14:schemeClr w14:val="tx1"/>
                  </w14:solidFill>
                </w14:textFill>
              </w:rPr>
              <w:t>）</w:t>
            </w:r>
            <w:bookmarkEnd w:id="367"/>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492" w:type="dxa"/>
            <w:shd w:val="clear" w:color="auto" w:fill="auto"/>
            <w:vAlign w:val="center"/>
          </w:tcPr>
          <w:p>
            <w:pPr>
              <w:pStyle w:val="20"/>
              <w:jc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w:t>
            </w:r>
          </w:p>
        </w:tc>
        <w:tc>
          <w:tcPr>
            <w:tcW w:w="1579"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投标保证金</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bookmarkStart w:id="368" w:name="OLE_LINK50"/>
            <w:r>
              <w:rPr>
                <w:rFonts w:hint="eastAsia" w:ascii="仿宋" w:hAnsi="仿宋" w:eastAsia="仿宋" w:cs="仿宋"/>
                <w:color w:val="000000" w:themeColor="text1"/>
                <w:sz w:val="21"/>
                <w:szCs w:val="21"/>
                <w:highlight w:val="none"/>
                <w14:textFill>
                  <w14:solidFill>
                    <w14:schemeClr w14:val="tx1"/>
                  </w14:solidFill>
                </w14:textFill>
              </w:rPr>
              <w:t>投标人按招标文件的规定交纳投标保证金的</w:t>
            </w:r>
            <w:bookmarkEnd w:id="368"/>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92" w:type="dxa"/>
            <w:shd w:val="clear" w:color="auto" w:fill="auto"/>
            <w:vAlign w:val="center"/>
          </w:tcPr>
          <w:p>
            <w:pPr>
              <w:pStyle w:val="20"/>
              <w:ind w:left="420" w:leftChars="0" w:hanging="420" w:firstLineChars="0"/>
              <w:jc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bookmarkStart w:id="369" w:name="OLE_LINK51" w:colFirst="1" w:colLast="2"/>
            <w:r>
              <w:rPr>
                <w:rFonts w:hint="eastAsia" w:ascii="仿宋" w:hAnsi="仿宋" w:eastAsia="仿宋" w:cs="仿宋"/>
                <w:color w:val="000000" w:themeColor="text1"/>
                <w:sz w:val="21"/>
                <w:szCs w:val="21"/>
                <w:highlight w:val="none"/>
                <w14:textFill>
                  <w14:solidFill>
                    <w14:schemeClr w14:val="tx1"/>
                  </w14:solidFill>
                </w14:textFill>
              </w:rPr>
              <w:t>8</w:t>
            </w:r>
          </w:p>
        </w:tc>
        <w:tc>
          <w:tcPr>
            <w:tcW w:w="1579"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投标文件的澄清、说明、补正</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评审期间,</w:t>
            </w:r>
            <w:r>
              <w:rPr>
                <w:rFonts w:hint="eastAsia" w:ascii="仿宋" w:hAnsi="仿宋" w:eastAsia="仿宋" w:cs="仿宋"/>
                <w:color w:val="000000" w:themeColor="text1"/>
                <w:sz w:val="21"/>
                <w:szCs w:val="21"/>
                <w:highlight w:val="none"/>
                <w14:textFill>
                  <w14:solidFill>
                    <w14:schemeClr w14:val="tx1"/>
                  </w14:solidFill>
                </w14:textFill>
              </w:rPr>
              <w:t>投标人</w:t>
            </w:r>
            <w:r>
              <w:rPr>
                <w:rFonts w:hint="eastAsia" w:ascii="仿宋" w:hAnsi="仿宋" w:eastAsia="仿宋" w:cs="仿宋"/>
                <w:color w:val="000000" w:themeColor="text1"/>
                <w:sz w:val="21"/>
                <w:szCs w:val="21"/>
                <w:highlight w:val="none"/>
                <w:lang w:val="zh-CN"/>
                <w14:textFill>
                  <w14:solidFill>
                    <w14:schemeClr w14:val="tx1"/>
                  </w14:solidFill>
                </w14:textFill>
              </w:rPr>
              <w:t>按评标委员会的要求提交经授权代表签字的澄清、说明、补正或</w:t>
            </w:r>
            <w:r>
              <w:rPr>
                <w:rFonts w:hint="eastAsia" w:ascii="仿宋" w:hAnsi="仿宋" w:eastAsia="仿宋" w:cs="仿宋"/>
                <w:color w:val="000000" w:themeColor="text1"/>
                <w:sz w:val="21"/>
                <w:szCs w:val="21"/>
                <w:highlight w:val="none"/>
                <w14:textFill>
                  <w14:solidFill>
                    <w14:schemeClr w14:val="tx1"/>
                  </w14:solidFill>
                </w14:textFill>
              </w:rPr>
              <w:t>未</w:t>
            </w:r>
            <w:r>
              <w:rPr>
                <w:rFonts w:hint="eastAsia" w:ascii="仿宋" w:hAnsi="仿宋" w:eastAsia="仿宋" w:cs="仿宋"/>
                <w:color w:val="000000" w:themeColor="text1"/>
                <w:sz w:val="21"/>
                <w:szCs w:val="21"/>
                <w:highlight w:val="none"/>
                <w:lang w:val="zh-CN"/>
                <w14:textFill>
                  <w14:solidFill>
                    <w14:schemeClr w14:val="tx1"/>
                  </w14:solidFill>
                </w14:textFill>
              </w:rPr>
              <w:t>改变</w:t>
            </w:r>
            <w:r>
              <w:rPr>
                <w:rFonts w:hint="eastAsia" w:ascii="仿宋" w:hAnsi="仿宋" w:eastAsia="仿宋" w:cs="仿宋"/>
                <w:color w:val="000000" w:themeColor="text1"/>
                <w:sz w:val="21"/>
                <w:szCs w:val="21"/>
                <w:highlight w:val="none"/>
                <w14:textFill>
                  <w14:solidFill>
                    <w14:schemeClr w14:val="tx1"/>
                  </w14:solidFill>
                </w14:textFill>
              </w:rPr>
              <w:t>投标</w:t>
            </w:r>
            <w:r>
              <w:rPr>
                <w:rFonts w:hint="eastAsia" w:ascii="仿宋" w:hAnsi="仿宋" w:eastAsia="仿宋" w:cs="仿宋"/>
                <w:color w:val="000000" w:themeColor="text1"/>
                <w:sz w:val="21"/>
                <w:szCs w:val="21"/>
                <w:highlight w:val="none"/>
                <w:lang w:val="zh-CN"/>
                <w14:textFill>
                  <w14:solidFill>
                    <w14:schemeClr w14:val="tx1"/>
                  </w14:solidFill>
                </w14:textFill>
              </w:rPr>
              <w:t>文件的实质性内容</w:t>
            </w:r>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bookmarkEnd w:id="36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492" w:type="dxa"/>
            <w:shd w:val="clear" w:color="auto" w:fill="auto"/>
            <w:vAlign w:val="center"/>
          </w:tcPr>
          <w:p>
            <w:pPr>
              <w:pStyle w:val="20"/>
              <w:ind w:left="420" w:leftChars="0" w:hanging="420" w:firstLineChars="0"/>
              <w:jc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w:t>
            </w:r>
          </w:p>
        </w:tc>
        <w:tc>
          <w:tcPr>
            <w:tcW w:w="1579"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投标人影响评标</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14:textFill>
                  <w14:solidFill>
                    <w14:schemeClr w14:val="tx1"/>
                  </w14:solidFill>
                </w14:textFill>
              </w:rPr>
            </w:pPr>
            <w:bookmarkStart w:id="370" w:name="OLE_LINK55"/>
            <w:r>
              <w:rPr>
                <w:rFonts w:hint="eastAsia" w:ascii="仿宋" w:hAnsi="仿宋" w:eastAsia="仿宋" w:cs="仿宋"/>
                <w:color w:val="000000" w:themeColor="text1"/>
                <w:sz w:val="21"/>
                <w:szCs w:val="21"/>
                <w:highlight w:val="none"/>
                <w14:textFill>
                  <w14:solidFill>
                    <w14:schemeClr w14:val="tx1"/>
                  </w14:solidFill>
                </w14:textFill>
              </w:rPr>
              <w:t>投标人</w:t>
            </w:r>
            <w:r>
              <w:rPr>
                <w:rFonts w:hint="eastAsia" w:ascii="仿宋" w:hAnsi="仿宋" w:eastAsia="仿宋" w:cs="仿宋"/>
                <w:color w:val="000000" w:themeColor="text1"/>
                <w:sz w:val="21"/>
                <w:szCs w:val="21"/>
                <w:highlight w:val="none"/>
                <w:lang w:val="zh-CN"/>
                <w14:textFill>
                  <w14:solidFill>
                    <w14:schemeClr w14:val="tx1"/>
                  </w14:solidFill>
                </w14:textFill>
              </w:rPr>
              <w:t>对采购人、采购代理机构、评标委员会及其工作人员</w:t>
            </w:r>
            <w:r>
              <w:rPr>
                <w:rFonts w:hint="eastAsia" w:ascii="仿宋" w:hAnsi="仿宋" w:eastAsia="仿宋" w:cs="仿宋"/>
                <w:color w:val="000000" w:themeColor="text1"/>
                <w:sz w:val="21"/>
                <w:szCs w:val="21"/>
                <w:highlight w:val="none"/>
                <w14:textFill>
                  <w14:solidFill>
                    <w14:schemeClr w14:val="tx1"/>
                  </w14:solidFill>
                </w14:textFill>
              </w:rPr>
              <w:t>未</w:t>
            </w:r>
            <w:r>
              <w:rPr>
                <w:rFonts w:hint="eastAsia" w:ascii="仿宋" w:hAnsi="仿宋" w:eastAsia="仿宋" w:cs="仿宋"/>
                <w:color w:val="000000" w:themeColor="text1"/>
                <w:sz w:val="21"/>
                <w:szCs w:val="21"/>
                <w:highlight w:val="none"/>
                <w:lang w:val="zh-CN"/>
                <w14:textFill>
                  <w14:solidFill>
                    <w14:schemeClr w14:val="tx1"/>
                  </w14:solidFill>
                </w14:textFill>
              </w:rPr>
              <w:t>施加影响,</w:t>
            </w:r>
            <w:r>
              <w:rPr>
                <w:rFonts w:hint="eastAsia" w:ascii="仿宋" w:hAnsi="仿宋" w:eastAsia="仿宋" w:cs="仿宋"/>
                <w:color w:val="000000" w:themeColor="text1"/>
                <w:sz w:val="21"/>
                <w:szCs w:val="21"/>
                <w:highlight w:val="none"/>
                <w14:textFill>
                  <w14:solidFill>
                    <w14:schemeClr w14:val="tx1"/>
                  </w14:solidFill>
                </w14:textFill>
              </w:rPr>
              <w:t>无</w:t>
            </w:r>
            <w:r>
              <w:rPr>
                <w:rFonts w:hint="eastAsia" w:ascii="仿宋" w:hAnsi="仿宋" w:eastAsia="仿宋" w:cs="仿宋"/>
                <w:color w:val="000000" w:themeColor="text1"/>
                <w:sz w:val="21"/>
                <w:szCs w:val="21"/>
                <w:highlight w:val="none"/>
                <w:lang w:val="zh-CN"/>
                <w14:textFill>
                  <w14:solidFill>
                    <w14:schemeClr w14:val="tx1"/>
                  </w14:solidFill>
                </w14:textFill>
              </w:rPr>
              <w:t>有碍公平、公正</w:t>
            </w:r>
            <w:r>
              <w:rPr>
                <w:rFonts w:hint="eastAsia" w:ascii="仿宋" w:hAnsi="仿宋" w:eastAsia="仿宋" w:cs="仿宋"/>
                <w:color w:val="000000" w:themeColor="text1"/>
                <w:sz w:val="21"/>
                <w:szCs w:val="21"/>
                <w:highlight w:val="none"/>
                <w14:textFill>
                  <w14:solidFill>
                    <w14:schemeClr w14:val="tx1"/>
                  </w14:solidFill>
                </w14:textFill>
              </w:rPr>
              <w:t>的</w:t>
            </w:r>
            <w:bookmarkEnd w:id="370"/>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492" w:type="dxa"/>
            <w:shd w:val="clear" w:color="auto" w:fill="auto"/>
            <w:vAlign w:val="center"/>
          </w:tcPr>
          <w:p>
            <w:pPr>
              <w:pStyle w:val="20"/>
              <w:ind w:left="420" w:leftChars="0" w:hanging="420" w:firstLineChars="0"/>
              <w:jc w:val="center"/>
              <w:outlineLvl w:val="9"/>
              <w:rPr>
                <w:rFonts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1579" w:type="dxa"/>
            <w:vAlign w:val="center"/>
          </w:tcPr>
          <w:p>
            <w:pPr>
              <w:pStyle w:val="20"/>
              <w:jc w:val="center"/>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围标串标情形</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14:textFill>
                  <w14:solidFill>
                    <w14:schemeClr w14:val="tx1"/>
                  </w14:solidFill>
                </w14:textFill>
              </w:rPr>
            </w:pPr>
            <w:bookmarkStart w:id="371" w:name="OLE_LINK56"/>
            <w:r>
              <w:rPr>
                <w:rFonts w:hint="eastAsia" w:ascii="仿宋" w:hAnsi="仿宋" w:eastAsia="仿宋" w:cs="仿宋"/>
                <w:color w:val="000000" w:themeColor="text1"/>
                <w:sz w:val="21"/>
                <w:szCs w:val="21"/>
                <w:highlight w:val="none"/>
                <w14:textFill>
                  <w14:solidFill>
                    <w14:schemeClr w14:val="tx1"/>
                  </w14:solidFill>
                </w14:textFill>
              </w:rPr>
              <w:t>没有</w:t>
            </w:r>
            <w:r>
              <w:rPr>
                <w:rFonts w:hint="eastAsia" w:ascii="仿宋" w:hAnsi="仿宋" w:eastAsia="仿宋" w:cs="仿宋"/>
                <w:color w:val="000000" w:themeColor="text1"/>
                <w:sz w:val="21"/>
                <w:szCs w:val="21"/>
                <w:highlight w:val="none"/>
                <w:lang w:val="zh-CN"/>
                <w14:textFill>
                  <w14:solidFill>
                    <w14:schemeClr w14:val="tx1"/>
                  </w14:solidFill>
                </w14:textFill>
              </w:rPr>
              <w:t>“第五章 评标方法及标准”</w:t>
            </w:r>
            <w:r>
              <w:rPr>
                <w:rFonts w:hint="eastAsia" w:ascii="仿宋" w:hAnsi="仿宋" w:eastAsia="仿宋" w:cs="仿宋"/>
                <w:color w:val="000000" w:themeColor="text1"/>
                <w:sz w:val="21"/>
                <w:szCs w:val="21"/>
                <w:highlight w:val="none"/>
                <w14:textFill>
                  <w14:solidFill>
                    <w14:schemeClr w14:val="tx1"/>
                  </w14:solidFill>
                </w14:textFill>
              </w:rPr>
              <w:t>第21条情形之一的</w:t>
            </w:r>
            <w:bookmarkEnd w:id="371"/>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92" w:type="dxa"/>
            <w:shd w:val="clear" w:color="auto" w:fill="auto"/>
            <w:vAlign w:val="center"/>
          </w:tcPr>
          <w:p>
            <w:pPr>
              <w:pStyle w:val="20"/>
              <w:ind w:left="420" w:leftChars="0" w:hanging="420" w:firstLineChars="0"/>
              <w:jc w:val="center"/>
              <w:outlineLvl w:val="9"/>
              <w:rPr>
                <w:rFonts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w:t>
            </w:r>
          </w:p>
        </w:tc>
        <w:tc>
          <w:tcPr>
            <w:tcW w:w="1579"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附加条件</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14:textFill>
                  <w14:solidFill>
                    <w14:schemeClr w14:val="tx1"/>
                  </w14:solidFill>
                </w14:textFill>
              </w:rPr>
            </w:pPr>
            <w:bookmarkStart w:id="372" w:name="OLE_LINK57"/>
            <w:r>
              <w:rPr>
                <w:rFonts w:hint="eastAsia" w:ascii="仿宋" w:hAnsi="仿宋" w:eastAsia="仿宋" w:cs="仿宋"/>
                <w:color w:val="000000" w:themeColor="text1"/>
                <w:sz w:val="21"/>
                <w:szCs w:val="21"/>
                <w:highlight w:val="none"/>
                <w14:textFill>
                  <w14:solidFill>
                    <w14:schemeClr w14:val="tx1"/>
                  </w14:solidFill>
                </w14:textFill>
              </w:rPr>
              <w:t>投标文件没有采购人不能接受的附加条件的</w:t>
            </w:r>
            <w:bookmarkEnd w:id="372"/>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492" w:type="dxa"/>
            <w:shd w:val="clear" w:color="auto" w:fill="auto"/>
            <w:vAlign w:val="center"/>
          </w:tcPr>
          <w:p>
            <w:pPr>
              <w:pStyle w:val="20"/>
              <w:ind w:left="420" w:hanging="420"/>
              <w:jc w:val="center"/>
              <w:outlineLvl w:val="9"/>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p>
        </w:tc>
        <w:tc>
          <w:tcPr>
            <w:tcW w:w="1579" w:type="dxa"/>
            <w:vAlign w:val="center"/>
          </w:tcPr>
          <w:p>
            <w:pPr>
              <w:pStyle w:val="20"/>
              <w:jc w:val="center"/>
              <w:outlineLvl w:val="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其他无效情形</w:t>
            </w:r>
          </w:p>
        </w:tc>
        <w:tc>
          <w:tcPr>
            <w:tcW w:w="567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bookmarkStart w:id="373" w:name="OLE_LINK58"/>
            <w:r>
              <w:rPr>
                <w:rFonts w:hint="eastAsia" w:ascii="仿宋" w:hAnsi="仿宋" w:eastAsia="仿宋" w:cs="仿宋"/>
                <w:color w:val="000000" w:themeColor="text1"/>
                <w:sz w:val="21"/>
                <w:szCs w:val="21"/>
                <w:highlight w:val="none"/>
                <w14:textFill>
                  <w14:solidFill>
                    <w14:schemeClr w14:val="tx1"/>
                  </w14:solidFill>
                </w14:textFill>
              </w:rPr>
              <w:t>没有</w:t>
            </w:r>
            <w:r>
              <w:rPr>
                <w:rFonts w:hint="eastAsia" w:ascii="仿宋" w:hAnsi="仿宋" w:eastAsia="仿宋" w:cs="仿宋"/>
                <w:color w:val="000000" w:themeColor="text1"/>
                <w:sz w:val="21"/>
                <w:szCs w:val="21"/>
                <w:highlight w:val="none"/>
                <w:lang w:val="zh-CN"/>
                <w14:textFill>
                  <w14:solidFill>
                    <w14:schemeClr w14:val="tx1"/>
                  </w14:solidFill>
                </w14:textFill>
              </w:rPr>
              <w:t>法律、法规、规章规定属于</w:t>
            </w:r>
            <w:r>
              <w:rPr>
                <w:rFonts w:hint="eastAsia" w:ascii="仿宋" w:hAnsi="仿宋" w:eastAsia="仿宋" w:cs="仿宋"/>
                <w:color w:val="000000" w:themeColor="text1"/>
                <w:sz w:val="21"/>
                <w:szCs w:val="21"/>
                <w:highlight w:val="none"/>
                <w14:textFill>
                  <w14:solidFill>
                    <w14:schemeClr w14:val="tx1"/>
                  </w14:solidFill>
                </w14:textFill>
              </w:rPr>
              <w:t>投标</w:t>
            </w:r>
            <w:r>
              <w:rPr>
                <w:rFonts w:hint="eastAsia" w:ascii="仿宋" w:hAnsi="仿宋" w:eastAsia="仿宋" w:cs="仿宋"/>
                <w:color w:val="000000" w:themeColor="text1"/>
                <w:sz w:val="21"/>
                <w:szCs w:val="21"/>
                <w:highlight w:val="none"/>
                <w:lang w:val="zh-CN"/>
                <w14:textFill>
                  <w14:solidFill>
                    <w14:schemeClr w14:val="tx1"/>
                  </w14:solidFill>
                </w14:textFill>
              </w:rPr>
              <w:t>无效的其他情形。</w:t>
            </w:r>
            <w:bookmarkEnd w:id="373"/>
          </w:p>
        </w:tc>
        <w:tc>
          <w:tcPr>
            <w:tcW w:w="728"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pPr>
              <w:pStyle w:val="20"/>
              <w:outlineLvl w:val="9"/>
              <w:rPr>
                <w:rFonts w:ascii="仿宋" w:hAnsi="仿宋" w:eastAsia="仿宋" w:cs="仿宋"/>
                <w:color w:val="000000" w:themeColor="text1"/>
                <w:sz w:val="21"/>
                <w:szCs w:val="21"/>
                <w:highlight w:val="none"/>
                <w:lang w:val="zh-CN"/>
                <w14:textFill>
                  <w14:solidFill>
                    <w14:schemeClr w14:val="tx1"/>
                  </w14:solidFill>
                </w14:textFill>
              </w:rPr>
            </w:pPr>
          </w:p>
        </w:tc>
      </w:tr>
    </w:tbl>
    <w:p>
      <w:pPr>
        <w:outlineLvl w:val="9"/>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br w:type="page"/>
      </w:r>
    </w:p>
    <w:p>
      <w:pPr>
        <w:shd w:val="clear" w:color="auto" w:fill="FFFFFF"/>
        <w:tabs>
          <w:tab w:val="left" w:pos="3045"/>
        </w:tabs>
        <w:autoSpaceDE w:val="0"/>
        <w:autoSpaceDN w:val="0"/>
        <w:adjustRightInd w:val="0"/>
        <w:snapToGrid w:val="0"/>
        <w:spacing w:line="360" w:lineRule="exact"/>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符合性审查表-附表</w:t>
      </w:r>
    </w:p>
    <w:p>
      <w:pPr>
        <w:keepNext/>
        <w:keepLines/>
        <w:spacing w:before="80" w:after="80" w:line="240" w:lineRule="auto"/>
        <w:ind w:left="420" w:hanging="420"/>
        <w:jc w:val="center"/>
        <w:outlineLvl w:val="9"/>
        <w:rPr>
          <w:rFonts w:ascii="仿宋" w:hAnsi="仿宋" w:eastAsia="仿宋" w:cs="仿宋"/>
          <w:b/>
          <w:bCs/>
          <w:color w:val="000000" w:themeColor="text1"/>
          <w:sz w:val="28"/>
          <w:szCs w:val="28"/>
          <w:highlight w:val="none"/>
          <w:lang w:val="zh-CN"/>
          <w14:textFill>
            <w14:solidFill>
              <w14:schemeClr w14:val="tx1"/>
            </w14:solidFill>
          </w14:textFill>
        </w:rPr>
      </w:pPr>
      <w:r>
        <w:rPr>
          <w:rFonts w:hint="eastAsia" w:ascii="仿宋" w:hAnsi="仿宋" w:eastAsia="仿宋" w:cs="仿宋"/>
          <w:b/>
          <w:bCs/>
          <w:color w:val="000000" w:themeColor="text1"/>
          <w:sz w:val="28"/>
          <w:szCs w:val="28"/>
          <w:highlight w:val="none"/>
          <w:lang w:val="zh-CN"/>
          <w14:textFill>
            <w14:solidFill>
              <w14:schemeClr w14:val="tx1"/>
            </w14:solidFill>
          </w14:textFill>
        </w:rPr>
        <w:t>实质性响应一览表</w:t>
      </w:r>
    </w:p>
    <w:p>
      <w:pPr>
        <w:shd w:val="clear" w:color="auto" w:fill="FFFFFF"/>
        <w:tabs>
          <w:tab w:val="left" w:pos="3045"/>
        </w:tabs>
        <w:autoSpaceDE w:val="0"/>
        <w:autoSpaceDN w:val="0"/>
        <w:adjustRightInd w:val="0"/>
        <w:snapToGrid w:val="0"/>
        <w:spacing w:line="360" w:lineRule="exact"/>
        <w:jc w:val="center"/>
        <w:outlineLvl w:val="9"/>
        <w:rPr>
          <w:rFonts w:ascii="仿宋" w:hAnsi="仿宋" w:eastAsia="仿宋" w:cs="仿宋"/>
          <w:bCs/>
          <w:color w:val="000000" w:themeColor="text1"/>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（投标人须对本附表所有内容逐条响应且无负偏离，否则其</w:t>
      </w:r>
      <w:r>
        <w:rPr>
          <w:rFonts w:hint="eastAsia" w:ascii="仿宋" w:hAnsi="仿宋" w:eastAsia="仿宋" w:cs="仿宋"/>
          <w:b/>
          <w:color w:val="000000" w:themeColor="text1"/>
          <w:szCs w:val="24"/>
          <w:highlight w:val="none"/>
          <w14:textFill>
            <w14:solidFill>
              <w14:schemeClr w14:val="tx1"/>
            </w14:solidFill>
          </w14:textFill>
        </w:rPr>
        <w:t>投标无效</w:t>
      </w:r>
      <w:r>
        <w:rPr>
          <w:rFonts w:hint="eastAsia" w:ascii="仿宋" w:hAnsi="仿宋" w:eastAsia="仿宋" w:cs="仿宋"/>
          <w:bCs/>
          <w:color w:val="000000" w:themeColor="text1"/>
          <w:szCs w:val="24"/>
          <w:highlight w:val="none"/>
          <w14:textFill>
            <w14:solidFill>
              <w14:schemeClr w14:val="tx1"/>
            </w14:solidFill>
          </w14:textFill>
        </w:rPr>
        <w:t>）</w:t>
      </w:r>
    </w:p>
    <w:tbl>
      <w:tblPr>
        <w:tblStyle w:val="14"/>
        <w:tblW w:w="9413"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3"/>
        <w:gridCol w:w="1978"/>
        <w:gridCol w:w="4292"/>
        <w:gridCol w:w="184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573" w:type="dxa"/>
            <w:vMerge w:val="restart"/>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6270" w:type="dxa"/>
            <w:gridSpan w:val="2"/>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招标文件要求的实质性响应内容</w:t>
            </w:r>
          </w:p>
        </w:tc>
        <w:tc>
          <w:tcPr>
            <w:tcW w:w="1840" w:type="dxa"/>
            <w:vMerge w:val="restart"/>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投标文件响应的具体内容</w:t>
            </w:r>
          </w:p>
        </w:tc>
        <w:tc>
          <w:tcPr>
            <w:tcW w:w="730" w:type="dxa"/>
            <w:vMerge w:val="restart"/>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573" w:type="dxa"/>
            <w:vMerge w:val="continue"/>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实质性要求</w:t>
            </w:r>
          </w:p>
        </w:tc>
        <w:tc>
          <w:tcPr>
            <w:tcW w:w="4292"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招标文件中的规定</w:t>
            </w:r>
          </w:p>
        </w:tc>
        <w:tc>
          <w:tcPr>
            <w:tcW w:w="1840" w:type="dxa"/>
            <w:vMerge w:val="continue"/>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vMerge w:val="continue"/>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4"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投标有效期</w:t>
            </w:r>
          </w:p>
        </w:tc>
        <w:tc>
          <w:tcPr>
            <w:tcW w:w="4292" w:type="dxa"/>
            <w:shd w:val="clear" w:color="auto" w:fill="auto"/>
            <w:vAlign w:val="center"/>
          </w:tcPr>
          <w:p>
            <w:pPr>
              <w:shd w:val="clear" w:color="auto" w:fill="FFFFFF"/>
              <w:autoSpaceDE w:val="0"/>
              <w:autoSpaceDN w:val="0"/>
              <w:spacing w:line="360" w:lineRule="exact"/>
              <w:outlineLvl w:val="9"/>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default" w:ascii="仿宋" w:hAnsi="仿宋" w:eastAsia="仿宋" w:cs="仿宋"/>
                <w:color w:val="000000" w:themeColor="text1"/>
                <w:sz w:val="21"/>
                <w:szCs w:val="21"/>
                <w:highlight w:val="none"/>
                <w:lang w:val="en-US" w:eastAsia="zh-CN"/>
                <w14:textFill>
                  <w14:solidFill>
                    <w14:schemeClr w14:val="tx1"/>
                  </w14:solidFill>
                </w14:textFill>
              </w:rPr>
              <w:t>90日历日</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投标人在</w:t>
            </w:r>
            <w:r>
              <w:rPr>
                <w:rFonts w:hint="eastAsia" w:ascii="仿宋" w:hAnsi="仿宋" w:eastAsia="仿宋" w:cs="仿宋"/>
                <w:color w:val="000000" w:themeColor="text1"/>
                <w:sz w:val="21"/>
                <w:szCs w:val="21"/>
                <w:highlight w:val="none"/>
                <w14:textFill>
                  <w14:solidFill>
                    <w14:schemeClr w14:val="tx1"/>
                  </w14:solidFill>
                </w14:textFill>
              </w:rPr>
              <w:t>此处填写</w:t>
            </w:r>
            <w:r>
              <w:rPr>
                <w:rFonts w:hint="eastAsia" w:ascii="仿宋" w:hAnsi="仿宋" w:eastAsia="仿宋" w:cs="仿宋"/>
                <w:color w:val="000000" w:themeColor="text1"/>
                <w:sz w:val="21"/>
                <w:szCs w:val="21"/>
                <w:highlight w:val="none"/>
                <w:lang w:val="en-US" w:eastAsia="zh-CN"/>
                <w14:textFill>
                  <w14:solidFill>
                    <w14:schemeClr w14:val="tx1"/>
                  </w14:solidFill>
                </w14:textFill>
              </w:rPr>
              <w:t>相关响应内容或投标文件中对应内容的页码</w:t>
            </w: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w:t>
            </w:r>
            <w:r>
              <w:rPr>
                <w:rFonts w:hint="eastAsia" w:ascii="仿宋" w:hAnsi="仿宋" w:eastAsia="仿宋" w:cs="仿宋"/>
                <w:color w:val="000000" w:themeColor="text1"/>
                <w:sz w:val="21"/>
                <w:szCs w:val="21"/>
                <w:highlight w:val="none"/>
                <w:lang w:val="en-US" w:eastAsia="zh-CN"/>
                <w14:textFill>
                  <w14:solidFill>
                    <w14:schemeClr w14:val="tx1"/>
                  </w14:solidFill>
                </w14:textFill>
              </w:rPr>
              <w:t>项</w:t>
            </w:r>
            <w:r>
              <w:rPr>
                <w:rFonts w:hint="eastAsia" w:ascii="仿宋" w:hAnsi="仿宋" w:eastAsia="仿宋" w:cs="仿宋"/>
                <w:color w:val="000000" w:themeColor="text1"/>
                <w:sz w:val="21"/>
                <w:szCs w:val="21"/>
                <w:highlight w:val="none"/>
                <w14:textFill>
                  <w14:solidFill>
                    <w14:schemeClr w14:val="tx1"/>
                  </w14:solidFill>
                </w14:textFill>
              </w:rPr>
              <w:t>商务要求中“交货期”</w:t>
            </w:r>
          </w:p>
        </w:tc>
        <w:tc>
          <w:tcPr>
            <w:tcW w:w="4292"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自合同签订之日起30个日历日内交货并完成安装调试。</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w:t>
            </w:r>
            <w:r>
              <w:rPr>
                <w:rFonts w:hint="eastAsia" w:ascii="仿宋" w:hAnsi="仿宋" w:eastAsia="仿宋" w:cs="仿宋"/>
                <w:color w:val="000000" w:themeColor="text1"/>
                <w:sz w:val="21"/>
                <w:szCs w:val="21"/>
                <w:highlight w:val="none"/>
                <w:lang w:val="en-US" w:eastAsia="zh-CN"/>
                <w14:textFill>
                  <w14:solidFill>
                    <w14:schemeClr w14:val="tx1"/>
                  </w14:solidFill>
                </w14:textFill>
              </w:rPr>
              <w:t>项</w:t>
            </w:r>
            <w:r>
              <w:rPr>
                <w:rFonts w:hint="eastAsia" w:ascii="仿宋" w:hAnsi="仿宋" w:eastAsia="仿宋" w:cs="仿宋"/>
                <w:color w:val="000000" w:themeColor="text1"/>
                <w:sz w:val="21"/>
                <w:szCs w:val="21"/>
                <w:highlight w:val="none"/>
                <w14:textFill>
                  <w14:solidFill>
                    <w14:schemeClr w14:val="tx1"/>
                  </w14:solidFill>
                </w14:textFill>
              </w:rPr>
              <w:t>商务要求中“交货地点”</w:t>
            </w:r>
          </w:p>
        </w:tc>
        <w:tc>
          <w:tcPr>
            <w:tcW w:w="4292"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新疆和田学院。</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w:t>
            </w:r>
            <w:r>
              <w:rPr>
                <w:rFonts w:hint="eastAsia" w:ascii="仿宋" w:hAnsi="仿宋" w:eastAsia="仿宋" w:cs="仿宋"/>
                <w:color w:val="000000" w:themeColor="text1"/>
                <w:sz w:val="21"/>
                <w:szCs w:val="21"/>
                <w:highlight w:val="none"/>
                <w:lang w:val="en-US" w:eastAsia="zh-CN"/>
                <w14:textFill>
                  <w14:solidFill>
                    <w14:schemeClr w14:val="tx1"/>
                  </w14:solidFill>
                </w14:textFill>
              </w:rPr>
              <w:t>项</w:t>
            </w:r>
            <w:r>
              <w:rPr>
                <w:rFonts w:hint="eastAsia" w:ascii="仿宋" w:hAnsi="仿宋" w:eastAsia="仿宋" w:cs="仿宋"/>
                <w:color w:val="000000" w:themeColor="text1"/>
                <w:sz w:val="21"/>
                <w:szCs w:val="21"/>
                <w:highlight w:val="none"/>
                <w14:textFill>
                  <w14:solidFill>
                    <w14:schemeClr w14:val="tx1"/>
                  </w14:solidFill>
                </w14:textFill>
              </w:rPr>
              <w:t>商务要求中“付款方式”</w:t>
            </w:r>
          </w:p>
        </w:tc>
        <w:tc>
          <w:tcPr>
            <w:tcW w:w="4292"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合同签订后支付合同金额30%的预付款，所有货物到场后经双方现场点验无误支付合同金额30%，所有货物安装调试完成、验收合格后支付合同金额40%。</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w:t>
            </w:r>
            <w:r>
              <w:rPr>
                <w:rFonts w:hint="eastAsia" w:ascii="仿宋" w:hAnsi="仿宋" w:eastAsia="仿宋" w:cs="仿宋"/>
                <w:color w:val="000000" w:themeColor="text1"/>
                <w:sz w:val="21"/>
                <w:szCs w:val="21"/>
                <w:highlight w:val="none"/>
                <w:lang w:val="en-US" w:eastAsia="zh-CN"/>
                <w14:textFill>
                  <w14:solidFill>
                    <w14:schemeClr w14:val="tx1"/>
                  </w14:solidFill>
                </w14:textFill>
              </w:rPr>
              <w:t>项</w:t>
            </w:r>
            <w:r>
              <w:rPr>
                <w:rFonts w:hint="eastAsia" w:ascii="仿宋" w:hAnsi="仿宋" w:eastAsia="仿宋" w:cs="仿宋"/>
                <w:color w:val="000000" w:themeColor="text1"/>
                <w:sz w:val="21"/>
                <w:szCs w:val="21"/>
                <w:highlight w:val="none"/>
                <w14:textFill>
                  <w14:solidFill>
                    <w14:schemeClr w14:val="tx1"/>
                  </w14:solidFill>
                </w14:textFill>
              </w:rPr>
              <w:t>商务要求中“质保期”</w:t>
            </w:r>
          </w:p>
        </w:tc>
        <w:tc>
          <w:tcPr>
            <w:tcW w:w="4292" w:type="dxa"/>
            <w:shd w:val="clear" w:color="auto" w:fill="auto"/>
            <w:vAlign w:val="center"/>
          </w:tcPr>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4.1自验收合格之日起3年。</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4.2质量保证期内，如果证实货物是有缺陷的，包括潜在的缺陷或者使用不符合要求的材料等，中标人应立即免费维修或者更换有缺陷的货物或者部件，保证达到合同规定的技术以及性能要求。如果中标人在收到通知后5天内没有弥补缺陷，采购人可自行采取必要的补救措施，但风险和费用由中标人承担，采购人同时保留通过法律途径进行索赔的权利。</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4.3在质保期内，投标人应对货物出现的质量及安全问题负责处理解决并承担一切费用。</w:t>
            </w:r>
          </w:p>
          <w:p>
            <w:pPr>
              <w:pStyle w:val="37"/>
              <w:shd w:val="clear" w:color="auto" w:fill="FFFFFF"/>
              <w:spacing w:line="360" w:lineRule="exact"/>
              <w:ind w:firstLine="0" w:firstLineChars="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4.4质保期届满后，投标人对本合同项下货物提供终身维修服务，且维修时只收取所需维修部件的成本费，服务内容应与质保期内的要求相一致。</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 w:hRule="atLeast"/>
        </w:trPr>
        <w:tc>
          <w:tcPr>
            <w:tcW w:w="573" w:type="dxa"/>
            <w:shd w:val="clear" w:color="auto" w:fill="auto"/>
            <w:vAlign w:val="center"/>
          </w:tcPr>
          <w:p>
            <w:pPr>
              <w:spacing w:line="360" w:lineRule="exact"/>
              <w:jc w:val="center"/>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1978" w:type="dxa"/>
            <w:shd w:val="clear" w:color="auto" w:fill="auto"/>
            <w:vAlign w:val="center"/>
          </w:tcPr>
          <w:p>
            <w:pPr>
              <w:spacing w:line="360" w:lineRule="exact"/>
              <w:jc w:val="center"/>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三项技术</w:t>
            </w:r>
            <w:r>
              <w:rPr>
                <w:rFonts w:hint="eastAsia" w:ascii="仿宋" w:hAnsi="仿宋" w:eastAsia="仿宋" w:cs="仿宋"/>
                <w:color w:val="000000" w:themeColor="text1"/>
                <w:sz w:val="21"/>
                <w:szCs w:val="21"/>
                <w:highlight w:val="none"/>
                <w14:textFill>
                  <w14:solidFill>
                    <w14:schemeClr w14:val="tx1"/>
                  </w14:solidFill>
                </w14:textFill>
              </w:rPr>
              <w:t>要求中“供货要求”</w:t>
            </w:r>
          </w:p>
        </w:tc>
        <w:tc>
          <w:tcPr>
            <w:tcW w:w="4292" w:type="dxa"/>
            <w:shd w:val="clear" w:color="auto" w:fill="auto"/>
            <w:vAlign w:val="center"/>
          </w:tcPr>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2.1按规定时间由投标人将符合参数的货物运抵采购人指定地点。</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2.2若所供货物与合同约定不符，采购人有权退货或要求投标人进行更换、补齐，因此造成逾期交货的，投标人应承担逾期交货的违约责任。</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2.3投标人应在接到采购人要求后7日内予以补救，所产生的费用及法律后果由投标人承担。</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 w:hRule="atLeast"/>
        </w:trPr>
        <w:tc>
          <w:tcPr>
            <w:tcW w:w="573" w:type="dxa"/>
            <w:shd w:val="clear" w:color="auto" w:fill="auto"/>
            <w:vAlign w:val="center"/>
          </w:tcPr>
          <w:p>
            <w:pPr>
              <w:spacing w:line="360" w:lineRule="exact"/>
              <w:jc w:val="center"/>
              <w:outlineLvl w:val="9"/>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1978" w:type="dxa"/>
            <w:shd w:val="clear" w:color="auto" w:fill="auto"/>
            <w:vAlign w:val="center"/>
          </w:tcPr>
          <w:p>
            <w:pPr>
              <w:spacing w:line="360" w:lineRule="exact"/>
              <w:jc w:val="center"/>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三项技术</w:t>
            </w:r>
            <w:r>
              <w:rPr>
                <w:rFonts w:hint="eastAsia" w:ascii="仿宋" w:hAnsi="仿宋" w:eastAsia="仿宋" w:cs="仿宋"/>
                <w:color w:val="000000" w:themeColor="text1"/>
                <w:sz w:val="21"/>
                <w:szCs w:val="21"/>
                <w:highlight w:val="none"/>
                <w14:textFill>
                  <w14:solidFill>
                    <w14:schemeClr w14:val="tx1"/>
                  </w14:solidFill>
                </w14:textFill>
              </w:rPr>
              <w:t>要求中“验收标准”</w:t>
            </w:r>
          </w:p>
        </w:tc>
        <w:tc>
          <w:tcPr>
            <w:tcW w:w="4292" w:type="dxa"/>
            <w:shd w:val="clear" w:color="auto" w:fill="auto"/>
            <w:vAlign w:val="center"/>
          </w:tcPr>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3.1设备安装、调试完成后，由采购人组织验收，验收合格后，采购人及中标人双方共同签署验收文件。</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3.2设备到货：货物到货前应将安装环境要求书面通知给用户，并与用户协商足够准备时间。到货时需按用户要求免费将设备在双方商定的时间运到指定安装位置，并由安装工程师当场进行开箱检查。</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安装调试：设备经开箱检查确认一切正常后，由安装工程师免费执行安装调试直至达到验收指标（以技术规格要求指标为验收指标）。由用户单位进行使用性能方面的验收。设备的性能应符合投标人应答文件中承诺的技术指标，所有指标验收必须由用户确认。</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bl>
    <w:p>
      <w:pPr>
        <w:outlineLvl w:val="9"/>
        <w:rPr>
          <w:rFonts w:ascii="仿宋" w:hAnsi="仿宋" w:eastAsia="仿宋" w:cs="仿宋"/>
          <w:b/>
          <w:bCs/>
          <w:color w:val="000000" w:themeColor="text1"/>
          <w:sz w:val="30"/>
          <w:szCs w:val="32"/>
          <w:highlight w:val="none"/>
          <w:lang w:val="zh-CN"/>
          <w14:textFill>
            <w14:solidFill>
              <w14:schemeClr w14:val="tx1"/>
            </w14:solidFill>
          </w14:textFill>
        </w:rPr>
      </w:pPr>
      <w:r>
        <w:rPr>
          <w:rFonts w:hint="eastAsia" w:ascii="仿宋" w:hAnsi="仿宋" w:eastAsia="仿宋" w:cs="仿宋"/>
          <w:b/>
          <w:bCs/>
          <w:color w:val="000000" w:themeColor="text1"/>
          <w:sz w:val="30"/>
          <w:szCs w:val="32"/>
          <w:highlight w:val="none"/>
          <w:lang w:val="zh-CN"/>
          <w14:textFill>
            <w14:solidFill>
              <w14:schemeClr w14:val="tx1"/>
            </w14:solidFill>
          </w14:textFill>
        </w:rPr>
        <w:br w:type="page"/>
      </w:r>
    </w:p>
    <w:p>
      <w:pPr>
        <w:spacing w:before="160" w:after="160"/>
        <w:ind w:left="420" w:hanging="420"/>
        <w:outlineLvl w:val="9"/>
        <w:rPr>
          <w:rFonts w:ascii="仿宋" w:hAnsi="仿宋" w:eastAsia="仿宋" w:cs="仿宋"/>
          <w:b/>
          <w:bCs/>
          <w:color w:val="000000" w:themeColor="text1"/>
          <w:szCs w:val="24"/>
          <w:highlight w:val="none"/>
          <w:lang w:val="zh-CN"/>
          <w14:textFill>
            <w14:solidFill>
              <w14:schemeClr w14:val="tx1"/>
            </w14:solidFill>
          </w14:textFill>
        </w:rPr>
      </w:pPr>
      <w:r>
        <w:rPr>
          <w:rFonts w:hint="eastAsia" w:ascii="仿宋" w:hAnsi="仿宋" w:eastAsia="仿宋" w:cs="仿宋"/>
          <w:b/>
          <w:bCs/>
          <w:color w:val="000000" w:themeColor="text1"/>
          <w:szCs w:val="24"/>
          <w:highlight w:val="none"/>
          <w:lang w:val="zh-CN"/>
          <w14:textFill>
            <w14:solidFill>
              <w14:schemeClr w14:val="tx1"/>
            </w14:solidFill>
          </w14:textFill>
        </w:rPr>
        <w:t>（二）评分标准</w:t>
      </w:r>
    </w:p>
    <w:tbl>
      <w:tblPr>
        <w:tblStyle w:val="14"/>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16"/>
        <w:gridCol w:w="979"/>
        <w:gridCol w:w="6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80" w:type="dxa"/>
            <w:shd w:val="clear" w:color="auto" w:fill="D8D8D8" w:themeFill="background1" w:themeFillShade="D9"/>
            <w:vAlign w:val="center"/>
          </w:tcPr>
          <w:p>
            <w:pPr>
              <w:pStyle w:val="20"/>
              <w:spacing w:line="360" w:lineRule="exact"/>
              <w:jc w:val="center"/>
              <w:outlineLvl w:val="9"/>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评标项目</w:t>
            </w:r>
          </w:p>
        </w:tc>
        <w:tc>
          <w:tcPr>
            <w:tcW w:w="1316" w:type="dxa"/>
            <w:shd w:val="clear" w:color="auto" w:fill="D8D8D8" w:themeFill="background1" w:themeFillShade="D9"/>
            <w:vAlign w:val="center"/>
          </w:tcPr>
          <w:p>
            <w:pPr>
              <w:pStyle w:val="20"/>
              <w:spacing w:line="360" w:lineRule="exact"/>
              <w:jc w:val="center"/>
              <w:outlineLvl w:val="9"/>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评标分项</w:t>
            </w:r>
          </w:p>
        </w:tc>
        <w:tc>
          <w:tcPr>
            <w:tcW w:w="979" w:type="dxa"/>
            <w:shd w:val="clear" w:color="auto" w:fill="D8D8D8" w:themeFill="background1" w:themeFillShade="D9"/>
            <w:vAlign w:val="center"/>
          </w:tcPr>
          <w:p>
            <w:pPr>
              <w:pStyle w:val="20"/>
              <w:spacing w:line="360" w:lineRule="exact"/>
              <w:jc w:val="center"/>
              <w:outlineLvl w:val="9"/>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6018" w:type="dxa"/>
            <w:shd w:val="clear" w:color="auto" w:fill="D8D8D8" w:themeFill="background1" w:themeFillShade="D9"/>
            <w:vAlign w:val="center"/>
          </w:tcPr>
          <w:p>
            <w:pPr>
              <w:pStyle w:val="20"/>
              <w:spacing w:line="360" w:lineRule="exact"/>
              <w:jc w:val="center"/>
              <w:outlineLvl w:val="9"/>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80" w:type="dxa"/>
            <w:vAlign w:val="center"/>
          </w:tcPr>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价格部分</w:t>
            </w:r>
          </w:p>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c>
          <w:tcPr>
            <w:tcW w:w="1316" w:type="dxa"/>
            <w:tcBorders>
              <w:bottom w:val="single" w:color="auto" w:sz="4" w:space="0"/>
            </w:tcBorders>
            <w:vAlign w:val="center"/>
          </w:tcPr>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979" w:type="dxa"/>
            <w:vAlign w:val="center"/>
          </w:tcPr>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c>
          <w:tcPr>
            <w:tcW w:w="6018" w:type="dxa"/>
            <w:vAlign w:val="center"/>
          </w:tcPr>
          <w:p>
            <w:pPr>
              <w:pStyle w:val="20"/>
              <w:spacing w:line="360" w:lineRule="exact"/>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满足招标文件要求且投标价格最低的投标报价为评标基准价，其价格分为满分。其他投标人的价格分统一按照下列公式计算：</w:t>
            </w:r>
          </w:p>
          <w:p>
            <w:pPr>
              <w:pStyle w:val="20"/>
              <w:spacing w:line="360" w:lineRule="exact"/>
              <w:outlineLvl w:val="9"/>
              <w:rPr>
                <w:rFonts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投标报价得分=（评标基准价／投标报价)×价格分值</w:t>
            </w:r>
          </w:p>
          <w:p>
            <w:pPr>
              <w:pStyle w:val="20"/>
              <w:spacing w:line="360" w:lineRule="exact"/>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备注：符合“投标人须知前附表”中价格扣除规定的，在评审时予以价格扣除，用扣除后的价格参与评审。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80" w:type="dxa"/>
            <w:vMerge w:val="restart"/>
            <w:vAlign w:val="center"/>
          </w:tcPr>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1316" w:type="dxa"/>
            <w:tcBorders>
              <w:top w:val="single" w:color="auto" w:sz="4" w:space="0"/>
            </w:tcBorders>
            <w:vAlign w:val="center"/>
          </w:tcPr>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tc>
        <w:tc>
          <w:tcPr>
            <w:tcW w:w="979" w:type="dxa"/>
            <w:vAlign w:val="center"/>
          </w:tcPr>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tc>
        <w:tc>
          <w:tcPr>
            <w:tcW w:w="6018" w:type="dxa"/>
            <w:vAlign w:val="center"/>
          </w:tcPr>
          <w:p>
            <w:pPr>
              <w:pStyle w:val="20"/>
              <w:spacing w:line="360" w:lineRule="exact"/>
              <w:outlineLvl w:val="9"/>
              <w:rPr>
                <w:rFonts w:ascii="仿宋" w:hAnsi="仿宋" w:eastAsia="仿宋" w:cs="仿宋"/>
                <w:color w:val="auto"/>
                <w:sz w:val="21"/>
                <w:szCs w:val="21"/>
                <w:highlight w:val="none"/>
              </w:rPr>
            </w:pPr>
            <w:bookmarkStart w:id="374" w:name="OLE_LINK36"/>
            <w:r>
              <w:rPr>
                <w:rFonts w:hint="eastAsia" w:ascii="仿宋" w:hAnsi="仿宋" w:eastAsia="仿宋" w:cs="仿宋"/>
                <w:color w:val="auto"/>
                <w:sz w:val="21"/>
                <w:szCs w:val="21"/>
                <w:highlight w:val="none"/>
              </w:rPr>
              <w:t>投标人提供近三年内（202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年01月01日</w:t>
            </w:r>
            <w:r>
              <w:rPr>
                <w:rFonts w:hint="eastAsia" w:ascii="仿宋" w:hAnsi="仿宋" w:eastAsia="仿宋" w:cs="仿宋"/>
                <w:color w:val="auto"/>
                <w:sz w:val="21"/>
                <w:szCs w:val="21"/>
                <w:highlight w:val="none"/>
                <w:lang w:val="en-US" w:eastAsia="zh-CN"/>
              </w:rPr>
              <w:t>至投标截止时间</w:t>
            </w:r>
            <w:r>
              <w:rPr>
                <w:rFonts w:hint="eastAsia" w:ascii="仿宋" w:hAnsi="仿宋" w:eastAsia="仿宋" w:cs="仿宋"/>
                <w:color w:val="auto"/>
                <w:sz w:val="21"/>
                <w:szCs w:val="21"/>
                <w:highlight w:val="none"/>
              </w:rPr>
              <w:t>）类似项目业绩，每提供一个业绩得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分，最多得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p>
            <w:pPr>
              <w:pStyle w:val="20"/>
              <w:spacing w:line="360" w:lineRule="exact"/>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注：以上有效业绩需提供合同复印件，包括合同首页、合同金额页、签字盖章页、主要同类设备清单页等关键页。未提供及提供材料不全的本项不得分。</w:t>
            </w:r>
            <w:bookmarkEnd w:id="3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80" w:type="dxa"/>
            <w:vMerge w:val="continue"/>
            <w:vAlign w:val="center"/>
          </w:tcPr>
          <w:p>
            <w:pPr>
              <w:pStyle w:val="20"/>
              <w:spacing w:line="360" w:lineRule="exact"/>
              <w:jc w:val="center"/>
              <w:outlineLvl w:val="9"/>
              <w:rPr>
                <w:rFonts w:hint="eastAsia" w:ascii="仿宋" w:hAnsi="仿宋" w:eastAsia="仿宋" w:cs="仿宋"/>
                <w:color w:val="auto"/>
                <w:sz w:val="21"/>
                <w:szCs w:val="21"/>
                <w:highlight w:val="none"/>
              </w:rPr>
            </w:pPr>
          </w:p>
        </w:tc>
        <w:tc>
          <w:tcPr>
            <w:tcW w:w="1316" w:type="dxa"/>
            <w:tcBorders>
              <w:top w:val="single" w:color="auto" w:sz="4" w:space="0"/>
            </w:tcBorders>
            <w:vAlign w:val="center"/>
          </w:tcPr>
          <w:p>
            <w:pPr>
              <w:pStyle w:val="20"/>
              <w:spacing w:line="240" w:lineRule="auto"/>
              <w:jc w:val="center"/>
              <w:outlineLvl w:val="9"/>
              <w:rPr>
                <w:rFonts w:hint="eastAsia" w:ascii="仿宋" w:hAnsi="仿宋" w:eastAsia="仿宋" w:cs="仿宋"/>
                <w:color w:val="auto"/>
                <w:kern w:val="2"/>
                <w:sz w:val="21"/>
                <w:szCs w:val="21"/>
                <w:highlight w:val="none"/>
                <w:lang w:val="en-US" w:eastAsia="zh-CN" w:bidi="ar-SA"/>
              </w:rPr>
            </w:pPr>
            <w:bookmarkStart w:id="375" w:name="OLE_LINK13"/>
            <w:r>
              <w:rPr>
                <w:rFonts w:hint="eastAsia" w:ascii="仿宋" w:hAnsi="仿宋" w:eastAsia="仿宋" w:cs="仿宋"/>
                <w:color w:val="auto"/>
                <w:sz w:val="21"/>
                <w:szCs w:val="21"/>
                <w:highlight w:val="none"/>
                <w:lang w:val="en-US" w:eastAsia="zh-CN"/>
              </w:rPr>
              <w:t>售后服务</w:t>
            </w:r>
            <w:bookmarkEnd w:id="375"/>
          </w:p>
        </w:tc>
        <w:tc>
          <w:tcPr>
            <w:tcW w:w="97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4分</w:t>
            </w:r>
          </w:p>
        </w:tc>
        <w:tc>
          <w:tcPr>
            <w:tcW w:w="6018" w:type="dxa"/>
            <w:vAlign w:val="center"/>
          </w:tcPr>
          <w:p>
            <w:pPr>
              <w:pStyle w:val="20"/>
              <w:spacing w:line="360" w:lineRule="exact"/>
              <w:outlineLvl w:val="9"/>
              <w:rPr>
                <w:rFonts w:hint="eastAsia" w:ascii="仿宋" w:hAnsi="仿宋" w:eastAsia="仿宋" w:cs="仿宋"/>
                <w:sz w:val="21"/>
                <w:szCs w:val="21"/>
                <w:highlight w:val="none"/>
                <w:lang w:val="en-US" w:eastAsia="zh-CN"/>
              </w:rPr>
            </w:pPr>
            <w:bookmarkStart w:id="376" w:name="OLE_LINK31"/>
            <w:r>
              <w:rPr>
                <w:rFonts w:hint="eastAsia" w:ascii="仿宋" w:hAnsi="仿宋" w:eastAsia="仿宋" w:cs="仿宋"/>
                <w:sz w:val="21"/>
                <w:szCs w:val="21"/>
                <w:highlight w:val="none"/>
                <w:lang w:val="en-US" w:eastAsia="zh-CN"/>
              </w:rPr>
              <w:t>投标人须对照招标文件“第三章采购需求二、商务要求 5.售后服务的5.1、5.2、5.3、5.4”售后服务条款要求逐条响应承诺，投标人能够提供以上4项售后服务，内容完整，得4分。每缺少上述一项内容或内容不完整扣1分，扣完为止。</w:t>
            </w:r>
          </w:p>
          <w:p>
            <w:pPr>
              <w:pStyle w:val="20"/>
              <w:spacing w:line="360" w:lineRule="exact"/>
              <w:outlineLvl w:val="9"/>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注:投标人须对照本项目招标文件“第三章采购需求 二、商务要求5.售后服务的5.1、5.2、5.3、5.4”的所有售后要求条款在投标文件“售后服务方案”中按顺序逐条响应承诺，格式自拟。</w:t>
            </w:r>
            <w:bookmarkEnd w:id="3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80" w:type="dxa"/>
            <w:vAlign w:val="center"/>
          </w:tcPr>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部分（</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分）</w:t>
            </w:r>
          </w:p>
        </w:tc>
        <w:tc>
          <w:tcPr>
            <w:tcW w:w="1316" w:type="dxa"/>
            <w:tcBorders>
              <w:top w:val="single" w:color="auto" w:sz="4" w:space="0"/>
            </w:tcBorders>
            <w:vAlign w:val="center"/>
          </w:tcPr>
          <w:p>
            <w:pPr>
              <w:pStyle w:val="20"/>
              <w:spacing w:line="360" w:lineRule="exact"/>
              <w:jc w:val="center"/>
              <w:outlineLvl w:val="9"/>
              <w:rPr>
                <w:rFonts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技术参数指标响应程度</w:t>
            </w:r>
          </w:p>
        </w:tc>
        <w:tc>
          <w:tcPr>
            <w:tcW w:w="979" w:type="dxa"/>
            <w:vAlign w:val="center"/>
          </w:tcPr>
          <w:p>
            <w:pPr>
              <w:spacing w:line="360" w:lineRule="exact"/>
              <w:jc w:val="center"/>
              <w:outlineLvl w:val="9"/>
              <w:rPr>
                <w:rFonts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val="en-US" w:eastAsia="zh-CN" w:bidi="ar"/>
              </w:rPr>
              <w:t>60</w:t>
            </w:r>
            <w:r>
              <w:rPr>
                <w:rFonts w:hint="eastAsia" w:ascii="仿宋" w:hAnsi="仿宋" w:eastAsia="仿宋" w:cs="仿宋"/>
                <w:color w:val="auto"/>
                <w:sz w:val="21"/>
                <w:szCs w:val="21"/>
                <w:highlight w:val="none"/>
                <w:lang w:bidi="ar"/>
              </w:rPr>
              <w:t>分</w:t>
            </w:r>
          </w:p>
        </w:tc>
        <w:tc>
          <w:tcPr>
            <w:tcW w:w="6018" w:type="dxa"/>
            <w:vAlign w:val="center"/>
          </w:tcPr>
          <w:p>
            <w:pPr>
              <w:pStyle w:val="20"/>
              <w:spacing w:line="360" w:lineRule="exact"/>
              <w:outlineLvl w:val="9"/>
              <w:rPr>
                <w:rFonts w:hint="eastAsia" w:ascii="仿宋" w:hAnsi="仿宋" w:eastAsia="仿宋" w:cs="仿宋"/>
                <w:sz w:val="21"/>
                <w:szCs w:val="21"/>
                <w:highlight w:val="none"/>
                <w:lang w:val="en-US" w:eastAsia="zh-CN"/>
              </w:rPr>
            </w:pPr>
            <w:bookmarkStart w:id="377" w:name="OLE_LINK35"/>
            <w:r>
              <w:rPr>
                <w:rFonts w:hint="eastAsia" w:ascii="仿宋" w:hAnsi="仿宋" w:eastAsia="仿宋" w:cs="仿宋"/>
                <w:sz w:val="21"/>
                <w:szCs w:val="21"/>
                <w:highlight w:val="none"/>
                <w:lang w:val="en-US" w:eastAsia="zh-CN"/>
              </w:rPr>
              <w:t>投标人所投产品须对照招标文件“第三章采购需求三、技术要</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求1.基本参数”的所有技术参数条款逐条列出响应内容及是否响应/偏离。投标人所投产品的配置与性能指标全部符合以上要求，得满分60分，每有一项指标有负偏离的扣1分；扣完为止。</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1.招标文件“第三章采购需求·三、技术要求 1.基本参数”技</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术参数描述中要求提供具体证明材料的，投标人应按具体要求提供应提供的证明材料，未提供或提供内容不符合要求的，视为未响应技术参数。技术参数指述中未要求提供证明材料的，是否提供证明材料不做要求。</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2.未按以上要求提供证明材料,或所提供证明材料与其响应内容不符的，或“技术响应偏离表”未按要求注明证明材料的具体</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页码的，或所提供技术支持资料未能清晰可见的，均视为未响</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应，此条技术条款按负偏离处理。</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3.投标人在“技术响应偏离表”表中须标注产品实际参数数值,</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经评标委员会认定为投标人照搬照抄招标文件参数、不注明实</w:t>
            </w:r>
          </w:p>
          <w:p>
            <w:pPr>
              <w:pStyle w:val="20"/>
              <w:spacing w:line="360" w:lineRule="exact"/>
              <w:outlineLvl w:val="9"/>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际数值者视为未响应。此条技术条款按负偏离处理。</w:t>
            </w:r>
            <w:bookmarkEnd w:id="3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96" w:type="dxa"/>
            <w:gridSpan w:val="2"/>
            <w:vAlign w:val="center"/>
          </w:tcPr>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979" w:type="dxa"/>
            <w:tcBorders>
              <w:bottom w:val="single" w:color="auto" w:sz="4" w:space="0"/>
            </w:tcBorders>
            <w:vAlign w:val="center"/>
          </w:tcPr>
          <w:p>
            <w:pPr>
              <w:pStyle w:val="20"/>
              <w:spacing w:line="360" w:lineRule="exact"/>
              <w:jc w:val="center"/>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=SUM(ABOVE)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100</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分</w:t>
            </w:r>
          </w:p>
        </w:tc>
        <w:tc>
          <w:tcPr>
            <w:tcW w:w="6018" w:type="dxa"/>
            <w:tcBorders>
              <w:bottom w:val="single" w:color="auto" w:sz="4" w:space="0"/>
            </w:tcBorders>
            <w:vAlign w:val="center"/>
          </w:tcPr>
          <w:p>
            <w:pPr>
              <w:pStyle w:val="20"/>
              <w:spacing w:line="360" w:lineRule="exact"/>
              <w:outlineLvl w:val="9"/>
              <w:rPr>
                <w:rFonts w:ascii="仿宋" w:hAnsi="仿宋" w:eastAsia="仿宋" w:cs="仿宋"/>
                <w:color w:val="auto"/>
                <w:sz w:val="21"/>
                <w:szCs w:val="21"/>
                <w:highlight w:val="none"/>
              </w:rPr>
            </w:pPr>
          </w:p>
        </w:tc>
      </w:tr>
    </w:tbl>
    <w:p>
      <w:pPr>
        <w:pStyle w:val="19"/>
        <w:ind w:firstLine="0"/>
        <w:outlineLvl w:val="9"/>
        <w:rPr>
          <w:rFonts w:ascii="仿宋" w:hAnsi="仿宋" w:eastAsia="仿宋" w:cs="仿宋"/>
          <w:color w:val="000000" w:themeColor="text1"/>
          <w:highlight w:val="none"/>
          <w14:textFill>
            <w14:solidFill>
              <w14:schemeClr w14:val="tx1"/>
            </w14:solidFill>
          </w14:textFill>
        </w:rPr>
      </w:pPr>
    </w:p>
    <w:p>
      <w:pPr>
        <w:outlineLvl w:val="9"/>
        <w:rPr>
          <w:rFonts w:ascii="仿宋" w:hAnsi="仿宋" w:eastAsia="仿宋" w:cs="仿宋"/>
          <w:b/>
          <w:bCs/>
          <w:color w:val="000000" w:themeColor="text1"/>
          <w:kern w:val="44"/>
          <w:sz w:val="36"/>
          <w:szCs w:val="36"/>
          <w:highlight w:val="none"/>
          <w:lang w:val="zh-CN"/>
          <w14:textFill>
            <w14:solidFill>
              <w14:schemeClr w14:val="tx1"/>
            </w14:solidFill>
          </w14:textFill>
        </w:rPr>
      </w:pPr>
      <w:bookmarkStart w:id="378" w:name="_Toc155185918"/>
      <w:bookmarkStart w:id="379" w:name="_Toc23323"/>
      <w:bookmarkStart w:id="380" w:name="_Toc163492912"/>
      <w:bookmarkStart w:id="381" w:name="_Toc17383"/>
      <w:r>
        <w:rPr>
          <w:rFonts w:hint="eastAsia" w:ascii="仿宋" w:hAnsi="仿宋" w:eastAsia="仿宋" w:cs="仿宋"/>
          <w:b/>
          <w:bCs/>
          <w:color w:val="000000" w:themeColor="text1"/>
          <w:kern w:val="44"/>
          <w:sz w:val="36"/>
          <w:szCs w:val="36"/>
          <w:highlight w:val="none"/>
          <w:lang w:val="zh-CN"/>
          <w14:textFill>
            <w14:solidFill>
              <w14:schemeClr w14:val="tx1"/>
            </w14:solidFill>
          </w14:textFill>
        </w:rPr>
        <w:br w:type="page"/>
      </w:r>
    </w:p>
    <w:p>
      <w:pPr>
        <w:keepNext/>
        <w:keepLines/>
        <w:spacing w:before="220" w:after="220" w:line="480" w:lineRule="auto"/>
        <w:ind w:left="420" w:hanging="420"/>
        <w:jc w:val="center"/>
        <w:outlineLvl w:val="0"/>
        <w:rPr>
          <w:rFonts w:ascii="仿宋" w:hAnsi="仿宋" w:eastAsia="仿宋" w:cs="仿宋"/>
          <w:b/>
          <w:bCs/>
          <w:color w:val="000000" w:themeColor="text1"/>
          <w:kern w:val="44"/>
          <w:sz w:val="36"/>
          <w:szCs w:val="36"/>
          <w:highlight w:val="none"/>
          <w:lang w:val="zh-CN"/>
          <w14:textFill>
            <w14:solidFill>
              <w14:schemeClr w14:val="tx1"/>
            </w14:solidFill>
          </w14:textFill>
        </w:rPr>
      </w:pPr>
      <w:bookmarkStart w:id="382" w:name="_Toc24077"/>
      <w:bookmarkStart w:id="383" w:name="_Toc8280"/>
      <w:r>
        <w:rPr>
          <w:rFonts w:hint="eastAsia" w:ascii="仿宋" w:hAnsi="仿宋" w:eastAsia="仿宋" w:cs="仿宋"/>
          <w:b/>
          <w:bCs/>
          <w:color w:val="000000" w:themeColor="text1"/>
          <w:kern w:val="44"/>
          <w:sz w:val="36"/>
          <w:szCs w:val="36"/>
          <w:highlight w:val="none"/>
          <w:lang w:val="zh-CN"/>
          <w14:textFill>
            <w14:solidFill>
              <w14:schemeClr w14:val="tx1"/>
            </w14:solidFill>
          </w14:textFill>
        </w:rPr>
        <w:t>第六章 合同</w:t>
      </w:r>
      <w:bookmarkEnd w:id="378"/>
      <w:r>
        <w:rPr>
          <w:rFonts w:hint="eastAsia" w:ascii="仿宋" w:hAnsi="仿宋" w:eastAsia="仿宋" w:cs="仿宋"/>
          <w:b/>
          <w:bCs/>
          <w:color w:val="000000" w:themeColor="text1"/>
          <w:kern w:val="44"/>
          <w:sz w:val="36"/>
          <w:szCs w:val="36"/>
          <w:highlight w:val="none"/>
          <w:lang w:val="zh-CN"/>
          <w14:textFill>
            <w14:solidFill>
              <w14:schemeClr w14:val="tx1"/>
            </w14:solidFill>
          </w14:textFill>
        </w:rPr>
        <w:t>草案</w:t>
      </w:r>
      <w:bookmarkEnd w:id="379"/>
      <w:bookmarkEnd w:id="380"/>
      <w:bookmarkEnd w:id="381"/>
      <w:bookmarkEnd w:id="382"/>
      <w:bookmarkEnd w:id="383"/>
    </w:p>
    <w:p>
      <w:pPr>
        <w:outlineLvl w:val="9"/>
        <w:rPr>
          <w:rFonts w:ascii="仿宋" w:hAnsi="仿宋" w:eastAsia="仿宋" w:cs="仿宋"/>
          <w:color w:val="000000" w:themeColor="text1"/>
          <w:highlight w:val="none"/>
          <w:lang w:val="zh-CN"/>
          <w14:textFill>
            <w14:solidFill>
              <w14:schemeClr w14:val="tx1"/>
            </w14:solidFill>
          </w14:textFill>
        </w:rPr>
      </w:pPr>
    </w:p>
    <w:p>
      <w:pPr>
        <w:wordWrap w:val="0"/>
        <w:jc w:val="center"/>
        <w:outlineLvl w:val="9"/>
        <w:rPr>
          <w:rFonts w:ascii="仿宋" w:hAnsi="仿宋" w:eastAsia="仿宋" w:cs="仿宋"/>
          <w:bCs/>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【此合同书仅作为签订正式合同时的参考，正式合同书应包括本参考格式的内容】</w:t>
      </w:r>
    </w:p>
    <w:p>
      <w:pPr>
        <w:wordWrap w:val="0"/>
        <w:outlineLvl w:val="9"/>
        <w:rPr>
          <w:rFonts w:ascii="仿宋" w:hAnsi="仿宋" w:eastAsia="仿宋" w:cs="仿宋"/>
          <w:bCs/>
          <w:color w:val="000000" w:themeColor="text1"/>
          <w:szCs w:val="24"/>
          <w:highlight w:val="none"/>
          <w14:textFill>
            <w14:solidFill>
              <w14:schemeClr w14:val="tx1"/>
            </w14:solidFill>
          </w14:textFill>
        </w:rPr>
      </w:pPr>
      <w:r>
        <w:rPr>
          <w:rFonts w:hint="eastAsia" w:ascii="仿宋" w:hAnsi="仿宋" w:eastAsia="仿宋" w:cs="仿宋"/>
          <w:bCs/>
          <w:color w:val="000000" w:themeColor="text1"/>
          <w:szCs w:val="24"/>
          <w:highlight w:val="none"/>
          <w:lang w:val="zh-CN"/>
          <w14:textFill>
            <w14:solidFill>
              <w14:schemeClr w14:val="tx1"/>
            </w14:solidFill>
          </w14:textFill>
        </w:rPr>
        <w:t>合同编号：</w:t>
      </w:r>
      <w:r>
        <w:rPr>
          <w:rFonts w:hint="eastAsia" w:ascii="仿宋" w:hAnsi="仿宋" w:eastAsia="仿宋" w:cs="仿宋"/>
          <w:bCs/>
          <w:color w:val="000000" w:themeColor="text1"/>
          <w:szCs w:val="24"/>
          <w:highlight w:val="none"/>
          <w:u w:val="single"/>
          <w14:textFill>
            <w14:solidFill>
              <w14:schemeClr w14:val="tx1"/>
            </w14:solidFill>
          </w14:textFill>
        </w:rPr>
        <w:t xml:space="preserve">              </w:t>
      </w:r>
    </w:p>
    <w:p>
      <w:pPr>
        <w:pStyle w:val="2"/>
        <w:spacing w:after="0"/>
        <w:jc w:val="center"/>
        <w:outlineLvl w:val="9"/>
        <w:rPr>
          <w:rFonts w:ascii="仿宋" w:hAnsi="仿宋" w:eastAsia="仿宋" w:cs="仿宋"/>
          <w:b/>
          <w:bCs/>
          <w:color w:val="000000" w:themeColor="text1"/>
          <w:spacing w:val="-20"/>
          <w:kern w:val="44"/>
          <w:sz w:val="48"/>
          <w:szCs w:val="48"/>
          <w:highlight w:val="none"/>
          <w14:textFill>
            <w14:solidFill>
              <w14:schemeClr w14:val="tx1"/>
            </w14:solidFill>
          </w14:textFill>
        </w:rPr>
      </w:pPr>
      <w:bookmarkStart w:id="384" w:name="_Toc3995"/>
    </w:p>
    <w:p>
      <w:pPr>
        <w:pStyle w:val="2"/>
        <w:spacing w:after="0"/>
        <w:jc w:val="center"/>
        <w:outlineLvl w:val="9"/>
        <w:rPr>
          <w:rFonts w:ascii="仿宋" w:hAnsi="仿宋" w:eastAsia="仿宋" w:cs="仿宋"/>
          <w:b/>
          <w:bCs/>
          <w:color w:val="000000" w:themeColor="text1"/>
          <w:spacing w:val="-20"/>
          <w:kern w:val="44"/>
          <w:sz w:val="48"/>
          <w:szCs w:val="48"/>
          <w:highlight w:val="none"/>
          <w14:textFill>
            <w14:solidFill>
              <w14:schemeClr w14:val="tx1"/>
            </w14:solidFill>
          </w14:textFill>
        </w:rPr>
      </w:pPr>
    </w:p>
    <w:p>
      <w:pPr>
        <w:pStyle w:val="2"/>
        <w:spacing w:after="0"/>
        <w:jc w:val="center"/>
        <w:outlineLvl w:val="9"/>
        <w:rPr>
          <w:rFonts w:ascii="仿宋" w:hAnsi="仿宋" w:eastAsia="仿宋" w:cs="仿宋"/>
          <w:b/>
          <w:bCs/>
          <w:color w:val="000000" w:themeColor="text1"/>
          <w:spacing w:val="-20"/>
          <w:kern w:val="44"/>
          <w:sz w:val="48"/>
          <w:szCs w:val="48"/>
          <w:highlight w:val="none"/>
          <w14:textFill>
            <w14:solidFill>
              <w14:schemeClr w14:val="tx1"/>
            </w14:solidFill>
          </w14:textFill>
        </w:rPr>
      </w:pPr>
    </w:p>
    <w:p>
      <w:pPr>
        <w:pStyle w:val="2"/>
        <w:spacing w:after="0"/>
        <w:jc w:val="center"/>
        <w:outlineLvl w:val="9"/>
        <w:rPr>
          <w:rFonts w:ascii="仿宋" w:hAnsi="仿宋" w:eastAsia="仿宋" w:cs="仿宋"/>
          <w:b/>
          <w:bCs/>
          <w:color w:val="000000" w:themeColor="text1"/>
          <w:spacing w:val="-20"/>
          <w:kern w:val="44"/>
          <w:sz w:val="44"/>
          <w:szCs w:val="44"/>
          <w:highlight w:val="none"/>
          <w14:textFill>
            <w14:solidFill>
              <w14:schemeClr w14:val="tx1"/>
            </w14:solidFill>
          </w14:textFill>
        </w:rPr>
      </w:pPr>
      <w:r>
        <w:rPr>
          <w:rFonts w:hint="eastAsia" w:ascii="仿宋" w:hAnsi="仿宋" w:eastAsia="仿宋" w:cs="仿宋"/>
          <w:b/>
          <w:bCs/>
          <w:color w:val="000000" w:themeColor="text1"/>
          <w:spacing w:val="-20"/>
          <w:kern w:val="44"/>
          <w:sz w:val="44"/>
          <w:szCs w:val="44"/>
          <w:highlight w:val="none"/>
          <w14:textFill>
            <w14:solidFill>
              <w14:schemeClr w14:val="tx1"/>
            </w14:solidFill>
          </w14:textFill>
        </w:rPr>
        <w:t>政府采购货物买卖合同</w:t>
      </w:r>
    </w:p>
    <w:p>
      <w:pPr>
        <w:pStyle w:val="2"/>
        <w:spacing w:after="0"/>
        <w:jc w:val="center"/>
        <w:outlineLvl w:val="9"/>
        <w:rPr>
          <w:rFonts w:ascii="仿宋" w:hAnsi="仿宋" w:eastAsia="仿宋" w:cs="仿宋"/>
          <w:b/>
          <w:bCs/>
          <w:color w:val="000000" w:themeColor="text1"/>
          <w:spacing w:val="-20"/>
          <w:kern w:val="44"/>
          <w:sz w:val="44"/>
          <w:szCs w:val="44"/>
          <w:highlight w:val="none"/>
          <w14:textFill>
            <w14:solidFill>
              <w14:schemeClr w14:val="tx1"/>
            </w14:solidFill>
          </w14:textFill>
        </w:rPr>
      </w:pPr>
      <w:r>
        <w:rPr>
          <w:rFonts w:hint="eastAsia" w:ascii="仿宋" w:hAnsi="仿宋" w:eastAsia="仿宋" w:cs="仿宋"/>
          <w:b/>
          <w:bCs/>
          <w:color w:val="000000" w:themeColor="text1"/>
          <w:spacing w:val="-20"/>
          <w:kern w:val="44"/>
          <w:sz w:val="44"/>
          <w:szCs w:val="44"/>
          <w:highlight w:val="none"/>
          <w14:textFill>
            <w14:solidFill>
              <w14:schemeClr w14:val="tx1"/>
            </w14:solidFill>
          </w14:textFill>
        </w:rPr>
        <w:t>（试行）</w:t>
      </w:r>
    </w:p>
    <w:p>
      <w:pPr>
        <w:outlineLvl w:val="9"/>
        <w:rPr>
          <w:rFonts w:ascii="仿宋" w:hAnsi="仿宋" w:eastAsia="仿宋" w:cs="仿宋"/>
          <w:b/>
          <w:bCs/>
          <w:color w:val="000000" w:themeColor="text1"/>
          <w:spacing w:val="-20"/>
          <w:kern w:val="44"/>
          <w:sz w:val="40"/>
          <w:szCs w:val="40"/>
          <w:highlight w:val="none"/>
          <w14:textFill>
            <w14:solidFill>
              <w14:schemeClr w14:val="tx1"/>
            </w14:solidFill>
          </w14:textFill>
        </w:rPr>
      </w:pPr>
    </w:p>
    <w:p>
      <w:pPr>
        <w:outlineLvl w:val="9"/>
        <w:rPr>
          <w:rFonts w:ascii="仿宋" w:hAnsi="仿宋" w:eastAsia="仿宋" w:cs="仿宋"/>
          <w:b/>
          <w:bCs/>
          <w:color w:val="000000" w:themeColor="text1"/>
          <w:spacing w:val="-20"/>
          <w:kern w:val="44"/>
          <w:sz w:val="40"/>
          <w:szCs w:val="40"/>
          <w:highlight w:val="none"/>
          <w14:textFill>
            <w14:solidFill>
              <w14:schemeClr w14:val="tx1"/>
            </w14:solidFill>
          </w14:textFill>
        </w:rPr>
      </w:pPr>
    </w:p>
    <w:p>
      <w:pPr>
        <w:outlineLvl w:val="9"/>
        <w:rPr>
          <w:rFonts w:ascii="仿宋" w:hAnsi="仿宋" w:eastAsia="仿宋" w:cs="仿宋"/>
          <w:b/>
          <w:bCs/>
          <w:color w:val="000000" w:themeColor="text1"/>
          <w:spacing w:val="-20"/>
          <w:kern w:val="44"/>
          <w:sz w:val="40"/>
          <w:szCs w:val="40"/>
          <w:highlight w:val="none"/>
          <w14:textFill>
            <w14:solidFill>
              <w14:schemeClr w14:val="tx1"/>
            </w14:solidFill>
          </w14:textFill>
        </w:rPr>
      </w:pPr>
    </w:p>
    <w:p>
      <w:pPr>
        <w:ind w:left="480" w:leftChars="200"/>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kern w:val="0"/>
          <w:sz w:val="36"/>
          <w:szCs w:val="36"/>
          <w:highlight w:val="none"/>
          <w14:textFill>
            <w14:solidFill>
              <w14:schemeClr w14:val="tx1"/>
            </w14:solidFill>
          </w14:textFill>
        </w:rPr>
        <w:t>项目名称：</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80" w:leftChars="200"/>
        <w:outlineLvl w:val="9"/>
        <w:rPr>
          <w:rFonts w:ascii="仿宋" w:hAnsi="仿宋" w:eastAsia="仿宋" w:cs="仿宋"/>
          <w:color w:val="000000" w:themeColor="text1"/>
          <w:sz w:val="36"/>
          <w:szCs w:val="36"/>
          <w:highlight w:val="none"/>
          <w:u w:val="singl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合同编号：</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80" w:leftChars="200"/>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甲    方：</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80" w:leftChars="200"/>
        <w:outlineLvl w:val="9"/>
        <w:rPr>
          <w:rFonts w:ascii="仿宋" w:hAnsi="仿宋" w:eastAsia="仿宋" w:cs="仿宋"/>
          <w:color w:val="000000" w:themeColor="text1"/>
          <w:sz w:val="36"/>
          <w:szCs w:val="36"/>
          <w:highlight w:val="none"/>
          <w:u w:val="singl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乙    方：</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80" w:leftChars="200"/>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签订时间：</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outlineLvl w:val="9"/>
        <w:rPr>
          <w:rFonts w:ascii="仿宋" w:hAnsi="仿宋" w:eastAsia="仿宋" w:cs="仿宋"/>
          <w:color w:val="000000" w:themeColor="text1"/>
          <w:highlight w:val="none"/>
          <w14:textFill>
            <w14:solidFill>
              <w14:schemeClr w14:val="tx1"/>
            </w14:solidFill>
          </w14:textFill>
        </w:rPr>
      </w:pPr>
    </w:p>
    <w:p>
      <w:pPr>
        <w:outlineLvl w:val="9"/>
        <w:rPr>
          <w:rFonts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br w:type="page"/>
      </w:r>
    </w:p>
    <w:p>
      <w:pPr>
        <w:outlineLvl w:val="9"/>
        <w:rPr>
          <w:rFonts w:ascii="仿宋" w:hAnsi="仿宋" w:eastAsia="仿宋" w:cs="仿宋"/>
          <w:color w:val="000000" w:themeColor="text1"/>
          <w:sz w:val="44"/>
          <w:szCs w:val="44"/>
          <w:highlight w:val="none"/>
          <w14:textFill>
            <w14:solidFill>
              <w14:schemeClr w14:val="tx1"/>
            </w14:solidFill>
          </w14:textFill>
        </w:rPr>
      </w:pPr>
    </w:p>
    <w:p>
      <w:pPr>
        <w:jc w:val="center"/>
        <w:outlineLvl w:val="9"/>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使 用 说 明</w:t>
      </w:r>
    </w:p>
    <w:p>
      <w:pPr>
        <w:ind w:firstLine="640" w:firstLineChars="200"/>
        <w:outlineLvl w:val="9"/>
        <w:rPr>
          <w:rFonts w:ascii="仿宋" w:hAnsi="仿宋" w:eastAsia="仿宋" w:cs="仿宋"/>
          <w:color w:val="000000" w:themeColor="text1"/>
          <w:sz w:val="32"/>
          <w:szCs w:val="32"/>
          <w:highlight w:val="none"/>
          <w14:textFill>
            <w14:solidFill>
              <w14:schemeClr w14:val="tx1"/>
            </w14:solidFill>
          </w14:textFill>
        </w:rPr>
      </w:pPr>
    </w:p>
    <w:p>
      <w:pPr>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1.本合同标准文本适用于购买现成货物的采购项目，不包括需要供应商定制开发、创新研发的货物采购项目。</w:t>
      </w:r>
    </w:p>
    <w:p>
      <w:pP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2.本合同标准文本为政府采购货物买卖合同编制提供参考，可以结合采购项目具体情况，对文本作必要的调整修订后使用。</w:t>
      </w:r>
    </w:p>
    <w:p>
      <w:pPr>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3.本合同标准文本各条款中，如涉及填写多家供应商、制造商，多种采购标的、分包主要内容等信息的，可根据采购项目具体情况添加信息项。</w:t>
      </w:r>
    </w:p>
    <w:p>
      <w:pPr>
        <w:ind w:firstLine="560" w:firstLineChars="200"/>
        <w:jc w:val="both"/>
        <w:outlineLvl w:val="9"/>
        <w:rPr>
          <w:rFonts w:ascii="仿宋" w:hAnsi="仿宋" w:eastAsia="仿宋" w:cs="仿宋"/>
          <w:color w:val="000000" w:themeColor="text1"/>
          <w:sz w:val="28"/>
          <w:szCs w:val="28"/>
          <w:highlight w:val="none"/>
          <w14:textFill>
            <w14:solidFill>
              <w14:schemeClr w14:val="tx1"/>
            </w14:solidFill>
          </w14:textFill>
        </w:rPr>
        <w:sectPr>
          <w:footerReference r:id="rId6" w:type="default"/>
          <w:pgSz w:w="11906" w:h="16838"/>
          <w:pgMar w:top="1440" w:right="1800" w:bottom="1440" w:left="1800" w:header="851" w:footer="992" w:gutter="0"/>
          <w:pgNumType w:fmt="decimal" w:start="1"/>
          <w:cols w:space="425" w:num="1"/>
          <w:docGrid w:type="lines" w:linePitch="312" w:charSpace="0"/>
        </w:sectPr>
      </w:pPr>
    </w:p>
    <w:bookmarkEnd w:id="384"/>
    <w:p>
      <w:pPr>
        <w:adjustRightInd w:val="0"/>
        <w:snapToGrid w:val="0"/>
        <w:spacing w:line="400" w:lineRule="exact"/>
        <w:jc w:val="center"/>
        <w:outlineLvl w:val="9"/>
        <w:rPr>
          <w:rFonts w:ascii="仿宋" w:hAnsi="仿宋" w:eastAsia="仿宋" w:cs="仿宋"/>
          <w:b/>
          <w:bCs/>
          <w:color w:val="000000" w:themeColor="text1"/>
          <w:sz w:val="36"/>
          <w:szCs w:val="36"/>
          <w:highlight w:val="none"/>
          <w14:textFill>
            <w14:solidFill>
              <w14:schemeClr w14:val="tx1"/>
            </w14:solidFill>
          </w14:textFill>
        </w:rPr>
      </w:pPr>
      <w:bookmarkStart w:id="385" w:name="_Toc8407"/>
      <w:bookmarkStart w:id="386" w:name="_Toc22209"/>
      <w:r>
        <w:rPr>
          <w:rFonts w:hint="eastAsia" w:ascii="仿宋" w:hAnsi="仿宋" w:eastAsia="仿宋" w:cs="仿宋"/>
          <w:b/>
          <w:bCs/>
          <w:color w:val="000000" w:themeColor="text1"/>
          <w:sz w:val="36"/>
          <w:szCs w:val="36"/>
          <w:highlight w:val="none"/>
          <w14:textFill>
            <w14:solidFill>
              <w14:schemeClr w14:val="tx1"/>
            </w14:solidFill>
          </w14:textFill>
        </w:rPr>
        <w:t>第一节 政府采购合同协议书</w:t>
      </w:r>
      <w:bookmarkEnd w:id="385"/>
      <w:bookmarkEnd w:id="386"/>
    </w:p>
    <w:p>
      <w:pPr>
        <w:keepNext/>
        <w:keepLines/>
        <w:adjustRightInd w:val="0"/>
        <w:snapToGrid w:val="0"/>
        <w:spacing w:before="140" w:after="140" w:line="40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p>
      <w:pPr>
        <w:adjustRightInd w:val="0"/>
        <w:snapToGrid w:val="0"/>
        <w:spacing w:line="400" w:lineRule="exact"/>
        <w:ind w:left="4200" w:hanging="4200" w:hangingChars="20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甲方（全称）：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乙方（全称）：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pStyle w:val="7"/>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
        </w:numPr>
        <w:adjustRightInd w:val="0"/>
        <w:snapToGrid w:val="0"/>
        <w:spacing w:line="400" w:lineRule="exact"/>
        <w:ind w:firstLine="422" w:firstLineChars="200"/>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项目信息</w:t>
      </w:r>
    </w:p>
    <w:p>
      <w:pPr>
        <w:pStyle w:val="7"/>
        <w:numPr>
          <w:ilvl w:val="0"/>
          <w:numId w:val="3"/>
        </w:numPr>
        <w:adjustRightInd w:val="0"/>
        <w:snapToGrid w:val="0"/>
        <w:spacing w:line="400" w:lineRule="exact"/>
        <w:ind w:firstLine="420" w:firstLineChars="200"/>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采购项目名称：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pStyle w:val="7"/>
        <w:numPr>
          <w:ilvl w:val="255"/>
          <w:numId w:val="0"/>
        </w:numPr>
        <w:tabs>
          <w:tab w:val="left" w:pos="999"/>
        </w:tabs>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采购项目（包）编号：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pStyle w:val="7"/>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（2）采购计划编号：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（3）项目内容：</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采购标的及数量（台/套</w:t>
      </w:r>
      <w:r>
        <w:rPr>
          <w:rFonts w:hint="eastAsia" w:ascii="仿宋" w:hAnsi="仿宋" w:eastAsia="仿宋" w:cs="仿宋"/>
          <w:color w:val="000000" w:themeColor="text1"/>
          <w:sz w:val="21"/>
          <w:szCs w:val="21"/>
          <w:highlight w:val="none"/>
          <w:lang w:val="en"/>
          <w14:textFill>
            <w14:solidFill>
              <w14:schemeClr w14:val="tx1"/>
            </w14:solidFill>
          </w14:textFill>
        </w:rPr>
        <w:t>/个/架/组等</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numPr>
          <w:ilvl w:val="255"/>
          <w:numId w:val="0"/>
        </w:numPr>
        <w:adjustRightInd w:val="0"/>
        <w:snapToGrid w:val="0"/>
        <w:spacing w:line="400" w:lineRule="exact"/>
        <w:ind w:firstLine="420" w:firstLineChars="200"/>
        <w:outlineLvl w:val="9"/>
        <w:rPr>
          <w:rFonts w:ascii="仿宋" w:hAnsi="仿宋" w:eastAsia="仿宋" w:cs="仿宋"/>
          <w:color w:val="000000" w:themeColor="text1"/>
          <w:sz w:val="21"/>
          <w:szCs w:val="21"/>
          <w:highlight w:val="none"/>
          <w:lang w:val="e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品牌：</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lang w:val="e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规格型号：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
          <w14:textFill>
            <w14:solidFill>
              <w14:schemeClr w14:val="tx1"/>
            </w14:solidFill>
          </w14:textFill>
        </w:rPr>
        <w:t xml:space="preserve">   </w:t>
      </w:r>
    </w:p>
    <w:p>
      <w:pPr>
        <w:adjustRightInd w:val="0"/>
        <w:snapToGrid w:val="0"/>
        <w:spacing w:line="400" w:lineRule="exact"/>
        <w:ind w:firstLine="945" w:firstLineChars="450"/>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采购标的的技术要求、商务要求具体见附件。</w:t>
      </w:r>
    </w:p>
    <w:p>
      <w:pPr>
        <w:numPr>
          <w:ilvl w:val="255"/>
          <w:numId w:val="0"/>
        </w:numPr>
        <w:adjustRightInd w:val="0"/>
        <w:snapToGrid w:val="0"/>
        <w:spacing w:line="400" w:lineRule="exact"/>
        <w:ind w:firstLine="945" w:firstLineChars="45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①涉及信息类产品，请填写该产品关键部件的品牌、型号：</w:t>
      </w:r>
    </w:p>
    <w:p>
      <w:pPr>
        <w:numPr>
          <w:ilvl w:val="255"/>
          <w:numId w:val="0"/>
        </w:numPr>
        <w:adjustRightInd w:val="0"/>
        <w:snapToGrid w:val="0"/>
        <w:spacing w:line="400" w:lineRule="exact"/>
        <w:ind w:firstLine="420" w:firstLineChars="200"/>
        <w:outlineLvl w:val="9"/>
        <w:rPr>
          <w:rFonts w:ascii="仿宋" w:hAnsi="仿宋" w:eastAsia="仿宋" w:cs="仿宋"/>
          <w:color w:val="000000" w:themeColor="text1"/>
          <w:kern w:val="0"/>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标的名称：</w:t>
      </w:r>
      <w:r>
        <w:rPr>
          <w:rFonts w:hint="eastAsia" w:ascii="仿宋" w:hAnsi="仿宋" w:eastAsia="仿宋" w:cs="仿宋"/>
          <w:color w:val="000000" w:themeColor="text1"/>
          <w:kern w:val="0"/>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kern w:val="0"/>
          <w:sz w:val="21"/>
          <w:szCs w:val="21"/>
          <w:highlight w:val="none"/>
          <w:u w:val="single"/>
          <w:lang w:val="en"/>
          <w14:textFill>
            <w14:solidFill>
              <w14:schemeClr w14:val="tx1"/>
            </w14:solidFill>
          </w14:textFill>
        </w:rPr>
        <w:t xml:space="preserve">               </w:t>
      </w:r>
      <w:r>
        <w:rPr>
          <w:rFonts w:hint="eastAsia" w:ascii="仿宋" w:hAnsi="仿宋" w:eastAsia="仿宋" w:cs="仿宋"/>
          <w:color w:val="000000" w:themeColor="text1"/>
          <w:kern w:val="0"/>
          <w:sz w:val="21"/>
          <w:szCs w:val="21"/>
          <w:highlight w:val="none"/>
          <w:u w:val="single"/>
          <w14:textFill>
            <w14:solidFill>
              <w14:schemeClr w14:val="tx1"/>
            </w14:solidFill>
          </w14:textFill>
        </w:rPr>
        <w:t xml:space="preserve">    </w:t>
      </w:r>
    </w:p>
    <w:p>
      <w:pPr>
        <w:numPr>
          <w:ilvl w:val="255"/>
          <w:numId w:val="0"/>
        </w:num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关键部件：</w:t>
      </w:r>
      <w:r>
        <w:rPr>
          <w:rFonts w:hint="eastAsia" w:ascii="仿宋" w:hAnsi="仿宋" w:eastAsia="仿宋" w:cs="仿宋"/>
          <w:color w:val="000000" w:themeColor="text1"/>
          <w:kern w:val="0"/>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品牌：</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型号：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pStyle w:val="38"/>
        <w:ind w:firstLine="42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kern w:val="2"/>
          <w:sz w:val="21"/>
          <w:highlight w:val="none"/>
          <w14:textFill>
            <w14:solidFill>
              <w14:schemeClr w14:val="tx1"/>
            </w14:solidFill>
          </w14:textFill>
        </w:rPr>
        <w:t>关键部件</w:t>
      </w:r>
      <w:r>
        <w:rPr>
          <w:rFonts w:hint="eastAsia" w:ascii="仿宋" w:hAnsi="仿宋" w:eastAsia="仿宋" w:cs="仿宋"/>
          <w:color w:val="000000" w:themeColor="text1"/>
          <w:sz w:val="21"/>
          <w:highlight w:val="none"/>
          <w14:textFill>
            <w14:solidFill>
              <w14:schemeClr w14:val="tx1"/>
            </w14:solidFill>
          </w14:textFill>
        </w:rPr>
        <w:t>：</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品牌：</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型号：</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w:t>
      </w:r>
    </w:p>
    <w:p>
      <w:pPr>
        <w:pStyle w:val="38"/>
        <w:ind w:firstLine="42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关键部件：</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品牌：</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型号：</w:t>
      </w:r>
      <w:r>
        <w:rPr>
          <w:rFonts w:hint="eastAsia" w:ascii="仿宋" w:hAnsi="仿宋" w:eastAsia="仿宋" w:cs="仿宋"/>
          <w:color w:val="000000" w:themeColor="text1"/>
          <w:sz w:val="21"/>
          <w:highlight w:val="none"/>
          <w:u w:val="single"/>
          <w14:textFill>
            <w14:solidFill>
              <w14:schemeClr w14:val="tx1"/>
            </w14:solidFill>
          </w14:textFill>
        </w:rPr>
        <w:t xml:space="preserve">       </w:t>
      </w:r>
    </w:p>
    <w:p>
      <w:pPr>
        <w:pStyle w:val="38"/>
        <w:numPr>
          <w:ilvl w:val="255"/>
          <w:numId w:val="0"/>
        </w:numPr>
        <w:snapToGrid w:val="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pPr>
        <w:pStyle w:val="38"/>
        <w:numPr>
          <w:ilvl w:val="255"/>
          <w:numId w:val="0"/>
        </w:numPr>
        <w:snapToGrid w:val="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②涉及车辆采购，请填写是否属于新能源汽车：</w:t>
      </w:r>
    </w:p>
    <w:p>
      <w:pPr>
        <w:pStyle w:val="38"/>
        <w:numPr>
          <w:ilvl w:val="255"/>
          <w:numId w:val="0"/>
        </w:numPr>
        <w:snapToGrid w:val="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是，《政府采购品目分类目录》底级品目名称：</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数量：</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金额：</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w:t>
      </w:r>
    </w:p>
    <w:p>
      <w:pPr>
        <w:pStyle w:val="38"/>
        <w:numPr>
          <w:ilvl w:val="255"/>
          <w:numId w:val="0"/>
        </w:numPr>
        <w:snapToGrid w:val="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否</w:t>
      </w:r>
    </w:p>
    <w:p>
      <w:pPr>
        <w:pStyle w:val="38"/>
        <w:numPr>
          <w:ilvl w:val="255"/>
          <w:numId w:val="0"/>
        </w:numPr>
        <w:snapToGrid w:val="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lang w:val="en"/>
          <w14:textFill>
            <w14:solidFill>
              <w14:schemeClr w14:val="tx1"/>
            </w14:solidFill>
          </w14:textFill>
        </w:rPr>
        <w:t>4</w:t>
      </w:r>
      <w:r>
        <w:rPr>
          <w:rFonts w:hint="eastAsia" w:ascii="仿宋" w:hAnsi="仿宋" w:eastAsia="仿宋" w:cs="仿宋"/>
          <w:color w:val="000000" w:themeColor="text1"/>
          <w:sz w:val="21"/>
          <w:highlight w:val="none"/>
          <w14:textFill>
            <w14:solidFill>
              <w14:schemeClr w14:val="tx1"/>
            </w14:solidFill>
          </w14:textFill>
        </w:rPr>
        <w:t>）政府采购组织形式：</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政府集中采购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部门集中采购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分散采购</w:t>
      </w:r>
    </w:p>
    <w:p>
      <w:pPr>
        <w:pStyle w:val="38"/>
        <w:numPr>
          <w:ilvl w:val="255"/>
          <w:numId w:val="0"/>
        </w:numPr>
        <w:snapToGrid w:val="0"/>
        <w:ind w:firstLine="42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w:t>
      </w:r>
      <w:r>
        <w:rPr>
          <w:rFonts w:hint="eastAsia" w:ascii="仿宋" w:hAnsi="仿宋" w:eastAsia="仿宋" w:cs="仿宋"/>
          <w:color w:val="000000" w:themeColor="text1"/>
          <w:sz w:val="21"/>
          <w:highlight w:val="none"/>
          <w:lang w:val="en"/>
          <w14:textFill>
            <w14:solidFill>
              <w14:schemeClr w14:val="tx1"/>
            </w14:solidFill>
          </w14:textFill>
        </w:rPr>
        <w:t>5</w:t>
      </w:r>
      <w:r>
        <w:rPr>
          <w:rFonts w:hint="eastAsia" w:ascii="仿宋" w:hAnsi="仿宋" w:eastAsia="仿宋" w:cs="仿宋"/>
          <w:color w:val="000000" w:themeColor="text1"/>
          <w:sz w:val="21"/>
          <w:highlight w:val="none"/>
          <w14:textFill>
            <w14:solidFill>
              <w14:schemeClr w14:val="tx1"/>
            </w14:solidFill>
          </w14:textFill>
        </w:rPr>
        <w:t>）政府采购方式：</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公开招标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邀请招标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竞争性谈判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竞争性磋商</w:t>
      </w:r>
    </w:p>
    <w:p>
      <w:pPr>
        <w:pStyle w:val="38"/>
        <w:numPr>
          <w:ilvl w:val="255"/>
          <w:numId w:val="0"/>
        </w:numPr>
        <w:snapToGrid w:val="0"/>
        <w:ind w:firstLine="420"/>
        <w:outlineLvl w:val="9"/>
        <w:rPr>
          <w:rFonts w:ascii="仿宋" w:hAnsi="仿宋" w:eastAsia="仿宋" w:cs="仿宋"/>
          <w:color w:val="000000" w:themeColor="text1"/>
          <w:sz w:val="21"/>
          <w:highlight w:val="none"/>
          <w:u w:val="singl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询价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单一来源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框架协议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其他：</w:t>
      </w:r>
      <w:r>
        <w:rPr>
          <w:rFonts w:hint="eastAsia" w:ascii="仿宋" w:hAnsi="仿宋" w:eastAsia="仿宋" w:cs="仿宋"/>
          <w:color w:val="000000" w:themeColor="text1"/>
          <w:sz w:val="21"/>
          <w:highlight w:val="none"/>
          <w:u w:val="single"/>
          <w14:textFill>
            <w14:solidFill>
              <w14:schemeClr w14:val="tx1"/>
            </w14:solidFill>
          </w14:textFill>
        </w:rPr>
        <w:t xml:space="preserve">          </w:t>
      </w:r>
    </w:p>
    <w:p>
      <w:pPr>
        <w:pStyle w:val="38"/>
        <w:numPr>
          <w:ilvl w:val="255"/>
          <w:numId w:val="0"/>
        </w:numPr>
        <w:snapToGrid w:val="0"/>
        <w:ind w:firstLine="42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（注：在框架协议采购的第二阶段，可选择使用该合同文本）</w:t>
      </w:r>
    </w:p>
    <w:p>
      <w:pPr>
        <w:pStyle w:val="38"/>
        <w:numPr>
          <w:ilvl w:val="255"/>
          <w:numId w:val="0"/>
        </w:numPr>
        <w:snapToGrid w:val="0"/>
        <w:ind w:firstLine="210" w:firstLineChars="100"/>
        <w:outlineLvl w:val="9"/>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lang w:val="en"/>
          <w14:textFill>
            <w14:solidFill>
              <w14:schemeClr w14:val="tx1"/>
            </w14:solidFill>
          </w14:textFill>
        </w:rPr>
        <w:t>6</w:t>
      </w:r>
      <w:r>
        <w:rPr>
          <w:rFonts w:hint="eastAsia" w:ascii="仿宋" w:hAnsi="仿宋" w:eastAsia="仿宋" w:cs="仿宋"/>
          <w:color w:val="000000" w:themeColor="text1"/>
          <w:sz w:val="21"/>
          <w:highlight w:val="none"/>
          <w14:textFill>
            <w14:solidFill>
              <w14:schemeClr w14:val="tx1"/>
            </w14:solidFill>
          </w14:textFill>
        </w:rPr>
        <w:t>）</w:t>
      </w:r>
      <w:r>
        <w:rPr>
          <w:rFonts w:hint="eastAsia" w:ascii="仿宋" w:hAnsi="仿宋" w:eastAsia="仿宋" w:cs="仿宋"/>
          <w:color w:val="000000" w:themeColor="text1"/>
          <w:kern w:val="2"/>
          <w:sz w:val="21"/>
          <w:highlight w:val="none"/>
          <w14:textFill>
            <w14:solidFill>
              <w14:schemeClr w14:val="tx1"/>
            </w14:solidFill>
          </w14:textFill>
        </w:rPr>
        <w:t>中标（成交）采购标的制造商是否为中小企业：</w:t>
      </w:r>
      <w:r>
        <w:rPr>
          <w:rFonts w:hint="eastAsia" w:ascii="仿宋" w:hAnsi="仿宋" w:eastAsia="仿宋" w:cs="仿宋"/>
          <w:color w:val="000000" w:themeColor="text1"/>
          <w:kern w:val="2"/>
          <w:sz w:val="21"/>
          <w:highlight w:val="none"/>
          <w14:textFill>
            <w14:solidFill>
              <w14:schemeClr w14:val="tx1"/>
            </w14:solidFill>
          </w14:textFill>
        </w:rPr>
        <w:sym w:font="Wingdings" w:char="00A8"/>
      </w:r>
      <w:r>
        <w:rPr>
          <w:rFonts w:hint="eastAsia" w:ascii="仿宋" w:hAnsi="仿宋" w:eastAsia="仿宋" w:cs="仿宋"/>
          <w:color w:val="000000" w:themeColor="text1"/>
          <w:kern w:val="2"/>
          <w:sz w:val="21"/>
          <w:highlight w:val="none"/>
          <w14:textFill>
            <w14:solidFill>
              <w14:schemeClr w14:val="tx1"/>
            </w14:solidFill>
          </w14:textFill>
        </w:rPr>
        <w:t xml:space="preserve">是      </w:t>
      </w:r>
      <w:r>
        <w:rPr>
          <w:rFonts w:hint="eastAsia" w:ascii="仿宋" w:hAnsi="仿宋" w:eastAsia="仿宋" w:cs="仿宋"/>
          <w:color w:val="000000" w:themeColor="text1"/>
          <w:kern w:val="2"/>
          <w:sz w:val="21"/>
          <w:highlight w:val="none"/>
          <w14:textFill>
            <w14:solidFill>
              <w14:schemeClr w14:val="tx1"/>
            </w14:solidFill>
          </w14:textFill>
        </w:rPr>
        <w:sym w:font="Wingdings" w:char="00A8"/>
      </w:r>
      <w:r>
        <w:rPr>
          <w:rFonts w:hint="eastAsia" w:ascii="仿宋" w:hAnsi="仿宋" w:eastAsia="仿宋" w:cs="仿宋"/>
          <w:color w:val="000000" w:themeColor="text1"/>
          <w:kern w:val="2"/>
          <w:sz w:val="21"/>
          <w:highlight w:val="none"/>
          <w14:textFill>
            <w14:solidFill>
              <w14:schemeClr w14:val="tx1"/>
            </w14:solidFill>
          </w14:textFill>
        </w:rPr>
        <w:t>否</w:t>
      </w:r>
    </w:p>
    <w:p>
      <w:pPr>
        <w:numPr>
          <w:ilvl w:val="255"/>
          <w:numId w:val="0"/>
        </w:numPr>
        <w:adjustRightInd w:val="0"/>
        <w:snapToGrid w:val="0"/>
        <w:spacing w:line="400" w:lineRule="exact"/>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本合同是否为专门面向中小企业的采购合同（中小企业预留合同）：</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pPr>
        <w:numPr>
          <w:ilvl w:val="255"/>
          <w:numId w:val="0"/>
        </w:numPr>
        <w:adjustRightInd w:val="0"/>
        <w:snapToGrid w:val="0"/>
        <w:spacing w:line="400" w:lineRule="exact"/>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若本项目不专门面向中小企业采购，是否给予小微企业评审优惠：</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pPr>
        <w:numPr>
          <w:ilvl w:val="255"/>
          <w:numId w:val="0"/>
        </w:numPr>
        <w:adjustRightInd w:val="0"/>
        <w:snapToGrid w:val="0"/>
        <w:spacing w:line="400" w:lineRule="exact"/>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中标（成交）采购标的制造商是否为残疾人福利性单位：</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pPr>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中标（成交）采购标的制造商是否为监狱企业：</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）合同是否分包：</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pPr>
        <w:adjustRightInd w:val="0"/>
        <w:snapToGrid w:val="0"/>
        <w:spacing w:line="400" w:lineRule="exact"/>
        <w:ind w:firstLine="840" w:firstLineChars="400"/>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分包主要内容：</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ind w:firstLine="840" w:firstLineChars="4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分包供应商/制造商名称（如供应商和制造商不同，请分别填写）：</w:t>
      </w:r>
    </w:p>
    <w:p>
      <w:pPr>
        <w:adjustRightInd w:val="0"/>
        <w:snapToGrid w:val="0"/>
        <w:spacing w:line="400" w:lineRule="exact"/>
        <w:ind w:firstLine="840" w:firstLineChars="400"/>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ind w:firstLine="840" w:firstLineChars="4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分包供应商/制造商类型（如果供应商和制造商不同，只填写制造商类型）：</w:t>
      </w:r>
    </w:p>
    <w:p>
      <w:pPr>
        <w:adjustRightInd w:val="0"/>
        <w:snapToGrid w:val="0"/>
        <w:spacing w:line="400" w:lineRule="exact"/>
        <w:ind w:firstLine="840" w:firstLineChars="400"/>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大型企业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中型企业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小微型企业  </w:t>
      </w:r>
    </w:p>
    <w:p>
      <w:pPr>
        <w:adjustRightInd w:val="0"/>
        <w:snapToGrid w:val="0"/>
        <w:spacing w:line="400" w:lineRule="exact"/>
        <w:ind w:firstLine="840" w:firstLineChars="4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残疾人福利性单位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监狱企业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其他</w:t>
      </w:r>
    </w:p>
    <w:p>
      <w:pPr>
        <w:numPr>
          <w:ilvl w:val="255"/>
          <w:numId w:val="0"/>
        </w:numPr>
        <w:adjustRightInd w:val="0"/>
        <w:snapToGrid w:val="0"/>
        <w:spacing w:line="400" w:lineRule="exact"/>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）中标（成交）供应商是否为外商投资企业：</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pPr>
        <w:pStyle w:val="38"/>
        <w:tabs>
          <w:tab w:val="left" w:pos="1340"/>
        </w:tabs>
        <w:ind w:firstLine="420"/>
        <w:outlineLvl w:val="9"/>
        <w:rPr>
          <w:rFonts w:ascii="仿宋" w:hAnsi="仿宋" w:eastAsia="仿宋" w:cs="仿宋"/>
          <w:color w:val="000000" w:themeColor="text1"/>
          <w:sz w:val="21"/>
          <w:highlight w:val="none"/>
          <w:u w:val="singl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外商投资企业类型：</w:t>
      </w:r>
      <w:r>
        <w:rPr>
          <w:rFonts w:hint="eastAsia" w:ascii="仿宋" w:hAnsi="仿宋" w:eastAsia="仿宋" w:cs="仿宋"/>
          <w:iCs/>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全部由外国投资者投资  </w:t>
      </w:r>
      <w:r>
        <w:rPr>
          <w:rFonts w:hint="eastAsia" w:ascii="仿宋" w:hAnsi="仿宋" w:eastAsia="仿宋" w:cs="仿宋"/>
          <w:iCs/>
          <w:color w:val="000000" w:themeColor="text1"/>
          <w:sz w:val="21"/>
          <w:highlight w:val="none"/>
          <w14:textFill>
            <w14:solidFill>
              <w14:schemeClr w14:val="tx1"/>
            </w14:solidFill>
          </w14:textFill>
        </w:rPr>
        <w:sym w:font="Wingdings" w:char="00A8"/>
      </w:r>
      <w:r>
        <w:rPr>
          <w:rFonts w:hint="eastAsia" w:ascii="仿宋" w:hAnsi="仿宋" w:eastAsia="仿宋" w:cs="仿宋"/>
          <w:iCs/>
          <w:color w:val="000000" w:themeColor="text1"/>
          <w:sz w:val="21"/>
          <w:highlight w:val="none"/>
          <w14:textFill>
            <w14:solidFill>
              <w14:schemeClr w14:val="tx1"/>
            </w14:solidFill>
          </w14:textFill>
        </w:rPr>
        <w:t>部分由外国投资者投资</w:t>
      </w:r>
    </w:p>
    <w:p>
      <w:pPr>
        <w:numPr>
          <w:ilvl w:val="255"/>
          <w:numId w:val="0"/>
        </w:num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）是否涉及进口产品：</w:t>
      </w:r>
    </w:p>
    <w:p>
      <w:pPr>
        <w:numPr>
          <w:ilvl w:val="255"/>
          <w:numId w:val="0"/>
        </w:numPr>
        <w:adjustRightInd w:val="0"/>
        <w:snapToGrid w:val="0"/>
        <w:spacing w:line="400" w:lineRule="exact"/>
        <w:ind w:firstLine="840" w:firstLineChars="400"/>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是，《政府采购品目分类目录》底级品目名称：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金额：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numPr>
          <w:ilvl w:val="255"/>
          <w:numId w:val="0"/>
        </w:numPr>
        <w:adjustRightInd w:val="0"/>
        <w:snapToGrid w:val="0"/>
        <w:spacing w:line="400" w:lineRule="exact"/>
        <w:ind w:firstLine="840" w:firstLineChars="4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国别：</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品牌：</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规格型号：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adjustRightInd w:val="0"/>
        <w:snapToGrid w:val="0"/>
        <w:spacing w:line="400" w:lineRule="exact"/>
        <w:ind w:firstLine="840" w:firstLineChars="4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否</w:t>
      </w:r>
    </w:p>
    <w:p>
      <w:pPr>
        <w:numPr>
          <w:ilvl w:val="255"/>
          <w:numId w:val="0"/>
        </w:numPr>
        <w:tabs>
          <w:tab w:val="left" w:pos="740"/>
        </w:tabs>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w:t>
      </w:r>
      <w:r>
        <w:rPr>
          <w:rFonts w:hint="eastAsia" w:ascii="仿宋" w:hAnsi="仿宋" w:eastAsia="仿宋" w:cs="仿宋"/>
          <w:color w:val="000000" w:themeColor="text1"/>
          <w:sz w:val="21"/>
          <w:szCs w:val="21"/>
          <w:highlight w:val="none"/>
          <w:lang w:val="en"/>
          <w14:textFill>
            <w14:solidFill>
              <w14:schemeClr w14:val="tx1"/>
            </w14:solidFill>
          </w14:textFill>
        </w:rPr>
        <w:t>0</w:t>
      </w:r>
      <w:r>
        <w:rPr>
          <w:rFonts w:hint="eastAsia" w:ascii="仿宋" w:hAnsi="仿宋" w:eastAsia="仿宋" w:cs="仿宋"/>
          <w:color w:val="000000" w:themeColor="text1"/>
          <w:sz w:val="21"/>
          <w:szCs w:val="21"/>
          <w:highlight w:val="none"/>
          <w14:textFill>
            <w14:solidFill>
              <w14:schemeClr w14:val="tx1"/>
            </w14:solidFill>
          </w14:textFill>
        </w:rPr>
        <w:t>）是否涉及节能产品：</w:t>
      </w:r>
    </w:p>
    <w:p>
      <w:pPr>
        <w:numPr>
          <w:ilvl w:val="255"/>
          <w:numId w:val="0"/>
        </w:numPr>
        <w:tabs>
          <w:tab w:val="left" w:pos="740"/>
        </w:tabs>
        <w:adjustRightInd w:val="0"/>
        <w:snapToGrid w:val="0"/>
        <w:spacing w:line="400" w:lineRule="exact"/>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是，《节能产品政府采购品目清单》的底级品目名称：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t xml:space="preserve">     </w:t>
      </w:r>
    </w:p>
    <w:p>
      <w:pPr>
        <w:numPr>
          <w:ilvl w:val="255"/>
          <w:numId w:val="0"/>
        </w:numPr>
        <w:tabs>
          <w:tab w:val="left" w:pos="740"/>
        </w:tabs>
        <w:adjustRightInd w:val="0"/>
        <w:snapToGrid w:val="0"/>
        <w:spacing w:line="400" w:lineRule="exact"/>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强制采购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优先采购    </w:t>
      </w:r>
    </w:p>
    <w:p>
      <w:pPr>
        <w:numPr>
          <w:ilvl w:val="255"/>
          <w:numId w:val="0"/>
        </w:numPr>
        <w:tabs>
          <w:tab w:val="left" w:pos="740"/>
        </w:tabs>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否</w:t>
      </w:r>
    </w:p>
    <w:p>
      <w:pPr>
        <w:numPr>
          <w:ilvl w:val="255"/>
          <w:numId w:val="0"/>
        </w:numPr>
        <w:tabs>
          <w:tab w:val="left" w:pos="740"/>
        </w:tabs>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是否涉及环境标志产品：</w:t>
      </w:r>
    </w:p>
    <w:p>
      <w:pPr>
        <w:numPr>
          <w:ilvl w:val="255"/>
          <w:numId w:val="0"/>
        </w:numPr>
        <w:tabs>
          <w:tab w:val="left" w:pos="740"/>
        </w:tabs>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是，《环境标志产品政府采购品目清单》的底级品目名称：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t xml:space="preserve"> </w:t>
      </w:r>
    </w:p>
    <w:p>
      <w:pPr>
        <w:numPr>
          <w:ilvl w:val="255"/>
          <w:numId w:val="0"/>
        </w:numPr>
        <w:tabs>
          <w:tab w:val="left" w:pos="740"/>
        </w:tabs>
        <w:adjustRightInd w:val="0"/>
        <w:snapToGrid w:val="0"/>
        <w:spacing w:line="400" w:lineRule="exact"/>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强制采购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优先采购    </w:t>
      </w:r>
    </w:p>
    <w:p>
      <w:pPr>
        <w:numPr>
          <w:ilvl w:val="255"/>
          <w:numId w:val="0"/>
        </w:numPr>
        <w:tabs>
          <w:tab w:val="left" w:pos="740"/>
        </w:tabs>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否</w:t>
      </w:r>
    </w:p>
    <w:p>
      <w:pPr>
        <w:pStyle w:val="38"/>
        <w:numPr>
          <w:ilvl w:val="255"/>
          <w:numId w:val="0"/>
        </w:numPr>
        <w:snapToGrid w:val="0"/>
        <w:outlineLvl w:val="9"/>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kern w:val="2"/>
          <w:sz w:val="21"/>
          <w:highlight w:val="none"/>
          <w14:textFill>
            <w14:solidFill>
              <w14:schemeClr w14:val="tx1"/>
            </w14:solidFill>
          </w14:textFill>
        </w:rPr>
        <w:t xml:space="preserve">是否涉及绿色产品： </w:t>
      </w:r>
    </w:p>
    <w:p>
      <w:pPr>
        <w:pStyle w:val="38"/>
        <w:ind w:firstLine="420" w:firstLineChars="0"/>
        <w:outlineLvl w:val="9"/>
        <w:rPr>
          <w:rFonts w:ascii="仿宋" w:hAnsi="仿宋" w:eastAsia="仿宋" w:cs="仿宋"/>
          <w:color w:val="000000" w:themeColor="text1"/>
          <w:sz w:val="21"/>
          <w:highlight w:val="none"/>
          <w:u w:val="singl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 xml:space="preserve">     </w:t>
      </w:r>
      <w:r>
        <w:rPr>
          <w:rFonts w:hint="eastAsia" w:ascii="仿宋" w:hAnsi="仿宋" w:eastAsia="仿宋" w:cs="仿宋"/>
          <w:color w:val="000000" w:themeColor="text1"/>
          <w:kern w:val="2"/>
          <w:sz w:val="21"/>
          <w:highlight w:val="none"/>
          <w14:textFill>
            <w14:solidFill>
              <w14:schemeClr w14:val="tx1"/>
            </w14:solidFill>
          </w14:textFill>
        </w:rPr>
        <w:sym w:font="Wingdings" w:char="00A8"/>
      </w:r>
      <w:r>
        <w:rPr>
          <w:rFonts w:hint="eastAsia" w:ascii="仿宋" w:hAnsi="仿宋" w:eastAsia="仿宋" w:cs="仿宋"/>
          <w:color w:val="000000" w:themeColor="text1"/>
          <w:kern w:val="2"/>
          <w:sz w:val="21"/>
          <w:highlight w:val="none"/>
          <w14:textFill>
            <w14:solidFill>
              <w14:schemeClr w14:val="tx1"/>
            </w14:solidFill>
          </w14:textFill>
        </w:rPr>
        <w:t>是，绿色产品政府采购相关政策确定的底级品目名称：</w:t>
      </w:r>
      <w:r>
        <w:rPr>
          <w:rFonts w:hint="eastAsia" w:ascii="仿宋" w:hAnsi="仿宋" w:eastAsia="仿宋" w:cs="仿宋"/>
          <w:color w:val="000000" w:themeColor="text1"/>
          <w:sz w:val="21"/>
          <w:highlight w:val="none"/>
          <w:u w:val="single"/>
          <w14:textFill>
            <w14:solidFill>
              <w14:schemeClr w14:val="tx1"/>
            </w14:solidFill>
          </w14:textFill>
        </w:rPr>
        <w:t xml:space="preserve">         </w:t>
      </w:r>
    </w:p>
    <w:p>
      <w:pPr>
        <w:numPr>
          <w:ilvl w:val="255"/>
          <w:numId w:val="0"/>
        </w:numPr>
        <w:tabs>
          <w:tab w:val="left" w:pos="740"/>
        </w:tabs>
        <w:adjustRightInd w:val="0"/>
        <w:snapToGrid w:val="0"/>
        <w:spacing w:line="400" w:lineRule="exact"/>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强制采购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优先采购    </w:t>
      </w:r>
    </w:p>
    <w:p>
      <w:pPr>
        <w:pStyle w:val="38"/>
        <w:ind w:firstLine="420" w:firstLineChars="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 xml:space="preserve">     </w:t>
      </w:r>
      <w:r>
        <w:rPr>
          <w:rFonts w:hint="eastAsia" w:ascii="仿宋" w:hAnsi="仿宋" w:eastAsia="仿宋" w:cs="仿宋"/>
          <w:color w:val="000000" w:themeColor="text1"/>
          <w:kern w:val="2"/>
          <w:sz w:val="21"/>
          <w:highlight w:val="none"/>
          <w14:textFill>
            <w14:solidFill>
              <w14:schemeClr w14:val="tx1"/>
            </w14:solidFill>
          </w14:textFill>
        </w:rPr>
        <w:sym w:font="Wingdings" w:char="00A8"/>
      </w:r>
      <w:r>
        <w:rPr>
          <w:rFonts w:hint="eastAsia" w:ascii="仿宋" w:hAnsi="仿宋" w:eastAsia="仿宋" w:cs="仿宋"/>
          <w:color w:val="000000" w:themeColor="text1"/>
          <w:kern w:val="2"/>
          <w:sz w:val="21"/>
          <w:highlight w:val="none"/>
          <w14:textFill>
            <w14:solidFill>
              <w14:schemeClr w14:val="tx1"/>
            </w14:solidFill>
          </w14:textFill>
        </w:rPr>
        <w:t>否</w:t>
      </w:r>
    </w:p>
    <w:p>
      <w:pPr>
        <w:numPr>
          <w:ilvl w:val="255"/>
          <w:numId w:val="0"/>
        </w:numPr>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w:t>
      </w:r>
      <w:r>
        <w:rPr>
          <w:rFonts w:hint="eastAsia" w:ascii="仿宋" w:hAnsi="仿宋" w:eastAsia="仿宋" w:cs="仿宋"/>
          <w:color w:val="000000" w:themeColor="text1"/>
          <w:sz w:val="21"/>
          <w:szCs w:val="21"/>
          <w:highlight w:val="none"/>
          <w:lang w:val="e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1050" w:firstLineChars="5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 xml:space="preserve">否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不涉及</w:t>
      </w:r>
    </w:p>
    <w:p>
      <w:pPr>
        <w:numPr>
          <w:ilvl w:val="0"/>
          <w:numId w:val="2"/>
        </w:numPr>
        <w:adjustRightInd w:val="0"/>
        <w:snapToGrid w:val="0"/>
        <w:spacing w:line="400" w:lineRule="exact"/>
        <w:ind w:firstLine="422" w:firstLineChars="200"/>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合同金额</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（1）合同金额小写：</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大写：</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分包金额（如有）小写：</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大写：</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（注：固定单价合同应填写单价和最高限价）</w:t>
      </w:r>
    </w:p>
    <w:p>
      <w:pPr>
        <w:numPr>
          <w:ilvl w:val="255"/>
          <w:numId w:val="0"/>
        </w:numPr>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（2）合同定价方式（采用组合定价方式的，可以勾选多项）：</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固定总价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固定单价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固定费率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成本补偿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绩效激励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其他</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pStyle w:val="39"/>
        <w:spacing w:line="400" w:lineRule="exact"/>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（3）付款方式（按项目实际勾选填写）：</w:t>
      </w:r>
    </w:p>
    <w:p>
      <w:pPr>
        <w:adjustRightInd w:val="0"/>
        <w:snapToGrid w:val="0"/>
        <w:spacing w:line="400" w:lineRule="exact"/>
        <w:ind w:firstLine="630" w:firstLineChars="300"/>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全额付款：</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（应明确一次性支付合同款项的条件）                    </w:t>
      </w:r>
    </w:p>
    <w:p>
      <w:pPr>
        <w:snapToGrid w:val="0"/>
        <w:spacing w:line="400" w:lineRule="exact"/>
        <w:ind w:firstLine="630" w:firstLineChars="3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分期付款：</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（应明确分期支付合同款项的各期比例和支付条件，各期支付条件应与分期履约验收情况挂钩） </w:t>
      </w:r>
      <w:r>
        <w:rPr>
          <w:rFonts w:hint="eastAsia" w:ascii="仿宋" w:hAnsi="仿宋" w:eastAsia="仿宋" w:cs="仿宋"/>
          <w:color w:val="000000" w:themeColor="text1"/>
          <w:sz w:val="21"/>
          <w:szCs w:val="21"/>
          <w:highlight w:val="none"/>
          <w14:textFill>
            <w14:solidFill>
              <w14:schemeClr w14:val="tx1"/>
            </w14:solidFill>
          </w14:textFill>
        </w:rPr>
        <w:t>，其中涉及预付款的：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（应明确预付款的支付比例和支付条件） </w:t>
      </w:r>
    </w:p>
    <w:p>
      <w:pPr>
        <w:adjustRightInd w:val="0"/>
        <w:snapToGrid w:val="0"/>
        <w:spacing w:line="400" w:lineRule="exact"/>
        <w:ind w:firstLine="630" w:firstLineChars="300"/>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成本补偿：</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（应明确按照成本补偿方式的支付方式和支付条件）   </w:t>
      </w:r>
    </w:p>
    <w:p>
      <w:pPr>
        <w:adjustRightInd w:val="0"/>
        <w:snapToGrid w:val="0"/>
        <w:spacing w:line="400" w:lineRule="exact"/>
        <w:ind w:firstLine="630" w:firstLineChars="3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绩效激励：</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（应明确按照绩效激励方式的支付方式和支付条件）   </w:t>
      </w:r>
    </w:p>
    <w:p>
      <w:pPr>
        <w:numPr>
          <w:ilvl w:val="0"/>
          <w:numId w:val="2"/>
        </w:numPr>
        <w:adjustRightInd w:val="0"/>
        <w:snapToGrid w:val="0"/>
        <w:spacing w:line="400" w:lineRule="exact"/>
        <w:ind w:firstLine="422" w:firstLineChars="200"/>
        <w:outlineLvl w:val="9"/>
        <w:rPr>
          <w:rFonts w:ascii="仿宋" w:hAnsi="仿宋" w:eastAsia="仿宋" w:cs="仿宋"/>
          <w:b/>
          <w:color w:val="000000" w:themeColor="text1"/>
          <w:sz w:val="21"/>
          <w:szCs w:val="21"/>
          <w:highlight w:val="none"/>
          <w:u w:val="singl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合同履行</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（1）起始日期：</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日，完成日期：</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（2）履约地点</w:t>
      </w:r>
      <w:r>
        <w:rPr>
          <w:rFonts w:hint="eastAsia" w:ascii="仿宋" w:hAnsi="仿宋" w:eastAsia="仿宋" w:cs="仿宋"/>
          <w:bCs/>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（3）履约担保：</w:t>
      </w:r>
      <w:r>
        <w:rPr>
          <w:rFonts w:hint="eastAsia" w:ascii="仿宋" w:hAnsi="仿宋" w:eastAsia="仿宋" w:cs="仿宋"/>
          <w:color w:val="000000" w:themeColor="text1"/>
          <w:sz w:val="21"/>
          <w:szCs w:val="21"/>
          <w:highlight w:val="none"/>
          <w14:textFill>
            <w14:solidFill>
              <w14:schemeClr w14:val="tx1"/>
            </w14:solidFill>
          </w14:textFill>
        </w:rPr>
        <w:t>是否收取履约保证金：</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否</w:t>
      </w:r>
    </w:p>
    <w:p>
      <w:pPr>
        <w:pStyle w:val="38"/>
        <w:ind w:firstLine="42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收取履约保证金形式：</w:t>
      </w:r>
      <w:r>
        <w:rPr>
          <w:rFonts w:hint="eastAsia" w:ascii="仿宋" w:hAnsi="仿宋" w:eastAsia="仿宋" w:cs="仿宋"/>
          <w:bCs/>
          <w:color w:val="000000" w:themeColor="text1"/>
          <w:sz w:val="21"/>
          <w:highlight w:val="none"/>
          <w:u w:val="single"/>
          <w14:textFill>
            <w14:solidFill>
              <w14:schemeClr w14:val="tx1"/>
            </w14:solidFill>
          </w14:textFill>
        </w:rPr>
        <w:t xml:space="preserve">                            </w:t>
      </w:r>
    </w:p>
    <w:p>
      <w:pPr>
        <w:pStyle w:val="38"/>
        <w:ind w:firstLine="42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收取履约保证金金额：</w:t>
      </w:r>
      <w:r>
        <w:rPr>
          <w:rFonts w:hint="eastAsia" w:ascii="仿宋" w:hAnsi="仿宋" w:eastAsia="仿宋" w:cs="仿宋"/>
          <w:bCs/>
          <w:color w:val="000000" w:themeColor="text1"/>
          <w:sz w:val="21"/>
          <w:highlight w:val="none"/>
          <w:u w:val="single"/>
          <w14:textFill>
            <w14:solidFill>
              <w14:schemeClr w14:val="tx1"/>
            </w14:solidFill>
          </w14:textFill>
        </w:rPr>
        <w:t xml:space="preserve">                            </w:t>
      </w:r>
    </w:p>
    <w:p>
      <w:pPr>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履约担保期限：</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（4）分期履行要求：</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（5）风险处置措施和替代方案：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numPr>
          <w:ilvl w:val="0"/>
          <w:numId w:val="2"/>
        </w:numPr>
        <w:adjustRightInd w:val="0"/>
        <w:snapToGrid w:val="0"/>
        <w:spacing w:line="400" w:lineRule="exact"/>
        <w:ind w:firstLine="422" w:firstLineChars="200"/>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合同验收</w:t>
      </w:r>
    </w:p>
    <w:p>
      <w:pPr>
        <w:numPr>
          <w:ilvl w:val="0"/>
          <w:numId w:val="4"/>
        </w:num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验收组织方式：</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自行组织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委托第三方组织</w:t>
      </w:r>
    </w:p>
    <w:p>
      <w:pPr>
        <w:adjustRightInd w:val="0"/>
        <w:snapToGrid w:val="0"/>
        <w:spacing w:line="400" w:lineRule="exact"/>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验收主体：</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是否邀请本项目的其他供应商参加验收：</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pPr>
        <w:adjustRightInd w:val="0"/>
        <w:snapToGrid w:val="0"/>
        <w:spacing w:line="400" w:lineRule="exact"/>
        <w:ind w:firstLine="840" w:firstLineChars="4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是否邀请专家参加验收：</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pPr>
        <w:adjustRightInd w:val="0"/>
        <w:snapToGrid w:val="0"/>
        <w:spacing w:line="400" w:lineRule="exact"/>
        <w:ind w:firstLine="840" w:firstLineChars="4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是否邀请服务对象参加验收：</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pPr>
        <w:adjustRightInd w:val="0"/>
        <w:snapToGrid w:val="0"/>
        <w:spacing w:line="400" w:lineRule="exact"/>
        <w:ind w:firstLine="840" w:firstLineChars="4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是否邀请第三方检测机构参加验收：</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pPr>
        <w:adjustRightInd w:val="0"/>
        <w:snapToGrid w:val="0"/>
        <w:spacing w:line="400" w:lineRule="exact"/>
        <w:ind w:firstLine="840" w:firstLineChars="4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是否进行抽查检测：</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是，抽查比例：</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pPr>
        <w:adjustRightInd w:val="0"/>
        <w:snapToGrid w:val="0"/>
        <w:spacing w:line="400" w:lineRule="exact"/>
        <w:ind w:firstLine="840" w:firstLineChars="400"/>
        <w:outlineLvl w:val="9"/>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是否存在破坏性检测：</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是，</w:t>
      </w:r>
      <w:r>
        <w:rPr>
          <w:rFonts w:hint="eastAsia" w:ascii="仿宋" w:hAnsi="仿宋" w:eastAsia="仿宋" w:cs="仿宋"/>
          <w:bCs/>
          <w:color w:val="000000" w:themeColor="text1"/>
          <w:sz w:val="21"/>
          <w:szCs w:val="21"/>
          <w:highlight w:val="none"/>
          <w:u w:val="single"/>
          <w14:textFill>
            <w14:solidFill>
              <w14:schemeClr w14:val="tx1"/>
            </w14:solidFill>
          </w14:textFill>
        </w:rPr>
        <w:t>（应明确对被破坏的检测产品的处理方式）</w:t>
      </w:r>
    </w:p>
    <w:p>
      <w:pPr>
        <w:adjustRightInd w:val="0"/>
        <w:snapToGrid w:val="0"/>
        <w:spacing w:line="400" w:lineRule="exact"/>
        <w:ind w:firstLine="840" w:firstLineChars="4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pPr>
        <w:adjustRightInd w:val="0"/>
        <w:snapToGrid w:val="0"/>
        <w:spacing w:line="400" w:lineRule="exact"/>
        <w:ind w:firstLine="840" w:firstLineChars="400"/>
        <w:outlineLvl w:val="9"/>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验收组织的其他事项：</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（2）履约验收时间：</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（计划于何时验收/供应商提出验收申请之日起   日内组织验收） </w:t>
      </w:r>
    </w:p>
    <w:p>
      <w:p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（3）履约验收方式：</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一次性验收         </w:t>
      </w:r>
    </w:p>
    <w:p>
      <w:pPr>
        <w:adjustRightInd w:val="0"/>
        <w:snapToGrid w:val="0"/>
        <w:spacing w:line="400" w:lineRule="exact"/>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分期/分项验收：</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（应明确分期</w:t>
      </w:r>
      <w:r>
        <w:rPr>
          <w:rFonts w:hint="eastAsia" w:ascii="仿宋" w:hAnsi="仿宋" w:eastAsia="仿宋" w:cs="仿宋"/>
          <w:bCs/>
          <w:color w:val="000000" w:themeColor="text1"/>
          <w:sz w:val="21"/>
          <w:szCs w:val="21"/>
          <w:highlight w:val="none"/>
          <w:u w:val="single"/>
          <w:lang w:val="en"/>
          <w14:textFill>
            <w14:solidFill>
              <w14:schemeClr w14:val="tx1"/>
            </w14:solidFill>
          </w14:textFill>
        </w:rPr>
        <w:t>/分项验收的工作安排</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（4）履约验收程序：</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（5）履约验收的内容：</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（6）履约验收标准：</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pStyle w:val="38"/>
        <w:ind w:firstLine="420"/>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（7）是否以采购活动中供应商提供的样品作为参考：</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bCs/>
          <w:color w:val="000000" w:themeColor="text1"/>
          <w:sz w:val="21"/>
          <w:highlight w:val="none"/>
          <w14:textFill>
            <w14:solidFill>
              <w14:schemeClr w14:val="tx1"/>
            </w14:solidFill>
          </w14:textFill>
        </w:rPr>
        <w:t xml:space="preserve">是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bCs/>
          <w:color w:val="000000" w:themeColor="text1"/>
          <w:sz w:val="21"/>
          <w:highlight w:val="none"/>
          <w14:textFill>
            <w14:solidFill>
              <w14:schemeClr w14:val="tx1"/>
            </w14:solidFill>
          </w14:textFill>
        </w:rPr>
        <w:t>否</w:t>
      </w:r>
    </w:p>
    <w:p>
      <w:p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（8）履约验收其他事项：</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（产权过户登记等）          </w:t>
      </w:r>
    </w:p>
    <w:p>
      <w:pPr>
        <w:numPr>
          <w:ilvl w:val="0"/>
          <w:numId w:val="2"/>
        </w:numPr>
        <w:adjustRightInd w:val="0"/>
        <w:snapToGrid w:val="0"/>
        <w:spacing w:line="400" w:lineRule="exact"/>
        <w:ind w:firstLine="422" w:firstLineChars="200"/>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组成合同的文件</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本协议书与下列文件一起构成合同文件，如下述文件之间有任何抵触、矛盾或歧义，应按以下顺序解释：</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（1）政府采购合同协议书及其变更、补充协议</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（2）政府采购合同专用条款</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（3）政府采购合同通用条款</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（4）中标（成交）通知书</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（5）投标（响应）文件</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（6）采购文件</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（7）有关技术文件，图纸</w:t>
      </w:r>
    </w:p>
    <w:p>
      <w:pPr>
        <w:pStyle w:val="38"/>
        <w:ind w:firstLine="420"/>
        <w:outlineLvl w:val="9"/>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（8）</w:t>
      </w:r>
      <w:r>
        <w:rPr>
          <w:rFonts w:hint="eastAsia" w:ascii="仿宋" w:hAnsi="仿宋" w:eastAsia="仿宋" w:cs="仿宋"/>
          <w:color w:val="000000" w:themeColor="text1"/>
          <w:kern w:val="2"/>
          <w:sz w:val="21"/>
          <w:highlight w:val="none"/>
          <w14:textFill>
            <w14:solidFill>
              <w14:schemeClr w14:val="tx1"/>
            </w14:solidFill>
          </w14:textFill>
        </w:rPr>
        <w:t>国家法律、行政法规和规章制度规定或合同约定的作为合同组成部分的其他文件</w:t>
      </w:r>
    </w:p>
    <w:p>
      <w:pPr>
        <w:numPr>
          <w:ilvl w:val="0"/>
          <w:numId w:val="2"/>
        </w:numPr>
        <w:adjustRightInd w:val="0"/>
        <w:snapToGrid w:val="0"/>
        <w:spacing w:line="400" w:lineRule="exact"/>
        <w:ind w:firstLine="422" w:firstLineChars="200"/>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合同生效</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本合同自</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生效。</w:t>
      </w:r>
    </w:p>
    <w:p>
      <w:pPr>
        <w:numPr>
          <w:ilvl w:val="0"/>
          <w:numId w:val="2"/>
        </w:numPr>
        <w:adjustRightInd w:val="0"/>
        <w:snapToGrid w:val="0"/>
        <w:spacing w:line="400" w:lineRule="exact"/>
        <w:ind w:firstLine="422" w:firstLineChars="200"/>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合同份数</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本合同一式</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份，甲方执</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份，乙方执</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份，均具有同等法律效力。</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合同订立时间：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合同订立地点：</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附件：具体标的及其技术要求和商务要求、联合体协议书、分包意向协议书等。</w:t>
      </w:r>
    </w:p>
    <w:p>
      <w:pP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pPr>
        <w:pStyle w:val="39"/>
        <w:outlineLvl w:val="9"/>
        <w:rPr>
          <w:rFonts w:ascii="仿宋" w:hAnsi="仿宋" w:eastAsia="仿宋" w:cs="仿宋"/>
          <w:color w:val="000000" w:themeColor="text1"/>
          <w:sz w:val="21"/>
          <w:highlight w:val="none"/>
          <w14:textFill>
            <w14:solidFill>
              <w14:schemeClr w14:val="tx1"/>
            </w14:solidFill>
          </w14:textFill>
        </w:rPr>
      </w:pPr>
    </w:p>
    <w:tbl>
      <w:tblPr>
        <w:tblStyle w:val="14"/>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甲方（采购人、受采购人委托签订合同的单位或采购文件约定的合同甲方）</w:t>
            </w:r>
          </w:p>
        </w:tc>
        <w:tc>
          <w:tcPr>
            <w:tcW w:w="4099" w:type="dxa"/>
            <w:gridSpan w:val="2"/>
            <w:tcBorders>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单位名称（公章或合同章）</w:t>
            </w: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单位名称（公章或合同章）</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w:t>
            </w:r>
          </w:p>
          <w:p>
            <w:pPr>
              <w:adjustRightInd w:val="0"/>
              <w:snapToGrid w:val="0"/>
              <w:spacing w:line="300" w:lineRule="exact"/>
              <w:ind w:firstLine="100" w:firstLineChars="48"/>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或其委托代理人（签章）</w:t>
            </w:r>
          </w:p>
        </w:tc>
        <w:tc>
          <w:tcPr>
            <w:tcW w:w="2053"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w:t>
            </w:r>
          </w:p>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或其委托代理人（签章）</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2053"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拥有者性别</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  所</w:t>
            </w: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  所</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 系 人</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通信地址</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邮政编码</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电子邮箱</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统一社会信用代码</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开户名称</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开户银行</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2053"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银行账号</w:t>
            </w:r>
          </w:p>
        </w:tc>
        <w:tc>
          <w:tcPr>
            <w:tcW w:w="2121" w:type="dxa"/>
            <w:tcBorders>
              <w:top w:val="single" w:color="auto" w:sz="2" w:space="0"/>
              <w:left w:val="single" w:color="auto" w:sz="2" w:space="0"/>
              <w:bottom w:val="single" w:color="auto" w:sz="2" w:space="0"/>
            </w:tcBorders>
            <w:vAlign w:val="center"/>
          </w:tcPr>
          <w:p>
            <w:pPr>
              <w:adjustRightInd w:val="0"/>
              <w:snapToGrid w:val="0"/>
              <w:spacing w:line="300" w:lineRule="exact"/>
              <w:jc w:val="center"/>
              <w:outlineLvl w:val="9"/>
              <w:rPr>
                <w:rFonts w:ascii="仿宋" w:hAnsi="仿宋" w:eastAsia="仿宋" w:cs="仿宋"/>
                <w:color w:val="000000" w:themeColor="text1"/>
                <w:spacing w:val="20"/>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pPr>
              <w:pStyle w:val="7"/>
              <w:adjustRightInd w:val="0"/>
              <w:snapToGrid w:val="0"/>
              <w:spacing w:before="156" w:beforeLines="50"/>
              <w:outlineLvl w:val="9"/>
              <w:rPr>
                <w:rFonts w:ascii="仿宋" w:hAnsi="仿宋" w:eastAsia="仿宋" w:cs="仿宋"/>
                <w:color w:val="000000" w:themeColor="text1"/>
                <w:spacing w:val="2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注：涉及联合体或其他合同主体的信息应按上表格式加列。</w:t>
            </w:r>
          </w:p>
        </w:tc>
      </w:tr>
    </w:tbl>
    <w:p>
      <w:pPr>
        <w:keepNext/>
        <w:keepLines/>
        <w:adjustRightInd w:val="0"/>
        <w:snapToGrid w:val="0"/>
        <w:spacing w:before="156" w:beforeLines="50" w:after="156" w:afterLines="50" w:line="240" w:lineRule="auto"/>
        <w:jc w:val="center"/>
        <w:outlineLvl w:val="9"/>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br w:type="page"/>
      </w:r>
      <w:bookmarkStart w:id="387" w:name="_Toc27624"/>
      <w:bookmarkStart w:id="388" w:name="_Toc2429"/>
      <w:r>
        <w:rPr>
          <w:rFonts w:hint="eastAsia" w:ascii="仿宋" w:hAnsi="仿宋" w:eastAsia="仿宋" w:cs="仿宋"/>
          <w:b/>
          <w:bCs/>
          <w:color w:val="000000" w:themeColor="text1"/>
          <w:sz w:val="36"/>
          <w:szCs w:val="36"/>
          <w:highlight w:val="none"/>
          <w14:textFill>
            <w14:solidFill>
              <w14:schemeClr w14:val="tx1"/>
            </w14:solidFill>
          </w14:textFill>
        </w:rPr>
        <w:t>第二节 政府采购合同通用条款</w:t>
      </w:r>
      <w:bookmarkEnd w:id="387"/>
      <w:bookmarkEnd w:id="388"/>
    </w:p>
    <w:p>
      <w:pPr>
        <w:tabs>
          <w:tab w:val="left" w:pos="8820"/>
          <w:tab w:val="left" w:pos="9345"/>
          <w:tab w:val="left" w:pos="9765"/>
        </w:tabs>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 xml:space="preserve">1. </w:t>
      </w:r>
      <w:r>
        <w:rPr>
          <w:rFonts w:hint="eastAsia" w:ascii="仿宋" w:hAnsi="仿宋" w:eastAsia="仿宋" w:cs="仿宋"/>
          <w:b/>
          <w:bCs/>
          <w:color w:val="000000" w:themeColor="text1"/>
          <w:sz w:val="21"/>
          <w:szCs w:val="21"/>
          <w:highlight w:val="none"/>
          <w14:textFill>
            <w14:solidFill>
              <w14:schemeClr w14:val="tx1"/>
            </w14:solidFill>
          </w14:textFill>
        </w:rPr>
        <w:t>定义</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1.1合同当事人</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（3）其他合同主体是指除采购人和供应商以外，</w:t>
      </w:r>
      <w:r>
        <w:rPr>
          <w:rFonts w:hint="eastAsia" w:ascii="仿宋" w:hAnsi="仿宋" w:eastAsia="仿宋" w:cs="仿宋"/>
          <w:bCs/>
          <w:color w:val="000000" w:themeColor="text1"/>
          <w:sz w:val="21"/>
          <w:szCs w:val="21"/>
          <w:highlight w:val="none"/>
          <w14:textFill>
            <w14:solidFill>
              <w14:schemeClr w14:val="tx1"/>
            </w14:solidFill>
          </w14:textFill>
        </w:rPr>
        <w:t>依法参与合同缔结或履行，享有权利、承担义务的合同当事人</w:t>
      </w:r>
      <w:r>
        <w:rPr>
          <w:rFonts w:hint="eastAsia" w:ascii="仿宋" w:hAnsi="仿宋" w:eastAsia="仿宋" w:cs="仿宋"/>
          <w:color w:val="000000" w:themeColor="text1"/>
          <w:sz w:val="21"/>
          <w:szCs w:val="21"/>
          <w:highlight w:val="none"/>
          <w14:textFill>
            <w14:solidFill>
              <w14:schemeClr w14:val="tx1"/>
            </w14:solidFill>
          </w14:textFill>
        </w:rPr>
        <w:t>。</w:t>
      </w:r>
    </w:p>
    <w:p>
      <w:pPr>
        <w:tabs>
          <w:tab w:val="left" w:pos="570"/>
          <w:tab w:val="left" w:pos="9240"/>
          <w:tab w:val="left" w:pos="9555"/>
        </w:tabs>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1.2本合同下列术语应解释为：</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（1）“合同”系指</w:t>
      </w:r>
      <w:r>
        <w:rPr>
          <w:rFonts w:hint="eastAsia" w:ascii="仿宋" w:hAnsi="仿宋" w:eastAsia="仿宋" w:cs="仿宋"/>
          <w:bCs/>
          <w:color w:val="000000" w:themeColor="text1"/>
          <w:sz w:val="21"/>
          <w:szCs w:val="21"/>
          <w:highlight w:val="none"/>
          <w14:textFill>
            <w14:solidFill>
              <w14:schemeClr w14:val="tx1"/>
            </w14:solidFill>
          </w14:textFill>
        </w:rPr>
        <w:t>合同当事人意思表示达成一致的任何协议，包括签署的</w:t>
      </w:r>
      <w:r>
        <w:rPr>
          <w:rFonts w:hint="eastAsia" w:ascii="仿宋" w:hAnsi="仿宋" w:eastAsia="仿宋" w:cs="仿宋"/>
          <w:color w:val="000000" w:themeColor="text1"/>
          <w:sz w:val="21"/>
          <w:szCs w:val="21"/>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（3）“货物”系指乙方根据本合同规定须向甲方提供的各种形态和种类的物品，包括原材料、设备、产品（包括软件）及相关的其备品备件、工具、手册及</w:t>
      </w:r>
      <w:r>
        <w:rPr>
          <w:rFonts w:hint="eastAsia" w:ascii="仿宋" w:hAnsi="仿宋" w:eastAsia="仿宋" w:cs="仿宋"/>
          <w:color w:val="000000" w:themeColor="text1"/>
          <w:sz w:val="21"/>
          <w:szCs w:val="21"/>
          <w:highlight w:val="none"/>
          <w:lang w:val="en"/>
          <w14:textFill>
            <w14:solidFill>
              <w14:schemeClr w14:val="tx1"/>
            </w14:solidFill>
          </w14:textFill>
        </w:rPr>
        <w:t>其他</w:t>
      </w:r>
      <w:r>
        <w:rPr>
          <w:rFonts w:hint="eastAsia" w:ascii="仿宋" w:hAnsi="仿宋" w:eastAsia="仿宋" w:cs="仿宋"/>
          <w:color w:val="000000" w:themeColor="text1"/>
          <w:sz w:val="21"/>
          <w:szCs w:val="21"/>
          <w:highlight w:val="none"/>
          <w14:textFill>
            <w14:solidFill>
              <w14:schemeClr w14:val="tx1"/>
            </w14:solidFill>
          </w14:textFill>
        </w:rPr>
        <w:t>技术资料和材料等。</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（4）“相关服务”系指根据合同规定，乙方应提供的与货物有关的技术、管理和</w:t>
      </w:r>
      <w:r>
        <w:rPr>
          <w:rFonts w:hint="eastAsia" w:ascii="仿宋" w:hAnsi="仿宋" w:eastAsia="仿宋" w:cs="仿宋"/>
          <w:color w:val="000000" w:themeColor="text1"/>
          <w:sz w:val="21"/>
          <w:szCs w:val="21"/>
          <w:highlight w:val="none"/>
          <w:lang w:val="en"/>
          <w14:textFill>
            <w14:solidFill>
              <w14:schemeClr w14:val="tx1"/>
            </w14:solidFill>
          </w14:textFill>
        </w:rPr>
        <w:t>其他</w:t>
      </w:r>
      <w:r>
        <w:rPr>
          <w:rFonts w:hint="eastAsia" w:ascii="仿宋" w:hAnsi="仿宋" w:eastAsia="仿宋" w:cs="仿宋"/>
          <w:color w:val="000000" w:themeColor="text1"/>
          <w:sz w:val="2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themeColor="text1"/>
          <w:sz w:val="21"/>
          <w:szCs w:val="21"/>
          <w:highlight w:val="none"/>
          <w:lang w:val="en"/>
          <w14:textFill>
            <w14:solidFill>
              <w14:schemeClr w14:val="tx1"/>
            </w14:solidFill>
          </w14:textFill>
        </w:rPr>
        <w:t>其他</w:t>
      </w:r>
      <w:r>
        <w:rPr>
          <w:rFonts w:hint="eastAsia" w:ascii="仿宋" w:hAnsi="仿宋" w:eastAsia="仿宋" w:cs="仿宋"/>
          <w:color w:val="000000" w:themeColor="text1"/>
          <w:sz w:val="21"/>
          <w:szCs w:val="21"/>
          <w:highlight w:val="none"/>
          <w14:textFill>
            <w14:solidFill>
              <w14:schemeClr w14:val="tx1"/>
            </w14:solidFill>
          </w14:textFill>
        </w:rPr>
        <w:t>义务。</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（5）“分包”系指中标（成交）供应商按采购文件、投标（响应）文件的规定，根据分包意向协议书，将中标（成交）项目中的部分履约内容，分给具有相应资质条件的供应商履行合同的行为。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体协议书，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w:t>
      </w:r>
    </w:p>
    <w:p>
      <w:pPr>
        <w:tabs>
          <w:tab w:val="left" w:pos="570"/>
          <w:tab w:val="left" w:pos="9240"/>
          <w:tab w:val="left" w:pos="9555"/>
        </w:tabs>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（7）其他术语解释，见【</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w:t>
      </w:r>
    </w:p>
    <w:p>
      <w:pPr>
        <w:numPr>
          <w:ilvl w:val="0"/>
          <w:numId w:val="5"/>
        </w:num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合同标的及金额</w:t>
      </w:r>
    </w:p>
    <w:p>
      <w:pPr>
        <w:autoSpaceDE w:val="0"/>
        <w:autoSpaceDN w:val="0"/>
        <w:adjustRightInd w:val="0"/>
        <w:snapToGrid w:val="0"/>
        <w:spacing w:line="400" w:lineRule="exact"/>
        <w:ind w:firstLine="420" w:firstLineChars="200"/>
        <w:outlineLvl w:val="9"/>
        <w:rPr>
          <w:rFonts w:ascii="仿宋" w:hAnsi="仿宋" w:eastAsia="仿宋" w:cs="仿宋"/>
          <w:b/>
          <w:bCs/>
          <w:i/>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hint="eastAsia" w:ascii="仿宋" w:hAnsi="仿宋" w:eastAsia="仿宋" w:cs="仿宋"/>
          <w:color w:val="000000" w:themeColor="text1"/>
          <w:sz w:val="21"/>
          <w:szCs w:val="21"/>
          <w:highlight w:val="none"/>
          <w:lang w:val="en"/>
          <w14:textFill>
            <w14:solidFill>
              <w14:schemeClr w14:val="tx1"/>
            </w14:solidFill>
          </w14:textFill>
        </w:rPr>
        <w:t>其他</w:t>
      </w:r>
      <w:r>
        <w:rPr>
          <w:rFonts w:hint="eastAsia" w:ascii="仿宋" w:hAnsi="仿宋" w:eastAsia="仿宋" w:cs="仿宋"/>
          <w:color w:val="000000" w:themeColor="text1"/>
          <w:sz w:val="21"/>
          <w:szCs w:val="21"/>
          <w:highlight w:val="none"/>
          <w14:textFill>
            <w14:solidFill>
              <w14:schemeClr w14:val="tx1"/>
            </w14:solidFill>
          </w14:textFill>
        </w:rPr>
        <w:t>任何费用。</w:t>
      </w:r>
    </w:p>
    <w:p>
      <w:pPr>
        <w:adjustRightInd w:val="0"/>
        <w:snapToGrid w:val="0"/>
        <w:spacing w:line="400" w:lineRule="exact"/>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3. 履行合同的时间、地点和方式</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 乙方应当在约定的时间、地点，按照约定方式履行合同。</w:t>
      </w:r>
    </w:p>
    <w:p>
      <w:p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4. 甲方的权利和义务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4.3 甲方有权要求乙方对缺陷部分予以修复，并按合同约定享有货物保修及其他合同约定的权利。</w:t>
      </w:r>
    </w:p>
    <w:p>
      <w:pPr>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4.4 甲方应当按照合同约定及时对交付的货物进行验收，未在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约定的期限内对乙方履约提出任何异议或者向乙方作出任何说明的，视为验收通过。</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4.6 国家法律法规规定及</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约定应由甲方承担的其他义务和责任。</w:t>
      </w:r>
    </w:p>
    <w:p>
      <w:p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5. 乙方的权利和义务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5.1 签署合同后，乙方应确定项目负责人（或项目联系人），负责与本合同有关的事务。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5.3乙方有权根据合同约定向甲方收取合同价款。</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5.4国家法律法规规定及</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约定应由乙方承担的其他义务和责任。</w:t>
      </w:r>
    </w:p>
    <w:p>
      <w:pPr>
        <w:numPr>
          <w:ilvl w:val="0"/>
          <w:numId w:val="6"/>
        </w:num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合同履行</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6.1 甲乙双方应当按照</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7. 货物包装、运输、保险和交付要求</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7.1 本合同</w:t>
      </w:r>
      <w:r>
        <w:rPr>
          <w:rFonts w:hint="eastAsia" w:ascii="仿宋" w:hAnsi="仿宋" w:eastAsia="仿宋" w:cs="仿宋"/>
          <w:bCs/>
          <w:color w:val="000000" w:themeColor="text1"/>
          <w:sz w:val="21"/>
          <w:szCs w:val="21"/>
          <w:highlight w:val="none"/>
          <w14:textFill>
            <w14:solidFill>
              <w14:schemeClr w14:val="tx1"/>
            </w14:solidFill>
          </w14:textFill>
        </w:rPr>
        <w:t>涉及商品包装、快递包装的，</w:t>
      </w:r>
      <w:r>
        <w:rPr>
          <w:rFonts w:hint="eastAsia" w:ascii="仿宋" w:hAnsi="仿宋" w:eastAsia="仿宋" w:cs="仿宋"/>
          <w:color w:val="000000" w:themeColor="text1"/>
          <w:sz w:val="21"/>
          <w:szCs w:val="21"/>
          <w:highlight w:val="none"/>
          <w14:textFill>
            <w14:solidFill>
              <w14:schemeClr w14:val="tx1"/>
            </w14:solidFill>
          </w14:textFill>
        </w:rPr>
        <w:t>除</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另有约定外，</w:t>
      </w:r>
      <w:r>
        <w:rPr>
          <w:rFonts w:hint="eastAsia" w:ascii="仿宋" w:hAnsi="仿宋" w:eastAsia="仿宋" w:cs="仿宋"/>
          <w:color w:val="000000" w:themeColor="text1"/>
          <w:sz w:val="21"/>
          <w:szCs w:val="21"/>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约定的</w:t>
      </w:r>
      <w:r>
        <w:rPr>
          <w:rFonts w:hint="eastAsia" w:ascii="仿宋" w:hAnsi="仿宋" w:eastAsia="仿宋" w:cs="仿宋"/>
          <w:color w:val="000000" w:themeColor="text1"/>
          <w:sz w:val="21"/>
          <w:szCs w:val="21"/>
          <w:highlight w:val="none"/>
          <w14:textFill>
            <w14:solidFill>
              <w14:schemeClr w14:val="tx1"/>
            </w14:solidFill>
          </w14:textFill>
        </w:rPr>
        <w:t>指定现场。</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7.2 除</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另有约定外，</w:t>
      </w:r>
      <w:r>
        <w:rPr>
          <w:rFonts w:hint="eastAsia" w:ascii="仿宋" w:hAnsi="仿宋" w:eastAsia="仿宋" w:cs="仿宋"/>
          <w:color w:val="000000" w:themeColor="text1"/>
          <w:sz w:val="21"/>
          <w:szCs w:val="21"/>
          <w:highlight w:val="none"/>
          <w14:textFill>
            <w14:solidFill>
              <w14:schemeClr w14:val="tx1"/>
            </w14:solidFill>
          </w14:textFill>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7.3 货物保险要求按</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规定执行</w:t>
      </w:r>
      <w:r>
        <w:rPr>
          <w:rFonts w:hint="eastAsia" w:ascii="仿宋" w:hAnsi="仿宋" w:eastAsia="仿宋" w:cs="仿宋"/>
          <w:color w:val="000000" w:themeColor="text1"/>
          <w:sz w:val="21"/>
          <w:szCs w:val="21"/>
          <w:highlight w:val="none"/>
          <w14:textFill>
            <w14:solidFill>
              <w14:schemeClr w14:val="tx1"/>
            </w14:solidFill>
          </w14:textFill>
        </w:rPr>
        <w:t>。</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7.5 乙方在运输到达之前应提前通知甲方，并提示货物运输装卸的注意事项，甲方配合乙方做好货物的接收工作。</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pPr>
        <w:adjustRightInd w:val="0"/>
        <w:snapToGrid w:val="0"/>
        <w:spacing w:line="400" w:lineRule="exact"/>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8. 质量标准和保证</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8.1 质量标准</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8"/>
        <w:adjustRightInd w:val="0"/>
        <w:snapToGrid w:val="0"/>
        <w:spacing w:line="400" w:lineRule="exact"/>
        <w:ind w:firstLine="420" w:firstLineChars="200"/>
        <w:outlineLvl w:val="9"/>
        <w:rPr>
          <w:rFonts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（2）采用中华人民共和国法定计量单位。</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（3）乙方所提供的货物应符合国家有关安全、环保、卫生的规定。</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 保证</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规定或乙方书面承诺（两者以较长的为准）的质量保证期内，本保证保持有效。</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（2）在质量保证期内所发现的缺陷，甲方应尽快以书面形式通知乙方。</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（3）乙方收到通知后，应在</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规定的响应时间内以合理的速度免费维修或更换有缺陷的货物或部件。</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9. 权利瑕疵担保</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9.1 乙方保证对其出售的货物享有合法的权利。</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9.2 乙方保证在交付的货物上不存在抵押权等担保物权。</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9.3 如甲方使用上述货物构成对第三人侵权的，则由乙方承担全部责任。</w:t>
      </w:r>
    </w:p>
    <w:p>
      <w:p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10. 知识产权保护</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10.1 乙方对其所销售的货物应当享有知识产权或经权利人合法授权，保证没有侵犯任何第三人的知识产权等权利。</w:t>
      </w:r>
      <w:bookmarkStart w:id="389" w:name="_Hlk163047038"/>
      <w:r>
        <w:rPr>
          <w:rFonts w:hint="eastAsia" w:ascii="仿宋" w:hAnsi="仿宋" w:eastAsia="仿宋" w:cs="仿宋"/>
          <w:color w:val="000000" w:themeColor="text1"/>
          <w:sz w:val="21"/>
          <w:szCs w:val="21"/>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389"/>
      <w:r>
        <w:rPr>
          <w:rFonts w:hint="eastAsia" w:ascii="仿宋" w:hAnsi="仿宋" w:eastAsia="仿宋" w:cs="仿宋"/>
          <w:color w:val="000000" w:themeColor="text1"/>
          <w:sz w:val="21"/>
          <w:szCs w:val="21"/>
          <w:highlight w:val="none"/>
          <w14:textFill>
            <w14:solidFill>
              <w14:schemeClr w14:val="tx1"/>
            </w14:solidFill>
          </w14:textFill>
        </w:rPr>
        <w:t>。</w:t>
      </w:r>
    </w:p>
    <w:p>
      <w:p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11. 保密义务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中约定。</w:t>
      </w:r>
    </w:p>
    <w:p>
      <w:p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12. 合同价款支付</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12.1 合同价款支付按照国库集中支付制度及财政管理相关规定执行。</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中约定。</w:t>
      </w:r>
    </w:p>
    <w:p>
      <w:pPr>
        <w:pStyle w:val="2"/>
        <w:spacing w:after="0" w:line="400" w:lineRule="exact"/>
        <w:outlineLvl w:val="9"/>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13. 履约保证金</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13.1 乙方应当以支票、汇票、本票或者金融机构、担保机构出具的保函等非现金形式提交。</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13.2 如果乙方出现</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13.3 甲方在项目通过验收后按照</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规定的时间内将履约保证金退还乙方；逾期退还的，乙方可要求甲方支付违约金，违约金按照</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规定支付。</w:t>
      </w:r>
    </w:p>
    <w:p>
      <w:pPr>
        <w:autoSpaceDE w:val="0"/>
        <w:autoSpaceDN w:val="0"/>
        <w:adjustRightInd w:val="0"/>
        <w:snapToGrid w:val="0"/>
        <w:spacing w:line="400" w:lineRule="exact"/>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 xml:space="preserve">14. </w:t>
      </w:r>
      <w:r>
        <w:rPr>
          <w:rFonts w:hint="eastAsia" w:ascii="仿宋" w:hAnsi="仿宋" w:eastAsia="仿宋" w:cs="仿宋"/>
          <w:b/>
          <w:color w:val="000000" w:themeColor="text1"/>
          <w:sz w:val="21"/>
          <w:szCs w:val="21"/>
          <w:highlight w:val="none"/>
          <w14:textFill>
            <w14:solidFill>
              <w14:schemeClr w14:val="tx1"/>
            </w14:solidFill>
          </w14:textFill>
        </w:rPr>
        <w:t>售后服务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14.1 除项目不涉及或采购活动中明确约定无须承担外，乙方还应提供下列服务：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（1）货物的现场移动、安装、调试、启动监督及技术支持；</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（2）提供货物组装和维修所需的专用工具和辅助材料；</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（4）在制造商所在地或指定现场就货物的安装、启动、运营、维护、废弃处置等对甲方操作人员进行培训；</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（5）依照法律、行政法规的规定或者按照</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规定由乙方提供的其他服务。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14.2 乙方提供的售后服务的费用已包含在合同价款中，甲方不再另行支付。</w:t>
      </w:r>
    </w:p>
    <w:p>
      <w:pPr>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15. 违约责任</w:t>
      </w:r>
    </w:p>
    <w:p>
      <w:p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15.1质量瑕疵的违约责任</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乙方提供的产品不符合合同约定的质量标准或存在产品质量缺陷，甲方有权要求乙方根据</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要求</w:t>
      </w:r>
      <w:r>
        <w:rPr>
          <w:rFonts w:hint="eastAsia" w:ascii="仿宋" w:hAnsi="仿宋" w:eastAsia="仿宋" w:cs="仿宋"/>
          <w:color w:val="000000" w:themeColor="text1"/>
          <w:sz w:val="21"/>
          <w:szCs w:val="21"/>
          <w:highlight w:val="none"/>
          <w14:textFill>
            <w14:solidFill>
              <w14:schemeClr w14:val="tx1"/>
            </w14:solidFill>
          </w14:textFill>
        </w:rPr>
        <w:t>及时修理、重作、更换，并承担由此给甲方造成的损失。</w:t>
      </w:r>
    </w:p>
    <w:p>
      <w:pPr>
        <w:autoSpaceDE w:val="0"/>
        <w:autoSpaceDN w:val="0"/>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15.2 迟延交货的违约责任</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15.3 迟延支付的违约责任</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甲方存在迟延支付乙方合同款项的，应当承担</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规定的逾期付款利息。</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15.4其他违约责任根据项目实际需要按</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规定执行。</w:t>
      </w:r>
    </w:p>
    <w:p>
      <w:pPr>
        <w:numPr>
          <w:ilvl w:val="0"/>
          <w:numId w:val="7"/>
        </w:numPr>
        <w:autoSpaceDE w:val="0"/>
        <w:autoSpaceDN w:val="0"/>
        <w:adjustRightInd w:val="0"/>
        <w:snapToGrid w:val="0"/>
        <w:spacing w:line="400" w:lineRule="exact"/>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合同变更、中止与终止</w:t>
      </w:r>
    </w:p>
    <w:p>
      <w:pPr>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16.1合同的变更</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16.2合同的中止</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8"/>
        <w:ind w:firstLine="420"/>
        <w:jc w:val="both"/>
        <w:outlineLvl w:val="9"/>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（4）甲方不得以行政区划调整、政府换届、机构或者职能调整以及相关责任人更替为由中止合同。</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16.3合同的终止</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（1）合同因有效期限届满而终止；</w:t>
      </w:r>
    </w:p>
    <w:p>
      <w:pPr>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（2）乙方未按合同约定履行，构成根本性违约的，甲方有权终止合同，并追究乙方的违约责任。</w:t>
      </w:r>
    </w:p>
    <w:p>
      <w:pPr>
        <w:pStyle w:val="38"/>
        <w:ind w:firstLine="420"/>
        <w:jc w:val="both"/>
        <w:outlineLvl w:val="9"/>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16.4 涉及国家利益、社会公共利益的情形</w:t>
      </w:r>
    </w:p>
    <w:p>
      <w:pPr>
        <w:pStyle w:val="38"/>
        <w:ind w:firstLine="420"/>
        <w:jc w:val="both"/>
        <w:outlineLvl w:val="9"/>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17. 合同分包</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17.2 乙方执行政府采购政策向中小企业依法分包的，乙方应当按采购文件和投标（响应）文件签订分包意向协议书，分包意向协议书属于本合同组成部分。</w:t>
      </w:r>
    </w:p>
    <w:p>
      <w:p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18. 不可抗力</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18.1 不可抗力是指合同双方不能预见、不能避免且不能克服的客观情况。</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19. 解决争议的方法</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19.2 选择仲裁的，应在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中明确仲裁机构及仲裁地；通过诉讼方式解决的，可以在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中进一步约定选择与争议有实际联系的地点的人民法院管辖，但管辖法院的约定不得违反级别管辖和专属管辖的规定。</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19.3 如甲乙双方有争议的事项不影响合同其他部分的履行，在争议解决期间，合同其他部分应当继续履行。</w:t>
      </w:r>
    </w:p>
    <w:p>
      <w:pPr>
        <w:autoSpaceDE w:val="0"/>
        <w:autoSpaceDN w:val="0"/>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20. 政府采购政策</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20.1 </w:t>
      </w:r>
      <w:r>
        <w:rPr>
          <w:rFonts w:hint="eastAsia" w:ascii="仿宋" w:hAnsi="仿宋" w:eastAsia="仿宋" w:cs="仿宋"/>
          <w:color w:val="000000" w:themeColor="text1"/>
          <w:sz w:val="21"/>
          <w:szCs w:val="21"/>
          <w:highlight w:val="none"/>
          <w:lang w:val="en-GB"/>
          <w14:textFill>
            <w14:solidFill>
              <w14:schemeClr w14:val="tx1"/>
            </w14:solidFill>
          </w14:textFill>
        </w:rPr>
        <w:t>本合同应当按照规定执行政府采购政策。</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20.2 本合同依法执行政府采购政策的方式和内容，属于合同履约验收的范围。甲乙双方</w:t>
      </w:r>
      <w:r>
        <w:rPr>
          <w:rFonts w:hint="eastAsia" w:ascii="仿宋" w:hAnsi="仿宋" w:eastAsia="仿宋" w:cs="仿宋"/>
          <w:color w:val="000000" w:themeColor="text1"/>
          <w:sz w:val="21"/>
          <w:szCs w:val="21"/>
          <w:highlight w:val="none"/>
          <w:lang w:val="en-GB"/>
          <w14:textFill>
            <w14:solidFill>
              <w14:schemeClr w14:val="tx1"/>
            </w14:solidFill>
          </w14:textFill>
        </w:rPr>
        <w:t>未按规定要求执行政府采购政策造成损失的</w:t>
      </w:r>
      <w:r>
        <w:rPr>
          <w:rFonts w:hint="eastAsia" w:ascii="仿宋" w:hAnsi="仿宋" w:eastAsia="仿宋" w:cs="仿宋"/>
          <w:color w:val="000000" w:themeColor="text1"/>
          <w:sz w:val="21"/>
          <w:szCs w:val="21"/>
          <w:highlight w:val="none"/>
          <w14:textFill>
            <w14:solidFill>
              <w14:schemeClr w14:val="tx1"/>
            </w14:solidFill>
          </w14:textFill>
        </w:rPr>
        <w:t>，有过错的一方应当承担赔偿责任，双方都有过错的，各自承担相应的责任。</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pPr>
        <w:autoSpaceDE w:val="0"/>
        <w:autoSpaceDN w:val="0"/>
        <w:adjustRightInd w:val="0"/>
        <w:snapToGrid w:val="0"/>
        <w:spacing w:line="400" w:lineRule="exact"/>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21. 法律适用</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21.1 本合同的订立、生效、解释、履行及与本合同有关的争议解决，均适用法律、行政法规。</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22. 通知</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22.2 一方当事人变更名称、住所、联系人、联系电话或电子邮箱等信息的，应当在变更后3日内及时书面通知对方，对方实际收到变更通知前的送达仍为有效送达。</w:t>
      </w:r>
    </w:p>
    <w:p>
      <w:pPr>
        <w:autoSpaceDE w:val="0"/>
        <w:autoSpaceDN w:val="0"/>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22.3本合同一方给另一方的通知均应采用书面形式，传真或快递送到本合同中规定的对方的地址和办理签收手续。</w:t>
      </w:r>
    </w:p>
    <w:p>
      <w:pPr>
        <w:adjustRightInd w:val="0"/>
        <w:snapToGrid w:val="0"/>
        <w:spacing w:line="400" w:lineRule="exact"/>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22.4通知以送达之日或通知书中规定的生效之日起生效，两者中以较迟之日为准。</w:t>
      </w:r>
    </w:p>
    <w:p>
      <w:pPr>
        <w:numPr>
          <w:ilvl w:val="0"/>
          <w:numId w:val="8"/>
        </w:numPr>
        <w:adjustRightInd w:val="0"/>
        <w:snapToGrid w:val="0"/>
        <w:spacing w:line="400" w:lineRule="exact"/>
        <w:outlineLvl w:val="9"/>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合同未尽事项</w:t>
      </w:r>
    </w:p>
    <w:p>
      <w:pPr>
        <w:adjustRightInd w:val="0"/>
        <w:snapToGrid w:val="0"/>
        <w:spacing w:line="400" w:lineRule="exact"/>
        <w:ind w:firstLine="420" w:firstLineChars="200"/>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23.1合同未尽事项见</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w:t>
      </w:r>
    </w:p>
    <w:p>
      <w:pPr>
        <w:adjustRightInd w:val="0"/>
        <w:snapToGrid w:val="0"/>
        <w:spacing w:line="40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23.2 合同附件与合同正文具有同等的法律效力。</w:t>
      </w:r>
      <w:bookmarkStart w:id="390" w:name="_Toc20313"/>
    </w:p>
    <w:p>
      <w:pPr>
        <w:adjustRightInd w:val="0"/>
        <w:snapToGrid w:val="0"/>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pPr>
        <w:keepNext/>
        <w:keepLines/>
        <w:adjustRightInd w:val="0"/>
        <w:snapToGrid w:val="0"/>
        <w:spacing w:before="156" w:beforeLines="50" w:after="156" w:afterLines="50" w:line="240" w:lineRule="auto"/>
        <w:jc w:val="center"/>
        <w:outlineLvl w:val="9"/>
        <w:rPr>
          <w:rFonts w:ascii="仿宋" w:hAnsi="仿宋" w:eastAsia="仿宋" w:cs="仿宋"/>
          <w:b/>
          <w:bCs/>
          <w:color w:val="000000" w:themeColor="text1"/>
          <w:sz w:val="36"/>
          <w:szCs w:val="36"/>
          <w:highlight w:val="none"/>
          <w14:textFill>
            <w14:solidFill>
              <w14:schemeClr w14:val="tx1"/>
            </w14:solidFill>
          </w14:textFill>
        </w:rPr>
      </w:pPr>
      <w:bookmarkStart w:id="391" w:name="_Toc15974"/>
      <w:r>
        <w:rPr>
          <w:rFonts w:hint="eastAsia" w:ascii="仿宋" w:hAnsi="仿宋" w:eastAsia="仿宋" w:cs="仿宋"/>
          <w:b/>
          <w:bCs/>
          <w:color w:val="000000" w:themeColor="text1"/>
          <w:sz w:val="36"/>
          <w:szCs w:val="36"/>
          <w:highlight w:val="none"/>
          <w14:textFill>
            <w14:solidFill>
              <w14:schemeClr w14:val="tx1"/>
            </w14:solidFill>
          </w14:textFill>
        </w:rPr>
        <w:t>第三节 政府采购合同专用条款</w:t>
      </w:r>
      <w:bookmarkEnd w:id="390"/>
      <w:bookmarkEnd w:id="391"/>
    </w:p>
    <w:tbl>
      <w:tblPr>
        <w:tblStyle w:val="14"/>
        <w:tblW w:w="94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1"/>
        <w:gridCol w:w="2356"/>
        <w:gridCol w:w="53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第1.2（6）项</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联合体具体要求</w:t>
            </w:r>
          </w:p>
        </w:tc>
        <w:tc>
          <w:tcPr>
            <w:tcW w:w="5301"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本项目不接受联合体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第1.2（7）项</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其他术语解释</w:t>
            </w:r>
          </w:p>
        </w:tc>
        <w:tc>
          <w:tcPr>
            <w:tcW w:w="5301" w:type="dxa"/>
            <w:vAlign w:val="center"/>
          </w:tcPr>
          <w:p>
            <w:pPr>
              <w:adjustRightInd w:val="0"/>
              <w:snapToGrid w:val="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第4.4款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履约验收中甲方提出异议或作出说明的期限</w:t>
            </w:r>
          </w:p>
        </w:tc>
        <w:tc>
          <w:tcPr>
            <w:tcW w:w="5301"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第4.6款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约定甲方承担的其他义务和责任</w:t>
            </w:r>
          </w:p>
        </w:tc>
        <w:tc>
          <w:tcPr>
            <w:tcW w:w="5301" w:type="dxa"/>
            <w:vAlign w:val="center"/>
          </w:tcPr>
          <w:p>
            <w:pPr>
              <w:adjustRightInd w:val="0"/>
              <w:snapToGrid w:val="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89"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第5.4款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约定乙方承担的其他义务和责任</w:t>
            </w:r>
          </w:p>
        </w:tc>
        <w:tc>
          <w:tcPr>
            <w:tcW w:w="5301"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（1）乙方保证所提供的货物是全新的、未使用过的，是完全符合合同规定的质量、规格和性能要求的。在乙方承诺的货物质量保证期内，乙方对由于设计工艺或材料的缺陷而产生的故障负责；</w:t>
            </w:r>
          </w:p>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乙方在收到索赔通知后10日内须免费更换有缺陷的货物。乙方在收到索赔通知后10日内没有弥补缺陷，甲方可采取必要的补救措施，其风险和费用将由乙方承担，甲方根据合同规定向乙方行使的其它权利不受影响。</w:t>
            </w:r>
          </w:p>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（3）乙方提供的货物抵达甲方指定地点后的开箱清点及初步检验，应依据乙方提供的开箱要求和环境要求进行。甲方出具政府采购项目验收单，作为乙方履约进度的依据。</w:t>
            </w:r>
          </w:p>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本合同各相关条款中凡与乙方责任或义务相关及由乙方原因所引起涉及各项货物及资料的更、换、补、退等情形，所发生相关的任何价款、成本、费用，包括但不限于运输、服务、维修等，以及保险、税、费等，均应当由乙方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第6.1款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履行合同义务的顺序</w:t>
            </w:r>
          </w:p>
        </w:tc>
        <w:tc>
          <w:tcPr>
            <w:tcW w:w="5301"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乙方先履行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801" w:type="dxa"/>
            <w:vMerge w:val="restart"/>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第7.1款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包装特殊要求</w:t>
            </w:r>
          </w:p>
        </w:tc>
        <w:tc>
          <w:tcPr>
            <w:tcW w:w="5301"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801" w:type="dxa"/>
            <w:vMerge w:val="continue"/>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指定现场</w:t>
            </w:r>
          </w:p>
        </w:tc>
        <w:tc>
          <w:tcPr>
            <w:tcW w:w="5301"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合同签订后按甲方指定地点验收、交货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第7.2款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运输特殊要求</w:t>
            </w:r>
          </w:p>
        </w:tc>
        <w:tc>
          <w:tcPr>
            <w:tcW w:w="5301" w:type="dxa"/>
            <w:vAlign w:val="center"/>
          </w:tcPr>
          <w:p>
            <w:pPr>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第7.3款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保险要求</w:t>
            </w:r>
          </w:p>
        </w:tc>
        <w:tc>
          <w:tcPr>
            <w:tcW w:w="5301" w:type="dxa"/>
            <w:vAlign w:val="center"/>
          </w:tcPr>
          <w:p>
            <w:pPr>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包含在合同价款内，由乙方承担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第8.2（1）项</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质量保证期</w:t>
            </w:r>
          </w:p>
        </w:tc>
        <w:tc>
          <w:tcPr>
            <w:tcW w:w="5301" w:type="dxa"/>
            <w:vAlign w:val="center"/>
          </w:tcPr>
          <w:p>
            <w:pPr>
              <w:autoSpaceDE w:val="0"/>
              <w:autoSpaceDN w:val="0"/>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按中标质保期执行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第8.2（3）项</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货物质量缺陷</w:t>
            </w:r>
          </w:p>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响应时间</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乙方收到通知后15日内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801" w:type="dxa"/>
            <w:vAlign w:val="center"/>
          </w:tcPr>
          <w:p>
            <w:pPr>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pStyle w:val="38"/>
              <w:spacing w:line="240" w:lineRule="auto"/>
              <w:ind w:firstLine="0" w:firstLineChars="0"/>
              <w:jc w:val="center"/>
              <w:outlineLvl w:val="9"/>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第11.1款</w:t>
            </w:r>
          </w:p>
        </w:tc>
        <w:tc>
          <w:tcPr>
            <w:tcW w:w="2356" w:type="dxa"/>
            <w:vAlign w:val="center"/>
          </w:tcPr>
          <w:p>
            <w:pPr>
              <w:adjustRightInd w:val="0"/>
              <w:snapToGrid w:val="0"/>
              <w:spacing w:line="240" w:lineRule="auto"/>
              <w:jc w:val="both"/>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其他应当保密的信息</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第12.2款</w:t>
            </w:r>
          </w:p>
        </w:tc>
        <w:tc>
          <w:tcPr>
            <w:tcW w:w="2356" w:type="dxa"/>
            <w:vAlign w:val="center"/>
          </w:tcPr>
          <w:p>
            <w:pPr>
              <w:adjustRightInd w:val="0"/>
              <w:snapToGrid w:val="0"/>
              <w:spacing w:line="240" w:lineRule="auto"/>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合同价款支付时间</w:t>
            </w:r>
          </w:p>
        </w:tc>
        <w:tc>
          <w:tcPr>
            <w:tcW w:w="5301" w:type="dxa"/>
            <w:vAlign w:val="center"/>
          </w:tcPr>
          <w:p>
            <w:pPr>
              <w:adjustRightInd w:val="0"/>
              <w:snapToGrid w:val="0"/>
              <w:spacing w:line="240" w:lineRule="auto"/>
              <w:outlineLvl w:val="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合同签订后支付合同金额30%的预付款，所有货物到场后经双方现场点验无误支付合同金额30%，所有货物安装调试完成、验收合格后支付合同金额40%。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第13.2款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履约保证金不予退还的情形</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乙方不履行合同约定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第13.3款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履约保证金退还时间及逾期退还的违约金</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第14.1（3）项</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运行监督、维修期限</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供货期、质保期内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第14.1（5）项</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货物回收的约定</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本项目货物乙方无须回收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第14.1（6）项</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乙方提供的其他服务</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第15.1款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修理、重作、更换相关具体规定</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乙方收到通知后15日内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7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第15.2（2）项</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迟延交货赔偿费</w:t>
            </w:r>
          </w:p>
        </w:tc>
        <w:tc>
          <w:tcPr>
            <w:tcW w:w="5301"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1.如乙方未按合同约定交付货物的，每逾期一日，应按合同总价款的万分之</w:t>
            </w:r>
            <w:r>
              <w:rPr>
                <w:rFonts w:hint="eastAsia" w:ascii="仿宋" w:hAnsi="仿宋" w:eastAsia="仿宋" w:cs="仿宋"/>
                <w:color w:val="000000" w:themeColor="text1"/>
                <w:sz w:val="21"/>
                <w:szCs w:val="21"/>
                <w:highlight w:val="none"/>
                <w:u w:val="single"/>
                <w14:textFill>
                  <w14:solidFill>
                    <w14:schemeClr w14:val="tx1"/>
                  </w14:solidFill>
                </w14:textFill>
              </w:rPr>
              <w:t xml:space="preserve"> 5 </w:t>
            </w:r>
            <w:r>
              <w:rPr>
                <w:rFonts w:hint="eastAsia" w:ascii="仿宋" w:hAnsi="仿宋" w:eastAsia="仿宋" w:cs="仿宋"/>
                <w:color w:val="000000" w:themeColor="text1"/>
                <w:sz w:val="21"/>
                <w:szCs w:val="21"/>
                <w:highlight w:val="none"/>
                <w14:textFill>
                  <w14:solidFill>
                    <w14:schemeClr w14:val="tx1"/>
                  </w14:solidFill>
                </w14:textFill>
              </w:rPr>
              <w:t>向甲方支付违约金;累计逾期超过</w:t>
            </w:r>
            <w:r>
              <w:rPr>
                <w:rFonts w:hint="eastAsia" w:ascii="仿宋" w:hAnsi="仿宋" w:eastAsia="仿宋" w:cs="仿宋"/>
                <w:color w:val="000000" w:themeColor="text1"/>
                <w:sz w:val="21"/>
                <w:szCs w:val="21"/>
                <w:highlight w:val="none"/>
                <w:u w:val="single"/>
                <w14:textFill>
                  <w14:solidFill>
                    <w14:schemeClr w14:val="tx1"/>
                  </w14:solidFill>
                </w14:textFill>
              </w:rPr>
              <w:t xml:space="preserve"> 10 </w:t>
            </w:r>
            <w:r>
              <w:rPr>
                <w:rFonts w:hint="eastAsia" w:ascii="仿宋" w:hAnsi="仿宋" w:eastAsia="仿宋" w:cs="仿宋"/>
                <w:color w:val="000000" w:themeColor="text1"/>
                <w:sz w:val="21"/>
                <w:szCs w:val="21"/>
                <w:highlight w:val="none"/>
                <w14:textFill>
                  <w14:solidFill>
                    <w14:schemeClr w14:val="tx1"/>
                  </w14:solidFill>
                </w14:textFill>
              </w:rPr>
              <w:t>日，甲方有权单方解除合同，乙方应按合同总价款的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2 </w:t>
            </w:r>
            <w:r>
              <w:rPr>
                <w:rFonts w:hint="eastAsia" w:ascii="仿宋" w:hAnsi="仿宋" w:eastAsia="仿宋" w:cs="仿宋"/>
                <w:color w:val="000000" w:themeColor="text1"/>
                <w:sz w:val="21"/>
                <w:szCs w:val="21"/>
                <w:highlight w:val="none"/>
                <w14:textFill>
                  <w14:solidFill>
                    <w14:schemeClr w14:val="tx1"/>
                  </w14:solidFill>
                </w14:textFill>
              </w:rPr>
              <w:t>%向甲方支付违约金。</w:t>
            </w:r>
          </w:p>
          <w:p>
            <w:pPr>
              <w:adjustRightInd w:val="0"/>
              <w:snapToGrid w:val="0"/>
              <w:spacing w:line="240" w:lineRule="auto"/>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2.乙方交付货物不符合本合同约定及甲方要求质量标准的，甲方有权拒收，乙方应立即返工、重做并承担全部费用，因此造成交货延误的，乙方应依照本条。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第15.3款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逾期付款利息</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tcBorders>
              <w:bottom w:val="single" w:color="auto" w:sz="2" w:space="0"/>
              <w:right w:val="single" w:color="auto" w:sz="2" w:space="0"/>
            </w:tcBorders>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第15.4款</w:t>
            </w:r>
          </w:p>
        </w:tc>
        <w:tc>
          <w:tcPr>
            <w:tcW w:w="2356" w:type="dxa"/>
            <w:tcBorders>
              <w:left w:val="single" w:color="auto" w:sz="2" w:space="0"/>
              <w:bottom w:val="single" w:color="auto" w:sz="2" w:space="0"/>
              <w:right w:val="single" w:color="auto" w:sz="2" w:space="0"/>
            </w:tcBorders>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其他违约责任</w:t>
            </w:r>
          </w:p>
        </w:tc>
        <w:tc>
          <w:tcPr>
            <w:tcW w:w="5301" w:type="dxa"/>
            <w:tcBorders>
              <w:left w:val="single" w:color="auto" w:sz="2" w:space="0"/>
              <w:bottom w:val="single" w:color="auto" w:sz="2" w:space="0"/>
            </w:tcBorders>
            <w:vAlign w:val="center"/>
          </w:tcPr>
          <w:p>
            <w:pPr>
              <w:adjustRightInd w:val="0"/>
              <w:snapToGrid w:val="0"/>
              <w:spacing w:line="320" w:lineRule="exact"/>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1801" w:type="dxa"/>
            <w:tcBorders>
              <w:top w:val="single" w:color="auto" w:sz="2" w:space="0"/>
              <w:right w:val="single" w:color="auto" w:sz="2" w:space="0"/>
            </w:tcBorders>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第19.2款</w:t>
            </w:r>
          </w:p>
        </w:tc>
        <w:tc>
          <w:tcPr>
            <w:tcW w:w="2356" w:type="dxa"/>
            <w:tcBorders>
              <w:top w:val="single" w:color="auto" w:sz="2" w:space="0"/>
              <w:left w:val="single" w:color="auto" w:sz="2" w:space="0"/>
              <w:right w:val="single" w:color="auto" w:sz="2" w:space="0"/>
            </w:tcBorders>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解决争议的方法</w:t>
            </w:r>
          </w:p>
        </w:tc>
        <w:tc>
          <w:tcPr>
            <w:tcW w:w="5301" w:type="dxa"/>
            <w:tcBorders>
              <w:top w:val="single" w:color="auto" w:sz="2" w:space="0"/>
              <w:left w:val="single" w:color="auto" w:sz="2" w:space="0"/>
            </w:tcBorders>
            <w:vAlign w:val="center"/>
          </w:tcPr>
          <w:p>
            <w:pPr>
              <w:autoSpaceDE w:val="0"/>
              <w:autoSpaceDN w:val="0"/>
              <w:adjustRightInd w:val="0"/>
              <w:snapToGrid w:val="0"/>
              <w:spacing w:line="240" w:lineRule="auto"/>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因本合同及合同有关事项发生的争议，按下列第</w:t>
            </w:r>
            <w:r>
              <w:rPr>
                <w:rFonts w:hint="eastAsia" w:ascii="仿宋" w:hAnsi="仿宋" w:eastAsia="仿宋" w:cs="仿宋"/>
                <w:iCs/>
                <w:color w:val="000000" w:themeColor="text1"/>
                <w:sz w:val="21"/>
                <w:szCs w:val="21"/>
                <w:highlight w:val="none"/>
                <w:u w:val="single"/>
                <w14:textFill>
                  <w14:solidFill>
                    <w14:schemeClr w14:val="tx1"/>
                  </w14:solidFill>
                </w14:textFill>
              </w:rPr>
              <w:t xml:space="preserve"> 2 </w:t>
            </w:r>
            <w:r>
              <w:rPr>
                <w:rFonts w:hint="eastAsia" w:ascii="仿宋" w:hAnsi="仿宋" w:eastAsia="仿宋" w:cs="仿宋"/>
                <w:iCs/>
                <w:color w:val="000000" w:themeColor="text1"/>
                <w:sz w:val="21"/>
                <w:szCs w:val="21"/>
                <w:highlight w:val="none"/>
                <w14:textFill>
                  <w14:solidFill>
                    <w14:schemeClr w14:val="tx1"/>
                  </w14:solidFill>
                </w14:textFill>
              </w:rPr>
              <w:t>种方式解决：</w:t>
            </w:r>
          </w:p>
          <w:p>
            <w:pPr>
              <w:autoSpaceDE w:val="0"/>
              <w:autoSpaceDN w:val="0"/>
              <w:adjustRightInd w:val="0"/>
              <w:snapToGrid w:val="0"/>
              <w:spacing w:line="240" w:lineRule="auto"/>
              <w:outlineLvl w:val="9"/>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（1）向</w:t>
            </w:r>
            <w:r>
              <w:rPr>
                <w:rFonts w:hint="eastAsia" w:ascii="仿宋" w:hAnsi="仿宋" w:eastAsia="仿宋" w:cs="仿宋"/>
                <w:iCs/>
                <w:color w:val="000000" w:themeColor="text1"/>
                <w:sz w:val="21"/>
                <w:szCs w:val="21"/>
                <w:highlight w:val="none"/>
                <w:u w:val="single"/>
                <w14:textFill>
                  <w14:solidFill>
                    <w14:schemeClr w14:val="tx1"/>
                  </w14:solidFill>
                </w14:textFill>
              </w:rPr>
              <w:t xml:space="preserve"> 项目所在地 </w:t>
            </w:r>
            <w:r>
              <w:rPr>
                <w:rFonts w:hint="eastAsia" w:ascii="仿宋" w:hAnsi="仿宋" w:eastAsia="仿宋" w:cs="仿宋"/>
                <w:iCs/>
                <w:color w:val="000000" w:themeColor="text1"/>
                <w:sz w:val="21"/>
                <w:szCs w:val="21"/>
                <w:highlight w:val="none"/>
                <w14:textFill>
                  <w14:solidFill>
                    <w14:schemeClr w14:val="tx1"/>
                  </w14:solidFill>
                </w14:textFill>
              </w:rPr>
              <w:t>仲裁委员会申请仲裁，仲裁地点为</w:t>
            </w:r>
            <w:r>
              <w:rPr>
                <w:rFonts w:hint="eastAsia" w:ascii="仿宋" w:hAnsi="仿宋" w:eastAsia="仿宋" w:cs="仿宋"/>
                <w:iCs/>
                <w:color w:val="000000" w:themeColor="text1"/>
                <w:sz w:val="21"/>
                <w:szCs w:val="21"/>
                <w:highlight w:val="none"/>
                <w:u w:val="single"/>
                <w14:textFill>
                  <w14:solidFill>
                    <w14:schemeClr w14:val="tx1"/>
                  </w14:solidFill>
                </w14:textFill>
              </w:rPr>
              <w:t xml:space="preserve"> 项目所在地 </w:t>
            </w:r>
            <w:r>
              <w:rPr>
                <w:rFonts w:hint="eastAsia" w:ascii="仿宋" w:hAnsi="仿宋" w:eastAsia="仿宋" w:cs="仿宋"/>
                <w:iCs/>
                <w:color w:val="000000" w:themeColor="text1"/>
                <w:sz w:val="21"/>
                <w:szCs w:val="21"/>
                <w:highlight w:val="none"/>
                <w14:textFill>
                  <w14:solidFill>
                    <w14:schemeClr w14:val="tx1"/>
                  </w14:solidFill>
                </w14:textFill>
              </w:rPr>
              <w:t>；</w:t>
            </w:r>
          </w:p>
          <w:p>
            <w:pPr>
              <w:adjustRightInd w:val="0"/>
              <w:snapToGrid w:val="0"/>
              <w:spacing w:line="240" w:lineRule="auto"/>
              <w:outlineLvl w:val="9"/>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（2）向</w:t>
            </w:r>
            <w:r>
              <w:rPr>
                <w:rFonts w:hint="eastAsia" w:ascii="仿宋" w:hAnsi="仿宋" w:eastAsia="仿宋" w:cs="仿宋"/>
                <w:iCs/>
                <w:color w:val="000000" w:themeColor="text1"/>
                <w:sz w:val="21"/>
                <w:szCs w:val="21"/>
                <w:highlight w:val="none"/>
                <w:u w:val="single"/>
                <w14:textFill>
                  <w14:solidFill>
                    <w14:schemeClr w14:val="tx1"/>
                  </w14:solidFill>
                </w14:textFill>
              </w:rPr>
              <w:t xml:space="preserve"> 项目所在地 </w:t>
            </w:r>
            <w:r>
              <w:rPr>
                <w:rFonts w:hint="eastAsia" w:ascii="仿宋" w:hAnsi="仿宋" w:eastAsia="仿宋" w:cs="仿宋"/>
                <w:iCs/>
                <w:color w:val="000000" w:themeColor="text1"/>
                <w:sz w:val="21"/>
                <w:szCs w:val="21"/>
                <w:highlight w:val="none"/>
                <w14:textFill>
                  <w14:solidFill>
                    <w14:schemeClr w14:val="tx1"/>
                  </w14:solidFill>
                </w14:textFill>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801" w:type="dxa"/>
            <w:vAlign w:val="center"/>
          </w:tcPr>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pPr>
              <w:adjustRightInd w:val="0"/>
              <w:snapToGrid w:val="0"/>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第23.1款</w:t>
            </w:r>
          </w:p>
        </w:tc>
        <w:tc>
          <w:tcPr>
            <w:tcW w:w="2356" w:type="dxa"/>
            <w:vAlign w:val="center"/>
          </w:tcPr>
          <w:p>
            <w:pPr>
              <w:adjustRightInd w:val="0"/>
              <w:snapToGrid w:val="0"/>
              <w:spacing w:line="240" w:lineRule="auto"/>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其他专用条款</w:t>
            </w:r>
          </w:p>
        </w:tc>
        <w:tc>
          <w:tcPr>
            <w:tcW w:w="5301" w:type="dxa"/>
            <w:vAlign w:val="center"/>
          </w:tcPr>
          <w:p>
            <w:pPr>
              <w:adjustRightInd w:val="0"/>
              <w:snapToGrid w:val="0"/>
              <w:spacing w:line="44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bl>
    <w:p>
      <w:pPr>
        <w:outlineLvl w:val="9"/>
        <w:rPr>
          <w:rFonts w:ascii="仿宋" w:hAnsi="仿宋" w:eastAsia="仿宋" w:cs="仿宋"/>
          <w:color w:val="000000" w:themeColor="text1"/>
          <w:highlight w:val="none"/>
          <w:lang w:val="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keepLines/>
        <w:spacing w:before="220" w:after="220" w:line="480" w:lineRule="auto"/>
        <w:ind w:left="420" w:hanging="420"/>
        <w:jc w:val="center"/>
        <w:outlineLvl w:val="0"/>
        <w:rPr>
          <w:rFonts w:ascii="仿宋" w:hAnsi="仿宋" w:eastAsia="仿宋" w:cs="仿宋"/>
          <w:b/>
          <w:bCs/>
          <w:color w:val="000000" w:themeColor="text1"/>
          <w:kern w:val="44"/>
          <w:sz w:val="36"/>
          <w:szCs w:val="36"/>
          <w:highlight w:val="none"/>
          <w14:textFill>
            <w14:solidFill>
              <w14:schemeClr w14:val="tx1"/>
            </w14:solidFill>
          </w14:textFill>
        </w:rPr>
      </w:pPr>
      <w:bookmarkStart w:id="392" w:name="_Toc163492913"/>
      <w:bookmarkStart w:id="393" w:name="_Toc24871"/>
      <w:bookmarkStart w:id="394" w:name="_Toc155185919"/>
      <w:bookmarkStart w:id="395" w:name="_Toc15820"/>
      <w:bookmarkStart w:id="396" w:name="_Toc29854"/>
      <w:bookmarkStart w:id="397" w:name="_Toc4768"/>
      <w:r>
        <w:rPr>
          <w:rFonts w:hint="eastAsia" w:ascii="仿宋" w:hAnsi="仿宋" w:eastAsia="仿宋" w:cs="仿宋"/>
          <w:b/>
          <w:bCs/>
          <w:color w:val="000000" w:themeColor="text1"/>
          <w:kern w:val="44"/>
          <w:sz w:val="36"/>
          <w:szCs w:val="36"/>
          <w:highlight w:val="none"/>
          <w14:textFill>
            <w14:solidFill>
              <w14:schemeClr w14:val="tx1"/>
            </w14:solidFill>
          </w14:textFill>
        </w:rPr>
        <w:t>第七章 投标文件格式</w:t>
      </w:r>
      <w:bookmarkEnd w:id="392"/>
      <w:bookmarkEnd w:id="393"/>
      <w:bookmarkEnd w:id="394"/>
      <w:bookmarkEnd w:id="395"/>
      <w:bookmarkEnd w:id="396"/>
      <w:bookmarkEnd w:id="397"/>
    </w:p>
    <w:p>
      <w:pPr>
        <w:outlineLvl w:val="9"/>
        <w:rPr>
          <w:rFonts w:ascii="仿宋" w:hAnsi="仿宋" w:eastAsia="仿宋" w:cs="仿宋"/>
          <w:color w:val="000000" w:themeColor="text1"/>
          <w:szCs w:val="24"/>
          <w:highlight w:val="none"/>
          <w:lang w:val="zh-CN"/>
          <w14:textFill>
            <w14:solidFill>
              <w14:schemeClr w14:val="tx1"/>
            </w14:solidFill>
          </w14:textFill>
        </w:rPr>
      </w:pPr>
      <w:bookmarkStart w:id="398" w:name="_Toc163492937"/>
      <w:r>
        <w:rPr>
          <w:rFonts w:hint="eastAsia" w:ascii="仿宋" w:hAnsi="仿宋" w:eastAsia="仿宋" w:cs="仿宋"/>
          <w:color w:val="000000" w:themeColor="text1"/>
          <w:szCs w:val="24"/>
          <w:highlight w:val="none"/>
          <w:lang w:val="zh-CN"/>
          <w14:textFill>
            <w14:solidFill>
              <w14:schemeClr w14:val="tx1"/>
            </w14:solidFill>
          </w14:textFill>
        </w:rPr>
        <w:br w:type="page"/>
      </w:r>
    </w:p>
    <w:p>
      <w:pPr>
        <w:ind w:firstLine="480" w:firstLineChars="200"/>
        <w:outlineLvl w:val="9"/>
        <w:rPr>
          <w:rFonts w:ascii="仿宋" w:hAnsi="仿宋" w:eastAsia="仿宋" w:cs="仿宋"/>
          <w:color w:val="000000" w:themeColor="text1"/>
          <w:szCs w:val="24"/>
          <w:highlight w:val="none"/>
          <w:lang w:val="zh-CN"/>
          <w14:textFill>
            <w14:solidFill>
              <w14:schemeClr w14:val="tx1"/>
            </w14:solidFill>
          </w14:textFill>
        </w:rPr>
      </w:pPr>
    </w:p>
    <w:p>
      <w:pPr>
        <w:ind w:firstLine="480" w:firstLineChars="200"/>
        <w:outlineLvl w:val="9"/>
        <w:rPr>
          <w:rFonts w:ascii="仿宋" w:hAnsi="仿宋" w:eastAsia="仿宋" w:cs="仿宋"/>
          <w:color w:val="000000" w:themeColor="text1"/>
          <w:szCs w:val="24"/>
          <w:highlight w:val="none"/>
          <w:lang w:val="zh-CN"/>
          <w14:textFill>
            <w14:solidFill>
              <w14:schemeClr w14:val="tx1"/>
            </w14:solidFill>
          </w14:textFill>
        </w:rPr>
      </w:pPr>
    </w:p>
    <w:p>
      <w:pPr>
        <w:ind w:firstLine="480" w:firstLineChars="200"/>
        <w:outlineLvl w:val="9"/>
        <w:rPr>
          <w:rFonts w:ascii="仿宋" w:hAnsi="仿宋" w:eastAsia="仿宋" w:cs="仿宋"/>
          <w:color w:val="000000" w:themeColor="text1"/>
          <w:szCs w:val="24"/>
          <w:highlight w:val="none"/>
          <w:lang w:val="zh-CN"/>
          <w14:textFill>
            <w14:solidFill>
              <w14:schemeClr w14:val="tx1"/>
            </w14:solidFill>
          </w14:textFill>
        </w:rPr>
      </w:pPr>
    </w:p>
    <w:p>
      <w:pPr>
        <w:ind w:firstLine="480" w:firstLineChars="200"/>
        <w:outlineLvl w:val="9"/>
        <w:rPr>
          <w:rFonts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zh-CN"/>
          <w14:textFill>
            <w14:solidFill>
              <w14:schemeClr w14:val="tx1"/>
            </w14:solidFill>
          </w14:textFill>
        </w:rPr>
        <w:t>封面：</w:t>
      </w:r>
    </w:p>
    <w:p>
      <w:pPr>
        <w:autoSpaceDE w:val="0"/>
        <w:autoSpaceDN w:val="0"/>
        <w:adjustRightInd w:val="0"/>
        <w:outlineLvl w:val="9"/>
        <w:rPr>
          <w:rFonts w:ascii="仿宋" w:hAnsi="仿宋" w:eastAsia="仿宋" w:cs="仿宋"/>
          <w:color w:val="000000" w:themeColor="text1"/>
          <w:sz w:val="21"/>
          <w:szCs w:val="24"/>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4"/>
          <w:highlight w:val="none"/>
          <w14:textFill>
            <w14:solidFill>
              <w14:schemeClr w14:val="tx1"/>
            </w14:solidFill>
          </w14:textFill>
        </w:rPr>
      </w:pPr>
    </w:p>
    <w:p>
      <w:pPr>
        <w:autoSpaceDE w:val="0"/>
        <w:autoSpaceDN w:val="0"/>
        <w:adjustRightInd w:val="0"/>
        <w:jc w:val="center"/>
        <w:outlineLvl w:val="9"/>
        <w:rPr>
          <w:rFonts w:ascii="仿宋" w:hAnsi="仿宋" w:eastAsia="仿宋" w:cs="仿宋"/>
          <w:color w:val="000000" w:themeColor="text1"/>
          <w:sz w:val="21"/>
          <w:szCs w:val="24"/>
          <w:highlight w:val="none"/>
          <w14:textFill>
            <w14:solidFill>
              <w14:schemeClr w14:val="tx1"/>
            </w14:solidFill>
          </w14:textFill>
        </w:rPr>
      </w:pPr>
    </w:p>
    <w:p>
      <w:pPr>
        <w:autoSpaceDE w:val="0"/>
        <w:autoSpaceDN w:val="0"/>
        <w:adjustRightInd w:val="0"/>
        <w:jc w:val="center"/>
        <w:outlineLvl w:val="9"/>
        <w:rPr>
          <w:rFonts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投 标 文 件</w:t>
      </w:r>
    </w:p>
    <w:p>
      <w:pPr>
        <w:autoSpaceDE w:val="0"/>
        <w:autoSpaceDN w:val="0"/>
        <w:adjustRightInd w:val="0"/>
        <w:jc w:val="center"/>
        <w:outlineLvl w:val="9"/>
        <w:rPr>
          <w:rFonts w:ascii="仿宋" w:hAnsi="仿宋" w:eastAsia="仿宋" w:cs="仿宋"/>
          <w:b/>
          <w:color w:val="000000" w:themeColor="text1"/>
          <w:sz w:val="56"/>
          <w:szCs w:val="56"/>
          <w:highlight w:val="none"/>
          <w14:textFill>
            <w14:solidFill>
              <w14:schemeClr w14:val="tx1"/>
            </w14:solidFill>
          </w14:textFill>
        </w:rPr>
      </w:pPr>
      <w:r>
        <w:rPr>
          <w:rFonts w:hint="eastAsia" w:ascii="仿宋" w:hAnsi="仿宋" w:eastAsia="仿宋" w:cs="仿宋"/>
          <w:b/>
          <w:color w:val="000000" w:themeColor="text1"/>
          <w:sz w:val="56"/>
          <w:szCs w:val="56"/>
          <w:highlight w:val="none"/>
          <w14:textFill>
            <w14:solidFill>
              <w14:schemeClr w14:val="tx1"/>
            </w14:solidFill>
          </w14:textFill>
        </w:rPr>
        <w:t>资格证明文件</w:t>
      </w:r>
    </w:p>
    <w:p>
      <w:pPr>
        <w:autoSpaceDE w:val="0"/>
        <w:autoSpaceDN w:val="0"/>
        <w:adjustRightInd w:val="0"/>
        <w:outlineLvl w:val="9"/>
        <w:rPr>
          <w:rFonts w:ascii="仿宋" w:hAnsi="仿宋" w:eastAsia="仿宋" w:cs="仿宋"/>
          <w:b/>
          <w:bCs/>
          <w:color w:val="000000" w:themeColor="text1"/>
          <w:sz w:val="22"/>
          <w:highlight w:val="none"/>
          <w14:textFill>
            <w14:solidFill>
              <w14:schemeClr w14:val="tx1"/>
            </w14:solidFill>
          </w14:textFill>
        </w:rPr>
      </w:pPr>
    </w:p>
    <w:p>
      <w:pPr>
        <w:autoSpaceDE w:val="0"/>
        <w:autoSpaceDN w:val="0"/>
        <w:adjustRightInd w:val="0"/>
        <w:jc w:val="center"/>
        <w:outlineLvl w:val="9"/>
        <w:rPr>
          <w:rFonts w:ascii="仿宋" w:hAnsi="仿宋" w:eastAsia="仿宋" w:cs="仿宋"/>
          <w:color w:val="000000" w:themeColor="text1"/>
          <w:sz w:val="36"/>
          <w:szCs w:val="36"/>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1"/>
          <w:highlight w:val="none"/>
          <w14:textFill>
            <w14:solidFill>
              <w14:schemeClr w14:val="tx1"/>
            </w14:solidFill>
          </w14:textFill>
        </w:rPr>
      </w:pPr>
    </w:p>
    <w:p>
      <w:pPr>
        <w:outlineLvl w:val="9"/>
        <w:rPr>
          <w:rFonts w:ascii="仿宋" w:hAnsi="仿宋" w:eastAsia="仿宋" w:cs="仿宋"/>
          <w:color w:val="000000" w:themeColor="text1"/>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1"/>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1"/>
          <w:highlight w:val="none"/>
          <w14:textFill>
            <w14:solidFill>
              <w14:schemeClr w14:val="tx1"/>
            </w14:solidFill>
          </w14:textFill>
        </w:rPr>
      </w:pPr>
    </w:p>
    <w:p>
      <w:pPr>
        <w:ind w:left="420" w:leftChars="175"/>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项目</w:t>
      </w:r>
      <w:r>
        <w:rPr>
          <w:rFonts w:hint="eastAsia" w:ascii="仿宋" w:hAnsi="仿宋" w:eastAsia="仿宋" w:cs="仿宋"/>
          <w:color w:val="000000" w:themeColor="text1"/>
          <w:sz w:val="36"/>
          <w:szCs w:val="36"/>
          <w:highlight w:val="none"/>
          <w14:textFill>
            <w14:solidFill>
              <w14:schemeClr w14:val="tx1"/>
            </w14:solidFill>
          </w14:textFill>
        </w:rPr>
        <w:t>编号：</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20" w:leftChars="175"/>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项目名称：</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20" w:leftChars="175"/>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投 标 人：</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840" w:firstLine="420"/>
        <w:outlineLvl w:val="9"/>
        <w:rPr>
          <w:rFonts w:ascii="仿宋" w:hAnsi="仿宋" w:eastAsia="仿宋" w:cs="仿宋"/>
          <w:b/>
          <w:bCs/>
          <w:color w:val="000000" w:themeColor="text1"/>
          <w:sz w:val="28"/>
          <w:szCs w:val="28"/>
          <w:highlight w:val="none"/>
          <w14:textFill>
            <w14:solidFill>
              <w14:schemeClr w14:val="tx1"/>
            </w14:solidFill>
          </w14:textFill>
        </w:rPr>
      </w:pPr>
    </w:p>
    <w:p>
      <w:pPr>
        <w:ind w:left="840" w:firstLine="420"/>
        <w:outlineLvl w:val="9"/>
        <w:rPr>
          <w:rFonts w:ascii="仿宋" w:hAnsi="仿宋" w:eastAsia="仿宋" w:cs="仿宋"/>
          <w:b/>
          <w:bCs/>
          <w:color w:val="000000" w:themeColor="text1"/>
          <w:sz w:val="28"/>
          <w:szCs w:val="28"/>
          <w:highlight w:val="none"/>
          <w14:textFill>
            <w14:solidFill>
              <w14:schemeClr w14:val="tx1"/>
            </w14:solidFill>
          </w14:textFill>
        </w:rPr>
      </w:pPr>
    </w:p>
    <w:p>
      <w:pPr>
        <w:ind w:left="840" w:firstLine="420"/>
        <w:outlineLvl w:val="9"/>
        <w:rPr>
          <w:rFonts w:ascii="仿宋" w:hAnsi="仿宋" w:eastAsia="仿宋" w:cs="仿宋"/>
          <w:b/>
          <w:bCs/>
          <w:color w:val="000000" w:themeColor="text1"/>
          <w:sz w:val="28"/>
          <w:szCs w:val="28"/>
          <w:highlight w:val="none"/>
          <w14:textFill>
            <w14:solidFill>
              <w14:schemeClr w14:val="tx1"/>
            </w14:solidFill>
          </w14:textFill>
        </w:rPr>
      </w:pPr>
    </w:p>
    <w:p>
      <w:pPr>
        <w:jc w:val="center"/>
        <w:outlineLvl w:val="9"/>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   月    日</w:t>
      </w:r>
    </w:p>
    <w:p>
      <w:pPr>
        <w:outlineLvl w:val="9"/>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br w:type="page"/>
      </w:r>
    </w:p>
    <w:p>
      <w:pPr>
        <w:keepNext/>
        <w:keepLines/>
        <w:spacing w:before="100" w:after="100"/>
        <w:ind w:left="420" w:hanging="420"/>
        <w:outlineLvl w:val="9"/>
        <w:rPr>
          <w:rFonts w:ascii="仿宋" w:hAnsi="仿宋" w:eastAsia="仿宋" w:cs="仿宋"/>
          <w:b/>
          <w:bCs/>
          <w:color w:val="000000" w:themeColor="text1"/>
          <w:sz w:val="28"/>
          <w:szCs w:val="28"/>
          <w:highlight w:val="none"/>
          <w14:textFill>
            <w14:solidFill>
              <w14:schemeClr w14:val="tx1"/>
            </w14:solidFill>
          </w14:textFill>
        </w:rPr>
      </w:pPr>
      <w:bookmarkStart w:id="399" w:name="_Toc25898"/>
      <w:bookmarkStart w:id="400" w:name="_Toc163492921"/>
      <w:bookmarkStart w:id="401" w:name="_Toc155185927"/>
      <w:r>
        <w:rPr>
          <w:rFonts w:hint="eastAsia" w:ascii="仿宋" w:hAnsi="仿宋" w:eastAsia="仿宋" w:cs="仿宋"/>
          <w:b/>
          <w:bCs/>
          <w:color w:val="000000" w:themeColor="text1"/>
          <w:sz w:val="28"/>
          <w:szCs w:val="28"/>
          <w:highlight w:val="none"/>
          <w14:textFill>
            <w14:solidFill>
              <w14:schemeClr w14:val="tx1"/>
            </w14:solidFill>
          </w14:textFill>
        </w:rPr>
        <w:t>一、满足《中华人民共和国政府采购法》第二十二条规定</w:t>
      </w:r>
      <w:bookmarkEnd w:id="399"/>
    </w:p>
    <w:bookmarkEnd w:id="400"/>
    <w:bookmarkEnd w:id="401"/>
    <w:p>
      <w:pPr>
        <w:outlineLvl w:val="9"/>
        <w:rPr>
          <w:rFonts w:ascii="仿宋" w:hAnsi="仿宋" w:eastAsia="仿宋" w:cs="仿宋"/>
          <w:b/>
          <w:bCs/>
          <w:color w:val="000000" w:themeColor="text1"/>
          <w:szCs w:val="24"/>
          <w:highlight w:val="none"/>
          <w14:textFill>
            <w14:solidFill>
              <w14:schemeClr w14:val="tx1"/>
            </w14:solidFill>
          </w14:textFill>
        </w:rPr>
      </w:pPr>
      <w:bookmarkStart w:id="402" w:name="_Toc155185928"/>
      <w:bookmarkStart w:id="403" w:name="_Toc163492922"/>
      <w:r>
        <w:rPr>
          <w:rFonts w:hint="eastAsia" w:ascii="仿宋" w:hAnsi="仿宋" w:eastAsia="仿宋" w:cs="仿宋"/>
          <w:b/>
          <w:bCs/>
          <w:color w:val="000000" w:themeColor="text1"/>
          <w:szCs w:val="24"/>
          <w:highlight w:val="none"/>
          <w14:textFill>
            <w14:solidFill>
              <w14:schemeClr w14:val="tx1"/>
            </w14:solidFill>
          </w14:textFill>
        </w:rPr>
        <w:t>（一）法人、其他组织或者自然人的证明文件</w:t>
      </w:r>
    </w:p>
    <w:p>
      <w:pPr>
        <w:ind w:firstLine="480" w:firstLineChars="200"/>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1、投标人为企业（包括合伙企业）的，应提供有效的“营业执照”；</w:t>
      </w:r>
    </w:p>
    <w:p>
      <w:pPr>
        <w:ind w:firstLine="480" w:firstLineChars="200"/>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2、投标人为事业单位的，应提供有效的“事业单位法人证书”；</w:t>
      </w:r>
    </w:p>
    <w:p>
      <w:pPr>
        <w:ind w:firstLine="480" w:firstLineChars="200"/>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3、投标人为非企业机构的，应提供有效的“执业许可证”、“登记证书”等证明文件；</w:t>
      </w:r>
    </w:p>
    <w:p>
      <w:pPr>
        <w:ind w:firstLine="480" w:firstLineChars="200"/>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4、投标人是个体工商户的，应提供有效的“个体工商户营业执照”；</w:t>
      </w:r>
    </w:p>
    <w:p>
      <w:pPr>
        <w:ind w:firstLine="480" w:firstLineChars="200"/>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5、投标人是自然人的，应提供有效的自然人身份证明。</w:t>
      </w:r>
    </w:p>
    <w:p>
      <w:pPr>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br w:type="page"/>
      </w:r>
    </w:p>
    <w:bookmarkEnd w:id="402"/>
    <w:bookmarkEnd w:id="403"/>
    <w:p>
      <w:pPr>
        <w:pStyle w:val="2"/>
        <w:keepNext w:val="0"/>
        <w:keepLines w:val="0"/>
        <w:pageBreakBefore w:val="0"/>
        <w:widowControl/>
        <w:shd w:val="clear"/>
        <w:kinsoku w:val="0"/>
        <w:wordWrap/>
        <w:overflowPunct/>
        <w:topLinePunct w:val="0"/>
        <w:autoSpaceDE w:val="0"/>
        <w:autoSpaceDN w:val="0"/>
        <w:bidi w:val="0"/>
        <w:adjustRightInd w:val="0"/>
        <w:snapToGrid w:val="0"/>
        <w:spacing w:line="360" w:lineRule="auto"/>
        <w:ind w:left="34"/>
        <w:jc w:val="both"/>
        <w:textAlignment w:val="baseline"/>
        <w:outlineLvl w:val="9"/>
        <w:rPr>
          <w:rFonts w:hint="eastAsia" w:ascii="仿宋" w:hAnsi="仿宋" w:eastAsia="仿宋" w:cs="仿宋"/>
          <w:b/>
          <w:bCs/>
          <w:color w:val="000000" w:themeColor="text1"/>
          <w:spacing w:val="-3"/>
          <w:sz w:val="24"/>
          <w:szCs w:val="24"/>
          <w:highlight w:val="none"/>
          <w:lang w:val="en-US" w:eastAsia="zh-CN"/>
          <w14:textFill>
            <w14:solidFill>
              <w14:schemeClr w14:val="tx1"/>
            </w14:solidFill>
          </w14:textFill>
        </w:rPr>
      </w:pPr>
      <w:bookmarkStart w:id="404" w:name="_Toc155185930"/>
      <w:bookmarkStart w:id="405" w:name="_Toc163492923"/>
      <w:bookmarkStart w:id="406" w:name="_Toc109899917"/>
      <w:bookmarkStart w:id="407" w:name="_Toc109900336"/>
      <w:bookmarkStart w:id="408" w:name="_Toc109899498"/>
      <w:bookmarkStart w:id="409" w:name="_Toc21383"/>
      <w:bookmarkStart w:id="410" w:name="_Toc140132840"/>
      <w:r>
        <w:rPr>
          <w:rFonts w:hint="eastAsia" w:ascii="仿宋" w:hAnsi="仿宋" w:eastAsia="仿宋" w:cs="仿宋"/>
          <w:b/>
          <w:bCs/>
          <w:color w:val="000000" w:themeColor="text1"/>
          <w:spacing w:val="-3"/>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pacing w:val="-3"/>
          <w:sz w:val="24"/>
          <w:szCs w:val="24"/>
          <w:highlight w:val="none"/>
          <w14:textFill>
            <w14:solidFill>
              <w14:schemeClr w14:val="tx1"/>
            </w14:solidFill>
          </w14:textFill>
        </w:rPr>
        <w:t>良好的商业信誉和健全的财务会计制度</w:t>
      </w:r>
    </w:p>
    <w:p>
      <w:pPr>
        <w:pStyle w:val="40"/>
        <w:keepNext w:val="0"/>
        <w:keepLines w:val="0"/>
        <w:pageBreakBefore w:val="0"/>
        <w:widowControl w:val="0"/>
        <w:shd w:val="clear"/>
        <w:kinsoku/>
        <w:wordWrap/>
        <w:overflowPunct/>
        <w:topLinePunct w:val="0"/>
        <w:autoSpaceDE/>
        <w:autoSpaceDN/>
        <w:bidi w:val="0"/>
        <w:adjustRightInd w:val="0"/>
        <w:snapToGrid w:val="0"/>
        <w:spacing w:line="360" w:lineRule="auto"/>
        <w:ind w:firstLine="484" w:firstLineChars="200"/>
        <w:jc w:val="left"/>
        <w:textAlignment w:val="auto"/>
        <w:outlineLvl w:val="9"/>
        <w:rPr>
          <w:rFonts w:hint="eastAsia" w:ascii="仿宋" w:hAnsi="仿宋" w:eastAsia="仿宋" w:cs="仿宋"/>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
          <w:kern w:val="0"/>
          <w:sz w:val="24"/>
          <w:szCs w:val="24"/>
          <w:highlight w:val="none"/>
          <w:lang w:val="en-US" w:eastAsia="zh-CN" w:bidi="ar-SA"/>
          <w14:textFill>
            <w14:solidFill>
              <w14:schemeClr w14:val="tx1"/>
            </w14:solidFill>
          </w14:textFill>
        </w:rPr>
        <w:t>供应商是法人的，应提供本单位上年度（2024年或2025年）经会计师事务所出具的审计报告复印件（报告中须包括资产负债表、利润表、现金流量表及所有者权益变动表及其附注），或银行出具的资信证明。银行资信证明可提供原件，也可提供银行在开标日前十二个月内开具资信证明的复印件，对于资信证明文件中写明“复印无效”的</w:t>
      </w:r>
      <w:r>
        <w:rPr>
          <w:rFonts w:hint="eastAsia" w:ascii="仿宋" w:hAnsi="仿宋" w:eastAsia="仿宋" w:cs="仿宋"/>
          <w:snapToGrid w:val="0"/>
          <w:color w:val="000000" w:themeColor="text1"/>
          <w:spacing w:val="1"/>
          <w:kern w:val="0"/>
          <w:sz w:val="24"/>
          <w:szCs w:val="24"/>
          <w:highlight w:val="none"/>
          <w:lang w:val="en-US" w:eastAsia="en-US" w:bidi="ar-SA"/>
          <w14:textFill>
            <w14:solidFill>
              <w14:schemeClr w14:val="tx1"/>
            </w14:solidFill>
          </w14:textFill>
        </w:rPr>
        <w:t>应提供原件。银行资信证明的抬头可以与采购人或采购代理机构名称不同。</w:t>
      </w:r>
    </w:p>
    <w:p>
      <w:pPr>
        <w:pStyle w:val="40"/>
        <w:keepNext w:val="0"/>
        <w:keepLines w:val="0"/>
        <w:pageBreakBefore w:val="0"/>
        <w:widowControl w:val="0"/>
        <w:shd w:val="clear"/>
        <w:kinsoku/>
        <w:wordWrap/>
        <w:overflowPunct/>
        <w:topLinePunct w:val="0"/>
        <w:autoSpaceDE/>
        <w:autoSpaceDN/>
        <w:bidi w:val="0"/>
        <w:adjustRightInd w:val="0"/>
        <w:snapToGrid w:val="0"/>
        <w:spacing w:line="360" w:lineRule="auto"/>
        <w:ind w:firstLine="484" w:firstLineChars="200"/>
        <w:jc w:val="left"/>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pacing w:val="1"/>
          <w:kern w:val="0"/>
          <w:sz w:val="24"/>
          <w:szCs w:val="24"/>
          <w:highlight w:val="none"/>
          <w:lang w:val="en-US" w:eastAsia="en-US" w:bidi="ar-SA"/>
          <w14:textFill>
            <w14:solidFill>
              <w14:schemeClr w14:val="tx1"/>
            </w14:solidFill>
          </w14:textFill>
        </w:rPr>
        <w:t>供应商是其他组织或自然人的，应提供银行出具的资信证明。银行资信证明应能说明该供应商与银行之间业务往来正常，无不良记录，企业信誉良好等。银行出具的存款证明不能作为银行资信证明。</w:t>
      </w:r>
    </w:p>
    <w:p>
      <w:pPr>
        <w:outlineLvl w:val="9"/>
        <w:rPr>
          <w:rFonts w:hint="eastAsia" w:ascii="仿宋" w:hAnsi="仿宋" w:eastAsia="仿宋" w:cs="仿宋"/>
          <w:i w:val="0"/>
          <w:iCs w:val="0"/>
          <w:color w:val="000000" w:themeColor="text1"/>
          <w:szCs w:val="21"/>
          <w:highlight w:val="none"/>
          <w14:textFill>
            <w14:solidFill>
              <w14:schemeClr w14:val="tx1"/>
            </w14:solidFill>
          </w14:textFill>
        </w:rPr>
      </w:pPr>
      <w:r>
        <w:rPr>
          <w:rFonts w:hint="eastAsia" w:ascii="仿宋" w:hAnsi="仿宋" w:eastAsia="仿宋" w:cs="仿宋"/>
          <w:i w:val="0"/>
          <w:iCs w:val="0"/>
          <w:color w:val="000000" w:themeColor="text1"/>
          <w:szCs w:val="21"/>
          <w:highlight w:val="none"/>
          <w14:textFill>
            <w14:solidFill>
              <w14:schemeClr w14:val="tx1"/>
            </w14:solidFill>
          </w14:textFill>
        </w:rPr>
        <w:br w:type="page"/>
      </w:r>
    </w:p>
    <w:p>
      <w:pPr>
        <w:pStyle w:val="2"/>
        <w:keepNext w:val="0"/>
        <w:keepLines w:val="0"/>
        <w:pageBreakBefore w:val="0"/>
        <w:widowControl/>
        <w:shd w:val="clear"/>
        <w:kinsoku w:val="0"/>
        <w:wordWrap/>
        <w:overflowPunct/>
        <w:topLinePunct w:val="0"/>
        <w:autoSpaceDE w:val="0"/>
        <w:autoSpaceDN w:val="0"/>
        <w:bidi w:val="0"/>
        <w:adjustRightInd w:val="0"/>
        <w:snapToGrid w:val="0"/>
        <w:spacing w:line="360" w:lineRule="auto"/>
        <w:ind w:left="34"/>
        <w:jc w:val="both"/>
        <w:textAlignment w:val="baseline"/>
        <w:outlineLvl w:val="9"/>
        <w:rPr>
          <w:rFonts w:hint="eastAsia" w:ascii="仿宋" w:hAnsi="仿宋" w:eastAsia="仿宋" w:cs="仿宋"/>
          <w:b/>
          <w:bCs/>
          <w:color w:val="000000" w:themeColor="text1"/>
          <w:spacing w:val="-3"/>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pacing w:val="-3"/>
          <w:sz w:val="24"/>
          <w:szCs w:val="24"/>
          <w:highlight w:val="none"/>
          <w:lang w:val="en-US" w:eastAsia="zh-CN"/>
          <w14:textFill>
            <w14:solidFill>
              <w14:schemeClr w14:val="tx1"/>
            </w14:solidFill>
          </w14:textFill>
        </w:rPr>
        <w:t>（三）依法缴纳税收和社会保障资金的良好记录</w:t>
      </w:r>
    </w:p>
    <w:p>
      <w:pPr>
        <w:pStyle w:val="40"/>
        <w:shd w:val="clear"/>
        <w:adjustRightInd w:val="0"/>
        <w:snapToGrid w:val="0"/>
        <w:spacing w:line="360" w:lineRule="auto"/>
        <w:ind w:firstLine="600" w:firstLineChars="250"/>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供应商依法缴纳税收的证明材料：本项目投标截止时间前6个月内（至少提供1个月）缴纳税收的凭据（完税证、缴款书、印花税票、银行代扣（代缴）转账凭证等均可）；</w:t>
      </w:r>
    </w:p>
    <w:p>
      <w:pPr>
        <w:pStyle w:val="40"/>
        <w:shd w:val="clear"/>
        <w:adjustRightInd w:val="0"/>
        <w:snapToGrid w:val="0"/>
        <w:spacing w:line="360" w:lineRule="auto"/>
        <w:ind w:firstLine="600" w:firstLineChars="250"/>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供应商依法缴纳社会保障资金的证明材料：本项目投标截止时间前6个月内（至少提供1个月）缴纳社会保险的凭据（专用收据</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社会保险交纳清单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完税证、缴款书、银行代扣（代缴）转账凭证等均可）；</w:t>
      </w:r>
    </w:p>
    <w:p>
      <w:pPr>
        <w:pStyle w:val="40"/>
        <w:shd w:val="clear"/>
        <w:adjustRightInd w:val="0"/>
        <w:snapToGrid w:val="0"/>
        <w:spacing w:line="360" w:lineRule="auto"/>
        <w:ind w:firstLine="600" w:firstLineChars="250"/>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pPr>
        <w:outlineLvl w:val="9"/>
        <w:rPr>
          <w:rFonts w:hint="eastAsia" w:ascii="仿宋" w:hAnsi="仿宋" w:eastAsia="仿宋" w:cs="仿宋"/>
          <w:b/>
          <w:bCs/>
          <w:i w:val="0"/>
          <w:i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8"/>
          <w:szCs w:val="28"/>
          <w:highlight w:val="none"/>
          <w:lang w:val="en-US" w:eastAsia="zh-CN" w:bidi="ar-SA"/>
          <w14:textFill>
            <w14:solidFill>
              <w14:schemeClr w14:val="tx1"/>
            </w14:solidFill>
          </w14:textFill>
        </w:rPr>
        <w:br w:type="page"/>
      </w:r>
    </w:p>
    <w:p>
      <w:pPr>
        <w:pStyle w:val="40"/>
        <w:numPr>
          <w:ilvl w:val="0"/>
          <w:numId w:val="0"/>
        </w:numPr>
        <w:shd w:val="clear"/>
        <w:adjustRightInd w:val="0"/>
        <w:snapToGrid w:val="0"/>
        <w:spacing w:line="360" w:lineRule="auto"/>
        <w:jc w:val="left"/>
        <w:outlineLvl w:val="9"/>
        <w:rPr>
          <w:rFonts w:hint="eastAsia" w:ascii="仿宋" w:hAnsi="仿宋" w:eastAsia="仿宋" w:cs="仿宋"/>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3"/>
          <w:kern w:val="0"/>
          <w:sz w:val="24"/>
          <w:szCs w:val="24"/>
          <w:highlight w:val="none"/>
          <w:lang w:val="en-US" w:eastAsia="zh-CN" w:bidi="ar-SA"/>
          <w14:textFill>
            <w14:solidFill>
              <w14:schemeClr w14:val="tx1"/>
            </w14:solidFill>
          </w14:textFill>
        </w:rPr>
        <w:t>（四）供应商须具有履行合同所必需的设备和专业技术能力</w:t>
      </w:r>
    </w:p>
    <w:p>
      <w:pPr>
        <w:pStyle w:val="40"/>
        <w:numPr>
          <w:ilvl w:val="0"/>
          <w:numId w:val="0"/>
        </w:numPr>
        <w:shd w:val="clear"/>
        <w:adjustRightInd w:val="0"/>
        <w:snapToGrid w:val="0"/>
        <w:spacing w:line="360" w:lineRule="auto"/>
        <w:jc w:val="left"/>
        <w:outlineLvl w:val="9"/>
        <w:rPr>
          <w:rFonts w:hint="eastAsia" w:ascii="仿宋" w:hAnsi="仿宋" w:eastAsia="仿宋" w:cs="仿宋"/>
          <w:b w:val="0"/>
          <w:bCs w:val="0"/>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3"/>
          <w:kern w:val="0"/>
          <w:sz w:val="24"/>
          <w:szCs w:val="24"/>
          <w:highlight w:val="none"/>
          <w:lang w:val="en-US" w:eastAsia="zh-CN" w:bidi="ar-SA"/>
          <w14:textFill>
            <w14:solidFill>
              <w14:schemeClr w14:val="tx1"/>
            </w14:solidFill>
          </w14:textFill>
        </w:rPr>
        <w:t>须附相关证明材料或声明：</w:t>
      </w:r>
    </w:p>
    <w:p>
      <w:pPr>
        <w:pStyle w:val="40"/>
        <w:shd w:val="clear"/>
        <w:adjustRightInd w:val="0"/>
        <w:snapToGrid w:val="0"/>
        <w:spacing w:line="360" w:lineRule="auto"/>
        <w:jc w:val="left"/>
        <w:outlineLvl w:val="9"/>
        <w:rPr>
          <w:rFonts w:hint="eastAsia" w:ascii="仿宋" w:hAnsi="仿宋" w:eastAsia="仿宋" w:cs="仿宋"/>
          <w:color w:val="000000" w:themeColor="text1"/>
          <w:sz w:val="24"/>
          <w:szCs w:val="24"/>
          <w:highlight w:val="none"/>
          <w14:textFill>
            <w14:solidFill>
              <w14:schemeClr w14:val="tx1"/>
            </w14:solidFill>
          </w14:textFill>
        </w:rPr>
      </w:pPr>
    </w:p>
    <w:p>
      <w:pPr>
        <w:pStyle w:val="40"/>
        <w:shd w:val="clear"/>
        <w:adjustRightInd w:val="0"/>
        <w:snapToGrid w:val="0"/>
        <w:spacing w:line="360" w:lineRule="auto"/>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格式：</w:t>
      </w:r>
    </w:p>
    <w:p>
      <w:pPr>
        <w:pStyle w:val="40"/>
        <w:shd w:val="clear"/>
        <w:adjustRightInd w:val="0"/>
        <w:snapToGrid w:val="0"/>
        <w:spacing w:line="360" w:lineRule="auto"/>
        <w:jc w:val="center"/>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本</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郑重声明</w:t>
      </w:r>
      <w:r>
        <w:rPr>
          <w:rFonts w:hint="eastAsia" w:ascii="仿宋" w:hAnsi="仿宋" w:eastAsia="仿宋" w:cs="仿宋"/>
          <w:color w:val="000000" w:themeColor="text1"/>
          <w:sz w:val="24"/>
          <w:szCs w:val="24"/>
          <w:highlight w:val="none"/>
          <w14:textFill>
            <w14:solidFill>
              <w14:schemeClr w14:val="tx1"/>
            </w14:solidFill>
          </w14:textFill>
        </w:rPr>
        <w:t>：</w:t>
      </w:r>
    </w:p>
    <w:p>
      <w:pPr>
        <w:pStyle w:val="40"/>
        <w:shd w:val="clear"/>
        <w:adjustRightInd w:val="0"/>
        <w:snapToGrid w:val="0"/>
        <w:spacing w:line="360" w:lineRule="auto"/>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本公司（或单位）具备本项目履行合同所必需的设备和专业技术能力，特此承诺。</w:t>
      </w:r>
    </w:p>
    <w:p>
      <w:pPr>
        <w:pStyle w:val="40"/>
        <w:shd w:val="clear"/>
        <w:adjustRightInd w:val="0"/>
        <w:snapToGrid w:val="0"/>
        <w:spacing w:line="360" w:lineRule="auto"/>
        <w:jc w:val="left"/>
        <w:outlineLvl w:val="9"/>
        <w:rPr>
          <w:rFonts w:hint="eastAsia" w:ascii="仿宋" w:hAnsi="仿宋" w:eastAsia="仿宋" w:cs="仿宋"/>
          <w:color w:val="000000" w:themeColor="text1"/>
          <w:sz w:val="24"/>
          <w:szCs w:val="24"/>
          <w:highlight w:val="none"/>
          <w14:textFill>
            <w14:solidFill>
              <w14:schemeClr w14:val="tx1"/>
            </w14:solidFill>
          </w14:textFill>
        </w:rPr>
      </w:pPr>
    </w:p>
    <w:p>
      <w:pPr>
        <w:pStyle w:val="40"/>
        <w:shd w:val="clear"/>
        <w:adjustRightInd w:val="0"/>
        <w:snapToGrid w:val="0"/>
        <w:spacing w:line="360" w:lineRule="auto"/>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名称（盖章）：</w:t>
      </w:r>
    </w:p>
    <w:p>
      <w:pPr>
        <w:pStyle w:val="40"/>
        <w:shd w:val="clear"/>
        <w:adjustRightInd w:val="0"/>
        <w:snapToGrid w:val="0"/>
        <w:spacing w:line="360" w:lineRule="auto"/>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法定代表人或授权代理人（签字或盖章）：</w:t>
      </w:r>
    </w:p>
    <w:p>
      <w:pPr>
        <w:pStyle w:val="40"/>
        <w:shd w:val="clear"/>
        <w:adjustRightInd w:val="0"/>
        <w:snapToGrid w:val="0"/>
        <w:spacing w:line="360" w:lineRule="auto"/>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outlineLvl w:val="9"/>
        <w:rPr>
          <w:rFonts w:hint="eastAsia" w:ascii="仿宋" w:hAnsi="仿宋" w:eastAsia="仿宋" w:cs="仿宋"/>
          <w:b/>
          <w:bCs/>
          <w:i w:val="0"/>
          <w:i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8"/>
          <w:szCs w:val="28"/>
          <w:highlight w:val="none"/>
          <w:lang w:val="en-US" w:eastAsia="zh-CN" w:bidi="ar-SA"/>
          <w14:textFill>
            <w14:solidFill>
              <w14:schemeClr w14:val="tx1"/>
            </w14:solidFill>
          </w14:textFill>
        </w:rPr>
        <w:br w:type="page"/>
      </w:r>
    </w:p>
    <w:p>
      <w:pPr>
        <w:pStyle w:val="40"/>
        <w:shd w:val="clear"/>
        <w:adjustRightInd w:val="0"/>
        <w:snapToGrid w:val="0"/>
        <w:spacing w:line="360" w:lineRule="auto"/>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snapToGrid w:val="0"/>
          <w:color w:val="000000" w:themeColor="text1"/>
          <w:spacing w:val="-3"/>
          <w:kern w:val="0"/>
          <w:sz w:val="24"/>
          <w:szCs w:val="24"/>
          <w:highlight w:val="none"/>
          <w:lang w:val="en-US" w:eastAsia="en-US" w:bidi="ar-SA"/>
          <w14:textFill>
            <w14:solidFill>
              <w14:schemeClr w14:val="tx1"/>
            </w14:solidFill>
          </w14:textFill>
        </w:rPr>
        <w:t>（</w:t>
      </w:r>
      <w:r>
        <w:rPr>
          <w:rFonts w:hint="eastAsia" w:ascii="仿宋" w:hAnsi="仿宋" w:eastAsia="仿宋" w:cs="仿宋"/>
          <w:b/>
          <w:bCs/>
          <w:snapToGrid w:val="0"/>
          <w:color w:val="000000" w:themeColor="text1"/>
          <w:spacing w:val="-3"/>
          <w:kern w:val="0"/>
          <w:sz w:val="24"/>
          <w:szCs w:val="24"/>
          <w:highlight w:val="none"/>
          <w:lang w:val="en-US" w:eastAsia="zh-CN" w:bidi="ar-SA"/>
          <w14:textFill>
            <w14:solidFill>
              <w14:schemeClr w14:val="tx1"/>
            </w14:solidFill>
          </w14:textFill>
        </w:rPr>
        <w:t>五）</w:t>
      </w:r>
      <w:r>
        <w:rPr>
          <w:rFonts w:hint="eastAsia" w:ascii="仿宋" w:hAnsi="仿宋" w:eastAsia="仿宋" w:cs="仿宋"/>
          <w:b/>
          <w:bCs/>
          <w:snapToGrid w:val="0"/>
          <w:color w:val="000000" w:themeColor="text1"/>
          <w:spacing w:val="-3"/>
          <w:kern w:val="0"/>
          <w:sz w:val="24"/>
          <w:szCs w:val="24"/>
          <w:highlight w:val="none"/>
          <w:lang w:val="en-US" w:eastAsia="en-US" w:bidi="ar-SA"/>
          <w14:textFill>
            <w14:solidFill>
              <w14:schemeClr w14:val="tx1"/>
            </w14:solidFill>
          </w14:textFill>
        </w:rPr>
        <w:t>参加政府采购活动前三年内，在经营活动中没有重大违法记录</w:t>
      </w:r>
    </w:p>
    <w:p>
      <w:pPr>
        <w:pStyle w:val="40"/>
        <w:shd w:val="clear"/>
        <w:adjustRightInd w:val="0"/>
        <w:snapToGrid w:val="0"/>
        <w:spacing w:line="360" w:lineRule="auto"/>
        <w:jc w:val="left"/>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参加政府采购活动前三年内，在经营活动中没有重大违法记录的书面声明：</w:t>
      </w:r>
    </w:p>
    <w:p>
      <w:pPr>
        <w:pStyle w:val="40"/>
        <w:shd w:val="clear"/>
        <w:adjustRightInd w:val="0"/>
        <w:snapToGrid w:val="0"/>
        <w:spacing w:line="360" w:lineRule="auto"/>
        <w:outlineLvl w:val="9"/>
        <w:rPr>
          <w:rFonts w:hint="eastAsia" w:ascii="仿宋" w:hAnsi="仿宋" w:eastAsia="仿宋" w:cs="仿宋"/>
          <w:color w:val="000000" w:themeColor="text1"/>
          <w:sz w:val="24"/>
          <w:szCs w:val="24"/>
          <w:highlight w:val="none"/>
          <w14:textFill>
            <w14:solidFill>
              <w14:schemeClr w14:val="tx1"/>
            </w14:solidFill>
          </w14:textFill>
        </w:rPr>
      </w:pPr>
    </w:p>
    <w:p>
      <w:pPr>
        <w:pStyle w:val="40"/>
        <w:shd w:val="clear"/>
        <w:adjustRightInd w:val="0"/>
        <w:snapToGrid w:val="0"/>
        <w:spacing w:line="360" w:lineRule="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格式：</w:t>
      </w:r>
    </w:p>
    <w:p>
      <w:pPr>
        <w:pStyle w:val="40"/>
        <w:shd w:val="clear"/>
        <w:adjustRightInd w:val="0"/>
        <w:snapToGrid w:val="0"/>
        <w:spacing w:line="360" w:lineRule="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40"/>
        <w:shd w:val="clear"/>
        <w:adjustRightInd w:val="0"/>
        <w:snapToGrid w:val="0"/>
        <w:spacing w:line="360" w:lineRule="auto"/>
        <w:jc w:val="center"/>
        <w:outlineLvl w:val="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无重大违法记录声明书</w:t>
      </w:r>
    </w:p>
    <w:p>
      <w:pPr>
        <w:pStyle w:val="40"/>
        <w:shd w:val="clear"/>
        <w:adjustRightInd w:val="0"/>
        <w:snapToGrid w:val="0"/>
        <w:spacing w:line="360" w:lineRule="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（采购人） </w:t>
      </w:r>
      <w:r>
        <w:rPr>
          <w:rFonts w:hint="eastAsia" w:ascii="仿宋" w:hAnsi="仿宋" w:eastAsia="仿宋" w:cs="仿宋"/>
          <w:color w:val="000000" w:themeColor="text1"/>
          <w:sz w:val="24"/>
          <w:szCs w:val="24"/>
          <w:highlight w:val="none"/>
          <w14:textFill>
            <w14:solidFill>
              <w14:schemeClr w14:val="tx1"/>
            </w14:solidFill>
          </w14:textFill>
        </w:rPr>
        <w:t>：</w:t>
      </w:r>
    </w:p>
    <w:p>
      <w:pPr>
        <w:pStyle w:val="40"/>
        <w:shd w:val="clear"/>
        <w:adjustRightInd w:val="0"/>
        <w:snapToGrid w:val="0"/>
        <w:spacing w:line="360" w:lineRule="auto"/>
        <w:ind w:firstLine="480" w:firstLineChars="200"/>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我公司参与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编号）投标，本公司郑重声明，我方参加本项目政府采购活动前三年内无重大违法记录，符合《政府采购法》规定的</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条件。若贵方在本项目采购过程中发现我方政府采购活动前三年内有重大违法记录，我公司将无条件退出本项目的投标，并承担因此引起的一切后果。我方对此声明负全部法律责任。</w:t>
      </w:r>
    </w:p>
    <w:p>
      <w:pPr>
        <w:pStyle w:val="40"/>
        <w:shd w:val="clear"/>
        <w:adjustRightInd w:val="0"/>
        <w:snapToGrid w:val="0"/>
        <w:spacing w:line="360" w:lineRule="auto"/>
        <w:ind w:firstLine="480" w:firstLineChars="200"/>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pPr>
        <w:pStyle w:val="40"/>
        <w:shd w:val="clear"/>
        <w:adjustRightInd w:val="0"/>
        <w:snapToGrid w:val="0"/>
        <w:spacing w:line="360" w:lineRule="auto"/>
        <w:outlineLvl w:val="9"/>
        <w:rPr>
          <w:rFonts w:hint="eastAsia" w:ascii="仿宋" w:hAnsi="仿宋" w:eastAsia="仿宋" w:cs="仿宋"/>
          <w:color w:val="000000" w:themeColor="text1"/>
          <w:sz w:val="24"/>
          <w:szCs w:val="24"/>
          <w:highlight w:val="none"/>
          <w14:textFill>
            <w14:solidFill>
              <w14:schemeClr w14:val="tx1"/>
            </w14:solidFill>
          </w14:textFill>
        </w:rPr>
      </w:pPr>
    </w:p>
    <w:p>
      <w:pPr>
        <w:pStyle w:val="40"/>
        <w:shd w:val="clear"/>
        <w:adjustRightInd w:val="0"/>
        <w:snapToGrid w:val="0"/>
        <w:spacing w:line="360" w:lineRule="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供应商（盖章）：</w:t>
      </w:r>
    </w:p>
    <w:p>
      <w:pPr>
        <w:pStyle w:val="40"/>
        <w:shd w:val="clear"/>
        <w:adjustRightInd w:val="0"/>
        <w:snapToGrid w:val="0"/>
        <w:spacing w:line="360" w:lineRule="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法定代表人或授权代理人（签字或盖章）：</w:t>
      </w:r>
    </w:p>
    <w:p>
      <w:pPr>
        <w:pStyle w:val="40"/>
        <w:shd w:val="clear"/>
        <w:adjustRightInd w:val="0"/>
        <w:snapToGrid w:val="0"/>
        <w:spacing w:line="360" w:lineRule="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sectPr>
          <w:footerReference r:id="rId7" w:type="default"/>
          <w:pgSz w:w="11906" w:h="16839"/>
          <w:pgMar w:top="1440" w:right="1800" w:bottom="1440" w:left="1800" w:header="862" w:footer="1068" w:gutter="0"/>
          <w:pgNumType w:fmt="decimal"/>
          <w:cols w:space="720" w:num="1"/>
        </w:sectPr>
      </w:pPr>
      <w:r>
        <w:rPr>
          <w:rFonts w:hint="eastAsia" w:ascii="仿宋" w:hAnsi="仿宋" w:eastAsia="仿宋" w:cs="仿宋"/>
          <w:color w:val="000000" w:themeColor="text1"/>
          <w:sz w:val="24"/>
          <w:szCs w:val="24"/>
          <w:highlight w:val="none"/>
          <w14:textFill>
            <w14:solidFill>
              <w14:schemeClr w14:val="tx1"/>
            </w14:solidFill>
          </w14:textFill>
        </w:rPr>
        <w:t xml:space="preserve">日期：  年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日</w:t>
      </w:r>
    </w:p>
    <w:bookmarkEnd w:id="398"/>
    <w:bookmarkEnd w:id="404"/>
    <w:bookmarkEnd w:id="405"/>
    <w:bookmarkEnd w:id="406"/>
    <w:bookmarkEnd w:id="407"/>
    <w:bookmarkEnd w:id="408"/>
    <w:bookmarkEnd w:id="409"/>
    <w:bookmarkEnd w:id="410"/>
    <w:p>
      <w:pPr>
        <w:keepNext/>
        <w:keepLines/>
        <w:spacing w:before="100" w:after="100"/>
        <w:ind w:left="420" w:hanging="420"/>
        <w:outlineLvl w:val="9"/>
        <w:rPr>
          <w:rFonts w:hint="eastAsia" w:ascii="仿宋" w:hAnsi="仿宋" w:eastAsia="仿宋" w:cs="仿宋"/>
          <w:b/>
          <w:bCs/>
          <w:color w:val="000000" w:themeColor="text1"/>
          <w:sz w:val="28"/>
          <w:szCs w:val="28"/>
          <w:highlight w:val="none"/>
          <w:lang w:val="zh-CN" w:eastAsia="zh-CN"/>
          <w14:textFill>
            <w14:solidFill>
              <w14:schemeClr w14:val="tx1"/>
            </w14:solidFill>
          </w14:textFill>
        </w:rPr>
      </w:pPr>
      <w:bookmarkStart w:id="411" w:name="_Toc163492942"/>
      <w:bookmarkStart w:id="412" w:name="_Toc15491"/>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bookmarkEnd w:id="411"/>
      <w:r>
        <w:rPr>
          <w:rFonts w:hint="eastAsia" w:ascii="仿宋" w:hAnsi="仿宋" w:eastAsia="仿宋" w:cs="仿宋"/>
          <w:b/>
          <w:bCs/>
          <w:color w:val="000000" w:themeColor="text1"/>
          <w:sz w:val="28"/>
          <w:szCs w:val="28"/>
          <w:highlight w:val="none"/>
          <w:lang w:val="zh-CN" w:eastAsia="zh-CN"/>
          <w14:textFill>
            <w14:solidFill>
              <w14:schemeClr w14:val="tx1"/>
            </w14:solidFill>
          </w14:textFill>
        </w:rPr>
        <w:t>其他资格证明文件</w:t>
      </w:r>
      <w:bookmarkEnd w:id="412"/>
    </w:p>
    <w:p>
      <w:pPr>
        <w:pStyle w:val="19"/>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投标人认为需提供的其它相关资格证明材料</w:t>
      </w:r>
    </w:p>
    <w:p>
      <w:pP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br w:type="page"/>
      </w:r>
    </w:p>
    <w:p>
      <w:pPr>
        <w:keepNext/>
        <w:keepLines/>
        <w:spacing w:before="100" w:after="100"/>
        <w:ind w:left="420" w:hanging="420"/>
        <w:outlineLvl w:val="9"/>
        <w:rPr>
          <w:rFonts w:ascii="仿宋" w:hAnsi="仿宋" w:eastAsia="仿宋" w:cs="仿宋"/>
          <w:b/>
          <w:bCs/>
          <w:color w:val="000000" w:themeColor="text1"/>
          <w:sz w:val="28"/>
          <w:szCs w:val="28"/>
          <w:highlight w:val="none"/>
          <w14:textFill>
            <w14:solidFill>
              <w14:schemeClr w14:val="tx1"/>
            </w14:solidFill>
          </w14:textFill>
        </w:rPr>
      </w:pPr>
      <w:bookmarkStart w:id="413" w:name="_Toc17480"/>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sz w:val="28"/>
          <w:szCs w:val="28"/>
          <w:highlight w:val="none"/>
          <w14:textFill>
            <w14:solidFill>
              <w14:schemeClr w14:val="tx1"/>
            </w14:solidFill>
          </w14:textFill>
        </w:rPr>
        <w:t>、不参与围标串标承诺书</w:t>
      </w:r>
      <w:bookmarkEnd w:id="413"/>
    </w:p>
    <w:p>
      <w:pPr>
        <w:keepNext/>
        <w:keepLines/>
        <w:spacing w:before="100" w:after="100" w:line="240" w:lineRule="auto"/>
        <w:ind w:left="420" w:hanging="420"/>
        <w:outlineLvl w:val="9"/>
        <w:rPr>
          <w:rFonts w:ascii="仿宋" w:hAnsi="仿宋" w:eastAsia="仿宋" w:cs="仿宋"/>
          <w:b/>
          <w:bCs/>
          <w:color w:val="000000" w:themeColor="text1"/>
          <w:sz w:val="32"/>
          <w:szCs w:val="32"/>
          <w:highlight w:val="none"/>
          <w14:textFill>
            <w14:solidFill>
              <w14:schemeClr w14:val="tx1"/>
            </w14:solidFill>
          </w14:textFill>
        </w:rPr>
      </w:pPr>
    </w:p>
    <w:p>
      <w:pPr>
        <w:jc w:val="center"/>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不参与围标串标承诺书</w:t>
      </w:r>
    </w:p>
    <w:p>
      <w:pPr>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本人作为经授权的投标人代表,清楚知晓我单位本项目投标活动,对以下事项作出承诺：</w:t>
      </w:r>
    </w:p>
    <w:p>
      <w:pPr>
        <w:ind w:firstLine="480" w:firstLineChars="200"/>
        <w:outlineLvl w:val="9"/>
        <w:rPr>
          <w:rFonts w:ascii="仿宋" w:hAnsi="仿宋" w:eastAsia="仿宋" w:cs="仿宋"/>
          <w:color w:val="000000" w:themeColor="text1"/>
          <w:highlight w:val="none"/>
          <w14:textFill>
            <w14:solidFill>
              <w14:schemeClr w14:val="tx1"/>
            </w14:solidFill>
          </w14:textFill>
        </w:rPr>
      </w:pP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一、我单位和我本人遵循公开透明、公平竞争、公正和诚实信用的原则,依法依规参与本项目竞标。</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二、我单位和我本人在本项目政府采购投标活动中,未参与围标串标。</w:t>
      </w:r>
    </w:p>
    <w:p>
      <w:pPr>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三、我单位如被查实在本项目政府采购投标活动中存在围标串标的，递交投标文件行为作为实施串通投标违法行为的关键环节,由我单位及法定代表人承担相应的法律责任，接受相应行政处罚和失信惩戒。</w:t>
      </w:r>
    </w:p>
    <w:p>
      <w:pPr>
        <w:pStyle w:val="2"/>
        <w:outlineLvl w:val="9"/>
        <w:rPr>
          <w:rFonts w:ascii="仿宋" w:hAnsi="仿宋" w:eastAsia="仿宋" w:cs="仿宋"/>
          <w:color w:val="000000" w:themeColor="text1"/>
          <w:highlight w:val="none"/>
          <w14:textFill>
            <w14:solidFill>
              <w14:schemeClr w14:val="tx1"/>
            </w14:solidFill>
          </w14:textFill>
        </w:rPr>
      </w:pPr>
    </w:p>
    <w:p>
      <w:pPr>
        <w:spacing w:line="560" w:lineRule="exact"/>
        <w:outlineLvl w:val="9"/>
        <w:rPr>
          <w:rFonts w:ascii="仿宋" w:hAnsi="仿宋" w:eastAsia="仿宋" w:cs="仿宋"/>
          <w:color w:val="000000" w:themeColor="text1"/>
          <w:kern w:val="0"/>
          <w:szCs w:val="24"/>
          <w:highlight w:val="none"/>
          <w14:textFill>
            <w14:solidFill>
              <w14:schemeClr w14:val="tx1"/>
            </w14:solidFill>
          </w14:textFill>
        </w:rPr>
      </w:pPr>
    </w:p>
    <w:p>
      <w:pPr>
        <w:spacing w:line="560" w:lineRule="exact"/>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w:t>
      </w:r>
    </w:p>
    <w:p>
      <w:pPr>
        <w:spacing w:line="560" w:lineRule="exact"/>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法定代表人（负责人或本人）或授权代表（签字或盖章）：</w:t>
      </w:r>
    </w:p>
    <w:p>
      <w:pPr>
        <w:spacing w:line="560" w:lineRule="exact"/>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日期： 年 月 日</w:t>
      </w:r>
    </w:p>
    <w:p>
      <w:pPr>
        <w:pStyle w:val="19"/>
        <w:outlineLvl w:val="9"/>
        <w:rPr>
          <w:rFonts w:ascii="仿宋" w:hAnsi="仿宋" w:eastAsia="仿宋" w:cs="仿宋"/>
          <w:color w:val="000000" w:themeColor="text1"/>
          <w:szCs w:val="24"/>
          <w:highlight w:val="none"/>
          <w14:textFill>
            <w14:solidFill>
              <w14:schemeClr w14:val="tx1"/>
            </w14:solidFill>
          </w14:textFill>
        </w:rPr>
      </w:pPr>
    </w:p>
    <w:p>
      <w:pPr>
        <w:outlineLvl w:val="9"/>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page"/>
      </w:r>
    </w:p>
    <w:p>
      <w:pPr>
        <w:pStyle w:val="42"/>
        <w:spacing w:line="360" w:lineRule="exact"/>
        <w:outlineLvl w:val="9"/>
        <w:rPr>
          <w:rFonts w:ascii="仿宋" w:hAnsi="仿宋" w:eastAsia="仿宋" w:cs="仿宋"/>
          <w:b/>
          <w:bCs/>
          <w:color w:val="000000" w:themeColor="text1"/>
          <w:highlight w:val="none"/>
          <w14:textFill>
            <w14:solidFill>
              <w14:schemeClr w14:val="tx1"/>
            </w14:solidFill>
          </w14:textFill>
        </w:rPr>
      </w:pPr>
    </w:p>
    <w:p>
      <w:pPr>
        <w:pStyle w:val="42"/>
        <w:spacing w:line="360" w:lineRule="exact"/>
        <w:outlineLvl w:val="9"/>
        <w:rPr>
          <w:rFonts w:ascii="仿宋" w:hAnsi="仿宋" w:eastAsia="仿宋" w:cs="仿宋"/>
          <w:b/>
          <w:bCs/>
          <w:color w:val="000000" w:themeColor="text1"/>
          <w:highlight w:val="none"/>
          <w14:textFill>
            <w14:solidFill>
              <w14:schemeClr w14:val="tx1"/>
            </w14:solidFill>
          </w14:textFill>
        </w:rPr>
      </w:pPr>
    </w:p>
    <w:p>
      <w:pPr>
        <w:pStyle w:val="42"/>
        <w:spacing w:line="360" w:lineRule="exact"/>
        <w:outlineLvl w:val="9"/>
        <w:rPr>
          <w:rFonts w:ascii="仿宋" w:hAnsi="仿宋" w:eastAsia="仿宋" w:cs="仿宋"/>
          <w:b/>
          <w:bCs/>
          <w:color w:val="000000" w:themeColor="text1"/>
          <w:highlight w:val="none"/>
          <w14:textFill>
            <w14:solidFill>
              <w14:schemeClr w14:val="tx1"/>
            </w14:solidFill>
          </w14:textFill>
        </w:rPr>
      </w:pPr>
    </w:p>
    <w:p>
      <w:pPr>
        <w:ind w:firstLine="480" w:firstLineChars="200"/>
        <w:outlineLvl w:val="9"/>
        <w:rPr>
          <w:rFonts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zh-CN"/>
          <w14:textFill>
            <w14:solidFill>
              <w14:schemeClr w14:val="tx1"/>
            </w14:solidFill>
          </w14:textFill>
        </w:rPr>
        <w:t>封面：</w:t>
      </w:r>
    </w:p>
    <w:p>
      <w:pPr>
        <w:autoSpaceDE w:val="0"/>
        <w:autoSpaceDN w:val="0"/>
        <w:adjustRightInd w:val="0"/>
        <w:outlineLvl w:val="9"/>
        <w:rPr>
          <w:rFonts w:ascii="仿宋" w:hAnsi="仿宋" w:eastAsia="仿宋" w:cs="仿宋"/>
          <w:color w:val="000000" w:themeColor="text1"/>
          <w:sz w:val="21"/>
          <w:szCs w:val="24"/>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4"/>
          <w:highlight w:val="none"/>
          <w14:textFill>
            <w14:solidFill>
              <w14:schemeClr w14:val="tx1"/>
            </w14:solidFill>
          </w14:textFill>
        </w:rPr>
      </w:pPr>
    </w:p>
    <w:p>
      <w:pPr>
        <w:autoSpaceDE w:val="0"/>
        <w:autoSpaceDN w:val="0"/>
        <w:adjustRightInd w:val="0"/>
        <w:jc w:val="center"/>
        <w:outlineLvl w:val="9"/>
        <w:rPr>
          <w:rFonts w:ascii="仿宋" w:hAnsi="仿宋" w:eastAsia="仿宋" w:cs="仿宋"/>
          <w:color w:val="000000" w:themeColor="text1"/>
          <w:sz w:val="21"/>
          <w:szCs w:val="24"/>
          <w:highlight w:val="none"/>
          <w14:textFill>
            <w14:solidFill>
              <w14:schemeClr w14:val="tx1"/>
            </w14:solidFill>
          </w14:textFill>
        </w:rPr>
      </w:pPr>
    </w:p>
    <w:p>
      <w:pPr>
        <w:autoSpaceDE w:val="0"/>
        <w:autoSpaceDN w:val="0"/>
        <w:adjustRightInd w:val="0"/>
        <w:jc w:val="center"/>
        <w:outlineLvl w:val="9"/>
        <w:rPr>
          <w:rFonts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投 标 文 件</w:t>
      </w:r>
    </w:p>
    <w:p>
      <w:pPr>
        <w:autoSpaceDE w:val="0"/>
        <w:autoSpaceDN w:val="0"/>
        <w:adjustRightInd w:val="0"/>
        <w:jc w:val="center"/>
        <w:outlineLvl w:val="9"/>
        <w:rPr>
          <w:rFonts w:ascii="仿宋" w:hAnsi="仿宋" w:eastAsia="仿宋" w:cs="仿宋"/>
          <w:b/>
          <w:color w:val="000000" w:themeColor="text1"/>
          <w:sz w:val="56"/>
          <w:szCs w:val="56"/>
          <w:highlight w:val="none"/>
          <w14:textFill>
            <w14:solidFill>
              <w14:schemeClr w14:val="tx1"/>
            </w14:solidFill>
          </w14:textFill>
        </w:rPr>
      </w:pPr>
      <w:r>
        <w:rPr>
          <w:rFonts w:hint="eastAsia" w:ascii="仿宋" w:hAnsi="仿宋" w:eastAsia="仿宋" w:cs="仿宋"/>
          <w:b/>
          <w:color w:val="000000" w:themeColor="text1"/>
          <w:sz w:val="56"/>
          <w:szCs w:val="56"/>
          <w:highlight w:val="none"/>
          <w14:textFill>
            <w14:solidFill>
              <w14:schemeClr w14:val="tx1"/>
            </w14:solidFill>
          </w14:textFill>
        </w:rPr>
        <w:t>报价文件</w:t>
      </w:r>
    </w:p>
    <w:p>
      <w:pPr>
        <w:outlineLvl w:val="9"/>
        <w:rPr>
          <w:rFonts w:ascii="仿宋" w:hAnsi="仿宋" w:eastAsia="仿宋" w:cs="仿宋"/>
          <w:color w:val="000000" w:themeColor="text1"/>
          <w:sz w:val="21"/>
          <w:szCs w:val="21"/>
          <w:highlight w:val="none"/>
          <w14:textFill>
            <w14:solidFill>
              <w14:schemeClr w14:val="tx1"/>
            </w14:solidFill>
          </w14:textFill>
        </w:rPr>
      </w:pPr>
    </w:p>
    <w:p>
      <w:pPr>
        <w:outlineLvl w:val="9"/>
        <w:rPr>
          <w:rFonts w:ascii="仿宋" w:hAnsi="仿宋" w:eastAsia="仿宋" w:cs="仿宋"/>
          <w:color w:val="000000" w:themeColor="text1"/>
          <w:sz w:val="21"/>
          <w:szCs w:val="21"/>
          <w:highlight w:val="none"/>
          <w14:textFill>
            <w14:solidFill>
              <w14:schemeClr w14:val="tx1"/>
            </w14:solidFill>
          </w14:textFill>
        </w:rPr>
      </w:pPr>
    </w:p>
    <w:p>
      <w:pPr>
        <w:outlineLvl w:val="9"/>
        <w:rPr>
          <w:rFonts w:ascii="仿宋" w:hAnsi="仿宋" w:eastAsia="仿宋" w:cs="仿宋"/>
          <w:color w:val="000000" w:themeColor="text1"/>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1"/>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1"/>
          <w:highlight w:val="none"/>
          <w14:textFill>
            <w14:solidFill>
              <w14:schemeClr w14:val="tx1"/>
            </w14:solidFill>
          </w14:textFill>
        </w:rPr>
      </w:pPr>
    </w:p>
    <w:p>
      <w:pPr>
        <w:ind w:left="420" w:leftChars="175"/>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项目</w:t>
      </w:r>
      <w:r>
        <w:rPr>
          <w:rFonts w:hint="eastAsia" w:ascii="仿宋" w:hAnsi="仿宋" w:eastAsia="仿宋" w:cs="仿宋"/>
          <w:color w:val="000000" w:themeColor="text1"/>
          <w:sz w:val="36"/>
          <w:szCs w:val="36"/>
          <w:highlight w:val="none"/>
          <w14:textFill>
            <w14:solidFill>
              <w14:schemeClr w14:val="tx1"/>
            </w14:solidFill>
          </w14:textFill>
        </w:rPr>
        <w:t>编号：</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20" w:leftChars="175"/>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项目名称：</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20" w:leftChars="175"/>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投 标 人：</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840" w:firstLine="420"/>
        <w:outlineLvl w:val="9"/>
        <w:rPr>
          <w:rFonts w:ascii="仿宋" w:hAnsi="仿宋" w:eastAsia="仿宋" w:cs="仿宋"/>
          <w:b/>
          <w:bCs/>
          <w:color w:val="000000" w:themeColor="text1"/>
          <w:sz w:val="28"/>
          <w:szCs w:val="28"/>
          <w:highlight w:val="none"/>
          <w14:textFill>
            <w14:solidFill>
              <w14:schemeClr w14:val="tx1"/>
            </w14:solidFill>
          </w14:textFill>
        </w:rPr>
      </w:pPr>
    </w:p>
    <w:p>
      <w:pPr>
        <w:ind w:left="840" w:firstLine="420"/>
        <w:outlineLvl w:val="9"/>
        <w:rPr>
          <w:rFonts w:ascii="仿宋" w:hAnsi="仿宋" w:eastAsia="仿宋" w:cs="仿宋"/>
          <w:b/>
          <w:bCs/>
          <w:color w:val="000000" w:themeColor="text1"/>
          <w:sz w:val="28"/>
          <w:szCs w:val="28"/>
          <w:highlight w:val="none"/>
          <w14:textFill>
            <w14:solidFill>
              <w14:schemeClr w14:val="tx1"/>
            </w14:solidFill>
          </w14:textFill>
        </w:rPr>
      </w:pPr>
    </w:p>
    <w:p>
      <w:pPr>
        <w:jc w:val="center"/>
        <w:outlineLvl w:val="9"/>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   月    日</w:t>
      </w:r>
    </w:p>
    <w:p>
      <w:pPr>
        <w:outlineLvl w:val="9"/>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bookmarkStart w:id="414" w:name="_Toc10253"/>
      <w:r>
        <w:rPr>
          <w:rFonts w:hint="eastAsia" w:ascii="仿宋" w:hAnsi="仿宋" w:eastAsia="仿宋" w:cs="仿宋"/>
          <w:b/>
          <w:bCs/>
          <w:color w:val="000000" w:themeColor="text1"/>
          <w:sz w:val="32"/>
          <w:szCs w:val="32"/>
          <w:highlight w:val="none"/>
          <w14:textFill>
            <w14:solidFill>
              <w14:schemeClr w14:val="tx1"/>
            </w14:solidFill>
          </w14:textFill>
        </w:rPr>
        <w:t>一、开标一览表</w:t>
      </w:r>
      <w:bookmarkEnd w:id="414"/>
    </w:p>
    <w:p>
      <w:pPr>
        <w:spacing w:line="300" w:lineRule="auto"/>
        <w:outlineLvl w:val="9"/>
        <w:rPr>
          <w:rFonts w:ascii="仿宋" w:hAnsi="仿宋" w:eastAsia="仿宋" w:cs="仿宋"/>
          <w:color w:val="000000" w:themeColor="text1"/>
          <w:szCs w:val="24"/>
          <w:highlight w:val="none"/>
          <w14:textFill>
            <w14:solidFill>
              <w14:schemeClr w14:val="tx1"/>
            </w14:solidFill>
          </w14:textFill>
        </w:rPr>
      </w:pPr>
    </w:p>
    <w:p>
      <w:pPr>
        <w:outlineLvl w:val="9"/>
        <w:rPr>
          <w:rFonts w:ascii="仿宋" w:hAnsi="仿宋" w:eastAsia="仿宋" w:cs="仿宋"/>
          <w:bCs/>
          <w:color w:val="000000" w:themeColor="text1"/>
          <w:szCs w:val="21"/>
          <w:highlight w:val="none"/>
          <w:lang w:val="zh-CN"/>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项目名称：</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p>
    <w:p>
      <w:pPr>
        <w:outlineLvl w:val="9"/>
        <w:rPr>
          <w:rFonts w:ascii="仿宋" w:hAnsi="仿宋" w:eastAsia="仿宋" w:cs="仿宋"/>
          <w:bCs/>
          <w:color w:val="000000" w:themeColor="text1"/>
          <w:szCs w:val="21"/>
          <w:highlight w:val="none"/>
          <w:u w:val="single"/>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项目编号：</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r>
        <w:rPr>
          <w:rFonts w:hint="eastAsia" w:ascii="仿宋" w:hAnsi="仿宋" w:eastAsia="仿宋" w:cs="仿宋"/>
          <w:bCs/>
          <w:color w:val="000000" w:themeColor="text1"/>
          <w:szCs w:val="21"/>
          <w:highlight w:val="none"/>
          <w:u w:val="single"/>
          <w14:textFill>
            <w14:solidFill>
              <w14:schemeClr w14:val="tx1"/>
            </w14:solidFill>
          </w14:textFill>
        </w:rPr>
        <w:t xml:space="preserve">     </w:t>
      </w:r>
    </w:p>
    <w:tbl>
      <w:tblPr>
        <w:tblStyle w:val="1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496"/>
        <w:gridCol w:w="3314"/>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73" w:type="dxa"/>
            <w:vAlign w:val="center"/>
          </w:tcPr>
          <w:p>
            <w:pPr>
              <w:widowControl/>
              <w:autoSpaceDE w:val="0"/>
              <w:autoSpaceDN w:val="0"/>
              <w:spacing w:line="240" w:lineRule="auto"/>
              <w:jc w:val="center"/>
              <w:textAlignment w:val="bottom"/>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序号</w:t>
            </w:r>
          </w:p>
        </w:tc>
        <w:tc>
          <w:tcPr>
            <w:tcW w:w="2496" w:type="dxa"/>
            <w:vAlign w:val="center"/>
          </w:tcPr>
          <w:p>
            <w:pPr>
              <w:widowControl/>
              <w:autoSpaceDE w:val="0"/>
              <w:autoSpaceDN w:val="0"/>
              <w:spacing w:line="240" w:lineRule="auto"/>
              <w:ind w:left="851" w:hanging="851"/>
              <w:jc w:val="center"/>
              <w:textAlignment w:val="bottom"/>
              <w:outlineLvl w:val="9"/>
              <w:rPr>
                <w:rFonts w:hint="eastAsia" w:ascii="仿宋" w:hAnsi="仿宋" w:eastAsia="仿宋" w:cs="仿宋"/>
                <w:color w:val="000000" w:themeColor="text1"/>
                <w:szCs w:val="24"/>
                <w:highlight w:val="none"/>
                <w:lang w:eastAsia="zh-CN"/>
                <w14:textFill>
                  <w14:solidFill>
                    <w14:schemeClr w14:val="tx1"/>
                  </w14:solidFill>
                </w14:textFill>
              </w:rPr>
            </w:pPr>
            <w:bookmarkStart w:id="415" w:name="OLE_LINK32"/>
            <w:r>
              <w:rPr>
                <w:rFonts w:hint="eastAsia" w:ascii="仿宋" w:hAnsi="仿宋" w:eastAsia="仿宋" w:cs="仿宋"/>
                <w:color w:val="000000" w:themeColor="text1"/>
                <w:szCs w:val="24"/>
                <w:highlight w:val="none"/>
                <w14:textFill>
                  <w14:solidFill>
                    <w14:schemeClr w14:val="tx1"/>
                  </w14:solidFill>
                </w14:textFill>
              </w:rPr>
              <w:t>投标报价</w:t>
            </w:r>
            <w:bookmarkEnd w:id="415"/>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元</w:t>
            </w:r>
            <w:r>
              <w:rPr>
                <w:rFonts w:hint="eastAsia" w:ascii="仿宋" w:hAnsi="仿宋" w:eastAsia="仿宋" w:cs="仿宋"/>
                <w:color w:val="000000" w:themeColor="text1"/>
                <w:szCs w:val="24"/>
                <w:highlight w:val="none"/>
                <w:lang w:eastAsia="zh-CN"/>
                <w14:textFill>
                  <w14:solidFill>
                    <w14:schemeClr w14:val="tx1"/>
                  </w14:solidFill>
                </w14:textFill>
              </w:rPr>
              <w:t>）</w:t>
            </w:r>
          </w:p>
        </w:tc>
        <w:tc>
          <w:tcPr>
            <w:tcW w:w="3314" w:type="dxa"/>
            <w:vAlign w:val="center"/>
          </w:tcPr>
          <w:p>
            <w:pPr>
              <w:widowControl/>
              <w:autoSpaceDE w:val="0"/>
              <w:autoSpaceDN w:val="0"/>
              <w:spacing w:line="240" w:lineRule="auto"/>
              <w:ind w:left="851" w:hanging="851"/>
              <w:jc w:val="center"/>
              <w:textAlignment w:val="bottom"/>
              <w:outlineLvl w:val="9"/>
              <w:rPr>
                <w:rFonts w:ascii="仿宋" w:hAnsi="仿宋" w:eastAsia="仿宋" w:cs="仿宋"/>
                <w:color w:val="000000" w:themeColor="text1"/>
                <w:szCs w:val="24"/>
                <w:highlight w:val="none"/>
                <w14:textFill>
                  <w14:solidFill>
                    <w14:schemeClr w14:val="tx1"/>
                  </w14:solidFill>
                </w14:textFill>
              </w:rPr>
            </w:pPr>
            <w:bookmarkStart w:id="416" w:name="OLE_LINK33"/>
            <w:r>
              <w:rPr>
                <w:rFonts w:hint="eastAsia" w:ascii="仿宋" w:hAnsi="仿宋" w:eastAsia="仿宋" w:cs="仿宋"/>
                <w:color w:val="000000" w:themeColor="text1"/>
                <w:szCs w:val="24"/>
                <w:highlight w:val="none"/>
                <w14:textFill>
                  <w14:solidFill>
                    <w14:schemeClr w14:val="tx1"/>
                  </w14:solidFill>
                </w14:textFill>
              </w:rPr>
              <w:t>交货期</w:t>
            </w:r>
            <w:bookmarkEnd w:id="416"/>
          </w:p>
        </w:tc>
        <w:tc>
          <w:tcPr>
            <w:tcW w:w="1844" w:type="dxa"/>
            <w:vAlign w:val="center"/>
          </w:tcPr>
          <w:p>
            <w:pPr>
              <w:widowControl/>
              <w:autoSpaceDE w:val="0"/>
              <w:autoSpaceDN w:val="0"/>
              <w:spacing w:line="240" w:lineRule="auto"/>
              <w:jc w:val="center"/>
              <w:textAlignment w:val="bottom"/>
              <w:outlineLvl w:val="9"/>
              <w:rPr>
                <w:rFonts w:ascii="仿宋" w:hAnsi="仿宋" w:eastAsia="仿宋" w:cs="仿宋"/>
                <w:color w:val="000000" w:themeColor="text1"/>
                <w:szCs w:val="24"/>
                <w:highlight w:val="none"/>
                <w14:textFill>
                  <w14:solidFill>
                    <w14:schemeClr w14:val="tx1"/>
                  </w14:solidFill>
                </w14:textFill>
              </w:rPr>
            </w:pPr>
            <w:bookmarkStart w:id="417" w:name="OLE_LINK34"/>
            <w:r>
              <w:rPr>
                <w:rFonts w:hint="eastAsia" w:ascii="仿宋" w:hAnsi="仿宋" w:eastAsia="仿宋" w:cs="仿宋"/>
                <w:color w:val="000000" w:themeColor="text1"/>
                <w:szCs w:val="24"/>
                <w:highlight w:val="none"/>
                <w14:textFill>
                  <w14:solidFill>
                    <w14:schemeClr w14:val="tx1"/>
                  </w14:solidFill>
                </w14:textFill>
              </w:rPr>
              <w:t>备注（如有）</w:t>
            </w:r>
            <w:bookmarkEnd w:id="4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73" w:type="dxa"/>
            <w:vAlign w:val="center"/>
          </w:tcPr>
          <w:p>
            <w:pPr>
              <w:widowControl/>
              <w:autoSpaceDE w:val="0"/>
              <w:autoSpaceDN w:val="0"/>
              <w:spacing w:line="240" w:lineRule="auto"/>
              <w:ind w:left="851" w:hanging="851"/>
              <w:jc w:val="center"/>
              <w:textAlignment w:val="bottom"/>
              <w:outlineLvl w:val="9"/>
              <w:rPr>
                <w:rFonts w:ascii="仿宋" w:hAnsi="仿宋" w:eastAsia="仿宋" w:cs="仿宋"/>
                <w:color w:val="000000" w:themeColor="text1"/>
                <w:szCs w:val="24"/>
                <w:highlight w:val="none"/>
                <w14:textFill>
                  <w14:solidFill>
                    <w14:schemeClr w14:val="tx1"/>
                  </w14:solidFill>
                </w14:textFill>
              </w:rPr>
            </w:pPr>
          </w:p>
        </w:tc>
        <w:tc>
          <w:tcPr>
            <w:tcW w:w="2496" w:type="dxa"/>
            <w:vAlign w:val="center"/>
          </w:tcPr>
          <w:p>
            <w:pPr>
              <w:widowControl/>
              <w:autoSpaceDE w:val="0"/>
              <w:autoSpaceDN w:val="0"/>
              <w:spacing w:line="240" w:lineRule="auto"/>
              <w:ind w:left="851" w:hanging="851"/>
              <w:jc w:val="both"/>
              <w:textAlignment w:val="bottom"/>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小写：</w:t>
            </w:r>
          </w:p>
          <w:p>
            <w:pPr>
              <w:widowControl/>
              <w:autoSpaceDE w:val="0"/>
              <w:autoSpaceDN w:val="0"/>
              <w:spacing w:line="240" w:lineRule="auto"/>
              <w:ind w:left="851" w:hanging="851"/>
              <w:jc w:val="both"/>
              <w:textAlignment w:val="bottom"/>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大写：</w:t>
            </w:r>
          </w:p>
        </w:tc>
        <w:tc>
          <w:tcPr>
            <w:tcW w:w="3314" w:type="dxa"/>
            <w:vAlign w:val="center"/>
          </w:tcPr>
          <w:p>
            <w:pPr>
              <w:widowControl/>
              <w:autoSpaceDE w:val="0"/>
              <w:autoSpaceDN w:val="0"/>
              <w:spacing w:line="240" w:lineRule="auto"/>
              <w:ind w:left="851" w:hanging="851"/>
              <w:jc w:val="center"/>
              <w:textAlignment w:val="bottom"/>
              <w:outlineLvl w:val="9"/>
              <w:rPr>
                <w:rFonts w:ascii="仿宋" w:hAnsi="仿宋" w:eastAsia="仿宋" w:cs="仿宋"/>
                <w:color w:val="000000" w:themeColor="text1"/>
                <w:szCs w:val="24"/>
                <w:highlight w:val="none"/>
                <w14:textFill>
                  <w14:solidFill>
                    <w14:schemeClr w14:val="tx1"/>
                  </w14:solidFill>
                </w14:textFill>
              </w:rPr>
            </w:pPr>
          </w:p>
        </w:tc>
        <w:tc>
          <w:tcPr>
            <w:tcW w:w="1844" w:type="dxa"/>
            <w:vAlign w:val="center"/>
          </w:tcPr>
          <w:p>
            <w:pPr>
              <w:widowControl/>
              <w:autoSpaceDE w:val="0"/>
              <w:autoSpaceDN w:val="0"/>
              <w:spacing w:line="240" w:lineRule="auto"/>
              <w:ind w:left="851" w:hanging="851"/>
              <w:jc w:val="center"/>
              <w:textAlignment w:val="bottom"/>
              <w:outlineLvl w:val="9"/>
              <w:rPr>
                <w:rFonts w:ascii="仿宋" w:hAnsi="仿宋" w:eastAsia="仿宋" w:cs="仿宋"/>
                <w:color w:val="000000" w:themeColor="text1"/>
                <w:szCs w:val="24"/>
                <w:highlight w:val="none"/>
                <w14:textFill>
                  <w14:solidFill>
                    <w14:schemeClr w14:val="tx1"/>
                  </w14:solidFill>
                </w14:textFill>
              </w:rPr>
            </w:pPr>
          </w:p>
        </w:tc>
      </w:tr>
    </w:tbl>
    <w:p>
      <w:pPr>
        <w:spacing w:line="300" w:lineRule="auto"/>
        <w:outlineLvl w:val="9"/>
        <w:rPr>
          <w:rFonts w:ascii="仿宋" w:hAnsi="仿宋" w:eastAsia="仿宋" w:cs="仿宋"/>
          <w:color w:val="000000" w:themeColor="text1"/>
          <w:szCs w:val="21"/>
          <w:highlight w:val="none"/>
          <w:u w:val="single"/>
          <w14:textFill>
            <w14:solidFill>
              <w14:schemeClr w14:val="tx1"/>
            </w14:solidFill>
          </w14:textFill>
        </w:rPr>
      </w:pPr>
    </w:p>
    <w:p>
      <w:pPr>
        <w:spacing w:line="300" w:lineRule="auto"/>
        <w:outlineLvl w:val="9"/>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p>
      <w:pPr>
        <w:spacing w:line="300" w:lineRule="auto"/>
        <w:outlineLvl w:val="9"/>
        <w:rPr>
          <w:rFonts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w:t>
      </w:r>
    </w:p>
    <w:p>
      <w:pPr>
        <w:outlineLvl w:val="9"/>
        <w:rPr>
          <w:rFonts w:ascii="仿宋" w:hAnsi="仿宋" w:eastAsia="仿宋" w:cs="仿宋"/>
          <w:color w:val="000000" w:themeColor="text1"/>
          <w:szCs w:val="24"/>
          <w:highlight w:val="none"/>
          <w14:textFill>
            <w14:solidFill>
              <w14:schemeClr w14:val="tx1"/>
            </w14:solidFill>
          </w14:textFill>
        </w:rPr>
      </w:pPr>
    </w:p>
    <w:p>
      <w:pPr>
        <w:outlineLvl w:val="9"/>
        <w:rPr>
          <w:rFonts w:hint="eastAsia" w:ascii="仿宋" w:hAnsi="仿宋" w:eastAsia="仿宋" w:cs="仿宋"/>
          <w:b/>
          <w:color w:val="000000" w:themeColor="text1"/>
          <w:sz w:val="21"/>
          <w:szCs w:val="21"/>
          <w:highlight w:val="none"/>
          <w14:textFill>
            <w14:solidFill>
              <w14:schemeClr w14:val="tx1"/>
            </w14:solidFill>
          </w14:textFill>
        </w:rPr>
      </w:pPr>
    </w:p>
    <w:p>
      <w:pPr>
        <w:outlineLvl w:val="9"/>
        <w:rPr>
          <w:rFonts w:hint="eastAsia" w:ascii="仿宋" w:hAnsi="仿宋" w:eastAsia="仿宋" w:cs="仿宋"/>
          <w:b/>
          <w:color w:val="000000" w:themeColor="text1"/>
          <w:sz w:val="21"/>
          <w:szCs w:val="21"/>
          <w:highlight w:val="none"/>
          <w14:textFill>
            <w14:solidFill>
              <w14:schemeClr w14:val="tx1"/>
            </w14:solidFill>
          </w14:textFill>
        </w:rPr>
      </w:pPr>
    </w:p>
    <w:p>
      <w:pPr>
        <w:outlineLvl w:val="9"/>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w:t>
      </w:r>
    </w:p>
    <w:p>
      <w:pPr>
        <w:ind w:firstLine="435"/>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1.此表用于开标唱标之用。</w:t>
      </w:r>
    </w:p>
    <w:p>
      <w:pPr>
        <w:ind w:firstLine="435"/>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2.表中投标报价即为优惠后报价，并作为评审及定标依据。任何有选择或有条件的投标报价，或者表中某一包填写多个报价，均为无效报价。</w:t>
      </w:r>
    </w:p>
    <w:p>
      <w:pPr>
        <w:pStyle w:val="2"/>
        <w:ind w:firstLine="420" w:firstLineChars="200"/>
        <w:outlineLvl w:val="9"/>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3.表中大写与小写不一致的，以大写为准。</w:t>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sectPr>
          <w:footerReference r:id="rId8" w:type="default"/>
          <w:pgSz w:w="11906" w:h="16838"/>
          <w:pgMar w:top="1440" w:right="1800" w:bottom="1440" w:left="1800" w:header="851" w:footer="992" w:gutter="0"/>
          <w:pgNumType w:fmt="decimal"/>
          <w:cols w:space="425" w:num="1"/>
          <w:docGrid w:type="lines" w:linePitch="312" w:charSpace="0"/>
        </w:sectPr>
      </w:pPr>
    </w:p>
    <w:p>
      <w:pPr>
        <w:keepNext/>
        <w:keepLines/>
        <w:spacing w:before="100" w:after="100"/>
        <w:ind w:left="420" w:hanging="420"/>
        <w:jc w:val="center"/>
        <w:outlineLvl w:val="9"/>
        <w:rPr>
          <w:rFonts w:hint="eastAsia" w:ascii="仿宋" w:hAnsi="仿宋" w:eastAsia="仿宋" w:cs="仿宋"/>
          <w:b/>
          <w:bCs/>
          <w:color w:val="000000" w:themeColor="text1"/>
          <w:sz w:val="32"/>
          <w:szCs w:val="32"/>
          <w:highlight w:val="none"/>
          <w14:textFill>
            <w14:solidFill>
              <w14:schemeClr w14:val="tx1"/>
            </w14:solidFill>
          </w14:textFill>
        </w:rPr>
      </w:pPr>
      <w:bookmarkStart w:id="418" w:name="_Toc26733"/>
    </w:p>
    <w:p>
      <w:pPr>
        <w:keepNext/>
        <w:keepLines/>
        <w:spacing w:before="100" w:after="100"/>
        <w:ind w:left="420" w:hanging="420"/>
        <w:jc w:val="center"/>
        <w:outlineLvl w:val="9"/>
        <w:rPr>
          <w:rFonts w:hint="eastAsia" w:ascii="仿宋" w:hAnsi="仿宋" w:eastAsia="仿宋" w:cs="仿宋"/>
          <w:b/>
          <w:bCs/>
          <w:color w:val="000000" w:themeColor="text1"/>
          <w:sz w:val="32"/>
          <w:szCs w:val="32"/>
          <w:highlight w:val="none"/>
          <w14:textFill>
            <w14:solidFill>
              <w14:schemeClr w14:val="tx1"/>
            </w14:solidFill>
          </w14:textFill>
        </w:rPr>
      </w:pPr>
    </w:p>
    <w:p>
      <w:pPr>
        <w:keepNext/>
        <w:keepLines/>
        <w:spacing w:before="100" w:after="100"/>
        <w:ind w:left="420" w:hanging="420"/>
        <w:jc w:val="center"/>
        <w:outlineLvl w:val="9"/>
        <w:rPr>
          <w:rFonts w:hint="eastAsia" w:ascii="仿宋" w:hAnsi="仿宋" w:eastAsia="仿宋" w:cs="仿宋"/>
          <w:b/>
          <w:bCs/>
          <w:color w:val="000000" w:themeColor="text1"/>
          <w:sz w:val="32"/>
          <w:szCs w:val="32"/>
          <w:highlight w:val="none"/>
          <w14:textFill>
            <w14:solidFill>
              <w14:schemeClr w14:val="tx1"/>
            </w14:solidFill>
          </w14:textFill>
        </w:rPr>
      </w:pPr>
    </w:p>
    <w:p>
      <w:pPr>
        <w:keepNext/>
        <w:keepLines/>
        <w:spacing w:before="100" w:after="100"/>
        <w:ind w:left="420" w:hanging="420"/>
        <w:jc w:val="center"/>
        <w:outlineLvl w:val="9"/>
        <w:rPr>
          <w:rFonts w:hint="eastAsia" w:ascii="仿宋" w:hAnsi="仿宋" w:eastAsia="仿宋" w:cs="仿宋"/>
          <w:b/>
          <w:bCs/>
          <w:color w:val="000000" w:themeColor="text1"/>
          <w:sz w:val="32"/>
          <w:szCs w:val="32"/>
          <w:highlight w:val="none"/>
          <w14:textFill>
            <w14:solidFill>
              <w14:schemeClr w14:val="tx1"/>
            </w14:solidFill>
          </w14:textFill>
        </w:rPr>
      </w:pPr>
    </w:p>
    <w:p>
      <w:pPr>
        <w:keepNext/>
        <w:keepLines/>
        <w:spacing w:before="100" w:after="100"/>
        <w:ind w:left="420" w:hanging="420"/>
        <w:jc w:val="center"/>
        <w:outlineLvl w:val="9"/>
        <w:rPr>
          <w:rFonts w:hint="eastAsia" w:ascii="仿宋" w:hAnsi="仿宋" w:eastAsia="仿宋" w:cs="仿宋"/>
          <w:b/>
          <w:bCs/>
          <w:color w:val="000000" w:themeColor="text1"/>
          <w:sz w:val="32"/>
          <w:szCs w:val="32"/>
          <w:highlight w:val="none"/>
          <w14:textFill>
            <w14:solidFill>
              <w14:schemeClr w14:val="tx1"/>
            </w14:solidFill>
          </w14:textFill>
        </w:rPr>
      </w:pPr>
    </w:p>
    <w:p>
      <w:pPr>
        <w:keepNext/>
        <w:keepLines/>
        <w:spacing w:before="100" w:after="100"/>
        <w:jc w:val="both"/>
        <w:outlineLvl w:val="9"/>
        <w:rPr>
          <w:rFonts w:hint="eastAsia" w:ascii="仿宋" w:hAnsi="仿宋" w:eastAsia="仿宋" w:cs="仿宋"/>
          <w:b/>
          <w:bCs/>
          <w:color w:val="000000" w:themeColor="text1"/>
          <w:sz w:val="32"/>
          <w:szCs w:val="32"/>
          <w:highlight w:val="none"/>
          <w14:textFill>
            <w14:solidFill>
              <w14:schemeClr w14:val="tx1"/>
            </w14:solidFill>
          </w14:textFill>
        </w:rPr>
      </w:pP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二、分项报价表</w:t>
      </w:r>
      <w:bookmarkEnd w:id="418"/>
    </w:p>
    <w:p>
      <w:pPr>
        <w:outlineLvl w:val="9"/>
        <w:rPr>
          <w:rFonts w:ascii="仿宋" w:hAnsi="仿宋" w:eastAsia="仿宋" w:cs="仿宋"/>
          <w:bCs/>
          <w:color w:val="000000" w:themeColor="text1"/>
          <w:szCs w:val="21"/>
          <w:highlight w:val="none"/>
          <w:lang w:val="zh-CN"/>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项目名称：</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r>
        <w:rPr>
          <w:rFonts w:hint="eastAsia" w:ascii="仿宋" w:hAnsi="仿宋" w:eastAsia="仿宋" w:cs="仿宋"/>
          <w:bCs/>
          <w:color w:val="000000" w:themeColor="text1"/>
          <w:szCs w:val="21"/>
          <w:highlight w:val="none"/>
          <w:u w:val="single"/>
          <w14:textFill>
            <w14:solidFill>
              <w14:schemeClr w14:val="tx1"/>
            </w14:solidFill>
          </w14:textFill>
        </w:rPr>
        <w:t xml:space="preserve">     </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p>
    <w:p>
      <w:pPr>
        <w:outlineLvl w:val="9"/>
        <w:rPr>
          <w:rFonts w:ascii="仿宋" w:hAnsi="仿宋" w:eastAsia="仿宋" w:cs="仿宋"/>
          <w:bCs/>
          <w:color w:val="000000" w:themeColor="text1"/>
          <w:szCs w:val="21"/>
          <w:highlight w:val="none"/>
          <w:u w:val="single"/>
          <w:lang w:val="zh-CN"/>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项目编号：</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p>
    <w:tbl>
      <w:tblPr>
        <w:tblStyle w:val="1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290"/>
        <w:gridCol w:w="861"/>
        <w:gridCol w:w="831"/>
        <w:gridCol w:w="552"/>
        <w:gridCol w:w="895"/>
        <w:gridCol w:w="997"/>
        <w:gridCol w:w="916"/>
        <w:gridCol w:w="7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70" w:type="dxa"/>
            <w:vAlign w:val="center"/>
          </w:tcPr>
          <w:p>
            <w:pPr>
              <w:spacing w:line="240" w:lineRule="auto"/>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序号</w:t>
            </w:r>
          </w:p>
        </w:tc>
        <w:tc>
          <w:tcPr>
            <w:tcW w:w="2290" w:type="dxa"/>
            <w:vAlign w:val="center"/>
          </w:tcPr>
          <w:p>
            <w:pPr>
              <w:spacing w:line="240" w:lineRule="auto"/>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分项名称</w:t>
            </w:r>
          </w:p>
        </w:tc>
        <w:tc>
          <w:tcPr>
            <w:tcW w:w="861" w:type="dxa"/>
            <w:vAlign w:val="center"/>
          </w:tcPr>
          <w:p>
            <w:pPr>
              <w:spacing w:line="240" w:lineRule="auto"/>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制造商</w:t>
            </w:r>
          </w:p>
        </w:tc>
        <w:tc>
          <w:tcPr>
            <w:tcW w:w="831" w:type="dxa"/>
            <w:vAlign w:val="center"/>
          </w:tcPr>
          <w:p>
            <w:pPr>
              <w:spacing w:line="240" w:lineRule="auto"/>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产地/国别</w:t>
            </w:r>
          </w:p>
        </w:tc>
        <w:tc>
          <w:tcPr>
            <w:tcW w:w="552" w:type="dxa"/>
            <w:vAlign w:val="center"/>
          </w:tcPr>
          <w:p>
            <w:pPr>
              <w:spacing w:line="240" w:lineRule="auto"/>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品牌</w:t>
            </w:r>
          </w:p>
        </w:tc>
        <w:tc>
          <w:tcPr>
            <w:tcW w:w="895" w:type="dxa"/>
            <w:vAlign w:val="center"/>
          </w:tcPr>
          <w:p>
            <w:pPr>
              <w:spacing w:line="240" w:lineRule="auto"/>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规格、型号</w:t>
            </w:r>
          </w:p>
        </w:tc>
        <w:tc>
          <w:tcPr>
            <w:tcW w:w="997" w:type="dxa"/>
            <w:vAlign w:val="center"/>
          </w:tcPr>
          <w:p>
            <w:pPr>
              <w:spacing w:line="240" w:lineRule="auto"/>
              <w:jc w:val="center"/>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单价</w:t>
            </w:r>
          </w:p>
          <w:p>
            <w:pPr>
              <w:spacing w:line="240" w:lineRule="auto"/>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（元）</w:t>
            </w:r>
          </w:p>
        </w:tc>
        <w:tc>
          <w:tcPr>
            <w:tcW w:w="916" w:type="dxa"/>
            <w:vAlign w:val="center"/>
          </w:tcPr>
          <w:p>
            <w:pPr>
              <w:spacing w:line="240" w:lineRule="auto"/>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数量</w:t>
            </w:r>
          </w:p>
        </w:tc>
        <w:tc>
          <w:tcPr>
            <w:tcW w:w="790" w:type="dxa"/>
            <w:vAlign w:val="center"/>
          </w:tcPr>
          <w:p>
            <w:pPr>
              <w:spacing w:line="240" w:lineRule="auto"/>
              <w:jc w:val="center"/>
              <w:outlineLvl w:val="9"/>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单位</w:t>
            </w:r>
          </w:p>
        </w:tc>
        <w:tc>
          <w:tcPr>
            <w:tcW w:w="993" w:type="dxa"/>
            <w:vAlign w:val="center"/>
          </w:tcPr>
          <w:p>
            <w:pPr>
              <w:spacing w:line="240" w:lineRule="auto"/>
              <w:jc w:val="center"/>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合价</w:t>
            </w:r>
          </w:p>
          <w:p>
            <w:pPr>
              <w:spacing w:line="240" w:lineRule="auto"/>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70" w:type="dxa"/>
            <w:vAlign w:val="center"/>
          </w:tcPr>
          <w:p>
            <w:pPr>
              <w:widowControl/>
              <w:jc w:val="center"/>
              <w:textAlignment w:val="center"/>
              <w:outlineLvl w:val="9"/>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1</w:t>
            </w:r>
          </w:p>
        </w:tc>
        <w:tc>
          <w:tcPr>
            <w:tcW w:w="2290" w:type="dxa"/>
            <w:vAlign w:val="center"/>
          </w:tcPr>
          <w:p>
            <w:pPr>
              <w:widowControl/>
              <w:jc w:val="center"/>
              <w:textAlignment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sz w:val="21"/>
                <w:szCs w:val="21"/>
              </w:rPr>
              <w:t>通用型普通车床</w:t>
            </w:r>
          </w:p>
        </w:tc>
        <w:tc>
          <w:tcPr>
            <w:tcW w:w="86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3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552"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95"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7"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16"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790"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70" w:type="dxa"/>
            <w:vAlign w:val="center"/>
          </w:tcPr>
          <w:p>
            <w:pPr>
              <w:widowControl/>
              <w:jc w:val="center"/>
              <w:textAlignment w:val="center"/>
              <w:outlineLvl w:val="9"/>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2</w:t>
            </w:r>
          </w:p>
        </w:tc>
        <w:tc>
          <w:tcPr>
            <w:tcW w:w="2290" w:type="dxa"/>
            <w:vAlign w:val="center"/>
          </w:tcPr>
          <w:p>
            <w:pPr>
              <w:widowControl/>
              <w:jc w:val="center"/>
              <w:textAlignment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sz w:val="21"/>
                <w:szCs w:val="21"/>
              </w:rPr>
              <w:t>通用型立铣床</w:t>
            </w:r>
          </w:p>
        </w:tc>
        <w:tc>
          <w:tcPr>
            <w:tcW w:w="86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3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552"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95"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7"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16"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790"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70" w:type="dxa"/>
            <w:vAlign w:val="center"/>
          </w:tcPr>
          <w:p>
            <w:pPr>
              <w:widowControl/>
              <w:jc w:val="center"/>
              <w:textAlignment w:val="center"/>
              <w:outlineLvl w:val="9"/>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3</w:t>
            </w:r>
          </w:p>
        </w:tc>
        <w:tc>
          <w:tcPr>
            <w:tcW w:w="2290" w:type="dxa"/>
            <w:vAlign w:val="center"/>
          </w:tcPr>
          <w:p>
            <w:pPr>
              <w:widowControl/>
              <w:jc w:val="center"/>
              <w:textAlignment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sz w:val="21"/>
                <w:szCs w:val="21"/>
              </w:rPr>
              <w:t>小型通用型磨床</w:t>
            </w:r>
          </w:p>
        </w:tc>
        <w:tc>
          <w:tcPr>
            <w:tcW w:w="86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3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552"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95"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7"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16"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790"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70" w:type="dxa"/>
            <w:vAlign w:val="center"/>
          </w:tcPr>
          <w:p>
            <w:pPr>
              <w:widowControl/>
              <w:jc w:val="center"/>
              <w:textAlignment w:val="center"/>
              <w:outlineLvl w:val="9"/>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4</w:t>
            </w:r>
          </w:p>
        </w:tc>
        <w:tc>
          <w:tcPr>
            <w:tcW w:w="2290" w:type="dxa"/>
            <w:vAlign w:val="center"/>
          </w:tcPr>
          <w:p>
            <w:pPr>
              <w:widowControl/>
              <w:jc w:val="center"/>
              <w:textAlignment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sz w:val="21"/>
                <w:szCs w:val="21"/>
              </w:rPr>
              <w:t>普通桌面型台钻</w:t>
            </w:r>
          </w:p>
        </w:tc>
        <w:tc>
          <w:tcPr>
            <w:tcW w:w="86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3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552"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95"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7"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16"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790"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70" w:type="dxa"/>
            <w:vAlign w:val="center"/>
          </w:tcPr>
          <w:p>
            <w:pPr>
              <w:jc w:val="center"/>
              <w:outlineLvl w:val="9"/>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5</w:t>
            </w:r>
          </w:p>
        </w:tc>
        <w:tc>
          <w:tcPr>
            <w:tcW w:w="2290" w:type="dxa"/>
            <w:vAlign w:val="center"/>
          </w:tcPr>
          <w:p>
            <w:pPr>
              <w:widowControl/>
              <w:jc w:val="center"/>
              <w:textAlignment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sz w:val="21"/>
                <w:szCs w:val="21"/>
              </w:rPr>
              <w:t>卧式数控机床</w:t>
            </w:r>
          </w:p>
        </w:tc>
        <w:tc>
          <w:tcPr>
            <w:tcW w:w="86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3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552"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95"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7"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16"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790"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70" w:type="dxa"/>
            <w:vAlign w:val="center"/>
          </w:tcPr>
          <w:p>
            <w:pPr>
              <w:jc w:val="center"/>
              <w:outlineLvl w:val="9"/>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6</w:t>
            </w:r>
          </w:p>
        </w:tc>
        <w:tc>
          <w:tcPr>
            <w:tcW w:w="2290" w:type="dxa"/>
            <w:vAlign w:val="center"/>
          </w:tcPr>
          <w:p>
            <w:pPr>
              <w:widowControl/>
              <w:jc w:val="center"/>
              <w:textAlignment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kern w:val="0"/>
                <w:sz w:val="21"/>
                <w:szCs w:val="21"/>
              </w:rPr>
              <w:t>立式铣削加工中心</w:t>
            </w:r>
          </w:p>
        </w:tc>
        <w:tc>
          <w:tcPr>
            <w:tcW w:w="86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3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552"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95"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7"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16"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790"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70" w:type="dxa"/>
            <w:vAlign w:val="center"/>
          </w:tcPr>
          <w:p>
            <w:pPr>
              <w:jc w:val="center"/>
              <w:outlineLvl w:val="9"/>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7</w:t>
            </w:r>
          </w:p>
        </w:tc>
        <w:tc>
          <w:tcPr>
            <w:tcW w:w="2290" w:type="dxa"/>
            <w:vAlign w:val="center"/>
          </w:tcPr>
          <w:p>
            <w:pPr>
              <w:widowControl/>
              <w:jc w:val="center"/>
              <w:textAlignment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auto"/>
                <w:kern w:val="0"/>
                <w:sz w:val="21"/>
                <w:szCs w:val="21"/>
                <w:lang w:bidi="ar"/>
              </w:rPr>
              <w:t>五轴联动车铣复合</w:t>
            </w:r>
          </w:p>
        </w:tc>
        <w:tc>
          <w:tcPr>
            <w:tcW w:w="86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3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552"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95"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7"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16"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790"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70" w:type="dxa"/>
            <w:vAlign w:val="center"/>
          </w:tcPr>
          <w:p>
            <w:pPr>
              <w:jc w:val="center"/>
              <w:outlineLvl w:val="9"/>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sz w:val="21"/>
                <w:szCs w:val="21"/>
              </w:rPr>
              <w:t>8</w:t>
            </w:r>
          </w:p>
        </w:tc>
        <w:tc>
          <w:tcPr>
            <w:tcW w:w="2290" w:type="dxa"/>
            <w:vAlign w:val="center"/>
          </w:tcPr>
          <w:p>
            <w:pPr>
              <w:widowControl/>
              <w:jc w:val="center"/>
              <w:textAlignment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sz w:val="21"/>
                <w:szCs w:val="21"/>
              </w:rPr>
              <w:t>3D打印加工设备</w:t>
            </w:r>
          </w:p>
        </w:tc>
        <w:tc>
          <w:tcPr>
            <w:tcW w:w="86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3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552"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95"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7"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16"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790"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70" w:type="dxa"/>
            <w:vAlign w:val="center"/>
          </w:tcPr>
          <w:p>
            <w:pPr>
              <w:jc w:val="center"/>
              <w:outlineLvl w:val="9"/>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sz w:val="21"/>
                <w:szCs w:val="21"/>
                <w:lang w:val="en-US" w:eastAsia="zh-CN"/>
              </w:rPr>
              <w:t>9</w:t>
            </w:r>
          </w:p>
        </w:tc>
        <w:tc>
          <w:tcPr>
            <w:tcW w:w="2290" w:type="dxa"/>
            <w:vAlign w:val="center"/>
          </w:tcPr>
          <w:p>
            <w:pPr>
              <w:widowControl/>
              <w:jc w:val="center"/>
              <w:textAlignment w:val="center"/>
              <w:outlineLvl w:val="9"/>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sz w:val="21"/>
                <w:szCs w:val="21"/>
              </w:rPr>
              <w:t>机械设计测绘装置</w:t>
            </w:r>
          </w:p>
        </w:tc>
        <w:tc>
          <w:tcPr>
            <w:tcW w:w="86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31"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552"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895"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7"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16"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790"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2" w:type="dxa"/>
            <w:gridSpan w:val="9"/>
            <w:vAlign w:val="center"/>
          </w:tcPr>
          <w:p>
            <w:pPr>
              <w:jc w:val="center"/>
              <w:outlineLvl w:val="9"/>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合计（元）：</w:t>
            </w:r>
          </w:p>
        </w:tc>
        <w:tc>
          <w:tcPr>
            <w:tcW w:w="993" w:type="dxa"/>
            <w:vAlign w:val="center"/>
          </w:tcPr>
          <w:p>
            <w:pPr>
              <w:jc w:val="center"/>
              <w:outlineLvl w:val="9"/>
              <w:rPr>
                <w:rFonts w:ascii="仿宋" w:hAnsi="仿宋" w:eastAsia="仿宋" w:cs="仿宋"/>
                <w:bCs/>
                <w:color w:val="000000" w:themeColor="text1"/>
                <w:sz w:val="21"/>
                <w:szCs w:val="21"/>
                <w:highlight w:val="none"/>
                <w:lang w:val="zh-CN"/>
                <w14:textFill>
                  <w14:solidFill>
                    <w14:schemeClr w14:val="tx1"/>
                  </w14:solidFill>
                </w14:textFill>
              </w:rPr>
            </w:pPr>
          </w:p>
        </w:tc>
      </w:tr>
    </w:tbl>
    <w:p>
      <w:pPr>
        <w:spacing w:line="300" w:lineRule="auto"/>
        <w:outlineLvl w:val="9"/>
        <w:rPr>
          <w:rFonts w:ascii="仿宋" w:hAnsi="仿宋" w:eastAsia="仿宋" w:cs="仿宋"/>
          <w:color w:val="000000" w:themeColor="text1"/>
          <w:szCs w:val="21"/>
          <w:highlight w:val="none"/>
          <w14:textFill>
            <w14:solidFill>
              <w14:schemeClr w14:val="tx1"/>
            </w14:solidFill>
          </w14:textFill>
        </w:rPr>
      </w:pPr>
    </w:p>
    <w:p>
      <w:pPr>
        <w:spacing w:line="300" w:lineRule="auto"/>
        <w:outlineLvl w:val="9"/>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p>
      <w:pPr>
        <w:spacing w:line="300" w:lineRule="auto"/>
        <w:outlineLvl w:val="9"/>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w:t>
      </w:r>
    </w:p>
    <w:p>
      <w:pP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w:t>
      </w:r>
      <w:r>
        <w:rPr>
          <w:rFonts w:hint="eastAsia" w:ascii="仿宋" w:hAnsi="仿宋" w:eastAsia="仿宋" w:cs="仿宋"/>
          <w:color w:val="000000" w:themeColor="text1"/>
          <w:sz w:val="21"/>
          <w:szCs w:val="21"/>
          <w:highlight w:val="none"/>
          <w14:textFill>
            <w14:solidFill>
              <w14:schemeClr w14:val="tx1"/>
            </w14:solidFill>
          </w14:textFill>
        </w:rPr>
        <w:t>1.按照本表填写的总价填写到“开标一览表”中对应的“投标报价”栏中。</w:t>
      </w:r>
    </w:p>
    <w:p>
      <w:pPr>
        <w:ind w:firstLine="420" w:firstLineChars="20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表中所列货物为对应本项目需求的全部货物及所需附件购置费、包装费、运输费、人工费、保险费、安装调试费、各种税费、资料费、售后服务费及完成项目应有的全部费用。如有漏项或缺项，投标人承担全部责任。</w:t>
      </w:r>
    </w:p>
    <w:p>
      <w:pPr>
        <w:ind w:firstLine="420" w:firstLineChars="200"/>
        <w:jc w:val="both"/>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3.表中须明确列出所投产品的分项名称、制造商、</w:t>
      </w:r>
      <w:r>
        <w:rPr>
          <w:rFonts w:hint="eastAsia" w:ascii="仿宋" w:hAnsi="仿宋" w:eastAsia="仿宋" w:cs="仿宋"/>
          <w:bCs/>
          <w:color w:val="000000" w:themeColor="text1"/>
          <w:sz w:val="21"/>
          <w:szCs w:val="21"/>
          <w:highlight w:val="none"/>
          <w14:textFill>
            <w14:solidFill>
              <w14:schemeClr w14:val="tx1"/>
            </w14:solidFill>
          </w14:textFill>
        </w:rPr>
        <w:t>产地/国别、</w:t>
      </w:r>
      <w:r>
        <w:rPr>
          <w:rFonts w:hint="eastAsia" w:ascii="仿宋" w:hAnsi="仿宋" w:eastAsia="仿宋" w:cs="仿宋"/>
          <w:color w:val="000000" w:themeColor="text1"/>
          <w:sz w:val="21"/>
          <w:szCs w:val="21"/>
          <w:highlight w:val="none"/>
          <w14:textFill>
            <w14:solidFill>
              <w14:schemeClr w14:val="tx1"/>
            </w14:solidFill>
          </w14:textFill>
        </w:rPr>
        <w:t>品牌、规格、型号、单价、数量、</w:t>
      </w:r>
      <w:r>
        <w:rPr>
          <w:rFonts w:hint="eastAsia" w:ascii="仿宋" w:hAnsi="仿宋" w:eastAsia="仿宋" w:cs="仿宋"/>
          <w:color w:val="000000" w:themeColor="text1"/>
          <w:sz w:val="21"/>
          <w:szCs w:val="21"/>
          <w:highlight w:val="none"/>
          <w:lang w:val="en-US" w:eastAsia="zh-CN"/>
          <w14:textFill>
            <w14:solidFill>
              <w14:schemeClr w14:val="tx1"/>
            </w14:solidFill>
          </w14:textFill>
        </w:rPr>
        <w:t>单位、</w:t>
      </w:r>
      <w:r>
        <w:rPr>
          <w:rFonts w:hint="eastAsia" w:ascii="仿宋" w:hAnsi="仿宋" w:eastAsia="仿宋" w:cs="仿宋"/>
          <w:color w:val="000000" w:themeColor="text1"/>
          <w:sz w:val="21"/>
          <w:szCs w:val="21"/>
          <w:highlight w:val="none"/>
          <w14:textFill>
            <w14:solidFill>
              <w14:schemeClr w14:val="tx1"/>
            </w14:solidFill>
          </w14:textFill>
        </w:rPr>
        <w:t>合价等，否则可能导致</w:t>
      </w:r>
      <w:r>
        <w:rPr>
          <w:rFonts w:hint="eastAsia" w:ascii="仿宋" w:hAnsi="仿宋" w:eastAsia="仿宋" w:cs="仿宋"/>
          <w:b/>
          <w:bCs/>
          <w:color w:val="000000" w:themeColor="text1"/>
          <w:sz w:val="21"/>
          <w:szCs w:val="21"/>
          <w:highlight w:val="none"/>
          <w14:textFill>
            <w14:solidFill>
              <w14:schemeClr w14:val="tx1"/>
            </w14:solidFill>
          </w14:textFill>
        </w:rPr>
        <w:t>响应无效</w:t>
      </w:r>
      <w:r>
        <w:rPr>
          <w:rFonts w:hint="eastAsia" w:ascii="仿宋" w:hAnsi="仿宋" w:eastAsia="仿宋" w:cs="仿宋"/>
          <w:color w:val="000000" w:themeColor="text1"/>
          <w:sz w:val="21"/>
          <w:szCs w:val="21"/>
          <w:highlight w:val="none"/>
          <w14:textFill>
            <w14:solidFill>
              <w14:schemeClr w14:val="tx1"/>
            </w14:solidFill>
          </w14:textFill>
        </w:rPr>
        <w:t>。</w:t>
      </w:r>
    </w:p>
    <w:p>
      <w:pPr>
        <w:outlineLvl w:val="9"/>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pPr>
      <w:bookmarkStart w:id="419" w:name="_Toc8737"/>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br w:type="page"/>
      </w:r>
    </w:p>
    <w:p>
      <w:pPr>
        <w:keepNext/>
        <w:keepLines/>
        <w:spacing w:before="100" w:after="100"/>
        <w:ind w:left="420" w:hanging="420"/>
        <w:jc w:val="center"/>
        <w:outlineLvl w:val="9"/>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三、关于符合本国产品标准的声明函或财政部规定的其他</w:t>
      </w:r>
      <w:bookmarkEnd w:id="419"/>
    </w:p>
    <w:p>
      <w:pPr>
        <w:keepNext/>
        <w:keepLines/>
        <w:spacing w:before="100" w:after="100"/>
        <w:ind w:left="420" w:hanging="420"/>
        <w:jc w:val="center"/>
        <w:outlineLvl w:val="9"/>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420" w:name="_Toc14371"/>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证明文件</w:t>
      </w:r>
      <w:bookmarkEnd w:id="420"/>
    </w:p>
    <w:p>
      <w:pPr>
        <w:outlineLvl w:val="9"/>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t>附件1</w:t>
      </w:r>
    </w:p>
    <w:p>
      <w:pPr>
        <w:keepNext w:val="0"/>
        <w:keepLines w:val="0"/>
        <w:widowControl/>
        <w:suppressLineNumbers w:val="0"/>
        <w:ind w:firstLine="482" w:firstLineChars="200"/>
        <w:jc w:val="center"/>
        <w:outlineLvl w:val="9"/>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（一）关于符合本国产品标准的声明函</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1，生产厂为</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（厂名）</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2，厂址为</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（生产厂址）</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的中国境内生产的组件成本占比≥</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（规定比例）</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3。</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（关键组件）</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4在中国境内生产。</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（关键工序）</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5在中国境内完成。</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本公司（单位）对上述声明内容的真实性负责。如有虚假，愿承担相应法律责任。</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公司（单位）名称（盖章）：</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日期：  年  月  日</w:t>
      </w:r>
    </w:p>
    <w:p>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注：</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1.产品如有型号，请在“产品名称”栏一并填写。</w:t>
      </w:r>
    </w:p>
    <w:p>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2.生产厂名与厂址应与生产厂营业执照载明的相关信息保持一致。</w:t>
      </w:r>
    </w:p>
    <w:p>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3.该产品的中国境内生产的组件成本占比相关要求实施前，“规定比例”栏可不填，下同。</w:t>
      </w:r>
    </w:p>
    <w:p>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4.该产品的关键组件要求实施前，“关键组件”栏可不填，下同。</w:t>
      </w:r>
    </w:p>
    <w:p>
      <w:pPr>
        <w:keepNext w:val="0"/>
        <w:keepLines w:val="0"/>
        <w:widowControl/>
        <w:suppressLineNumbers w:val="0"/>
        <w:ind w:firstLine="420" w:firstLineChars="200"/>
        <w:jc w:val="left"/>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5.该产品的关键工序要求实施前，“关键工序”栏可不填，下同。</w:t>
      </w:r>
    </w:p>
    <w:p>
      <w:pPr>
        <w:outlineLvl w:val="9"/>
        <w:rPr>
          <w:rFonts w:hint="eastAsia" w:ascii="仿宋" w:hAnsi="仿宋" w:eastAsia="仿宋" w:cs="仿宋"/>
          <w:b w:val="0"/>
          <w:bCs w:val="0"/>
          <w:i w:val="0"/>
          <w:i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1"/>
          <w:szCs w:val="21"/>
          <w:highlight w:val="none"/>
          <w:lang w:val="en-US" w:eastAsia="zh-CN" w:bidi="ar"/>
          <w14:textFill>
            <w14:solidFill>
              <w14:schemeClr w14:val="tx1"/>
            </w14:solidFill>
          </w14:textFill>
        </w:rPr>
        <w:br w:type="page"/>
      </w:r>
    </w:p>
    <w:p>
      <w:pPr>
        <w:outlineLvl w:val="9"/>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t>附件2</w:t>
      </w:r>
    </w:p>
    <w:p>
      <w:pPr>
        <w:jc w:val="center"/>
        <w:outlineLvl w:val="9"/>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（二）本国产品成本占比承诺函</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致:[采购人/采购代理机构名称]</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本单位就参与[项目名称</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编号</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]政府采购项目，郑重承诺如下:</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本单位为该项目(或采购包)提供的符合本国产品标准的产品成本之和，占所提供全部产品成本之和的比例为</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%。本承诺内容真实有效，若存在虚假承诺，愿意承担相应法律责任，放弃中标(成交)资格，并接受政府采购监管部门处罚。</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承诺人(供应商公章):</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法定代表人或授权代表签字:</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日期:  年  月  日</w:t>
      </w: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ind w:firstLine="420" w:firstLineChars="200"/>
        <w:jc w:val="both"/>
        <w:outlineLvl w:val="9"/>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pPr>
        <w:keepNext w:val="0"/>
        <w:keepLines w:val="0"/>
        <w:widowControl/>
        <w:suppressLineNumbers w:val="0"/>
        <w:jc w:val="both"/>
        <w:outlineLvl w:val="9"/>
        <w:rPr>
          <w:rFonts w:hint="eastAsia" w:ascii="仿宋" w:hAnsi="仿宋" w:eastAsia="仿宋" w:cs="仿宋"/>
          <w:strike w:val="0"/>
          <w:dstrike w:val="0"/>
          <w:color w:val="000000" w:themeColor="text1"/>
          <w:kern w:val="0"/>
          <w:sz w:val="21"/>
          <w:szCs w:val="21"/>
          <w:highlight w:val="none"/>
          <w:lang w:val="en-US" w:eastAsia="zh-CN" w:bidi="ar"/>
          <w14:textFill>
            <w14:solidFill>
              <w14:schemeClr w14:val="tx1"/>
            </w14:solidFill>
          </w14:textFill>
        </w:rPr>
        <w:sectPr>
          <w:type w:val="continuous"/>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仿宋" w:hAnsi="仿宋" w:eastAsia="仿宋" w:cs="仿宋"/>
          <w:b/>
          <w:bCs/>
          <w:strike w:val="0"/>
          <w:dstrike w:val="0"/>
          <w:color w:val="000000" w:themeColor="text1"/>
          <w:kern w:val="0"/>
          <w:sz w:val="21"/>
          <w:szCs w:val="21"/>
          <w:highlight w:val="none"/>
          <w:lang w:val="en-US" w:eastAsia="zh-CN" w:bidi="ar"/>
          <w14:textFill>
            <w14:solidFill>
              <w14:schemeClr w14:val="tx1"/>
            </w14:solidFill>
          </w14:textFill>
        </w:rPr>
        <w:t>注：</w:t>
      </w:r>
      <w:r>
        <w:rPr>
          <w:rFonts w:hint="eastAsia" w:ascii="仿宋" w:hAnsi="仿宋" w:eastAsia="仿宋" w:cs="仿宋"/>
          <w:strike w:val="0"/>
          <w:dstrike w:val="0"/>
          <w:color w:val="000000" w:themeColor="text1"/>
          <w:kern w:val="0"/>
          <w:sz w:val="21"/>
          <w:szCs w:val="21"/>
          <w:highlight w:val="none"/>
          <w:lang w:val="en-US" w:eastAsia="zh-CN" w:bidi="ar"/>
          <w14:textFill>
            <w14:solidFill>
              <w14:schemeClr w14:val="tx1"/>
            </w14:solidFill>
          </w14:textFill>
        </w:rPr>
        <w:t>若供应商所投产品均符合本国产品标准，且已提供《声明函》，可不填写《承诺函》</w:t>
      </w:r>
    </w:p>
    <w:p>
      <w:pPr>
        <w:outlineLvl w:val="9"/>
        <w:rPr>
          <w:rFonts w:ascii="仿宋" w:hAnsi="仿宋" w:eastAsia="仿宋" w:cs="仿宋"/>
          <w:color w:val="000000" w:themeColor="text1"/>
          <w:sz w:val="21"/>
          <w:szCs w:val="21"/>
          <w:highlight w:val="none"/>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outlineLvl w:val="9"/>
        <w:rPr>
          <w:rFonts w:ascii="仿宋" w:hAnsi="仿宋" w:eastAsia="仿宋" w:cs="仿宋"/>
          <w:color w:val="000000" w:themeColor="text1"/>
          <w:sz w:val="21"/>
          <w:szCs w:val="21"/>
          <w:highlight w:val="none"/>
          <w14:textFill>
            <w14:solidFill>
              <w14:schemeClr w14:val="tx1"/>
            </w14:solidFill>
          </w14:textFill>
        </w:rPr>
      </w:pPr>
    </w:p>
    <w:p>
      <w:pPr>
        <w:widowControl/>
        <w:outlineLvl w:val="9"/>
        <w:rPr>
          <w:rFonts w:ascii="仿宋" w:hAnsi="仿宋" w:eastAsia="仿宋" w:cs="仿宋"/>
          <w:b/>
          <w:bCs/>
          <w:color w:val="000000" w:themeColor="text1"/>
          <w:kern w:val="0"/>
          <w:sz w:val="21"/>
          <w:szCs w:val="21"/>
          <w:highlight w:val="none"/>
          <w:lang w:bidi="ar"/>
          <w14:textFill>
            <w14:solidFill>
              <w14:schemeClr w14:val="tx1"/>
            </w14:solidFill>
          </w14:textFill>
        </w:rPr>
      </w:pPr>
    </w:p>
    <w:p>
      <w:pPr>
        <w:pStyle w:val="42"/>
        <w:spacing w:line="360" w:lineRule="exact"/>
        <w:outlineLvl w:val="9"/>
        <w:rPr>
          <w:rFonts w:ascii="仿宋" w:hAnsi="仿宋" w:eastAsia="仿宋" w:cs="仿宋"/>
          <w:b/>
          <w:bCs/>
          <w:color w:val="000000" w:themeColor="text1"/>
          <w:highlight w:val="none"/>
          <w14:textFill>
            <w14:solidFill>
              <w14:schemeClr w14:val="tx1"/>
            </w14:solidFill>
          </w14:textFill>
        </w:rPr>
      </w:pPr>
    </w:p>
    <w:p>
      <w:pPr>
        <w:pStyle w:val="42"/>
        <w:spacing w:line="360" w:lineRule="exact"/>
        <w:outlineLvl w:val="9"/>
        <w:rPr>
          <w:rFonts w:ascii="仿宋" w:hAnsi="仿宋" w:eastAsia="仿宋" w:cs="仿宋"/>
          <w:b/>
          <w:bCs/>
          <w:color w:val="000000" w:themeColor="text1"/>
          <w:highlight w:val="none"/>
          <w14:textFill>
            <w14:solidFill>
              <w14:schemeClr w14:val="tx1"/>
            </w14:solidFill>
          </w14:textFill>
        </w:rPr>
      </w:pPr>
    </w:p>
    <w:p>
      <w:pPr>
        <w:outlineLvl w:val="9"/>
        <w:rPr>
          <w:rFonts w:hint="eastAsia"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zh-CN"/>
          <w14:textFill>
            <w14:solidFill>
              <w14:schemeClr w14:val="tx1"/>
            </w14:solidFill>
          </w14:textFill>
        </w:rPr>
        <w:br w:type="page"/>
      </w:r>
    </w:p>
    <w:p>
      <w:pPr>
        <w:ind w:firstLine="480" w:firstLineChars="200"/>
        <w:outlineLvl w:val="9"/>
        <w:rPr>
          <w:rFonts w:hint="eastAsia" w:ascii="仿宋" w:hAnsi="仿宋" w:eastAsia="仿宋" w:cs="仿宋"/>
          <w:color w:val="000000" w:themeColor="text1"/>
          <w:szCs w:val="24"/>
          <w:highlight w:val="none"/>
          <w:lang w:val="zh-CN"/>
          <w14:textFill>
            <w14:solidFill>
              <w14:schemeClr w14:val="tx1"/>
            </w14:solidFill>
          </w14:textFill>
        </w:rPr>
      </w:pPr>
    </w:p>
    <w:p>
      <w:pPr>
        <w:ind w:firstLine="480" w:firstLineChars="200"/>
        <w:outlineLvl w:val="9"/>
        <w:rPr>
          <w:rFonts w:hint="eastAsia" w:ascii="仿宋" w:hAnsi="仿宋" w:eastAsia="仿宋" w:cs="仿宋"/>
          <w:color w:val="000000" w:themeColor="text1"/>
          <w:szCs w:val="24"/>
          <w:highlight w:val="none"/>
          <w:lang w:val="zh-CN"/>
          <w14:textFill>
            <w14:solidFill>
              <w14:schemeClr w14:val="tx1"/>
            </w14:solidFill>
          </w14:textFill>
        </w:rPr>
      </w:pPr>
    </w:p>
    <w:p>
      <w:pPr>
        <w:ind w:firstLine="480" w:firstLineChars="200"/>
        <w:outlineLvl w:val="9"/>
        <w:rPr>
          <w:rFonts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zh-CN"/>
          <w14:textFill>
            <w14:solidFill>
              <w14:schemeClr w14:val="tx1"/>
            </w14:solidFill>
          </w14:textFill>
        </w:rPr>
        <w:t>封面：</w:t>
      </w:r>
    </w:p>
    <w:p>
      <w:pPr>
        <w:autoSpaceDE w:val="0"/>
        <w:autoSpaceDN w:val="0"/>
        <w:adjustRightInd w:val="0"/>
        <w:outlineLvl w:val="9"/>
        <w:rPr>
          <w:rFonts w:ascii="仿宋" w:hAnsi="仿宋" w:eastAsia="仿宋" w:cs="仿宋"/>
          <w:color w:val="000000" w:themeColor="text1"/>
          <w:sz w:val="21"/>
          <w:szCs w:val="24"/>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4"/>
          <w:highlight w:val="none"/>
          <w14:textFill>
            <w14:solidFill>
              <w14:schemeClr w14:val="tx1"/>
            </w14:solidFill>
          </w14:textFill>
        </w:rPr>
      </w:pPr>
    </w:p>
    <w:p>
      <w:pPr>
        <w:autoSpaceDE w:val="0"/>
        <w:autoSpaceDN w:val="0"/>
        <w:adjustRightInd w:val="0"/>
        <w:jc w:val="center"/>
        <w:outlineLvl w:val="9"/>
        <w:rPr>
          <w:rFonts w:ascii="仿宋" w:hAnsi="仿宋" w:eastAsia="仿宋" w:cs="仿宋"/>
          <w:color w:val="000000" w:themeColor="text1"/>
          <w:sz w:val="21"/>
          <w:szCs w:val="24"/>
          <w:highlight w:val="none"/>
          <w14:textFill>
            <w14:solidFill>
              <w14:schemeClr w14:val="tx1"/>
            </w14:solidFill>
          </w14:textFill>
        </w:rPr>
      </w:pPr>
    </w:p>
    <w:p>
      <w:pPr>
        <w:autoSpaceDE w:val="0"/>
        <w:autoSpaceDN w:val="0"/>
        <w:adjustRightInd w:val="0"/>
        <w:jc w:val="center"/>
        <w:outlineLvl w:val="9"/>
        <w:rPr>
          <w:rFonts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投 标 文 件</w:t>
      </w:r>
    </w:p>
    <w:p>
      <w:pPr>
        <w:autoSpaceDE w:val="0"/>
        <w:autoSpaceDN w:val="0"/>
        <w:adjustRightInd w:val="0"/>
        <w:jc w:val="center"/>
        <w:outlineLvl w:val="9"/>
        <w:rPr>
          <w:rFonts w:ascii="仿宋" w:hAnsi="仿宋" w:eastAsia="仿宋" w:cs="仿宋"/>
          <w:b/>
          <w:color w:val="000000" w:themeColor="text1"/>
          <w:sz w:val="56"/>
          <w:szCs w:val="56"/>
          <w:highlight w:val="none"/>
          <w14:textFill>
            <w14:solidFill>
              <w14:schemeClr w14:val="tx1"/>
            </w14:solidFill>
          </w14:textFill>
        </w:rPr>
      </w:pPr>
      <w:r>
        <w:rPr>
          <w:rFonts w:hint="eastAsia" w:ascii="仿宋" w:hAnsi="仿宋" w:eastAsia="仿宋" w:cs="仿宋"/>
          <w:b/>
          <w:color w:val="000000" w:themeColor="text1"/>
          <w:sz w:val="56"/>
          <w:szCs w:val="56"/>
          <w:highlight w:val="none"/>
          <w14:textFill>
            <w14:solidFill>
              <w14:schemeClr w14:val="tx1"/>
            </w14:solidFill>
          </w14:textFill>
        </w:rPr>
        <w:t>商务技术文件</w:t>
      </w:r>
    </w:p>
    <w:p>
      <w:pPr>
        <w:outlineLvl w:val="9"/>
        <w:rPr>
          <w:rFonts w:ascii="仿宋" w:hAnsi="仿宋" w:eastAsia="仿宋" w:cs="仿宋"/>
          <w:color w:val="000000" w:themeColor="text1"/>
          <w:sz w:val="21"/>
          <w:szCs w:val="21"/>
          <w:highlight w:val="none"/>
          <w14:textFill>
            <w14:solidFill>
              <w14:schemeClr w14:val="tx1"/>
            </w14:solidFill>
          </w14:textFill>
        </w:rPr>
      </w:pPr>
    </w:p>
    <w:p>
      <w:pPr>
        <w:outlineLvl w:val="9"/>
        <w:rPr>
          <w:rFonts w:ascii="仿宋" w:hAnsi="仿宋" w:eastAsia="仿宋" w:cs="仿宋"/>
          <w:color w:val="000000" w:themeColor="text1"/>
          <w:sz w:val="21"/>
          <w:szCs w:val="21"/>
          <w:highlight w:val="none"/>
          <w14:textFill>
            <w14:solidFill>
              <w14:schemeClr w14:val="tx1"/>
            </w14:solidFill>
          </w14:textFill>
        </w:rPr>
      </w:pPr>
    </w:p>
    <w:p>
      <w:pPr>
        <w:outlineLvl w:val="9"/>
        <w:rPr>
          <w:rFonts w:ascii="仿宋" w:hAnsi="仿宋" w:eastAsia="仿宋" w:cs="仿宋"/>
          <w:color w:val="000000" w:themeColor="text1"/>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1"/>
          <w:highlight w:val="none"/>
          <w14:textFill>
            <w14:solidFill>
              <w14:schemeClr w14:val="tx1"/>
            </w14:solidFill>
          </w14:textFill>
        </w:rPr>
      </w:pPr>
    </w:p>
    <w:p>
      <w:pPr>
        <w:autoSpaceDE w:val="0"/>
        <w:autoSpaceDN w:val="0"/>
        <w:adjustRightInd w:val="0"/>
        <w:outlineLvl w:val="9"/>
        <w:rPr>
          <w:rFonts w:ascii="仿宋" w:hAnsi="仿宋" w:eastAsia="仿宋" w:cs="仿宋"/>
          <w:color w:val="000000" w:themeColor="text1"/>
          <w:sz w:val="21"/>
          <w:szCs w:val="21"/>
          <w:highlight w:val="none"/>
          <w14:textFill>
            <w14:solidFill>
              <w14:schemeClr w14:val="tx1"/>
            </w14:solidFill>
          </w14:textFill>
        </w:rPr>
      </w:pPr>
    </w:p>
    <w:p>
      <w:pPr>
        <w:ind w:left="420" w:leftChars="175"/>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项目编号：</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20" w:leftChars="175"/>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项目名称：</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20" w:leftChars="175"/>
        <w:outlineLvl w:val="9"/>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投 标 人：</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pPr>
        <w:ind w:left="420" w:leftChars="175"/>
        <w:outlineLvl w:val="9"/>
        <w:rPr>
          <w:rFonts w:ascii="仿宋" w:hAnsi="仿宋" w:eastAsia="仿宋" w:cs="仿宋"/>
          <w:color w:val="000000" w:themeColor="text1"/>
          <w:sz w:val="32"/>
          <w:szCs w:val="32"/>
          <w:highlight w:val="none"/>
          <w14:textFill>
            <w14:solidFill>
              <w14:schemeClr w14:val="tx1"/>
            </w14:solidFill>
          </w14:textFill>
        </w:rPr>
      </w:pPr>
    </w:p>
    <w:p>
      <w:pPr>
        <w:ind w:left="840" w:firstLine="420"/>
        <w:outlineLvl w:val="9"/>
        <w:rPr>
          <w:rFonts w:ascii="仿宋" w:hAnsi="仿宋" w:eastAsia="仿宋" w:cs="仿宋"/>
          <w:b/>
          <w:bCs/>
          <w:color w:val="000000" w:themeColor="text1"/>
          <w:sz w:val="28"/>
          <w:szCs w:val="28"/>
          <w:highlight w:val="none"/>
          <w14:textFill>
            <w14:solidFill>
              <w14:schemeClr w14:val="tx1"/>
            </w14:solidFill>
          </w14:textFill>
        </w:rPr>
      </w:pPr>
    </w:p>
    <w:p>
      <w:pPr>
        <w:ind w:left="840" w:firstLine="420"/>
        <w:outlineLvl w:val="9"/>
        <w:rPr>
          <w:rFonts w:ascii="仿宋" w:hAnsi="仿宋" w:eastAsia="仿宋" w:cs="仿宋"/>
          <w:b/>
          <w:bCs/>
          <w:color w:val="000000" w:themeColor="text1"/>
          <w:sz w:val="28"/>
          <w:szCs w:val="28"/>
          <w:highlight w:val="none"/>
          <w14:textFill>
            <w14:solidFill>
              <w14:schemeClr w14:val="tx1"/>
            </w14:solidFill>
          </w14:textFill>
        </w:rPr>
      </w:pPr>
    </w:p>
    <w:p>
      <w:pPr>
        <w:jc w:val="center"/>
        <w:outlineLvl w:val="9"/>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   月    日</w:t>
      </w:r>
    </w:p>
    <w:p>
      <w:pPr>
        <w:outlineLvl w:val="9"/>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bookmarkStart w:id="421" w:name="_Toc3577"/>
      <w:bookmarkStart w:id="422" w:name="_Toc109900327"/>
      <w:bookmarkStart w:id="423" w:name="_Toc109899908"/>
      <w:bookmarkStart w:id="424" w:name="_Toc25402"/>
      <w:bookmarkStart w:id="425" w:name="_Toc24394"/>
      <w:bookmarkStart w:id="426" w:name="_Toc155185921"/>
      <w:bookmarkStart w:id="427" w:name="_Toc163492915"/>
      <w:bookmarkStart w:id="428" w:name="_Toc140132831"/>
      <w:bookmarkStart w:id="429" w:name="_Toc109899489"/>
      <w:r>
        <w:rPr>
          <w:rFonts w:hint="eastAsia" w:ascii="仿宋" w:hAnsi="仿宋" w:eastAsia="仿宋" w:cs="仿宋"/>
          <w:b/>
          <w:bCs/>
          <w:color w:val="000000" w:themeColor="text1"/>
          <w:sz w:val="32"/>
          <w:szCs w:val="32"/>
          <w:highlight w:val="none"/>
          <w14:textFill>
            <w14:solidFill>
              <w14:schemeClr w14:val="tx1"/>
            </w14:solidFill>
          </w14:textFill>
        </w:rPr>
        <w:t>一、投标函</w:t>
      </w:r>
      <w:bookmarkEnd w:id="421"/>
      <w:bookmarkEnd w:id="422"/>
      <w:bookmarkEnd w:id="423"/>
      <w:bookmarkEnd w:id="424"/>
      <w:bookmarkEnd w:id="425"/>
      <w:bookmarkEnd w:id="426"/>
      <w:bookmarkEnd w:id="427"/>
      <w:bookmarkEnd w:id="428"/>
      <w:bookmarkEnd w:id="429"/>
    </w:p>
    <w:p>
      <w:pPr>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致：（采购人）</w:t>
      </w:r>
    </w:p>
    <w:p>
      <w:pPr>
        <w:ind w:firstLine="480" w:firstLineChars="200"/>
        <w:outlineLvl w:val="9"/>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根据贵方</w:t>
      </w:r>
      <w:r>
        <w:rPr>
          <w:rFonts w:hint="eastAsia" w:ascii="仿宋" w:hAnsi="仿宋" w:eastAsia="仿宋" w:cs="仿宋"/>
          <w:color w:val="000000" w:themeColor="text1"/>
          <w:szCs w:val="24"/>
          <w:highlight w:val="none"/>
          <w:u w:val="single"/>
          <w14:textFill>
            <w14:solidFill>
              <w14:schemeClr w14:val="tx1"/>
            </w14:solidFill>
          </w14:textFill>
        </w:rPr>
        <w:t>（项目名称）（项目编号）</w:t>
      </w:r>
      <w:r>
        <w:rPr>
          <w:rFonts w:hint="eastAsia" w:ascii="仿宋" w:hAnsi="仿宋" w:eastAsia="仿宋" w:cs="仿宋"/>
          <w:color w:val="000000" w:themeColor="text1"/>
          <w:szCs w:val="24"/>
          <w:highlight w:val="none"/>
          <w14:textFill>
            <w14:solidFill>
              <w14:schemeClr w14:val="tx1"/>
            </w14:solidFill>
          </w14:textFill>
        </w:rPr>
        <w:t>项目的招标公告，签字代表</w:t>
      </w:r>
      <w:r>
        <w:rPr>
          <w:rFonts w:hint="eastAsia" w:ascii="仿宋" w:hAnsi="仿宋" w:eastAsia="仿宋" w:cs="仿宋"/>
          <w:color w:val="000000" w:themeColor="text1"/>
          <w:szCs w:val="24"/>
          <w:highlight w:val="none"/>
          <w:u w:val="single"/>
          <w14:textFill>
            <w14:solidFill>
              <w14:schemeClr w14:val="tx1"/>
            </w14:solidFill>
          </w14:textFill>
        </w:rPr>
        <w:t>（姓名、职务）</w:t>
      </w:r>
      <w:r>
        <w:rPr>
          <w:rFonts w:hint="eastAsia" w:ascii="仿宋" w:hAnsi="仿宋" w:eastAsia="仿宋" w:cs="仿宋"/>
          <w:color w:val="000000" w:themeColor="text1"/>
          <w:szCs w:val="24"/>
          <w:highlight w:val="none"/>
          <w14:textFill>
            <w14:solidFill>
              <w14:schemeClr w14:val="tx1"/>
            </w14:solidFill>
          </w14:textFill>
        </w:rPr>
        <w:t>经正式授权并代表投标人</w:t>
      </w:r>
      <w:r>
        <w:rPr>
          <w:rFonts w:hint="eastAsia" w:ascii="仿宋" w:hAnsi="仿宋" w:eastAsia="仿宋" w:cs="仿宋"/>
          <w:color w:val="000000" w:themeColor="text1"/>
          <w:szCs w:val="24"/>
          <w:highlight w:val="none"/>
          <w:u w:val="single"/>
          <w14:textFill>
            <w14:solidFill>
              <w14:schemeClr w14:val="tx1"/>
            </w14:solidFill>
          </w14:textFill>
        </w:rPr>
        <w:t>（投标人名称、地址）</w:t>
      </w:r>
      <w:r>
        <w:rPr>
          <w:rFonts w:hint="eastAsia" w:ascii="仿宋" w:hAnsi="仿宋" w:eastAsia="仿宋" w:cs="仿宋"/>
          <w:color w:val="000000" w:themeColor="text1"/>
          <w:szCs w:val="24"/>
          <w:highlight w:val="none"/>
          <w14:textFill>
            <w14:solidFill>
              <w14:schemeClr w14:val="tx1"/>
            </w14:solidFill>
          </w14:textFill>
        </w:rPr>
        <w:t>提交下述文件</w:t>
      </w:r>
      <w:r>
        <w:rPr>
          <w:rFonts w:hint="eastAsia" w:ascii="仿宋" w:hAnsi="仿宋" w:eastAsia="仿宋" w:cs="仿宋"/>
          <w:b/>
          <w:bCs/>
          <w:color w:val="000000" w:themeColor="text1"/>
          <w:szCs w:val="24"/>
          <w:highlight w:val="none"/>
          <w14:textFill>
            <w14:solidFill>
              <w14:schemeClr w14:val="tx1"/>
            </w14:solidFill>
          </w14:textFill>
        </w:rPr>
        <w:t>：</w:t>
      </w:r>
    </w:p>
    <w:p>
      <w:pPr>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1.资格证明文件；</w:t>
      </w:r>
    </w:p>
    <w:p>
      <w:pPr>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2.投标报价文件；</w:t>
      </w:r>
    </w:p>
    <w:p>
      <w:pPr>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3.商务技术文件。</w:t>
      </w:r>
    </w:p>
    <w:p>
      <w:pPr>
        <w:spacing w:line="324"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根据此函，签字代表宣布同意如下：</w:t>
      </w:r>
    </w:p>
    <w:p>
      <w:pPr>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1.所附投标价格表中规定的应提交和交付的货物和相关服务（如有）的投标报价为 </w:t>
      </w:r>
      <w:r>
        <w:rPr>
          <w:rFonts w:hint="eastAsia" w:ascii="仿宋" w:hAnsi="仿宋" w:eastAsia="仿宋" w:cs="仿宋"/>
          <w:color w:val="000000" w:themeColor="text1"/>
          <w:szCs w:val="24"/>
          <w:highlight w:val="none"/>
          <w:u w:val="single"/>
          <w14:textFill>
            <w14:solidFill>
              <w14:schemeClr w14:val="tx1"/>
            </w14:solidFill>
          </w14:textFill>
        </w:rPr>
        <w:t xml:space="preserve">         元</w:t>
      </w:r>
      <w:r>
        <w:rPr>
          <w:rFonts w:hint="eastAsia" w:ascii="仿宋" w:hAnsi="仿宋" w:eastAsia="仿宋" w:cs="仿宋"/>
          <w:color w:val="000000" w:themeColor="text1"/>
          <w:szCs w:val="24"/>
          <w:highlight w:val="none"/>
          <w14:textFill>
            <w14:solidFill>
              <w14:schemeClr w14:val="tx1"/>
            </w14:solidFill>
          </w14:textFill>
        </w:rPr>
        <w:t>。</w:t>
      </w:r>
    </w:p>
    <w:p>
      <w:pPr>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2.我方将按招标文件的规定履行合同责任和义务。</w:t>
      </w:r>
    </w:p>
    <w:p>
      <w:pPr>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3.我方已详细审查全部招标文件，包括第</w:t>
      </w:r>
      <w:r>
        <w:rPr>
          <w:rFonts w:hint="eastAsia" w:ascii="仿宋" w:hAnsi="仿宋" w:eastAsia="仿宋" w:cs="仿宋"/>
          <w:iCs/>
          <w:color w:val="000000" w:themeColor="text1"/>
          <w:szCs w:val="24"/>
          <w:highlight w:val="none"/>
          <w:u w:val="single"/>
          <w14:textFill>
            <w14:solidFill>
              <w14:schemeClr w14:val="tx1"/>
            </w14:solidFill>
          </w14:textFill>
        </w:rPr>
        <w:t>（编号、补遗书）（如果有的话）</w:t>
      </w:r>
      <w:r>
        <w:rPr>
          <w:rFonts w:hint="eastAsia" w:ascii="仿宋" w:hAnsi="仿宋" w:eastAsia="仿宋" w:cs="仿宋"/>
          <w:color w:val="000000" w:themeColor="text1"/>
          <w:szCs w:val="24"/>
          <w:highlight w:val="none"/>
          <w14:textFill>
            <w14:solidFill>
              <w14:schemeClr w14:val="tx1"/>
            </w14:solidFill>
          </w14:textFill>
        </w:rPr>
        <w:t>。我方完全理解并同意放弃对这方面有不明及误解的权力。</w:t>
      </w:r>
    </w:p>
    <w:p>
      <w:pPr>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4.投标有效期为自提交投标文件的截止之日起</w:t>
      </w:r>
      <w:r>
        <w:rPr>
          <w:rFonts w:hint="eastAsia" w:ascii="仿宋" w:hAnsi="仿宋" w:eastAsia="仿宋" w:cs="仿宋"/>
          <w:i/>
          <w:color w:val="000000" w:themeColor="text1"/>
          <w:szCs w:val="24"/>
          <w:highlight w:val="none"/>
          <w:u w:val="single"/>
          <w14:textFill>
            <w14:solidFill>
              <w14:schemeClr w14:val="tx1"/>
            </w14:solidFill>
          </w14:textFill>
        </w:rPr>
        <w:t xml:space="preserve"> </w:t>
      </w:r>
      <w:r>
        <w:rPr>
          <w:rFonts w:hint="eastAsia" w:ascii="仿宋" w:hAnsi="仿宋" w:eastAsia="仿宋" w:cs="仿宋"/>
          <w:iCs/>
          <w:color w:val="000000" w:themeColor="text1"/>
          <w:szCs w:val="24"/>
          <w:highlight w:val="none"/>
          <w:u w:val="single"/>
          <w14:textFill>
            <w14:solidFill>
              <w14:schemeClr w14:val="tx1"/>
            </w14:solidFill>
          </w14:textFill>
        </w:rPr>
        <w:t xml:space="preserve">90 </w:t>
      </w:r>
      <w:r>
        <w:rPr>
          <w:rFonts w:hint="eastAsia" w:ascii="仿宋" w:hAnsi="仿宋" w:eastAsia="仿宋" w:cs="仿宋"/>
          <w:color w:val="000000" w:themeColor="text1"/>
          <w:szCs w:val="24"/>
          <w:highlight w:val="none"/>
          <w14:textFill>
            <w14:solidFill>
              <w14:schemeClr w14:val="tx1"/>
            </w14:solidFill>
          </w14:textFill>
        </w:rPr>
        <w:t>个日历天。</w:t>
      </w:r>
    </w:p>
    <w:p>
      <w:pPr>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5.我方同意提供按照贵方招标文件要求的与投标有关的一切数据或资料，采用综合评分法时，我方完全理解贵方不一定接受最低价的投标。</w:t>
      </w:r>
    </w:p>
    <w:p>
      <w:pPr>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6.本项目如由中标人支付采购代理服务费，我方同意按投标人须知前附表中规定向采购代理机构支付采购代理服务费。</w:t>
      </w:r>
    </w:p>
    <w:p>
      <w:pPr>
        <w:snapToGrid w:val="0"/>
        <w:spacing w:line="324" w:lineRule="auto"/>
        <w:ind w:firstLine="480" w:firstLineChars="200"/>
        <w:jc w:val="both"/>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7.重要声明：</w:t>
      </w:r>
    </w:p>
    <w:p>
      <w:pPr>
        <w:snapToGrid w:val="0"/>
        <w:spacing w:line="324"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1）与我方单位负责人为同一人的其他单位名称：</w:t>
      </w:r>
    </w:p>
    <w:p>
      <w:pPr>
        <w:snapToGrid w:val="0"/>
        <w:spacing w:line="324" w:lineRule="auto"/>
        <w:ind w:left="456" w:leftChars="190" w:firstLine="355" w:firstLineChars="148"/>
        <w:outlineLvl w:val="9"/>
        <w:rPr>
          <w:rFonts w:ascii="仿宋" w:hAnsi="仿宋" w:eastAsia="仿宋" w:cs="仿宋"/>
          <w:iCs/>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□无；□有，具体单位名称为：</w:t>
      </w:r>
      <w:r>
        <w:rPr>
          <w:rFonts w:hint="eastAsia" w:ascii="仿宋" w:hAnsi="仿宋" w:eastAsia="仿宋" w:cs="仿宋"/>
          <w:iCs/>
          <w:color w:val="000000" w:themeColor="text1"/>
          <w:szCs w:val="24"/>
          <w:highlight w:val="none"/>
          <w:u w:val="single"/>
          <w14:textFill>
            <w14:solidFill>
              <w14:schemeClr w14:val="tx1"/>
            </w14:solidFill>
          </w14:textFill>
        </w:rPr>
        <w:t>（由投标人如实填写）</w:t>
      </w:r>
      <w:r>
        <w:rPr>
          <w:rFonts w:hint="eastAsia" w:ascii="仿宋" w:hAnsi="仿宋" w:eastAsia="仿宋" w:cs="仿宋"/>
          <w:iCs/>
          <w:color w:val="000000" w:themeColor="text1"/>
          <w:szCs w:val="24"/>
          <w:highlight w:val="none"/>
          <w14:textFill>
            <w14:solidFill>
              <w14:schemeClr w14:val="tx1"/>
            </w14:solidFill>
          </w14:textFill>
        </w:rPr>
        <w:t>。</w:t>
      </w:r>
    </w:p>
    <w:p>
      <w:pPr>
        <w:snapToGrid w:val="0"/>
        <w:spacing w:line="324" w:lineRule="auto"/>
        <w:ind w:firstLine="480" w:firstLineChars="200"/>
        <w:outlineLvl w:val="9"/>
        <w:rPr>
          <w:rFonts w:ascii="仿宋" w:hAnsi="仿宋" w:eastAsia="仿宋" w:cs="仿宋"/>
          <w:iCs/>
          <w:color w:val="000000" w:themeColor="text1"/>
          <w:szCs w:val="24"/>
          <w:highlight w:val="none"/>
          <w14:textFill>
            <w14:solidFill>
              <w14:schemeClr w14:val="tx1"/>
            </w14:solidFill>
          </w14:textFill>
        </w:rPr>
      </w:pPr>
      <w:r>
        <w:rPr>
          <w:rFonts w:hint="eastAsia" w:ascii="仿宋" w:hAnsi="仿宋" w:eastAsia="仿宋" w:cs="仿宋"/>
          <w:iCs/>
          <w:color w:val="000000" w:themeColor="text1"/>
          <w:szCs w:val="24"/>
          <w:highlight w:val="none"/>
          <w14:textFill>
            <w14:solidFill>
              <w14:schemeClr w14:val="tx1"/>
            </w14:solidFill>
          </w14:textFill>
        </w:rPr>
        <w:t>2）与我方存在控股、管理关系的其他单位的名称：</w:t>
      </w:r>
    </w:p>
    <w:p>
      <w:pPr>
        <w:snapToGrid w:val="0"/>
        <w:spacing w:line="324" w:lineRule="auto"/>
        <w:ind w:left="456" w:leftChars="190" w:firstLine="355" w:firstLineChars="148"/>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iCs/>
          <w:color w:val="000000" w:themeColor="text1"/>
          <w:szCs w:val="24"/>
          <w:highlight w:val="none"/>
          <w14:textFill>
            <w14:solidFill>
              <w14:schemeClr w14:val="tx1"/>
            </w14:solidFill>
          </w14:textFill>
        </w:rPr>
        <w:t xml:space="preserve">□无；□有，具体单位名称为： </w:t>
      </w:r>
      <w:r>
        <w:rPr>
          <w:rFonts w:hint="eastAsia" w:ascii="仿宋" w:hAnsi="仿宋" w:eastAsia="仿宋" w:cs="仿宋"/>
          <w:iCs/>
          <w:color w:val="000000" w:themeColor="text1"/>
          <w:szCs w:val="24"/>
          <w:highlight w:val="none"/>
          <w:u w:val="single"/>
          <w14:textFill>
            <w14:solidFill>
              <w14:schemeClr w14:val="tx1"/>
            </w14:solidFill>
          </w14:textFill>
        </w:rPr>
        <w:t>（由投标人如实填写）</w:t>
      </w:r>
      <w:r>
        <w:rPr>
          <w:rFonts w:hint="eastAsia" w:ascii="仿宋" w:hAnsi="仿宋" w:eastAsia="仿宋" w:cs="仿宋"/>
          <w:color w:val="000000" w:themeColor="text1"/>
          <w:szCs w:val="24"/>
          <w:highlight w:val="none"/>
          <w14:textFill>
            <w14:solidFill>
              <w14:schemeClr w14:val="tx1"/>
            </w14:solidFill>
          </w14:textFill>
        </w:rPr>
        <w:t>。</w:t>
      </w:r>
    </w:p>
    <w:p>
      <w:pPr>
        <w:snapToGrid w:val="0"/>
        <w:spacing w:line="324"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3）参与本项目采购活动前，是否为本项目前期准备提供过整体设计、规范编制或者项目管理、监理、检测等服务：</w:t>
      </w:r>
    </w:p>
    <w:p>
      <w:pPr>
        <w:snapToGrid w:val="0"/>
        <w:spacing w:line="324" w:lineRule="auto"/>
        <w:ind w:left="456" w:leftChars="190" w:firstLine="355" w:firstLineChars="148"/>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□无；□有，已提供的具体服务内容为： </w:t>
      </w:r>
      <w:r>
        <w:rPr>
          <w:rFonts w:hint="eastAsia" w:ascii="仿宋" w:hAnsi="仿宋" w:eastAsia="仿宋" w:cs="仿宋"/>
          <w:color w:val="000000" w:themeColor="text1"/>
          <w:szCs w:val="24"/>
          <w:highlight w:val="none"/>
          <w:u w:val="single"/>
          <w14:textFill>
            <w14:solidFill>
              <w14:schemeClr w14:val="tx1"/>
            </w14:solidFill>
          </w14:textFill>
        </w:rPr>
        <w:t>（由投标人如实填写）</w:t>
      </w:r>
      <w:r>
        <w:rPr>
          <w:rFonts w:hint="eastAsia" w:ascii="仿宋" w:hAnsi="仿宋" w:eastAsia="仿宋" w:cs="仿宋"/>
          <w:color w:val="000000" w:themeColor="text1"/>
          <w:szCs w:val="24"/>
          <w:highlight w:val="none"/>
          <w14:textFill>
            <w14:solidFill>
              <w14:schemeClr w14:val="tx1"/>
            </w14:solidFill>
          </w14:textFill>
        </w:rPr>
        <w:t>。</w:t>
      </w:r>
    </w:p>
    <w:p>
      <w:pPr>
        <w:spacing w:line="324"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（备注：</w:t>
      </w:r>
      <w:r>
        <w:rPr>
          <w:rFonts w:hint="eastAsia" w:ascii="仿宋" w:hAnsi="仿宋" w:eastAsia="仿宋" w:cs="仿宋"/>
          <w:b/>
          <w:bCs/>
          <w:color w:val="000000" w:themeColor="text1"/>
          <w:szCs w:val="24"/>
          <w:highlight w:val="none"/>
          <w14:textFill>
            <w14:solidFill>
              <w14:schemeClr w14:val="tx1"/>
            </w14:solidFill>
          </w14:textFill>
        </w:rPr>
        <w:t>以上3项声明，必须如实选择</w:t>
      </w:r>
      <w:r>
        <w:rPr>
          <w:rFonts w:hint="eastAsia" w:ascii="仿宋" w:hAnsi="仿宋" w:eastAsia="仿宋" w:cs="仿宋"/>
          <w:color w:val="000000" w:themeColor="text1"/>
          <w:szCs w:val="24"/>
          <w:highlight w:val="none"/>
          <w14:textFill>
            <w14:solidFill>
              <w14:schemeClr w14:val="tx1"/>
            </w14:solidFill>
          </w14:textFill>
        </w:rPr>
        <w:t>，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pPr>
        <w:snapToGrid w:val="0"/>
        <w:spacing w:line="324"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4）我方在本投标文件中所提供的全部资料均真实有效，我方承诺对其真实性负责并承担相应后果。</w:t>
      </w:r>
    </w:p>
    <w:p>
      <w:pPr>
        <w:snapToGrid w:val="0"/>
        <w:spacing w:line="324"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w:t>
      </w:r>
      <w:bookmarkStart w:id="430" w:name="_Hlk161604053"/>
      <w:r>
        <w:rPr>
          <w:rFonts w:hint="eastAsia" w:ascii="仿宋" w:hAnsi="仿宋" w:eastAsia="仿宋" w:cs="仿宋"/>
          <w:color w:val="000000" w:themeColor="text1"/>
          <w:szCs w:val="24"/>
          <w:highlight w:val="none"/>
          <w14:textFill>
            <w14:solidFill>
              <w14:schemeClr w14:val="tx1"/>
            </w14:solidFill>
          </w14:textFill>
        </w:rPr>
        <w:t>我方承诺本《投标函》的签章对本投标文件全部内容具有约束力并承担法律责任。</w:t>
      </w:r>
      <w:bookmarkEnd w:id="430"/>
    </w:p>
    <w:p>
      <w:pPr>
        <w:spacing w:line="300" w:lineRule="auto"/>
        <w:outlineLvl w:val="9"/>
        <w:rPr>
          <w:rFonts w:ascii="仿宋" w:hAnsi="仿宋" w:eastAsia="仿宋" w:cs="仿宋"/>
          <w:color w:val="000000" w:themeColor="text1"/>
          <w:szCs w:val="24"/>
          <w:highlight w:val="none"/>
          <w14:textFill>
            <w14:solidFill>
              <w14:schemeClr w14:val="tx1"/>
            </w14:solidFill>
          </w14:textFill>
        </w:rPr>
      </w:pPr>
    </w:p>
    <w:p>
      <w:pPr>
        <w:spacing w:line="300" w:lineRule="auto"/>
        <w:outlineLvl w:val="9"/>
        <w:rPr>
          <w:rFonts w:ascii="仿宋" w:hAnsi="仿宋" w:eastAsia="仿宋" w:cs="仿宋"/>
          <w:color w:val="000000" w:themeColor="text1"/>
          <w:szCs w:val="24"/>
          <w:highlight w:val="none"/>
          <w14:textFill>
            <w14:solidFill>
              <w14:schemeClr w14:val="tx1"/>
            </w14:solidFill>
          </w14:textFill>
        </w:rPr>
      </w:pPr>
    </w:p>
    <w:p>
      <w:pPr>
        <w:spacing w:line="300" w:lineRule="auto"/>
        <w:outlineLvl w:val="9"/>
        <w:rPr>
          <w:rFonts w:ascii="仿宋" w:hAnsi="仿宋" w:eastAsia="仿宋" w:cs="仿宋"/>
          <w:color w:val="000000" w:themeColor="text1"/>
          <w:szCs w:val="24"/>
          <w:highlight w:val="none"/>
          <w14:textFill>
            <w14:solidFill>
              <w14:schemeClr w14:val="tx1"/>
            </w14:solidFill>
          </w14:textFill>
        </w:rPr>
      </w:pPr>
    </w:p>
    <w:p>
      <w:pPr>
        <w:autoSpaceDE w:val="0"/>
        <w:autoSpaceDN w:val="0"/>
        <w:adjustRightInd w:val="0"/>
        <w:snapToGrid w:val="0"/>
        <w:ind w:firstLine="480" w:firstLineChars="200"/>
        <w:outlineLvl w:val="9"/>
        <w:rPr>
          <w:rFonts w:ascii="仿宋" w:hAnsi="仿宋" w:eastAsia="仿宋" w:cs="仿宋"/>
          <w:color w:val="000000" w:themeColor="text1"/>
          <w:kern w:val="0"/>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p>
    <w:p>
      <w:pPr>
        <w:autoSpaceDE w:val="0"/>
        <w:autoSpaceDN w:val="0"/>
        <w:adjustRightInd w:val="0"/>
        <w:snapToGrid w:val="0"/>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法定代表人或授权代表（签字或印章）：</w:t>
      </w:r>
    </w:p>
    <w:p>
      <w:pPr>
        <w:autoSpaceDE w:val="0"/>
        <w:autoSpaceDN w:val="0"/>
        <w:adjustRightInd w:val="0"/>
        <w:snapToGrid w:val="0"/>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通  讯  地  址：</w:t>
      </w:r>
    </w:p>
    <w:p>
      <w:pPr>
        <w:autoSpaceDE w:val="0"/>
        <w:autoSpaceDN w:val="0"/>
        <w:adjustRightInd w:val="0"/>
        <w:snapToGrid w:val="0"/>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传          真：</w:t>
      </w:r>
    </w:p>
    <w:p>
      <w:pPr>
        <w:autoSpaceDE w:val="0"/>
        <w:autoSpaceDN w:val="0"/>
        <w:adjustRightInd w:val="0"/>
        <w:snapToGrid w:val="0"/>
        <w:ind w:firstLine="480" w:firstLineChars="200"/>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          话：</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           期：</w:t>
      </w:r>
    </w:p>
    <w:p>
      <w:pPr>
        <w:outlineLvl w:val="9"/>
        <w:rPr>
          <w:rFonts w:ascii="仿宋" w:hAnsi="仿宋" w:eastAsia="仿宋" w:cs="仿宋"/>
          <w:color w:val="000000" w:themeColor="text1"/>
          <w:szCs w:val="24"/>
          <w:highlight w:val="none"/>
          <w:u w:val="single"/>
          <w14:textFill>
            <w14:solidFill>
              <w14:schemeClr w14:val="tx1"/>
            </w14:solidFill>
          </w14:textFill>
        </w:rPr>
      </w:pPr>
    </w:p>
    <w:p>
      <w:pPr>
        <w:outlineLvl w:val="9"/>
        <w:rPr>
          <w:rFonts w:ascii="仿宋" w:hAnsi="仿宋" w:eastAsia="仿宋" w:cs="仿宋"/>
          <w:color w:val="000000" w:themeColor="text1"/>
          <w:szCs w:val="24"/>
          <w:highlight w:val="none"/>
          <w:u w:val="single"/>
          <w14:textFill>
            <w14:solidFill>
              <w14:schemeClr w14:val="tx1"/>
            </w14:solidFill>
          </w14:textFill>
        </w:rPr>
      </w:pPr>
      <w:r>
        <w:rPr>
          <w:rFonts w:hint="eastAsia" w:ascii="仿宋" w:hAnsi="仿宋" w:eastAsia="仿宋" w:cs="仿宋"/>
          <w:color w:val="000000" w:themeColor="text1"/>
          <w:szCs w:val="24"/>
          <w:highlight w:val="none"/>
          <w:u w:val="single"/>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bookmarkStart w:id="431" w:name="_Toc20456"/>
      <w:bookmarkStart w:id="432" w:name="_Toc155185924"/>
      <w:bookmarkStart w:id="433" w:name="_Toc163492918"/>
      <w:r>
        <w:rPr>
          <w:rFonts w:hint="eastAsia" w:ascii="仿宋" w:hAnsi="仿宋" w:eastAsia="仿宋" w:cs="仿宋"/>
          <w:b/>
          <w:bCs/>
          <w:color w:val="000000" w:themeColor="text1"/>
          <w:sz w:val="32"/>
          <w:szCs w:val="32"/>
          <w:highlight w:val="none"/>
          <w14:textFill>
            <w14:solidFill>
              <w14:schemeClr w14:val="tx1"/>
            </w14:solidFill>
          </w14:textFill>
        </w:rPr>
        <w:t>二、法定代表人（单位负责人）身份证明</w:t>
      </w:r>
      <w:bookmarkEnd w:id="431"/>
      <w:bookmarkEnd w:id="432"/>
      <w:bookmarkEnd w:id="433"/>
    </w:p>
    <w:p>
      <w:pPr>
        <w:spacing w:line="480"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致：（采购人或采购代理机构） </w:t>
      </w:r>
    </w:p>
    <w:p>
      <w:pPr>
        <w:spacing w:line="480" w:lineRule="auto"/>
        <w:ind w:firstLine="960" w:firstLineChars="4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兹证明， </w:t>
      </w:r>
    </w:p>
    <w:p>
      <w:pPr>
        <w:spacing w:line="480"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姓名：____性别：____年龄：____职务：____ </w:t>
      </w:r>
    </w:p>
    <w:p>
      <w:pPr>
        <w:spacing w:line="480"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系 </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 xml:space="preserve">（投标人名称）的法定代表人（单位负责人）。 </w:t>
      </w:r>
    </w:p>
    <w:p>
      <w:pPr>
        <w:spacing w:line="480" w:lineRule="auto"/>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附：法定代表人（单位负责人）身份证、护照等身份证明文件电子件： </w:t>
      </w:r>
    </w:p>
    <w:p>
      <w:pPr>
        <w:outlineLvl w:val="9"/>
        <w:rPr>
          <w:rFonts w:ascii="仿宋" w:hAnsi="仿宋" w:eastAsia="仿宋" w:cs="仿宋"/>
          <w:color w:val="000000" w:themeColor="text1"/>
          <w:sz w:val="21"/>
          <w:szCs w:val="21"/>
          <w:highlight w:val="none"/>
          <w14:textFill>
            <w14:solidFill>
              <w14:schemeClr w14:val="tx1"/>
            </w14:solidFill>
          </w14:textFill>
        </w:rPr>
      </w:pPr>
    </w:p>
    <w:tbl>
      <w:tblPr>
        <w:tblStyle w:val="1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pPr>
              <w:outlineLvl w:val="9"/>
              <w:rPr>
                <w:rFonts w:ascii="仿宋" w:hAnsi="仿宋" w:eastAsia="仿宋" w:cs="仿宋"/>
                <w:color w:val="000000" w:themeColor="text1"/>
                <w:highlight w:val="none"/>
                <w14:textFill>
                  <w14:solidFill>
                    <w14:schemeClr w14:val="tx1"/>
                  </w14:solidFill>
                </w14:textFill>
              </w:rPr>
            </w:pPr>
          </w:p>
        </w:tc>
      </w:tr>
    </w:tbl>
    <w:p>
      <w:pPr>
        <w:ind w:firstLine="840" w:firstLineChars="350"/>
        <w:jc w:val="center"/>
        <w:outlineLvl w:val="9"/>
        <w:rPr>
          <w:rFonts w:ascii="仿宋" w:hAnsi="仿宋" w:eastAsia="仿宋" w:cs="仿宋"/>
          <w:color w:val="000000" w:themeColor="text1"/>
          <w:highlight w:val="none"/>
          <w14:textFill>
            <w14:solidFill>
              <w14:schemeClr w14:val="tx1"/>
            </w14:solidFill>
          </w14:textFill>
        </w:rPr>
      </w:pPr>
    </w:p>
    <w:p>
      <w:pPr>
        <w:widowControl/>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 xml:space="preserve">：________________ </w:t>
      </w:r>
    </w:p>
    <w:p>
      <w:pPr>
        <w:widowControl/>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法定代表人（单位负责人）（签字或</w:t>
      </w:r>
      <w:r>
        <w:rPr>
          <w:rFonts w:hint="eastAsia" w:ascii="仿宋" w:hAnsi="仿宋" w:eastAsia="仿宋" w:cs="仿宋"/>
          <w:color w:val="000000" w:themeColor="text1"/>
          <w:kern w:val="0"/>
          <w:szCs w:val="24"/>
          <w:highlight w:val="none"/>
          <w14:textFill>
            <w14:solidFill>
              <w14:schemeClr w14:val="tx1"/>
            </w14:solidFill>
          </w14:textFill>
        </w:rPr>
        <w:t>盖章</w:t>
      </w:r>
      <w:r>
        <w:rPr>
          <w:rFonts w:hint="eastAsia" w:ascii="仿宋" w:hAnsi="仿宋" w:eastAsia="仿宋" w:cs="仿宋"/>
          <w:color w:val="000000" w:themeColor="text1"/>
          <w:kern w:val="0"/>
          <w:szCs w:val="24"/>
          <w:highlight w:val="none"/>
          <w:lang w:bidi="ar"/>
          <w14:textFill>
            <w14:solidFill>
              <w14:schemeClr w14:val="tx1"/>
            </w14:solidFill>
          </w14:textFill>
        </w:rPr>
        <w:t xml:space="preserve">）：_______ </w:t>
      </w:r>
    </w:p>
    <w:p>
      <w:pPr>
        <w:widowControl/>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日期：_____年______月______日</w:t>
      </w:r>
    </w:p>
    <w:p>
      <w:pPr>
        <w:outlineLvl w:val="9"/>
        <w:rPr>
          <w:rFonts w:ascii="仿宋" w:hAnsi="仿宋" w:eastAsia="仿宋" w:cs="仿宋"/>
          <w:b/>
          <w:color w:val="000000" w:themeColor="text1"/>
          <w:sz w:val="28"/>
          <w:szCs w:val="28"/>
          <w:highlight w:val="none"/>
          <w14:textFill>
            <w14:solidFill>
              <w14:schemeClr w14:val="tx1"/>
            </w14:solidFill>
          </w14:textFill>
        </w:rPr>
      </w:pPr>
    </w:p>
    <w:p>
      <w:pPr>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bookmarkStart w:id="434" w:name="_Toc155185925"/>
      <w:bookmarkStart w:id="435" w:name="_Toc18136"/>
      <w:bookmarkStart w:id="436" w:name="_Toc163492919"/>
      <w:r>
        <w:rPr>
          <w:rFonts w:hint="eastAsia" w:ascii="仿宋" w:hAnsi="仿宋" w:eastAsia="仿宋" w:cs="仿宋"/>
          <w:b/>
          <w:bCs/>
          <w:color w:val="000000" w:themeColor="text1"/>
          <w:sz w:val="32"/>
          <w:szCs w:val="32"/>
          <w:highlight w:val="none"/>
          <w14:textFill>
            <w14:solidFill>
              <w14:schemeClr w14:val="tx1"/>
            </w14:solidFill>
          </w14:textFill>
        </w:rPr>
        <w:t>三、授权委托书</w:t>
      </w:r>
      <w:bookmarkEnd w:id="434"/>
      <w:bookmarkEnd w:id="435"/>
      <w:bookmarkEnd w:id="436"/>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本人</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（姓名）系</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（投标人名称）的法定代表人</w:t>
      </w:r>
      <w:r>
        <w:rPr>
          <w:rFonts w:hint="eastAsia" w:ascii="仿宋" w:hAnsi="仿宋" w:eastAsia="仿宋" w:cs="仿宋"/>
          <w:color w:val="000000" w:themeColor="text1"/>
          <w:highlight w:val="none"/>
          <w14:textFill>
            <w14:solidFill>
              <w14:schemeClr w14:val="tx1"/>
            </w14:solidFill>
          </w14:textFill>
        </w:rPr>
        <w:t>（单位负责人）</w:t>
      </w:r>
      <w:r>
        <w:rPr>
          <w:rFonts w:hint="eastAsia" w:ascii="仿宋" w:hAnsi="仿宋" w:eastAsia="仿宋" w:cs="仿宋"/>
          <w:color w:val="000000" w:themeColor="text1"/>
          <w:szCs w:val="24"/>
          <w:highlight w:val="none"/>
          <w14:textFill>
            <w14:solidFill>
              <w14:schemeClr w14:val="tx1"/>
            </w14:solidFill>
          </w14:textFill>
        </w:rPr>
        <w:t>，现委托</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（姓名）为我方代理人。代理人根据授权，以我方名义签署、澄清确认、说明、补正、递交、撤回、修改</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（项目名称）投标文件、签订合同和处理有关事宜，其法律后果由我方承担。</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委托期限：自本授权委托书签署之日起至投标有效期届满之日止。</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代理人无转委托权。</w:t>
      </w:r>
    </w:p>
    <w:p>
      <w:pPr>
        <w:spacing w:line="240" w:lineRule="exact"/>
        <w:ind w:firstLine="480" w:firstLineChars="200"/>
        <w:outlineLvl w:val="9"/>
        <w:rPr>
          <w:rFonts w:ascii="仿宋" w:hAnsi="仿宋" w:eastAsia="仿宋" w:cs="仿宋"/>
          <w:color w:val="000000" w:themeColor="text1"/>
          <w:szCs w:val="24"/>
          <w:highlight w:val="none"/>
          <w14:textFill>
            <w14:solidFill>
              <w14:schemeClr w14:val="tx1"/>
            </w14:solidFill>
          </w14:textFill>
        </w:rPr>
      </w:pPr>
    </w:p>
    <w:p>
      <w:pPr>
        <w:widowControl/>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 xml:space="preserve">：________________ </w:t>
      </w:r>
    </w:p>
    <w:p>
      <w:pPr>
        <w:widowControl/>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法定代表人（单位负责人）（签字或</w:t>
      </w:r>
      <w:r>
        <w:rPr>
          <w:rFonts w:hint="eastAsia" w:ascii="仿宋" w:hAnsi="仿宋" w:eastAsia="仿宋" w:cs="仿宋"/>
          <w:color w:val="000000" w:themeColor="text1"/>
          <w:kern w:val="0"/>
          <w:szCs w:val="24"/>
          <w:highlight w:val="none"/>
          <w14:textFill>
            <w14:solidFill>
              <w14:schemeClr w14:val="tx1"/>
            </w14:solidFill>
          </w14:textFill>
        </w:rPr>
        <w:t>盖章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 xml:space="preserve">：________________ </w:t>
      </w:r>
    </w:p>
    <w:p>
      <w:pPr>
        <w:widowControl/>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委托代理人（签字或</w:t>
      </w:r>
      <w:r>
        <w:rPr>
          <w:rFonts w:hint="eastAsia" w:ascii="仿宋" w:hAnsi="仿宋" w:eastAsia="仿宋" w:cs="仿宋"/>
          <w:color w:val="000000" w:themeColor="text1"/>
          <w:kern w:val="0"/>
          <w:szCs w:val="24"/>
          <w:highlight w:val="none"/>
          <w14:textFill>
            <w14:solidFill>
              <w14:schemeClr w14:val="tx1"/>
            </w14:solidFill>
          </w14:textFill>
        </w:rPr>
        <w:t>盖章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：________________    联系电话：________</w:t>
      </w:r>
    </w:p>
    <w:p>
      <w:pPr>
        <w:widowControl/>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 xml:space="preserve">日期：_____年______月______日 </w:t>
      </w:r>
    </w:p>
    <w:p>
      <w:pPr>
        <w:spacing w:line="240" w:lineRule="exact"/>
        <w:ind w:firstLine="480" w:firstLineChars="200"/>
        <w:outlineLvl w:val="9"/>
        <w:rPr>
          <w:rFonts w:ascii="仿宋" w:hAnsi="仿宋" w:eastAsia="仿宋" w:cs="仿宋"/>
          <w:color w:val="000000" w:themeColor="text1"/>
          <w:szCs w:val="24"/>
          <w:highlight w:val="none"/>
          <w14:textFill>
            <w14:solidFill>
              <w14:schemeClr w14:val="tx1"/>
            </w14:solidFill>
          </w14:textFill>
        </w:rPr>
      </w:pPr>
    </w:p>
    <w:p>
      <w:pPr>
        <w:widowControl/>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 xml:space="preserve">附：法定代表人及委托代理人身份证明文件电子件： </w:t>
      </w:r>
    </w:p>
    <w:tbl>
      <w:tblPr>
        <w:tblStyle w:val="1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pPr>
              <w:outlineLvl w:val="9"/>
              <w:rPr>
                <w:rFonts w:ascii="仿宋" w:hAnsi="仿宋" w:eastAsia="仿宋" w:cs="仿宋"/>
                <w:color w:val="000000" w:themeColor="text1"/>
                <w:highlight w:val="none"/>
                <w14:textFill>
                  <w14:solidFill>
                    <w14:schemeClr w14:val="tx1"/>
                  </w14:solidFill>
                </w14:textFill>
              </w:rPr>
            </w:pPr>
          </w:p>
        </w:tc>
      </w:tr>
    </w:tbl>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说明： </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1.若投标人为事业单位或其他组织或分支机构，则法定代表人（单位负责人）处的签署人可为单位负责人。 </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2.若投标文件中签字之处均为法定代表人（单位负责人）本人签署，则可不提供本《授权委托书》，但须提供《法定代表人（单位负责人）身份证明》。 </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3.投标人为自然人的情形，可不提供本《授权委托书》。 </w:t>
      </w: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4.投标人应随本《授权委托书》同时提供法定代表人（单位负责人）及委托代理人的有效的身份证、护照等身份证明文件电子件。提供身份证的，应同时提供身份证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color w:val="000000" w:themeColor="text1"/>
          <w:szCs w:val="24"/>
          <w:highlight w:val="none"/>
          <w14:textFill>
            <w14:solidFill>
              <w14:schemeClr w14:val="tx1"/>
            </w14:solidFill>
          </w14:textFill>
        </w:rPr>
        <w:t>双面</w:t>
      </w:r>
      <w:r>
        <w:rPr>
          <w:rFonts w:hint="eastAsia" w:ascii="仿宋" w:hAnsi="仿宋" w:eastAsia="仿宋" w:cs="仿宋"/>
          <w:color w:val="000000" w:themeColor="text1"/>
          <w:szCs w:val="24"/>
          <w:highlight w:val="none"/>
          <w14:textFill>
            <w14:solidFill>
              <w14:schemeClr w14:val="tx1"/>
            </w14:solidFill>
          </w14:textFill>
        </w:rPr>
        <w:t>电子件。</w:t>
      </w:r>
    </w:p>
    <w:p>
      <w:pPr>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bookmarkStart w:id="437" w:name="_Toc163492928"/>
      <w:bookmarkStart w:id="438" w:name="_Toc155185934"/>
      <w:bookmarkStart w:id="439" w:name="_Toc28250"/>
      <w:r>
        <w:rPr>
          <w:rFonts w:hint="eastAsia" w:ascii="仿宋" w:hAnsi="仿宋" w:eastAsia="仿宋" w:cs="仿宋"/>
          <w:b/>
          <w:bCs/>
          <w:color w:val="000000" w:themeColor="text1"/>
          <w:sz w:val="32"/>
          <w:szCs w:val="32"/>
          <w:highlight w:val="none"/>
          <w14:textFill>
            <w14:solidFill>
              <w14:schemeClr w14:val="tx1"/>
            </w14:solidFill>
          </w14:textFill>
        </w:rPr>
        <w:t>四、</w:t>
      </w:r>
      <w:bookmarkEnd w:id="437"/>
      <w:bookmarkEnd w:id="438"/>
      <w:bookmarkStart w:id="440" w:name="_Toc163492929"/>
      <w:r>
        <w:rPr>
          <w:rFonts w:hint="eastAsia" w:ascii="仿宋" w:hAnsi="仿宋" w:eastAsia="仿宋" w:cs="仿宋"/>
          <w:b/>
          <w:bCs/>
          <w:color w:val="000000" w:themeColor="text1"/>
          <w:sz w:val="32"/>
          <w:szCs w:val="32"/>
          <w:highlight w:val="none"/>
          <w:lang w:val="zh-CN"/>
          <w14:textFill>
            <w14:solidFill>
              <w14:schemeClr w14:val="tx1"/>
            </w14:solidFill>
          </w14:textFill>
        </w:rPr>
        <w:t>政府采购</w:t>
      </w:r>
      <w:r>
        <w:rPr>
          <w:rFonts w:hint="eastAsia" w:ascii="仿宋" w:hAnsi="仿宋" w:eastAsia="仿宋" w:cs="仿宋"/>
          <w:b/>
          <w:bCs/>
          <w:color w:val="000000" w:themeColor="text1"/>
          <w:sz w:val="32"/>
          <w:szCs w:val="32"/>
          <w:highlight w:val="none"/>
          <w14:textFill>
            <w14:solidFill>
              <w14:schemeClr w14:val="tx1"/>
            </w14:solidFill>
          </w14:textFill>
        </w:rPr>
        <w:t>投标人</w:t>
      </w:r>
      <w:r>
        <w:rPr>
          <w:rFonts w:hint="eastAsia" w:ascii="仿宋" w:hAnsi="仿宋" w:eastAsia="仿宋" w:cs="仿宋"/>
          <w:b/>
          <w:bCs/>
          <w:color w:val="000000" w:themeColor="text1"/>
          <w:sz w:val="32"/>
          <w:szCs w:val="32"/>
          <w:highlight w:val="none"/>
          <w:lang w:val="zh-CN"/>
          <w14:textFill>
            <w14:solidFill>
              <w14:schemeClr w14:val="tx1"/>
            </w14:solidFill>
          </w14:textFill>
        </w:rPr>
        <w:t>廉洁自律承诺书</w:t>
      </w:r>
      <w:bookmarkEnd w:id="439"/>
    </w:p>
    <w:p>
      <w:pPr>
        <w:pStyle w:val="2"/>
        <w:outlineLvl w:val="9"/>
        <w:rPr>
          <w:rFonts w:ascii="仿宋" w:hAnsi="仿宋" w:eastAsia="仿宋" w:cs="仿宋"/>
          <w:color w:val="000000" w:themeColor="text1"/>
          <w:highlight w:val="none"/>
          <w14:textFill>
            <w14:solidFill>
              <w14:schemeClr w14:val="tx1"/>
            </w14:solidFill>
          </w14:textFill>
        </w:rPr>
      </w:pPr>
    </w:p>
    <w:p>
      <w:pPr>
        <w:snapToGrid w:val="0"/>
        <w:outlineLvl w:val="9"/>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（采购人）、（采购代理机构）</w:t>
      </w:r>
      <w:r>
        <w:rPr>
          <w:rFonts w:hint="eastAsia" w:ascii="仿宋" w:hAnsi="仿宋" w:eastAsia="仿宋" w:cs="仿宋"/>
          <w:color w:val="000000" w:themeColor="text1"/>
          <w:kern w:val="0"/>
          <w:szCs w:val="24"/>
          <w:highlight w:val="none"/>
          <w:lang w:val="zh-CN"/>
          <w14:textFill>
            <w14:solidFill>
              <w14:schemeClr w14:val="tx1"/>
            </w14:solidFill>
          </w14:textFill>
        </w:rPr>
        <w:t>：</w:t>
      </w:r>
    </w:p>
    <w:p>
      <w:pPr>
        <w:autoSpaceDE w:val="0"/>
        <w:autoSpaceDN w:val="0"/>
        <w:ind w:left="2" w:leftChars="1" w:firstLine="480" w:firstLineChars="200"/>
        <w:outlineLvl w:val="9"/>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我单位响应你</w:t>
      </w:r>
      <w:r>
        <w:rPr>
          <w:rFonts w:hint="eastAsia" w:ascii="仿宋" w:hAnsi="仿宋" w:eastAsia="仿宋" w:cs="仿宋"/>
          <w:color w:val="000000" w:themeColor="text1"/>
          <w:szCs w:val="24"/>
          <w:highlight w:val="none"/>
          <w14:textFill>
            <w14:solidFill>
              <w14:schemeClr w14:val="tx1"/>
            </w14:solidFill>
          </w14:textFill>
        </w:rPr>
        <w:t>单位</w:t>
      </w:r>
      <w:r>
        <w:rPr>
          <w:rFonts w:hint="eastAsia" w:ascii="仿宋" w:hAnsi="仿宋" w:eastAsia="仿宋" w:cs="仿宋"/>
          <w:color w:val="000000" w:themeColor="text1"/>
          <w:kern w:val="0"/>
          <w:szCs w:val="24"/>
          <w:highlight w:val="none"/>
          <w:lang w:val="zh-CN"/>
          <w14:textFill>
            <w14:solidFill>
              <w14:schemeClr w14:val="tx1"/>
            </w14:solidFill>
          </w14:textFill>
        </w:rPr>
        <w:t>项目招标</w:t>
      </w:r>
      <w:r>
        <w:rPr>
          <w:rFonts w:hint="eastAsia" w:ascii="仿宋" w:hAnsi="仿宋" w:eastAsia="仿宋" w:cs="仿宋"/>
          <w:color w:val="000000" w:themeColor="text1"/>
          <w:kern w:val="0"/>
          <w:szCs w:val="24"/>
          <w:highlight w:val="none"/>
          <w14:textFill>
            <w14:solidFill>
              <w14:schemeClr w14:val="tx1"/>
            </w14:solidFill>
          </w14:textFill>
        </w:rPr>
        <w:t>文件</w:t>
      </w:r>
      <w:r>
        <w:rPr>
          <w:rFonts w:hint="eastAsia" w:ascii="仿宋" w:hAnsi="仿宋" w:eastAsia="仿宋" w:cs="仿宋"/>
          <w:color w:val="000000" w:themeColor="text1"/>
          <w:kern w:val="0"/>
          <w:szCs w:val="24"/>
          <w:highlight w:val="none"/>
          <w:lang w:val="zh-CN"/>
          <w14:textFill>
            <w14:solidFill>
              <w14:schemeClr w14:val="tx1"/>
            </w14:solidFill>
          </w14:textFill>
        </w:rPr>
        <w:t>要求参加投标。在这次投标过程中和中标后，我们将严格遵守国家法律法规要求，并郑重承诺：</w:t>
      </w:r>
    </w:p>
    <w:p>
      <w:pPr>
        <w:autoSpaceDE w:val="0"/>
        <w:autoSpaceDN w:val="0"/>
        <w:ind w:left="2" w:leftChars="1" w:firstLine="480" w:firstLineChars="200"/>
        <w:outlineLvl w:val="9"/>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 xml:space="preserve">一、不向项目有关人员及部门赠送礼金礼物、有价证券、回扣以及中介费、介绍费、咨询费等好处费； </w:t>
      </w:r>
    </w:p>
    <w:p>
      <w:pPr>
        <w:autoSpaceDE w:val="0"/>
        <w:autoSpaceDN w:val="0"/>
        <w:ind w:left="2" w:leftChars="1" w:firstLine="480" w:firstLineChars="200"/>
        <w:outlineLvl w:val="9"/>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 xml:space="preserve">二、不为项目有关人员及部门报销应由你方单位或个人支付的费用； </w:t>
      </w:r>
    </w:p>
    <w:p>
      <w:pPr>
        <w:autoSpaceDE w:val="0"/>
        <w:autoSpaceDN w:val="0"/>
        <w:ind w:left="2" w:leftChars="1" w:firstLine="480" w:firstLineChars="200"/>
        <w:outlineLvl w:val="9"/>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三、不向项目有关人员及部门提供有可能影响公正的宴请和健身娱乐等活动；</w:t>
      </w:r>
    </w:p>
    <w:p>
      <w:pPr>
        <w:autoSpaceDE w:val="0"/>
        <w:autoSpaceDN w:val="0"/>
        <w:ind w:left="2" w:leftChars="1" w:firstLine="480" w:firstLineChars="200"/>
        <w:outlineLvl w:val="9"/>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四、不为项目有关人员及部门出国（境）、旅游等提供方便；</w:t>
      </w:r>
    </w:p>
    <w:p>
      <w:pPr>
        <w:autoSpaceDE w:val="0"/>
        <w:autoSpaceDN w:val="0"/>
        <w:ind w:left="2" w:leftChars="1" w:firstLine="480" w:firstLineChars="200"/>
        <w:outlineLvl w:val="9"/>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五、不为项目有关人员个人装修住房、婚丧嫁娶、配偶子女工作安排等提供好处；</w:t>
      </w:r>
    </w:p>
    <w:p>
      <w:pPr>
        <w:autoSpaceDE w:val="0"/>
        <w:autoSpaceDN w:val="0"/>
        <w:ind w:left="2" w:leftChars="1" w:firstLine="480" w:firstLineChars="200"/>
        <w:outlineLvl w:val="9"/>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六、严格遵守《中华人民共和国政府采购法》《中华人民共和国政府采购法</w:t>
      </w:r>
      <w:r>
        <w:rPr>
          <w:rFonts w:hint="eastAsia" w:ascii="仿宋" w:hAnsi="仿宋" w:eastAsia="仿宋" w:cs="仿宋"/>
          <w:color w:val="000000" w:themeColor="text1"/>
          <w:kern w:val="0"/>
          <w:szCs w:val="24"/>
          <w:highlight w:val="none"/>
          <w14:textFill>
            <w14:solidFill>
              <w14:schemeClr w14:val="tx1"/>
            </w14:solidFill>
          </w14:textFill>
        </w:rPr>
        <w:t>实施条例</w:t>
      </w:r>
      <w:r>
        <w:rPr>
          <w:rFonts w:hint="eastAsia" w:ascii="仿宋" w:hAnsi="仿宋" w:eastAsia="仿宋" w:cs="仿宋"/>
          <w:color w:val="000000" w:themeColor="text1"/>
          <w:kern w:val="0"/>
          <w:szCs w:val="24"/>
          <w:highlight w:val="none"/>
          <w:lang w:val="zh-CN"/>
          <w14:textFill>
            <w14:solidFill>
              <w14:schemeClr w14:val="tx1"/>
            </w14:solidFill>
          </w14:textFill>
        </w:rPr>
        <w:t>》《中华人民共和国民法典》等法律法规，诚实守信，合法经营，坚决抵制各种违法违纪行为。</w:t>
      </w:r>
    </w:p>
    <w:p>
      <w:pPr>
        <w:autoSpaceDE w:val="0"/>
        <w:autoSpaceDN w:val="0"/>
        <w:ind w:left="2" w:leftChars="1" w:firstLine="480" w:firstLineChars="200"/>
        <w:outlineLvl w:val="9"/>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如违反上述承诺，你单位有权立即取消我单位投标、中标或在建项目的建设资格，有权拒绝我单位在一定时期内进入你单位进行项目建设或其他经营活动，并通报财政局。由此引起的相应损失均由我单位承担。</w:t>
      </w:r>
    </w:p>
    <w:p>
      <w:pPr>
        <w:autoSpaceDE w:val="0"/>
        <w:autoSpaceDN w:val="0"/>
        <w:ind w:left="2"/>
        <w:outlineLvl w:val="9"/>
        <w:rPr>
          <w:rFonts w:ascii="仿宋" w:hAnsi="仿宋" w:eastAsia="仿宋" w:cs="仿宋"/>
          <w:color w:val="000000" w:themeColor="text1"/>
          <w:kern w:val="0"/>
          <w:szCs w:val="24"/>
          <w:highlight w:val="none"/>
          <w:lang w:val="zh-CN"/>
          <w14:textFill>
            <w14:solidFill>
              <w14:schemeClr w14:val="tx1"/>
            </w14:solidFill>
          </w14:textFill>
        </w:rPr>
      </w:pPr>
    </w:p>
    <w:p>
      <w:pPr>
        <w:autoSpaceDE w:val="0"/>
        <w:autoSpaceDN w:val="0"/>
        <w:ind w:left="2"/>
        <w:outlineLvl w:val="9"/>
        <w:rPr>
          <w:rFonts w:ascii="仿宋" w:hAnsi="仿宋" w:eastAsia="仿宋" w:cs="仿宋"/>
          <w:color w:val="000000" w:themeColor="text1"/>
          <w:kern w:val="0"/>
          <w:szCs w:val="24"/>
          <w:highlight w:val="none"/>
          <w:lang w:val="zh-CN"/>
          <w14:textFill>
            <w14:solidFill>
              <w14:schemeClr w14:val="tx1"/>
            </w14:solidFill>
          </w14:textFill>
        </w:rPr>
      </w:pPr>
    </w:p>
    <w:p>
      <w:pPr>
        <w:autoSpaceDE w:val="0"/>
        <w:autoSpaceDN w:val="0"/>
        <w:ind w:left="2"/>
        <w:outlineLvl w:val="9"/>
        <w:rPr>
          <w:rFonts w:ascii="仿宋" w:hAnsi="仿宋" w:eastAsia="仿宋" w:cs="仿宋"/>
          <w:color w:val="000000" w:themeColor="text1"/>
          <w:kern w:val="0"/>
          <w:szCs w:val="24"/>
          <w:highlight w:val="none"/>
          <w:lang w:val="zh-CN"/>
          <w14:textFill>
            <w14:solidFill>
              <w14:schemeClr w14:val="tx1"/>
            </w14:solidFill>
          </w14:textFill>
        </w:rPr>
      </w:pPr>
    </w:p>
    <w:p>
      <w:pPr>
        <w:autoSpaceDE w:val="0"/>
        <w:autoSpaceDN w:val="0"/>
        <w:ind w:left="2" w:leftChars="1" w:right="1120" w:firstLine="4560" w:firstLineChars="1900"/>
        <w:outlineLvl w:val="9"/>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val="zh-CN"/>
          <w14:textFill>
            <w14:solidFill>
              <w14:schemeClr w14:val="tx1"/>
            </w14:solidFill>
          </w14:textFill>
        </w:rPr>
        <w:t>：</w:t>
      </w:r>
    </w:p>
    <w:p>
      <w:pPr>
        <w:ind w:firstLine="4560" w:firstLineChars="1900"/>
        <w:outlineLvl w:val="9"/>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日期</w:t>
      </w:r>
      <w:r>
        <w:rPr>
          <w:rFonts w:hint="eastAsia" w:ascii="仿宋" w:hAnsi="仿宋" w:eastAsia="仿宋" w:cs="仿宋"/>
          <w:color w:val="000000" w:themeColor="text1"/>
          <w:kern w:val="0"/>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lang w:val="zh-CN"/>
          <w14:textFill>
            <w14:solidFill>
              <w14:schemeClr w14:val="tx1"/>
            </w14:solidFill>
          </w14:textFill>
        </w:rPr>
        <w:t xml:space="preserve">   年   月   日</w:t>
      </w:r>
    </w:p>
    <w:p>
      <w:pPr>
        <w:outlineLvl w:val="9"/>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br w:type="page"/>
      </w:r>
    </w:p>
    <w:p>
      <w:pPr>
        <w:keepNext/>
        <w:keepLines/>
        <w:spacing w:before="80" w:after="80" w:line="240" w:lineRule="auto"/>
        <w:ind w:left="420" w:hanging="420"/>
        <w:jc w:val="center"/>
        <w:outlineLvl w:val="9"/>
        <w:rPr>
          <w:rFonts w:ascii="仿宋" w:hAnsi="仿宋" w:eastAsia="仿宋" w:cs="仿宋"/>
          <w:b/>
          <w:bCs/>
          <w:color w:val="000000" w:themeColor="text1"/>
          <w:sz w:val="30"/>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五、</w:t>
      </w:r>
      <w:r>
        <w:rPr>
          <w:rFonts w:hint="eastAsia" w:ascii="仿宋" w:hAnsi="仿宋" w:eastAsia="仿宋" w:cs="仿宋"/>
          <w:b/>
          <w:bCs/>
          <w:color w:val="000000" w:themeColor="text1"/>
          <w:sz w:val="32"/>
          <w:szCs w:val="32"/>
          <w:highlight w:val="none"/>
          <w:lang w:val="zh-CN"/>
          <w14:textFill>
            <w14:solidFill>
              <w14:schemeClr w14:val="tx1"/>
            </w14:solidFill>
          </w14:textFill>
        </w:rPr>
        <w:t>实质性响应一览表</w:t>
      </w:r>
    </w:p>
    <w:p>
      <w:pPr>
        <w:shd w:val="clear" w:color="auto" w:fill="FFFFFF"/>
        <w:tabs>
          <w:tab w:val="left" w:pos="3045"/>
        </w:tabs>
        <w:autoSpaceDE w:val="0"/>
        <w:autoSpaceDN w:val="0"/>
        <w:adjustRightInd w:val="0"/>
        <w:snapToGrid w:val="0"/>
        <w:spacing w:line="360" w:lineRule="exact"/>
        <w:jc w:val="center"/>
        <w:outlineLvl w:val="9"/>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（投标人须对本附表所有内容逐条响应且无负偏离，否则其</w:t>
      </w:r>
      <w:r>
        <w:rPr>
          <w:rFonts w:hint="eastAsia" w:ascii="仿宋" w:hAnsi="仿宋" w:eastAsia="仿宋" w:cs="仿宋"/>
          <w:b/>
          <w:color w:val="000000" w:themeColor="text1"/>
          <w:highlight w:val="none"/>
          <w14:textFill>
            <w14:solidFill>
              <w14:schemeClr w14:val="tx1"/>
            </w14:solidFill>
          </w14:textFill>
        </w:rPr>
        <w:t>投标无效</w:t>
      </w:r>
      <w:r>
        <w:rPr>
          <w:rFonts w:hint="eastAsia" w:ascii="仿宋" w:hAnsi="仿宋" w:eastAsia="仿宋" w:cs="仿宋"/>
          <w:bCs/>
          <w:color w:val="000000" w:themeColor="text1"/>
          <w:highlight w:val="none"/>
          <w14:textFill>
            <w14:solidFill>
              <w14:schemeClr w14:val="tx1"/>
            </w14:solidFill>
          </w14:textFill>
        </w:rPr>
        <w:t>）</w:t>
      </w:r>
    </w:p>
    <w:tbl>
      <w:tblPr>
        <w:tblStyle w:val="14"/>
        <w:tblW w:w="9413"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3"/>
        <w:gridCol w:w="1978"/>
        <w:gridCol w:w="4292"/>
        <w:gridCol w:w="184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73" w:type="dxa"/>
            <w:vMerge w:val="restart"/>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6270" w:type="dxa"/>
            <w:gridSpan w:val="2"/>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招标文件要求的实质性响应内容</w:t>
            </w:r>
          </w:p>
        </w:tc>
        <w:tc>
          <w:tcPr>
            <w:tcW w:w="1840" w:type="dxa"/>
            <w:vMerge w:val="restart"/>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投标文件响应的具体内容</w:t>
            </w:r>
          </w:p>
        </w:tc>
        <w:tc>
          <w:tcPr>
            <w:tcW w:w="730" w:type="dxa"/>
            <w:vMerge w:val="restart"/>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73" w:type="dxa"/>
            <w:vMerge w:val="continue"/>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实质性要求</w:t>
            </w:r>
          </w:p>
        </w:tc>
        <w:tc>
          <w:tcPr>
            <w:tcW w:w="4292"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招标文件中的规定</w:t>
            </w:r>
          </w:p>
        </w:tc>
        <w:tc>
          <w:tcPr>
            <w:tcW w:w="1840" w:type="dxa"/>
            <w:vMerge w:val="continue"/>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vMerge w:val="continue"/>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投标有效期</w:t>
            </w:r>
          </w:p>
        </w:tc>
        <w:tc>
          <w:tcPr>
            <w:tcW w:w="4292" w:type="dxa"/>
            <w:shd w:val="clear" w:color="auto" w:fill="auto"/>
            <w:vAlign w:val="center"/>
          </w:tcPr>
          <w:p>
            <w:pPr>
              <w:shd w:val="clear" w:color="auto" w:fill="FFFFFF"/>
              <w:autoSpaceDE w:val="0"/>
              <w:autoSpaceDN w:val="0"/>
              <w:spacing w:line="360" w:lineRule="exact"/>
              <w:outlineLvl w:val="9"/>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default" w:ascii="仿宋" w:hAnsi="仿宋" w:eastAsia="仿宋" w:cs="仿宋"/>
                <w:color w:val="000000" w:themeColor="text1"/>
                <w:sz w:val="21"/>
                <w:szCs w:val="21"/>
                <w:highlight w:val="none"/>
                <w:lang w:val="en-US" w:eastAsia="zh-CN"/>
                <w14:textFill>
                  <w14:solidFill>
                    <w14:schemeClr w14:val="tx1"/>
                  </w14:solidFill>
                </w14:textFill>
              </w:rPr>
              <w:t>90日历日</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投标人在</w:t>
            </w:r>
            <w:r>
              <w:rPr>
                <w:rFonts w:hint="eastAsia" w:ascii="仿宋" w:hAnsi="仿宋" w:eastAsia="仿宋" w:cs="仿宋"/>
                <w:color w:val="000000" w:themeColor="text1"/>
                <w:sz w:val="21"/>
                <w:szCs w:val="21"/>
                <w:highlight w:val="none"/>
                <w14:textFill>
                  <w14:solidFill>
                    <w14:schemeClr w14:val="tx1"/>
                  </w14:solidFill>
                </w14:textFill>
              </w:rPr>
              <w:t>此处填写</w:t>
            </w:r>
            <w:r>
              <w:rPr>
                <w:rFonts w:hint="eastAsia" w:ascii="仿宋" w:hAnsi="仿宋" w:eastAsia="仿宋" w:cs="仿宋"/>
                <w:color w:val="000000" w:themeColor="text1"/>
                <w:sz w:val="21"/>
                <w:szCs w:val="21"/>
                <w:highlight w:val="none"/>
                <w:lang w:val="en-US" w:eastAsia="zh-CN"/>
                <w14:textFill>
                  <w14:solidFill>
                    <w14:schemeClr w14:val="tx1"/>
                  </w14:solidFill>
                </w14:textFill>
              </w:rPr>
              <w:t>相关响应内容或投标文件中对应内容的页码</w:t>
            </w: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w:t>
            </w:r>
            <w:r>
              <w:rPr>
                <w:rFonts w:hint="eastAsia" w:ascii="仿宋" w:hAnsi="仿宋" w:eastAsia="仿宋" w:cs="仿宋"/>
                <w:color w:val="000000" w:themeColor="text1"/>
                <w:sz w:val="21"/>
                <w:szCs w:val="21"/>
                <w:highlight w:val="none"/>
                <w:lang w:val="en-US" w:eastAsia="zh-CN"/>
                <w14:textFill>
                  <w14:solidFill>
                    <w14:schemeClr w14:val="tx1"/>
                  </w14:solidFill>
                </w14:textFill>
              </w:rPr>
              <w:t>项</w:t>
            </w:r>
            <w:r>
              <w:rPr>
                <w:rFonts w:hint="eastAsia" w:ascii="仿宋" w:hAnsi="仿宋" w:eastAsia="仿宋" w:cs="仿宋"/>
                <w:color w:val="000000" w:themeColor="text1"/>
                <w:sz w:val="21"/>
                <w:szCs w:val="21"/>
                <w:highlight w:val="none"/>
                <w14:textFill>
                  <w14:solidFill>
                    <w14:schemeClr w14:val="tx1"/>
                  </w14:solidFill>
                </w14:textFill>
              </w:rPr>
              <w:t>商务要求中“交货期”</w:t>
            </w:r>
          </w:p>
        </w:tc>
        <w:tc>
          <w:tcPr>
            <w:tcW w:w="4292"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自合同签订之日起30个日历日内交货并完成安装调试。</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w:t>
            </w:r>
            <w:r>
              <w:rPr>
                <w:rFonts w:hint="eastAsia" w:ascii="仿宋" w:hAnsi="仿宋" w:eastAsia="仿宋" w:cs="仿宋"/>
                <w:color w:val="000000" w:themeColor="text1"/>
                <w:sz w:val="21"/>
                <w:szCs w:val="21"/>
                <w:highlight w:val="none"/>
                <w:lang w:val="en-US" w:eastAsia="zh-CN"/>
                <w14:textFill>
                  <w14:solidFill>
                    <w14:schemeClr w14:val="tx1"/>
                  </w14:solidFill>
                </w14:textFill>
              </w:rPr>
              <w:t>项</w:t>
            </w:r>
            <w:r>
              <w:rPr>
                <w:rFonts w:hint="eastAsia" w:ascii="仿宋" w:hAnsi="仿宋" w:eastAsia="仿宋" w:cs="仿宋"/>
                <w:color w:val="000000" w:themeColor="text1"/>
                <w:sz w:val="21"/>
                <w:szCs w:val="21"/>
                <w:highlight w:val="none"/>
                <w14:textFill>
                  <w14:solidFill>
                    <w14:schemeClr w14:val="tx1"/>
                  </w14:solidFill>
                </w14:textFill>
              </w:rPr>
              <w:t>商务要求中“交货地点”</w:t>
            </w:r>
          </w:p>
        </w:tc>
        <w:tc>
          <w:tcPr>
            <w:tcW w:w="4292"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新疆和田学院。</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w:t>
            </w:r>
            <w:r>
              <w:rPr>
                <w:rFonts w:hint="eastAsia" w:ascii="仿宋" w:hAnsi="仿宋" w:eastAsia="仿宋" w:cs="仿宋"/>
                <w:color w:val="000000" w:themeColor="text1"/>
                <w:sz w:val="21"/>
                <w:szCs w:val="21"/>
                <w:highlight w:val="none"/>
                <w:lang w:val="en-US" w:eastAsia="zh-CN"/>
                <w14:textFill>
                  <w14:solidFill>
                    <w14:schemeClr w14:val="tx1"/>
                  </w14:solidFill>
                </w14:textFill>
              </w:rPr>
              <w:t>项</w:t>
            </w:r>
            <w:r>
              <w:rPr>
                <w:rFonts w:hint="eastAsia" w:ascii="仿宋" w:hAnsi="仿宋" w:eastAsia="仿宋" w:cs="仿宋"/>
                <w:color w:val="000000" w:themeColor="text1"/>
                <w:sz w:val="21"/>
                <w:szCs w:val="21"/>
                <w:highlight w:val="none"/>
                <w14:textFill>
                  <w14:solidFill>
                    <w14:schemeClr w14:val="tx1"/>
                  </w14:solidFill>
                </w14:textFill>
              </w:rPr>
              <w:t>商务要求中“付款方式”</w:t>
            </w:r>
          </w:p>
        </w:tc>
        <w:tc>
          <w:tcPr>
            <w:tcW w:w="4292"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合同签订后支付合同金额30%的预付款，所有货物到场后经双方现场点验无误支付合同金额30%，所有货物安装调试完成、验收合格后支付合同金额40%。</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3"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1978" w:type="dxa"/>
            <w:shd w:val="clear" w:color="auto" w:fill="auto"/>
            <w:vAlign w:val="center"/>
          </w:tcPr>
          <w:p>
            <w:pPr>
              <w:spacing w:line="360" w:lineRule="exact"/>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w:t>
            </w:r>
            <w:r>
              <w:rPr>
                <w:rFonts w:hint="eastAsia" w:ascii="仿宋" w:hAnsi="仿宋" w:eastAsia="仿宋" w:cs="仿宋"/>
                <w:color w:val="000000" w:themeColor="text1"/>
                <w:sz w:val="21"/>
                <w:szCs w:val="21"/>
                <w:highlight w:val="none"/>
                <w:lang w:val="en-US" w:eastAsia="zh-CN"/>
                <w14:textFill>
                  <w14:solidFill>
                    <w14:schemeClr w14:val="tx1"/>
                  </w14:solidFill>
                </w14:textFill>
              </w:rPr>
              <w:t>项</w:t>
            </w:r>
            <w:r>
              <w:rPr>
                <w:rFonts w:hint="eastAsia" w:ascii="仿宋" w:hAnsi="仿宋" w:eastAsia="仿宋" w:cs="仿宋"/>
                <w:color w:val="000000" w:themeColor="text1"/>
                <w:sz w:val="21"/>
                <w:szCs w:val="21"/>
                <w:highlight w:val="none"/>
                <w14:textFill>
                  <w14:solidFill>
                    <w14:schemeClr w14:val="tx1"/>
                  </w14:solidFill>
                </w14:textFill>
              </w:rPr>
              <w:t>商务要求中“质保期”</w:t>
            </w:r>
          </w:p>
        </w:tc>
        <w:tc>
          <w:tcPr>
            <w:tcW w:w="4292" w:type="dxa"/>
            <w:shd w:val="clear" w:color="auto" w:fill="auto"/>
            <w:vAlign w:val="center"/>
          </w:tcPr>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4.1自验收合格之日起3年。</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4.2质量保证期内，如果证实货物是有缺陷的，包括潜在的缺陷或者使用不符合要求的材料等，中标人应立即免费维修或者更换有缺陷的货物或者部件，保证达到合同规定的技术以及性能要求。如果中标人在收到通知后5天内没有弥补缺陷，采购人可自行采取必要的补救措施，但风险和费用由中标人承担，采购人同时保留通过法律途径进行索赔的权利。</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4.3在质保期内，投标人应对货物出现的质量及安全问题负责处理解决并承担一切费用。</w:t>
            </w:r>
          </w:p>
          <w:p>
            <w:pPr>
              <w:pStyle w:val="37"/>
              <w:shd w:val="clear" w:color="auto" w:fill="FFFFFF"/>
              <w:spacing w:line="360" w:lineRule="exact"/>
              <w:ind w:firstLine="0" w:firstLineChars="0"/>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4.4质保期届满后，投标人对本合同项下货物提供终身维修服务，且维修时只收取所需维修部件的成本费，服务内容应与质保期内的要求相一致。</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4" w:hRule="atLeast"/>
        </w:trPr>
        <w:tc>
          <w:tcPr>
            <w:tcW w:w="573" w:type="dxa"/>
            <w:shd w:val="clear" w:color="auto" w:fill="auto"/>
            <w:vAlign w:val="center"/>
          </w:tcPr>
          <w:p>
            <w:pPr>
              <w:spacing w:line="360" w:lineRule="exact"/>
              <w:jc w:val="center"/>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1978" w:type="dxa"/>
            <w:shd w:val="clear" w:color="auto" w:fill="auto"/>
            <w:vAlign w:val="center"/>
          </w:tcPr>
          <w:p>
            <w:pPr>
              <w:spacing w:line="360" w:lineRule="exact"/>
              <w:jc w:val="center"/>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三项技术</w:t>
            </w:r>
            <w:r>
              <w:rPr>
                <w:rFonts w:hint="eastAsia" w:ascii="仿宋" w:hAnsi="仿宋" w:eastAsia="仿宋" w:cs="仿宋"/>
                <w:color w:val="000000" w:themeColor="text1"/>
                <w:sz w:val="21"/>
                <w:szCs w:val="21"/>
                <w:highlight w:val="none"/>
                <w14:textFill>
                  <w14:solidFill>
                    <w14:schemeClr w14:val="tx1"/>
                  </w14:solidFill>
                </w14:textFill>
              </w:rPr>
              <w:t>要求中“供货要求”</w:t>
            </w:r>
          </w:p>
        </w:tc>
        <w:tc>
          <w:tcPr>
            <w:tcW w:w="4292" w:type="dxa"/>
            <w:shd w:val="clear" w:color="auto" w:fill="auto"/>
            <w:vAlign w:val="center"/>
          </w:tcPr>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2.1按规定时间由投标人将符合参数的货物运抵采购人指定地点。</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2.2若所供货物与合同约定不符，采购人有权退货或要求投标人进行更换、补齐，因此造成逾期交货的，投标人应承担逾期交货的违约责任。</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2.3投标人应在接到采购人要求后7日内予以补救，所产生的费用及法律后果由投标人承担。</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73" w:type="dxa"/>
            <w:shd w:val="clear" w:color="auto" w:fill="auto"/>
            <w:vAlign w:val="center"/>
          </w:tcPr>
          <w:p>
            <w:pPr>
              <w:spacing w:line="360" w:lineRule="exact"/>
              <w:jc w:val="center"/>
              <w:outlineLvl w:val="9"/>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1978" w:type="dxa"/>
            <w:shd w:val="clear" w:color="auto" w:fill="auto"/>
            <w:vAlign w:val="center"/>
          </w:tcPr>
          <w:p>
            <w:pPr>
              <w:spacing w:line="360" w:lineRule="exact"/>
              <w:jc w:val="center"/>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三项技术</w:t>
            </w:r>
            <w:r>
              <w:rPr>
                <w:rFonts w:hint="eastAsia" w:ascii="仿宋" w:hAnsi="仿宋" w:eastAsia="仿宋" w:cs="仿宋"/>
                <w:color w:val="000000" w:themeColor="text1"/>
                <w:sz w:val="21"/>
                <w:szCs w:val="21"/>
                <w:highlight w:val="none"/>
                <w14:textFill>
                  <w14:solidFill>
                    <w14:schemeClr w14:val="tx1"/>
                  </w14:solidFill>
                </w14:textFill>
              </w:rPr>
              <w:t>要求中“验收标准”</w:t>
            </w:r>
          </w:p>
        </w:tc>
        <w:tc>
          <w:tcPr>
            <w:tcW w:w="4292" w:type="dxa"/>
            <w:shd w:val="clear" w:color="auto" w:fill="auto"/>
            <w:vAlign w:val="center"/>
          </w:tcPr>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3.1设备安装、调试完成后，由采购人组织验收，验收合格后，采购人及中标人双方共同签署验收文件。</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3.2设备到货：货物到货前应将安装环境要求书面通知给用户，并与用户协商足够准备时间。到货时需按用户要求免费将设备在双方商定的时间运到指定安装位置，并由安装工程师当场进行开箱检查。</w:t>
            </w:r>
          </w:p>
          <w:p>
            <w:pPr>
              <w:pStyle w:val="37"/>
              <w:shd w:val="clear" w:color="auto" w:fill="FFFFFF"/>
              <w:spacing w:line="360" w:lineRule="exact"/>
              <w:ind w:firstLine="0" w:firstLineChars="0"/>
              <w:outlineLvl w:val="9"/>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安装调试：设备经开箱检查确认一切正常后，由安装工程师免费执行安装调试直至达到验收指标（以技术规格要求指标为验收指标）。由用户单位进行使用性能方面的验收。设备的性能应符合投标人应答文件中承诺的技术指标，所有指标验收必须由用户确认。</w:t>
            </w:r>
          </w:p>
        </w:tc>
        <w:tc>
          <w:tcPr>
            <w:tcW w:w="184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c>
          <w:tcPr>
            <w:tcW w:w="730" w:type="dxa"/>
            <w:shd w:val="clear" w:color="auto" w:fill="auto"/>
            <w:vAlign w:val="center"/>
          </w:tcPr>
          <w:p>
            <w:pPr>
              <w:spacing w:line="360" w:lineRule="exact"/>
              <w:outlineLvl w:val="9"/>
              <w:rPr>
                <w:rFonts w:ascii="仿宋" w:hAnsi="仿宋" w:eastAsia="仿宋" w:cs="仿宋"/>
                <w:color w:val="000000" w:themeColor="text1"/>
                <w:sz w:val="21"/>
                <w:szCs w:val="21"/>
                <w:highlight w:val="none"/>
                <w14:textFill>
                  <w14:solidFill>
                    <w14:schemeClr w14:val="tx1"/>
                  </w14:solidFill>
                </w14:textFill>
              </w:rPr>
            </w:pPr>
          </w:p>
        </w:tc>
      </w:tr>
    </w:tbl>
    <w:p>
      <w:pPr>
        <w:pStyle w:val="12"/>
        <w:outlineLvl w:val="9"/>
        <w:rPr>
          <w:rFonts w:ascii="仿宋" w:hAnsi="仿宋" w:eastAsia="仿宋" w:cs="仿宋"/>
          <w:color w:val="000000" w:themeColor="text1"/>
          <w:sz w:val="24"/>
          <w:szCs w:val="24"/>
          <w:highlight w:val="none"/>
          <w14:textFill>
            <w14:solidFill>
              <w14:schemeClr w14:val="tx1"/>
            </w14:solidFill>
          </w14:textFill>
        </w:rPr>
      </w:pPr>
    </w:p>
    <w:bookmarkEnd w:id="440"/>
    <w:p>
      <w:pPr>
        <w:outlineLvl w:val="9"/>
        <w:rPr>
          <w:rFonts w:hint="eastAsia" w:ascii="仿宋" w:hAnsi="仿宋" w:eastAsia="仿宋" w:cs="仿宋"/>
          <w:color w:val="000000" w:themeColor="text1"/>
          <w:highlight w:val="none"/>
          <w:lang w:val="en-US" w:eastAsia="zh-CN"/>
          <w14:textFill>
            <w14:solidFill>
              <w14:schemeClr w14:val="tx1"/>
            </w14:solidFill>
          </w14:textFill>
        </w:rPr>
      </w:pPr>
      <w:bookmarkStart w:id="441" w:name="_Toc29880"/>
      <w:bookmarkStart w:id="442" w:name="_Toc163492930"/>
      <w:r>
        <w:rPr>
          <w:rFonts w:hint="eastAsia" w:ascii="仿宋" w:hAnsi="仿宋" w:eastAsia="仿宋" w:cs="仿宋"/>
          <w:color w:val="000000" w:themeColor="text1"/>
          <w:highlight w:val="none"/>
          <w:lang w:val="en-US" w:eastAsia="zh-CN"/>
          <w14:textFill>
            <w14:solidFill>
              <w14:schemeClr w14:val="tx1"/>
            </w14:solidFill>
          </w14:textFill>
        </w:rPr>
        <w:br w:type="page"/>
      </w:r>
    </w:p>
    <w:p>
      <w:pPr>
        <w:keepNext/>
        <w:keepLines/>
        <w:spacing w:before="100" w:after="100"/>
        <w:ind w:left="420" w:hanging="420"/>
        <w:jc w:val="center"/>
        <w:outlineLvl w:val="9"/>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六、售后服务方案</w:t>
      </w:r>
    </w:p>
    <w:p>
      <w:pPr>
        <w:jc w:val="left"/>
        <w:outlineLvl w:val="9"/>
        <w:rPr>
          <w:rFonts w:hint="eastAsia" w:ascii="仿宋" w:hAnsi="仿宋" w:eastAsia="仿宋" w:cs="仿宋"/>
          <w:bCs/>
          <w:color w:val="000000" w:themeColor="text1"/>
          <w:szCs w:val="21"/>
          <w:highlight w:val="none"/>
          <w:lang w:val="en-US" w:eastAsia="zh-CN"/>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投标人自拟。</w:t>
      </w:r>
    </w:p>
    <w:p>
      <w:pPr>
        <w:outlineLvl w:val="9"/>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b/>
          <w:bCs/>
          <w:color w:val="000000" w:themeColor="text1"/>
          <w:sz w:val="32"/>
          <w:szCs w:val="32"/>
          <w:highlight w:val="none"/>
          <w14:textFill>
            <w14:solidFill>
              <w14:schemeClr w14:val="tx1"/>
            </w14:solidFill>
          </w14:textFill>
        </w:rPr>
        <w:t>、业绩证明文件</w:t>
      </w:r>
      <w:bookmarkEnd w:id="441"/>
      <w:bookmarkEnd w:id="442"/>
    </w:p>
    <w:p>
      <w:pPr>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fldChar w:fldCharType="begin"/>
      </w:r>
      <w:r>
        <w:rPr>
          <w:rFonts w:hint="eastAsia" w:ascii="仿宋" w:hAnsi="仿宋" w:eastAsia="仿宋" w:cs="仿宋"/>
          <w:bCs/>
          <w:color w:val="000000" w:themeColor="text1"/>
          <w:szCs w:val="21"/>
          <w:highlight w:val="none"/>
          <w14:textFill>
            <w14:solidFill>
              <w14:schemeClr w14:val="tx1"/>
            </w14:solidFill>
          </w14:textFill>
        </w:rPr>
        <w:instrText xml:space="preserve"> LINK Word.Document.8 "D:\\音乐厅\\4通用设备\\招标文件\\音乐厅空调设备招标文件v1.0.doc" "OLE_LINK8" \r  \* MERGEFORMAT </w:instrText>
      </w:r>
      <w:r>
        <w:rPr>
          <w:rFonts w:hint="eastAsia" w:ascii="仿宋" w:hAnsi="仿宋" w:eastAsia="仿宋" w:cs="仿宋"/>
          <w:bCs/>
          <w:color w:val="000000" w:themeColor="text1"/>
          <w:szCs w:val="21"/>
          <w:highlight w:val="none"/>
          <w14:textFill>
            <w14:solidFill>
              <w14:schemeClr w14:val="tx1"/>
            </w14:solidFill>
          </w14:textFill>
        </w:rPr>
        <w:fldChar w:fldCharType="separate"/>
      </w:r>
      <w:r>
        <w:rPr>
          <w:rFonts w:hint="eastAsia" w:ascii="仿宋" w:hAnsi="仿宋" w:eastAsia="仿宋" w:cs="仿宋"/>
          <w:bCs/>
          <w:color w:val="000000" w:themeColor="text1"/>
          <w:szCs w:val="21"/>
          <w:highlight w:val="none"/>
          <w14:textFill>
            <w14:solidFill>
              <w14:schemeClr w14:val="tx1"/>
            </w14:solidFill>
          </w14:textFill>
        </w:rPr>
        <w:t>项目</w:t>
      </w:r>
      <w:r>
        <w:rPr>
          <w:rFonts w:hint="eastAsia" w:ascii="仿宋" w:hAnsi="仿宋" w:eastAsia="仿宋" w:cs="仿宋"/>
          <w:color w:val="000000" w:themeColor="text1"/>
          <w:szCs w:val="24"/>
          <w:highlight w:val="none"/>
          <w14:textFill>
            <w14:solidFill>
              <w14:schemeClr w14:val="tx1"/>
            </w14:solidFill>
          </w14:textFill>
        </w:rPr>
        <w:t>名称：</w:t>
      </w:r>
    </w:p>
    <w:p>
      <w:pPr>
        <w:outlineLvl w:val="9"/>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项目编号：</w:t>
      </w:r>
      <w:r>
        <w:rPr>
          <w:rFonts w:hint="eastAsia" w:ascii="仿宋" w:hAnsi="仿宋" w:eastAsia="仿宋" w:cs="仿宋"/>
          <w:bCs/>
          <w:color w:val="000000" w:themeColor="text1"/>
          <w:szCs w:val="21"/>
          <w:highlight w:val="none"/>
          <w14:textFill>
            <w14:solidFill>
              <w14:schemeClr w14:val="tx1"/>
            </w14:solidFill>
          </w14:textFill>
        </w:rPr>
        <w:fldChar w:fldCharType="end"/>
      </w:r>
    </w:p>
    <w:tbl>
      <w:tblPr>
        <w:tblStyle w:val="14"/>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43" w:name="_Hlk46779239"/>
            <w:r>
              <w:rPr>
                <w:rFonts w:hint="eastAsia" w:ascii="仿宋" w:hAnsi="仿宋" w:eastAsia="仿宋" w:cs="仿宋"/>
                <w:color w:val="000000" w:themeColor="text1"/>
                <w:sz w:val="21"/>
                <w:szCs w:val="21"/>
                <w:highlight w:val="none"/>
                <w14:textFill>
                  <w14:solidFill>
                    <w14:schemeClr w14:val="tx1"/>
                  </w14:solidFill>
                </w14:textFill>
              </w:rPr>
              <w:t>序号</w:t>
            </w:r>
          </w:p>
        </w:tc>
        <w:tc>
          <w:tcPr>
            <w:tcW w:w="1560" w:type="dxa"/>
            <w:shd w:val="clear" w:color="auto" w:fill="auto"/>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项目名称</w:t>
            </w:r>
          </w:p>
        </w:tc>
        <w:tc>
          <w:tcPr>
            <w:tcW w:w="1248" w:type="dxa"/>
            <w:shd w:val="clear" w:color="auto" w:fill="auto"/>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标的内容</w:t>
            </w:r>
          </w:p>
        </w:tc>
        <w:tc>
          <w:tcPr>
            <w:tcW w:w="1560" w:type="dxa"/>
            <w:shd w:val="clear" w:color="auto" w:fill="auto"/>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p>
        </w:tc>
        <w:tc>
          <w:tcPr>
            <w:tcW w:w="1344" w:type="dxa"/>
            <w:shd w:val="clear" w:color="auto" w:fill="auto"/>
            <w:vAlign w:val="center"/>
          </w:tcPr>
          <w:p>
            <w:pPr>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中标（成交）金额</w:t>
            </w:r>
          </w:p>
        </w:tc>
        <w:tc>
          <w:tcPr>
            <w:tcW w:w="1525" w:type="dxa"/>
            <w:shd w:val="clear" w:color="auto" w:fill="auto"/>
            <w:vAlign w:val="center"/>
          </w:tcPr>
          <w:p>
            <w:pPr>
              <w:spacing w:line="240" w:lineRule="auto"/>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采购合同签订时间</w:t>
            </w:r>
          </w:p>
        </w:tc>
        <w:tc>
          <w:tcPr>
            <w:tcW w:w="1091" w:type="dxa"/>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pPr>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pPr>
              <w:outlineLvl w:val="9"/>
              <w:rPr>
                <w:rFonts w:ascii="仿宋" w:hAnsi="仿宋" w:eastAsia="仿宋" w:cs="仿宋"/>
                <w:color w:val="000000" w:themeColor="text1"/>
                <w:sz w:val="21"/>
                <w:szCs w:val="21"/>
                <w:highlight w:val="none"/>
                <w14:textFill>
                  <w14:solidFill>
                    <w14:schemeClr w14:val="tx1"/>
                  </w14:solidFill>
                </w14:textFill>
              </w:rPr>
            </w:pPr>
          </w:p>
        </w:tc>
      </w:tr>
      <w:bookmarkEnd w:id="443"/>
    </w:tbl>
    <w:p>
      <w:pPr>
        <w:outlineLvl w:val="9"/>
        <w:rPr>
          <w:rFonts w:ascii="仿宋" w:hAnsi="仿宋" w:eastAsia="仿宋" w:cs="仿宋"/>
          <w:color w:val="000000" w:themeColor="text1"/>
          <w:szCs w:val="24"/>
          <w:highlight w:val="none"/>
          <w14:textFill>
            <w14:solidFill>
              <w14:schemeClr w14:val="tx1"/>
            </w14:solidFill>
          </w14:textFill>
        </w:rPr>
      </w:pPr>
    </w:p>
    <w:p>
      <w:pP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注：投标人须按相关要求提供相应的采购合同等业绩证明资料。</w:t>
      </w:r>
    </w:p>
    <w:p>
      <w:pPr>
        <w:widowControl/>
        <w:spacing w:before="100" w:beforeAutospacing="1" w:after="100" w:afterAutospacing="1"/>
        <w:outlineLvl w:val="9"/>
        <w:rPr>
          <w:rFonts w:ascii="仿宋" w:hAnsi="仿宋" w:eastAsia="仿宋" w:cs="仿宋"/>
          <w:color w:val="000000" w:themeColor="text1"/>
          <w:szCs w:val="21"/>
          <w:highlight w:val="none"/>
          <w14:textFill>
            <w14:solidFill>
              <w14:schemeClr w14:val="tx1"/>
            </w14:solidFill>
          </w14:textFill>
        </w:rPr>
      </w:pPr>
    </w:p>
    <w:p>
      <w:pPr>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投标人名称（</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 xml:space="preserve">： </w:t>
      </w:r>
    </w:p>
    <w:p>
      <w:pPr>
        <w:ind w:firstLine="42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日      期：</w:t>
      </w:r>
    </w:p>
    <w:p>
      <w:pPr>
        <w:ind w:firstLine="42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bookmarkStart w:id="444" w:name="_Toc26782"/>
      <w:bookmarkStart w:id="445" w:name="_Toc163492931"/>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b/>
          <w:bCs/>
          <w:color w:val="000000" w:themeColor="text1"/>
          <w:sz w:val="32"/>
          <w:szCs w:val="32"/>
          <w:highlight w:val="none"/>
          <w14:textFill>
            <w14:solidFill>
              <w14:schemeClr w14:val="tx1"/>
            </w14:solidFill>
          </w14:textFill>
        </w:rPr>
        <w:t>、拟派项目团队</w:t>
      </w:r>
      <w:bookmarkEnd w:id="444"/>
      <w:bookmarkEnd w:id="445"/>
    </w:p>
    <w:tbl>
      <w:tblPr>
        <w:tblStyle w:val="14"/>
        <w:tblW w:w="88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1216"/>
        <w:gridCol w:w="1243"/>
        <w:gridCol w:w="1036"/>
        <w:gridCol w:w="771"/>
        <w:gridCol w:w="1785"/>
        <w:gridCol w:w="1301"/>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团队成员</w:t>
            </w:r>
          </w:p>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姓名</w:t>
            </w: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工作单位</w:t>
            </w: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w:t>
            </w: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职称</w:t>
            </w: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注册证书（岗位证书）名称及编号</w:t>
            </w: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在团队中职务（岗位）</w:t>
            </w: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自有/外聘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46" w:name="_Toc100090784"/>
            <w:bookmarkStart w:id="447" w:name="_Toc99533292"/>
            <w:r>
              <w:rPr>
                <w:rFonts w:hint="eastAsia" w:ascii="仿宋" w:hAnsi="仿宋" w:eastAsia="仿宋" w:cs="仿宋"/>
                <w:color w:val="000000" w:themeColor="text1"/>
                <w:sz w:val="21"/>
                <w:szCs w:val="21"/>
                <w:highlight w:val="none"/>
                <w14:textFill>
                  <w14:solidFill>
                    <w14:schemeClr w14:val="tx1"/>
                  </w14:solidFill>
                </w14:textFill>
              </w:rPr>
              <w:t>1</w:t>
            </w:r>
            <w:bookmarkEnd w:id="446"/>
            <w:bookmarkEnd w:id="447"/>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48" w:name="_Toc99533293"/>
            <w:bookmarkStart w:id="449" w:name="_Toc100090785"/>
            <w:r>
              <w:rPr>
                <w:rFonts w:hint="eastAsia" w:ascii="仿宋" w:hAnsi="仿宋" w:eastAsia="仿宋" w:cs="仿宋"/>
                <w:color w:val="000000" w:themeColor="text1"/>
                <w:sz w:val="21"/>
                <w:szCs w:val="21"/>
                <w:highlight w:val="none"/>
                <w14:textFill>
                  <w14:solidFill>
                    <w14:schemeClr w14:val="tx1"/>
                  </w14:solidFill>
                </w14:textFill>
              </w:rPr>
              <w:t>2</w:t>
            </w:r>
            <w:bookmarkEnd w:id="448"/>
            <w:bookmarkEnd w:id="449"/>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50" w:name="_Toc100090786"/>
            <w:bookmarkStart w:id="451" w:name="_Toc99533294"/>
            <w:r>
              <w:rPr>
                <w:rFonts w:hint="eastAsia" w:ascii="仿宋" w:hAnsi="仿宋" w:eastAsia="仿宋" w:cs="仿宋"/>
                <w:color w:val="000000" w:themeColor="text1"/>
                <w:sz w:val="21"/>
                <w:szCs w:val="21"/>
                <w:highlight w:val="none"/>
                <w14:textFill>
                  <w14:solidFill>
                    <w14:schemeClr w14:val="tx1"/>
                  </w14:solidFill>
                </w14:textFill>
              </w:rPr>
              <w:t>3</w:t>
            </w:r>
            <w:bookmarkEnd w:id="450"/>
            <w:bookmarkEnd w:id="451"/>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52" w:name="_Toc99533295"/>
            <w:bookmarkStart w:id="453" w:name="_Toc100090787"/>
            <w:r>
              <w:rPr>
                <w:rFonts w:hint="eastAsia" w:ascii="仿宋" w:hAnsi="仿宋" w:eastAsia="仿宋" w:cs="仿宋"/>
                <w:color w:val="000000" w:themeColor="text1"/>
                <w:sz w:val="21"/>
                <w:szCs w:val="21"/>
                <w:highlight w:val="none"/>
                <w14:textFill>
                  <w14:solidFill>
                    <w14:schemeClr w14:val="tx1"/>
                  </w14:solidFill>
                </w14:textFill>
              </w:rPr>
              <w:t>4</w:t>
            </w:r>
            <w:bookmarkEnd w:id="452"/>
            <w:bookmarkEnd w:id="453"/>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54" w:name="_Toc100090788"/>
            <w:bookmarkStart w:id="455" w:name="_Toc99533296"/>
            <w:r>
              <w:rPr>
                <w:rFonts w:hint="eastAsia" w:ascii="仿宋" w:hAnsi="仿宋" w:eastAsia="仿宋" w:cs="仿宋"/>
                <w:color w:val="000000" w:themeColor="text1"/>
                <w:sz w:val="21"/>
                <w:szCs w:val="21"/>
                <w:highlight w:val="none"/>
                <w14:textFill>
                  <w14:solidFill>
                    <w14:schemeClr w14:val="tx1"/>
                  </w14:solidFill>
                </w14:textFill>
              </w:rPr>
              <w:t>5</w:t>
            </w:r>
            <w:bookmarkEnd w:id="454"/>
            <w:bookmarkEnd w:id="455"/>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56" w:name="_Toc99533297"/>
            <w:bookmarkStart w:id="457" w:name="_Toc100090789"/>
            <w:r>
              <w:rPr>
                <w:rFonts w:hint="eastAsia" w:ascii="仿宋" w:hAnsi="仿宋" w:eastAsia="仿宋" w:cs="仿宋"/>
                <w:color w:val="000000" w:themeColor="text1"/>
                <w:sz w:val="21"/>
                <w:szCs w:val="21"/>
                <w:highlight w:val="none"/>
                <w14:textFill>
                  <w14:solidFill>
                    <w14:schemeClr w14:val="tx1"/>
                  </w14:solidFill>
                </w14:textFill>
              </w:rPr>
              <w:t>6</w:t>
            </w:r>
            <w:bookmarkEnd w:id="456"/>
            <w:bookmarkEnd w:id="457"/>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58" w:name="_Toc99533298"/>
            <w:bookmarkStart w:id="459" w:name="_Toc100090790"/>
            <w:r>
              <w:rPr>
                <w:rFonts w:hint="eastAsia" w:ascii="仿宋" w:hAnsi="仿宋" w:eastAsia="仿宋" w:cs="仿宋"/>
                <w:color w:val="000000" w:themeColor="text1"/>
                <w:sz w:val="21"/>
                <w:szCs w:val="21"/>
                <w:highlight w:val="none"/>
                <w14:textFill>
                  <w14:solidFill>
                    <w14:schemeClr w14:val="tx1"/>
                  </w14:solidFill>
                </w14:textFill>
              </w:rPr>
              <w:t>7</w:t>
            </w:r>
            <w:bookmarkEnd w:id="458"/>
            <w:bookmarkEnd w:id="459"/>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60" w:name="_Toc99533299"/>
            <w:bookmarkStart w:id="461" w:name="_Toc100090791"/>
            <w:r>
              <w:rPr>
                <w:rFonts w:hint="eastAsia" w:ascii="仿宋" w:hAnsi="仿宋" w:eastAsia="仿宋" w:cs="仿宋"/>
                <w:color w:val="000000" w:themeColor="text1"/>
                <w:sz w:val="21"/>
                <w:szCs w:val="21"/>
                <w:highlight w:val="none"/>
                <w14:textFill>
                  <w14:solidFill>
                    <w14:schemeClr w14:val="tx1"/>
                  </w14:solidFill>
                </w14:textFill>
              </w:rPr>
              <w:t>8</w:t>
            </w:r>
            <w:bookmarkEnd w:id="460"/>
            <w:bookmarkEnd w:id="461"/>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62" w:name="_Toc100090792"/>
            <w:bookmarkStart w:id="463" w:name="_Toc99533300"/>
            <w:r>
              <w:rPr>
                <w:rFonts w:hint="eastAsia" w:ascii="仿宋" w:hAnsi="仿宋" w:eastAsia="仿宋" w:cs="仿宋"/>
                <w:color w:val="000000" w:themeColor="text1"/>
                <w:sz w:val="21"/>
                <w:szCs w:val="21"/>
                <w:highlight w:val="none"/>
                <w14:textFill>
                  <w14:solidFill>
                    <w14:schemeClr w14:val="tx1"/>
                  </w14:solidFill>
                </w14:textFill>
              </w:rPr>
              <w:t>9</w:t>
            </w:r>
            <w:bookmarkEnd w:id="462"/>
            <w:bookmarkEnd w:id="463"/>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74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bookmarkStart w:id="464" w:name="_Toc100090793"/>
            <w:bookmarkStart w:id="465" w:name="_Toc99533301"/>
            <w:r>
              <w:rPr>
                <w:rFonts w:hint="eastAsia" w:ascii="仿宋" w:hAnsi="仿宋" w:eastAsia="仿宋" w:cs="仿宋"/>
                <w:color w:val="000000" w:themeColor="text1"/>
                <w:sz w:val="21"/>
                <w:szCs w:val="21"/>
                <w:highlight w:val="none"/>
                <w14:textFill>
                  <w14:solidFill>
                    <w14:schemeClr w14:val="tx1"/>
                  </w14:solidFill>
                </w14:textFill>
              </w:rPr>
              <w:t>10</w:t>
            </w:r>
            <w:bookmarkEnd w:id="464"/>
            <w:bookmarkEnd w:id="465"/>
          </w:p>
        </w:tc>
        <w:tc>
          <w:tcPr>
            <w:tcW w:w="1216"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243" w:type="dxa"/>
            <w:tcBorders>
              <w:righ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71" w:type="dxa"/>
            <w:tcBorders>
              <w:left w:val="single" w:color="auto" w:sz="4" w:space="0"/>
            </w:tcBorders>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785"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1301"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c>
          <w:tcPr>
            <w:tcW w:w="783" w:type="dxa"/>
            <w:vAlign w:val="center"/>
          </w:tcPr>
          <w:p>
            <w:pPr>
              <w:pStyle w:val="20"/>
              <w:jc w:val="center"/>
              <w:outlineLvl w:val="9"/>
              <w:rPr>
                <w:rFonts w:ascii="仿宋" w:hAnsi="仿宋" w:eastAsia="仿宋" w:cs="仿宋"/>
                <w:color w:val="000000" w:themeColor="text1"/>
                <w:sz w:val="21"/>
                <w:szCs w:val="21"/>
                <w:highlight w:val="none"/>
                <w14:textFill>
                  <w14:solidFill>
                    <w14:schemeClr w14:val="tx1"/>
                  </w14:solidFill>
                </w14:textFill>
              </w:rPr>
            </w:pPr>
          </w:p>
        </w:tc>
      </w:tr>
    </w:tbl>
    <w:p>
      <w:pPr>
        <w:outlineLvl w:val="9"/>
        <w:rPr>
          <w:rFonts w:ascii="仿宋" w:hAnsi="仿宋" w:eastAsia="仿宋" w:cs="仿宋"/>
          <w:color w:val="000000" w:themeColor="text1"/>
          <w:sz w:val="21"/>
          <w:szCs w:val="21"/>
          <w:highlight w:val="none"/>
          <w14:textFill>
            <w14:solidFill>
              <w14:schemeClr w14:val="tx1"/>
            </w14:solidFill>
          </w14:textFill>
        </w:rPr>
      </w:pPr>
    </w:p>
    <w:p>
      <w:pP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注：按招标文件要求在本表后附相关人员证书。</w:t>
      </w:r>
    </w:p>
    <w:p>
      <w:pPr>
        <w:outlineLvl w:val="9"/>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说明：如投标人中标，须按本表项目组成人员操作，不得随意更换。</w:t>
      </w:r>
    </w:p>
    <w:p>
      <w:pPr>
        <w:outlineLvl w:val="9"/>
        <w:rPr>
          <w:rFonts w:ascii="仿宋" w:hAnsi="仿宋" w:eastAsia="仿宋" w:cs="仿宋"/>
          <w:color w:val="000000" w:themeColor="text1"/>
          <w:sz w:val="21"/>
          <w:szCs w:val="21"/>
          <w:highlight w:val="none"/>
          <w14:textFill>
            <w14:solidFill>
              <w14:schemeClr w14:val="tx1"/>
            </w14:solidFill>
          </w14:textFill>
        </w:rPr>
      </w:pPr>
      <w:bookmarkStart w:id="466" w:name="_Toc5913"/>
      <w:bookmarkStart w:id="467" w:name="_Toc163492935"/>
      <w:r>
        <w:rPr>
          <w:rFonts w:hint="eastAsia" w:ascii="仿宋" w:hAnsi="仿宋" w:eastAsia="仿宋" w:cs="仿宋"/>
          <w:color w:val="000000" w:themeColor="text1"/>
          <w:sz w:val="21"/>
          <w:szCs w:val="21"/>
          <w:highlight w:val="none"/>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sz w:val="32"/>
          <w:szCs w:val="32"/>
        </w:rPr>
      </w:pPr>
      <w:bookmarkStart w:id="468" w:name="_Toc163492934"/>
      <w:bookmarkStart w:id="469" w:name="_Toc27056"/>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、技术响应偏离表</w:t>
      </w:r>
      <w:bookmarkEnd w:id="468"/>
      <w:bookmarkEnd w:id="469"/>
    </w:p>
    <w:p>
      <w:pPr>
        <w:outlineLvl w:val="9"/>
        <w:rPr>
          <w:rFonts w:ascii="仿宋" w:hAnsi="仿宋" w:eastAsia="仿宋" w:cs="仿宋"/>
          <w:szCs w:val="24"/>
        </w:rPr>
      </w:pPr>
      <w:r>
        <w:rPr>
          <w:rFonts w:hint="eastAsia" w:ascii="仿宋" w:hAnsi="仿宋" w:eastAsia="仿宋" w:cs="仿宋"/>
          <w:szCs w:val="24"/>
          <w:lang w:val="en-US" w:eastAsia="zh-CN"/>
        </w:rPr>
        <w:t>项目</w:t>
      </w:r>
      <w:r>
        <w:rPr>
          <w:rFonts w:hint="eastAsia" w:ascii="仿宋" w:hAnsi="仿宋" w:eastAsia="仿宋" w:cs="仿宋"/>
          <w:szCs w:val="24"/>
        </w:rPr>
        <w:t>名称：</w:t>
      </w:r>
    </w:p>
    <w:p>
      <w:pPr>
        <w:outlineLvl w:val="9"/>
        <w:rPr>
          <w:rFonts w:ascii="仿宋" w:hAnsi="仿宋" w:eastAsia="仿宋" w:cs="仿宋"/>
          <w:szCs w:val="24"/>
        </w:rPr>
      </w:pPr>
      <w:r>
        <w:rPr>
          <w:rFonts w:hint="eastAsia" w:ascii="仿宋" w:hAnsi="仿宋" w:eastAsia="仿宋" w:cs="仿宋"/>
          <w:szCs w:val="24"/>
          <w:lang w:val="en-US" w:eastAsia="zh-CN"/>
        </w:rPr>
        <w:t>项目</w:t>
      </w:r>
      <w:r>
        <w:rPr>
          <w:rFonts w:hint="eastAsia" w:ascii="仿宋" w:hAnsi="仿宋" w:eastAsia="仿宋" w:cs="仿宋"/>
          <w:szCs w:val="24"/>
        </w:rPr>
        <w:t>编号：</w:t>
      </w:r>
    </w:p>
    <w:tbl>
      <w:tblPr>
        <w:tblStyle w:val="1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6"/>
        <w:gridCol w:w="1604"/>
        <w:gridCol w:w="1427"/>
        <w:gridCol w:w="1751"/>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9"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序号</w:t>
            </w:r>
          </w:p>
        </w:tc>
        <w:tc>
          <w:tcPr>
            <w:tcW w:w="1456" w:type="dxa"/>
            <w:vAlign w:val="center"/>
          </w:tcPr>
          <w:p>
            <w:pPr>
              <w:pStyle w:val="20"/>
              <w:jc w:val="center"/>
              <w:outlineLvl w:val="9"/>
              <w:rPr>
                <w:rFonts w:hint="eastAsia" w:ascii="仿宋" w:hAnsi="仿宋" w:eastAsia="仿宋" w:cs="仿宋"/>
                <w:sz w:val="21"/>
                <w:szCs w:val="21"/>
              </w:rPr>
            </w:pPr>
            <w:r>
              <w:rPr>
                <w:rFonts w:hint="eastAsia" w:ascii="仿宋" w:hAnsi="仿宋" w:eastAsia="仿宋" w:cs="仿宋"/>
                <w:sz w:val="21"/>
                <w:szCs w:val="21"/>
              </w:rPr>
              <w:t>标的名称</w:t>
            </w:r>
          </w:p>
        </w:tc>
        <w:tc>
          <w:tcPr>
            <w:tcW w:w="1604"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招标文件技术</w:t>
            </w:r>
          </w:p>
          <w:p>
            <w:pPr>
              <w:pStyle w:val="20"/>
              <w:jc w:val="center"/>
              <w:outlineLvl w:val="9"/>
              <w:rPr>
                <w:rFonts w:ascii="仿宋" w:hAnsi="仿宋" w:eastAsia="仿宋" w:cs="仿宋"/>
                <w:sz w:val="21"/>
                <w:szCs w:val="21"/>
              </w:rPr>
            </w:pPr>
            <w:r>
              <w:rPr>
                <w:rFonts w:hint="eastAsia" w:ascii="仿宋" w:hAnsi="仿宋" w:eastAsia="仿宋" w:cs="仿宋"/>
                <w:sz w:val="21"/>
                <w:szCs w:val="21"/>
              </w:rPr>
              <w:t>要求条款</w:t>
            </w:r>
          </w:p>
        </w:tc>
        <w:tc>
          <w:tcPr>
            <w:tcW w:w="1427"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投标文件内容对应简述</w:t>
            </w:r>
          </w:p>
        </w:tc>
        <w:tc>
          <w:tcPr>
            <w:tcW w:w="1751"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响应情况</w:t>
            </w:r>
          </w:p>
        </w:tc>
        <w:tc>
          <w:tcPr>
            <w:tcW w:w="1572"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证明资料及索引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9"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1</w:t>
            </w:r>
          </w:p>
        </w:tc>
        <w:tc>
          <w:tcPr>
            <w:tcW w:w="1456" w:type="dxa"/>
            <w:vAlign w:val="center"/>
          </w:tcPr>
          <w:p>
            <w:pPr>
              <w:pStyle w:val="20"/>
              <w:jc w:val="center"/>
              <w:outlineLvl w:val="9"/>
              <w:rPr>
                <w:rFonts w:hint="eastAsia" w:ascii="仿宋" w:hAnsi="仿宋" w:eastAsia="仿宋" w:cs="仿宋"/>
                <w:color w:val="FF0000"/>
                <w:sz w:val="21"/>
                <w:szCs w:val="21"/>
              </w:rPr>
            </w:pPr>
          </w:p>
        </w:tc>
        <w:tc>
          <w:tcPr>
            <w:tcW w:w="1604" w:type="dxa"/>
            <w:vAlign w:val="center"/>
          </w:tcPr>
          <w:p>
            <w:pPr>
              <w:pStyle w:val="20"/>
              <w:jc w:val="center"/>
              <w:outlineLvl w:val="9"/>
              <w:rPr>
                <w:rFonts w:ascii="仿宋" w:hAnsi="仿宋" w:eastAsia="仿宋" w:cs="仿宋"/>
                <w:color w:val="FF0000"/>
                <w:sz w:val="21"/>
                <w:szCs w:val="21"/>
              </w:rPr>
            </w:pPr>
          </w:p>
        </w:tc>
        <w:tc>
          <w:tcPr>
            <w:tcW w:w="1427" w:type="dxa"/>
            <w:vAlign w:val="center"/>
          </w:tcPr>
          <w:p>
            <w:pPr>
              <w:pStyle w:val="20"/>
              <w:jc w:val="center"/>
              <w:outlineLvl w:val="9"/>
              <w:rPr>
                <w:rFonts w:ascii="仿宋" w:hAnsi="仿宋" w:eastAsia="仿宋" w:cs="仿宋"/>
                <w:sz w:val="21"/>
                <w:szCs w:val="21"/>
              </w:rPr>
            </w:pPr>
          </w:p>
        </w:tc>
        <w:tc>
          <w:tcPr>
            <w:tcW w:w="1751"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响应/正偏离/负偏离</w:t>
            </w:r>
          </w:p>
        </w:tc>
        <w:tc>
          <w:tcPr>
            <w:tcW w:w="1572" w:type="dxa"/>
            <w:vAlign w:val="center"/>
          </w:tcPr>
          <w:p>
            <w:pPr>
              <w:pStyle w:val="20"/>
              <w:jc w:val="center"/>
              <w:outlineLvl w:val="9"/>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9"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2</w:t>
            </w:r>
          </w:p>
        </w:tc>
        <w:tc>
          <w:tcPr>
            <w:tcW w:w="1456" w:type="dxa"/>
            <w:vAlign w:val="center"/>
          </w:tcPr>
          <w:p>
            <w:pPr>
              <w:pStyle w:val="20"/>
              <w:jc w:val="center"/>
              <w:outlineLvl w:val="9"/>
              <w:rPr>
                <w:rFonts w:hint="eastAsia" w:ascii="仿宋" w:hAnsi="仿宋" w:eastAsia="仿宋" w:cs="仿宋"/>
                <w:color w:val="FF0000"/>
                <w:sz w:val="21"/>
                <w:szCs w:val="21"/>
              </w:rPr>
            </w:pPr>
          </w:p>
        </w:tc>
        <w:tc>
          <w:tcPr>
            <w:tcW w:w="1604" w:type="dxa"/>
            <w:vAlign w:val="center"/>
          </w:tcPr>
          <w:p>
            <w:pPr>
              <w:pStyle w:val="20"/>
              <w:jc w:val="center"/>
              <w:outlineLvl w:val="9"/>
              <w:rPr>
                <w:rFonts w:ascii="仿宋" w:hAnsi="仿宋" w:eastAsia="仿宋" w:cs="仿宋"/>
                <w:color w:val="FF0000"/>
                <w:sz w:val="21"/>
                <w:szCs w:val="21"/>
              </w:rPr>
            </w:pPr>
          </w:p>
        </w:tc>
        <w:tc>
          <w:tcPr>
            <w:tcW w:w="1427" w:type="dxa"/>
            <w:vAlign w:val="center"/>
          </w:tcPr>
          <w:p>
            <w:pPr>
              <w:pStyle w:val="20"/>
              <w:jc w:val="center"/>
              <w:outlineLvl w:val="9"/>
              <w:rPr>
                <w:rFonts w:ascii="仿宋" w:hAnsi="仿宋" w:eastAsia="仿宋" w:cs="仿宋"/>
                <w:sz w:val="21"/>
                <w:szCs w:val="21"/>
              </w:rPr>
            </w:pPr>
          </w:p>
        </w:tc>
        <w:tc>
          <w:tcPr>
            <w:tcW w:w="1751" w:type="dxa"/>
            <w:vAlign w:val="center"/>
          </w:tcPr>
          <w:p>
            <w:pPr>
              <w:pStyle w:val="20"/>
              <w:jc w:val="center"/>
              <w:outlineLvl w:val="9"/>
              <w:rPr>
                <w:rFonts w:ascii="仿宋" w:hAnsi="仿宋" w:eastAsia="仿宋" w:cs="仿宋"/>
                <w:sz w:val="21"/>
                <w:szCs w:val="21"/>
              </w:rPr>
            </w:pPr>
          </w:p>
        </w:tc>
        <w:tc>
          <w:tcPr>
            <w:tcW w:w="1572" w:type="dxa"/>
            <w:vAlign w:val="center"/>
          </w:tcPr>
          <w:p>
            <w:pPr>
              <w:pStyle w:val="20"/>
              <w:jc w:val="center"/>
              <w:outlineLvl w:val="9"/>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shd w:val="clear" w:color="auto" w:fill="auto"/>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3</w:t>
            </w:r>
          </w:p>
        </w:tc>
        <w:tc>
          <w:tcPr>
            <w:tcW w:w="1456" w:type="dxa"/>
            <w:shd w:val="clear" w:color="auto" w:fill="auto"/>
            <w:vAlign w:val="center"/>
          </w:tcPr>
          <w:p>
            <w:pPr>
              <w:pStyle w:val="20"/>
              <w:jc w:val="center"/>
              <w:outlineLvl w:val="9"/>
              <w:rPr>
                <w:rFonts w:hint="eastAsia" w:ascii="仿宋" w:hAnsi="仿宋" w:eastAsia="仿宋" w:cs="仿宋"/>
                <w:color w:val="FF0000"/>
                <w:sz w:val="21"/>
                <w:szCs w:val="21"/>
              </w:rPr>
            </w:pPr>
          </w:p>
        </w:tc>
        <w:tc>
          <w:tcPr>
            <w:tcW w:w="1604" w:type="dxa"/>
            <w:shd w:val="clear" w:color="auto" w:fill="auto"/>
            <w:vAlign w:val="center"/>
          </w:tcPr>
          <w:p>
            <w:pPr>
              <w:pStyle w:val="20"/>
              <w:jc w:val="center"/>
              <w:outlineLvl w:val="9"/>
              <w:rPr>
                <w:rFonts w:ascii="仿宋" w:hAnsi="仿宋" w:eastAsia="仿宋" w:cs="仿宋"/>
                <w:color w:val="FF0000"/>
                <w:sz w:val="21"/>
                <w:szCs w:val="21"/>
              </w:rPr>
            </w:pPr>
          </w:p>
        </w:tc>
        <w:tc>
          <w:tcPr>
            <w:tcW w:w="1427" w:type="dxa"/>
            <w:shd w:val="clear" w:color="auto" w:fill="auto"/>
            <w:vAlign w:val="center"/>
          </w:tcPr>
          <w:p>
            <w:pPr>
              <w:pStyle w:val="20"/>
              <w:jc w:val="center"/>
              <w:outlineLvl w:val="9"/>
              <w:rPr>
                <w:rFonts w:ascii="仿宋" w:hAnsi="仿宋" w:eastAsia="仿宋" w:cs="仿宋"/>
                <w:sz w:val="21"/>
                <w:szCs w:val="21"/>
              </w:rPr>
            </w:pPr>
          </w:p>
        </w:tc>
        <w:tc>
          <w:tcPr>
            <w:tcW w:w="1751" w:type="dxa"/>
            <w:shd w:val="clear" w:color="auto" w:fill="auto"/>
            <w:vAlign w:val="center"/>
          </w:tcPr>
          <w:p>
            <w:pPr>
              <w:pStyle w:val="20"/>
              <w:jc w:val="center"/>
              <w:outlineLvl w:val="9"/>
              <w:rPr>
                <w:rFonts w:ascii="仿宋" w:hAnsi="仿宋" w:eastAsia="仿宋" w:cs="仿宋"/>
                <w:sz w:val="21"/>
                <w:szCs w:val="21"/>
              </w:rPr>
            </w:pPr>
          </w:p>
        </w:tc>
        <w:tc>
          <w:tcPr>
            <w:tcW w:w="1572" w:type="dxa"/>
            <w:vAlign w:val="center"/>
          </w:tcPr>
          <w:p>
            <w:pPr>
              <w:pStyle w:val="20"/>
              <w:jc w:val="center"/>
              <w:outlineLvl w:val="9"/>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Align w:val="center"/>
          </w:tcPr>
          <w:p>
            <w:pPr>
              <w:pStyle w:val="20"/>
              <w:jc w:val="center"/>
              <w:outlineLvl w:val="9"/>
              <w:rPr>
                <w:rFonts w:ascii="仿宋" w:hAnsi="仿宋" w:eastAsia="仿宋" w:cs="仿宋"/>
                <w:sz w:val="21"/>
                <w:szCs w:val="21"/>
              </w:rPr>
            </w:pPr>
          </w:p>
        </w:tc>
        <w:tc>
          <w:tcPr>
            <w:tcW w:w="1456" w:type="dxa"/>
            <w:vAlign w:val="center"/>
          </w:tcPr>
          <w:p>
            <w:pPr>
              <w:pStyle w:val="20"/>
              <w:jc w:val="center"/>
              <w:outlineLvl w:val="9"/>
              <w:rPr>
                <w:rFonts w:ascii="仿宋" w:hAnsi="仿宋" w:eastAsia="仿宋" w:cs="仿宋"/>
                <w:sz w:val="21"/>
                <w:szCs w:val="21"/>
              </w:rPr>
            </w:pPr>
          </w:p>
        </w:tc>
        <w:tc>
          <w:tcPr>
            <w:tcW w:w="1604" w:type="dxa"/>
            <w:vAlign w:val="center"/>
          </w:tcPr>
          <w:p>
            <w:pPr>
              <w:pStyle w:val="20"/>
              <w:jc w:val="center"/>
              <w:outlineLvl w:val="9"/>
              <w:rPr>
                <w:rFonts w:ascii="仿宋" w:hAnsi="仿宋" w:eastAsia="仿宋" w:cs="仿宋"/>
                <w:sz w:val="21"/>
                <w:szCs w:val="21"/>
              </w:rPr>
            </w:pPr>
          </w:p>
        </w:tc>
        <w:tc>
          <w:tcPr>
            <w:tcW w:w="1427" w:type="dxa"/>
            <w:vAlign w:val="center"/>
          </w:tcPr>
          <w:p>
            <w:pPr>
              <w:pStyle w:val="20"/>
              <w:jc w:val="center"/>
              <w:outlineLvl w:val="9"/>
              <w:rPr>
                <w:rFonts w:ascii="仿宋" w:hAnsi="仿宋" w:eastAsia="仿宋" w:cs="仿宋"/>
                <w:sz w:val="21"/>
                <w:szCs w:val="21"/>
              </w:rPr>
            </w:pPr>
          </w:p>
        </w:tc>
        <w:tc>
          <w:tcPr>
            <w:tcW w:w="1751" w:type="dxa"/>
            <w:vAlign w:val="center"/>
          </w:tcPr>
          <w:p>
            <w:pPr>
              <w:pStyle w:val="20"/>
              <w:jc w:val="center"/>
              <w:outlineLvl w:val="9"/>
              <w:rPr>
                <w:rFonts w:ascii="仿宋" w:hAnsi="仿宋" w:eastAsia="仿宋" w:cs="仿宋"/>
                <w:sz w:val="21"/>
                <w:szCs w:val="21"/>
              </w:rPr>
            </w:pPr>
          </w:p>
        </w:tc>
        <w:tc>
          <w:tcPr>
            <w:tcW w:w="1572" w:type="dxa"/>
            <w:vAlign w:val="center"/>
          </w:tcPr>
          <w:p>
            <w:pPr>
              <w:pStyle w:val="20"/>
              <w:jc w:val="center"/>
              <w:outlineLvl w:val="9"/>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Align w:val="center"/>
          </w:tcPr>
          <w:p>
            <w:pPr>
              <w:pStyle w:val="20"/>
              <w:jc w:val="center"/>
              <w:outlineLvl w:val="9"/>
              <w:rPr>
                <w:rFonts w:ascii="仿宋" w:hAnsi="仿宋" w:eastAsia="仿宋" w:cs="仿宋"/>
                <w:sz w:val="21"/>
                <w:szCs w:val="21"/>
              </w:rPr>
            </w:pPr>
          </w:p>
        </w:tc>
        <w:tc>
          <w:tcPr>
            <w:tcW w:w="1456" w:type="dxa"/>
            <w:vAlign w:val="center"/>
          </w:tcPr>
          <w:p>
            <w:pPr>
              <w:pStyle w:val="20"/>
              <w:jc w:val="center"/>
              <w:outlineLvl w:val="9"/>
              <w:rPr>
                <w:rFonts w:ascii="仿宋" w:hAnsi="仿宋" w:eastAsia="仿宋" w:cs="仿宋"/>
                <w:sz w:val="21"/>
                <w:szCs w:val="21"/>
              </w:rPr>
            </w:pPr>
          </w:p>
        </w:tc>
        <w:tc>
          <w:tcPr>
            <w:tcW w:w="1604" w:type="dxa"/>
            <w:vAlign w:val="center"/>
          </w:tcPr>
          <w:p>
            <w:pPr>
              <w:pStyle w:val="20"/>
              <w:jc w:val="center"/>
              <w:outlineLvl w:val="9"/>
              <w:rPr>
                <w:rFonts w:ascii="仿宋" w:hAnsi="仿宋" w:eastAsia="仿宋" w:cs="仿宋"/>
                <w:sz w:val="21"/>
                <w:szCs w:val="21"/>
              </w:rPr>
            </w:pPr>
          </w:p>
        </w:tc>
        <w:tc>
          <w:tcPr>
            <w:tcW w:w="1427" w:type="dxa"/>
            <w:vAlign w:val="center"/>
          </w:tcPr>
          <w:p>
            <w:pPr>
              <w:pStyle w:val="20"/>
              <w:jc w:val="center"/>
              <w:outlineLvl w:val="9"/>
              <w:rPr>
                <w:rFonts w:ascii="仿宋" w:hAnsi="仿宋" w:eastAsia="仿宋" w:cs="仿宋"/>
                <w:sz w:val="21"/>
                <w:szCs w:val="21"/>
              </w:rPr>
            </w:pPr>
          </w:p>
        </w:tc>
        <w:tc>
          <w:tcPr>
            <w:tcW w:w="1751" w:type="dxa"/>
            <w:vAlign w:val="center"/>
          </w:tcPr>
          <w:p>
            <w:pPr>
              <w:pStyle w:val="20"/>
              <w:jc w:val="center"/>
              <w:outlineLvl w:val="9"/>
              <w:rPr>
                <w:rFonts w:ascii="仿宋" w:hAnsi="仿宋" w:eastAsia="仿宋" w:cs="仿宋"/>
                <w:sz w:val="21"/>
                <w:szCs w:val="21"/>
              </w:rPr>
            </w:pPr>
          </w:p>
        </w:tc>
        <w:tc>
          <w:tcPr>
            <w:tcW w:w="1572" w:type="dxa"/>
            <w:vAlign w:val="center"/>
          </w:tcPr>
          <w:p>
            <w:pPr>
              <w:pStyle w:val="20"/>
              <w:jc w:val="center"/>
              <w:outlineLvl w:val="9"/>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Align w:val="center"/>
          </w:tcPr>
          <w:p>
            <w:pPr>
              <w:pStyle w:val="20"/>
              <w:jc w:val="center"/>
              <w:outlineLvl w:val="9"/>
              <w:rPr>
                <w:rFonts w:ascii="仿宋" w:hAnsi="仿宋" w:eastAsia="仿宋" w:cs="仿宋"/>
                <w:sz w:val="21"/>
                <w:szCs w:val="21"/>
              </w:rPr>
            </w:pPr>
          </w:p>
        </w:tc>
        <w:tc>
          <w:tcPr>
            <w:tcW w:w="1456" w:type="dxa"/>
            <w:vAlign w:val="center"/>
          </w:tcPr>
          <w:p>
            <w:pPr>
              <w:pStyle w:val="20"/>
              <w:jc w:val="center"/>
              <w:outlineLvl w:val="9"/>
              <w:rPr>
                <w:rFonts w:ascii="仿宋" w:hAnsi="仿宋" w:eastAsia="仿宋" w:cs="仿宋"/>
                <w:sz w:val="21"/>
                <w:szCs w:val="21"/>
              </w:rPr>
            </w:pPr>
          </w:p>
        </w:tc>
        <w:tc>
          <w:tcPr>
            <w:tcW w:w="1604" w:type="dxa"/>
            <w:vAlign w:val="center"/>
          </w:tcPr>
          <w:p>
            <w:pPr>
              <w:pStyle w:val="20"/>
              <w:jc w:val="center"/>
              <w:outlineLvl w:val="9"/>
              <w:rPr>
                <w:rFonts w:ascii="仿宋" w:hAnsi="仿宋" w:eastAsia="仿宋" w:cs="仿宋"/>
                <w:sz w:val="21"/>
                <w:szCs w:val="21"/>
              </w:rPr>
            </w:pPr>
          </w:p>
        </w:tc>
        <w:tc>
          <w:tcPr>
            <w:tcW w:w="1427" w:type="dxa"/>
            <w:vAlign w:val="center"/>
          </w:tcPr>
          <w:p>
            <w:pPr>
              <w:pStyle w:val="20"/>
              <w:jc w:val="center"/>
              <w:outlineLvl w:val="9"/>
              <w:rPr>
                <w:rFonts w:ascii="仿宋" w:hAnsi="仿宋" w:eastAsia="仿宋" w:cs="仿宋"/>
                <w:sz w:val="21"/>
                <w:szCs w:val="21"/>
              </w:rPr>
            </w:pPr>
          </w:p>
        </w:tc>
        <w:tc>
          <w:tcPr>
            <w:tcW w:w="1751" w:type="dxa"/>
            <w:vAlign w:val="center"/>
          </w:tcPr>
          <w:p>
            <w:pPr>
              <w:pStyle w:val="20"/>
              <w:jc w:val="center"/>
              <w:outlineLvl w:val="9"/>
              <w:rPr>
                <w:rFonts w:ascii="仿宋" w:hAnsi="仿宋" w:eastAsia="仿宋" w:cs="仿宋"/>
                <w:sz w:val="21"/>
                <w:szCs w:val="21"/>
              </w:rPr>
            </w:pPr>
          </w:p>
        </w:tc>
        <w:tc>
          <w:tcPr>
            <w:tcW w:w="1572" w:type="dxa"/>
            <w:vAlign w:val="center"/>
          </w:tcPr>
          <w:p>
            <w:pPr>
              <w:pStyle w:val="20"/>
              <w:jc w:val="center"/>
              <w:outlineLvl w:val="9"/>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9" w:type="dxa"/>
            <w:vAlign w:val="center"/>
          </w:tcPr>
          <w:p>
            <w:pPr>
              <w:pStyle w:val="20"/>
              <w:jc w:val="center"/>
              <w:outlineLvl w:val="9"/>
              <w:rPr>
                <w:rFonts w:ascii="仿宋" w:hAnsi="仿宋" w:eastAsia="仿宋" w:cs="仿宋"/>
                <w:sz w:val="21"/>
                <w:szCs w:val="21"/>
              </w:rPr>
            </w:pPr>
          </w:p>
        </w:tc>
        <w:tc>
          <w:tcPr>
            <w:tcW w:w="1456" w:type="dxa"/>
            <w:vAlign w:val="center"/>
          </w:tcPr>
          <w:p>
            <w:pPr>
              <w:pStyle w:val="20"/>
              <w:jc w:val="center"/>
              <w:outlineLvl w:val="9"/>
              <w:rPr>
                <w:rFonts w:ascii="仿宋" w:hAnsi="仿宋" w:eastAsia="仿宋" w:cs="仿宋"/>
                <w:sz w:val="21"/>
                <w:szCs w:val="21"/>
              </w:rPr>
            </w:pPr>
          </w:p>
        </w:tc>
        <w:tc>
          <w:tcPr>
            <w:tcW w:w="1604" w:type="dxa"/>
            <w:vAlign w:val="center"/>
          </w:tcPr>
          <w:p>
            <w:pPr>
              <w:pStyle w:val="20"/>
              <w:jc w:val="center"/>
              <w:outlineLvl w:val="9"/>
              <w:rPr>
                <w:rFonts w:ascii="仿宋" w:hAnsi="仿宋" w:eastAsia="仿宋" w:cs="仿宋"/>
                <w:sz w:val="21"/>
                <w:szCs w:val="21"/>
              </w:rPr>
            </w:pPr>
          </w:p>
        </w:tc>
        <w:tc>
          <w:tcPr>
            <w:tcW w:w="1427" w:type="dxa"/>
            <w:vAlign w:val="center"/>
          </w:tcPr>
          <w:p>
            <w:pPr>
              <w:pStyle w:val="20"/>
              <w:jc w:val="center"/>
              <w:outlineLvl w:val="9"/>
              <w:rPr>
                <w:rFonts w:ascii="仿宋" w:hAnsi="仿宋" w:eastAsia="仿宋" w:cs="仿宋"/>
                <w:sz w:val="21"/>
                <w:szCs w:val="21"/>
              </w:rPr>
            </w:pPr>
          </w:p>
        </w:tc>
        <w:tc>
          <w:tcPr>
            <w:tcW w:w="1751" w:type="dxa"/>
            <w:vAlign w:val="center"/>
          </w:tcPr>
          <w:p>
            <w:pPr>
              <w:pStyle w:val="20"/>
              <w:jc w:val="center"/>
              <w:outlineLvl w:val="9"/>
              <w:rPr>
                <w:rFonts w:ascii="仿宋" w:hAnsi="仿宋" w:eastAsia="仿宋" w:cs="仿宋"/>
                <w:sz w:val="21"/>
                <w:szCs w:val="21"/>
              </w:rPr>
            </w:pPr>
          </w:p>
        </w:tc>
        <w:tc>
          <w:tcPr>
            <w:tcW w:w="1572" w:type="dxa"/>
            <w:vAlign w:val="center"/>
          </w:tcPr>
          <w:p>
            <w:pPr>
              <w:pStyle w:val="20"/>
              <w:jc w:val="center"/>
              <w:outlineLvl w:val="9"/>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09"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w:t>
            </w:r>
          </w:p>
        </w:tc>
        <w:tc>
          <w:tcPr>
            <w:tcW w:w="1456" w:type="dxa"/>
            <w:vAlign w:val="center"/>
          </w:tcPr>
          <w:p>
            <w:pPr>
              <w:pStyle w:val="20"/>
              <w:jc w:val="center"/>
              <w:outlineLvl w:val="9"/>
              <w:rPr>
                <w:rFonts w:hint="eastAsia" w:ascii="仿宋" w:hAnsi="仿宋" w:eastAsia="仿宋" w:cs="仿宋"/>
                <w:sz w:val="21"/>
                <w:szCs w:val="21"/>
              </w:rPr>
            </w:pPr>
          </w:p>
        </w:tc>
        <w:tc>
          <w:tcPr>
            <w:tcW w:w="1604"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w:t>
            </w:r>
          </w:p>
        </w:tc>
        <w:tc>
          <w:tcPr>
            <w:tcW w:w="1427"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w:t>
            </w:r>
          </w:p>
        </w:tc>
        <w:tc>
          <w:tcPr>
            <w:tcW w:w="1751" w:type="dxa"/>
            <w:vAlign w:val="center"/>
          </w:tcPr>
          <w:p>
            <w:pPr>
              <w:pStyle w:val="20"/>
              <w:jc w:val="center"/>
              <w:outlineLvl w:val="9"/>
              <w:rPr>
                <w:rFonts w:ascii="仿宋" w:hAnsi="仿宋" w:eastAsia="仿宋" w:cs="仿宋"/>
                <w:sz w:val="21"/>
                <w:szCs w:val="21"/>
              </w:rPr>
            </w:pPr>
            <w:r>
              <w:rPr>
                <w:rFonts w:hint="eastAsia" w:ascii="仿宋" w:hAnsi="仿宋" w:eastAsia="仿宋" w:cs="仿宋"/>
                <w:sz w:val="21"/>
                <w:szCs w:val="21"/>
              </w:rPr>
              <w:t>…………</w:t>
            </w:r>
          </w:p>
        </w:tc>
        <w:tc>
          <w:tcPr>
            <w:tcW w:w="1572" w:type="dxa"/>
            <w:vAlign w:val="center"/>
          </w:tcPr>
          <w:p>
            <w:pPr>
              <w:pStyle w:val="20"/>
              <w:jc w:val="center"/>
              <w:outlineLvl w:val="9"/>
              <w:rPr>
                <w:rFonts w:ascii="仿宋" w:hAnsi="仿宋" w:eastAsia="仿宋" w:cs="仿宋"/>
                <w:sz w:val="21"/>
                <w:szCs w:val="21"/>
              </w:rPr>
            </w:pPr>
          </w:p>
        </w:tc>
      </w:tr>
    </w:tbl>
    <w:p>
      <w:pPr>
        <w:ind w:firstLine="480" w:firstLineChars="200"/>
        <w:outlineLvl w:val="9"/>
        <w:rPr>
          <w:rFonts w:ascii="仿宋" w:hAnsi="仿宋" w:eastAsia="仿宋" w:cs="仿宋"/>
          <w:szCs w:val="24"/>
        </w:rPr>
      </w:pPr>
    </w:p>
    <w:p>
      <w:pPr>
        <w:ind w:firstLine="480" w:firstLineChars="200"/>
        <w:outlineLvl w:val="9"/>
        <w:rPr>
          <w:rFonts w:ascii="仿宋" w:hAnsi="仿宋" w:eastAsia="仿宋" w:cs="仿宋"/>
          <w:szCs w:val="24"/>
        </w:rPr>
      </w:pPr>
      <w:r>
        <w:rPr>
          <w:rFonts w:hint="eastAsia" w:ascii="仿宋" w:hAnsi="仿宋" w:eastAsia="仿宋" w:cs="仿宋"/>
          <w:szCs w:val="24"/>
        </w:rPr>
        <w:t>投标人名称（</w:t>
      </w:r>
      <w:r>
        <w:rPr>
          <w:rFonts w:hint="eastAsia" w:ascii="仿宋" w:hAnsi="仿宋" w:eastAsia="仿宋" w:cs="仿宋"/>
          <w:kern w:val="0"/>
          <w:szCs w:val="24"/>
        </w:rPr>
        <w:t>公章</w:t>
      </w:r>
      <w:r>
        <w:rPr>
          <w:rFonts w:hint="eastAsia" w:ascii="仿宋" w:hAnsi="仿宋" w:eastAsia="仿宋" w:cs="仿宋"/>
          <w:kern w:val="0"/>
          <w:lang w:val="zh-CN"/>
        </w:rPr>
        <w:t>)</w:t>
      </w:r>
      <w:r>
        <w:rPr>
          <w:rFonts w:hint="eastAsia" w:ascii="仿宋" w:hAnsi="仿宋" w:eastAsia="仿宋" w:cs="仿宋"/>
          <w:szCs w:val="24"/>
        </w:rPr>
        <w:t>：</w:t>
      </w:r>
    </w:p>
    <w:p>
      <w:pPr>
        <w:ind w:firstLine="420"/>
        <w:outlineLvl w:val="9"/>
        <w:rPr>
          <w:rFonts w:hint="eastAsia" w:ascii="仿宋" w:hAnsi="仿宋" w:eastAsia="仿宋" w:cs="仿宋"/>
          <w:szCs w:val="24"/>
        </w:rPr>
      </w:pPr>
      <w:r>
        <w:rPr>
          <w:rFonts w:hint="eastAsia" w:ascii="仿宋" w:hAnsi="仿宋" w:eastAsia="仿宋" w:cs="仿宋"/>
          <w:szCs w:val="24"/>
        </w:rPr>
        <w:t>日      期：</w:t>
      </w:r>
    </w:p>
    <w:p>
      <w:pPr>
        <w:pStyle w:val="2"/>
        <w:outlineLvl w:val="9"/>
      </w:pP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备注：1.投标人须对照本项目招标文件“第三章采购需求 三、技术要求 1.基本参数”的所有技术参数条款在投标文件“技术响应偏离表”中按顺序逐条列出所投货物产品实际响应参数内容及是否响应/偏离，并按“第三章采购需求 三、技术要求 1.基本参数备注”要求提供证明材料。</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2.如提供证明材料，应在附在表后提供，技术服务条款偏离表“证明资料及索引”栏中说明证明资料在投标文件的具体页码，并在技术支持资料中做出明确标识。未按“第三章采购需求 三、技术要求 1.基本参数备注”要求提供证明材料，或所提供证明材料与其响应内容不符的，或未按要求注明具体页码的，或所提供技术支持资料未能清晰可见的，均视为未响应，此条技术条款按负偏离处理。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3.投标人在本表中须标注产品实际参数数值，经评标委员会认定为投标人照搬照抄招标文件参数、不注明实际数值者视为未响应。此条技术条款按负偏离处理。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w:t>
      </w:r>
      <w:r>
        <w:rPr>
          <w:rFonts w:hint="eastAsia" w:ascii="仿宋" w:hAnsi="仿宋" w:eastAsia="仿宋" w:cs="仿宋"/>
          <w:b/>
          <w:bCs/>
          <w:color w:val="000000" w:themeColor="text1"/>
          <w:sz w:val="32"/>
          <w:szCs w:val="32"/>
          <w:highlight w:val="none"/>
          <w14:textFill>
            <w14:solidFill>
              <w14:schemeClr w14:val="tx1"/>
            </w14:solidFill>
          </w14:textFill>
        </w:rPr>
        <w:t>、技术方案</w:t>
      </w:r>
      <w:bookmarkEnd w:id="466"/>
      <w:bookmarkEnd w:id="467"/>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投标人应按照招标文件的要求，提供详细的</w:t>
      </w:r>
      <w:r>
        <w:rPr>
          <w:rFonts w:hint="eastAsia" w:ascii="仿宋" w:hAnsi="仿宋" w:eastAsia="仿宋" w:cs="仿宋"/>
          <w:color w:val="000000" w:themeColor="text1"/>
          <w:highlight w:val="none"/>
          <w:lang w:val="en-US"/>
          <w14:textFill>
            <w14:solidFill>
              <w14:schemeClr w14:val="tx1"/>
            </w14:solidFill>
          </w14:textFill>
        </w:rPr>
        <w:t>供货及相关</w:t>
      </w:r>
      <w:r>
        <w:rPr>
          <w:rFonts w:hint="eastAsia" w:ascii="仿宋" w:hAnsi="仿宋" w:eastAsia="仿宋" w:cs="仿宋"/>
          <w:color w:val="000000" w:themeColor="text1"/>
          <w:highlight w:val="none"/>
          <w14:textFill>
            <w14:solidFill>
              <w14:schemeClr w14:val="tx1"/>
            </w14:solidFill>
          </w14:textFill>
        </w:rPr>
        <w:t>服务方案，包括文字描述或图表显示。格式自拟。</w:t>
      </w:r>
    </w:p>
    <w:p>
      <w:pPr>
        <w:pStyle w:val="19"/>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br w:type="page"/>
      </w:r>
    </w:p>
    <w:p>
      <w:pPr>
        <w:keepNext/>
        <w:keepLines/>
        <w:spacing w:before="100" w:after="100"/>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bookmarkStart w:id="470" w:name="_Toc26668"/>
      <w:bookmarkStart w:id="471" w:name="_Toc163492936"/>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十一</w:t>
      </w:r>
      <w:r>
        <w:rPr>
          <w:rFonts w:hint="eastAsia" w:ascii="仿宋" w:hAnsi="仿宋" w:eastAsia="仿宋" w:cs="仿宋"/>
          <w:b/>
          <w:bCs/>
          <w:color w:val="000000" w:themeColor="text1"/>
          <w:sz w:val="32"/>
          <w:szCs w:val="32"/>
          <w:highlight w:val="none"/>
          <w14:textFill>
            <w14:solidFill>
              <w14:schemeClr w14:val="tx1"/>
            </w14:solidFill>
          </w14:textFill>
        </w:rPr>
        <w:t>、其他文件</w:t>
      </w:r>
      <w:bookmarkEnd w:id="470"/>
      <w:bookmarkEnd w:id="471"/>
    </w:p>
    <w:p>
      <w:pPr>
        <w:pStyle w:val="19"/>
        <w:ind w:firstLine="0"/>
        <w:outlineLvl w:val="9"/>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w:t>
      </w:r>
      <w:r>
        <w:rPr>
          <w:rFonts w:hint="eastAsia" w:ascii="仿宋" w:hAnsi="仿宋" w:eastAsia="仿宋" w:cs="仿宋"/>
          <w:b/>
          <w:bCs/>
          <w:color w:val="000000" w:themeColor="text1"/>
          <w:szCs w:val="24"/>
          <w:highlight w:val="none"/>
          <w:lang w:val="en-US"/>
          <w14:textFill>
            <w14:solidFill>
              <w14:schemeClr w14:val="tx1"/>
            </w14:solidFill>
          </w14:textFill>
        </w:rPr>
        <w:t>一）</w:t>
      </w:r>
      <w:r>
        <w:rPr>
          <w:rFonts w:hint="eastAsia" w:ascii="仿宋" w:hAnsi="仿宋" w:eastAsia="仿宋" w:cs="仿宋"/>
          <w:b/>
          <w:bCs/>
          <w:color w:val="000000" w:themeColor="text1"/>
          <w:szCs w:val="24"/>
          <w:highlight w:val="none"/>
          <w14:textFill>
            <w14:solidFill>
              <w14:schemeClr w14:val="tx1"/>
            </w14:solidFill>
          </w14:textFill>
        </w:rPr>
        <w:t>招标文件要求提供的其它商务、技术资料和证明材料；</w:t>
      </w:r>
    </w:p>
    <w:p>
      <w:pPr>
        <w:outlineLvl w:val="9"/>
        <w:rPr>
          <w:rFonts w:hint="eastAsia" w:ascii="仿宋" w:hAnsi="仿宋" w:eastAsia="仿宋" w:cs="仿宋"/>
          <w:b/>
          <w:bCs/>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b/>
          <w:bCs/>
          <w:iCs/>
          <w:color w:val="000000" w:themeColor="text1"/>
          <w:kern w:val="2"/>
          <w:sz w:val="24"/>
          <w:szCs w:val="24"/>
          <w:highlight w:val="none"/>
          <w:shd w:val="clear" w:color="auto" w:fill="FFFFFF" w:themeFill="background1"/>
          <w:lang w:val="en-US" w:eastAsia="zh-CN" w:bidi="ar-SA"/>
          <w14:textFill>
            <w14:solidFill>
              <w14:schemeClr w14:val="tx1"/>
            </w14:solidFill>
          </w14:textFill>
        </w:rPr>
        <w:br w:type="page"/>
      </w:r>
    </w:p>
    <w:p>
      <w:pPr>
        <w:keepNext/>
        <w:keepLines/>
        <w:spacing w:before="100" w:after="100"/>
        <w:ind w:left="420" w:hanging="420"/>
        <w:outlineLvl w:val="9"/>
        <w:rPr>
          <w:rFonts w:hint="eastAsia" w:ascii="仿宋" w:hAnsi="仿宋" w:eastAsia="仿宋" w:cs="仿宋"/>
          <w:b/>
          <w:bCs/>
          <w:iCs/>
          <w:color w:val="000000" w:themeColor="text1"/>
          <w:kern w:val="2"/>
          <w:sz w:val="24"/>
          <w:szCs w:val="24"/>
          <w:highlight w:val="none"/>
          <w:shd w:val="clear" w:color="auto" w:fill="FFFFFF" w:themeFill="background1"/>
          <w:lang w:val="en-US" w:eastAsia="zh-CN" w:bidi="ar-SA"/>
          <w14:textFill>
            <w14:solidFill>
              <w14:schemeClr w14:val="tx1"/>
            </w14:solidFill>
          </w14:textFill>
        </w:rPr>
      </w:pPr>
      <w:r>
        <w:rPr>
          <w:rFonts w:hint="eastAsia" w:ascii="仿宋" w:hAnsi="仿宋" w:eastAsia="仿宋" w:cs="仿宋"/>
          <w:b/>
          <w:bCs/>
          <w:iCs/>
          <w:color w:val="000000" w:themeColor="text1"/>
          <w:kern w:val="2"/>
          <w:sz w:val="24"/>
          <w:szCs w:val="24"/>
          <w:highlight w:val="none"/>
          <w:shd w:val="clear" w:color="auto" w:fill="FFFFFF" w:themeFill="background1"/>
          <w:lang w:val="en-US" w:eastAsia="zh-CN" w:bidi="ar-SA"/>
          <w14:textFill>
            <w14:solidFill>
              <w14:schemeClr w14:val="tx1"/>
            </w14:solidFill>
          </w14:textFill>
        </w:rPr>
        <w:t>（二）落实政府采购政策相关证明文件</w:t>
      </w:r>
    </w:p>
    <w:p>
      <w:pPr>
        <w:keepNext/>
        <w:keepLines/>
        <w:spacing w:before="100" w:after="100"/>
        <w:ind w:left="420" w:hanging="420"/>
        <w:jc w:val="left"/>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1.中小企业声明函</w:t>
      </w:r>
      <w:r>
        <w:rPr>
          <w:rFonts w:hint="eastAsia" w:ascii="仿宋" w:hAnsi="仿宋" w:eastAsia="仿宋" w:cs="仿宋"/>
          <w:b/>
          <w:bCs/>
          <w:color w:val="auto"/>
          <w:sz w:val="24"/>
          <w:szCs w:val="24"/>
          <w:highlight w:val="none"/>
          <w:lang w:val="en-US" w:eastAsia="zh-CN"/>
        </w:rPr>
        <w:t>【如适用】</w:t>
      </w:r>
    </w:p>
    <w:p>
      <w:pPr>
        <w:keepNext/>
        <w:keepLines/>
        <w:spacing w:before="100" w:after="100"/>
        <w:ind w:left="420" w:hanging="420"/>
        <w:jc w:val="center"/>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中小企业声明函</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新疆和田学院 </w:t>
      </w:r>
      <w:r>
        <w:rPr>
          <w:rFonts w:hint="eastAsia" w:ascii="仿宋" w:hAnsi="仿宋" w:eastAsia="仿宋" w:cs="仿宋"/>
          <w:color w:val="000000" w:themeColor="text1"/>
          <w:spacing w:val="6"/>
          <w:szCs w:val="24"/>
          <w:highlight w:val="none"/>
          <w14:textFill>
            <w14:solidFill>
              <w14:schemeClr w14:val="tx1"/>
            </w14:solidFill>
          </w14:textFill>
        </w:rPr>
        <w:t>的</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Cs w:val="24"/>
          <w:highlight w:val="none"/>
          <w:u w:val="single"/>
          <w:lang w:val="hr-HR" w:eastAsia="zh-CN"/>
          <w14:textFill>
            <w14:solidFill>
              <w14:schemeClr w14:val="tx1"/>
            </w14:solidFill>
          </w14:textFill>
        </w:rPr>
        <w:t>新疆和田学院机电工程学院实验实训基地建设项目</w:t>
      </w:r>
      <w:r>
        <w:rPr>
          <w:rFonts w:hint="eastAsia" w:ascii="仿宋" w:hAnsi="仿宋" w:eastAsia="仿宋" w:cs="仿宋"/>
          <w:color w:val="000000" w:themeColor="text1"/>
          <w:spacing w:val="6"/>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1.</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通用型普通车床 </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工业（制造业）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行业；制造商为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Cs w:val="24"/>
          <w:highlight w:val="none"/>
          <w14:textFill>
            <w14:solidFill>
              <w14:schemeClr w14:val="tx1"/>
            </w14:solidFill>
          </w14:textFill>
        </w:rPr>
        <w:t>；</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6"/>
          <w:szCs w:val="24"/>
          <w:highlight w:val="none"/>
          <w14:textFill>
            <w14:solidFill>
              <w14:schemeClr w14:val="tx1"/>
            </w14:solidFill>
          </w14:textFill>
        </w:rPr>
        <w:t>.</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通用型立铣床 </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工业（制造业）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行业；制造商为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Cs w:val="24"/>
          <w:highlight w:val="none"/>
          <w14:textFill>
            <w14:solidFill>
              <w14:schemeClr w14:val="tx1"/>
            </w14:solidFill>
          </w14:textFill>
        </w:rPr>
        <w:t>；</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6"/>
          <w:szCs w:val="24"/>
          <w:highlight w:val="none"/>
          <w14:textFill>
            <w14:solidFill>
              <w14:schemeClr w14:val="tx1"/>
            </w14:solidFill>
          </w14:textFill>
        </w:rPr>
        <w:t>.</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小型通用型磨床 </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工业（制造业）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行业；制造商为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Cs w:val="24"/>
          <w:highlight w:val="none"/>
          <w14:textFill>
            <w14:solidFill>
              <w14:schemeClr w14:val="tx1"/>
            </w14:solidFill>
          </w14:textFill>
        </w:rPr>
        <w:t>；</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6"/>
          <w:szCs w:val="24"/>
          <w:highlight w:val="none"/>
          <w14:textFill>
            <w14:solidFill>
              <w14:schemeClr w14:val="tx1"/>
            </w14:solidFill>
          </w14:textFill>
        </w:rPr>
        <w:t>.</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普通桌面型台钻 </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工业（制造业）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行业；制造商为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Cs w:val="24"/>
          <w:highlight w:val="none"/>
          <w14:textFill>
            <w14:solidFill>
              <w14:schemeClr w14:val="tx1"/>
            </w14:solidFill>
          </w14:textFill>
        </w:rPr>
        <w:t>；</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6"/>
          <w:szCs w:val="24"/>
          <w:highlight w:val="none"/>
          <w14:textFill>
            <w14:solidFill>
              <w14:schemeClr w14:val="tx1"/>
            </w14:solidFill>
          </w14:textFill>
        </w:rPr>
        <w:t>.</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卧式数控机床 </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工业（制造业）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行业；制造商为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Cs w:val="24"/>
          <w:highlight w:val="none"/>
          <w14:textFill>
            <w14:solidFill>
              <w14:schemeClr w14:val="tx1"/>
            </w14:solidFill>
          </w14:textFill>
        </w:rPr>
        <w:t>；</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6"/>
          <w:szCs w:val="24"/>
          <w:highlight w:val="none"/>
          <w14:textFill>
            <w14:solidFill>
              <w14:schemeClr w14:val="tx1"/>
            </w14:solidFill>
          </w14:textFill>
        </w:rPr>
        <w:t>.</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立式铣削加工中心 </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工业（制造业）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行业；制造商为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Cs w:val="24"/>
          <w:highlight w:val="none"/>
          <w14:textFill>
            <w14:solidFill>
              <w14:schemeClr w14:val="tx1"/>
            </w14:solidFill>
          </w14:textFill>
        </w:rPr>
        <w:t>；</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7</w:t>
      </w:r>
      <w:r>
        <w:rPr>
          <w:rFonts w:hint="eastAsia" w:ascii="仿宋" w:hAnsi="仿宋" w:eastAsia="仿宋" w:cs="仿宋"/>
          <w:color w:val="000000" w:themeColor="text1"/>
          <w:spacing w:val="6"/>
          <w:szCs w:val="24"/>
          <w:highlight w:val="none"/>
          <w14:textFill>
            <w14:solidFill>
              <w14:schemeClr w14:val="tx1"/>
            </w14:solidFill>
          </w14:textFill>
        </w:rPr>
        <w:t>.</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五轴联动车铣复合 </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工业（制造业）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行业；制造商为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Cs w:val="24"/>
          <w:highlight w:val="none"/>
          <w14:textFill>
            <w14:solidFill>
              <w14:schemeClr w14:val="tx1"/>
            </w14:solidFill>
          </w14:textFill>
        </w:rPr>
        <w:t>；</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6"/>
          <w:szCs w:val="24"/>
          <w:highlight w:val="none"/>
          <w14:textFill>
            <w14:solidFill>
              <w14:schemeClr w14:val="tx1"/>
            </w14:solidFill>
          </w14:textFill>
        </w:rPr>
        <w:t>.</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3D打印加工设备 </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工业（制造业）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行业；制造商为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Cs w:val="24"/>
          <w:highlight w:val="none"/>
          <w14:textFill>
            <w14:solidFill>
              <w14:schemeClr w14:val="tx1"/>
            </w14:solidFill>
          </w14:textFill>
        </w:rPr>
        <w:t>；</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6"/>
          <w:szCs w:val="24"/>
          <w:highlight w:val="none"/>
          <w14:textFill>
            <w14:solidFill>
              <w14:schemeClr w14:val="tx1"/>
            </w14:solidFill>
          </w14:textFill>
        </w:rPr>
        <w:t>.</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机械设计测绘装置 </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工业（制造业）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行业；制造商为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pacing w:val="6"/>
          <w:szCs w:val="24"/>
          <w:highlight w:val="none"/>
          <w14:textFill>
            <w14:solidFill>
              <w14:schemeClr w14:val="tx1"/>
            </w14:solidFill>
          </w14:textFill>
        </w:rPr>
        <w:t>；</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以上企业，不属于大企业的分支机构，不存在控股股东为大企业的情形，也不存在与大企业的负责人为同一人的情形。</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本企业对上述声明内容的真实性负责。如有虚假，将依法承担相应责任。</w:t>
      </w:r>
    </w:p>
    <w:p>
      <w:pPr>
        <w:ind w:right="1008" w:firstLine="4788" w:firstLineChars="1900"/>
        <w:outlineLvl w:val="9"/>
        <w:rPr>
          <w:rFonts w:hint="eastAsia" w:ascii="仿宋" w:hAnsi="仿宋" w:eastAsia="仿宋" w:cs="仿宋"/>
          <w:color w:val="000000" w:themeColor="text1"/>
          <w:spacing w:val="6"/>
          <w:szCs w:val="24"/>
          <w:highlight w:val="none"/>
          <w14:textFill>
            <w14:solidFill>
              <w14:schemeClr w14:val="tx1"/>
            </w14:solidFill>
          </w14:textFill>
        </w:rPr>
      </w:pPr>
    </w:p>
    <w:p>
      <w:pPr>
        <w:ind w:right="1008"/>
        <w:outlineLvl w:val="9"/>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投标人名称(或分包供应商名称)</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color w:val="000000" w:themeColor="text1"/>
          <w:spacing w:val="6"/>
          <w:szCs w:val="24"/>
          <w:highlight w:val="none"/>
          <w14:textFill>
            <w14:solidFill>
              <w14:schemeClr w14:val="tx1"/>
            </w14:solidFill>
          </w14:textFill>
        </w:rPr>
        <w:t>：</w:t>
      </w:r>
    </w:p>
    <w:p>
      <w:pPr>
        <w:ind w:right="1008"/>
        <w:outlineLvl w:val="9"/>
        <w:rPr>
          <w:rFonts w:hint="eastAsia" w:ascii="仿宋" w:hAnsi="仿宋" w:eastAsia="仿宋" w:cs="仿宋"/>
          <w:color w:val="000000" w:themeColor="text1"/>
          <w:spacing w:val="6"/>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日期：</w:t>
      </w:r>
      <w:r>
        <w:rPr>
          <w:rFonts w:hint="eastAsia" w:ascii="仿宋" w:hAnsi="仿宋" w:eastAsia="仿宋" w:cs="仿宋"/>
          <w:color w:val="000000" w:themeColor="text1"/>
          <w:spacing w:val="6"/>
          <w:szCs w:val="24"/>
          <w:highlight w:val="none"/>
          <w:lang w:val="en-US" w:eastAsia="zh-CN"/>
          <w14:textFill>
            <w14:solidFill>
              <w14:schemeClr w14:val="tx1"/>
            </w14:solidFill>
          </w14:textFill>
        </w:rPr>
        <w:t xml:space="preserve">   年  月  日</w:t>
      </w:r>
    </w:p>
    <w:p>
      <w:pPr>
        <w:ind w:firstLine="504" w:firstLineChars="200"/>
        <w:outlineLvl w:val="9"/>
        <w:rPr>
          <w:rFonts w:hint="eastAsia" w:ascii="仿宋" w:hAnsi="仿宋" w:eastAsia="仿宋" w:cs="仿宋"/>
          <w:color w:val="000000" w:themeColor="text1"/>
          <w:spacing w:val="6"/>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outlineLvl w:val="9"/>
        <w:rPr>
          <w:rFonts w:hint="eastAsia" w:ascii="仿宋" w:hAnsi="仿宋" w:eastAsia="仿宋" w:cs="仿宋"/>
          <w:b/>
          <w:bCs/>
          <w:color w:val="000000" w:themeColor="text1"/>
          <w:spacing w:val="6"/>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pacing w:val="6"/>
          <w:sz w:val="21"/>
          <w:szCs w:val="21"/>
          <w:highlight w:val="none"/>
          <w:lang w:val="en-US" w:eastAsia="zh-CN"/>
          <w14:textFill>
            <w14:solidFill>
              <w14:schemeClr w14:val="tx1"/>
            </w14:solidFill>
          </w14:textFill>
        </w:rPr>
        <w:t>说明：1.重要提示：供应商应仔细阅读本函附件1关于“中小企业声明函”的填写要求及提交要求，否则，因填写或提交等产生的一切不利后果，须自行承担。</w:t>
      </w:r>
    </w:p>
    <w:p>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outlineLvl w:val="9"/>
        <w:rPr>
          <w:rFonts w:hint="eastAsia" w:ascii="仿宋" w:hAnsi="仿宋" w:eastAsia="仿宋" w:cs="仿宋"/>
          <w:b w:val="0"/>
          <w:bCs w:val="0"/>
          <w:color w:val="000000" w:themeColor="text1"/>
          <w:spacing w:val="6"/>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6"/>
          <w:sz w:val="21"/>
          <w:szCs w:val="21"/>
          <w:highlight w:val="none"/>
          <w:lang w:val="en-US" w:eastAsia="zh-CN"/>
          <w14:textFill>
            <w14:solidFill>
              <w14:schemeClr w14:val="tx1"/>
            </w14:solidFill>
          </w14:textFill>
        </w:rPr>
        <w:t>2.从业人员、营业收入、资产总额填报上一年度数据，无上一年度数据的新成立企业可不填报。</w:t>
      </w:r>
    </w:p>
    <w:p>
      <w:pPr>
        <w:spacing w:line="240" w:lineRule="auto"/>
        <w:outlineLvl w:val="9"/>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page"/>
      </w:r>
    </w:p>
    <w:p>
      <w:pPr>
        <w:spacing w:line="360" w:lineRule="exact"/>
        <w:outlineLvl w:val="9"/>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附件1 </w:t>
      </w:r>
    </w:p>
    <w:p>
      <w:pPr>
        <w:widowControl/>
        <w:ind w:firstLine="482" w:firstLineChars="200"/>
        <w:outlineLvl w:val="9"/>
        <w:rPr>
          <w:rStyle w:val="17"/>
          <w:rFonts w:ascii="仿宋" w:hAnsi="仿宋" w:eastAsia="仿宋" w:cs="仿宋"/>
          <w:color w:val="000000" w:themeColor="text1"/>
          <w:kern w:val="0"/>
          <w:szCs w:val="24"/>
          <w:highlight w:val="none"/>
          <w:lang w:bidi="ar"/>
          <w14:textFill>
            <w14:solidFill>
              <w14:schemeClr w14:val="tx1"/>
            </w14:solidFill>
          </w14:textFill>
        </w:rPr>
      </w:pPr>
      <w:r>
        <w:rPr>
          <w:rStyle w:val="17"/>
          <w:rFonts w:hint="eastAsia" w:ascii="仿宋" w:hAnsi="仿宋" w:eastAsia="仿宋" w:cs="仿宋"/>
          <w:color w:val="000000" w:themeColor="text1"/>
          <w:kern w:val="0"/>
          <w:szCs w:val="24"/>
          <w:highlight w:val="none"/>
          <w:lang w:bidi="ar"/>
          <w14:textFill>
            <w14:solidFill>
              <w14:schemeClr w14:val="tx1"/>
            </w14:solidFill>
          </w14:textFill>
        </w:rPr>
        <w:t>（一）关于“中小企业声明函”的填写要求</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“中小企业声明函”具体填写要求如下：</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1.“单位名称”应填写采购人名称。</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4.“采购文件中明确的所属行业”应填写采购文件中明确的采购标的所属行业，并应确保与采购标的涉及的货物制造商/服务承接商/工程承建商（根据项目属性确定）本身的所属行业保持一致。</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5.“企业名称”应填写投标（响应）的货物制造商/服务承接商/工程承建商（根据项目属性确定）。</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对于分包方式面向中小企业采购的项目，“企业名称”应填写分包部分采购标的对应的货物制造商/服务承接商/工程承建商（根据项目属性确定）。</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对于以联合体方式面向中小企业采购的项目，“企业名称”应填写联合体中中小企业承担采购标的对应的货物制造商/服务承接商/工程承建商（根据项目属性确定）。</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6.从业人员、资产总额指标以上年度末数据为依据，营业收入指标以上年度累计数据为依据。无上年度数据的新成立企业可不填报。</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ind w:firstLine="482" w:firstLineChars="200"/>
        <w:outlineLvl w:val="9"/>
        <w:rPr>
          <w:rStyle w:val="17"/>
          <w:rFonts w:ascii="仿宋" w:hAnsi="仿宋" w:eastAsia="仿宋" w:cs="仿宋"/>
          <w:color w:val="000000" w:themeColor="text1"/>
          <w:kern w:val="0"/>
          <w:szCs w:val="24"/>
          <w:highlight w:val="none"/>
          <w:lang w:bidi="ar"/>
          <w14:textFill>
            <w14:solidFill>
              <w14:schemeClr w14:val="tx1"/>
            </w14:solidFill>
          </w14:textFill>
        </w:rPr>
      </w:pPr>
      <w:r>
        <w:rPr>
          <w:rStyle w:val="17"/>
          <w:rFonts w:hint="eastAsia" w:ascii="仿宋" w:hAnsi="仿宋" w:eastAsia="仿宋" w:cs="仿宋"/>
          <w:color w:val="000000" w:themeColor="text1"/>
          <w:kern w:val="0"/>
          <w:szCs w:val="24"/>
          <w:highlight w:val="none"/>
          <w:lang w:bidi="ar"/>
          <w14:textFill>
            <w14:solidFill>
              <w14:schemeClr w14:val="tx1"/>
            </w14:solidFill>
          </w14:textFill>
        </w:rPr>
        <w:t>（二）关于“中小企业声明函”的提交要求</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2.鼓励供应商在投标（响应）时一并提供对货物制造商、服务承接商、工程承建商相关信息的核实核验情况以及其他佐证材料。</w:t>
      </w:r>
    </w:p>
    <w:p>
      <w:pPr>
        <w:widowControl/>
        <w:ind w:firstLine="480" w:firstLineChars="200"/>
        <w:outlineLvl w:val="9"/>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9"/>
        <w:rPr>
          <w:rFonts w:ascii="仿宋" w:hAnsi="仿宋" w:eastAsia="仿宋" w:cs="仿宋"/>
          <w:color w:val="000000" w:themeColor="text1"/>
          <w:spacing w:val="6"/>
          <w:sz w:val="21"/>
          <w:szCs w:val="21"/>
          <w:highlight w:val="none"/>
          <w14:textFill>
            <w14:solidFill>
              <w14:schemeClr w14:val="tx1"/>
            </w14:solidFill>
          </w14:textFill>
        </w:rPr>
      </w:pPr>
    </w:p>
    <w:p>
      <w:pPr>
        <w:outlineLvl w:val="9"/>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page"/>
      </w:r>
    </w:p>
    <w:p>
      <w:pPr>
        <w:spacing w:line="360" w:lineRule="exact"/>
        <w:outlineLvl w:val="9"/>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附件2：</w:t>
      </w:r>
    </w:p>
    <w:p>
      <w:pPr>
        <w:pStyle w:val="8"/>
        <w:spacing w:line="240" w:lineRule="auto"/>
        <w:jc w:val="center"/>
        <w:outlineLvl w:val="9"/>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关于印发中小企业划型标准规定的通知</w:t>
      </w:r>
    </w:p>
    <w:p>
      <w:pPr>
        <w:spacing w:line="360" w:lineRule="exact"/>
        <w:jc w:val="center"/>
        <w:outlineLvl w:val="9"/>
        <w:rPr>
          <w:rStyle w:val="17"/>
          <w:rFonts w:ascii="仿宋" w:hAnsi="仿宋" w:eastAsia="仿宋" w:cs="仿宋"/>
          <w:b w:val="0"/>
          <w:color w:val="000000" w:themeColor="text1"/>
          <w:szCs w:val="24"/>
          <w:highlight w:val="none"/>
          <w14:textFill>
            <w14:solidFill>
              <w14:schemeClr w14:val="tx1"/>
            </w14:solidFill>
          </w14:textFill>
        </w:rPr>
      </w:pPr>
      <w:r>
        <w:rPr>
          <w:rStyle w:val="17"/>
          <w:rFonts w:hint="eastAsia" w:ascii="仿宋" w:hAnsi="仿宋" w:eastAsia="仿宋" w:cs="仿宋"/>
          <w:b w:val="0"/>
          <w:color w:val="000000" w:themeColor="text1"/>
          <w:szCs w:val="24"/>
          <w:highlight w:val="none"/>
          <w14:textFill>
            <w14:solidFill>
              <w14:schemeClr w14:val="tx1"/>
            </w14:solidFill>
          </w14:textFill>
        </w:rPr>
        <w:t>工信部联企业〔2011〕300号</w:t>
      </w:r>
    </w:p>
    <w:p>
      <w:pPr>
        <w:spacing w:line="360" w:lineRule="exact"/>
        <w:jc w:val="center"/>
        <w:outlineLvl w:val="9"/>
        <w:rPr>
          <w:rStyle w:val="17"/>
          <w:rFonts w:ascii="仿宋" w:hAnsi="仿宋" w:eastAsia="仿宋" w:cs="仿宋"/>
          <w:b w:val="0"/>
          <w:color w:val="000000" w:themeColor="text1"/>
          <w:szCs w:val="24"/>
          <w:highlight w:val="none"/>
          <w14:textFill>
            <w14:solidFill>
              <w14:schemeClr w14:val="tx1"/>
            </w14:solidFill>
          </w14:textFill>
        </w:rPr>
      </w:pPr>
    </w:p>
    <w:p>
      <w:pPr>
        <w:spacing w:line="360" w:lineRule="exact"/>
        <w:outlineLvl w:val="9"/>
        <w:rPr>
          <w:rStyle w:val="17"/>
          <w:rFonts w:ascii="仿宋" w:hAnsi="仿宋" w:eastAsia="仿宋" w:cs="仿宋"/>
          <w:b w:val="0"/>
          <w:color w:val="000000" w:themeColor="text1"/>
          <w:szCs w:val="24"/>
          <w:highlight w:val="none"/>
          <w14:textFill>
            <w14:solidFill>
              <w14:schemeClr w14:val="tx1"/>
            </w14:solidFill>
          </w14:textFill>
        </w:rPr>
      </w:pPr>
      <w:r>
        <w:rPr>
          <w:rStyle w:val="17"/>
          <w:rFonts w:hint="eastAsia" w:ascii="仿宋" w:hAnsi="仿宋" w:eastAsia="仿宋" w:cs="仿宋"/>
          <w:b w:val="0"/>
          <w:color w:val="000000" w:themeColor="text1"/>
          <w:szCs w:val="24"/>
          <w:highlight w:val="none"/>
          <w14:textFill>
            <w14:solidFill>
              <w14:schemeClr w14:val="tx1"/>
            </w14:solidFill>
          </w14:textFill>
        </w:rPr>
        <w:t>各省、自治区、直辖市人民政府，国务院各部委、各直属机构及有关单位：</w:t>
      </w:r>
    </w:p>
    <w:p>
      <w:pPr>
        <w:spacing w:line="36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exact"/>
        <w:jc w:val="righ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工业和信息化部　国家统计局</w:t>
      </w:r>
    </w:p>
    <w:p>
      <w:pPr>
        <w:spacing w:line="360" w:lineRule="exact"/>
        <w:jc w:val="righ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国家发展和改革委员会　财政部</w:t>
      </w:r>
    </w:p>
    <w:p>
      <w:pPr>
        <w:spacing w:line="360" w:lineRule="exact"/>
        <w:jc w:val="righ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二○一一年六月十八日</w:t>
      </w:r>
    </w:p>
    <w:p>
      <w:pPr>
        <w:spacing w:line="36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xml:space="preserve"> </w:t>
      </w:r>
    </w:p>
    <w:p>
      <w:pPr>
        <w:spacing w:line="400" w:lineRule="exact"/>
        <w:jc w:val="center"/>
        <w:outlineLvl w:val="9"/>
        <w:rPr>
          <w:rStyle w:val="17"/>
          <w:rFonts w:ascii="仿宋" w:hAnsi="仿宋" w:eastAsia="仿宋" w:cs="仿宋"/>
          <w:bCs w:val="0"/>
          <w:color w:val="000000" w:themeColor="text1"/>
          <w:sz w:val="28"/>
          <w:szCs w:val="28"/>
          <w:highlight w:val="none"/>
          <w14:textFill>
            <w14:solidFill>
              <w14:schemeClr w14:val="tx1"/>
            </w14:solidFill>
          </w14:textFill>
        </w:rPr>
      </w:pPr>
      <w:r>
        <w:rPr>
          <w:rStyle w:val="17"/>
          <w:rFonts w:hint="eastAsia" w:ascii="仿宋" w:hAnsi="仿宋" w:eastAsia="仿宋" w:cs="仿宋"/>
          <w:bCs w:val="0"/>
          <w:color w:val="000000" w:themeColor="text1"/>
          <w:sz w:val="28"/>
          <w:szCs w:val="28"/>
          <w:highlight w:val="none"/>
          <w14:textFill>
            <w14:solidFill>
              <w14:schemeClr w14:val="tx1"/>
            </w14:solidFill>
          </w14:textFill>
        </w:rPr>
        <w:t>中小企业划型标准规定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一、根据《中华人民共和国中小企业促进法》和《国务院关于进一步促进中小企业发展的若干意见》(国发〔2009〕36号)，制定本规定。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二、中小企业划分为中型、小型、微型三种类型，具体标准根据企业从业人员、营业收入、资产总额等指标，结合行业特点制定。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四、各行业划型标准为：</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400" w:lineRule="exact"/>
        <w:ind w:firstLine="483"/>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　　</w:t>
      </w:r>
    </w:p>
    <w:p>
      <w:pPr>
        <w:spacing w:line="400" w:lineRule="exact"/>
        <w:ind w:firstLine="483"/>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五、企业类型的划分以统计部门的统计数据为依据。</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八、本规定由工业和信息化部、国家统计局会同有关部门根据《国民经济行业分类》修订情况和企业发展变化情况适时修订。</w:t>
      </w:r>
    </w:p>
    <w:p>
      <w:pPr>
        <w:spacing w:line="400" w:lineRule="exact"/>
        <w:outlineLvl w:val="9"/>
        <w:rPr>
          <w:rStyle w:val="17"/>
          <w:rFonts w:ascii="仿宋" w:hAnsi="仿宋" w:eastAsia="仿宋" w:cs="仿宋"/>
          <w:b w:val="0"/>
          <w:bCs w:val="0"/>
          <w:color w:val="000000" w:themeColor="text1"/>
          <w:szCs w:val="24"/>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　　九、本规定由工业和信息化部、国家统计局会同有关部门负责解释。</w:t>
      </w:r>
    </w:p>
    <w:p>
      <w:pPr>
        <w:spacing w:line="400" w:lineRule="exact"/>
        <w:outlineLvl w:val="9"/>
        <w:rPr>
          <w:rFonts w:ascii="仿宋" w:hAnsi="仿宋" w:eastAsia="仿宋" w:cs="仿宋"/>
          <w:color w:val="000000" w:themeColor="text1"/>
          <w:spacing w:val="6"/>
          <w:sz w:val="21"/>
          <w:szCs w:val="21"/>
          <w:highlight w:val="none"/>
          <w14:textFill>
            <w14:solidFill>
              <w14:schemeClr w14:val="tx1"/>
            </w14:solidFill>
          </w14:textFill>
        </w:rPr>
      </w:pPr>
      <w:r>
        <w:rPr>
          <w:rStyle w:val="17"/>
          <w:rFonts w:hint="eastAsia" w:ascii="仿宋" w:hAnsi="仿宋" w:eastAsia="仿宋" w:cs="仿宋"/>
          <w:b w:val="0"/>
          <w:bCs w:val="0"/>
          <w:color w:val="000000" w:themeColor="text1"/>
          <w:szCs w:val="24"/>
          <w:highlight w:val="none"/>
          <w14:textFill>
            <w14:solidFill>
              <w14:schemeClr w14:val="tx1"/>
            </w14:solidFill>
          </w14:textFill>
        </w:rPr>
        <w:t>十、本规定自发布之日起执行，原国家经贸委、原国家计委、财政部和国家统计局2003年颁布的《中小企业标准暂行规定》同时废止。</w:t>
      </w:r>
    </w:p>
    <w:p>
      <w:pPr>
        <w:outlineLvl w:val="9"/>
        <w:rPr>
          <w:rFonts w:ascii="仿宋" w:hAnsi="仿宋" w:eastAsia="仿宋" w:cs="仿宋"/>
          <w:color w:val="000000" w:themeColor="text1"/>
          <w:spacing w:val="6"/>
          <w:sz w:val="21"/>
          <w:szCs w:val="21"/>
          <w:highlight w:val="none"/>
          <w14:textFill>
            <w14:solidFill>
              <w14:schemeClr w14:val="tx1"/>
            </w14:solidFill>
          </w14:textFill>
        </w:rPr>
      </w:pPr>
    </w:p>
    <w:p>
      <w:pPr>
        <w:outlineLvl w:val="9"/>
        <w:rPr>
          <w:rFonts w:ascii="仿宋" w:hAnsi="仿宋" w:eastAsia="仿宋" w:cs="仿宋"/>
          <w:color w:val="000000" w:themeColor="text1"/>
          <w:spacing w:val="6"/>
          <w:sz w:val="21"/>
          <w:szCs w:val="21"/>
          <w:highlight w:val="none"/>
          <w14:textFill>
            <w14:solidFill>
              <w14:schemeClr w14:val="tx1"/>
            </w14:solidFill>
          </w14:textFill>
        </w:rPr>
      </w:pPr>
    </w:p>
    <w:p>
      <w:pPr>
        <w:pStyle w:val="8"/>
        <w:spacing w:line="500" w:lineRule="exact"/>
        <w:jc w:val="center"/>
        <w:outlineLvl w:val="9"/>
        <w:rPr>
          <w:rFonts w:ascii="仿宋" w:hAnsi="仿宋" w:eastAsia="仿宋" w:cs="仿宋"/>
          <w:bCs/>
          <w:color w:val="000000" w:themeColor="text1"/>
          <w:sz w:val="36"/>
          <w:szCs w:val="36"/>
          <w:highlight w:val="none"/>
          <w14:textFill>
            <w14:solidFill>
              <w14:schemeClr w14:val="tx1"/>
            </w14:solidFill>
          </w14:textFill>
        </w:rPr>
      </w:pPr>
      <w:bookmarkStart w:id="472" w:name="_Toc163492940"/>
    </w:p>
    <w:p>
      <w:pPr>
        <w:keepNext/>
        <w:keepLines/>
        <w:spacing w:before="80" w:after="80" w:line="240" w:lineRule="auto"/>
        <w:ind w:left="420" w:hanging="420"/>
        <w:outlineLvl w:val="9"/>
        <w:rPr>
          <w:rFonts w:hint="eastAsia" w:ascii="仿宋" w:hAnsi="仿宋" w:eastAsia="仿宋" w:cs="仿宋"/>
          <w:b/>
          <w:bCs/>
          <w:color w:val="000000" w:themeColor="text1"/>
          <w:szCs w:val="24"/>
          <w:highlight w:val="none"/>
          <w14:textFill>
            <w14:solidFill>
              <w14:schemeClr w14:val="tx1"/>
            </w14:solidFill>
          </w14:textFill>
        </w:rPr>
      </w:pPr>
    </w:p>
    <w:p>
      <w:pPr>
        <w:keepNext/>
        <w:keepLines/>
        <w:spacing w:before="80" w:after="80" w:line="240" w:lineRule="auto"/>
        <w:ind w:left="420" w:hanging="420"/>
        <w:outlineLvl w:val="9"/>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2.</w:t>
      </w:r>
      <w:r>
        <w:rPr>
          <w:rFonts w:hint="eastAsia" w:ascii="仿宋" w:hAnsi="仿宋" w:eastAsia="仿宋" w:cs="仿宋"/>
          <w:b/>
          <w:bCs/>
          <w:color w:val="000000" w:themeColor="text1"/>
          <w:szCs w:val="24"/>
          <w:highlight w:val="none"/>
          <w14:textFill>
            <w14:solidFill>
              <w14:schemeClr w14:val="tx1"/>
            </w14:solidFill>
          </w14:textFill>
        </w:rPr>
        <w:t>监狱企业证明文件</w:t>
      </w:r>
      <w:r>
        <w:rPr>
          <w:rFonts w:hint="eastAsia" w:ascii="仿宋" w:hAnsi="仿宋" w:eastAsia="仿宋" w:cs="仿宋"/>
          <w:color w:val="000000" w:themeColor="text1"/>
          <w:szCs w:val="24"/>
          <w:highlight w:val="none"/>
          <w14:textFill>
            <w14:solidFill>
              <w14:schemeClr w14:val="tx1"/>
            </w14:solidFill>
          </w14:textFill>
        </w:rPr>
        <w:t>【如适用】</w:t>
      </w:r>
      <w:bookmarkEnd w:id="472"/>
    </w:p>
    <w:p>
      <w:pPr>
        <w:outlineLvl w:val="9"/>
        <w:rPr>
          <w:rFonts w:ascii="仿宋" w:hAnsi="仿宋" w:eastAsia="仿宋" w:cs="仿宋"/>
          <w:b/>
          <w:color w:val="000000" w:themeColor="text1"/>
          <w:sz w:val="28"/>
          <w:szCs w:val="28"/>
          <w:highlight w:val="none"/>
          <w14:textFill>
            <w14:solidFill>
              <w14:schemeClr w14:val="tx1"/>
            </w14:solidFill>
          </w14:textFill>
        </w:rPr>
      </w:pPr>
    </w:p>
    <w:p>
      <w:pPr>
        <w:adjustRightInd w:val="0"/>
        <w:snapToGrid w:val="0"/>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【监狱企业应当提供由省级及以上监狱管理局、戒毒管理局（含新疆生产建设兵团）出具的监狱企业的证明文件，格式如下】。</w:t>
      </w:r>
    </w:p>
    <w:p>
      <w:pPr>
        <w:pStyle w:val="8"/>
        <w:jc w:val="center"/>
        <w:outlineLvl w:val="9"/>
        <w:rPr>
          <w:rFonts w:ascii="仿宋" w:hAnsi="仿宋" w:eastAsia="仿宋" w:cs="仿宋"/>
          <w:b/>
          <w:color w:val="000000" w:themeColor="text1"/>
          <w:sz w:val="32"/>
          <w:szCs w:val="32"/>
          <w:highlight w:val="none"/>
          <w14:textFill>
            <w14:solidFill>
              <w14:schemeClr w14:val="tx1"/>
            </w14:solidFill>
          </w14:textFill>
        </w:rPr>
      </w:pPr>
    </w:p>
    <w:p>
      <w:pPr>
        <w:pStyle w:val="8"/>
        <w:jc w:val="center"/>
        <w:outlineLvl w:val="9"/>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监狱企业证明函</w:t>
      </w:r>
    </w:p>
    <w:p>
      <w:pPr>
        <w:outlineLvl w:val="9"/>
        <w:rPr>
          <w:rFonts w:ascii="仿宋" w:hAnsi="仿宋" w:eastAsia="仿宋" w:cs="仿宋"/>
          <w:color w:val="000000" w:themeColor="text1"/>
          <w:sz w:val="32"/>
          <w:szCs w:val="32"/>
          <w:highlight w:val="none"/>
          <w14:textFill>
            <w14:solidFill>
              <w14:schemeClr w14:val="tx1"/>
            </w14:solidFill>
          </w14:textFill>
        </w:rPr>
      </w:pPr>
    </w:p>
    <w:p>
      <w:pPr>
        <w:ind w:firstLine="504" w:firstLineChars="200"/>
        <w:outlineLvl w:val="9"/>
        <w:rPr>
          <w:rFonts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本公司郑重声明，根据财政部、司法部《关于政府采购支持监狱企业发展有关问题的通知》（财库〔2014〕68号）的规定，本公司为监狱企业。</w:t>
      </w:r>
    </w:p>
    <w:p>
      <w:pPr>
        <w:outlineLvl w:val="9"/>
        <w:rPr>
          <w:rFonts w:ascii="仿宋" w:hAnsi="仿宋" w:eastAsia="仿宋" w:cs="仿宋"/>
          <w:color w:val="000000" w:themeColor="text1"/>
          <w:szCs w:val="24"/>
          <w:highlight w:val="none"/>
          <w14:textFill>
            <w14:solidFill>
              <w14:schemeClr w14:val="tx1"/>
            </w14:solidFill>
          </w14:textFill>
        </w:rPr>
      </w:pPr>
    </w:p>
    <w:p>
      <w:pPr>
        <w:ind w:firstLine="4440" w:firstLineChars="1850"/>
        <w:outlineLvl w:val="9"/>
        <w:rPr>
          <w:rFonts w:ascii="仿宋" w:hAnsi="仿宋" w:eastAsia="仿宋" w:cs="仿宋"/>
          <w:color w:val="000000" w:themeColor="text1"/>
          <w:szCs w:val="24"/>
          <w:highlight w:val="none"/>
          <w14:textFill>
            <w14:solidFill>
              <w14:schemeClr w14:val="tx1"/>
            </w14:solidFill>
          </w14:textFill>
        </w:rPr>
      </w:pPr>
    </w:p>
    <w:p>
      <w:pPr>
        <w:ind w:firstLine="4440" w:firstLineChars="1850"/>
        <w:outlineLvl w:val="9"/>
        <w:rPr>
          <w:rFonts w:ascii="仿宋" w:hAnsi="仿宋" w:eastAsia="仿宋" w:cs="仿宋"/>
          <w:color w:val="000000" w:themeColor="text1"/>
          <w:szCs w:val="24"/>
          <w:highlight w:val="none"/>
          <w14:textFill>
            <w14:solidFill>
              <w14:schemeClr w14:val="tx1"/>
            </w14:solidFill>
          </w14:textFill>
        </w:rPr>
      </w:pPr>
    </w:p>
    <w:p>
      <w:pPr>
        <w:ind w:right="1008" w:firstLine="4284" w:firstLineChars="1700"/>
        <w:outlineLvl w:val="9"/>
        <w:rPr>
          <w:rFonts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spacing w:val="6"/>
          <w:szCs w:val="24"/>
          <w:highlight w:val="none"/>
          <w14:textFill>
            <w14:solidFill>
              <w14:schemeClr w14:val="tx1"/>
            </w14:solidFill>
          </w14:textFill>
        </w:rPr>
        <w:t>：</w:t>
      </w:r>
    </w:p>
    <w:p>
      <w:pPr>
        <w:ind w:right="1008" w:firstLine="4284" w:firstLineChars="1700"/>
        <w:outlineLvl w:val="9"/>
        <w:rPr>
          <w:rFonts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日期：   年  月  日</w:t>
      </w:r>
    </w:p>
    <w:p>
      <w:pPr>
        <w:ind w:firstLine="240" w:firstLineChars="100"/>
        <w:outlineLvl w:val="9"/>
        <w:rPr>
          <w:rFonts w:ascii="仿宋" w:hAnsi="仿宋" w:eastAsia="仿宋" w:cs="仿宋"/>
          <w:color w:val="000000" w:themeColor="text1"/>
          <w:szCs w:val="24"/>
          <w:highlight w:val="none"/>
          <w14:textFill>
            <w14:solidFill>
              <w14:schemeClr w14:val="tx1"/>
            </w14:solidFill>
          </w14:textFill>
        </w:rPr>
      </w:pPr>
    </w:p>
    <w:p>
      <w:pPr>
        <w:ind w:firstLine="240" w:firstLineChars="100"/>
        <w:outlineLvl w:val="9"/>
        <w:rPr>
          <w:rFonts w:ascii="仿宋" w:hAnsi="仿宋" w:eastAsia="仿宋" w:cs="仿宋"/>
          <w:color w:val="000000" w:themeColor="text1"/>
          <w:szCs w:val="24"/>
          <w:highlight w:val="none"/>
          <w14:textFill>
            <w14:solidFill>
              <w14:schemeClr w14:val="tx1"/>
            </w14:solidFill>
          </w14:textFill>
        </w:rPr>
      </w:pPr>
    </w:p>
    <w:p>
      <w:pPr>
        <w:ind w:firstLine="3360" w:firstLineChars="14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省级以上监狱管理局、戒毒管理局</w:t>
      </w:r>
    </w:p>
    <w:p>
      <w:pPr>
        <w:ind w:firstLine="3360" w:firstLineChars="14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（含新疆生产建设兵团）</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盖章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 xml:space="preserve">：  </w:t>
      </w:r>
    </w:p>
    <w:p>
      <w:pPr>
        <w:ind w:firstLine="4320" w:firstLineChars="18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日期：</w:t>
      </w:r>
      <w:r>
        <w:rPr>
          <w:rFonts w:hint="eastAsia" w:ascii="仿宋" w:hAnsi="仿宋" w:eastAsia="仿宋" w:cs="仿宋"/>
          <w:color w:val="000000" w:themeColor="text1"/>
          <w:spacing w:val="6"/>
          <w:szCs w:val="24"/>
          <w:highlight w:val="none"/>
          <w14:textFill>
            <w14:solidFill>
              <w14:schemeClr w14:val="tx1"/>
            </w14:solidFill>
          </w14:textFill>
        </w:rPr>
        <w:t xml:space="preserve">   年  月  日</w:t>
      </w:r>
    </w:p>
    <w:p>
      <w:pPr>
        <w:outlineLvl w:val="9"/>
        <w:rPr>
          <w:rFonts w:ascii="仿宋" w:hAnsi="仿宋" w:eastAsia="仿宋" w:cs="仿宋"/>
          <w:b/>
          <w:bCs/>
          <w:color w:val="000000" w:themeColor="text1"/>
          <w:szCs w:val="24"/>
          <w:highlight w:val="none"/>
          <w14:textFill>
            <w14:solidFill>
              <w14:schemeClr w14:val="tx1"/>
            </w14:solidFill>
          </w14:textFill>
        </w:rPr>
      </w:pPr>
      <w:bookmarkStart w:id="473" w:name="_Toc163492941"/>
      <w:r>
        <w:rPr>
          <w:rFonts w:hint="eastAsia" w:ascii="仿宋" w:hAnsi="仿宋" w:eastAsia="仿宋" w:cs="仿宋"/>
          <w:b/>
          <w:bCs/>
          <w:color w:val="000000" w:themeColor="text1"/>
          <w:szCs w:val="24"/>
          <w:highlight w:val="none"/>
          <w14:textFill>
            <w14:solidFill>
              <w14:schemeClr w14:val="tx1"/>
            </w14:solidFill>
          </w14:textFill>
        </w:rPr>
        <w:br w:type="page"/>
      </w:r>
    </w:p>
    <w:p>
      <w:pPr>
        <w:keepNext/>
        <w:keepLines/>
        <w:spacing w:before="80" w:after="80" w:line="240" w:lineRule="auto"/>
        <w:ind w:left="420" w:hanging="420"/>
        <w:outlineLvl w:val="9"/>
        <w:rPr>
          <w:rFonts w:ascii="仿宋" w:hAnsi="仿宋" w:eastAsia="仿宋" w:cs="仿宋"/>
          <w:b/>
          <w:bCs/>
          <w:color w:val="000000" w:themeColor="text1"/>
          <w:szCs w:val="24"/>
          <w:highlight w:val="none"/>
          <w14:textFill>
            <w14:solidFill>
              <w14:schemeClr w14:val="tx1"/>
            </w14:solidFill>
          </w14:textFill>
        </w:rPr>
      </w:pPr>
    </w:p>
    <w:p>
      <w:pPr>
        <w:keepNext/>
        <w:keepLines/>
        <w:spacing w:before="80" w:after="80" w:line="240" w:lineRule="auto"/>
        <w:ind w:left="420" w:hanging="420"/>
        <w:outlineLvl w:val="9"/>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3.</w:t>
      </w:r>
      <w:r>
        <w:rPr>
          <w:rFonts w:hint="eastAsia" w:ascii="仿宋" w:hAnsi="仿宋" w:eastAsia="仿宋" w:cs="仿宋"/>
          <w:b/>
          <w:bCs/>
          <w:color w:val="000000" w:themeColor="text1"/>
          <w:szCs w:val="24"/>
          <w:highlight w:val="none"/>
          <w14:textFill>
            <w14:solidFill>
              <w14:schemeClr w14:val="tx1"/>
            </w14:solidFill>
          </w14:textFill>
        </w:rPr>
        <w:t>残疾人福利性单位声明函</w:t>
      </w:r>
      <w:r>
        <w:rPr>
          <w:rFonts w:hint="eastAsia" w:ascii="仿宋" w:hAnsi="仿宋" w:eastAsia="仿宋" w:cs="仿宋"/>
          <w:color w:val="000000" w:themeColor="text1"/>
          <w:szCs w:val="24"/>
          <w:highlight w:val="none"/>
          <w14:textFill>
            <w14:solidFill>
              <w14:schemeClr w14:val="tx1"/>
            </w14:solidFill>
          </w14:textFill>
        </w:rPr>
        <w:t>【如适用】</w:t>
      </w:r>
      <w:bookmarkEnd w:id="473"/>
    </w:p>
    <w:p>
      <w:pPr>
        <w:pStyle w:val="43"/>
        <w:numPr>
          <w:ilvl w:val="0"/>
          <w:numId w:val="0"/>
        </w:numPr>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p>
    <w:p>
      <w:pPr>
        <w:pStyle w:val="43"/>
        <w:numPr>
          <w:ilvl w:val="0"/>
          <w:numId w:val="0"/>
        </w:numPr>
        <w:ind w:left="420" w:hanging="420"/>
        <w:jc w:val="center"/>
        <w:outlineLvl w:val="9"/>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残疾人福利性单位声明函</w:t>
      </w:r>
    </w:p>
    <w:p>
      <w:pPr>
        <w:wordWrap w:val="0"/>
        <w:ind w:firstLine="480" w:firstLineChars="200"/>
        <w:outlineLvl w:val="9"/>
        <w:rPr>
          <w:rFonts w:ascii="仿宋" w:hAnsi="仿宋" w:eastAsia="仿宋" w:cs="仿宋"/>
          <w:color w:val="000000" w:themeColor="text1"/>
          <w:szCs w:val="24"/>
          <w:highlight w:val="none"/>
          <w14:textFill>
            <w14:solidFill>
              <w14:schemeClr w14:val="tx1"/>
            </w14:solidFill>
          </w14:textFill>
        </w:rPr>
      </w:pPr>
    </w:p>
    <w:p>
      <w:pPr>
        <w:wordWrap w:val="0"/>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color w:val="000000" w:themeColor="text1"/>
          <w:szCs w:val="24"/>
          <w:highlight w:val="none"/>
          <w:u w:val="single"/>
          <w14:textFill>
            <w14:solidFill>
              <w14:schemeClr w14:val="tx1"/>
            </w14:solidFill>
          </w14:textFill>
        </w:rPr>
        <w:t xml:space="preserve"> （单位名称） </w:t>
      </w:r>
      <w:r>
        <w:rPr>
          <w:rFonts w:hint="eastAsia" w:ascii="仿宋" w:hAnsi="仿宋" w:eastAsia="仿宋" w:cs="仿宋"/>
          <w:color w:val="000000" w:themeColor="text1"/>
          <w:szCs w:val="24"/>
          <w:highlight w:val="none"/>
          <w14:textFill>
            <w14:solidFill>
              <w14:schemeClr w14:val="tx1"/>
            </w14:solidFill>
          </w14:textFill>
        </w:rPr>
        <w:t>的</w:t>
      </w:r>
      <w:r>
        <w:rPr>
          <w:rFonts w:hint="eastAsia" w:ascii="仿宋" w:hAnsi="仿宋" w:eastAsia="仿宋" w:cs="仿宋"/>
          <w:color w:val="000000" w:themeColor="text1"/>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Cs w:val="24"/>
          <w:highlight w:val="none"/>
          <w14:textFill>
            <w14:solidFill>
              <w14:schemeClr w14:val="tx1"/>
            </w14:solidFill>
          </w14:textFill>
        </w:rPr>
        <w:t>采购活动，提供的货物</w:t>
      </w:r>
      <w:r>
        <w:rPr>
          <w:rFonts w:hint="eastAsia" w:ascii="仿宋" w:hAnsi="仿宋" w:eastAsia="仿宋" w:cs="仿宋"/>
          <w:b/>
          <w:color w:val="000000" w:themeColor="text1"/>
          <w:szCs w:val="24"/>
          <w:highlight w:val="none"/>
          <w14:textFill>
            <w14:solidFill>
              <w14:schemeClr w14:val="tx1"/>
            </w14:solidFill>
          </w14:textFill>
        </w:rPr>
        <w:t>全部由</w:t>
      </w:r>
      <w:r>
        <w:rPr>
          <w:rFonts w:hint="eastAsia" w:ascii="仿宋" w:hAnsi="仿宋" w:eastAsia="仿宋" w:cs="仿宋"/>
          <w:color w:val="000000" w:themeColor="text1"/>
          <w:szCs w:val="24"/>
          <w:highlight w:val="none"/>
          <w14:textFill>
            <w14:solidFill>
              <w14:schemeClr w14:val="tx1"/>
            </w14:solidFill>
          </w14:textFill>
        </w:rPr>
        <w:t>符合政策要求的</w:t>
      </w:r>
      <w:r>
        <w:rPr>
          <w:rFonts w:hint="eastAsia" w:ascii="仿宋" w:hAnsi="仿宋" w:eastAsia="仿宋" w:cs="仿宋"/>
          <w:b/>
          <w:color w:val="000000" w:themeColor="text1"/>
          <w:szCs w:val="24"/>
          <w:highlight w:val="none"/>
          <w14:textFill>
            <w14:solidFill>
              <w14:schemeClr w14:val="tx1"/>
            </w14:solidFill>
          </w14:textFill>
        </w:rPr>
        <w:t>残疾人福利性单位制造</w:t>
      </w:r>
      <w:r>
        <w:rPr>
          <w:rFonts w:hint="eastAsia" w:ascii="仿宋" w:hAnsi="仿宋" w:eastAsia="仿宋" w:cs="仿宋"/>
          <w:color w:val="000000" w:themeColor="text1"/>
          <w:szCs w:val="24"/>
          <w:highlight w:val="none"/>
          <w14:textFill>
            <w14:solidFill>
              <w14:schemeClr w14:val="tx1"/>
            </w14:solidFill>
          </w14:textFill>
        </w:rPr>
        <w:t>。相关企业（含联合体中的残疾人福利性单位、签订分包意向协议书的残疾人福利性单位）的具体情况如下：</w:t>
      </w:r>
    </w:p>
    <w:p>
      <w:pPr>
        <w:wordWrap w:val="0"/>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u w:val="single"/>
          <w14:textFill>
            <w14:solidFill>
              <w14:schemeClr w14:val="tx1"/>
            </w14:solidFill>
          </w14:textFill>
        </w:rPr>
        <w:t xml:space="preserve"> （标的名称） </w:t>
      </w:r>
      <w:r>
        <w:rPr>
          <w:rFonts w:hint="eastAsia" w:ascii="仿宋" w:hAnsi="仿宋" w:eastAsia="仿宋" w:cs="仿宋"/>
          <w:color w:val="000000" w:themeColor="text1"/>
          <w:szCs w:val="24"/>
          <w:highlight w:val="none"/>
          <w14:textFill>
            <w14:solidFill>
              <w14:schemeClr w14:val="tx1"/>
            </w14:solidFill>
          </w14:textFill>
        </w:rPr>
        <w:t xml:space="preserve">，制造商为 </w:t>
      </w:r>
      <w:r>
        <w:rPr>
          <w:rFonts w:hint="eastAsia" w:ascii="仿宋" w:hAnsi="仿宋" w:eastAsia="仿宋" w:cs="仿宋"/>
          <w:color w:val="000000" w:themeColor="text1"/>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zCs w:val="24"/>
          <w:highlight w:val="none"/>
          <w14:textFill>
            <w14:solidFill>
              <w14:schemeClr w14:val="tx1"/>
            </w14:solidFill>
          </w14:textFill>
        </w:rPr>
        <w:t>，属于残疾人福利性单位；</w:t>
      </w:r>
    </w:p>
    <w:p>
      <w:pPr>
        <w:wordWrap w:val="0"/>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2. </w:t>
      </w:r>
      <w:r>
        <w:rPr>
          <w:rFonts w:hint="eastAsia" w:ascii="仿宋" w:hAnsi="仿宋" w:eastAsia="仿宋" w:cs="仿宋"/>
          <w:color w:val="000000" w:themeColor="text1"/>
          <w:szCs w:val="24"/>
          <w:highlight w:val="none"/>
          <w:u w:val="single"/>
          <w14:textFill>
            <w14:solidFill>
              <w14:schemeClr w14:val="tx1"/>
            </w14:solidFill>
          </w14:textFill>
        </w:rPr>
        <w:t xml:space="preserve">（标的名称） </w:t>
      </w:r>
      <w:r>
        <w:rPr>
          <w:rFonts w:hint="eastAsia" w:ascii="仿宋" w:hAnsi="仿宋" w:eastAsia="仿宋" w:cs="仿宋"/>
          <w:color w:val="000000" w:themeColor="text1"/>
          <w:szCs w:val="24"/>
          <w:highlight w:val="none"/>
          <w14:textFill>
            <w14:solidFill>
              <w14:schemeClr w14:val="tx1"/>
            </w14:solidFill>
          </w14:textFill>
        </w:rPr>
        <w:t xml:space="preserve">，制造商为 </w:t>
      </w:r>
      <w:r>
        <w:rPr>
          <w:rFonts w:hint="eastAsia" w:ascii="仿宋" w:hAnsi="仿宋" w:eastAsia="仿宋" w:cs="仿宋"/>
          <w:color w:val="000000" w:themeColor="text1"/>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zCs w:val="24"/>
          <w:highlight w:val="none"/>
          <w14:textFill>
            <w14:solidFill>
              <w14:schemeClr w14:val="tx1"/>
            </w14:solidFill>
          </w14:textFill>
        </w:rPr>
        <w:t>，属于残疾人福利性单位；</w:t>
      </w:r>
    </w:p>
    <w:p>
      <w:pPr>
        <w:wordWrap w:val="0"/>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w:t>
      </w:r>
    </w:p>
    <w:p>
      <w:pPr>
        <w:wordWrap w:val="0"/>
        <w:ind w:firstLine="480" w:firstLineChars="200"/>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以上企业，不属于大企业的分支机构，不存在控股股东为大企业的情形，也不存在与大企业的负责人为同一人的情形。</w:t>
      </w:r>
    </w:p>
    <w:p>
      <w:pPr>
        <w:wordWrap w:val="0"/>
        <w:ind w:left="1087" w:leftChars="200" w:hanging="607" w:hangingChars="253"/>
        <w:outlineLvl w:val="9"/>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本企业对上述声明内容的真实性负责。如有虚假，将依法承担相应责任。</w:t>
      </w:r>
    </w:p>
    <w:p>
      <w:pPr>
        <w:wordWrap w:val="0"/>
        <w:ind w:left="1091" w:hanging="1091" w:hangingChars="453"/>
        <w:outlineLvl w:val="9"/>
        <w:rPr>
          <w:rFonts w:ascii="仿宋" w:hAnsi="仿宋" w:eastAsia="仿宋" w:cs="仿宋"/>
          <w:b/>
          <w:bCs/>
          <w:color w:val="000000" w:themeColor="text1"/>
          <w:szCs w:val="24"/>
          <w:highlight w:val="none"/>
          <w14:textFill>
            <w14:solidFill>
              <w14:schemeClr w14:val="tx1"/>
            </w14:solidFill>
          </w14:textFill>
        </w:rPr>
      </w:pPr>
    </w:p>
    <w:p>
      <w:pPr>
        <w:wordWrap w:val="0"/>
        <w:ind w:left="1091" w:hanging="1091" w:hangingChars="453"/>
        <w:outlineLvl w:val="9"/>
        <w:rPr>
          <w:rFonts w:ascii="仿宋" w:hAnsi="仿宋" w:eastAsia="仿宋" w:cs="仿宋"/>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说明：</w:t>
      </w:r>
      <w:r>
        <w:rPr>
          <w:rFonts w:hint="eastAsia" w:ascii="仿宋" w:hAnsi="仿宋" w:eastAsia="仿宋" w:cs="仿宋"/>
          <w:bCs/>
          <w:color w:val="000000" w:themeColor="text1"/>
          <w:szCs w:val="24"/>
          <w:highlight w:val="none"/>
          <w14:textFill>
            <w14:solidFill>
              <w14:schemeClr w14:val="tx1"/>
            </w14:solidFill>
          </w14:textFill>
        </w:rPr>
        <w:t>1、</w:t>
      </w:r>
      <w:r>
        <w:rPr>
          <w:rFonts w:hint="eastAsia" w:ascii="仿宋" w:hAnsi="仿宋" w:eastAsia="仿宋" w:cs="仿宋"/>
          <w:bCs/>
          <w:color w:val="000000" w:themeColor="text1"/>
          <w:szCs w:val="21"/>
          <w:highlight w:val="none"/>
          <w:lang w:val="zh-CN"/>
          <w14:textFill>
            <w14:solidFill>
              <w14:schemeClr w14:val="tx1"/>
            </w14:solidFill>
          </w14:textFill>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pPr>
        <w:wordWrap w:val="0"/>
        <w:ind w:left="1087" w:hanging="1087" w:hangingChars="453"/>
        <w:outlineLvl w:val="9"/>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 xml:space="preserve">      2、</w:t>
      </w:r>
      <w:r>
        <w:rPr>
          <w:rFonts w:hint="eastAsia" w:ascii="仿宋" w:hAnsi="仿宋" w:eastAsia="仿宋" w:cs="仿宋"/>
          <w:color w:val="000000" w:themeColor="text1"/>
          <w:szCs w:val="21"/>
          <w:highlight w:val="none"/>
          <w14:textFill>
            <w14:solidFill>
              <w14:schemeClr w14:val="tx1"/>
            </w14:solidFill>
          </w14:textFill>
        </w:rPr>
        <w:t>以联合体形式参加的，应</w:t>
      </w:r>
      <w:r>
        <w:rPr>
          <w:rFonts w:hint="eastAsia" w:ascii="仿宋" w:hAnsi="仿宋" w:eastAsia="仿宋" w:cs="仿宋"/>
          <w:bCs/>
          <w:color w:val="000000" w:themeColor="text1"/>
          <w:szCs w:val="21"/>
          <w:highlight w:val="none"/>
          <w:lang w:val="zh-CN"/>
          <w14:textFill>
            <w14:solidFill>
              <w14:schemeClr w14:val="tx1"/>
            </w14:solidFill>
          </w14:textFill>
        </w:rPr>
        <w:t>当</w:t>
      </w:r>
      <w:r>
        <w:rPr>
          <w:rFonts w:hint="eastAsia" w:ascii="仿宋" w:hAnsi="仿宋" w:eastAsia="仿宋" w:cs="仿宋"/>
          <w:color w:val="000000" w:themeColor="text1"/>
          <w:szCs w:val="21"/>
          <w:highlight w:val="none"/>
          <w14:textFill>
            <w14:solidFill>
              <w14:schemeClr w14:val="tx1"/>
            </w14:solidFill>
          </w14:textFill>
        </w:rPr>
        <w:t>由联合体各方盖章。</w:t>
      </w:r>
    </w:p>
    <w:p>
      <w:pPr>
        <w:wordWrap w:val="0"/>
        <w:spacing w:before="100" w:beforeAutospacing="1" w:after="100" w:afterAutospacing="1"/>
        <w:ind w:firstLine="3316" w:firstLineChars="1382"/>
        <w:outlineLvl w:val="9"/>
        <w:rPr>
          <w:rFonts w:ascii="仿宋" w:hAnsi="仿宋" w:eastAsia="仿宋" w:cs="仿宋"/>
          <w:bCs/>
          <w:color w:val="000000" w:themeColor="text1"/>
          <w:szCs w:val="21"/>
          <w:highlight w:val="none"/>
          <w:lang w:val="zh-CN"/>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投标人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bCs/>
          <w:color w:val="000000" w:themeColor="text1"/>
          <w:szCs w:val="21"/>
          <w:highlight w:val="none"/>
          <w:lang w:val="zh-CN"/>
          <w14:textFill>
            <w14:solidFill>
              <w14:schemeClr w14:val="tx1"/>
            </w14:solidFill>
          </w14:textFill>
        </w:rPr>
        <w:t>：</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p>
    <w:p>
      <w:pPr>
        <w:wordWrap w:val="0"/>
        <w:spacing w:before="100" w:beforeAutospacing="1" w:after="100" w:afterAutospacing="1"/>
        <w:ind w:firstLine="3316" w:firstLineChars="1382"/>
        <w:outlineLvl w:val="9"/>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日  期：</w:t>
      </w:r>
      <w:r>
        <w:rPr>
          <w:rFonts w:hint="eastAsia" w:ascii="仿宋" w:hAnsi="仿宋" w:eastAsia="仿宋" w:cs="仿宋"/>
          <w:bCs/>
          <w:color w:val="000000" w:themeColor="text1"/>
          <w:szCs w:val="24"/>
          <w:highlight w:val="none"/>
          <w:u w:val="single"/>
          <w14:textFill>
            <w14:solidFill>
              <w14:schemeClr w14:val="tx1"/>
            </w14:solidFill>
          </w14:textFill>
        </w:rPr>
        <w:t xml:space="preserve">                         </w:t>
      </w:r>
    </w:p>
    <w:p>
      <w:pPr>
        <w:outlineLvl w:val="9"/>
        <w:rPr>
          <w:rFonts w:ascii="仿宋" w:hAnsi="仿宋" w:eastAsia="仿宋" w:cs="仿宋"/>
          <w:color w:val="000000" w:themeColor="text1"/>
          <w:spacing w:val="6"/>
          <w:sz w:val="21"/>
          <w:szCs w:val="21"/>
          <w:highlight w:val="none"/>
          <w14:textFill>
            <w14:solidFill>
              <w14:schemeClr w14:val="tx1"/>
            </w14:solidFill>
          </w14:textFill>
        </w:rPr>
      </w:pPr>
    </w:p>
    <w:p>
      <w:pPr>
        <w:outlineLvl w:val="9"/>
      </w:pPr>
    </w:p>
    <w:sectPr>
      <w:type w:val="continuous"/>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6" w:usb3="00000000" w:csb0="600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9" w:lineRule="auto"/>
      <w:ind w:left="3985"/>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74</w:t>
                    </w:r>
                    <w:r>
                      <w:fldChar w:fldCharType="end"/>
                    </w:r>
                  </w:p>
                </w:txbxContent>
              </v:textbox>
            </v:shape>
          </w:pict>
        </mc:Fallback>
      </mc:AlternateContent>
    </w:r>
    <w:r>
      <w:rPr>
        <w:spacing w:val="-1"/>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81</w:t>
                    </w:r>
                    <w:r>
                      <w:fldChar w:fldCharType="end"/>
                    </w:r>
                  </w:p>
                </w:txbxContent>
              </v:textbox>
            </v:shape>
          </w:pict>
        </mc:Fallback>
      </mc:AlternateConten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eastAsia="宋体"/>
        <w:lang w:eastAsia="zh-CN"/>
      </w:rPr>
    </w:pPr>
    <w:r>
      <w:rPr>
        <w:rFonts w:hint="eastAsia" w:ascii="仿宋" w:hAnsi="仿宋" w:eastAsia="仿宋" w:cs="仿宋"/>
        <w:lang w:eastAsia="zh-CN"/>
      </w:rPr>
      <w:t>新疆和田学院机电工程学院实验实训基地建设项目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447B6378"/>
    <w:multiLevelType w:val="multilevel"/>
    <w:tmpl w:val="447B6378"/>
    <w:lvl w:ilvl="0" w:tentative="0">
      <w:start w:val="1"/>
      <w:numFmt w:val="decimal"/>
      <w:pStyle w:val="4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NTIwODQzOTUyZDUyNWFkZDRlNmE2ODQ3OWE3YTMifQ=="/>
  </w:docVars>
  <w:rsids>
    <w:rsidRoot w:val="6BA81A0B"/>
    <w:rsid w:val="00863B59"/>
    <w:rsid w:val="00AD1A5D"/>
    <w:rsid w:val="00C87886"/>
    <w:rsid w:val="0250441F"/>
    <w:rsid w:val="02F72E71"/>
    <w:rsid w:val="033676E3"/>
    <w:rsid w:val="03F1578E"/>
    <w:rsid w:val="062C0CFF"/>
    <w:rsid w:val="06617573"/>
    <w:rsid w:val="081C4DA3"/>
    <w:rsid w:val="081C5B30"/>
    <w:rsid w:val="082A3964"/>
    <w:rsid w:val="08865E7B"/>
    <w:rsid w:val="088F5ABD"/>
    <w:rsid w:val="092E2FE0"/>
    <w:rsid w:val="0A472111"/>
    <w:rsid w:val="0AC76E6A"/>
    <w:rsid w:val="0B876AF0"/>
    <w:rsid w:val="0E2B3022"/>
    <w:rsid w:val="0E346C0A"/>
    <w:rsid w:val="0EB43F87"/>
    <w:rsid w:val="0F04754D"/>
    <w:rsid w:val="0FDD599F"/>
    <w:rsid w:val="118F69E3"/>
    <w:rsid w:val="11B8716B"/>
    <w:rsid w:val="12152F8F"/>
    <w:rsid w:val="124C3E81"/>
    <w:rsid w:val="128D5702"/>
    <w:rsid w:val="185FE796"/>
    <w:rsid w:val="1B0E3429"/>
    <w:rsid w:val="1BF73705"/>
    <w:rsid w:val="1C3C05C3"/>
    <w:rsid w:val="1CAD0994"/>
    <w:rsid w:val="1CD243EA"/>
    <w:rsid w:val="1EA00786"/>
    <w:rsid w:val="1EF247D3"/>
    <w:rsid w:val="1EF7652F"/>
    <w:rsid w:val="1FF48907"/>
    <w:rsid w:val="218F1D93"/>
    <w:rsid w:val="21EF43E7"/>
    <w:rsid w:val="22714BBD"/>
    <w:rsid w:val="23310DCA"/>
    <w:rsid w:val="23971AEF"/>
    <w:rsid w:val="23E463A4"/>
    <w:rsid w:val="241261E8"/>
    <w:rsid w:val="252C2672"/>
    <w:rsid w:val="258D6769"/>
    <w:rsid w:val="273C7F00"/>
    <w:rsid w:val="27B910FD"/>
    <w:rsid w:val="27DB3EDB"/>
    <w:rsid w:val="29EB24B6"/>
    <w:rsid w:val="2BC8613C"/>
    <w:rsid w:val="3024533F"/>
    <w:rsid w:val="30532E20"/>
    <w:rsid w:val="33040032"/>
    <w:rsid w:val="347D150E"/>
    <w:rsid w:val="35BA7826"/>
    <w:rsid w:val="36B14785"/>
    <w:rsid w:val="370F6FDE"/>
    <w:rsid w:val="38404012"/>
    <w:rsid w:val="385B4A11"/>
    <w:rsid w:val="38BB7B3D"/>
    <w:rsid w:val="39327A9E"/>
    <w:rsid w:val="39867E69"/>
    <w:rsid w:val="3C153A08"/>
    <w:rsid w:val="3DAEBD42"/>
    <w:rsid w:val="3DB9210C"/>
    <w:rsid w:val="3ED97A34"/>
    <w:rsid w:val="4169701E"/>
    <w:rsid w:val="432F1853"/>
    <w:rsid w:val="43394997"/>
    <w:rsid w:val="44656D2B"/>
    <w:rsid w:val="446612A5"/>
    <w:rsid w:val="44FC01A9"/>
    <w:rsid w:val="45353A64"/>
    <w:rsid w:val="46B4232F"/>
    <w:rsid w:val="472164A7"/>
    <w:rsid w:val="482E0B3A"/>
    <w:rsid w:val="484F5945"/>
    <w:rsid w:val="49AA1C33"/>
    <w:rsid w:val="4BC01606"/>
    <w:rsid w:val="4BD7C7D5"/>
    <w:rsid w:val="4C261319"/>
    <w:rsid w:val="4E692004"/>
    <w:rsid w:val="4E8746E7"/>
    <w:rsid w:val="50CD1EFF"/>
    <w:rsid w:val="51762C54"/>
    <w:rsid w:val="51960CEF"/>
    <w:rsid w:val="520670D2"/>
    <w:rsid w:val="540632F0"/>
    <w:rsid w:val="54311117"/>
    <w:rsid w:val="5567A965"/>
    <w:rsid w:val="55C04D78"/>
    <w:rsid w:val="56B877CC"/>
    <w:rsid w:val="574DEE6D"/>
    <w:rsid w:val="57BF7544"/>
    <w:rsid w:val="57FD0B28"/>
    <w:rsid w:val="583F3E8F"/>
    <w:rsid w:val="58E460CF"/>
    <w:rsid w:val="59BF0BCE"/>
    <w:rsid w:val="5D7D3014"/>
    <w:rsid w:val="5DFB118A"/>
    <w:rsid w:val="5E257683"/>
    <w:rsid w:val="5EFF982B"/>
    <w:rsid w:val="5F6B7317"/>
    <w:rsid w:val="5FF98EEB"/>
    <w:rsid w:val="6051604B"/>
    <w:rsid w:val="60A615E0"/>
    <w:rsid w:val="60F638ED"/>
    <w:rsid w:val="625B0F5B"/>
    <w:rsid w:val="629372B1"/>
    <w:rsid w:val="655F86E4"/>
    <w:rsid w:val="659E1610"/>
    <w:rsid w:val="65A91227"/>
    <w:rsid w:val="66495ED8"/>
    <w:rsid w:val="68C9405E"/>
    <w:rsid w:val="69CE51D8"/>
    <w:rsid w:val="6A1C4030"/>
    <w:rsid w:val="6B0D5278"/>
    <w:rsid w:val="6B8B1CFB"/>
    <w:rsid w:val="6BA81A0B"/>
    <w:rsid w:val="6D146AA4"/>
    <w:rsid w:val="6D5B49E8"/>
    <w:rsid w:val="6D687F00"/>
    <w:rsid w:val="6D784C35"/>
    <w:rsid w:val="6EC851B9"/>
    <w:rsid w:val="706758D9"/>
    <w:rsid w:val="711961AF"/>
    <w:rsid w:val="72C45E9A"/>
    <w:rsid w:val="73687BC2"/>
    <w:rsid w:val="73DF720F"/>
    <w:rsid w:val="740F42BD"/>
    <w:rsid w:val="75E904F2"/>
    <w:rsid w:val="75FF34C7"/>
    <w:rsid w:val="76830F93"/>
    <w:rsid w:val="77575473"/>
    <w:rsid w:val="7771703D"/>
    <w:rsid w:val="78D7053F"/>
    <w:rsid w:val="7AB21360"/>
    <w:rsid w:val="7C421140"/>
    <w:rsid w:val="7C6C70A8"/>
    <w:rsid w:val="7D3D95A2"/>
    <w:rsid w:val="7D7F3858"/>
    <w:rsid w:val="7DE07C34"/>
    <w:rsid w:val="7DF8DB58"/>
    <w:rsid w:val="7EB3EE48"/>
    <w:rsid w:val="7F2FA7AF"/>
    <w:rsid w:val="7F5F2F63"/>
    <w:rsid w:val="7FB72283"/>
    <w:rsid w:val="97FF412B"/>
    <w:rsid w:val="A7FFA187"/>
    <w:rsid w:val="BFDE1784"/>
    <w:rsid w:val="DDAE2D03"/>
    <w:rsid w:val="E17F9809"/>
    <w:rsid w:val="F6E358B2"/>
    <w:rsid w:val="FBFB9036"/>
    <w:rsid w:val="FE7F0BDB"/>
    <w:rsid w:val="FE7F3B98"/>
    <w:rsid w:val="FF5FB418"/>
    <w:rsid w:val="FFDF0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spacing w:after="120" w:line="240" w:lineRule="auto"/>
      <w:jc w:val="both"/>
    </w:pPr>
    <w:rPr>
      <w:rFonts w:eastAsiaTheme="minorEastAsia"/>
      <w:sz w:val="21"/>
      <w:szCs w:val="24"/>
    </w:rPr>
  </w:style>
  <w:style w:type="paragraph" w:styleId="6">
    <w:name w:val="Normal Indent"/>
    <w:basedOn w:val="1"/>
    <w:next w:val="1"/>
    <w:autoRedefine/>
    <w:unhideWhenUsed/>
    <w:qFormat/>
    <w:uiPriority w:val="0"/>
    <w:pPr>
      <w:ind w:firstLine="420" w:firstLineChars="200"/>
    </w:pPr>
    <w:rPr>
      <w:rFonts w:ascii="Calibri" w:hAnsi="Calibri"/>
    </w:rPr>
  </w:style>
  <w:style w:type="paragraph" w:styleId="7">
    <w:name w:val="Body Text Indent"/>
    <w:basedOn w:val="1"/>
    <w:autoRedefine/>
    <w:unhideWhenUsed/>
    <w:qFormat/>
    <w:uiPriority w:val="0"/>
    <w:pPr>
      <w:ind w:firstLine="630"/>
    </w:pPr>
    <w:rPr>
      <w:rFonts w:eastAsia="仿宋_GB2312"/>
      <w:kern w:val="0"/>
      <w:sz w:val="32"/>
      <w:szCs w:val="20"/>
    </w:rPr>
  </w:style>
  <w:style w:type="paragraph" w:styleId="8">
    <w:name w:val="Plain Text"/>
    <w:basedOn w:val="1"/>
    <w:autoRedefine/>
    <w:unhideWhenUsed/>
    <w:qFormat/>
    <w:uiPriority w:val="0"/>
    <w:rPr>
      <w:rFonts w:hAnsi="Courier New"/>
      <w:kern w:val="0"/>
      <w:sz w:val="20"/>
      <w:szCs w:val="20"/>
    </w:rPr>
  </w:style>
  <w:style w:type="paragraph" w:styleId="9">
    <w:name w:val="footer"/>
    <w:basedOn w:val="1"/>
    <w:autoRedefine/>
    <w:unhideWhenUsed/>
    <w:qFormat/>
    <w:uiPriority w:val="99"/>
    <w:pPr>
      <w:tabs>
        <w:tab w:val="center" w:pos="4153"/>
        <w:tab w:val="right" w:pos="8306"/>
      </w:tabs>
      <w:snapToGrid w:val="0"/>
      <w:spacing w:line="240" w:lineRule="auto"/>
    </w:pPr>
    <w:rPr>
      <w:sz w:val="18"/>
      <w:szCs w:val="18"/>
    </w:rPr>
  </w:style>
  <w:style w:type="paragraph" w:styleId="10">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12">
    <w:name w:val="footnote text"/>
    <w:basedOn w:val="1"/>
    <w:autoRedefine/>
    <w:qFormat/>
    <w:uiPriority w:val="0"/>
    <w:pPr>
      <w:widowControl/>
    </w:pPr>
    <w:rPr>
      <w:kern w:val="0"/>
      <w:sz w:val="20"/>
      <w:szCs w:val="20"/>
      <w:lang w:val="de-DE"/>
    </w:rPr>
  </w:style>
  <w:style w:type="paragraph" w:styleId="13">
    <w:name w:val="Normal (Web)"/>
    <w:basedOn w:val="1"/>
    <w:autoRedefine/>
    <w:qFormat/>
    <w:uiPriority w:val="99"/>
    <w:pPr>
      <w:widowControl/>
      <w:spacing w:before="100" w:beforeAutospacing="1" w:after="100" w:afterAutospacing="1"/>
    </w:pPr>
    <w:rPr>
      <w:rFonts w:cs="宋体"/>
      <w:color w:val="000000"/>
      <w:kern w:val="0"/>
      <w:szCs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autoRedefine/>
    <w:qFormat/>
    <w:uiPriority w:val="0"/>
    <w:rPr>
      <w:b/>
      <w:bCs/>
    </w:rPr>
  </w:style>
  <w:style w:type="character" w:styleId="18">
    <w:name w:val="Hyperlink"/>
    <w:basedOn w:val="16"/>
    <w:autoRedefine/>
    <w:unhideWhenUsed/>
    <w:qFormat/>
    <w:uiPriority w:val="99"/>
    <w:rPr>
      <w:color w:val="0026E5" w:themeColor="hyperlink"/>
      <w:u w:val="single"/>
      <w14:textFill>
        <w14:solidFill>
          <w14:schemeClr w14:val="hlink"/>
        </w14:solidFill>
      </w14:textFill>
    </w:rPr>
  </w:style>
  <w:style w:type="paragraph" w:customStyle="1" w:styleId="19">
    <w:name w:val="正文缩进2"/>
    <w:basedOn w:val="1"/>
    <w:autoRedefine/>
    <w:qFormat/>
    <w:uiPriority w:val="0"/>
    <w:pPr>
      <w:wordWrap w:val="0"/>
      <w:ind w:firstLine="480"/>
    </w:pPr>
    <w:rPr>
      <w:iCs/>
      <w:shd w:val="clear" w:color="auto" w:fill="FFFFFF" w:themeFill="background1"/>
      <w:lang w:val="zh-CN"/>
    </w:rPr>
  </w:style>
  <w:style w:type="paragraph" w:styleId="20">
    <w:name w:val="No Spacing"/>
    <w:autoRedefine/>
    <w:qFormat/>
    <w:uiPriority w:val="1"/>
    <w:pPr>
      <w:widowControl w:val="0"/>
    </w:pPr>
    <w:rPr>
      <w:rFonts w:ascii="宋体" w:hAnsi="宋体" w:eastAsia="宋体" w:cstheme="minorBidi"/>
      <w:kern w:val="2"/>
      <w:sz w:val="24"/>
      <w:szCs w:val="22"/>
      <w:lang w:val="en-US" w:eastAsia="zh-CN" w:bidi="ar-SA"/>
    </w:rPr>
  </w:style>
  <w:style w:type="paragraph" w:customStyle="1" w:styleId="21">
    <w:name w:val="正文_2"/>
    <w:basedOn w:val="22"/>
    <w:next w:val="27"/>
    <w:autoRedefine/>
    <w:qFormat/>
    <w:uiPriority w:val="0"/>
    <w:rPr>
      <w:rFonts w:eastAsia="宋体" w:cs="Times New Roman"/>
    </w:rPr>
  </w:style>
  <w:style w:type="paragraph" w:customStyle="1" w:styleId="22">
    <w:name w:val="正文_4"/>
    <w:basedOn w:val="23"/>
    <w:next w:val="26"/>
    <w:autoRedefine/>
    <w:qFormat/>
    <w:uiPriority w:val="0"/>
    <w:rPr>
      <w:rFonts w:cs="Calibri"/>
      <w:szCs w:val="21"/>
    </w:rPr>
  </w:style>
  <w:style w:type="paragraph" w:customStyle="1" w:styleId="23">
    <w:name w:val="正文_0_1"/>
    <w:next w:val="24"/>
    <w:autoRedefine/>
    <w:qFormat/>
    <w:uiPriority w:val="0"/>
    <w:pPr>
      <w:widowControl w:val="0"/>
      <w:jc w:val="both"/>
    </w:pPr>
    <w:rPr>
      <w:rFonts w:ascii="Calibri" w:hAnsi="Calibri" w:eastAsia="仿宋" w:cs="Times New Roman"/>
      <w:kern w:val="2"/>
      <w:sz w:val="21"/>
      <w:szCs w:val="24"/>
      <w:lang w:val="en-US" w:eastAsia="zh-CN" w:bidi="ar-SA"/>
    </w:rPr>
  </w:style>
  <w:style w:type="paragraph" w:customStyle="1" w:styleId="24">
    <w:name w:val="页脚_0"/>
    <w:basedOn w:val="25"/>
    <w:autoRedefine/>
    <w:unhideWhenUsed/>
    <w:qFormat/>
    <w:uiPriority w:val="99"/>
    <w:pPr>
      <w:tabs>
        <w:tab w:val="center" w:pos="4153"/>
        <w:tab w:val="right" w:pos="8306"/>
      </w:tabs>
      <w:snapToGrid w:val="0"/>
      <w:jc w:val="left"/>
    </w:pPr>
    <w:rPr>
      <w:sz w:val="18"/>
      <w:szCs w:val="18"/>
    </w:rPr>
  </w:style>
  <w:style w:type="paragraph" w:customStyle="1" w:styleId="25">
    <w:name w:val="正文_1"/>
    <w:next w:val="2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首行缩进_0"/>
    <w:basedOn w:val="27"/>
    <w:autoRedefine/>
    <w:unhideWhenUsed/>
    <w:qFormat/>
    <w:uiPriority w:val="99"/>
    <w:pPr>
      <w:ind w:firstLine="420" w:firstLineChars="100"/>
    </w:pPr>
    <w:rPr>
      <w:szCs w:val="22"/>
    </w:rPr>
  </w:style>
  <w:style w:type="paragraph" w:customStyle="1" w:styleId="27">
    <w:name w:val="正文文本_1"/>
    <w:basedOn w:val="28"/>
    <w:autoRedefine/>
    <w:qFormat/>
    <w:uiPriority w:val="0"/>
    <w:pPr>
      <w:spacing w:after="120"/>
    </w:pPr>
    <w:rPr>
      <w:rFonts w:ascii="Times New Roman" w:hAnsi="Times New Roman"/>
      <w:szCs w:val="24"/>
    </w:rPr>
  </w:style>
  <w:style w:type="paragraph" w:customStyle="1" w:styleId="28">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正文1"/>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32">
    <w:name w:val="font131"/>
    <w:basedOn w:val="16"/>
    <w:autoRedefine/>
    <w:qFormat/>
    <w:uiPriority w:val="0"/>
    <w:rPr>
      <w:rFonts w:ascii="Calibri" w:hAnsi="Calibri" w:cs="Calibri"/>
      <w:color w:val="000000"/>
      <w:sz w:val="18"/>
      <w:szCs w:val="18"/>
      <w:u w:val="none"/>
    </w:r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 w:type="paragraph" w:customStyle="1" w:styleId="34">
    <w:name w:val="Normal"/>
    <w:basedOn w:val="35"/>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5">
    <w:name w:val="正文_5"/>
    <w:basedOn w:val="3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缩进2格"/>
    <w:basedOn w:val="1"/>
    <w:autoRedefine/>
    <w:qFormat/>
    <w:uiPriority w:val="0"/>
    <w:pPr>
      <w:spacing w:line="600" w:lineRule="exact"/>
      <w:ind w:firstLine="639" w:firstLineChars="206"/>
    </w:pPr>
    <w:rPr>
      <w:rFonts w:ascii="仿宋_GB2312" w:eastAsia="仿宋_GB2312"/>
      <w:kern w:val="0"/>
      <w:sz w:val="31"/>
      <w:szCs w:val="20"/>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列出段落1"/>
    <w:basedOn w:val="1"/>
    <w:autoRedefine/>
    <w:qFormat/>
    <w:uiPriority w:val="0"/>
    <w:pPr>
      <w:ind w:firstLine="420" w:firstLineChars="200"/>
    </w:pPr>
    <w:rPr>
      <w:szCs w:val="21"/>
    </w:rPr>
  </w:style>
  <w:style w:type="paragraph" w:customStyle="1" w:styleId="40">
    <w:name w:val="正文_0_1_0_0"/>
    <w:basedOn w:val="41"/>
    <w:autoRedefine/>
    <w:qFormat/>
    <w:uiPriority w:val="0"/>
    <w:rPr>
      <w:rFonts w:ascii="Calibri" w:hAnsi="Calibri" w:eastAsia="宋体" w:cs="Calibri"/>
      <w:szCs w:val="21"/>
    </w:rPr>
  </w:style>
  <w:style w:type="paragraph" w:customStyle="1" w:styleId="41">
    <w:name w:val="正文_0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22"/>
    <w:autoRedefine/>
    <w:qFormat/>
    <w:uiPriority w:val="0"/>
    <w:rPr>
      <w:rFonts w:ascii="Times New Roman" w:hAnsi="Times New Roman" w:eastAsia="Times New Roman" w:cs="Times New Roman"/>
      <w:sz w:val="24"/>
      <w:szCs w:val="24"/>
      <w:lang w:val="en-US" w:eastAsia="zh-CN" w:bidi="ar-SA"/>
    </w:rPr>
  </w:style>
  <w:style w:type="paragraph" w:styleId="43">
    <w:name w:val="List Paragraph"/>
    <w:basedOn w:val="1"/>
    <w:autoRedefine/>
    <w:qFormat/>
    <w:uiPriority w:val="34"/>
    <w:pPr>
      <w:numPr>
        <w:ilvl w:val="0"/>
        <w:numId w:val="1"/>
      </w:numPr>
    </w:pPr>
  </w:style>
  <w:style w:type="paragraph" w:customStyle="1" w:styleId="44">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59252</Words>
  <Characters>62575</Characters>
  <Lines>1</Lines>
  <Paragraphs>1</Paragraphs>
  <TotalTime>1</TotalTime>
  <ScaleCrop>false</ScaleCrop>
  <LinksUpToDate>false</LinksUpToDate>
  <CharactersWithSpaces>65918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2026-04-27T20:03:00Z</dcterms:created>
  <dc:creator>何时归南客</dc:creator>
  <cp:lastModifiedBy>何时归南客</cp:lastModifiedBy>
  <cp:lastPrinted>2026-05-11T03:42:00Z</cp:lastPrinted>
  <dcterms:modified xsi:type="dcterms:W3CDTF">2026-05-11T08:16:44Z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E06EE57E22EADDF12892F069B0F8095F_43</vt:lpwstr>
  </property>
  <property fmtid="{D5CDD505-2E9C-101B-9397-08002B2CF9AE}" pid="4" name="KSOTemplateDocerSaveRecord">
    <vt:lpwstr>eyJoZGlkIjoiNTE2YWFlNGQxMWQ5NTg4ODQ1Zjg1Mzg0ZjNhYmZiYzYifQ==</vt:lpwstr>
  </property>
</Properties>
</file>