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3AF6C">
      <w:pPr>
        <w:pStyle w:val="4"/>
        <w:jc w:val="left"/>
        <w:outlineLvl w:val="2"/>
      </w:pPr>
      <w:r>
        <w:rPr>
          <w:rFonts w:ascii="仿宋_GB2312" w:hAnsi="仿宋_GB2312" w:eastAsia="仿宋_GB2312" w:cs="仿宋_GB2312"/>
          <w:b/>
          <w:sz w:val="28"/>
        </w:rPr>
        <w:t>3.1.采购内容</w:t>
      </w:r>
    </w:p>
    <w:p w14:paraId="1D773E46">
      <w:pPr>
        <w:pStyle w:val="4"/>
        <w:jc w:val="left"/>
      </w:pPr>
      <w:r>
        <w:rPr>
          <w:rFonts w:ascii="仿宋_GB2312" w:hAnsi="仿宋_GB2312" w:eastAsia="仿宋_GB2312" w:cs="仿宋_GB2312"/>
        </w:rPr>
        <w:t>采购包1：</w:t>
      </w:r>
    </w:p>
    <w:p w14:paraId="3AD2E0B8">
      <w:pPr>
        <w:pStyle w:val="4"/>
        <w:jc w:val="left"/>
      </w:pPr>
      <w:r>
        <w:rPr>
          <w:rFonts w:ascii="仿宋_GB2312" w:hAnsi="仿宋_GB2312" w:eastAsia="仿宋_GB2312" w:cs="仿宋_GB2312"/>
        </w:rPr>
        <w:t>采购包预算金额（元）: 900,000.00</w:t>
      </w:r>
    </w:p>
    <w:p w14:paraId="246FF506">
      <w:pPr>
        <w:pStyle w:val="4"/>
        <w:jc w:val="left"/>
      </w:pPr>
      <w:r>
        <w:rPr>
          <w:rFonts w:ascii="仿宋_GB2312" w:hAnsi="仿宋_GB2312" w:eastAsia="仿宋_GB2312" w:cs="仿宋_GB2312"/>
        </w:rPr>
        <w:t>采购包最高限价（元）: 836,000.00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10082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C7D4B7">
            <w:pPr>
              <w:pStyle w:val="4"/>
              <w:jc w:val="center"/>
            </w:pPr>
            <w:r>
              <w:rPr>
                <w:rFonts w:ascii="仿宋_GB2312" w:hAnsi="仿宋_GB2312" w:eastAsia="仿宋_GB2312" w:cs="仿宋_GB2312"/>
              </w:rPr>
              <w:t>序号</w:t>
            </w:r>
          </w:p>
        </w:tc>
        <w:tc>
          <w:tcPr>
            <w:tcW w:w="821" w:type="dxa"/>
          </w:tcPr>
          <w:p w14:paraId="2AA0B1E1">
            <w:pPr>
              <w:pStyle w:val="4"/>
              <w:jc w:val="center"/>
            </w:pPr>
            <w:r>
              <w:rPr>
                <w:rFonts w:ascii="仿宋_GB2312" w:hAnsi="仿宋_GB2312" w:eastAsia="仿宋_GB2312" w:cs="仿宋_GB2312"/>
              </w:rPr>
              <w:t>采购品目名称</w:t>
            </w:r>
          </w:p>
        </w:tc>
        <w:tc>
          <w:tcPr>
            <w:tcW w:w="821" w:type="dxa"/>
          </w:tcPr>
          <w:p w14:paraId="3D772EF6">
            <w:pPr>
              <w:pStyle w:val="4"/>
              <w:jc w:val="center"/>
            </w:pPr>
            <w:r>
              <w:rPr>
                <w:rFonts w:ascii="仿宋_GB2312" w:hAnsi="仿宋_GB2312" w:eastAsia="仿宋_GB2312" w:cs="仿宋_GB2312"/>
              </w:rPr>
              <w:t>标的名称</w:t>
            </w:r>
          </w:p>
        </w:tc>
        <w:tc>
          <w:tcPr>
            <w:tcW w:w="821" w:type="dxa"/>
          </w:tcPr>
          <w:p w14:paraId="7601960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EE1F146">
            <w:pPr>
              <w:pStyle w:val="4"/>
              <w:jc w:val="center"/>
            </w:pPr>
            <w:r>
              <w:rPr>
                <w:rFonts w:ascii="仿宋_GB2312" w:hAnsi="仿宋_GB2312" w:eastAsia="仿宋_GB2312" w:cs="仿宋_GB2312"/>
              </w:rPr>
              <w:t>标的金额 （元）</w:t>
            </w:r>
          </w:p>
        </w:tc>
        <w:tc>
          <w:tcPr>
            <w:tcW w:w="821" w:type="dxa"/>
          </w:tcPr>
          <w:p w14:paraId="7E7B1095">
            <w:pPr>
              <w:pStyle w:val="4"/>
              <w:jc w:val="center"/>
            </w:pPr>
            <w:r>
              <w:rPr>
                <w:rFonts w:ascii="仿宋_GB2312" w:hAnsi="仿宋_GB2312" w:eastAsia="仿宋_GB2312" w:cs="仿宋_GB2312"/>
              </w:rPr>
              <w:t>所属行业</w:t>
            </w:r>
          </w:p>
        </w:tc>
        <w:tc>
          <w:tcPr>
            <w:tcW w:w="821" w:type="dxa"/>
          </w:tcPr>
          <w:p w14:paraId="3666738D">
            <w:pPr>
              <w:pStyle w:val="4"/>
              <w:jc w:val="center"/>
            </w:pPr>
            <w:r>
              <w:rPr>
                <w:rFonts w:ascii="仿宋_GB2312" w:hAnsi="仿宋_GB2312" w:eastAsia="仿宋_GB2312" w:cs="仿宋_GB2312"/>
              </w:rPr>
              <w:t>是否涉及核心产品</w:t>
            </w:r>
          </w:p>
        </w:tc>
        <w:tc>
          <w:tcPr>
            <w:tcW w:w="821" w:type="dxa"/>
          </w:tcPr>
          <w:p w14:paraId="17A04A70">
            <w:pPr>
              <w:pStyle w:val="4"/>
              <w:jc w:val="center"/>
            </w:pPr>
            <w:r>
              <w:rPr>
                <w:rFonts w:ascii="仿宋_GB2312" w:hAnsi="仿宋_GB2312" w:eastAsia="仿宋_GB2312" w:cs="仿宋_GB2312"/>
              </w:rPr>
              <w:t>是否涉及采购进口产品</w:t>
            </w:r>
          </w:p>
        </w:tc>
        <w:tc>
          <w:tcPr>
            <w:tcW w:w="821" w:type="dxa"/>
          </w:tcPr>
          <w:p w14:paraId="7C93E9D5">
            <w:pPr>
              <w:pStyle w:val="4"/>
              <w:jc w:val="center"/>
            </w:pPr>
            <w:r>
              <w:rPr>
                <w:rFonts w:ascii="仿宋_GB2312" w:hAnsi="仿宋_GB2312" w:eastAsia="仿宋_GB2312" w:cs="仿宋_GB2312"/>
              </w:rPr>
              <w:t>是否涉及强制采购节能产品</w:t>
            </w:r>
          </w:p>
        </w:tc>
        <w:tc>
          <w:tcPr>
            <w:tcW w:w="639" w:type="dxa"/>
          </w:tcPr>
          <w:p w14:paraId="33F85CC1">
            <w:pPr>
              <w:pStyle w:val="4"/>
              <w:jc w:val="center"/>
            </w:pPr>
            <w:r>
              <w:rPr>
                <w:rFonts w:ascii="仿宋_GB2312" w:hAnsi="仿宋_GB2312" w:eastAsia="仿宋_GB2312" w:cs="仿宋_GB2312"/>
              </w:rPr>
              <w:t>是否涉及优先采购节能产品</w:t>
            </w:r>
          </w:p>
        </w:tc>
        <w:tc>
          <w:tcPr>
            <w:tcW w:w="639" w:type="dxa"/>
          </w:tcPr>
          <w:p w14:paraId="5BFD21D3">
            <w:pPr>
              <w:pStyle w:val="4"/>
              <w:jc w:val="center"/>
            </w:pPr>
            <w:r>
              <w:rPr>
                <w:rFonts w:ascii="仿宋_GB2312" w:hAnsi="仿宋_GB2312" w:eastAsia="仿宋_GB2312" w:cs="仿宋_GB2312"/>
              </w:rPr>
              <w:t>是否涉及优先采购环境标志产品</w:t>
            </w:r>
          </w:p>
        </w:tc>
      </w:tr>
      <w:tr w14:paraId="1AF88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3657F5">
            <w:pPr>
              <w:pStyle w:val="4"/>
              <w:jc w:val="left"/>
            </w:pPr>
            <w:r>
              <w:rPr>
                <w:rFonts w:ascii="仿宋_GB2312" w:hAnsi="仿宋_GB2312" w:eastAsia="仿宋_GB2312" w:cs="仿宋_GB2312"/>
              </w:rPr>
              <w:t>1</w:t>
            </w:r>
          </w:p>
        </w:tc>
        <w:tc>
          <w:tcPr>
            <w:tcW w:w="821" w:type="dxa"/>
          </w:tcPr>
          <w:p w14:paraId="3D8E7F59">
            <w:pPr>
              <w:pStyle w:val="4"/>
              <w:jc w:val="left"/>
            </w:pPr>
            <w:r>
              <w:rPr>
                <w:rFonts w:ascii="仿宋_GB2312" w:hAnsi="仿宋_GB2312" w:eastAsia="仿宋_GB2312" w:cs="仿宋_GB2312"/>
              </w:rPr>
              <w:t>A02320800 物理治疗、康复及体育治疗仪器设备</w:t>
            </w:r>
          </w:p>
        </w:tc>
        <w:tc>
          <w:tcPr>
            <w:tcW w:w="821" w:type="dxa"/>
          </w:tcPr>
          <w:p w14:paraId="6844C938">
            <w:pPr>
              <w:pStyle w:val="4"/>
              <w:jc w:val="left"/>
            </w:pPr>
            <w:r>
              <w:rPr>
                <w:rFonts w:ascii="仿宋_GB2312" w:hAnsi="仿宋_GB2312" w:eastAsia="仿宋_GB2312" w:cs="仿宋_GB2312"/>
              </w:rPr>
              <w:t>经颅磁刺激仪</w:t>
            </w:r>
          </w:p>
        </w:tc>
        <w:tc>
          <w:tcPr>
            <w:tcW w:w="821" w:type="dxa"/>
          </w:tcPr>
          <w:p w14:paraId="3FA643F7">
            <w:pPr>
              <w:pStyle w:val="4"/>
              <w:jc w:val="right"/>
            </w:pPr>
            <w:r>
              <w:rPr>
                <w:rFonts w:ascii="仿宋_GB2312" w:hAnsi="仿宋_GB2312" w:eastAsia="仿宋_GB2312" w:cs="仿宋_GB2312"/>
              </w:rPr>
              <w:t>2.00（台）</w:t>
            </w:r>
          </w:p>
        </w:tc>
        <w:tc>
          <w:tcPr>
            <w:tcW w:w="821" w:type="dxa"/>
          </w:tcPr>
          <w:p w14:paraId="5A8C5CC7">
            <w:pPr>
              <w:pStyle w:val="4"/>
              <w:jc w:val="right"/>
            </w:pPr>
            <w:r>
              <w:rPr>
                <w:rFonts w:ascii="仿宋_GB2312" w:hAnsi="仿宋_GB2312" w:eastAsia="仿宋_GB2312" w:cs="仿宋_GB2312"/>
              </w:rPr>
              <w:t>836,000.00</w:t>
            </w:r>
          </w:p>
        </w:tc>
        <w:tc>
          <w:tcPr>
            <w:tcW w:w="821" w:type="dxa"/>
          </w:tcPr>
          <w:p w14:paraId="51AED38D">
            <w:pPr>
              <w:pStyle w:val="4"/>
              <w:jc w:val="left"/>
            </w:pPr>
            <w:r>
              <w:rPr>
                <w:rFonts w:ascii="仿宋_GB2312" w:hAnsi="仿宋_GB2312" w:eastAsia="仿宋_GB2312" w:cs="仿宋_GB2312"/>
              </w:rPr>
              <w:t>工业</w:t>
            </w:r>
          </w:p>
        </w:tc>
        <w:tc>
          <w:tcPr>
            <w:tcW w:w="821" w:type="dxa"/>
          </w:tcPr>
          <w:p w14:paraId="1FD9EA99">
            <w:pPr>
              <w:pStyle w:val="4"/>
              <w:jc w:val="left"/>
            </w:pPr>
            <w:r>
              <w:rPr>
                <w:rFonts w:ascii="仿宋_GB2312" w:hAnsi="仿宋_GB2312" w:eastAsia="仿宋_GB2312" w:cs="仿宋_GB2312"/>
              </w:rPr>
              <w:t>是</w:t>
            </w:r>
          </w:p>
        </w:tc>
        <w:tc>
          <w:tcPr>
            <w:tcW w:w="821" w:type="dxa"/>
          </w:tcPr>
          <w:p w14:paraId="276852F0">
            <w:pPr>
              <w:pStyle w:val="4"/>
              <w:jc w:val="left"/>
            </w:pPr>
            <w:r>
              <w:rPr>
                <w:rFonts w:ascii="仿宋_GB2312" w:hAnsi="仿宋_GB2312" w:eastAsia="仿宋_GB2312" w:cs="仿宋_GB2312"/>
              </w:rPr>
              <w:t>否</w:t>
            </w:r>
          </w:p>
        </w:tc>
        <w:tc>
          <w:tcPr>
            <w:tcW w:w="821" w:type="dxa"/>
          </w:tcPr>
          <w:p w14:paraId="2FF60C64">
            <w:pPr>
              <w:pStyle w:val="4"/>
              <w:jc w:val="left"/>
            </w:pPr>
            <w:r>
              <w:rPr>
                <w:rFonts w:ascii="仿宋_GB2312" w:hAnsi="仿宋_GB2312" w:eastAsia="仿宋_GB2312" w:cs="仿宋_GB2312"/>
              </w:rPr>
              <w:t>否</w:t>
            </w:r>
          </w:p>
        </w:tc>
        <w:tc>
          <w:tcPr>
            <w:tcW w:w="639" w:type="dxa"/>
          </w:tcPr>
          <w:p w14:paraId="4B4AF154">
            <w:pPr>
              <w:pStyle w:val="4"/>
              <w:jc w:val="left"/>
            </w:pPr>
            <w:r>
              <w:rPr>
                <w:rFonts w:ascii="仿宋_GB2312" w:hAnsi="仿宋_GB2312" w:eastAsia="仿宋_GB2312" w:cs="仿宋_GB2312"/>
              </w:rPr>
              <w:t>否</w:t>
            </w:r>
          </w:p>
        </w:tc>
        <w:tc>
          <w:tcPr>
            <w:tcW w:w="639" w:type="dxa"/>
          </w:tcPr>
          <w:p w14:paraId="3513F5E7">
            <w:pPr>
              <w:pStyle w:val="4"/>
              <w:jc w:val="left"/>
            </w:pPr>
            <w:r>
              <w:rPr>
                <w:rFonts w:ascii="仿宋_GB2312" w:hAnsi="仿宋_GB2312" w:eastAsia="仿宋_GB2312" w:cs="仿宋_GB2312"/>
              </w:rPr>
              <w:t>否</w:t>
            </w:r>
          </w:p>
        </w:tc>
      </w:tr>
    </w:tbl>
    <w:p w14:paraId="017591F8">
      <w:pPr>
        <w:pStyle w:val="4"/>
        <w:jc w:val="left"/>
      </w:pPr>
      <w:r>
        <w:rPr>
          <w:rFonts w:ascii="仿宋_GB2312" w:hAnsi="仿宋_GB2312" w:eastAsia="仿宋_GB2312" w:cs="仿宋_GB2312"/>
        </w:rPr>
        <w:t>是否适用本国产品标准：</w:t>
      </w:r>
    </w:p>
    <w:p w14:paraId="45C70656">
      <w:pPr>
        <w:pStyle w:val="4"/>
        <w:jc w:val="left"/>
      </w:pPr>
      <w:r>
        <w:rPr>
          <w:rFonts w:ascii="仿宋_GB2312" w:hAnsi="仿宋_GB2312" w:eastAsia="仿宋_GB2312" w:cs="仿宋_GB2312"/>
        </w:rPr>
        <w:t>采购包1：是</w:t>
      </w:r>
    </w:p>
    <w:p w14:paraId="6A728D9A">
      <w:pPr>
        <w:pStyle w:val="4"/>
        <w:jc w:val="left"/>
        <w:outlineLvl w:val="3"/>
      </w:pPr>
      <w:r>
        <w:rPr>
          <w:rFonts w:ascii="仿宋_GB2312" w:hAnsi="仿宋_GB2312" w:eastAsia="仿宋_GB2312" w:cs="仿宋_GB2312"/>
          <w:b/>
          <w:sz w:val="24"/>
        </w:rPr>
        <w:t>报价要求</w:t>
      </w:r>
    </w:p>
    <w:p w14:paraId="6CB803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70CD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1B6862">
            <w:pPr>
              <w:pStyle w:val="4"/>
              <w:jc w:val="center"/>
            </w:pPr>
            <w:r>
              <w:rPr>
                <w:rFonts w:ascii="仿宋_GB2312" w:hAnsi="仿宋_GB2312" w:eastAsia="仿宋_GB2312" w:cs="仿宋_GB2312"/>
              </w:rPr>
              <w:t>序号</w:t>
            </w:r>
          </w:p>
        </w:tc>
        <w:tc>
          <w:tcPr>
            <w:tcW w:w="1707" w:type="dxa"/>
          </w:tcPr>
          <w:p w14:paraId="158135C5">
            <w:pPr>
              <w:pStyle w:val="4"/>
              <w:jc w:val="center"/>
            </w:pPr>
            <w:r>
              <w:rPr>
                <w:rFonts w:ascii="仿宋_GB2312" w:hAnsi="仿宋_GB2312" w:eastAsia="仿宋_GB2312" w:cs="仿宋_GB2312"/>
              </w:rPr>
              <w:t>报价内容</w:t>
            </w:r>
          </w:p>
        </w:tc>
        <w:tc>
          <w:tcPr>
            <w:tcW w:w="1138" w:type="dxa"/>
          </w:tcPr>
          <w:p w14:paraId="232D77D6">
            <w:pPr>
              <w:pStyle w:val="4"/>
              <w:jc w:val="center"/>
            </w:pPr>
            <w:r>
              <w:rPr>
                <w:rFonts w:ascii="仿宋_GB2312" w:hAnsi="仿宋_GB2312" w:eastAsia="仿宋_GB2312" w:cs="仿宋_GB2312"/>
              </w:rPr>
              <w:t>数量（计量单位）</w:t>
            </w:r>
          </w:p>
        </w:tc>
        <w:tc>
          <w:tcPr>
            <w:tcW w:w="1365" w:type="dxa"/>
          </w:tcPr>
          <w:p w14:paraId="7298E713">
            <w:pPr>
              <w:pStyle w:val="4"/>
              <w:jc w:val="center"/>
            </w:pPr>
            <w:r>
              <w:rPr>
                <w:rFonts w:ascii="仿宋_GB2312" w:hAnsi="仿宋_GB2312" w:eastAsia="仿宋_GB2312" w:cs="仿宋_GB2312"/>
              </w:rPr>
              <w:t>最高限价</w:t>
            </w:r>
          </w:p>
        </w:tc>
        <w:tc>
          <w:tcPr>
            <w:tcW w:w="1138" w:type="dxa"/>
          </w:tcPr>
          <w:p w14:paraId="3EB15987">
            <w:pPr>
              <w:pStyle w:val="4"/>
              <w:jc w:val="center"/>
            </w:pPr>
            <w:r>
              <w:rPr>
                <w:rFonts w:ascii="仿宋_GB2312" w:hAnsi="仿宋_GB2312" w:eastAsia="仿宋_GB2312" w:cs="仿宋_GB2312"/>
              </w:rPr>
              <w:t>价款形式</w:t>
            </w:r>
          </w:p>
        </w:tc>
        <w:tc>
          <w:tcPr>
            <w:tcW w:w="1934" w:type="dxa"/>
          </w:tcPr>
          <w:p w14:paraId="5464B59E">
            <w:pPr>
              <w:pStyle w:val="4"/>
              <w:jc w:val="center"/>
            </w:pPr>
            <w:r>
              <w:rPr>
                <w:rFonts w:ascii="仿宋_GB2312" w:hAnsi="仿宋_GB2312" w:eastAsia="仿宋_GB2312" w:cs="仿宋_GB2312"/>
              </w:rPr>
              <w:t>报价说明</w:t>
            </w:r>
          </w:p>
        </w:tc>
      </w:tr>
      <w:tr w14:paraId="1F6A5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2D686A">
            <w:pPr>
              <w:pStyle w:val="4"/>
              <w:jc w:val="center"/>
            </w:pPr>
            <w:r>
              <w:rPr>
                <w:rFonts w:ascii="仿宋_GB2312" w:hAnsi="仿宋_GB2312" w:eastAsia="仿宋_GB2312" w:cs="仿宋_GB2312"/>
              </w:rPr>
              <w:t>1</w:t>
            </w:r>
          </w:p>
        </w:tc>
        <w:tc>
          <w:tcPr>
            <w:tcW w:w="1707" w:type="dxa"/>
          </w:tcPr>
          <w:p w14:paraId="5706F266">
            <w:pPr>
              <w:pStyle w:val="4"/>
              <w:jc w:val="center"/>
            </w:pPr>
            <w:r>
              <w:rPr>
                <w:rFonts w:ascii="仿宋_GB2312" w:hAnsi="仿宋_GB2312" w:eastAsia="仿宋_GB2312" w:cs="仿宋_GB2312"/>
              </w:rPr>
              <w:t>经颅磁刺激仪</w:t>
            </w:r>
          </w:p>
        </w:tc>
        <w:tc>
          <w:tcPr>
            <w:tcW w:w="1138" w:type="dxa"/>
          </w:tcPr>
          <w:p w14:paraId="715A3FFE">
            <w:pPr>
              <w:pStyle w:val="4"/>
              <w:jc w:val="center"/>
            </w:pPr>
            <w:r>
              <w:rPr>
                <w:rFonts w:ascii="仿宋_GB2312" w:hAnsi="仿宋_GB2312" w:eastAsia="仿宋_GB2312" w:cs="仿宋_GB2312"/>
              </w:rPr>
              <w:t>2.00（台）</w:t>
            </w:r>
          </w:p>
        </w:tc>
        <w:tc>
          <w:tcPr>
            <w:tcW w:w="1365" w:type="dxa"/>
          </w:tcPr>
          <w:p w14:paraId="2B6A8DC3">
            <w:pPr>
              <w:pStyle w:val="4"/>
              <w:jc w:val="center"/>
            </w:pPr>
            <w:r>
              <w:rPr>
                <w:rFonts w:ascii="仿宋_GB2312" w:hAnsi="仿宋_GB2312" w:eastAsia="仿宋_GB2312" w:cs="仿宋_GB2312"/>
              </w:rPr>
              <w:t>836,000.00</w:t>
            </w:r>
          </w:p>
        </w:tc>
        <w:tc>
          <w:tcPr>
            <w:tcW w:w="1138" w:type="dxa"/>
          </w:tcPr>
          <w:p w14:paraId="58CCC851">
            <w:pPr>
              <w:pStyle w:val="4"/>
              <w:jc w:val="center"/>
            </w:pPr>
            <w:r>
              <w:rPr>
                <w:rFonts w:ascii="仿宋_GB2312" w:hAnsi="仿宋_GB2312" w:eastAsia="仿宋_GB2312" w:cs="仿宋_GB2312"/>
              </w:rPr>
              <w:t>总价</w:t>
            </w:r>
          </w:p>
        </w:tc>
        <w:tc>
          <w:tcPr>
            <w:tcW w:w="1934" w:type="dxa"/>
          </w:tcPr>
          <w:p w14:paraId="183AF981">
            <w:pPr>
              <w:pStyle w:val="4"/>
              <w:jc w:val="left"/>
            </w:pPr>
            <w:r>
              <w:rPr>
                <w:rFonts w:ascii="仿宋_GB2312" w:hAnsi="仿宋_GB2312" w:eastAsia="仿宋_GB2312" w:cs="仿宋_GB2312"/>
              </w:rPr>
              <w:t>无</w:t>
            </w:r>
          </w:p>
        </w:tc>
      </w:tr>
    </w:tbl>
    <w:p w14:paraId="2924442D">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FA41C21">
      <w:pPr>
        <w:pStyle w:val="4"/>
        <w:jc w:val="left"/>
        <w:outlineLvl w:val="3"/>
      </w:pPr>
      <w:r>
        <w:rPr>
          <w:rFonts w:ascii="仿宋_GB2312" w:hAnsi="仿宋_GB2312" w:eastAsia="仿宋_GB2312" w:cs="仿宋_GB2312"/>
          <w:b/>
          <w:sz w:val="24"/>
        </w:rPr>
        <w:t>本项目涉及核心产品：</w:t>
      </w:r>
    </w:p>
    <w:p w14:paraId="54F11E4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175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CE77C1">
            <w:pPr>
              <w:pStyle w:val="4"/>
              <w:jc w:val="center"/>
            </w:pPr>
            <w:r>
              <w:rPr>
                <w:rFonts w:ascii="仿宋_GB2312" w:hAnsi="仿宋_GB2312" w:eastAsia="仿宋_GB2312" w:cs="仿宋_GB2312"/>
              </w:rPr>
              <w:t>序号</w:t>
            </w:r>
          </w:p>
        </w:tc>
        <w:tc>
          <w:tcPr>
            <w:tcW w:w="2492" w:type="dxa"/>
          </w:tcPr>
          <w:p w14:paraId="4C9B21BE">
            <w:pPr>
              <w:pStyle w:val="4"/>
              <w:jc w:val="center"/>
            </w:pPr>
            <w:r>
              <w:rPr>
                <w:rFonts w:ascii="仿宋_GB2312" w:hAnsi="仿宋_GB2312" w:eastAsia="仿宋_GB2312" w:cs="仿宋_GB2312"/>
              </w:rPr>
              <w:t>采购品目名称</w:t>
            </w:r>
          </w:p>
        </w:tc>
        <w:tc>
          <w:tcPr>
            <w:tcW w:w="2492" w:type="dxa"/>
          </w:tcPr>
          <w:p w14:paraId="367347FD">
            <w:pPr>
              <w:pStyle w:val="4"/>
              <w:jc w:val="center"/>
            </w:pPr>
            <w:r>
              <w:rPr>
                <w:rFonts w:ascii="仿宋_GB2312" w:hAnsi="仿宋_GB2312" w:eastAsia="仿宋_GB2312" w:cs="仿宋_GB2312"/>
              </w:rPr>
              <w:t>标的名称</w:t>
            </w:r>
          </w:p>
        </w:tc>
        <w:tc>
          <w:tcPr>
            <w:tcW w:w="2492" w:type="dxa"/>
          </w:tcPr>
          <w:p w14:paraId="59497880">
            <w:pPr>
              <w:pStyle w:val="4"/>
              <w:jc w:val="center"/>
            </w:pPr>
            <w:r>
              <w:rPr>
                <w:rFonts w:ascii="仿宋_GB2312" w:hAnsi="仿宋_GB2312" w:eastAsia="仿宋_GB2312" w:cs="仿宋_GB2312"/>
              </w:rPr>
              <w:t>产品名称</w:t>
            </w:r>
          </w:p>
        </w:tc>
      </w:tr>
      <w:tr w14:paraId="3C0D1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2B415F">
            <w:pPr>
              <w:pStyle w:val="4"/>
              <w:jc w:val="left"/>
            </w:pPr>
            <w:r>
              <w:rPr>
                <w:rFonts w:ascii="仿宋_GB2312" w:hAnsi="仿宋_GB2312" w:eastAsia="仿宋_GB2312" w:cs="仿宋_GB2312"/>
              </w:rPr>
              <w:t>1</w:t>
            </w:r>
          </w:p>
        </w:tc>
        <w:tc>
          <w:tcPr>
            <w:tcW w:w="2492" w:type="dxa"/>
          </w:tcPr>
          <w:p w14:paraId="6DF3290F">
            <w:pPr>
              <w:pStyle w:val="4"/>
              <w:jc w:val="left"/>
            </w:pPr>
            <w:r>
              <w:rPr>
                <w:rFonts w:ascii="仿宋_GB2312" w:hAnsi="仿宋_GB2312" w:eastAsia="仿宋_GB2312" w:cs="仿宋_GB2312"/>
              </w:rPr>
              <w:t>A02320800 物理治疗、康复及体育治疗仪器设备</w:t>
            </w:r>
          </w:p>
        </w:tc>
        <w:tc>
          <w:tcPr>
            <w:tcW w:w="2492" w:type="dxa"/>
          </w:tcPr>
          <w:p w14:paraId="74253856">
            <w:pPr>
              <w:pStyle w:val="4"/>
              <w:jc w:val="left"/>
            </w:pPr>
            <w:r>
              <w:rPr>
                <w:rFonts w:ascii="仿宋_GB2312" w:hAnsi="仿宋_GB2312" w:eastAsia="仿宋_GB2312" w:cs="仿宋_GB2312"/>
              </w:rPr>
              <w:t>经颅磁刺激仪</w:t>
            </w:r>
          </w:p>
        </w:tc>
        <w:tc>
          <w:tcPr>
            <w:tcW w:w="2492" w:type="dxa"/>
          </w:tcPr>
          <w:p w14:paraId="514EE896">
            <w:pPr>
              <w:pStyle w:val="4"/>
              <w:jc w:val="left"/>
            </w:pPr>
            <w:r>
              <w:rPr>
                <w:rFonts w:ascii="仿宋_GB2312" w:hAnsi="仿宋_GB2312" w:eastAsia="仿宋_GB2312" w:cs="仿宋_GB2312"/>
              </w:rPr>
              <w:t>经颅磁刺激仪</w:t>
            </w:r>
          </w:p>
        </w:tc>
      </w:tr>
    </w:tbl>
    <w:p w14:paraId="12991D4A">
      <w:pPr>
        <w:pStyle w:val="4"/>
        <w:ind w:firstLine="480"/>
        <w:jc w:val="left"/>
      </w:pPr>
      <w:r>
        <w:rPr>
          <w:rFonts w:ascii="仿宋_GB2312" w:hAnsi="仿宋_GB2312" w:eastAsia="仿宋_GB2312" w:cs="仿宋_GB2312"/>
        </w:rPr>
        <w:t>注：涉及核心产品的，具体评审规定见第五章。</w:t>
      </w:r>
    </w:p>
    <w:p w14:paraId="69B6CEE9">
      <w:pPr>
        <w:pStyle w:val="4"/>
        <w:jc w:val="left"/>
        <w:outlineLvl w:val="3"/>
      </w:pPr>
      <w:r>
        <w:rPr>
          <w:rFonts w:ascii="仿宋_GB2312" w:hAnsi="仿宋_GB2312" w:eastAsia="仿宋_GB2312" w:cs="仿宋_GB2312"/>
          <w:b/>
          <w:sz w:val="24"/>
        </w:rPr>
        <w:t>本项目涉及采购进口产品：</w:t>
      </w:r>
    </w:p>
    <w:p w14:paraId="4F581E5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B4C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5CA24D">
            <w:pPr>
              <w:pStyle w:val="4"/>
              <w:jc w:val="center"/>
            </w:pPr>
            <w:r>
              <w:rPr>
                <w:rFonts w:ascii="仿宋_GB2312" w:hAnsi="仿宋_GB2312" w:eastAsia="仿宋_GB2312" w:cs="仿宋_GB2312"/>
              </w:rPr>
              <w:t>序号</w:t>
            </w:r>
          </w:p>
        </w:tc>
        <w:tc>
          <w:tcPr>
            <w:tcW w:w="2492" w:type="dxa"/>
          </w:tcPr>
          <w:p w14:paraId="4DF593AB">
            <w:pPr>
              <w:pStyle w:val="4"/>
              <w:jc w:val="center"/>
            </w:pPr>
            <w:r>
              <w:rPr>
                <w:rFonts w:ascii="仿宋_GB2312" w:hAnsi="仿宋_GB2312" w:eastAsia="仿宋_GB2312" w:cs="仿宋_GB2312"/>
              </w:rPr>
              <w:t>采购品目名称</w:t>
            </w:r>
          </w:p>
        </w:tc>
        <w:tc>
          <w:tcPr>
            <w:tcW w:w="2492" w:type="dxa"/>
          </w:tcPr>
          <w:p w14:paraId="0459F6B8">
            <w:pPr>
              <w:pStyle w:val="4"/>
              <w:jc w:val="center"/>
            </w:pPr>
            <w:r>
              <w:rPr>
                <w:rFonts w:ascii="仿宋_GB2312" w:hAnsi="仿宋_GB2312" w:eastAsia="仿宋_GB2312" w:cs="仿宋_GB2312"/>
              </w:rPr>
              <w:t>标的名称</w:t>
            </w:r>
          </w:p>
        </w:tc>
        <w:tc>
          <w:tcPr>
            <w:tcW w:w="2492" w:type="dxa"/>
          </w:tcPr>
          <w:p w14:paraId="4C928C59">
            <w:pPr>
              <w:pStyle w:val="4"/>
              <w:jc w:val="center"/>
            </w:pPr>
            <w:r>
              <w:rPr>
                <w:rFonts w:ascii="仿宋_GB2312" w:hAnsi="仿宋_GB2312" w:eastAsia="仿宋_GB2312" w:cs="仿宋_GB2312"/>
              </w:rPr>
              <w:t>产品名称</w:t>
            </w:r>
          </w:p>
        </w:tc>
      </w:tr>
      <w:tr w14:paraId="452FD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3B1343">
            <w:pPr>
              <w:pStyle w:val="4"/>
              <w:jc w:val="center"/>
            </w:pPr>
            <w:r>
              <w:rPr>
                <w:rFonts w:ascii="仿宋_GB2312" w:hAnsi="仿宋_GB2312" w:eastAsia="仿宋_GB2312" w:cs="仿宋_GB2312"/>
              </w:rPr>
              <w:t>不涉及</w:t>
            </w:r>
          </w:p>
        </w:tc>
      </w:tr>
    </w:tbl>
    <w:p w14:paraId="4B7AD9C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CB92E2F">
      <w:pPr>
        <w:pStyle w:val="4"/>
        <w:jc w:val="left"/>
        <w:outlineLvl w:val="3"/>
      </w:pPr>
      <w:r>
        <w:rPr>
          <w:rFonts w:ascii="仿宋_GB2312" w:hAnsi="仿宋_GB2312" w:eastAsia="仿宋_GB2312" w:cs="仿宋_GB2312"/>
          <w:b/>
          <w:sz w:val="24"/>
        </w:rPr>
        <w:t>本项目涉及强制采购节能产品：</w:t>
      </w:r>
    </w:p>
    <w:p w14:paraId="7EA921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0CF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1485E7">
            <w:pPr>
              <w:pStyle w:val="4"/>
              <w:jc w:val="center"/>
            </w:pPr>
            <w:r>
              <w:rPr>
                <w:rFonts w:ascii="仿宋_GB2312" w:hAnsi="仿宋_GB2312" w:eastAsia="仿宋_GB2312" w:cs="仿宋_GB2312"/>
              </w:rPr>
              <w:t>序号</w:t>
            </w:r>
          </w:p>
        </w:tc>
        <w:tc>
          <w:tcPr>
            <w:tcW w:w="2492" w:type="dxa"/>
          </w:tcPr>
          <w:p w14:paraId="4770165A">
            <w:pPr>
              <w:pStyle w:val="4"/>
              <w:jc w:val="center"/>
            </w:pPr>
            <w:r>
              <w:rPr>
                <w:rFonts w:ascii="仿宋_GB2312" w:hAnsi="仿宋_GB2312" w:eastAsia="仿宋_GB2312" w:cs="仿宋_GB2312"/>
              </w:rPr>
              <w:t>采购品目名称</w:t>
            </w:r>
          </w:p>
        </w:tc>
        <w:tc>
          <w:tcPr>
            <w:tcW w:w="2492" w:type="dxa"/>
          </w:tcPr>
          <w:p w14:paraId="374C4671">
            <w:pPr>
              <w:pStyle w:val="4"/>
              <w:jc w:val="center"/>
            </w:pPr>
            <w:r>
              <w:rPr>
                <w:rFonts w:ascii="仿宋_GB2312" w:hAnsi="仿宋_GB2312" w:eastAsia="仿宋_GB2312" w:cs="仿宋_GB2312"/>
              </w:rPr>
              <w:t>标的名称</w:t>
            </w:r>
          </w:p>
        </w:tc>
        <w:tc>
          <w:tcPr>
            <w:tcW w:w="2492" w:type="dxa"/>
          </w:tcPr>
          <w:p w14:paraId="33F1BE3F">
            <w:pPr>
              <w:pStyle w:val="4"/>
              <w:jc w:val="center"/>
            </w:pPr>
            <w:r>
              <w:rPr>
                <w:rFonts w:ascii="仿宋_GB2312" w:hAnsi="仿宋_GB2312" w:eastAsia="仿宋_GB2312" w:cs="仿宋_GB2312"/>
              </w:rPr>
              <w:t>产品名称</w:t>
            </w:r>
          </w:p>
        </w:tc>
      </w:tr>
      <w:tr w14:paraId="472D4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734E2E">
            <w:pPr>
              <w:pStyle w:val="4"/>
              <w:jc w:val="center"/>
            </w:pPr>
            <w:r>
              <w:rPr>
                <w:rFonts w:ascii="仿宋_GB2312" w:hAnsi="仿宋_GB2312" w:eastAsia="仿宋_GB2312" w:cs="仿宋_GB2312"/>
              </w:rPr>
              <w:t>不涉及</w:t>
            </w:r>
          </w:p>
        </w:tc>
      </w:tr>
    </w:tbl>
    <w:p w14:paraId="706FF002">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3426708">
      <w:pPr>
        <w:pStyle w:val="4"/>
        <w:jc w:val="left"/>
      </w:pPr>
      <w:r>
        <w:rPr>
          <w:rFonts w:ascii="仿宋_GB2312" w:hAnsi="仿宋_GB2312" w:eastAsia="仿宋_GB2312" w:cs="仿宋_GB2312"/>
          <w:b/>
        </w:rPr>
        <w:t>本项目涉及优先采购节能产品：</w:t>
      </w:r>
    </w:p>
    <w:p w14:paraId="138D0E0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CF4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CA5B77">
            <w:pPr>
              <w:pStyle w:val="4"/>
              <w:jc w:val="center"/>
            </w:pPr>
            <w:r>
              <w:rPr>
                <w:rFonts w:ascii="仿宋_GB2312" w:hAnsi="仿宋_GB2312" w:eastAsia="仿宋_GB2312" w:cs="仿宋_GB2312"/>
              </w:rPr>
              <w:t>序号</w:t>
            </w:r>
          </w:p>
        </w:tc>
        <w:tc>
          <w:tcPr>
            <w:tcW w:w="2492" w:type="dxa"/>
          </w:tcPr>
          <w:p w14:paraId="23F32911">
            <w:pPr>
              <w:pStyle w:val="4"/>
              <w:jc w:val="center"/>
            </w:pPr>
            <w:r>
              <w:rPr>
                <w:rFonts w:ascii="仿宋_GB2312" w:hAnsi="仿宋_GB2312" w:eastAsia="仿宋_GB2312" w:cs="仿宋_GB2312"/>
              </w:rPr>
              <w:t>采购品目名称</w:t>
            </w:r>
          </w:p>
        </w:tc>
        <w:tc>
          <w:tcPr>
            <w:tcW w:w="2492" w:type="dxa"/>
          </w:tcPr>
          <w:p w14:paraId="79A6D9AE">
            <w:pPr>
              <w:pStyle w:val="4"/>
              <w:jc w:val="center"/>
            </w:pPr>
            <w:r>
              <w:rPr>
                <w:rFonts w:ascii="仿宋_GB2312" w:hAnsi="仿宋_GB2312" w:eastAsia="仿宋_GB2312" w:cs="仿宋_GB2312"/>
              </w:rPr>
              <w:t>标的名称</w:t>
            </w:r>
          </w:p>
        </w:tc>
        <w:tc>
          <w:tcPr>
            <w:tcW w:w="2492" w:type="dxa"/>
          </w:tcPr>
          <w:p w14:paraId="06CA624D">
            <w:pPr>
              <w:pStyle w:val="4"/>
              <w:jc w:val="center"/>
            </w:pPr>
            <w:r>
              <w:rPr>
                <w:rFonts w:ascii="仿宋_GB2312" w:hAnsi="仿宋_GB2312" w:eastAsia="仿宋_GB2312" w:cs="仿宋_GB2312"/>
              </w:rPr>
              <w:t>产品名称</w:t>
            </w:r>
          </w:p>
        </w:tc>
      </w:tr>
      <w:tr w14:paraId="1A0AA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64334D5">
            <w:pPr>
              <w:pStyle w:val="4"/>
              <w:jc w:val="center"/>
            </w:pPr>
            <w:r>
              <w:rPr>
                <w:rFonts w:ascii="仿宋_GB2312" w:hAnsi="仿宋_GB2312" w:eastAsia="仿宋_GB2312" w:cs="仿宋_GB2312"/>
              </w:rPr>
              <w:t>不涉及</w:t>
            </w:r>
          </w:p>
        </w:tc>
      </w:tr>
    </w:tbl>
    <w:p w14:paraId="26F2B57E">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768DF85">
      <w:pPr>
        <w:pStyle w:val="4"/>
        <w:jc w:val="left"/>
        <w:outlineLvl w:val="3"/>
      </w:pPr>
      <w:r>
        <w:rPr>
          <w:rFonts w:ascii="仿宋_GB2312" w:hAnsi="仿宋_GB2312" w:eastAsia="仿宋_GB2312" w:cs="仿宋_GB2312"/>
          <w:b/>
          <w:sz w:val="24"/>
        </w:rPr>
        <w:t>本项目涉及优先采购环境标志产品：</w:t>
      </w:r>
    </w:p>
    <w:p w14:paraId="4BF7CCB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BA2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58D11D">
            <w:pPr>
              <w:pStyle w:val="4"/>
              <w:jc w:val="center"/>
            </w:pPr>
            <w:r>
              <w:rPr>
                <w:rFonts w:ascii="仿宋_GB2312" w:hAnsi="仿宋_GB2312" w:eastAsia="仿宋_GB2312" w:cs="仿宋_GB2312"/>
              </w:rPr>
              <w:t>序号</w:t>
            </w:r>
          </w:p>
        </w:tc>
        <w:tc>
          <w:tcPr>
            <w:tcW w:w="2492" w:type="dxa"/>
          </w:tcPr>
          <w:p w14:paraId="7AEE2A2C">
            <w:pPr>
              <w:pStyle w:val="4"/>
              <w:jc w:val="center"/>
            </w:pPr>
            <w:r>
              <w:rPr>
                <w:rFonts w:ascii="仿宋_GB2312" w:hAnsi="仿宋_GB2312" w:eastAsia="仿宋_GB2312" w:cs="仿宋_GB2312"/>
              </w:rPr>
              <w:t>采购品目名称</w:t>
            </w:r>
          </w:p>
        </w:tc>
        <w:tc>
          <w:tcPr>
            <w:tcW w:w="2492" w:type="dxa"/>
          </w:tcPr>
          <w:p w14:paraId="273654D9">
            <w:pPr>
              <w:pStyle w:val="4"/>
              <w:jc w:val="center"/>
            </w:pPr>
            <w:r>
              <w:rPr>
                <w:rFonts w:ascii="仿宋_GB2312" w:hAnsi="仿宋_GB2312" w:eastAsia="仿宋_GB2312" w:cs="仿宋_GB2312"/>
              </w:rPr>
              <w:t>标的名称</w:t>
            </w:r>
          </w:p>
        </w:tc>
        <w:tc>
          <w:tcPr>
            <w:tcW w:w="2492" w:type="dxa"/>
          </w:tcPr>
          <w:p w14:paraId="01A5842C">
            <w:pPr>
              <w:pStyle w:val="4"/>
              <w:jc w:val="center"/>
            </w:pPr>
            <w:r>
              <w:rPr>
                <w:rFonts w:ascii="仿宋_GB2312" w:hAnsi="仿宋_GB2312" w:eastAsia="仿宋_GB2312" w:cs="仿宋_GB2312"/>
              </w:rPr>
              <w:t>产品名称</w:t>
            </w:r>
          </w:p>
        </w:tc>
      </w:tr>
      <w:tr w14:paraId="794E4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311CC2">
            <w:pPr>
              <w:pStyle w:val="4"/>
              <w:jc w:val="center"/>
            </w:pPr>
            <w:r>
              <w:rPr>
                <w:rFonts w:ascii="仿宋_GB2312" w:hAnsi="仿宋_GB2312" w:eastAsia="仿宋_GB2312" w:cs="仿宋_GB2312"/>
              </w:rPr>
              <w:t>不涉及</w:t>
            </w:r>
          </w:p>
        </w:tc>
      </w:tr>
    </w:tbl>
    <w:p w14:paraId="5A7D631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05F43CC">
      <w:pPr>
        <w:pStyle w:val="4"/>
        <w:jc w:val="left"/>
        <w:outlineLvl w:val="2"/>
      </w:pPr>
      <w:r>
        <w:rPr>
          <w:rFonts w:ascii="仿宋_GB2312" w:hAnsi="仿宋_GB2312" w:eastAsia="仿宋_GB2312" w:cs="仿宋_GB2312"/>
          <w:b/>
          <w:sz w:val="28"/>
        </w:rPr>
        <w:t>3.2.技术要求</w:t>
      </w:r>
    </w:p>
    <w:p w14:paraId="2C088640">
      <w:pPr>
        <w:pStyle w:val="4"/>
        <w:jc w:val="left"/>
      </w:pPr>
      <w:r>
        <w:rPr>
          <w:rFonts w:ascii="仿宋_GB2312" w:hAnsi="仿宋_GB2312" w:eastAsia="仿宋_GB2312" w:cs="仿宋_GB2312"/>
        </w:rPr>
        <w:t>采购包1：</w:t>
      </w:r>
    </w:p>
    <w:p w14:paraId="2D6A0E1B">
      <w:pPr>
        <w:pStyle w:val="4"/>
        <w:jc w:val="left"/>
      </w:pPr>
      <w:r>
        <w:rPr>
          <w:rFonts w:ascii="仿宋_GB2312" w:hAnsi="仿宋_GB2312" w:eastAsia="仿宋_GB2312" w:cs="仿宋_GB2312"/>
        </w:rPr>
        <w:t>标的名称：经颅磁刺激仪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53D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F47D60">
            <w:pPr>
              <w:pStyle w:val="4"/>
              <w:jc w:val="center"/>
            </w:pPr>
            <w:r>
              <w:rPr>
                <w:rFonts w:ascii="仿宋_GB2312" w:hAnsi="仿宋_GB2312" w:eastAsia="仿宋_GB2312" w:cs="仿宋_GB2312"/>
              </w:rPr>
              <w:t>序号</w:t>
            </w:r>
          </w:p>
        </w:tc>
        <w:tc>
          <w:tcPr>
            <w:tcW w:w="581" w:type="dxa"/>
          </w:tcPr>
          <w:p w14:paraId="3DCAD5E8">
            <w:pPr>
              <w:pStyle w:val="4"/>
              <w:jc w:val="center"/>
            </w:pPr>
            <w:r>
              <w:rPr>
                <w:rFonts w:ascii="仿宋_GB2312" w:hAnsi="仿宋_GB2312" w:eastAsia="仿宋_GB2312" w:cs="仿宋_GB2312"/>
              </w:rPr>
              <w:t>符号标识</w:t>
            </w:r>
          </w:p>
        </w:tc>
        <w:tc>
          <w:tcPr>
            <w:tcW w:w="1495" w:type="dxa"/>
          </w:tcPr>
          <w:p w14:paraId="388FD578">
            <w:pPr>
              <w:pStyle w:val="4"/>
              <w:jc w:val="center"/>
            </w:pPr>
            <w:r>
              <w:rPr>
                <w:rFonts w:ascii="仿宋_GB2312" w:hAnsi="仿宋_GB2312" w:eastAsia="仿宋_GB2312" w:cs="仿宋_GB2312"/>
              </w:rPr>
              <w:t>技术要求名称</w:t>
            </w:r>
          </w:p>
        </w:tc>
        <w:tc>
          <w:tcPr>
            <w:tcW w:w="5814" w:type="dxa"/>
          </w:tcPr>
          <w:p w14:paraId="45C99D4D">
            <w:pPr>
              <w:pStyle w:val="4"/>
              <w:jc w:val="center"/>
            </w:pPr>
            <w:r>
              <w:rPr>
                <w:rFonts w:ascii="仿宋_GB2312" w:hAnsi="仿宋_GB2312" w:eastAsia="仿宋_GB2312" w:cs="仿宋_GB2312"/>
              </w:rPr>
              <w:t>技术参数与性能指标</w:t>
            </w:r>
          </w:p>
        </w:tc>
      </w:tr>
      <w:tr w14:paraId="7117B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7B5BF">
            <w:pPr>
              <w:pStyle w:val="4"/>
              <w:jc w:val="center"/>
            </w:pPr>
            <w:r>
              <w:rPr>
                <w:rFonts w:ascii="仿宋_GB2312" w:hAnsi="仿宋_GB2312" w:eastAsia="仿宋_GB2312" w:cs="仿宋_GB2312"/>
              </w:rPr>
              <w:t>1</w:t>
            </w:r>
          </w:p>
        </w:tc>
        <w:tc>
          <w:tcPr>
            <w:tcW w:w="581" w:type="dxa"/>
          </w:tcPr>
          <w:p w14:paraId="1B08FADE"/>
        </w:tc>
        <w:tc>
          <w:tcPr>
            <w:tcW w:w="1495" w:type="dxa"/>
          </w:tcPr>
          <w:p w14:paraId="7AB835D5">
            <w:pPr>
              <w:pStyle w:val="4"/>
              <w:jc w:val="left"/>
            </w:pPr>
            <w:r>
              <w:rPr>
                <w:rFonts w:ascii="仿宋_GB2312" w:hAnsi="仿宋_GB2312" w:eastAsia="仿宋_GB2312" w:cs="仿宋_GB2312"/>
              </w:rPr>
              <w:t>经颅磁刺激仪</w:t>
            </w:r>
          </w:p>
        </w:tc>
        <w:tc>
          <w:tcPr>
            <w:tcW w:w="5814" w:type="dxa"/>
          </w:tcPr>
          <w:p w14:paraId="57A818CD">
            <w:pPr>
              <w:pStyle w:val="4"/>
              <w:ind w:firstLine="560"/>
              <w:jc w:val="left"/>
            </w:pPr>
            <w:r>
              <w:rPr>
                <w:rFonts w:ascii="仿宋_GB2312" w:hAnsi="仿宋_GB2312" w:eastAsia="仿宋_GB2312" w:cs="仿宋_GB2312"/>
                <w:sz w:val="28"/>
              </w:rPr>
              <w:t>1.设备使用寿命≥10年。</w:t>
            </w:r>
          </w:p>
          <w:p w14:paraId="3D182FDF">
            <w:pPr>
              <w:pStyle w:val="4"/>
              <w:ind w:firstLine="560"/>
              <w:jc w:val="left"/>
            </w:pPr>
            <w:r>
              <w:rPr>
                <w:rFonts w:ascii="仿宋_GB2312" w:hAnsi="仿宋_GB2312" w:eastAsia="仿宋_GB2312" w:cs="仿宋_GB2312"/>
                <w:sz w:val="28"/>
              </w:rPr>
              <w:t>2.主机：</w:t>
            </w:r>
          </w:p>
          <w:p w14:paraId="2189A17D">
            <w:pPr>
              <w:pStyle w:val="4"/>
              <w:ind w:firstLine="560"/>
              <w:jc w:val="left"/>
            </w:pPr>
            <w:r>
              <w:rPr>
                <w:rFonts w:ascii="仿宋_GB2312" w:hAnsi="仿宋_GB2312" w:eastAsia="仿宋_GB2312" w:cs="仿宋_GB2312"/>
                <w:sz w:val="28"/>
              </w:rPr>
              <w:t>★（1）外观结构：一体式主机，冷却系统脉冲源集成机箱内。非液电分离式堆叠结构即刺激主机及冷却系统分别固定安装于台车。（提供产品彩页或产品使用说明或第三方检测机构出具的检测报告或实物图片）</w:t>
            </w:r>
          </w:p>
          <w:p w14:paraId="6A1BACFC">
            <w:pPr>
              <w:pStyle w:val="4"/>
              <w:ind w:firstLine="560"/>
              <w:jc w:val="left"/>
            </w:pPr>
            <w:r>
              <w:rPr>
                <w:rFonts w:ascii="仿宋_GB2312" w:hAnsi="仿宋_GB2312" w:eastAsia="仿宋_GB2312" w:cs="仿宋_GB2312"/>
                <w:sz w:val="28"/>
              </w:rPr>
              <w:t>（2）冷却系统：液态内循环冷却系统，非风冷或静态液冷或外循环液冷。</w:t>
            </w:r>
          </w:p>
          <w:p w14:paraId="04D7DA03">
            <w:pPr>
              <w:pStyle w:val="4"/>
              <w:ind w:firstLine="560"/>
              <w:jc w:val="left"/>
            </w:pPr>
            <w:r>
              <w:rPr>
                <w:rFonts w:ascii="仿宋_GB2312" w:hAnsi="仿宋_GB2312" w:eastAsia="仿宋_GB2312" w:cs="仿宋_GB2312"/>
                <w:sz w:val="28"/>
              </w:rPr>
              <w:t>★（3）可移动式工作站承载管理软件，非一体机或触摸屏。（提供产品彩页或产品使用说明或第三方检测机构出具的检测报告或实物图片）</w:t>
            </w:r>
          </w:p>
          <w:p w14:paraId="68E04AF7">
            <w:pPr>
              <w:pStyle w:val="4"/>
              <w:ind w:firstLine="560"/>
              <w:jc w:val="left"/>
            </w:pPr>
            <w:r>
              <w:rPr>
                <w:rFonts w:ascii="仿宋_GB2312" w:hAnsi="仿宋_GB2312" w:eastAsia="仿宋_GB2312" w:cs="仿宋_GB2312"/>
                <w:sz w:val="28"/>
              </w:rPr>
              <w:t>（4）刺激线圈最大磁感应强度：≥6T。</w:t>
            </w:r>
          </w:p>
          <w:p w14:paraId="2749D357">
            <w:pPr>
              <w:pStyle w:val="4"/>
              <w:ind w:firstLine="560"/>
              <w:jc w:val="left"/>
            </w:pPr>
            <w:r>
              <w:rPr>
                <w:rFonts w:ascii="仿宋_GB2312" w:hAnsi="仿宋_GB2312" w:eastAsia="仿宋_GB2312" w:cs="仿宋_GB2312"/>
                <w:sz w:val="28"/>
              </w:rPr>
              <w:t>▲（5）磁感应强度稳定输出允差：±5%。</w:t>
            </w:r>
          </w:p>
          <w:p w14:paraId="7BB9989E">
            <w:pPr>
              <w:pStyle w:val="4"/>
              <w:ind w:firstLine="560"/>
              <w:jc w:val="left"/>
            </w:pPr>
            <w:r>
              <w:rPr>
                <w:rFonts w:ascii="仿宋_GB2312" w:hAnsi="仿宋_GB2312" w:eastAsia="仿宋_GB2312" w:cs="仿宋_GB2312"/>
                <w:sz w:val="28"/>
              </w:rPr>
              <w:t>▲（6）磁感应强度的最大变化率：至少包括20KT/s~80KT/s。</w:t>
            </w:r>
          </w:p>
          <w:p w14:paraId="32D16AA7">
            <w:pPr>
              <w:pStyle w:val="4"/>
              <w:ind w:firstLine="560"/>
              <w:jc w:val="left"/>
            </w:pPr>
            <w:r>
              <w:rPr>
                <w:rFonts w:ascii="仿宋_GB2312" w:hAnsi="仿宋_GB2312" w:eastAsia="仿宋_GB2312" w:cs="仿宋_GB2312"/>
                <w:sz w:val="28"/>
              </w:rPr>
              <w:t>▲（7）脉冲上升时间：至少包括60μs±10μs。</w:t>
            </w:r>
          </w:p>
          <w:p w14:paraId="0C0AB932">
            <w:pPr>
              <w:pStyle w:val="4"/>
              <w:ind w:firstLine="560"/>
              <w:jc w:val="left"/>
            </w:pPr>
            <w:r>
              <w:rPr>
                <w:rFonts w:ascii="仿宋_GB2312" w:hAnsi="仿宋_GB2312" w:eastAsia="仿宋_GB2312" w:cs="仿宋_GB2312"/>
                <w:sz w:val="28"/>
              </w:rPr>
              <w:t>▲（8）输出脉冲宽度：至少包括340μs±20μs。</w:t>
            </w:r>
          </w:p>
          <w:p w14:paraId="3AD1D6B4">
            <w:pPr>
              <w:pStyle w:val="4"/>
              <w:ind w:firstLine="560"/>
              <w:jc w:val="left"/>
            </w:pPr>
            <w:r>
              <w:rPr>
                <w:rFonts w:ascii="仿宋_GB2312" w:hAnsi="仿宋_GB2312" w:eastAsia="仿宋_GB2312" w:cs="仿宋_GB2312"/>
                <w:sz w:val="28"/>
              </w:rPr>
              <w:t>（9）输出脉冲频率：连续可调。</w:t>
            </w:r>
          </w:p>
          <w:p w14:paraId="6C9C39CD">
            <w:pPr>
              <w:pStyle w:val="4"/>
              <w:ind w:firstLine="560"/>
              <w:jc w:val="left"/>
            </w:pPr>
            <w:r>
              <w:rPr>
                <w:rFonts w:ascii="仿宋_GB2312" w:hAnsi="仿宋_GB2312" w:eastAsia="仿宋_GB2312" w:cs="仿宋_GB2312"/>
                <w:sz w:val="28"/>
              </w:rPr>
              <w:t>★（10）脉冲频率允差值：±2%。（提提供产品彩页或产品使用说明或第三方检测机构出具的检测报告或设备铭牌照片）</w:t>
            </w:r>
          </w:p>
          <w:p w14:paraId="42C4EAC3">
            <w:pPr>
              <w:pStyle w:val="4"/>
              <w:ind w:firstLine="560"/>
              <w:jc w:val="left"/>
            </w:pPr>
            <w:r>
              <w:rPr>
                <w:rFonts w:ascii="仿宋_GB2312" w:hAnsi="仿宋_GB2312" w:eastAsia="仿宋_GB2312" w:cs="仿宋_GB2312"/>
                <w:sz w:val="28"/>
              </w:rPr>
              <w:t>▲（11）电介质强度：电介质强度</w:t>
            </w:r>
            <w:r>
              <w:rPr>
                <w:rFonts w:ascii="仿宋_GB2312" w:hAnsi="仿宋_GB2312" w:eastAsia="仿宋_GB2312" w:cs="仿宋_GB2312"/>
                <w:sz w:val="21"/>
              </w:rPr>
              <w:t>≥</w:t>
            </w:r>
            <w:r>
              <w:rPr>
                <w:rFonts w:ascii="仿宋_GB2312" w:hAnsi="仿宋_GB2312" w:eastAsia="仿宋_GB2312" w:cs="仿宋_GB2312"/>
                <w:sz w:val="28"/>
              </w:rPr>
              <w:t>4000VAC。</w:t>
            </w:r>
          </w:p>
          <w:p w14:paraId="3A849515">
            <w:pPr>
              <w:pStyle w:val="4"/>
              <w:ind w:firstLine="560"/>
              <w:jc w:val="left"/>
            </w:pPr>
            <w:r>
              <w:rPr>
                <w:rFonts w:ascii="仿宋_GB2312" w:hAnsi="仿宋_GB2312" w:eastAsia="仿宋_GB2312" w:cs="仿宋_GB2312"/>
                <w:sz w:val="28"/>
              </w:rPr>
              <w:t>3.安全预警：</w:t>
            </w:r>
          </w:p>
          <w:p w14:paraId="72AA3B09">
            <w:pPr>
              <w:pStyle w:val="4"/>
              <w:ind w:firstLine="560"/>
              <w:jc w:val="left"/>
            </w:pPr>
            <w:r>
              <w:rPr>
                <w:rFonts w:ascii="仿宋_GB2312" w:hAnsi="仿宋_GB2312" w:eastAsia="仿宋_GB2312" w:cs="仿宋_GB2312"/>
                <w:sz w:val="28"/>
              </w:rPr>
              <w:t>（1）当冷却系统发生故障时，应有提示或停止磁场输出功能。</w:t>
            </w:r>
          </w:p>
          <w:p w14:paraId="04E32D2C">
            <w:pPr>
              <w:pStyle w:val="4"/>
              <w:ind w:firstLine="560"/>
              <w:jc w:val="left"/>
            </w:pPr>
            <w:r>
              <w:rPr>
                <w:rFonts w:ascii="仿宋_GB2312" w:hAnsi="仿宋_GB2312" w:eastAsia="仿宋_GB2312" w:cs="仿宋_GB2312"/>
                <w:sz w:val="28"/>
              </w:rPr>
              <w:t>（2）在设备连续工作中，具有手动停止磁场输出的功能，可以通过按下设备上的停止开关，仪器立即停止输出。</w:t>
            </w:r>
          </w:p>
          <w:p w14:paraId="3EB73BC5">
            <w:pPr>
              <w:pStyle w:val="4"/>
              <w:ind w:firstLine="560"/>
              <w:jc w:val="left"/>
            </w:pPr>
            <w:r>
              <w:rPr>
                <w:rFonts w:ascii="仿宋_GB2312" w:hAnsi="仿宋_GB2312" w:eastAsia="仿宋_GB2312" w:cs="仿宋_GB2312"/>
                <w:sz w:val="28"/>
              </w:rPr>
              <w:t>（3）可记录电容放电次数，当电容放电次数达到上限时具有提示功能。</w:t>
            </w:r>
          </w:p>
          <w:p w14:paraId="365D7346">
            <w:pPr>
              <w:pStyle w:val="4"/>
              <w:ind w:firstLine="560"/>
              <w:jc w:val="left"/>
            </w:pPr>
            <w:r>
              <w:rPr>
                <w:rFonts w:ascii="仿宋_GB2312" w:hAnsi="仿宋_GB2312" w:eastAsia="仿宋_GB2312" w:cs="仿宋_GB2312"/>
                <w:sz w:val="28"/>
              </w:rPr>
              <w:t>4.刺激线圈：</w:t>
            </w:r>
          </w:p>
          <w:p w14:paraId="1626060D">
            <w:pPr>
              <w:pStyle w:val="4"/>
              <w:ind w:firstLine="560"/>
              <w:jc w:val="left"/>
            </w:pPr>
            <w:r>
              <w:rPr>
                <w:rFonts w:ascii="仿宋_GB2312" w:hAnsi="仿宋_GB2312" w:eastAsia="仿宋_GB2312" w:cs="仿宋_GB2312"/>
                <w:sz w:val="28"/>
              </w:rPr>
              <w:t>（1）配置圆形或8字形线圈，能实现双面双向刺激。</w:t>
            </w:r>
          </w:p>
          <w:p w14:paraId="3C22A0B1">
            <w:pPr>
              <w:pStyle w:val="4"/>
              <w:ind w:firstLine="560"/>
              <w:jc w:val="left"/>
            </w:pPr>
            <w:r>
              <w:rPr>
                <w:rFonts w:ascii="仿宋_GB2312" w:hAnsi="仿宋_GB2312" w:eastAsia="仿宋_GB2312" w:cs="仿宋_GB2312"/>
                <w:sz w:val="28"/>
              </w:rPr>
              <w:t>▲（2）线圈全封闭一体式工艺，无孔设计，加工一次成型。</w:t>
            </w:r>
          </w:p>
          <w:p w14:paraId="2BCF0FF3">
            <w:pPr>
              <w:pStyle w:val="4"/>
              <w:ind w:firstLine="560"/>
              <w:jc w:val="left"/>
            </w:pPr>
            <w:r>
              <w:rPr>
                <w:rFonts w:ascii="仿宋_GB2312" w:hAnsi="仿宋_GB2312" w:eastAsia="仿宋_GB2312" w:cs="仿宋_GB2312"/>
                <w:sz w:val="28"/>
              </w:rPr>
              <w:t>（3）可扩展临床用线圈拍至少包括：圆形，8字形、双锥（蝶）形、儿童型。</w:t>
            </w:r>
          </w:p>
          <w:p w14:paraId="2BC8164A">
            <w:pPr>
              <w:pStyle w:val="4"/>
              <w:ind w:firstLine="560"/>
              <w:jc w:val="left"/>
            </w:pPr>
            <w:r>
              <w:rPr>
                <w:rFonts w:ascii="仿宋_GB2312" w:hAnsi="仿宋_GB2312" w:eastAsia="仿宋_GB2312" w:cs="仿宋_GB2312"/>
                <w:sz w:val="28"/>
              </w:rPr>
              <w:t>（4）可扩展科研用线圈拍至少包括：凹面型、动物型、盔式深部型、红光功能型。（提供产品彩页或产品使用说明或第三方检测机构出具的检测报告或产品图册）</w:t>
            </w:r>
          </w:p>
          <w:p w14:paraId="371AB738">
            <w:pPr>
              <w:pStyle w:val="4"/>
              <w:ind w:firstLine="560"/>
              <w:jc w:val="left"/>
            </w:pPr>
            <w:r>
              <w:rPr>
                <w:rFonts w:ascii="仿宋_GB2312" w:hAnsi="仿宋_GB2312" w:eastAsia="仿宋_GB2312" w:cs="仿宋_GB2312"/>
                <w:sz w:val="28"/>
              </w:rPr>
              <w:t>★（5）至少具有电动吸液和电动排液功能。</w:t>
            </w:r>
          </w:p>
          <w:p w14:paraId="628A24FB">
            <w:pPr>
              <w:pStyle w:val="4"/>
              <w:ind w:firstLine="560"/>
              <w:jc w:val="left"/>
            </w:pPr>
            <w:r>
              <w:rPr>
                <w:rFonts w:ascii="仿宋_GB2312" w:hAnsi="仿宋_GB2312" w:eastAsia="仿宋_GB2312" w:cs="仿宋_GB2312"/>
                <w:sz w:val="28"/>
              </w:rPr>
              <w:t>5.软件功能：</w:t>
            </w:r>
          </w:p>
          <w:p w14:paraId="26D5C627">
            <w:pPr>
              <w:pStyle w:val="4"/>
              <w:ind w:firstLine="560"/>
              <w:jc w:val="left"/>
            </w:pPr>
            <w:r>
              <w:rPr>
                <w:rFonts w:ascii="仿宋_GB2312" w:hAnsi="仿宋_GB2312" w:eastAsia="仿宋_GB2312" w:cs="仿宋_GB2312"/>
                <w:sz w:val="28"/>
              </w:rPr>
              <w:t>（1）可建立和储存患者的一般信息。至少包括：姓名、性别、出生年月日、检查日期、门诊号或住院号、就诊科室。</w:t>
            </w:r>
          </w:p>
          <w:p w14:paraId="62425C62">
            <w:pPr>
              <w:pStyle w:val="4"/>
              <w:ind w:firstLine="560"/>
              <w:jc w:val="left"/>
            </w:pPr>
            <w:r>
              <w:rPr>
                <w:rFonts w:ascii="仿宋_GB2312" w:hAnsi="仿宋_GB2312" w:eastAsia="仿宋_GB2312" w:cs="仿宋_GB2312"/>
                <w:sz w:val="28"/>
              </w:rPr>
              <w:t>（2）可实现互联网功能，至少包含病人档案管理，专家方案，自定义治疗方案。</w:t>
            </w:r>
          </w:p>
          <w:p w14:paraId="716C3AC9">
            <w:pPr>
              <w:pStyle w:val="4"/>
              <w:ind w:firstLine="560"/>
              <w:jc w:val="left"/>
            </w:pPr>
            <w:r>
              <w:rPr>
                <w:rFonts w:ascii="仿宋_GB2312" w:hAnsi="仿宋_GB2312" w:eastAsia="仿宋_GB2312" w:cs="仿宋_GB2312"/>
                <w:sz w:val="28"/>
              </w:rPr>
              <w:t>（3）实时线圈温度显示。</w:t>
            </w:r>
          </w:p>
          <w:p w14:paraId="3879DB77">
            <w:pPr>
              <w:pStyle w:val="4"/>
              <w:ind w:firstLine="560"/>
              <w:jc w:val="left"/>
            </w:pPr>
            <w:r>
              <w:rPr>
                <w:rFonts w:ascii="仿宋_GB2312" w:hAnsi="仿宋_GB2312" w:eastAsia="仿宋_GB2312" w:cs="仿宋_GB2312"/>
                <w:sz w:val="28"/>
              </w:rPr>
              <w:t>（4）可根据病人姓名查找相关储存资料调出回放。</w:t>
            </w:r>
          </w:p>
          <w:p w14:paraId="14F39EC3">
            <w:pPr>
              <w:pStyle w:val="4"/>
              <w:ind w:firstLine="560"/>
              <w:jc w:val="left"/>
            </w:pPr>
            <w:r>
              <w:rPr>
                <w:rFonts w:ascii="仿宋_GB2312" w:hAnsi="仿宋_GB2312" w:eastAsia="仿宋_GB2312" w:cs="仿宋_GB2312"/>
                <w:sz w:val="28"/>
              </w:rPr>
              <w:t>（5）可统计呈现每个患者的治疗记录，可以将记录存为.docx或.doc 或.txt等文档。</w:t>
            </w:r>
          </w:p>
          <w:p w14:paraId="08F623CA">
            <w:pPr>
              <w:pStyle w:val="4"/>
              <w:ind w:firstLine="560"/>
              <w:jc w:val="left"/>
            </w:pPr>
            <w:r>
              <w:rPr>
                <w:rFonts w:ascii="仿宋_GB2312" w:hAnsi="仿宋_GB2312" w:eastAsia="仿宋_GB2312" w:cs="仿宋_GB2312"/>
                <w:sz w:val="28"/>
              </w:rPr>
              <w:t>6.检测模式：</w:t>
            </w:r>
          </w:p>
          <w:p w14:paraId="295B5B62">
            <w:pPr>
              <w:pStyle w:val="4"/>
              <w:ind w:firstLine="560"/>
              <w:jc w:val="left"/>
            </w:pPr>
            <w:r>
              <w:rPr>
                <w:rFonts w:ascii="仿宋_GB2312" w:hAnsi="仿宋_GB2312" w:eastAsia="仿宋_GB2312" w:cs="仿宋_GB2312"/>
                <w:sz w:val="28"/>
              </w:rPr>
              <w:t>（1）检测项目至少包含：支持运动阈值（MT）、运动诱发电位（MEP）、中枢神经传导时间（CMCT）、静息期检测等检测功能。</w:t>
            </w:r>
          </w:p>
          <w:p w14:paraId="73429F4E">
            <w:pPr>
              <w:pStyle w:val="4"/>
              <w:ind w:firstLine="560"/>
              <w:jc w:val="left"/>
            </w:pPr>
            <w:r>
              <w:rPr>
                <w:rFonts w:ascii="仿宋_GB2312" w:hAnsi="仿宋_GB2312" w:eastAsia="仿宋_GB2312" w:cs="仿宋_GB2312"/>
                <w:sz w:val="28"/>
              </w:rPr>
              <w:t>（2）检测记录：提供运动阈值与治疗方案自动记忆功能，可对保存文档中波形与数据进行复现。</w:t>
            </w:r>
          </w:p>
          <w:p w14:paraId="50576C0A">
            <w:pPr>
              <w:pStyle w:val="4"/>
              <w:ind w:firstLine="560"/>
              <w:jc w:val="left"/>
            </w:pPr>
            <w:r>
              <w:rPr>
                <w:rFonts w:ascii="仿宋_GB2312" w:hAnsi="仿宋_GB2312" w:eastAsia="仿宋_GB2312" w:cs="仿宋_GB2312"/>
                <w:sz w:val="28"/>
              </w:rPr>
              <w:t>（3）提供自动计算神经传导时间功能。</w:t>
            </w:r>
          </w:p>
          <w:p w14:paraId="380F17F4">
            <w:pPr>
              <w:pStyle w:val="4"/>
              <w:ind w:firstLine="560"/>
              <w:jc w:val="left"/>
            </w:pPr>
            <w:r>
              <w:rPr>
                <w:rFonts w:ascii="仿宋_GB2312" w:hAnsi="仿宋_GB2312" w:eastAsia="仿宋_GB2312" w:cs="仿宋_GB2312"/>
                <w:sz w:val="28"/>
              </w:rPr>
              <w:t>（4）提供内置式MEP模块：</w:t>
            </w:r>
          </w:p>
          <w:p w14:paraId="3FC1C61E">
            <w:pPr>
              <w:pStyle w:val="4"/>
              <w:ind w:firstLine="560"/>
              <w:jc w:val="left"/>
            </w:pPr>
            <w:r>
              <w:rPr>
                <w:rFonts w:ascii="仿宋_GB2312" w:hAnsi="仿宋_GB2312" w:eastAsia="仿宋_GB2312" w:cs="仿宋_GB2312"/>
                <w:sz w:val="28"/>
              </w:rPr>
              <w:t>1）通道数：≥2通道。</w:t>
            </w:r>
          </w:p>
          <w:p w14:paraId="4A9812D5">
            <w:pPr>
              <w:pStyle w:val="4"/>
              <w:ind w:firstLine="560"/>
              <w:jc w:val="left"/>
            </w:pPr>
            <w:r>
              <w:rPr>
                <w:rFonts w:ascii="仿宋_GB2312" w:hAnsi="仿宋_GB2312" w:eastAsia="仿宋_GB2312" w:cs="仿宋_GB2312"/>
                <w:sz w:val="28"/>
              </w:rPr>
              <w:t>★2）采样率：≥100KHz。</w:t>
            </w:r>
          </w:p>
          <w:p w14:paraId="494C4459">
            <w:pPr>
              <w:pStyle w:val="4"/>
              <w:ind w:firstLine="560"/>
              <w:jc w:val="left"/>
            </w:pPr>
            <w:r>
              <w:rPr>
                <w:rFonts w:ascii="仿宋_GB2312" w:hAnsi="仿宋_GB2312" w:eastAsia="仿宋_GB2312" w:cs="仿宋_GB2312"/>
                <w:sz w:val="28"/>
              </w:rPr>
              <w:t>3）无需充电，非锂电池充电或其他需要充电的外置式无线传输MEP模块。</w:t>
            </w:r>
          </w:p>
          <w:p w14:paraId="5397837B">
            <w:pPr>
              <w:pStyle w:val="4"/>
              <w:ind w:firstLine="560"/>
              <w:jc w:val="left"/>
            </w:pPr>
            <w:r>
              <w:rPr>
                <w:rFonts w:ascii="仿宋_GB2312" w:hAnsi="仿宋_GB2312" w:eastAsia="仿宋_GB2312" w:cs="仿宋_GB2312"/>
                <w:sz w:val="28"/>
              </w:rPr>
              <w:t>★4）最小分辨率：≤0.1μV，频率测量范围：1Hz~25KHz。（提供产品彩页或产品使用说明或第三方检测机构出具的检测报告）</w:t>
            </w:r>
          </w:p>
          <w:p w14:paraId="41FFBA4F">
            <w:pPr>
              <w:pStyle w:val="4"/>
              <w:ind w:firstLine="560"/>
              <w:jc w:val="left"/>
            </w:pPr>
            <w:r>
              <w:rPr>
                <w:rFonts w:ascii="仿宋_GB2312" w:hAnsi="仿宋_GB2312" w:eastAsia="仿宋_GB2312" w:cs="仿宋_GB2312"/>
                <w:sz w:val="28"/>
              </w:rPr>
              <w:t>5）用于捕捉肌电信号（EMG），并可以在显示器上显示波形。</w:t>
            </w:r>
          </w:p>
          <w:p w14:paraId="25B61999">
            <w:pPr>
              <w:pStyle w:val="4"/>
              <w:ind w:firstLine="560"/>
              <w:jc w:val="left"/>
            </w:pPr>
            <w:r>
              <w:rPr>
                <w:rFonts w:ascii="仿宋_GB2312" w:hAnsi="仿宋_GB2312" w:eastAsia="仿宋_GB2312" w:cs="仿宋_GB2312"/>
                <w:sz w:val="28"/>
              </w:rPr>
              <w:t>7.刺激模式</w:t>
            </w:r>
          </w:p>
          <w:p w14:paraId="2CBB5893">
            <w:pPr>
              <w:pStyle w:val="4"/>
              <w:ind w:firstLine="560"/>
              <w:jc w:val="left"/>
            </w:pPr>
            <w:r>
              <w:rPr>
                <w:rFonts w:ascii="仿宋_GB2312" w:hAnsi="仿宋_GB2312" w:eastAsia="仿宋_GB2312" w:cs="仿宋_GB2312"/>
                <w:sz w:val="28"/>
              </w:rPr>
              <w:t>★1）支持单脉冲（sTMS）、重复脉冲（rTMS）、复合刺激（TBS）等刺激模式且具备两人同时治疗，增加刺激频率、刺激强度、刺激时间和刺激间隔可完全独立调节，并且无强制关联关系，两线圈可同时输出脉冲。彼此相互不干扰。</w:t>
            </w:r>
          </w:p>
          <w:p w14:paraId="7CA5231F">
            <w:pPr>
              <w:pStyle w:val="4"/>
              <w:ind w:firstLine="560"/>
              <w:jc w:val="left"/>
            </w:pPr>
            <w:r>
              <w:rPr>
                <w:rFonts w:ascii="仿宋_GB2312" w:hAnsi="仿宋_GB2312" w:eastAsia="仿宋_GB2312" w:cs="仿宋_GB2312"/>
                <w:sz w:val="28"/>
              </w:rPr>
              <w:t>2）支持双线圈成对刺激，成对脉冲最小时间间隔≤0.1ms，双线圈成对脉冲时间间隔范围-31s-31s内可调，步长1ms。</w:t>
            </w:r>
          </w:p>
          <w:p w14:paraId="4D029759">
            <w:pPr>
              <w:pStyle w:val="4"/>
              <w:ind w:firstLine="560"/>
              <w:jc w:val="left"/>
            </w:pPr>
            <w:r>
              <w:rPr>
                <w:rFonts w:ascii="仿宋_GB2312" w:hAnsi="仿宋_GB2312" w:eastAsia="仿宋_GB2312" w:cs="仿宋_GB2312"/>
                <w:sz w:val="28"/>
              </w:rPr>
              <w:t>3）定时时间按照方案的需要设置，在预定时间（方案的总时间）到达后设备自动终止磁场输出，允差：±10%。</w:t>
            </w:r>
          </w:p>
          <w:p w14:paraId="0393452D">
            <w:pPr>
              <w:pStyle w:val="4"/>
              <w:ind w:firstLine="560"/>
              <w:jc w:val="left"/>
            </w:pPr>
            <w:r>
              <w:rPr>
                <w:rFonts w:ascii="仿宋_GB2312" w:hAnsi="仿宋_GB2312" w:eastAsia="仿宋_GB2312" w:cs="仿宋_GB2312"/>
                <w:sz w:val="28"/>
              </w:rPr>
              <w:t>4）内置专家方案，可供临床选择，至少支持刺激方案自定义，设置刺激时间、输出频率、刺激间歇、刺激强度、刺激数量等。</w:t>
            </w:r>
          </w:p>
          <w:p w14:paraId="0C5EA844">
            <w:pPr>
              <w:pStyle w:val="4"/>
              <w:ind w:firstLine="560"/>
              <w:jc w:val="left"/>
            </w:pPr>
            <w:r>
              <w:rPr>
                <w:rFonts w:ascii="仿宋_GB2312" w:hAnsi="仿宋_GB2312" w:eastAsia="仿宋_GB2312" w:cs="仿宋_GB2312"/>
                <w:sz w:val="28"/>
              </w:rPr>
              <w:t>5）能显示阈值强度、以百分比表示相对输出强度，显示刺激序列、刺激时间、刺激数量。</w:t>
            </w:r>
          </w:p>
          <w:p w14:paraId="7F989AD2">
            <w:pPr>
              <w:pStyle w:val="4"/>
              <w:ind w:firstLine="560"/>
              <w:jc w:val="left"/>
            </w:pPr>
            <w:r>
              <w:rPr>
                <w:rFonts w:ascii="仿宋_GB2312" w:hAnsi="仿宋_GB2312" w:eastAsia="仿宋_GB2312" w:cs="仿宋_GB2312"/>
                <w:sz w:val="28"/>
              </w:rPr>
              <w:t>6）治疗方案提供图文描述，配合定位帽标识，刺激部位360度呈现，提供精准靶点指导。</w:t>
            </w:r>
          </w:p>
          <w:p w14:paraId="62C99AAC">
            <w:pPr>
              <w:pStyle w:val="4"/>
              <w:ind w:firstLine="560"/>
              <w:jc w:val="left"/>
            </w:pPr>
            <w:r>
              <w:rPr>
                <w:rFonts w:ascii="仿宋_GB2312" w:hAnsi="仿宋_GB2312" w:eastAsia="仿宋_GB2312" w:cs="仿宋_GB2312"/>
                <w:sz w:val="28"/>
              </w:rPr>
              <w:t>8.触发输出：触发脉冲波宽350μs±50μs，幅度5V±0.5V。</w:t>
            </w:r>
          </w:p>
          <w:p w14:paraId="67EA96C5">
            <w:pPr>
              <w:pStyle w:val="4"/>
              <w:ind w:firstLine="560"/>
              <w:jc w:val="left"/>
            </w:pPr>
            <w:r>
              <w:rPr>
                <w:rFonts w:ascii="仿宋_GB2312" w:hAnsi="仿宋_GB2312" w:eastAsia="仿宋_GB2312" w:cs="仿宋_GB2312"/>
                <w:sz w:val="28"/>
              </w:rPr>
              <w:t>9.触发输入：输入脉冲波宽≥16μs，幅度5V±0.5V的信号，能被触发。</w:t>
            </w:r>
          </w:p>
          <w:p w14:paraId="60F27E8E">
            <w:pPr>
              <w:pStyle w:val="4"/>
              <w:ind w:firstLine="560"/>
              <w:jc w:val="left"/>
            </w:pPr>
            <w:r>
              <w:rPr>
                <w:rFonts w:ascii="仿宋_GB2312" w:hAnsi="仿宋_GB2312" w:eastAsia="仿宋_GB2312" w:cs="仿宋_GB2312"/>
                <w:sz w:val="28"/>
              </w:rPr>
              <w:t>10.操作软件上调节触发输入延时时间，软件在0~500ms范围可调，步长0.1ms。</w:t>
            </w:r>
          </w:p>
          <w:p w14:paraId="5EC45900">
            <w:pPr>
              <w:pStyle w:val="4"/>
              <w:ind w:firstLine="560"/>
              <w:jc w:val="left"/>
            </w:pPr>
            <w:r>
              <w:rPr>
                <w:rFonts w:ascii="仿宋_GB2312" w:hAnsi="仿宋_GB2312" w:eastAsia="仿宋_GB2312" w:cs="仿宋_GB2312"/>
                <w:sz w:val="28"/>
              </w:rPr>
              <w:t>11.操作软件上调节触发输出延时时间，软件在-500~500ms范围可调，步长0.1ms。</w:t>
            </w:r>
          </w:p>
          <w:p w14:paraId="170ACA43">
            <w:pPr>
              <w:pStyle w:val="4"/>
              <w:ind w:firstLine="560"/>
              <w:jc w:val="left"/>
            </w:pPr>
            <w:r>
              <w:rPr>
                <w:rFonts w:ascii="仿宋_GB2312" w:hAnsi="仿宋_GB2312" w:eastAsia="仿宋_GB2312" w:cs="仿宋_GB2312"/>
                <w:sz w:val="28"/>
              </w:rPr>
              <w:t>★12.支持扩展经颅磁刺激随动导航系统。</w:t>
            </w:r>
          </w:p>
          <w:p w14:paraId="289DE5E2">
            <w:pPr>
              <w:pStyle w:val="4"/>
              <w:ind w:firstLine="560"/>
              <w:jc w:val="left"/>
            </w:pPr>
            <w:r>
              <w:rPr>
                <w:rFonts w:ascii="仿宋_GB2312" w:hAnsi="仿宋_GB2312" w:eastAsia="仿宋_GB2312" w:cs="仿宋_GB2312"/>
                <w:sz w:val="28"/>
              </w:rPr>
              <w:t>13.技术平台可与电刺激近红外、导航等设备兼容。（提供产品彩页或产品使用说明或第三方检测机构出具的检测报告或产品图册）</w:t>
            </w:r>
          </w:p>
          <w:p w14:paraId="11482FDF">
            <w:pPr>
              <w:pStyle w:val="4"/>
              <w:ind w:firstLine="560"/>
              <w:jc w:val="left"/>
            </w:pPr>
            <w:r>
              <w:rPr>
                <w:rFonts w:ascii="仿宋_GB2312" w:hAnsi="仿宋_GB2312" w:eastAsia="仿宋_GB2312" w:cs="仿宋_GB2312"/>
                <w:sz w:val="28"/>
              </w:rPr>
              <w:t>★14.单台产品配置清单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0"/>
              <w:gridCol w:w="766"/>
              <w:gridCol w:w="580"/>
              <w:gridCol w:w="722"/>
              <w:gridCol w:w="722"/>
              <w:gridCol w:w="748"/>
              <w:gridCol w:w="722"/>
              <w:gridCol w:w="723"/>
            </w:tblGrid>
            <w:tr w14:paraId="6CBB3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9ACB90">
                  <w:pPr>
                    <w:pStyle w:val="4"/>
                    <w:jc w:val="center"/>
                  </w:pPr>
                  <w:r>
                    <w:rPr>
                      <w:rFonts w:ascii="仿宋_GB2312" w:hAnsi="仿宋_GB2312" w:eastAsia="仿宋_GB2312" w:cs="仿宋_GB2312"/>
                      <w:sz w:val="28"/>
                    </w:rPr>
                    <w:t>序号</w:t>
                  </w:r>
                </w:p>
              </w:tc>
              <w:tc>
                <w:tcPr>
                  <w:tcW w:w="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AF4526">
                  <w:pPr>
                    <w:pStyle w:val="4"/>
                    <w:jc w:val="center"/>
                  </w:pPr>
                  <w:r>
                    <w:rPr>
                      <w:rFonts w:ascii="仿宋_GB2312" w:hAnsi="仿宋_GB2312" w:eastAsia="仿宋_GB2312" w:cs="仿宋_GB2312"/>
                      <w:sz w:val="28"/>
                    </w:rPr>
                    <w:t>名称</w:t>
                  </w:r>
                </w:p>
              </w:tc>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89B1C1">
                  <w:pPr>
                    <w:pStyle w:val="4"/>
                    <w:jc w:val="center"/>
                  </w:pPr>
                  <w:r>
                    <w:rPr>
                      <w:rFonts w:ascii="仿宋_GB2312" w:hAnsi="仿宋_GB2312" w:eastAsia="仿宋_GB2312" w:cs="仿宋_GB2312"/>
                      <w:sz w:val="28"/>
                    </w:rPr>
                    <w:t>单位</w:t>
                  </w:r>
                </w:p>
              </w:tc>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DCC9C0">
                  <w:pPr>
                    <w:pStyle w:val="4"/>
                    <w:jc w:val="center"/>
                  </w:pPr>
                  <w:r>
                    <w:rPr>
                      <w:rFonts w:ascii="仿宋_GB2312" w:hAnsi="仿宋_GB2312" w:eastAsia="仿宋_GB2312" w:cs="仿宋_GB2312"/>
                      <w:sz w:val="28"/>
                    </w:rPr>
                    <w:t>数量</w:t>
                  </w:r>
                </w:p>
              </w:tc>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CABA6E">
                  <w:pPr>
                    <w:pStyle w:val="4"/>
                    <w:jc w:val="center"/>
                  </w:pPr>
                  <w:r>
                    <w:rPr>
                      <w:rFonts w:ascii="仿宋_GB2312" w:hAnsi="仿宋_GB2312" w:eastAsia="仿宋_GB2312" w:cs="仿宋_GB2312"/>
                      <w:sz w:val="28"/>
                    </w:rPr>
                    <w:t>品牌</w:t>
                  </w:r>
                </w:p>
              </w:tc>
              <w:tc>
                <w:tcPr>
                  <w:tcW w:w="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33A4B8">
                  <w:pPr>
                    <w:pStyle w:val="4"/>
                    <w:jc w:val="center"/>
                  </w:pPr>
                  <w:r>
                    <w:rPr>
                      <w:rFonts w:ascii="仿宋_GB2312" w:hAnsi="仿宋_GB2312" w:eastAsia="仿宋_GB2312" w:cs="仿宋_GB2312"/>
                      <w:sz w:val="28"/>
                    </w:rPr>
                    <w:t>型号</w:t>
                  </w:r>
                </w:p>
              </w:tc>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2D2F75">
                  <w:pPr>
                    <w:pStyle w:val="4"/>
                    <w:jc w:val="center"/>
                  </w:pPr>
                  <w:r>
                    <w:rPr>
                      <w:rFonts w:ascii="仿宋_GB2312" w:hAnsi="仿宋_GB2312" w:eastAsia="仿宋_GB2312" w:cs="仿宋_GB2312"/>
                      <w:sz w:val="28"/>
                    </w:rPr>
                    <w:t>单价</w:t>
                  </w:r>
                </w:p>
              </w:tc>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3EADAF">
                  <w:pPr>
                    <w:pStyle w:val="4"/>
                    <w:jc w:val="center"/>
                  </w:pPr>
                  <w:r>
                    <w:rPr>
                      <w:rFonts w:ascii="仿宋_GB2312" w:hAnsi="仿宋_GB2312" w:eastAsia="仿宋_GB2312" w:cs="仿宋_GB2312"/>
                      <w:sz w:val="28"/>
                    </w:rPr>
                    <w:t>备注</w:t>
                  </w:r>
                </w:p>
              </w:tc>
            </w:tr>
            <w:tr w14:paraId="56183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DFBE8">
                  <w:pPr>
                    <w:pStyle w:val="4"/>
                    <w:jc w:val="center"/>
                  </w:pPr>
                  <w:r>
                    <w:rPr>
                      <w:rFonts w:ascii="仿宋_GB2312" w:hAnsi="仿宋_GB2312" w:eastAsia="仿宋_GB2312" w:cs="仿宋_GB2312"/>
                      <w:sz w:val="28"/>
                    </w:rPr>
                    <w:t>1</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E88EF">
                  <w:pPr>
                    <w:pStyle w:val="4"/>
                    <w:jc w:val="center"/>
                  </w:pPr>
                  <w:r>
                    <w:rPr>
                      <w:rFonts w:ascii="仿宋_GB2312" w:hAnsi="仿宋_GB2312" w:eastAsia="仿宋_GB2312" w:cs="仿宋_GB2312"/>
                      <w:sz w:val="28"/>
                    </w:rPr>
                    <w:t>主机</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6B2BB">
                  <w:pPr>
                    <w:pStyle w:val="4"/>
                    <w:jc w:val="center"/>
                  </w:pPr>
                  <w:r>
                    <w:rPr>
                      <w:rFonts w:ascii="仿宋_GB2312" w:hAnsi="仿宋_GB2312" w:eastAsia="仿宋_GB2312" w:cs="仿宋_GB2312"/>
                      <w:sz w:val="28"/>
                    </w:rPr>
                    <w:t>台</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B6618">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1E5D3">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AD3F9"/>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63898"/>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77624"/>
              </w:tc>
            </w:tr>
            <w:tr w14:paraId="0BD1B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2D5E2">
                  <w:pPr>
                    <w:pStyle w:val="4"/>
                    <w:jc w:val="center"/>
                  </w:pPr>
                  <w:r>
                    <w:rPr>
                      <w:rFonts w:ascii="仿宋_GB2312" w:hAnsi="仿宋_GB2312" w:eastAsia="仿宋_GB2312" w:cs="仿宋_GB2312"/>
                      <w:sz w:val="28"/>
                    </w:rPr>
                    <w:t>2</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4B568">
                  <w:pPr>
                    <w:pStyle w:val="4"/>
                    <w:jc w:val="center"/>
                  </w:pPr>
                  <w:r>
                    <w:rPr>
                      <w:rFonts w:ascii="仿宋_GB2312" w:hAnsi="仿宋_GB2312" w:eastAsia="仿宋_GB2312" w:cs="仿宋_GB2312"/>
                      <w:sz w:val="28"/>
                    </w:rPr>
                    <w:t>MEP 模块</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7B83A">
                  <w:pPr>
                    <w:pStyle w:val="4"/>
                    <w:jc w:val="center"/>
                  </w:pPr>
                  <w:r>
                    <w:rPr>
                      <w:rFonts w:ascii="仿宋_GB2312" w:hAnsi="仿宋_GB2312" w:eastAsia="仿宋_GB2312" w:cs="仿宋_GB2312"/>
                      <w:sz w:val="28"/>
                    </w:rPr>
                    <w:t>套</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139AD">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73C41">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D9882"/>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03C60"/>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5348A"/>
              </w:tc>
            </w:tr>
            <w:tr w14:paraId="67F8C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6BDD6">
                  <w:pPr>
                    <w:pStyle w:val="4"/>
                    <w:jc w:val="center"/>
                  </w:pPr>
                  <w:r>
                    <w:rPr>
                      <w:rFonts w:ascii="仿宋_GB2312" w:hAnsi="仿宋_GB2312" w:eastAsia="仿宋_GB2312" w:cs="仿宋_GB2312"/>
                      <w:sz w:val="28"/>
                    </w:rPr>
                    <w:t>3</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07592">
                  <w:pPr>
                    <w:pStyle w:val="4"/>
                    <w:jc w:val="center"/>
                  </w:pPr>
                  <w:r>
                    <w:rPr>
                      <w:rFonts w:ascii="仿宋_GB2312" w:hAnsi="仿宋_GB2312" w:eastAsia="仿宋_GB2312" w:cs="仿宋_GB2312"/>
                      <w:sz w:val="28"/>
                    </w:rPr>
                    <w:t>支架</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FCCD6">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B02CE">
                  <w:pPr>
                    <w:pStyle w:val="4"/>
                    <w:jc w:val="center"/>
                  </w:pPr>
                  <w:r>
                    <w:rPr>
                      <w:rFonts w:ascii="仿宋_GB2312" w:hAnsi="仿宋_GB2312" w:eastAsia="仿宋_GB2312" w:cs="仿宋_GB2312"/>
                      <w:sz w:val="28"/>
                    </w:rPr>
                    <w:t>2</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46092">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F3163"/>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D21D5"/>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D6DDC"/>
              </w:tc>
            </w:tr>
            <w:tr w14:paraId="61CF8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7297A">
                  <w:pPr>
                    <w:pStyle w:val="4"/>
                    <w:jc w:val="center"/>
                  </w:pPr>
                  <w:r>
                    <w:rPr>
                      <w:rFonts w:ascii="仿宋_GB2312" w:hAnsi="仿宋_GB2312" w:eastAsia="仿宋_GB2312" w:cs="仿宋_GB2312"/>
                      <w:sz w:val="28"/>
                    </w:rPr>
                    <w:t>4</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BA3C8">
                  <w:pPr>
                    <w:pStyle w:val="4"/>
                    <w:jc w:val="center"/>
                  </w:pPr>
                  <w:r>
                    <w:rPr>
                      <w:rFonts w:ascii="仿宋_GB2312" w:hAnsi="仿宋_GB2312" w:eastAsia="仿宋_GB2312" w:cs="仿宋_GB2312"/>
                      <w:sz w:val="28"/>
                    </w:rPr>
                    <w:t>圆形线圈</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B129F">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0A173">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40CB8">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80ACB"/>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BF719"/>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03E42"/>
              </w:tc>
            </w:tr>
            <w:tr w14:paraId="4910F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DBF71">
                  <w:pPr>
                    <w:pStyle w:val="4"/>
                    <w:jc w:val="center"/>
                  </w:pPr>
                  <w:r>
                    <w:rPr>
                      <w:rFonts w:ascii="仿宋_GB2312" w:hAnsi="仿宋_GB2312" w:eastAsia="仿宋_GB2312" w:cs="仿宋_GB2312"/>
                      <w:sz w:val="28"/>
                    </w:rPr>
                    <w:t>5</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D8930">
                  <w:pPr>
                    <w:pStyle w:val="4"/>
                    <w:jc w:val="center"/>
                  </w:pPr>
                  <w:r>
                    <w:rPr>
                      <w:rFonts w:ascii="仿宋_GB2312" w:hAnsi="仿宋_GB2312" w:eastAsia="仿宋_GB2312" w:cs="仿宋_GB2312"/>
                      <w:sz w:val="28"/>
                    </w:rPr>
                    <w:t>八字线圈</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5C3AB">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7681C">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D62F0">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833A5"/>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59238"/>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5354A"/>
              </w:tc>
            </w:tr>
            <w:tr w14:paraId="0FB2F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9191B">
                  <w:pPr>
                    <w:pStyle w:val="4"/>
                    <w:jc w:val="center"/>
                  </w:pPr>
                  <w:r>
                    <w:rPr>
                      <w:rFonts w:ascii="仿宋_GB2312" w:hAnsi="仿宋_GB2312" w:eastAsia="仿宋_GB2312" w:cs="仿宋_GB2312"/>
                      <w:sz w:val="28"/>
                    </w:rPr>
                    <w:t>6</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F934A">
                  <w:pPr>
                    <w:pStyle w:val="4"/>
                    <w:jc w:val="center"/>
                  </w:pPr>
                  <w:r>
                    <w:rPr>
                      <w:rFonts w:ascii="仿宋_GB2312" w:hAnsi="仿宋_GB2312" w:eastAsia="仿宋_GB2312" w:cs="仿宋_GB2312"/>
                      <w:sz w:val="28"/>
                    </w:rPr>
                    <w:t>定位帽</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603A9">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1136C">
                  <w:pPr>
                    <w:pStyle w:val="4"/>
                    <w:jc w:val="center"/>
                  </w:pPr>
                  <w:r>
                    <w:rPr>
                      <w:rFonts w:ascii="仿宋_GB2312" w:hAnsi="仿宋_GB2312" w:eastAsia="仿宋_GB2312" w:cs="仿宋_GB2312"/>
                      <w:sz w:val="28"/>
                    </w:rPr>
                    <w:t>10</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75C56">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80B7B"/>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7A757"/>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DB61B"/>
              </w:tc>
            </w:tr>
            <w:tr w14:paraId="39CDA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0A1D6">
                  <w:pPr>
                    <w:pStyle w:val="4"/>
                    <w:jc w:val="center"/>
                  </w:pPr>
                  <w:r>
                    <w:rPr>
                      <w:rFonts w:ascii="仿宋_GB2312" w:hAnsi="仿宋_GB2312" w:eastAsia="仿宋_GB2312" w:cs="仿宋_GB2312"/>
                      <w:sz w:val="28"/>
                    </w:rPr>
                    <w:t>7</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71102">
                  <w:pPr>
                    <w:pStyle w:val="4"/>
                    <w:jc w:val="center"/>
                  </w:pPr>
                  <w:r>
                    <w:rPr>
                      <w:rFonts w:ascii="仿宋_GB2312" w:hAnsi="仿宋_GB2312" w:eastAsia="仿宋_GB2312" w:cs="仿宋_GB2312"/>
                      <w:sz w:val="28"/>
                    </w:rPr>
                    <w:t>冷却系统</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E495A">
                  <w:pPr>
                    <w:pStyle w:val="4"/>
                    <w:jc w:val="center"/>
                  </w:pPr>
                  <w:r>
                    <w:rPr>
                      <w:rFonts w:ascii="仿宋_GB2312" w:hAnsi="仿宋_GB2312" w:eastAsia="仿宋_GB2312" w:cs="仿宋_GB2312"/>
                      <w:sz w:val="28"/>
                    </w:rPr>
                    <w:t>套</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4FE91">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29AD5">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5738B"/>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10679"/>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D2AAD"/>
              </w:tc>
            </w:tr>
            <w:tr w14:paraId="1FF3F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DC574">
                  <w:pPr>
                    <w:pStyle w:val="4"/>
                    <w:jc w:val="center"/>
                  </w:pPr>
                  <w:r>
                    <w:rPr>
                      <w:rFonts w:ascii="仿宋_GB2312" w:hAnsi="仿宋_GB2312" w:eastAsia="仿宋_GB2312" w:cs="仿宋_GB2312"/>
                      <w:sz w:val="28"/>
                    </w:rPr>
                    <w:t>8</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E2A62">
                  <w:pPr>
                    <w:pStyle w:val="4"/>
                    <w:jc w:val="center"/>
                  </w:pPr>
                  <w:r>
                    <w:rPr>
                      <w:rFonts w:ascii="仿宋_GB2312" w:hAnsi="仿宋_GB2312" w:eastAsia="仿宋_GB2312" w:cs="仿宋_GB2312"/>
                      <w:sz w:val="28"/>
                    </w:rPr>
                    <w:t>操作软件</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15A34">
                  <w:pPr>
                    <w:pStyle w:val="4"/>
                    <w:jc w:val="center"/>
                  </w:pPr>
                  <w:r>
                    <w:rPr>
                      <w:rFonts w:ascii="仿宋_GB2312" w:hAnsi="仿宋_GB2312" w:eastAsia="仿宋_GB2312" w:cs="仿宋_GB2312"/>
                      <w:sz w:val="28"/>
                    </w:rPr>
                    <w:t>套</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47271">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FD9D7">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43815"/>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CE689"/>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3B3F9"/>
              </w:tc>
            </w:tr>
            <w:tr w14:paraId="71089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5A1B5">
                  <w:pPr>
                    <w:pStyle w:val="4"/>
                    <w:jc w:val="center"/>
                  </w:pPr>
                  <w:r>
                    <w:rPr>
                      <w:rFonts w:ascii="仿宋_GB2312" w:hAnsi="仿宋_GB2312" w:eastAsia="仿宋_GB2312" w:cs="仿宋_GB2312"/>
                      <w:sz w:val="28"/>
                    </w:rPr>
                    <w:t>9</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E993B">
                  <w:pPr>
                    <w:pStyle w:val="4"/>
                    <w:jc w:val="center"/>
                  </w:pPr>
                  <w:r>
                    <w:rPr>
                      <w:rFonts w:ascii="仿宋_GB2312" w:hAnsi="仿宋_GB2312" w:eastAsia="仿宋_GB2312" w:cs="仿宋_GB2312"/>
                      <w:sz w:val="28"/>
                    </w:rPr>
                    <w:t>盆底座椅</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A497B">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3BEC5">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71400">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4D135"/>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2F4EF"/>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44856"/>
              </w:tc>
            </w:tr>
            <w:tr w14:paraId="1A78B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F755F">
                  <w:pPr>
                    <w:pStyle w:val="4"/>
                    <w:jc w:val="center"/>
                  </w:pPr>
                  <w:r>
                    <w:rPr>
                      <w:rFonts w:ascii="仿宋_GB2312" w:hAnsi="仿宋_GB2312" w:eastAsia="仿宋_GB2312" w:cs="仿宋_GB2312"/>
                      <w:sz w:val="28"/>
                    </w:rPr>
                    <w:t>10</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0FB6D">
                  <w:pPr>
                    <w:pStyle w:val="4"/>
                    <w:jc w:val="center"/>
                  </w:pPr>
                  <w:r>
                    <w:rPr>
                      <w:rFonts w:ascii="仿宋_GB2312" w:hAnsi="仿宋_GB2312" w:eastAsia="仿宋_GB2312" w:cs="仿宋_GB2312"/>
                      <w:sz w:val="28"/>
                    </w:rPr>
                    <w:t>盔式深部线圈</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0E54F">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7D7DA">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515C7">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5855F"/>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D65B9"/>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C3C18">
                  <w:pPr>
                    <w:pStyle w:val="4"/>
                    <w:jc w:val="center"/>
                  </w:pPr>
                  <w:r>
                    <w:rPr>
                      <w:rFonts w:ascii="仿宋_GB2312" w:hAnsi="仿宋_GB2312" w:eastAsia="仿宋_GB2312" w:cs="仿宋_GB2312"/>
                      <w:sz w:val="28"/>
                    </w:rPr>
                    <w:t>2台产品共配置1个</w:t>
                  </w:r>
                </w:p>
              </w:tc>
            </w:tr>
            <w:tr w14:paraId="1D7D4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659E8">
                  <w:pPr>
                    <w:pStyle w:val="4"/>
                    <w:jc w:val="center"/>
                  </w:pPr>
                  <w:r>
                    <w:rPr>
                      <w:rFonts w:ascii="仿宋_GB2312" w:hAnsi="仿宋_GB2312" w:eastAsia="仿宋_GB2312" w:cs="仿宋_GB2312"/>
                      <w:sz w:val="28"/>
                    </w:rPr>
                    <w:t>11</w:t>
                  </w: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2264F">
                  <w:pPr>
                    <w:pStyle w:val="4"/>
                    <w:jc w:val="center"/>
                  </w:pPr>
                  <w:r>
                    <w:rPr>
                      <w:rFonts w:ascii="仿宋_GB2312" w:hAnsi="仿宋_GB2312" w:eastAsia="仿宋_GB2312" w:cs="仿宋_GB2312"/>
                      <w:sz w:val="28"/>
                    </w:rPr>
                    <w:t>锥形线圈</w:t>
                  </w:r>
                </w:p>
              </w:tc>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10DE8">
                  <w:pPr>
                    <w:pStyle w:val="4"/>
                    <w:jc w:val="center"/>
                  </w:pPr>
                  <w:r>
                    <w:rPr>
                      <w:rFonts w:ascii="仿宋_GB2312" w:hAnsi="仿宋_GB2312" w:eastAsia="仿宋_GB2312" w:cs="仿宋_GB2312"/>
                      <w:sz w:val="28"/>
                    </w:rPr>
                    <w:t>个</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C9883">
                  <w:pPr>
                    <w:pStyle w:val="4"/>
                    <w:jc w:val="center"/>
                  </w:pPr>
                  <w:r>
                    <w:rPr>
                      <w:rFonts w:ascii="仿宋_GB2312" w:hAnsi="仿宋_GB2312" w:eastAsia="仿宋_GB2312" w:cs="仿宋_GB2312"/>
                      <w:sz w:val="28"/>
                    </w:rPr>
                    <w:t>1</w:t>
                  </w:r>
                </w:p>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EA718">
                  <w:pPr>
                    <w:pStyle w:val="4"/>
                    <w:jc w:val="center"/>
                  </w:pPr>
                </w:p>
              </w:tc>
              <w:tc>
                <w:tcPr>
                  <w:tcW w:w="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C563A"/>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BE768"/>
              </w:tc>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C1611">
                  <w:pPr>
                    <w:pStyle w:val="4"/>
                    <w:jc w:val="center"/>
                  </w:pPr>
                  <w:r>
                    <w:rPr>
                      <w:rFonts w:ascii="仿宋_GB2312" w:hAnsi="仿宋_GB2312" w:eastAsia="仿宋_GB2312" w:cs="仿宋_GB2312"/>
                      <w:sz w:val="28"/>
                    </w:rPr>
                    <w:t>2台产品共配置1个</w:t>
                  </w:r>
                </w:p>
              </w:tc>
            </w:tr>
          </w:tbl>
          <w:p w14:paraId="4782B0B9"/>
        </w:tc>
      </w:tr>
    </w:tbl>
    <w:p w14:paraId="11577D71">
      <w:pPr>
        <w:pStyle w:val="4"/>
        <w:jc w:val="left"/>
        <w:outlineLvl w:val="2"/>
      </w:pPr>
      <w:r>
        <w:rPr>
          <w:rFonts w:ascii="仿宋_GB2312" w:hAnsi="仿宋_GB2312" w:eastAsia="仿宋_GB2312" w:cs="仿宋_GB2312"/>
          <w:b/>
          <w:sz w:val="28"/>
        </w:rPr>
        <w:t>3.3.服务要求</w:t>
      </w:r>
    </w:p>
    <w:p w14:paraId="61E1B687">
      <w:pPr>
        <w:pStyle w:val="4"/>
        <w:jc w:val="left"/>
        <w:outlineLvl w:val="3"/>
      </w:pPr>
      <w:r>
        <w:rPr>
          <w:rFonts w:ascii="仿宋_GB2312" w:hAnsi="仿宋_GB2312" w:eastAsia="仿宋_GB2312" w:cs="仿宋_GB2312"/>
          <w:b/>
          <w:sz w:val="24"/>
        </w:rPr>
        <w:t>3.3.1.服务内容要求</w:t>
      </w:r>
    </w:p>
    <w:p w14:paraId="1A560C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8FC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6C840D">
            <w:pPr>
              <w:pStyle w:val="4"/>
              <w:jc w:val="center"/>
            </w:pPr>
            <w:r>
              <w:rPr>
                <w:rFonts w:ascii="仿宋_GB2312" w:hAnsi="仿宋_GB2312" w:eastAsia="仿宋_GB2312" w:cs="仿宋_GB2312"/>
              </w:rPr>
              <w:t xml:space="preserve"> 序号</w:t>
            </w:r>
          </w:p>
        </w:tc>
        <w:tc>
          <w:tcPr>
            <w:tcW w:w="581" w:type="dxa"/>
          </w:tcPr>
          <w:p w14:paraId="3F55F02A">
            <w:pPr>
              <w:pStyle w:val="4"/>
              <w:jc w:val="center"/>
            </w:pPr>
            <w:r>
              <w:rPr>
                <w:rFonts w:ascii="仿宋_GB2312" w:hAnsi="仿宋_GB2312" w:eastAsia="仿宋_GB2312" w:cs="仿宋_GB2312"/>
              </w:rPr>
              <w:t xml:space="preserve"> 符号标识</w:t>
            </w:r>
          </w:p>
        </w:tc>
        <w:tc>
          <w:tcPr>
            <w:tcW w:w="1495" w:type="dxa"/>
          </w:tcPr>
          <w:p w14:paraId="49C6903A">
            <w:pPr>
              <w:pStyle w:val="4"/>
              <w:jc w:val="center"/>
            </w:pPr>
            <w:r>
              <w:rPr>
                <w:rFonts w:ascii="仿宋_GB2312" w:hAnsi="仿宋_GB2312" w:eastAsia="仿宋_GB2312" w:cs="仿宋_GB2312"/>
              </w:rPr>
              <w:t xml:space="preserve"> 服务要求名称</w:t>
            </w:r>
          </w:p>
        </w:tc>
        <w:tc>
          <w:tcPr>
            <w:tcW w:w="5814" w:type="dxa"/>
          </w:tcPr>
          <w:p w14:paraId="09234345">
            <w:pPr>
              <w:pStyle w:val="4"/>
              <w:jc w:val="center"/>
            </w:pPr>
            <w:r>
              <w:rPr>
                <w:rFonts w:ascii="仿宋_GB2312" w:hAnsi="仿宋_GB2312" w:eastAsia="仿宋_GB2312" w:cs="仿宋_GB2312"/>
              </w:rPr>
              <w:t xml:space="preserve"> 服务要求内容</w:t>
            </w:r>
          </w:p>
        </w:tc>
      </w:tr>
      <w:tr w14:paraId="1AAFF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C1EEC">
            <w:pPr>
              <w:pStyle w:val="4"/>
              <w:jc w:val="center"/>
            </w:pPr>
            <w:r>
              <w:rPr>
                <w:rFonts w:ascii="仿宋_GB2312" w:hAnsi="仿宋_GB2312" w:eastAsia="仿宋_GB2312" w:cs="仿宋_GB2312"/>
              </w:rPr>
              <w:t>1</w:t>
            </w:r>
          </w:p>
        </w:tc>
        <w:tc>
          <w:tcPr>
            <w:tcW w:w="581" w:type="dxa"/>
          </w:tcPr>
          <w:p w14:paraId="46E6A511"/>
        </w:tc>
        <w:tc>
          <w:tcPr>
            <w:tcW w:w="1495" w:type="dxa"/>
          </w:tcPr>
          <w:p w14:paraId="5CB8BE7D">
            <w:pPr>
              <w:pStyle w:val="4"/>
              <w:jc w:val="left"/>
            </w:pPr>
            <w:r>
              <w:rPr>
                <w:rFonts w:ascii="仿宋_GB2312" w:hAnsi="仿宋_GB2312" w:eastAsia="仿宋_GB2312" w:cs="仿宋_GB2312"/>
              </w:rPr>
              <w:t>其他要求</w:t>
            </w:r>
          </w:p>
        </w:tc>
        <w:tc>
          <w:tcPr>
            <w:tcW w:w="5814" w:type="dxa"/>
          </w:tcPr>
          <w:p w14:paraId="172C9429">
            <w:pPr>
              <w:pStyle w:val="4"/>
              <w:jc w:val="both"/>
            </w:pPr>
            <w:r>
              <w:rPr>
                <w:rFonts w:ascii="仿宋_GB2312" w:hAnsi="仿宋_GB2312" w:eastAsia="仿宋_GB2312" w:cs="仿宋_GB2312"/>
                <w:sz w:val="28"/>
              </w:rPr>
              <w:t>★（1）合同签订：中标通知书发出之日起30日内。</w:t>
            </w:r>
          </w:p>
          <w:p w14:paraId="582B8943">
            <w:pPr>
              <w:pStyle w:val="4"/>
              <w:ind w:firstLine="560"/>
              <w:jc w:val="both"/>
            </w:pPr>
            <w:r>
              <w:rPr>
                <w:rFonts w:ascii="仿宋_GB2312" w:hAnsi="仿宋_GB2312" w:eastAsia="仿宋_GB2312" w:cs="仿宋_GB2312"/>
                <w:sz w:val="28"/>
              </w:rPr>
              <w:t>（2）其他要求：</w:t>
            </w:r>
          </w:p>
          <w:p w14:paraId="41A858D9">
            <w:pPr>
              <w:pStyle w:val="4"/>
              <w:ind w:firstLine="560"/>
              <w:jc w:val="both"/>
            </w:pPr>
            <w:r>
              <w:rPr>
                <w:rFonts w:ascii="仿宋_GB2312" w:hAnsi="仿宋_GB2312" w:eastAsia="仿宋_GB2312" w:cs="仿宋_GB2312"/>
                <w:sz w:val="28"/>
              </w:rPr>
              <w:t>★1）安全要求：本项目履行期限及质保期内安全保障和责任全部由中标人自行承担。</w:t>
            </w:r>
          </w:p>
          <w:p w14:paraId="217F3D36">
            <w:pPr>
              <w:pStyle w:val="4"/>
              <w:ind w:firstLine="560"/>
              <w:jc w:val="both"/>
            </w:pPr>
            <w:r>
              <w:rPr>
                <w:rFonts w:ascii="仿宋_GB2312" w:hAnsi="仿宋_GB2312" w:eastAsia="仿宋_GB2312" w:cs="仿宋_GB2312"/>
                <w:sz w:val="28"/>
              </w:rPr>
              <w:t>2）投标人应具有详细的供、配货方案，应明确供、配货方式、计划，并按照招标文件约定的交货地点，同时制定切实可行的运输、搬运的方式、方法及流程，供货、运输、搬运等所需的时间应保障能在约定时间内完成供货、运输、到货验收等工作。投标人应按照制定的供货计划进行产品的供货，并且在运输、搬运过程中保障产品不会造成损坏。若供货过程中，采购人有临时的供货需求调整，投标人应积极配合采购人，并按照调整后的供货要求进行产品供货。</w:t>
            </w:r>
          </w:p>
          <w:p w14:paraId="5DCF5B41">
            <w:pPr>
              <w:pStyle w:val="4"/>
              <w:ind w:firstLine="560"/>
              <w:jc w:val="both"/>
            </w:pPr>
            <w:r>
              <w:rPr>
                <w:rFonts w:ascii="仿宋_GB2312" w:hAnsi="仿宋_GB2312" w:eastAsia="仿宋_GB2312" w:cs="仿宋_GB2312"/>
                <w:sz w:val="28"/>
              </w:rPr>
              <w:t>3）质量要求：</w:t>
            </w:r>
          </w:p>
          <w:p w14:paraId="35C01149">
            <w:pPr>
              <w:pStyle w:val="4"/>
              <w:ind w:firstLine="560"/>
              <w:jc w:val="both"/>
            </w:pPr>
            <w:r>
              <w:rPr>
                <w:rFonts w:ascii="仿宋_GB2312" w:hAnsi="仿宋_GB2312" w:eastAsia="仿宋_GB2312" w:cs="仿宋_GB2312"/>
                <w:sz w:val="28"/>
              </w:rPr>
              <w:t>★①投标人所提供的产品质量必须符合国家和行业相关标准，满足采购需求,必须符合采购文件规定的货物名称、规格、材质要求，且为正规渠道全新正品。如有质量问题或与采购需求不符，由中标人承担全部责任，采购人有权拒绝支付或扣减未付资金，并由中标人赔偿采购人相关损失。</w:t>
            </w:r>
          </w:p>
          <w:p w14:paraId="2A262157">
            <w:pPr>
              <w:pStyle w:val="4"/>
              <w:ind w:firstLine="560"/>
              <w:jc w:val="both"/>
            </w:pPr>
            <w:r>
              <w:rPr>
                <w:rFonts w:ascii="仿宋_GB2312" w:hAnsi="仿宋_GB2312" w:eastAsia="仿宋_GB2312" w:cs="仿宋_GB2312"/>
                <w:sz w:val="28"/>
              </w:rPr>
              <w:t>②投标人应制定有明确的质量管理制度及措施，质量管理工作应具有层级管理及质量应急响应制度。同时，应具备切实可行的质量管理体系，以避免本项目实施过程中出现可能存在的质量问题。</w:t>
            </w:r>
          </w:p>
          <w:p w14:paraId="0F27B473">
            <w:pPr>
              <w:pStyle w:val="4"/>
              <w:ind w:firstLine="560"/>
              <w:jc w:val="both"/>
            </w:pPr>
            <w:r>
              <w:rPr>
                <w:rFonts w:ascii="仿宋_GB2312" w:hAnsi="仿宋_GB2312" w:eastAsia="仿宋_GB2312" w:cs="仿宋_GB2312"/>
                <w:sz w:val="28"/>
              </w:rPr>
              <w:t>4）投标人应制定有明确的质量管理制度及措施，质量管理工作应具有层级管理及质量应急响应制度。同时，应具备切实可行的质量管理体系，以避免本项目实施过程中出现可能存在的质量问题。</w:t>
            </w:r>
          </w:p>
          <w:p w14:paraId="0EACE05A">
            <w:pPr>
              <w:pStyle w:val="4"/>
              <w:ind w:firstLine="560"/>
              <w:jc w:val="both"/>
            </w:pPr>
            <w:r>
              <w:rPr>
                <w:rFonts w:ascii="仿宋_GB2312" w:hAnsi="仿宋_GB2312" w:eastAsia="仿宋_GB2312" w:cs="仿宋_GB2312"/>
                <w:sz w:val="28"/>
              </w:rPr>
              <w:t>5）实施人员要求：本项目拟投入的实施人员需具备相关经验，明确划分人员岗位职责，将项目可能涉及的所有工作划分落实到具体岗位，制定健全的人员管理制度、团队互相协调、沟通等机制，确保项目按计划进行并达到预期目标。</w:t>
            </w:r>
          </w:p>
          <w:p w14:paraId="179B60D4">
            <w:pPr>
              <w:pStyle w:val="4"/>
              <w:ind w:firstLine="560"/>
              <w:jc w:val="both"/>
            </w:pPr>
            <w:r>
              <w:rPr>
                <w:rFonts w:ascii="仿宋_GB2312" w:hAnsi="仿宋_GB2312" w:eastAsia="仿宋_GB2312" w:cs="仿宋_GB2312"/>
                <w:sz w:val="28"/>
              </w:rPr>
              <w:t>6）安装调试要求：</w:t>
            </w:r>
          </w:p>
          <w:p w14:paraId="76332CC6">
            <w:pPr>
              <w:pStyle w:val="4"/>
              <w:ind w:firstLine="560"/>
              <w:jc w:val="both"/>
            </w:pPr>
            <w:r>
              <w:rPr>
                <w:rFonts w:ascii="仿宋_GB2312" w:hAnsi="仿宋_GB2312" w:eastAsia="仿宋_GB2312" w:cs="仿宋_GB2312"/>
                <w:sz w:val="28"/>
              </w:rPr>
              <w:t>①投标人编制有详尽的安装调试工作流程及重难点把控，安装调试质量把控，对于重难点环节应制定专项安装调试质量把控流程，明确安装调试质量标准和人员职责划分，安装调试结果应满足国家和行业相关标准，实现最终投入使用的设备运行情况满足采购人需求。</w:t>
            </w:r>
          </w:p>
          <w:p w14:paraId="46CAB01A">
            <w:pPr>
              <w:pStyle w:val="4"/>
              <w:ind w:firstLine="560"/>
              <w:jc w:val="both"/>
            </w:pPr>
            <w:r>
              <w:rPr>
                <w:rFonts w:ascii="仿宋_GB2312" w:hAnsi="仿宋_GB2312" w:eastAsia="仿宋_GB2312" w:cs="仿宋_GB2312"/>
                <w:sz w:val="28"/>
              </w:rPr>
              <w:t>②安装前准备阶段</w:t>
            </w:r>
          </w:p>
          <w:p w14:paraId="4AE2DD58">
            <w:pPr>
              <w:pStyle w:val="4"/>
              <w:ind w:firstLine="560"/>
              <w:jc w:val="both"/>
            </w:pPr>
            <w:r>
              <w:rPr>
                <w:rFonts w:ascii="仿宋_GB2312" w:hAnsi="仿宋_GB2312" w:eastAsia="仿宋_GB2312" w:cs="仿宋_GB2312"/>
                <w:sz w:val="28"/>
              </w:rPr>
              <w:t>A.在产品到货前，服务团队应及时与采购人沟通，确认安装现场的具体情况，包括设备摆放位置的空间布局等，确保现场满足产品安装和正常使用的条件。</w:t>
            </w:r>
          </w:p>
          <w:p w14:paraId="0B636742">
            <w:pPr>
              <w:pStyle w:val="4"/>
              <w:ind w:firstLine="560"/>
              <w:jc w:val="both"/>
            </w:pPr>
            <w:r>
              <w:rPr>
                <w:rFonts w:ascii="仿宋_GB2312" w:hAnsi="仿宋_GB2312" w:eastAsia="仿宋_GB2312" w:cs="仿宋_GB2312"/>
                <w:sz w:val="28"/>
              </w:rPr>
              <w:t>B.协助采购人制定详细的安装现场准备清单及时间计划，指导采购人完成现场环境的整改和完善。</w:t>
            </w:r>
          </w:p>
          <w:p w14:paraId="7C15F185">
            <w:pPr>
              <w:pStyle w:val="4"/>
              <w:ind w:firstLine="560"/>
              <w:jc w:val="both"/>
            </w:pPr>
            <w:r>
              <w:rPr>
                <w:rFonts w:ascii="仿宋_GB2312" w:hAnsi="仿宋_GB2312" w:eastAsia="仿宋_GB2312" w:cs="仿宋_GB2312"/>
                <w:sz w:val="28"/>
              </w:rPr>
              <w:t>C.针对特殊环境，提供相关技术指导和预防措施建议，防止安装过程中出现环境适应性问题。</w:t>
            </w:r>
          </w:p>
          <w:p w14:paraId="733ADB5F">
            <w:pPr>
              <w:pStyle w:val="4"/>
              <w:ind w:firstLine="560"/>
              <w:jc w:val="both"/>
            </w:pPr>
            <w:r>
              <w:rPr>
                <w:rFonts w:ascii="仿宋_GB2312" w:hAnsi="仿宋_GB2312" w:eastAsia="仿宋_GB2312" w:cs="仿宋_GB2312"/>
                <w:sz w:val="28"/>
              </w:rPr>
              <w:t>③安装实施阶段</w:t>
            </w:r>
          </w:p>
          <w:p w14:paraId="373A44A0">
            <w:pPr>
              <w:pStyle w:val="4"/>
              <w:ind w:firstLine="560"/>
              <w:jc w:val="both"/>
            </w:pPr>
            <w:r>
              <w:rPr>
                <w:rFonts w:ascii="仿宋_GB2312" w:hAnsi="仿宋_GB2312" w:eastAsia="仿宋_GB2312" w:cs="仿宋_GB2312"/>
                <w:sz w:val="28"/>
              </w:rPr>
              <w:t>A.组织由专业且经验丰富的安装工程师组成的团队，根据产品特点和安装规范，开展科学有序的安装工作。</w:t>
            </w:r>
          </w:p>
          <w:p w14:paraId="0DD84F90">
            <w:pPr>
              <w:pStyle w:val="4"/>
              <w:ind w:firstLine="560"/>
              <w:jc w:val="both"/>
            </w:pPr>
            <w:r>
              <w:rPr>
                <w:rFonts w:ascii="仿宋_GB2312" w:hAnsi="仿宋_GB2312" w:eastAsia="仿宋_GB2312" w:cs="仿宋_GB2312"/>
                <w:sz w:val="28"/>
              </w:rPr>
              <w:t>B.按照产品制造商提供的安装手册和技术标准，进行设备拆箱、定位固定等关键步骤，确保安装过程符合安全规范和质量要求。</w:t>
            </w:r>
          </w:p>
          <w:p w14:paraId="4C1EC27B">
            <w:pPr>
              <w:pStyle w:val="4"/>
              <w:ind w:firstLine="560"/>
              <w:jc w:val="both"/>
            </w:pPr>
            <w:r>
              <w:rPr>
                <w:rFonts w:ascii="仿宋_GB2312" w:hAnsi="仿宋_GB2312" w:eastAsia="仿宋_GB2312" w:cs="仿宋_GB2312"/>
                <w:sz w:val="28"/>
              </w:rPr>
              <w:t>C.实时记录安装过程中的关键数据和异常情况，及时与采购人沟通处理。</w:t>
            </w:r>
          </w:p>
          <w:p w14:paraId="2DA2D967">
            <w:pPr>
              <w:pStyle w:val="4"/>
              <w:ind w:firstLine="560"/>
              <w:jc w:val="both"/>
            </w:pPr>
            <w:r>
              <w:rPr>
                <w:rFonts w:ascii="仿宋_GB2312" w:hAnsi="仿宋_GB2312" w:eastAsia="仿宋_GB2312" w:cs="仿宋_GB2312"/>
                <w:sz w:val="28"/>
              </w:rPr>
              <w:t>D.制定安装现场安全管理措施，保障人员和设备安全。</w:t>
            </w:r>
          </w:p>
          <w:p w14:paraId="39220221">
            <w:pPr>
              <w:pStyle w:val="4"/>
              <w:ind w:firstLine="560"/>
              <w:jc w:val="both"/>
            </w:pPr>
            <w:r>
              <w:rPr>
                <w:rFonts w:ascii="仿宋_GB2312" w:hAnsi="仿宋_GB2312" w:eastAsia="仿宋_GB2312" w:cs="仿宋_GB2312"/>
                <w:sz w:val="28"/>
              </w:rPr>
              <w:t>④调试阶段</w:t>
            </w:r>
          </w:p>
          <w:p w14:paraId="55AE0345">
            <w:pPr>
              <w:pStyle w:val="4"/>
              <w:ind w:firstLine="560"/>
              <w:jc w:val="both"/>
            </w:pPr>
            <w:r>
              <w:rPr>
                <w:rFonts w:ascii="仿宋_GB2312" w:hAnsi="仿宋_GB2312" w:eastAsia="仿宋_GB2312" w:cs="仿宋_GB2312"/>
                <w:sz w:val="28"/>
              </w:rPr>
              <w:t>A.安装完成后，开展产品的全面调试，包括但不限于外观检查、正常使用性能检测等，确保设备达到招标文件的技术指标及合同要求。</w:t>
            </w:r>
          </w:p>
          <w:p w14:paraId="5E4D3EBC">
            <w:pPr>
              <w:pStyle w:val="4"/>
              <w:ind w:firstLine="560"/>
              <w:jc w:val="both"/>
            </w:pPr>
            <w:r>
              <w:rPr>
                <w:rFonts w:ascii="仿宋_GB2312" w:hAnsi="仿宋_GB2312" w:eastAsia="仿宋_GB2312" w:cs="仿宋_GB2312"/>
                <w:sz w:val="28"/>
              </w:rPr>
              <w:t>B.协助采购人进行产品使用的现场演示，解答采购人员及操作人员的技术疑问。</w:t>
            </w:r>
          </w:p>
          <w:p w14:paraId="079096A9">
            <w:pPr>
              <w:pStyle w:val="4"/>
              <w:ind w:firstLine="560"/>
              <w:jc w:val="both"/>
            </w:pPr>
            <w:r>
              <w:rPr>
                <w:rFonts w:ascii="仿宋_GB2312" w:hAnsi="仿宋_GB2312" w:eastAsia="仿宋_GB2312" w:cs="仿宋_GB2312"/>
                <w:sz w:val="28"/>
              </w:rPr>
              <w:t>7）投标人针对本项目制定健全的备品备件的供应管理办法、供应流程，应设置健全的备品备件质量管理制度、监督机制，以保障在响应的售后服务期限内本项目产品的正常使用。</w:t>
            </w:r>
          </w:p>
          <w:p w14:paraId="14609AD5">
            <w:pPr>
              <w:pStyle w:val="4"/>
              <w:ind w:firstLine="560"/>
              <w:jc w:val="both"/>
            </w:pPr>
            <w:r>
              <w:rPr>
                <w:rFonts w:ascii="仿宋_GB2312" w:hAnsi="仿宋_GB2312" w:eastAsia="仿宋_GB2312" w:cs="仿宋_GB2312"/>
                <w:sz w:val="28"/>
              </w:rPr>
              <w:t>8）售后服务管理要求：</w:t>
            </w:r>
          </w:p>
          <w:p w14:paraId="4B5EC4B0">
            <w:pPr>
              <w:pStyle w:val="4"/>
              <w:ind w:firstLine="560"/>
              <w:jc w:val="both"/>
            </w:pPr>
            <w:r>
              <w:rPr>
                <w:rFonts w:ascii="仿宋_GB2312" w:hAnsi="仿宋_GB2312" w:eastAsia="仿宋_GB2312" w:cs="仿宋_GB2312"/>
                <w:sz w:val="28"/>
              </w:rPr>
              <w:t>★①投标人应提供投入本项目的售后服务人员名单信息和售后服务电话，中标后及时交采购人备案，且不得随意更换售后服务人员，若投标人确实需要更换售后服务人员，应提前5个工作日向采购人书面报告，经采购人同意后方可更换。</w:t>
            </w:r>
          </w:p>
          <w:p w14:paraId="70B45B0D">
            <w:pPr>
              <w:pStyle w:val="4"/>
              <w:ind w:firstLine="560"/>
              <w:jc w:val="both"/>
            </w:pPr>
            <w:r>
              <w:rPr>
                <w:rFonts w:ascii="仿宋_GB2312" w:hAnsi="仿宋_GB2312" w:eastAsia="仿宋_GB2312" w:cs="仿宋_GB2312"/>
                <w:sz w:val="28"/>
              </w:rPr>
              <w:t>②投标人应明确划分售后服务人员岗位职责，将项目可能涉及的所有工作划分落实到具体岗位，制定健全的售后服务人员管理制度、团队互相协调、沟通等机制，确保项目按计划进行并达到预期目标。</w:t>
            </w:r>
          </w:p>
          <w:p w14:paraId="0ADD9D3F">
            <w:pPr>
              <w:pStyle w:val="4"/>
              <w:ind w:firstLine="560"/>
              <w:jc w:val="both"/>
            </w:pPr>
            <w:r>
              <w:rPr>
                <w:rFonts w:ascii="仿宋_GB2312" w:hAnsi="仿宋_GB2312" w:eastAsia="仿宋_GB2312" w:cs="仿宋_GB2312"/>
                <w:sz w:val="28"/>
              </w:rPr>
              <w:t>★9）中标人须在验收时对该批次的所供货物贴上服务溯源标签（厂家，安装日期，售后服务电话）</w:t>
            </w:r>
            <w:r>
              <w:rPr>
                <w:rFonts w:ascii="仿宋_GB2312" w:hAnsi="仿宋_GB2312" w:eastAsia="仿宋_GB2312" w:cs="仿宋_GB2312"/>
                <w:sz w:val="21"/>
              </w:rPr>
              <w:t>。</w:t>
            </w:r>
          </w:p>
          <w:p w14:paraId="3226E5A4">
            <w:pPr>
              <w:pStyle w:val="4"/>
              <w:ind w:firstLine="560"/>
              <w:jc w:val="both"/>
            </w:pPr>
            <w:r>
              <w:rPr>
                <w:rFonts w:ascii="仿宋_GB2312" w:hAnsi="仿宋_GB2312" w:eastAsia="仿宋_GB2312" w:cs="仿宋_GB2312"/>
                <w:sz w:val="28"/>
              </w:rPr>
              <w:t>★10）报价要求：投标人所报价格应是完成本项目所有内容的价格，包含产品、运输、安装、调试、售后、培训、备品备件等所有费用，采购人不再单独支付任何费用。</w:t>
            </w:r>
          </w:p>
          <w:p w14:paraId="04F8CF4D">
            <w:pPr>
              <w:pStyle w:val="4"/>
              <w:ind w:firstLine="560"/>
              <w:jc w:val="both"/>
            </w:pPr>
            <w:r>
              <w:rPr>
                <w:rFonts w:ascii="仿宋_GB2312" w:hAnsi="仿宋_GB2312" w:eastAsia="仿宋_GB2312" w:cs="仿宋_GB2312"/>
                <w:sz w:val="28"/>
              </w:rPr>
              <w:t>★11）中标人可以提供接采购人HIS系统的接口数据服务及必要的技术支持，但报价不包含第三方接口费用。同时不得向采购人或第三方收取任何接口开发、调试、联调测试等费用。</w:t>
            </w:r>
          </w:p>
          <w:p w14:paraId="46BAA848">
            <w:pPr>
              <w:pStyle w:val="4"/>
              <w:jc w:val="both"/>
            </w:pPr>
            <w:r>
              <w:rPr>
                <w:rFonts w:ascii="仿宋_GB2312" w:hAnsi="仿宋_GB2312" w:eastAsia="仿宋_GB2312" w:cs="仿宋_GB2312"/>
                <w:sz w:val="28"/>
              </w:rPr>
              <w:t>★12）投标人需提供生产日期为6个月内（以安装时间为准，安装时间指本项目投标产品在设备安装地点开始安装的时间）的货物。</w:t>
            </w:r>
          </w:p>
        </w:tc>
      </w:tr>
    </w:tbl>
    <w:p w14:paraId="513F0FE7">
      <w:pPr>
        <w:pStyle w:val="4"/>
        <w:jc w:val="left"/>
        <w:outlineLvl w:val="3"/>
      </w:pPr>
      <w:r>
        <w:rPr>
          <w:rFonts w:ascii="仿宋_GB2312" w:hAnsi="仿宋_GB2312" w:eastAsia="仿宋_GB2312" w:cs="仿宋_GB2312"/>
          <w:b/>
          <w:sz w:val="24"/>
        </w:rPr>
        <w:t>3.3.2.商务要求</w:t>
      </w:r>
    </w:p>
    <w:p w14:paraId="7D9ECA3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966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137AB">
            <w:pPr>
              <w:pStyle w:val="4"/>
              <w:jc w:val="center"/>
            </w:pPr>
            <w:r>
              <w:rPr>
                <w:rFonts w:ascii="仿宋_GB2312" w:hAnsi="仿宋_GB2312" w:eastAsia="仿宋_GB2312" w:cs="仿宋_GB2312"/>
              </w:rPr>
              <w:t>序号</w:t>
            </w:r>
          </w:p>
        </w:tc>
        <w:tc>
          <w:tcPr>
            <w:tcW w:w="581" w:type="dxa"/>
          </w:tcPr>
          <w:p w14:paraId="596D8F78">
            <w:pPr>
              <w:pStyle w:val="4"/>
              <w:jc w:val="center"/>
            </w:pPr>
            <w:r>
              <w:rPr>
                <w:rFonts w:ascii="仿宋_GB2312" w:hAnsi="仿宋_GB2312" w:eastAsia="仿宋_GB2312" w:cs="仿宋_GB2312"/>
              </w:rPr>
              <w:t>符号标识</w:t>
            </w:r>
          </w:p>
        </w:tc>
        <w:tc>
          <w:tcPr>
            <w:tcW w:w="1495" w:type="dxa"/>
          </w:tcPr>
          <w:p w14:paraId="2A15474D">
            <w:pPr>
              <w:pStyle w:val="4"/>
              <w:jc w:val="center"/>
            </w:pPr>
            <w:r>
              <w:rPr>
                <w:rFonts w:ascii="仿宋_GB2312" w:hAnsi="仿宋_GB2312" w:eastAsia="仿宋_GB2312" w:cs="仿宋_GB2312"/>
              </w:rPr>
              <w:t>商务要求名称</w:t>
            </w:r>
          </w:p>
        </w:tc>
        <w:tc>
          <w:tcPr>
            <w:tcW w:w="5814" w:type="dxa"/>
          </w:tcPr>
          <w:p w14:paraId="6ED1CCFA">
            <w:pPr>
              <w:pStyle w:val="4"/>
              <w:jc w:val="center"/>
            </w:pPr>
            <w:r>
              <w:rPr>
                <w:rFonts w:ascii="仿宋_GB2312" w:hAnsi="仿宋_GB2312" w:eastAsia="仿宋_GB2312" w:cs="仿宋_GB2312"/>
              </w:rPr>
              <w:t>商务要求内容</w:t>
            </w:r>
          </w:p>
        </w:tc>
      </w:tr>
      <w:tr w14:paraId="37510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481BCB">
            <w:pPr>
              <w:pStyle w:val="4"/>
              <w:jc w:val="center"/>
            </w:pPr>
            <w:r>
              <w:rPr>
                <w:rFonts w:ascii="仿宋_GB2312" w:hAnsi="仿宋_GB2312" w:eastAsia="仿宋_GB2312" w:cs="仿宋_GB2312"/>
              </w:rPr>
              <w:t>1</w:t>
            </w:r>
          </w:p>
        </w:tc>
        <w:tc>
          <w:tcPr>
            <w:tcW w:w="581" w:type="dxa"/>
          </w:tcPr>
          <w:p w14:paraId="11076437">
            <w:pPr>
              <w:pStyle w:val="4"/>
              <w:jc w:val="center"/>
            </w:pPr>
            <w:r>
              <w:rPr>
                <w:rFonts w:ascii="仿宋_GB2312" w:hAnsi="仿宋_GB2312" w:eastAsia="仿宋_GB2312" w:cs="仿宋_GB2312"/>
              </w:rPr>
              <w:t>★</w:t>
            </w:r>
          </w:p>
        </w:tc>
        <w:tc>
          <w:tcPr>
            <w:tcW w:w="1495" w:type="dxa"/>
          </w:tcPr>
          <w:p w14:paraId="0B3FB357">
            <w:pPr>
              <w:pStyle w:val="4"/>
              <w:jc w:val="left"/>
            </w:pPr>
            <w:r>
              <w:rPr>
                <w:rFonts w:ascii="仿宋_GB2312" w:hAnsi="仿宋_GB2312" w:eastAsia="仿宋_GB2312" w:cs="仿宋_GB2312"/>
              </w:rPr>
              <w:t>交货时间</w:t>
            </w:r>
          </w:p>
        </w:tc>
        <w:tc>
          <w:tcPr>
            <w:tcW w:w="5814" w:type="dxa"/>
          </w:tcPr>
          <w:p w14:paraId="5AC28ED0">
            <w:pPr>
              <w:pStyle w:val="4"/>
              <w:jc w:val="left"/>
            </w:pPr>
            <w:r>
              <w:rPr>
                <w:rFonts w:ascii="仿宋_GB2312" w:hAnsi="仿宋_GB2312" w:eastAsia="仿宋_GB2312" w:cs="仿宋_GB2312"/>
              </w:rPr>
              <w:t>签订合同后接到采购人通知之日起15个日历日内交货。</w:t>
            </w:r>
          </w:p>
        </w:tc>
      </w:tr>
      <w:tr w14:paraId="6887F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BAF6B">
            <w:pPr>
              <w:pStyle w:val="4"/>
              <w:jc w:val="center"/>
            </w:pPr>
            <w:r>
              <w:rPr>
                <w:rFonts w:ascii="仿宋_GB2312" w:hAnsi="仿宋_GB2312" w:eastAsia="仿宋_GB2312" w:cs="仿宋_GB2312"/>
              </w:rPr>
              <w:t>2</w:t>
            </w:r>
          </w:p>
        </w:tc>
        <w:tc>
          <w:tcPr>
            <w:tcW w:w="581" w:type="dxa"/>
          </w:tcPr>
          <w:p w14:paraId="53186B06">
            <w:pPr>
              <w:pStyle w:val="4"/>
              <w:jc w:val="center"/>
            </w:pPr>
            <w:r>
              <w:rPr>
                <w:rFonts w:ascii="仿宋_GB2312" w:hAnsi="仿宋_GB2312" w:eastAsia="仿宋_GB2312" w:cs="仿宋_GB2312"/>
              </w:rPr>
              <w:t>★</w:t>
            </w:r>
          </w:p>
        </w:tc>
        <w:tc>
          <w:tcPr>
            <w:tcW w:w="1495" w:type="dxa"/>
          </w:tcPr>
          <w:p w14:paraId="3BD93ECB">
            <w:pPr>
              <w:pStyle w:val="4"/>
              <w:jc w:val="left"/>
            </w:pPr>
            <w:r>
              <w:rPr>
                <w:rFonts w:ascii="仿宋_GB2312" w:hAnsi="仿宋_GB2312" w:eastAsia="仿宋_GB2312" w:cs="仿宋_GB2312"/>
              </w:rPr>
              <w:t>交货地点</w:t>
            </w:r>
          </w:p>
        </w:tc>
        <w:tc>
          <w:tcPr>
            <w:tcW w:w="5814" w:type="dxa"/>
          </w:tcPr>
          <w:p w14:paraId="2160302A">
            <w:pPr>
              <w:pStyle w:val="4"/>
              <w:jc w:val="left"/>
            </w:pPr>
            <w:r>
              <w:rPr>
                <w:rFonts w:ascii="仿宋_GB2312" w:hAnsi="仿宋_GB2312" w:eastAsia="仿宋_GB2312" w:cs="仿宋_GB2312"/>
              </w:rPr>
              <w:t>自贡市第一人民医院。</w:t>
            </w:r>
          </w:p>
        </w:tc>
      </w:tr>
      <w:tr w14:paraId="3AF8E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527AB9">
            <w:pPr>
              <w:pStyle w:val="4"/>
              <w:jc w:val="center"/>
            </w:pPr>
            <w:r>
              <w:rPr>
                <w:rFonts w:ascii="仿宋_GB2312" w:hAnsi="仿宋_GB2312" w:eastAsia="仿宋_GB2312" w:cs="仿宋_GB2312"/>
              </w:rPr>
              <w:t>3</w:t>
            </w:r>
          </w:p>
        </w:tc>
        <w:tc>
          <w:tcPr>
            <w:tcW w:w="581" w:type="dxa"/>
          </w:tcPr>
          <w:p w14:paraId="6E0D7413">
            <w:pPr>
              <w:pStyle w:val="4"/>
              <w:jc w:val="center"/>
            </w:pPr>
            <w:r>
              <w:rPr>
                <w:rFonts w:ascii="仿宋_GB2312" w:hAnsi="仿宋_GB2312" w:eastAsia="仿宋_GB2312" w:cs="仿宋_GB2312"/>
              </w:rPr>
              <w:t>★</w:t>
            </w:r>
          </w:p>
        </w:tc>
        <w:tc>
          <w:tcPr>
            <w:tcW w:w="1495" w:type="dxa"/>
          </w:tcPr>
          <w:p w14:paraId="5AC21644">
            <w:pPr>
              <w:pStyle w:val="4"/>
              <w:jc w:val="left"/>
            </w:pPr>
            <w:r>
              <w:rPr>
                <w:rFonts w:ascii="仿宋_GB2312" w:hAnsi="仿宋_GB2312" w:eastAsia="仿宋_GB2312" w:cs="仿宋_GB2312"/>
              </w:rPr>
              <w:t>支付方式</w:t>
            </w:r>
          </w:p>
        </w:tc>
        <w:tc>
          <w:tcPr>
            <w:tcW w:w="5814" w:type="dxa"/>
          </w:tcPr>
          <w:p w14:paraId="27861496">
            <w:pPr>
              <w:pStyle w:val="4"/>
              <w:jc w:val="left"/>
            </w:pPr>
            <w:r>
              <w:rPr>
                <w:rFonts w:ascii="仿宋_GB2312" w:hAnsi="仿宋_GB2312" w:eastAsia="仿宋_GB2312" w:cs="仿宋_GB2312"/>
              </w:rPr>
              <w:t>分期付款</w:t>
            </w:r>
          </w:p>
        </w:tc>
      </w:tr>
      <w:tr w14:paraId="0CE3A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61CC32">
            <w:pPr>
              <w:pStyle w:val="4"/>
              <w:jc w:val="center"/>
            </w:pPr>
            <w:r>
              <w:rPr>
                <w:rFonts w:ascii="仿宋_GB2312" w:hAnsi="仿宋_GB2312" w:eastAsia="仿宋_GB2312" w:cs="仿宋_GB2312"/>
              </w:rPr>
              <w:t>4</w:t>
            </w:r>
          </w:p>
        </w:tc>
        <w:tc>
          <w:tcPr>
            <w:tcW w:w="581" w:type="dxa"/>
          </w:tcPr>
          <w:p w14:paraId="6D756BDF">
            <w:pPr>
              <w:pStyle w:val="4"/>
              <w:jc w:val="center"/>
            </w:pPr>
            <w:r>
              <w:rPr>
                <w:rFonts w:ascii="仿宋_GB2312" w:hAnsi="仿宋_GB2312" w:eastAsia="仿宋_GB2312" w:cs="仿宋_GB2312"/>
              </w:rPr>
              <w:t>★</w:t>
            </w:r>
          </w:p>
        </w:tc>
        <w:tc>
          <w:tcPr>
            <w:tcW w:w="1495" w:type="dxa"/>
          </w:tcPr>
          <w:p w14:paraId="2619E6DB">
            <w:pPr>
              <w:pStyle w:val="4"/>
              <w:jc w:val="left"/>
            </w:pPr>
            <w:r>
              <w:rPr>
                <w:rFonts w:ascii="仿宋_GB2312" w:hAnsi="仿宋_GB2312" w:eastAsia="仿宋_GB2312" w:cs="仿宋_GB2312"/>
              </w:rPr>
              <w:t>付款进度安排</w:t>
            </w:r>
          </w:p>
        </w:tc>
        <w:tc>
          <w:tcPr>
            <w:tcW w:w="5814" w:type="dxa"/>
          </w:tcPr>
          <w:p w14:paraId="7B306EF8">
            <w:pPr>
              <w:pStyle w:val="4"/>
              <w:jc w:val="left"/>
            </w:pPr>
            <w:r>
              <w:rPr>
                <w:rFonts w:ascii="仿宋_GB2312" w:hAnsi="仿宋_GB2312" w:eastAsia="仿宋_GB2312" w:cs="仿宋_GB2312"/>
              </w:rPr>
              <w:t>1、合同签订之日起，达到付款条件起14日内，支付合同总金额的40.00%</w:t>
            </w:r>
          </w:p>
          <w:p w14:paraId="274055A0">
            <w:pPr>
              <w:pStyle w:val="4"/>
              <w:jc w:val="left"/>
            </w:pPr>
            <w:r>
              <w:rPr>
                <w:rFonts w:ascii="仿宋_GB2312" w:hAnsi="仿宋_GB2312" w:eastAsia="仿宋_GB2312" w:cs="仿宋_GB2312"/>
              </w:rPr>
              <w:t>2、货到验收合格后，采购人自收到投标人开具的合格发票之日起，达到付款条件起60日内，支付合同总金额的60.00%</w:t>
            </w:r>
          </w:p>
        </w:tc>
      </w:tr>
      <w:tr w14:paraId="73DAC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24BBB">
            <w:pPr>
              <w:pStyle w:val="4"/>
              <w:jc w:val="center"/>
            </w:pPr>
            <w:r>
              <w:rPr>
                <w:rFonts w:ascii="仿宋_GB2312" w:hAnsi="仿宋_GB2312" w:eastAsia="仿宋_GB2312" w:cs="仿宋_GB2312"/>
              </w:rPr>
              <w:t>5</w:t>
            </w:r>
          </w:p>
        </w:tc>
        <w:tc>
          <w:tcPr>
            <w:tcW w:w="581" w:type="dxa"/>
          </w:tcPr>
          <w:p w14:paraId="36760623">
            <w:pPr>
              <w:pStyle w:val="4"/>
              <w:jc w:val="center"/>
            </w:pPr>
            <w:r>
              <w:rPr>
                <w:rFonts w:ascii="仿宋_GB2312" w:hAnsi="仿宋_GB2312" w:eastAsia="仿宋_GB2312" w:cs="仿宋_GB2312"/>
              </w:rPr>
              <w:t>★</w:t>
            </w:r>
          </w:p>
        </w:tc>
        <w:tc>
          <w:tcPr>
            <w:tcW w:w="1495" w:type="dxa"/>
          </w:tcPr>
          <w:p w14:paraId="16D72D3B">
            <w:pPr>
              <w:pStyle w:val="4"/>
              <w:jc w:val="left"/>
            </w:pPr>
            <w:r>
              <w:rPr>
                <w:rFonts w:ascii="仿宋_GB2312" w:hAnsi="仿宋_GB2312" w:eastAsia="仿宋_GB2312" w:cs="仿宋_GB2312"/>
              </w:rPr>
              <w:t>验收、交付标准和方法</w:t>
            </w:r>
          </w:p>
        </w:tc>
        <w:tc>
          <w:tcPr>
            <w:tcW w:w="5814" w:type="dxa"/>
          </w:tcPr>
          <w:p w14:paraId="3A81456F">
            <w:pPr>
              <w:pStyle w:val="4"/>
              <w:jc w:val="left"/>
            </w:pPr>
            <w:r>
              <w:rPr>
                <w:rFonts w:ascii="仿宋_GB2312" w:hAnsi="仿宋_GB2312" w:eastAsia="仿宋_GB2312" w:cs="仿宋_GB2312"/>
              </w:rPr>
              <w:t>按照政府采购相关法律法规以及《财政部关于进一步加强政府采购需求和履约验收管理的指导意见》（财库[2016]205号）、《自贡市政府采购履约验收管理办法》的规定、招标文件的质量要求和技术指标、中标人的投标文件及承诺、国家有关部门批准的技术标准、采购人与中标人签订的合同，共同现场验收。同时提供相关证明文件及操作手册，否则视为验收不合格，采购人有权单方面解除合同外，中标人立即返回支付的合同金额并按支付合同金额的20%支付违约金。验收时间：本项目达到采购合同约定的履约验收条件且中标人提出验收申请之日起11日组织验收。</w:t>
            </w:r>
          </w:p>
        </w:tc>
      </w:tr>
      <w:tr w14:paraId="19C04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59870E">
            <w:pPr>
              <w:pStyle w:val="4"/>
              <w:jc w:val="center"/>
            </w:pPr>
            <w:r>
              <w:rPr>
                <w:rFonts w:ascii="仿宋_GB2312" w:hAnsi="仿宋_GB2312" w:eastAsia="仿宋_GB2312" w:cs="仿宋_GB2312"/>
              </w:rPr>
              <w:t>6</w:t>
            </w:r>
          </w:p>
        </w:tc>
        <w:tc>
          <w:tcPr>
            <w:tcW w:w="581" w:type="dxa"/>
          </w:tcPr>
          <w:p w14:paraId="13A2A47C">
            <w:pPr>
              <w:pStyle w:val="4"/>
              <w:jc w:val="center"/>
            </w:pPr>
            <w:r>
              <w:rPr>
                <w:rFonts w:ascii="仿宋_GB2312" w:hAnsi="仿宋_GB2312" w:eastAsia="仿宋_GB2312" w:cs="仿宋_GB2312"/>
              </w:rPr>
              <w:t>★</w:t>
            </w:r>
          </w:p>
        </w:tc>
        <w:tc>
          <w:tcPr>
            <w:tcW w:w="1495" w:type="dxa"/>
          </w:tcPr>
          <w:p w14:paraId="57544701">
            <w:pPr>
              <w:pStyle w:val="4"/>
              <w:jc w:val="left"/>
            </w:pPr>
            <w:r>
              <w:rPr>
                <w:rFonts w:ascii="仿宋_GB2312" w:hAnsi="仿宋_GB2312" w:eastAsia="仿宋_GB2312" w:cs="仿宋_GB2312"/>
              </w:rPr>
              <w:t>质量保修范围和保修期</w:t>
            </w:r>
          </w:p>
        </w:tc>
        <w:tc>
          <w:tcPr>
            <w:tcW w:w="5814" w:type="dxa"/>
          </w:tcPr>
          <w:p w14:paraId="21157247">
            <w:pPr>
              <w:pStyle w:val="4"/>
              <w:jc w:val="left"/>
            </w:pPr>
            <w:r>
              <w:rPr>
                <w:rFonts w:ascii="仿宋_GB2312" w:hAnsi="仿宋_GB2312" w:eastAsia="仿宋_GB2312" w:cs="仿宋_GB2312"/>
              </w:rPr>
              <w:t>1）本项目采购的所有产品质保：≥3年（全保），电容终身质保，包含维修及配件更换、维保报告、设备检查等所有工作。投标人质保期内提供与本次所投产品同品牌的全保维保服务。如果采购人在质保期外选择与本次投标产品同品牌的维保服务（全保），则质保期外提供与本次投标产品同品牌的维保服务（全保）的维保费用≤0.8万元/年/台，并且投标人须在投标（响应）时明确每年每台设备质保期外提供与本次投标产品同品牌的维保服务（全保）的维保费用，若投标人未在投标（响应）时明确具体费用或者明确的费用超过0.8万元/年/台，则做无效处理。如有配套软件需提供终身升级。（中标人须在中标后签订合同前向采购人提供加盖与本次投标产品同品牌全保服务的厂家鲜章的承诺函。） 2）中标人拟派具有专业技术技能的安装人员对设备进行安装调试，直至产品能够保证正常采购人使用为止。 3）中标人应组织对采购人拟派的人员进行培训，培训内容含：产品性能、产品基本操作、日常维护及注意事项、报修流程说明及保修期内、保修期外更换配件等内容。直至采购人拟派的人员熟悉以上内容为止。 4）中标人在中标后应建立完善的售后服务体系和针对本项目具体的售后服务人员配置包括远程支撑人员或本地化服务人员。 5）产品维修流程：中标人应设置售后服务电话，设备故障接到报修通知后，应在30分钟内响应，8小时内达到现场，7日内排除故障，保证设备正常运行。 6）备品备件：若故障超过7个日历日无法修复，中标人应在5个工作日内按采购人实际需求提供同型号或符合科室需求的备用产品。 7）中标后签订合同前，中标人应当针对此项目提供原厂出具的售后承诺函（列明项目编号、采购人名称</w:t>
            </w:r>
            <w:bookmarkStart w:id="0" w:name="_GoBack"/>
            <w:bookmarkEnd w:id="0"/>
            <w:r>
              <w:rPr>
                <w:rFonts w:ascii="仿宋_GB2312" w:hAnsi="仿宋_GB2312" w:eastAsia="仿宋_GB2312" w:cs="仿宋_GB2312"/>
              </w:rPr>
              <w:t>、设备信息，质保期限符合招标文件的要求并加盖厂家鲜章），响应时须提供承诺函并加盖投标人鲜章，如中标后中标人无法提供原厂出具的售后承诺函，则属于虚假响应，采购人有权拒绝签订合同，并上报同级财政部门。</w:t>
            </w:r>
          </w:p>
        </w:tc>
      </w:tr>
      <w:tr w14:paraId="028F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351C54">
            <w:pPr>
              <w:pStyle w:val="4"/>
              <w:jc w:val="center"/>
            </w:pPr>
            <w:r>
              <w:rPr>
                <w:rFonts w:ascii="仿宋_GB2312" w:hAnsi="仿宋_GB2312" w:eastAsia="仿宋_GB2312" w:cs="仿宋_GB2312"/>
              </w:rPr>
              <w:t>7</w:t>
            </w:r>
          </w:p>
        </w:tc>
        <w:tc>
          <w:tcPr>
            <w:tcW w:w="581" w:type="dxa"/>
          </w:tcPr>
          <w:p w14:paraId="1F05CA0E">
            <w:pPr>
              <w:pStyle w:val="4"/>
              <w:jc w:val="center"/>
            </w:pPr>
            <w:r>
              <w:rPr>
                <w:rFonts w:ascii="仿宋_GB2312" w:hAnsi="仿宋_GB2312" w:eastAsia="仿宋_GB2312" w:cs="仿宋_GB2312"/>
              </w:rPr>
              <w:t>★</w:t>
            </w:r>
          </w:p>
        </w:tc>
        <w:tc>
          <w:tcPr>
            <w:tcW w:w="1495" w:type="dxa"/>
          </w:tcPr>
          <w:p w14:paraId="220AC27F">
            <w:pPr>
              <w:pStyle w:val="4"/>
              <w:jc w:val="left"/>
            </w:pPr>
            <w:r>
              <w:rPr>
                <w:rFonts w:ascii="仿宋_GB2312" w:hAnsi="仿宋_GB2312" w:eastAsia="仿宋_GB2312" w:cs="仿宋_GB2312"/>
              </w:rPr>
              <w:t>违约责任与解决争议的方法</w:t>
            </w:r>
          </w:p>
        </w:tc>
        <w:tc>
          <w:tcPr>
            <w:tcW w:w="5814" w:type="dxa"/>
          </w:tcPr>
          <w:p w14:paraId="63C8702A">
            <w:pPr>
              <w:pStyle w:val="4"/>
              <w:jc w:val="left"/>
            </w:pPr>
            <w:r>
              <w:rPr>
                <w:rFonts w:ascii="仿宋_GB2312" w:hAnsi="仿宋_GB2312" w:eastAsia="仿宋_GB2312" w:cs="仿宋_GB2312"/>
              </w:rPr>
              <w:t>★①双方必须遵守合同中的各项规定，保证合同的正常履行。如因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②争议解决方法：中标人和采购人双方根据本合同原则，友好协商解决；协商无效的，可向自贡仲裁委员会申请仲裁。</w:t>
            </w:r>
          </w:p>
        </w:tc>
      </w:tr>
      <w:tr w14:paraId="143B8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F7D5EC">
            <w:pPr>
              <w:pStyle w:val="4"/>
              <w:jc w:val="center"/>
            </w:pPr>
            <w:r>
              <w:rPr>
                <w:rFonts w:ascii="仿宋_GB2312" w:hAnsi="仿宋_GB2312" w:eastAsia="仿宋_GB2312" w:cs="仿宋_GB2312"/>
              </w:rPr>
              <w:t>8</w:t>
            </w:r>
          </w:p>
        </w:tc>
        <w:tc>
          <w:tcPr>
            <w:tcW w:w="581" w:type="dxa"/>
          </w:tcPr>
          <w:p w14:paraId="5AECA2DC">
            <w:pPr>
              <w:pStyle w:val="4"/>
              <w:jc w:val="center"/>
            </w:pPr>
            <w:r>
              <w:rPr>
                <w:rFonts w:ascii="仿宋_GB2312" w:hAnsi="仿宋_GB2312" w:eastAsia="仿宋_GB2312" w:cs="仿宋_GB2312"/>
              </w:rPr>
              <w:t>★</w:t>
            </w:r>
          </w:p>
        </w:tc>
        <w:tc>
          <w:tcPr>
            <w:tcW w:w="1495" w:type="dxa"/>
          </w:tcPr>
          <w:p w14:paraId="3B20864F">
            <w:pPr>
              <w:pStyle w:val="4"/>
              <w:jc w:val="left"/>
            </w:pPr>
            <w:r>
              <w:rPr>
                <w:rFonts w:ascii="仿宋_GB2312" w:hAnsi="仿宋_GB2312" w:eastAsia="仿宋_GB2312" w:cs="仿宋_GB2312"/>
              </w:rPr>
              <w:t>包装方式及运输</w:t>
            </w:r>
          </w:p>
        </w:tc>
        <w:tc>
          <w:tcPr>
            <w:tcW w:w="5814" w:type="dxa"/>
          </w:tcPr>
          <w:p w14:paraId="07A825E7">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DB08DFF">
      <w:pPr>
        <w:pStyle w:val="4"/>
        <w:jc w:val="left"/>
        <w:outlineLvl w:val="2"/>
      </w:pPr>
      <w:r>
        <w:rPr>
          <w:rFonts w:ascii="仿宋_GB2312" w:hAnsi="仿宋_GB2312" w:eastAsia="仿宋_GB2312" w:cs="仿宋_GB2312"/>
          <w:b/>
          <w:sz w:val="28"/>
        </w:rPr>
        <w:t>3.4.其他要求</w:t>
      </w:r>
    </w:p>
    <w:p w14:paraId="551054E6">
      <w:pPr>
        <w:pStyle w:val="4"/>
        <w:jc w:val="left"/>
      </w:pPr>
      <w:r>
        <w:rPr>
          <w:rFonts w:ascii="仿宋_GB2312" w:hAnsi="仿宋_GB2312" w:eastAsia="仿宋_GB2312" w:cs="仿宋_GB2312"/>
        </w:rPr>
        <w:t>无</w:t>
      </w:r>
    </w:p>
    <w:p w14:paraId="697B5666">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6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dcterms:modified xsi:type="dcterms:W3CDTF">2026-05-11T07:31:28Z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eyJoZGlkIjoiNmY5N2QxZThhMWI5MjUyYmU1YWYwODBkYTJiOWM4NmEiLCJ1c2VySWQiOiI3Njg2MzM3NDYifQ==</vt:lpwstr>
  </property>
  <property fmtid="{D5CDD505-2E9C-101B-9397-08002B2CF9AE}" pid="4" name="ICV">
    <vt:lpwstr>6532390F713147588F7765DDCFACF074_12</vt:lpwstr>
  </property>
</Properties>
</file>