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7033E">
      <w:pPr>
        <w:jc w:val="center"/>
        <w:rPr>
          <w:rFonts w:hint="eastAsia" w:ascii="仿宋_GB2312" w:hAnsi="仿宋_GB2312" w:eastAsia="仿宋_GB2312" w:cs="仿宋_GB2312"/>
          <w:b/>
          <w:sz w:val="28"/>
          <w:lang w:eastAsia="zh-CN"/>
        </w:rPr>
      </w:pPr>
      <w:r>
        <w:rPr>
          <w:rFonts w:ascii="仿宋_GB2312" w:hAnsi="仿宋_GB2312" w:eastAsia="仿宋_GB2312" w:cs="仿宋_GB2312"/>
          <w:b/>
          <w:sz w:val="28"/>
        </w:rPr>
        <w:t>学生宿舍设备购置-铁床</w:t>
      </w:r>
      <w:r>
        <w:rPr>
          <w:rFonts w:hint="eastAsia" w:ascii="仿宋_GB2312" w:hAnsi="仿宋_GB2312" w:eastAsia="仿宋_GB2312" w:cs="仿宋_GB2312"/>
          <w:b/>
          <w:sz w:val="28"/>
          <w:lang w:eastAsia="zh-CN"/>
        </w:rPr>
        <w:t>采购需求</w:t>
      </w:r>
    </w:p>
    <w:p w14:paraId="71FE76DD">
      <w:pPr>
        <w:pStyle w:val="7"/>
        <w:jc w:val="center"/>
        <w:outlineLvl w:val="1"/>
      </w:pPr>
      <w:r>
        <w:rPr>
          <w:rFonts w:ascii="仿宋_GB2312" w:hAnsi="仿宋_GB2312" w:eastAsia="仿宋_GB2312" w:cs="仿宋_GB2312"/>
          <w:b/>
          <w:sz w:val="36"/>
        </w:rPr>
        <w:t>第二章 供应商须知</w:t>
      </w:r>
    </w:p>
    <w:p w14:paraId="616C7F02">
      <w:pPr>
        <w:pStyle w:val="7"/>
        <w:jc w:val="left"/>
        <w:outlineLvl w:val="2"/>
      </w:pPr>
      <w:r>
        <w:rPr>
          <w:rFonts w:ascii="仿宋_GB2312" w:hAnsi="仿宋_GB2312" w:eastAsia="仿宋_GB2312" w:cs="仿宋_GB2312"/>
          <w:b/>
          <w:sz w:val="28"/>
        </w:rPr>
        <w:t>2.1.供应商须知附表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52A1F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5333290">
            <w:pPr>
              <w:pStyle w:val="7"/>
              <w:jc w:val="left"/>
            </w:pPr>
            <w:r>
              <w:rPr>
                <w:rFonts w:ascii="仿宋_GB2312" w:hAnsi="仿宋_GB2312" w:eastAsia="仿宋_GB2312" w:cs="仿宋_GB2312"/>
              </w:rPr>
              <w:t>序号</w:t>
            </w:r>
          </w:p>
        </w:tc>
        <w:tc>
          <w:tcPr>
            <w:tcW w:w="2252" w:type="dxa"/>
          </w:tcPr>
          <w:p w14:paraId="67E42C15">
            <w:pPr>
              <w:pStyle w:val="7"/>
              <w:jc w:val="left"/>
            </w:pPr>
            <w:r>
              <w:rPr>
                <w:rFonts w:ascii="仿宋_GB2312" w:hAnsi="仿宋_GB2312" w:eastAsia="仿宋_GB2312" w:cs="仿宋_GB2312"/>
              </w:rPr>
              <w:t>应知事项</w:t>
            </w:r>
          </w:p>
        </w:tc>
        <w:tc>
          <w:tcPr>
            <w:tcW w:w="5004" w:type="dxa"/>
          </w:tcPr>
          <w:p w14:paraId="72D200E5">
            <w:pPr>
              <w:pStyle w:val="7"/>
              <w:jc w:val="left"/>
            </w:pPr>
            <w:r>
              <w:rPr>
                <w:rFonts w:ascii="仿宋_GB2312" w:hAnsi="仿宋_GB2312" w:eastAsia="仿宋_GB2312" w:cs="仿宋_GB2312"/>
              </w:rPr>
              <w:t>说明和要求</w:t>
            </w:r>
          </w:p>
        </w:tc>
      </w:tr>
      <w:tr w14:paraId="3EF1C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C3A06D">
            <w:pPr>
              <w:pStyle w:val="7"/>
              <w:jc w:val="left"/>
            </w:pPr>
            <w:r>
              <w:rPr>
                <w:rFonts w:ascii="仿宋_GB2312" w:hAnsi="仿宋_GB2312" w:eastAsia="仿宋_GB2312" w:cs="仿宋_GB2312"/>
              </w:rPr>
              <w:t>1</w:t>
            </w:r>
          </w:p>
        </w:tc>
        <w:tc>
          <w:tcPr>
            <w:tcW w:w="2252" w:type="dxa"/>
          </w:tcPr>
          <w:p w14:paraId="1BF3380B">
            <w:pPr>
              <w:pStyle w:val="7"/>
              <w:jc w:val="left"/>
            </w:pPr>
            <w:r>
              <w:rPr>
                <w:rFonts w:ascii="仿宋_GB2312" w:hAnsi="仿宋_GB2312" w:eastAsia="仿宋_GB2312" w:cs="仿宋_GB2312"/>
              </w:rPr>
              <w:t>采购预算及最高限价★</w:t>
            </w:r>
          </w:p>
        </w:tc>
        <w:tc>
          <w:tcPr>
            <w:tcW w:w="5004" w:type="dxa"/>
          </w:tcPr>
          <w:p w14:paraId="28A93364">
            <w:pPr>
              <w:pStyle w:val="7"/>
              <w:jc w:val="left"/>
            </w:pPr>
            <w:r>
              <w:rPr>
                <w:rFonts w:ascii="仿宋_GB2312" w:hAnsi="仿宋_GB2312" w:eastAsia="仿宋_GB2312" w:cs="仿宋_GB2312"/>
              </w:rPr>
              <w:t>本项目各包采购预算金额如下：</w:t>
            </w:r>
          </w:p>
          <w:p w14:paraId="10FD69CC">
            <w:pPr>
              <w:pStyle w:val="7"/>
              <w:jc w:val="left"/>
            </w:pPr>
            <w:r>
              <w:rPr>
                <w:rFonts w:ascii="仿宋_GB2312" w:hAnsi="仿宋_GB2312" w:eastAsia="仿宋_GB2312" w:cs="仿宋_GB2312"/>
              </w:rPr>
              <w:t>采购包1：800,000.00元</w:t>
            </w:r>
          </w:p>
          <w:p w14:paraId="39164A2F">
            <w:pPr>
              <w:pStyle w:val="7"/>
              <w:jc w:val="left"/>
            </w:pPr>
            <w:r>
              <w:rPr>
                <w:rFonts w:ascii="仿宋_GB2312" w:hAnsi="仿宋_GB2312" w:eastAsia="仿宋_GB2312" w:cs="仿宋_GB2312"/>
              </w:rPr>
              <w:t xml:space="preserve"> 供应商报价不得超过谈判文件中规定的预算金额，采购人可以在采购预算内合理设定最高限价，供应商报价不得超过最高限价，最高限价详见第三章。</w:t>
            </w:r>
          </w:p>
        </w:tc>
      </w:tr>
      <w:tr w14:paraId="19E02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AFFBB3">
            <w:pPr>
              <w:pStyle w:val="7"/>
              <w:jc w:val="left"/>
            </w:pPr>
            <w:r>
              <w:rPr>
                <w:rFonts w:ascii="仿宋_GB2312" w:hAnsi="仿宋_GB2312" w:eastAsia="仿宋_GB2312" w:cs="仿宋_GB2312"/>
              </w:rPr>
              <w:t>2</w:t>
            </w:r>
          </w:p>
        </w:tc>
        <w:tc>
          <w:tcPr>
            <w:tcW w:w="2252" w:type="dxa"/>
          </w:tcPr>
          <w:p w14:paraId="0B8A8BDD">
            <w:pPr>
              <w:pStyle w:val="7"/>
              <w:jc w:val="left"/>
            </w:pPr>
            <w:r>
              <w:rPr>
                <w:rFonts w:ascii="仿宋_GB2312" w:hAnsi="仿宋_GB2312" w:eastAsia="仿宋_GB2312" w:cs="仿宋_GB2312"/>
              </w:rPr>
              <w:t>评审方法</w:t>
            </w:r>
          </w:p>
        </w:tc>
        <w:tc>
          <w:tcPr>
            <w:tcW w:w="5004" w:type="dxa"/>
          </w:tcPr>
          <w:p w14:paraId="7FEEBEFF">
            <w:pPr>
              <w:pStyle w:val="7"/>
              <w:jc w:val="left"/>
            </w:pPr>
            <w:r>
              <w:rPr>
                <w:rFonts w:ascii="仿宋_GB2312" w:hAnsi="仿宋_GB2312" w:eastAsia="仿宋_GB2312" w:cs="仿宋_GB2312"/>
              </w:rPr>
              <w:t>最低评标价法(具体规则详见第五章)</w:t>
            </w:r>
          </w:p>
        </w:tc>
      </w:tr>
      <w:tr w14:paraId="6E67E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B8CD28">
            <w:pPr>
              <w:pStyle w:val="7"/>
              <w:jc w:val="left"/>
            </w:pPr>
            <w:r>
              <w:rPr>
                <w:rFonts w:ascii="仿宋_GB2312" w:hAnsi="仿宋_GB2312" w:eastAsia="仿宋_GB2312" w:cs="仿宋_GB2312"/>
              </w:rPr>
              <w:t>3</w:t>
            </w:r>
          </w:p>
        </w:tc>
        <w:tc>
          <w:tcPr>
            <w:tcW w:w="2252" w:type="dxa"/>
          </w:tcPr>
          <w:p w14:paraId="616DE281">
            <w:pPr>
              <w:pStyle w:val="7"/>
              <w:jc w:val="left"/>
            </w:pPr>
            <w:r>
              <w:rPr>
                <w:rFonts w:ascii="仿宋_GB2312" w:hAnsi="仿宋_GB2312" w:eastAsia="仿宋_GB2312" w:cs="仿宋_GB2312"/>
              </w:rPr>
              <w:t>是否接受联合体★</w:t>
            </w:r>
          </w:p>
        </w:tc>
        <w:tc>
          <w:tcPr>
            <w:tcW w:w="5004" w:type="dxa"/>
          </w:tcPr>
          <w:p w14:paraId="79A74256">
            <w:pPr>
              <w:pStyle w:val="7"/>
              <w:jc w:val="left"/>
            </w:pPr>
            <w:r>
              <w:rPr>
                <w:rFonts w:ascii="仿宋_GB2312" w:hAnsi="仿宋_GB2312" w:eastAsia="仿宋_GB2312" w:cs="仿宋_GB2312"/>
              </w:rPr>
              <w:t>采购包1：不接受联合体</w:t>
            </w:r>
          </w:p>
          <w:p w14:paraId="58806846">
            <w:pPr>
              <w:pStyle w:val="7"/>
              <w:jc w:val="left"/>
            </w:pPr>
            <w:r>
              <w:rPr>
                <w:rFonts w:ascii="仿宋_GB2312" w:hAnsi="仿宋_GB2312" w:eastAsia="仿宋_GB2312" w:cs="仿宋_GB2312"/>
              </w:rPr>
              <w:t xml:space="preserve"> 如接受联合体，需符合以下要求：</w:t>
            </w:r>
          </w:p>
          <w:p w14:paraId="531A687E">
            <w:pPr>
              <w:pStyle w:val="7"/>
              <w:jc w:val="left"/>
            </w:pPr>
            <w:r>
              <w:rPr>
                <w:rFonts w:ascii="仿宋_GB2312" w:hAnsi="仿宋_GB2312" w:eastAsia="仿宋_GB2312" w:cs="仿宋_GB2312"/>
              </w:rPr>
              <w:t xml:space="preserve"> 一、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264A216D">
            <w:pPr>
              <w:pStyle w:val="7"/>
              <w:jc w:val="left"/>
            </w:pPr>
            <w:r>
              <w:rPr>
                <w:rFonts w:ascii="仿宋_GB2312" w:hAnsi="仿宋_GB2312" w:eastAsia="仿宋_GB2312" w:cs="仿宋_GB2312"/>
              </w:rPr>
              <w:t xml:space="preserve"> 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5C81486A">
            <w:pPr>
              <w:pStyle w:val="7"/>
              <w:jc w:val="left"/>
            </w:pPr>
            <w:r>
              <w:rPr>
                <w:rFonts w:ascii="仿宋_GB2312" w:hAnsi="仿宋_GB2312" w:eastAsia="仿宋_GB2312" w:cs="仿宋_GB2312"/>
              </w:rPr>
              <w:t xml:space="preserve"> 三、联合体各方应当共同与采购人签订采购合同，就采购合同约定的事项对采购人承担连带责任。</w:t>
            </w:r>
          </w:p>
        </w:tc>
      </w:tr>
      <w:tr w14:paraId="7A68D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7D2C57">
            <w:pPr>
              <w:pStyle w:val="7"/>
              <w:jc w:val="left"/>
            </w:pPr>
            <w:r>
              <w:rPr>
                <w:rFonts w:ascii="仿宋_GB2312" w:hAnsi="仿宋_GB2312" w:eastAsia="仿宋_GB2312" w:cs="仿宋_GB2312"/>
              </w:rPr>
              <w:t>4</w:t>
            </w:r>
          </w:p>
        </w:tc>
        <w:tc>
          <w:tcPr>
            <w:tcW w:w="2252" w:type="dxa"/>
          </w:tcPr>
          <w:p w14:paraId="07B4BEBF">
            <w:pPr>
              <w:pStyle w:val="7"/>
              <w:jc w:val="left"/>
            </w:pPr>
            <w:r>
              <w:rPr>
                <w:rFonts w:ascii="仿宋_GB2312" w:hAnsi="仿宋_GB2312" w:eastAsia="仿宋_GB2312" w:cs="仿宋_GB2312"/>
              </w:rPr>
              <w:t>投标（响应）保证金★</w:t>
            </w:r>
          </w:p>
        </w:tc>
        <w:tc>
          <w:tcPr>
            <w:tcW w:w="5004" w:type="dxa"/>
          </w:tcPr>
          <w:p w14:paraId="7B4A0EF5">
            <w:pPr>
              <w:pStyle w:val="7"/>
              <w:jc w:val="left"/>
            </w:pPr>
            <w:r>
              <w:rPr>
                <w:rFonts w:ascii="仿宋_GB2312" w:hAnsi="仿宋_GB2312" w:eastAsia="仿宋_GB2312" w:cs="仿宋_GB2312"/>
              </w:rPr>
              <w:t>本项目不收取投标（响应）保证金。</w:t>
            </w:r>
          </w:p>
        </w:tc>
      </w:tr>
      <w:tr w14:paraId="2445B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2B6A6F">
            <w:pPr>
              <w:pStyle w:val="7"/>
              <w:jc w:val="left"/>
            </w:pPr>
            <w:r>
              <w:rPr>
                <w:rFonts w:ascii="仿宋_GB2312" w:hAnsi="仿宋_GB2312" w:eastAsia="仿宋_GB2312" w:cs="仿宋_GB2312"/>
              </w:rPr>
              <w:t>5</w:t>
            </w:r>
          </w:p>
        </w:tc>
        <w:tc>
          <w:tcPr>
            <w:tcW w:w="2252" w:type="dxa"/>
          </w:tcPr>
          <w:p w14:paraId="58634E49">
            <w:pPr>
              <w:pStyle w:val="7"/>
              <w:jc w:val="left"/>
            </w:pPr>
            <w:r>
              <w:rPr>
                <w:rFonts w:ascii="仿宋_GB2312" w:hAnsi="仿宋_GB2312" w:eastAsia="仿宋_GB2312" w:cs="仿宋_GB2312"/>
              </w:rPr>
              <w:t>履约保证金★</w:t>
            </w:r>
          </w:p>
        </w:tc>
        <w:tc>
          <w:tcPr>
            <w:tcW w:w="5004" w:type="dxa"/>
          </w:tcPr>
          <w:p w14:paraId="3520ECB8">
            <w:pPr>
              <w:pStyle w:val="7"/>
              <w:jc w:val="left"/>
            </w:pPr>
            <w:r>
              <w:rPr>
                <w:rFonts w:ascii="仿宋_GB2312" w:hAnsi="仿宋_GB2312" w:eastAsia="仿宋_GB2312" w:cs="仿宋_GB2312"/>
              </w:rPr>
              <w:t>采购包1：收取</w:t>
            </w:r>
          </w:p>
          <w:p w14:paraId="74BC1431">
            <w:pPr>
              <w:pStyle w:val="7"/>
              <w:jc w:val="left"/>
            </w:pPr>
            <w:r>
              <w:rPr>
                <w:rFonts w:ascii="仿宋_GB2312" w:hAnsi="仿宋_GB2312" w:eastAsia="仿宋_GB2312" w:cs="仿宋_GB2312"/>
              </w:rPr>
              <w:t>本采购包履约保证金为合同金额的5%</w:t>
            </w:r>
          </w:p>
          <w:p w14:paraId="6A98FBA2">
            <w:pPr>
              <w:pStyle w:val="7"/>
              <w:jc w:val="left"/>
            </w:pPr>
            <w:r>
              <w:rPr>
                <w:rFonts w:ascii="仿宋_GB2312" w:hAnsi="仿宋_GB2312" w:eastAsia="仿宋_GB2312" w:cs="仿宋_GB2312"/>
              </w:rPr>
              <w:t>交款方式：银行转账，支票、汇票、本票，保函</w:t>
            </w:r>
          </w:p>
          <w:p w14:paraId="6AA21976">
            <w:pPr>
              <w:pStyle w:val="7"/>
              <w:jc w:val="left"/>
            </w:pPr>
            <w:r>
              <w:rPr>
                <w:rFonts w:ascii="仿宋_GB2312" w:hAnsi="仿宋_GB2312" w:eastAsia="仿宋_GB2312" w:cs="仿宋_GB2312"/>
              </w:rPr>
              <w:t>签订合同前，成交供应商须缴纳合同金额的5%履约保证金到采购人账户（交款方式：银行转账，支票/汇票/本票，保函/保险），履约保证金在合同履行完毕通过验收后5个工作日内无息退还。履约保证金不予退还情形:①成交供应商不履行与采购人订立的合同的，履约保证金不予退还，给采购人造成的损失超过履约保证金数额的，还应当对超过部分予以赔偿。②项目验收结果不合格的，履约保证金将不予退还。③其他违反国家相关法律法规的情形。</w:t>
            </w:r>
          </w:p>
        </w:tc>
      </w:tr>
      <w:tr w14:paraId="74A7E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51520B0">
            <w:pPr>
              <w:pStyle w:val="7"/>
              <w:jc w:val="left"/>
            </w:pPr>
            <w:r>
              <w:rPr>
                <w:rFonts w:ascii="仿宋_GB2312" w:hAnsi="仿宋_GB2312" w:eastAsia="仿宋_GB2312" w:cs="仿宋_GB2312"/>
              </w:rPr>
              <w:t>6</w:t>
            </w:r>
          </w:p>
        </w:tc>
        <w:tc>
          <w:tcPr>
            <w:tcW w:w="2252" w:type="dxa"/>
          </w:tcPr>
          <w:p w14:paraId="612A9B99">
            <w:pPr>
              <w:pStyle w:val="7"/>
              <w:jc w:val="left"/>
            </w:pPr>
            <w:r>
              <w:rPr>
                <w:rFonts w:ascii="仿宋_GB2312" w:hAnsi="仿宋_GB2312" w:eastAsia="仿宋_GB2312" w:cs="仿宋_GB2312"/>
              </w:rPr>
              <w:t>响应有效期★</w:t>
            </w:r>
          </w:p>
        </w:tc>
        <w:tc>
          <w:tcPr>
            <w:tcW w:w="5004" w:type="dxa"/>
          </w:tcPr>
          <w:p w14:paraId="1776DA98">
            <w:pPr>
              <w:pStyle w:val="7"/>
              <w:jc w:val="left"/>
            </w:pPr>
            <w:r>
              <w:rPr>
                <w:rFonts w:ascii="仿宋_GB2312" w:hAnsi="仿宋_GB2312" w:eastAsia="仿宋_GB2312" w:cs="仿宋_GB2312"/>
              </w:rPr>
              <w:t>提交响应文件的截止之日起不少于 90 天。响应文件未明确响应有效期或者少于前述规定天数的，其响应文件按无效处理。</w:t>
            </w:r>
          </w:p>
        </w:tc>
      </w:tr>
      <w:tr w14:paraId="291B2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2E961EC">
            <w:pPr>
              <w:pStyle w:val="7"/>
              <w:jc w:val="left"/>
            </w:pPr>
            <w:r>
              <w:rPr>
                <w:rFonts w:ascii="仿宋_GB2312" w:hAnsi="仿宋_GB2312" w:eastAsia="仿宋_GB2312" w:cs="仿宋_GB2312"/>
              </w:rPr>
              <w:t>7</w:t>
            </w:r>
          </w:p>
        </w:tc>
        <w:tc>
          <w:tcPr>
            <w:tcW w:w="2252" w:type="dxa"/>
          </w:tcPr>
          <w:p w14:paraId="69E8C228">
            <w:pPr>
              <w:pStyle w:val="7"/>
              <w:jc w:val="left"/>
            </w:pPr>
            <w:r>
              <w:rPr>
                <w:rFonts w:ascii="仿宋_GB2312" w:hAnsi="仿宋_GB2312" w:eastAsia="仿宋_GB2312" w:cs="仿宋_GB2312"/>
              </w:rPr>
              <w:t>代理服务费★</w:t>
            </w:r>
          </w:p>
        </w:tc>
        <w:tc>
          <w:tcPr>
            <w:tcW w:w="5004" w:type="dxa"/>
          </w:tcPr>
          <w:p w14:paraId="7DF61514">
            <w:pPr>
              <w:pStyle w:val="7"/>
              <w:jc w:val="left"/>
            </w:pPr>
            <w:r>
              <w:rPr>
                <w:rFonts w:ascii="仿宋_GB2312" w:hAnsi="仿宋_GB2312" w:eastAsia="仿宋_GB2312" w:cs="仿宋_GB2312"/>
              </w:rPr>
              <w:t>本项目收取代理服务费</w:t>
            </w:r>
          </w:p>
          <w:p w14:paraId="15C04FBF">
            <w:pPr>
              <w:pStyle w:val="7"/>
              <w:jc w:val="left"/>
            </w:pPr>
            <w:r>
              <w:rPr>
                <w:rFonts w:ascii="仿宋_GB2312" w:hAnsi="仿宋_GB2312" w:eastAsia="仿宋_GB2312" w:cs="仿宋_GB2312"/>
              </w:rPr>
              <w:t>代理服务费用收取对象：成交供应商</w:t>
            </w:r>
          </w:p>
          <w:p w14:paraId="7ECDAE39">
            <w:pPr>
              <w:pStyle w:val="7"/>
              <w:jc w:val="left"/>
            </w:pPr>
            <w:r>
              <w:rPr>
                <w:rFonts w:ascii="仿宋_GB2312" w:hAnsi="仿宋_GB2312" w:eastAsia="仿宋_GB2312" w:cs="仿宋_GB2312"/>
              </w:rPr>
              <w:t>代理服务费收费标准：1.按照四川省财政厅关于印发《四川省政府采购营商环境指标提升专项行动工作方案》的通知(川财采(2020)74号)及本项目委托协议约定，代理服务费以成本加合理利润的原则收取，以采购预算为计算基数，按差额定率累进法进行计算，并按以下费率标准收取:采购预算:800,000.00元（货物类）0---80万：80×1.500％=12000.00元；向成交供应商收取代理服务费:12000.00元。 2.转账方式账号如下： 收款单位：融汇项目管理有限公司宜宾分公司 开户行：中国建设银行股份有限公司宜宾江北支行 账号：5105 0172 5108 0000 0976</w:t>
            </w:r>
          </w:p>
        </w:tc>
      </w:tr>
      <w:tr w14:paraId="0E339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E6C740">
            <w:pPr>
              <w:pStyle w:val="7"/>
              <w:jc w:val="left"/>
            </w:pPr>
            <w:r>
              <w:rPr>
                <w:rFonts w:ascii="仿宋_GB2312" w:hAnsi="仿宋_GB2312" w:eastAsia="仿宋_GB2312" w:cs="仿宋_GB2312"/>
              </w:rPr>
              <w:t>8</w:t>
            </w:r>
          </w:p>
        </w:tc>
        <w:tc>
          <w:tcPr>
            <w:tcW w:w="2252" w:type="dxa"/>
          </w:tcPr>
          <w:p w14:paraId="67B6DE88">
            <w:pPr>
              <w:pStyle w:val="7"/>
              <w:jc w:val="left"/>
            </w:pPr>
            <w:r>
              <w:rPr>
                <w:rFonts w:ascii="仿宋_GB2312" w:hAnsi="仿宋_GB2312" w:eastAsia="仿宋_GB2312" w:cs="仿宋_GB2312"/>
              </w:rPr>
              <w:t>采购结果公告</w:t>
            </w:r>
          </w:p>
        </w:tc>
        <w:tc>
          <w:tcPr>
            <w:tcW w:w="5004" w:type="dxa"/>
          </w:tcPr>
          <w:p w14:paraId="71642FD5">
            <w:pPr>
              <w:pStyle w:val="7"/>
              <w:jc w:val="left"/>
            </w:pPr>
            <w:r>
              <w:rPr>
                <w:rFonts w:ascii="仿宋_GB2312" w:hAnsi="仿宋_GB2312" w:eastAsia="仿宋_GB2312" w:cs="仿宋_GB2312"/>
              </w:rPr>
              <w:t>采购结果将在四川政府采购网予以公告。</w:t>
            </w:r>
          </w:p>
        </w:tc>
      </w:tr>
      <w:tr w14:paraId="5C841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39CDC3">
            <w:pPr>
              <w:pStyle w:val="7"/>
              <w:jc w:val="left"/>
            </w:pPr>
            <w:r>
              <w:rPr>
                <w:rFonts w:ascii="仿宋_GB2312" w:hAnsi="仿宋_GB2312" w:eastAsia="仿宋_GB2312" w:cs="仿宋_GB2312"/>
              </w:rPr>
              <w:t>9</w:t>
            </w:r>
          </w:p>
        </w:tc>
        <w:tc>
          <w:tcPr>
            <w:tcW w:w="2252" w:type="dxa"/>
          </w:tcPr>
          <w:p w14:paraId="3D1C1E37">
            <w:pPr>
              <w:pStyle w:val="7"/>
              <w:jc w:val="left"/>
            </w:pPr>
            <w:r>
              <w:rPr>
                <w:rFonts w:ascii="仿宋_GB2312" w:hAnsi="仿宋_GB2312" w:eastAsia="仿宋_GB2312" w:cs="仿宋_GB2312"/>
              </w:rPr>
              <w:t>是否组织潜在供应商现场考察</w:t>
            </w:r>
          </w:p>
        </w:tc>
        <w:tc>
          <w:tcPr>
            <w:tcW w:w="5004" w:type="dxa"/>
          </w:tcPr>
          <w:p w14:paraId="70419E44">
            <w:pPr>
              <w:pStyle w:val="7"/>
              <w:jc w:val="left"/>
            </w:pPr>
            <w:r>
              <w:rPr>
                <w:rFonts w:ascii="仿宋_GB2312" w:hAnsi="仿宋_GB2312" w:eastAsia="仿宋_GB2312" w:cs="仿宋_GB2312"/>
              </w:rPr>
              <w:t>采购包1：否</w:t>
            </w:r>
          </w:p>
        </w:tc>
      </w:tr>
      <w:tr w14:paraId="3D622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C70756">
            <w:pPr>
              <w:pStyle w:val="7"/>
              <w:jc w:val="left"/>
            </w:pPr>
            <w:r>
              <w:rPr>
                <w:rFonts w:ascii="仿宋_GB2312" w:hAnsi="仿宋_GB2312" w:eastAsia="仿宋_GB2312" w:cs="仿宋_GB2312"/>
              </w:rPr>
              <w:t>10</w:t>
            </w:r>
          </w:p>
        </w:tc>
        <w:tc>
          <w:tcPr>
            <w:tcW w:w="2252" w:type="dxa"/>
          </w:tcPr>
          <w:p w14:paraId="07161390">
            <w:pPr>
              <w:pStyle w:val="7"/>
              <w:jc w:val="left"/>
            </w:pPr>
            <w:r>
              <w:rPr>
                <w:rFonts w:ascii="仿宋_GB2312" w:hAnsi="仿宋_GB2312" w:eastAsia="仿宋_GB2312" w:cs="仿宋_GB2312"/>
              </w:rPr>
              <w:t>是否召开采购前答疑会</w:t>
            </w:r>
          </w:p>
        </w:tc>
        <w:tc>
          <w:tcPr>
            <w:tcW w:w="5004" w:type="dxa"/>
          </w:tcPr>
          <w:p w14:paraId="58293F47">
            <w:pPr>
              <w:pStyle w:val="7"/>
              <w:jc w:val="left"/>
            </w:pPr>
            <w:r>
              <w:rPr>
                <w:rFonts w:ascii="仿宋_GB2312" w:hAnsi="仿宋_GB2312" w:eastAsia="仿宋_GB2312" w:cs="仿宋_GB2312"/>
              </w:rPr>
              <w:t>本项目不组织标前答疑</w:t>
            </w:r>
          </w:p>
        </w:tc>
      </w:tr>
      <w:tr w14:paraId="05363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A16332">
            <w:pPr>
              <w:pStyle w:val="7"/>
              <w:jc w:val="left"/>
            </w:pPr>
            <w:r>
              <w:rPr>
                <w:rFonts w:ascii="仿宋_GB2312" w:hAnsi="仿宋_GB2312" w:eastAsia="仿宋_GB2312" w:cs="仿宋_GB2312"/>
              </w:rPr>
              <w:t>11</w:t>
            </w:r>
          </w:p>
        </w:tc>
        <w:tc>
          <w:tcPr>
            <w:tcW w:w="2252" w:type="dxa"/>
          </w:tcPr>
          <w:p w14:paraId="313105FD">
            <w:pPr>
              <w:pStyle w:val="7"/>
              <w:jc w:val="left"/>
            </w:pPr>
            <w:r>
              <w:rPr>
                <w:rFonts w:ascii="仿宋_GB2312" w:hAnsi="仿宋_GB2312" w:eastAsia="仿宋_GB2312" w:cs="仿宋_GB2312"/>
              </w:rPr>
              <w:t>特殊情况</w:t>
            </w:r>
          </w:p>
        </w:tc>
        <w:tc>
          <w:tcPr>
            <w:tcW w:w="5004" w:type="dxa"/>
          </w:tcPr>
          <w:p w14:paraId="016F91FF">
            <w:pPr>
              <w:pStyle w:val="7"/>
              <w:jc w:val="left"/>
            </w:pPr>
            <w:r>
              <w:rPr>
                <w:rFonts w:ascii="仿宋_GB2312" w:hAnsi="仿宋_GB2312" w:eastAsia="仿宋_GB2312" w:cs="仿宋_GB2312"/>
              </w:rPr>
              <w:t>出现下列情形之一的，采购人或者采购代理机构应当中止电子化采购活动，并保留相关证明材料备查：</w:t>
            </w:r>
          </w:p>
          <w:p w14:paraId="25582D19">
            <w:pPr>
              <w:pStyle w:val="7"/>
              <w:jc w:val="left"/>
            </w:pPr>
            <w:r>
              <w:rPr>
                <w:rFonts w:ascii="仿宋_GB2312" w:hAnsi="仿宋_GB2312" w:eastAsia="仿宋_GB2312" w:cs="仿宋_GB2312"/>
              </w:rPr>
              <w:t>（一）交易系统发生故障而无法正常使用的；</w:t>
            </w:r>
          </w:p>
          <w:p w14:paraId="164F8750">
            <w:pPr>
              <w:pStyle w:val="7"/>
              <w:jc w:val="left"/>
            </w:pPr>
            <w:r>
              <w:rPr>
                <w:rFonts w:ascii="仿宋_GB2312" w:hAnsi="仿宋_GB2312" w:eastAsia="仿宋_GB2312" w:cs="仿宋_GB2312"/>
              </w:rPr>
              <w:t>（二）因组织场所停电、断网等原因，导致采购活动无法继续通过交易系统实施的；</w:t>
            </w:r>
          </w:p>
          <w:p w14:paraId="68C056F3">
            <w:pPr>
              <w:pStyle w:val="7"/>
              <w:jc w:val="left"/>
            </w:pPr>
            <w:r>
              <w:rPr>
                <w:rFonts w:ascii="仿宋_GB2312" w:hAnsi="仿宋_GB2312" w:eastAsia="仿宋_GB2312" w:cs="仿宋_GB2312"/>
              </w:rPr>
              <w:t>（三）其他无法保证电子化交易的公平、公正和安全的情况。</w:t>
            </w:r>
          </w:p>
          <w:p w14:paraId="40F8FEB5">
            <w:pPr>
              <w:pStyle w:val="7"/>
              <w:jc w:val="left"/>
            </w:pPr>
            <w:r>
              <w:rPr>
                <w:rFonts w:ascii="仿宋_GB2312" w:hAnsi="仿宋_GB2312" w:eastAsia="仿宋_GB2312" w:cs="仿宋_GB2312"/>
              </w:rPr>
              <w:t>出现上述的情形，采购人或者采购代理机构、谈判小组应当认真评估影响，对不影响采购公平、公正的，待上述情形消除后继续组织采购活动；影响或者可能影响采购公平、公正的，应当采取顺延相关截止时间等方式依法进行处置；经处置后，仍然影响采购公平、公正的，应当依法废标或者终止采购活动。</w:t>
            </w:r>
          </w:p>
          <w:p w14:paraId="29F204CA">
            <w:pPr>
              <w:pStyle w:val="7"/>
              <w:jc w:val="left"/>
            </w:pPr>
            <w:r>
              <w:rPr>
                <w:rFonts w:ascii="仿宋_GB2312" w:hAnsi="仿宋_GB2312" w:eastAsia="仿宋_GB2312" w:cs="仿宋_GB2312"/>
              </w:rPr>
              <w:t>注：故障处理详见第二章规定。</w:t>
            </w:r>
          </w:p>
        </w:tc>
      </w:tr>
      <w:tr w14:paraId="7748B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EEF808">
            <w:pPr>
              <w:pStyle w:val="7"/>
              <w:jc w:val="left"/>
            </w:pPr>
            <w:r>
              <w:rPr>
                <w:rFonts w:ascii="仿宋_GB2312" w:hAnsi="仿宋_GB2312" w:eastAsia="仿宋_GB2312" w:cs="仿宋_GB2312"/>
              </w:rPr>
              <w:t>12</w:t>
            </w:r>
          </w:p>
        </w:tc>
        <w:tc>
          <w:tcPr>
            <w:tcW w:w="2252" w:type="dxa"/>
          </w:tcPr>
          <w:p w14:paraId="5FCEE68D">
            <w:pPr>
              <w:pStyle w:val="7"/>
              <w:jc w:val="left"/>
            </w:pPr>
            <w:r>
              <w:rPr>
                <w:rFonts w:ascii="仿宋_GB2312" w:hAnsi="仿宋_GB2312" w:eastAsia="仿宋_GB2312" w:cs="仿宋_GB2312"/>
              </w:rPr>
              <w:t>报价/分值精确度</w:t>
            </w:r>
          </w:p>
        </w:tc>
        <w:tc>
          <w:tcPr>
            <w:tcW w:w="5004" w:type="dxa"/>
          </w:tcPr>
          <w:p w14:paraId="3844B088">
            <w:pPr>
              <w:pStyle w:val="7"/>
              <w:jc w:val="left"/>
            </w:pPr>
            <w:r>
              <w:rPr>
                <w:rFonts w:ascii="仿宋_GB2312" w:hAnsi="仿宋_GB2312" w:eastAsia="仿宋_GB2312" w:cs="仿宋_GB2312"/>
              </w:rPr>
              <w:t>所有数据项默认最多可输入/展示至小数点后2位，超出小数点位的数值采用四舍五入的方式进行保留。</w:t>
            </w:r>
          </w:p>
        </w:tc>
      </w:tr>
      <w:tr w14:paraId="51F67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65E1D0">
            <w:pPr>
              <w:pStyle w:val="7"/>
              <w:jc w:val="left"/>
            </w:pPr>
            <w:r>
              <w:rPr>
                <w:rFonts w:ascii="仿宋_GB2312" w:hAnsi="仿宋_GB2312" w:eastAsia="仿宋_GB2312" w:cs="仿宋_GB2312"/>
              </w:rPr>
              <w:t>13</w:t>
            </w:r>
          </w:p>
        </w:tc>
        <w:tc>
          <w:tcPr>
            <w:tcW w:w="2252" w:type="dxa"/>
          </w:tcPr>
          <w:p w14:paraId="51762C98">
            <w:pPr>
              <w:pStyle w:val="7"/>
              <w:jc w:val="left"/>
            </w:pPr>
            <w:r>
              <w:rPr>
                <w:rFonts w:ascii="仿宋_GB2312" w:hAnsi="仿宋_GB2312" w:eastAsia="仿宋_GB2312" w:cs="仿宋_GB2312"/>
              </w:rPr>
              <w:t>实质性要求</w:t>
            </w:r>
          </w:p>
        </w:tc>
        <w:tc>
          <w:tcPr>
            <w:tcW w:w="5004" w:type="dxa"/>
          </w:tcPr>
          <w:p w14:paraId="5C3EA30B">
            <w:pPr>
              <w:pStyle w:val="7"/>
              <w:jc w:val="left"/>
            </w:pPr>
            <w:r>
              <w:rPr>
                <w:rFonts w:ascii="仿宋_GB2312" w:hAnsi="仿宋_GB2312" w:eastAsia="仿宋_GB2312" w:cs="仿宋_GB2312"/>
              </w:rPr>
              <w:t>本谈判文件中“★”要求为实质性要求。供应商应当按照第五章评审程序中的符合性审查规定，在响应文件中进行实质性响应，否则作无效响应处理。</w:t>
            </w:r>
          </w:p>
        </w:tc>
      </w:tr>
      <w:tr w14:paraId="565C9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11E313">
            <w:pPr>
              <w:pStyle w:val="7"/>
              <w:jc w:val="left"/>
            </w:pPr>
            <w:r>
              <w:rPr>
                <w:rFonts w:ascii="仿宋_GB2312" w:hAnsi="仿宋_GB2312" w:eastAsia="仿宋_GB2312" w:cs="仿宋_GB2312"/>
              </w:rPr>
              <w:t>14</w:t>
            </w:r>
          </w:p>
        </w:tc>
        <w:tc>
          <w:tcPr>
            <w:tcW w:w="2252" w:type="dxa"/>
          </w:tcPr>
          <w:p w14:paraId="460DE616">
            <w:pPr>
              <w:pStyle w:val="7"/>
              <w:jc w:val="left"/>
            </w:pPr>
            <w:r>
              <w:rPr>
                <w:rFonts w:ascii="仿宋_GB2312" w:hAnsi="仿宋_GB2312" w:eastAsia="仿宋_GB2312" w:cs="仿宋_GB2312"/>
              </w:rPr>
              <w:t>其他说明</w:t>
            </w:r>
          </w:p>
        </w:tc>
        <w:tc>
          <w:tcPr>
            <w:tcW w:w="5004" w:type="dxa"/>
          </w:tcPr>
          <w:p w14:paraId="13852673">
            <w:pPr>
              <w:pStyle w:val="7"/>
              <w:jc w:val="left"/>
            </w:pPr>
            <w:r>
              <w:rPr>
                <w:rFonts w:ascii="仿宋_GB2312" w:hAnsi="仿宋_GB2312" w:eastAsia="仿宋_GB2312" w:cs="仿宋_GB2312"/>
              </w:rPr>
              <w:t>本谈判文件所称的“以上”、“以下”、“内”、“以内”、“不少于”包括本数；所称的“不足”、“低于”、“超过”不包括本数。</w:t>
            </w:r>
          </w:p>
        </w:tc>
      </w:tr>
    </w:tbl>
    <w:p w14:paraId="6D8CD157">
      <w:pPr>
        <w:rPr>
          <w:rFonts w:ascii="仿宋_GB2312" w:hAnsi="仿宋_GB2312" w:eastAsia="仿宋_GB2312" w:cs="仿宋_GB2312"/>
          <w:b/>
          <w:sz w:val="36"/>
        </w:rPr>
      </w:pPr>
      <w:r>
        <w:rPr>
          <w:rFonts w:ascii="仿宋_GB2312" w:hAnsi="仿宋_GB2312" w:eastAsia="仿宋_GB2312" w:cs="仿宋_GB2312"/>
          <w:b/>
          <w:sz w:val="36"/>
        </w:rPr>
        <w:br w:type="page"/>
      </w:r>
    </w:p>
    <w:p w14:paraId="479263E2">
      <w:pPr>
        <w:pStyle w:val="7"/>
        <w:jc w:val="center"/>
        <w:outlineLvl w:val="1"/>
      </w:pPr>
      <w:r>
        <w:rPr>
          <w:rFonts w:ascii="仿宋_GB2312" w:hAnsi="仿宋_GB2312" w:eastAsia="仿宋_GB2312" w:cs="仿宋_GB2312"/>
          <w:b/>
          <w:sz w:val="36"/>
        </w:rPr>
        <w:t>第三章 技术、服务及其他要求</w:t>
      </w:r>
    </w:p>
    <w:p w14:paraId="4E4E186E">
      <w:pPr>
        <w:pStyle w:val="7"/>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4B71562">
      <w:pPr>
        <w:pStyle w:val="7"/>
        <w:jc w:val="left"/>
        <w:outlineLvl w:val="2"/>
      </w:pPr>
      <w:r>
        <w:rPr>
          <w:rFonts w:ascii="仿宋_GB2312" w:hAnsi="仿宋_GB2312" w:eastAsia="仿宋_GB2312" w:cs="仿宋_GB2312"/>
          <w:b/>
          <w:sz w:val="28"/>
        </w:rPr>
        <w:t>3.1.采购内容</w:t>
      </w:r>
    </w:p>
    <w:p w14:paraId="47B0C255">
      <w:pPr>
        <w:pStyle w:val="7"/>
        <w:jc w:val="left"/>
      </w:pPr>
      <w:r>
        <w:rPr>
          <w:rFonts w:ascii="仿宋_GB2312" w:hAnsi="仿宋_GB2312" w:eastAsia="仿宋_GB2312" w:cs="仿宋_GB2312"/>
        </w:rPr>
        <w:t>采购包1：</w:t>
      </w:r>
    </w:p>
    <w:p w14:paraId="2EB51AB6">
      <w:pPr>
        <w:pStyle w:val="7"/>
        <w:jc w:val="left"/>
      </w:pPr>
      <w:r>
        <w:rPr>
          <w:rFonts w:ascii="仿宋_GB2312" w:hAnsi="仿宋_GB2312" w:eastAsia="仿宋_GB2312" w:cs="仿宋_GB2312"/>
        </w:rPr>
        <w:t>采购包预算金额（元）: 800,000.00</w:t>
      </w:r>
    </w:p>
    <w:p w14:paraId="16FC000C">
      <w:pPr>
        <w:pStyle w:val="7"/>
        <w:jc w:val="left"/>
      </w:pPr>
      <w:r>
        <w:rPr>
          <w:rFonts w:ascii="仿宋_GB2312" w:hAnsi="仿宋_GB2312" w:eastAsia="仿宋_GB2312" w:cs="仿宋_GB2312"/>
        </w:rPr>
        <w:t>采购包最高限价（元）: 800,000.00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14"/>
        <w:gridCol w:w="1016"/>
        <w:gridCol w:w="1216"/>
        <w:gridCol w:w="714"/>
        <w:gridCol w:w="714"/>
        <w:gridCol w:w="714"/>
        <w:gridCol w:w="714"/>
        <w:gridCol w:w="580"/>
        <w:gridCol w:w="580"/>
      </w:tblGrid>
      <w:tr w14:paraId="7F43A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B47AD4">
            <w:pPr>
              <w:pStyle w:val="7"/>
              <w:jc w:val="center"/>
            </w:pPr>
            <w:r>
              <w:rPr>
                <w:rFonts w:ascii="仿宋_GB2312" w:hAnsi="仿宋_GB2312" w:eastAsia="仿宋_GB2312" w:cs="仿宋_GB2312"/>
              </w:rPr>
              <w:t>序号</w:t>
            </w:r>
          </w:p>
        </w:tc>
        <w:tc>
          <w:tcPr>
            <w:tcW w:w="821" w:type="dxa"/>
          </w:tcPr>
          <w:p w14:paraId="1EF5D60B">
            <w:pPr>
              <w:pStyle w:val="7"/>
              <w:jc w:val="center"/>
            </w:pPr>
            <w:r>
              <w:rPr>
                <w:rFonts w:ascii="仿宋_GB2312" w:hAnsi="仿宋_GB2312" w:eastAsia="仿宋_GB2312" w:cs="仿宋_GB2312"/>
              </w:rPr>
              <w:t>采购品目名称</w:t>
            </w:r>
          </w:p>
        </w:tc>
        <w:tc>
          <w:tcPr>
            <w:tcW w:w="821" w:type="dxa"/>
          </w:tcPr>
          <w:p w14:paraId="705DAACA">
            <w:pPr>
              <w:pStyle w:val="7"/>
              <w:jc w:val="center"/>
            </w:pPr>
            <w:r>
              <w:rPr>
                <w:rFonts w:ascii="仿宋_GB2312" w:hAnsi="仿宋_GB2312" w:eastAsia="仿宋_GB2312" w:cs="仿宋_GB2312"/>
              </w:rPr>
              <w:t>标的名称</w:t>
            </w:r>
          </w:p>
        </w:tc>
        <w:tc>
          <w:tcPr>
            <w:tcW w:w="821" w:type="dxa"/>
          </w:tcPr>
          <w:p w14:paraId="0FD35F54">
            <w:pPr>
              <w:pStyle w:val="7"/>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FC91C59">
            <w:pPr>
              <w:pStyle w:val="7"/>
              <w:jc w:val="center"/>
            </w:pPr>
            <w:r>
              <w:rPr>
                <w:rFonts w:ascii="仿宋_GB2312" w:hAnsi="仿宋_GB2312" w:eastAsia="仿宋_GB2312" w:cs="仿宋_GB2312"/>
              </w:rPr>
              <w:t>标的金额 （元）</w:t>
            </w:r>
          </w:p>
        </w:tc>
        <w:tc>
          <w:tcPr>
            <w:tcW w:w="821" w:type="dxa"/>
          </w:tcPr>
          <w:p w14:paraId="2E8300BD">
            <w:pPr>
              <w:pStyle w:val="7"/>
              <w:jc w:val="center"/>
            </w:pPr>
            <w:r>
              <w:rPr>
                <w:rFonts w:ascii="仿宋_GB2312" w:hAnsi="仿宋_GB2312" w:eastAsia="仿宋_GB2312" w:cs="仿宋_GB2312"/>
              </w:rPr>
              <w:t>所属行业</w:t>
            </w:r>
          </w:p>
        </w:tc>
        <w:tc>
          <w:tcPr>
            <w:tcW w:w="821" w:type="dxa"/>
          </w:tcPr>
          <w:p w14:paraId="144B944F">
            <w:pPr>
              <w:pStyle w:val="7"/>
              <w:jc w:val="center"/>
            </w:pPr>
            <w:r>
              <w:rPr>
                <w:rFonts w:ascii="仿宋_GB2312" w:hAnsi="仿宋_GB2312" w:eastAsia="仿宋_GB2312" w:cs="仿宋_GB2312"/>
              </w:rPr>
              <w:t>是否涉及核心产品</w:t>
            </w:r>
          </w:p>
        </w:tc>
        <w:tc>
          <w:tcPr>
            <w:tcW w:w="821" w:type="dxa"/>
          </w:tcPr>
          <w:p w14:paraId="4A3D44A2">
            <w:pPr>
              <w:pStyle w:val="7"/>
              <w:jc w:val="center"/>
            </w:pPr>
            <w:r>
              <w:rPr>
                <w:rFonts w:ascii="仿宋_GB2312" w:hAnsi="仿宋_GB2312" w:eastAsia="仿宋_GB2312" w:cs="仿宋_GB2312"/>
              </w:rPr>
              <w:t>是否涉及采购进口产品</w:t>
            </w:r>
          </w:p>
        </w:tc>
        <w:tc>
          <w:tcPr>
            <w:tcW w:w="821" w:type="dxa"/>
          </w:tcPr>
          <w:p w14:paraId="79B5FD50">
            <w:pPr>
              <w:pStyle w:val="7"/>
              <w:jc w:val="center"/>
            </w:pPr>
            <w:r>
              <w:rPr>
                <w:rFonts w:ascii="仿宋_GB2312" w:hAnsi="仿宋_GB2312" w:eastAsia="仿宋_GB2312" w:cs="仿宋_GB2312"/>
              </w:rPr>
              <w:t>是否涉及强制采购节能产品</w:t>
            </w:r>
          </w:p>
        </w:tc>
        <w:tc>
          <w:tcPr>
            <w:tcW w:w="639" w:type="dxa"/>
          </w:tcPr>
          <w:p w14:paraId="12137796">
            <w:pPr>
              <w:pStyle w:val="7"/>
              <w:jc w:val="center"/>
            </w:pPr>
            <w:r>
              <w:rPr>
                <w:rFonts w:ascii="仿宋_GB2312" w:hAnsi="仿宋_GB2312" w:eastAsia="仿宋_GB2312" w:cs="仿宋_GB2312"/>
              </w:rPr>
              <w:t>是否涉及优先采购节能产品</w:t>
            </w:r>
          </w:p>
        </w:tc>
        <w:tc>
          <w:tcPr>
            <w:tcW w:w="639" w:type="dxa"/>
          </w:tcPr>
          <w:p w14:paraId="7AC20C58">
            <w:pPr>
              <w:pStyle w:val="7"/>
              <w:jc w:val="center"/>
            </w:pPr>
            <w:r>
              <w:rPr>
                <w:rFonts w:ascii="仿宋_GB2312" w:hAnsi="仿宋_GB2312" w:eastAsia="仿宋_GB2312" w:cs="仿宋_GB2312"/>
              </w:rPr>
              <w:t>是否涉及优先采购环境标志产品</w:t>
            </w:r>
          </w:p>
        </w:tc>
      </w:tr>
      <w:tr w14:paraId="2C140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A093BB">
            <w:pPr>
              <w:pStyle w:val="7"/>
              <w:jc w:val="left"/>
            </w:pPr>
            <w:r>
              <w:rPr>
                <w:rFonts w:ascii="仿宋_GB2312" w:hAnsi="仿宋_GB2312" w:eastAsia="仿宋_GB2312" w:cs="仿宋_GB2312"/>
              </w:rPr>
              <w:t>1</w:t>
            </w:r>
          </w:p>
        </w:tc>
        <w:tc>
          <w:tcPr>
            <w:tcW w:w="821" w:type="dxa"/>
          </w:tcPr>
          <w:p w14:paraId="1F6F1EB1">
            <w:pPr>
              <w:pStyle w:val="7"/>
              <w:jc w:val="left"/>
            </w:pPr>
            <w:r>
              <w:rPr>
                <w:rFonts w:ascii="仿宋_GB2312" w:hAnsi="仿宋_GB2312" w:eastAsia="仿宋_GB2312" w:cs="仿宋_GB2312"/>
              </w:rPr>
              <w:t>A05010102 钢塑床类</w:t>
            </w:r>
          </w:p>
        </w:tc>
        <w:tc>
          <w:tcPr>
            <w:tcW w:w="821" w:type="dxa"/>
          </w:tcPr>
          <w:p w14:paraId="33621806">
            <w:pPr>
              <w:pStyle w:val="7"/>
              <w:jc w:val="left"/>
            </w:pPr>
            <w:r>
              <w:rPr>
                <w:rFonts w:ascii="仿宋_GB2312" w:hAnsi="仿宋_GB2312" w:eastAsia="仿宋_GB2312" w:cs="仿宋_GB2312"/>
              </w:rPr>
              <w:t>上下铺钢架床</w:t>
            </w:r>
          </w:p>
        </w:tc>
        <w:tc>
          <w:tcPr>
            <w:tcW w:w="821" w:type="dxa"/>
          </w:tcPr>
          <w:p w14:paraId="65A74021">
            <w:pPr>
              <w:pStyle w:val="7"/>
              <w:jc w:val="right"/>
            </w:pPr>
            <w:r>
              <w:rPr>
                <w:rFonts w:ascii="仿宋_GB2312" w:hAnsi="仿宋_GB2312" w:eastAsia="仿宋_GB2312" w:cs="仿宋_GB2312"/>
              </w:rPr>
              <w:t>1,000.00（张）</w:t>
            </w:r>
          </w:p>
        </w:tc>
        <w:tc>
          <w:tcPr>
            <w:tcW w:w="821" w:type="dxa"/>
          </w:tcPr>
          <w:p w14:paraId="60CFF90B">
            <w:pPr>
              <w:pStyle w:val="7"/>
              <w:jc w:val="right"/>
            </w:pPr>
            <w:r>
              <w:rPr>
                <w:rFonts w:ascii="仿宋_GB2312" w:hAnsi="仿宋_GB2312" w:eastAsia="仿宋_GB2312" w:cs="仿宋_GB2312"/>
              </w:rPr>
              <w:t>800,000.00</w:t>
            </w:r>
          </w:p>
        </w:tc>
        <w:tc>
          <w:tcPr>
            <w:tcW w:w="821" w:type="dxa"/>
          </w:tcPr>
          <w:p w14:paraId="4832274C">
            <w:pPr>
              <w:pStyle w:val="7"/>
              <w:jc w:val="left"/>
            </w:pPr>
            <w:r>
              <w:rPr>
                <w:rFonts w:ascii="仿宋_GB2312" w:hAnsi="仿宋_GB2312" w:eastAsia="仿宋_GB2312" w:cs="仿宋_GB2312"/>
              </w:rPr>
              <w:t>工业</w:t>
            </w:r>
          </w:p>
        </w:tc>
        <w:tc>
          <w:tcPr>
            <w:tcW w:w="821" w:type="dxa"/>
          </w:tcPr>
          <w:p w14:paraId="05240E3E">
            <w:pPr>
              <w:pStyle w:val="7"/>
              <w:jc w:val="left"/>
            </w:pPr>
            <w:r>
              <w:rPr>
                <w:rFonts w:ascii="仿宋_GB2312" w:hAnsi="仿宋_GB2312" w:eastAsia="仿宋_GB2312" w:cs="仿宋_GB2312"/>
              </w:rPr>
              <w:t>是</w:t>
            </w:r>
          </w:p>
        </w:tc>
        <w:tc>
          <w:tcPr>
            <w:tcW w:w="821" w:type="dxa"/>
          </w:tcPr>
          <w:p w14:paraId="1D4CE0A9">
            <w:pPr>
              <w:pStyle w:val="7"/>
              <w:jc w:val="left"/>
            </w:pPr>
            <w:r>
              <w:rPr>
                <w:rFonts w:ascii="仿宋_GB2312" w:hAnsi="仿宋_GB2312" w:eastAsia="仿宋_GB2312" w:cs="仿宋_GB2312"/>
              </w:rPr>
              <w:t>否</w:t>
            </w:r>
          </w:p>
        </w:tc>
        <w:tc>
          <w:tcPr>
            <w:tcW w:w="821" w:type="dxa"/>
          </w:tcPr>
          <w:p w14:paraId="5C2903ED">
            <w:pPr>
              <w:pStyle w:val="7"/>
              <w:jc w:val="left"/>
            </w:pPr>
            <w:r>
              <w:rPr>
                <w:rFonts w:ascii="仿宋_GB2312" w:hAnsi="仿宋_GB2312" w:eastAsia="仿宋_GB2312" w:cs="仿宋_GB2312"/>
              </w:rPr>
              <w:t>否</w:t>
            </w:r>
          </w:p>
        </w:tc>
        <w:tc>
          <w:tcPr>
            <w:tcW w:w="639" w:type="dxa"/>
          </w:tcPr>
          <w:p w14:paraId="07F6E7F4">
            <w:pPr>
              <w:pStyle w:val="7"/>
              <w:jc w:val="left"/>
            </w:pPr>
            <w:r>
              <w:rPr>
                <w:rFonts w:ascii="仿宋_GB2312" w:hAnsi="仿宋_GB2312" w:eastAsia="仿宋_GB2312" w:cs="仿宋_GB2312"/>
              </w:rPr>
              <w:t>否</w:t>
            </w:r>
          </w:p>
        </w:tc>
        <w:tc>
          <w:tcPr>
            <w:tcW w:w="639" w:type="dxa"/>
          </w:tcPr>
          <w:p w14:paraId="3197D959">
            <w:pPr>
              <w:pStyle w:val="7"/>
              <w:jc w:val="left"/>
            </w:pPr>
            <w:r>
              <w:rPr>
                <w:rFonts w:ascii="仿宋_GB2312" w:hAnsi="仿宋_GB2312" w:eastAsia="仿宋_GB2312" w:cs="仿宋_GB2312"/>
              </w:rPr>
              <w:t>是</w:t>
            </w:r>
          </w:p>
        </w:tc>
      </w:tr>
    </w:tbl>
    <w:p w14:paraId="660AB31C">
      <w:pPr>
        <w:pStyle w:val="7"/>
        <w:jc w:val="left"/>
      </w:pPr>
      <w:r>
        <w:rPr>
          <w:rFonts w:ascii="仿宋_GB2312" w:hAnsi="仿宋_GB2312" w:eastAsia="仿宋_GB2312" w:cs="仿宋_GB2312"/>
        </w:rPr>
        <w:t>是否适用本国产品标准：</w:t>
      </w:r>
    </w:p>
    <w:p w14:paraId="428E65A9">
      <w:pPr>
        <w:pStyle w:val="7"/>
        <w:jc w:val="left"/>
      </w:pPr>
      <w:r>
        <w:rPr>
          <w:rFonts w:ascii="仿宋_GB2312" w:hAnsi="仿宋_GB2312" w:eastAsia="仿宋_GB2312" w:cs="仿宋_GB2312"/>
        </w:rPr>
        <w:t>采购包1：是</w:t>
      </w:r>
    </w:p>
    <w:p w14:paraId="662FAFDF">
      <w:pPr>
        <w:pStyle w:val="7"/>
        <w:jc w:val="left"/>
        <w:outlineLvl w:val="3"/>
      </w:pPr>
      <w:r>
        <w:rPr>
          <w:rFonts w:ascii="仿宋_GB2312" w:hAnsi="仿宋_GB2312" w:eastAsia="仿宋_GB2312" w:cs="仿宋_GB2312"/>
          <w:b/>
          <w:sz w:val="24"/>
        </w:rPr>
        <w:t>报价要求</w:t>
      </w:r>
    </w:p>
    <w:p w14:paraId="299702B7">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BB08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8D3902">
            <w:pPr>
              <w:pStyle w:val="7"/>
              <w:jc w:val="center"/>
            </w:pPr>
            <w:r>
              <w:rPr>
                <w:rFonts w:ascii="仿宋_GB2312" w:hAnsi="仿宋_GB2312" w:eastAsia="仿宋_GB2312" w:cs="仿宋_GB2312"/>
              </w:rPr>
              <w:t>序号</w:t>
            </w:r>
          </w:p>
        </w:tc>
        <w:tc>
          <w:tcPr>
            <w:tcW w:w="1707" w:type="dxa"/>
          </w:tcPr>
          <w:p w14:paraId="333B51B5">
            <w:pPr>
              <w:pStyle w:val="7"/>
              <w:jc w:val="center"/>
            </w:pPr>
            <w:r>
              <w:rPr>
                <w:rFonts w:ascii="仿宋_GB2312" w:hAnsi="仿宋_GB2312" w:eastAsia="仿宋_GB2312" w:cs="仿宋_GB2312"/>
              </w:rPr>
              <w:t>报价内容</w:t>
            </w:r>
          </w:p>
        </w:tc>
        <w:tc>
          <w:tcPr>
            <w:tcW w:w="1138" w:type="dxa"/>
          </w:tcPr>
          <w:p w14:paraId="53102962">
            <w:pPr>
              <w:pStyle w:val="7"/>
              <w:jc w:val="center"/>
            </w:pPr>
            <w:r>
              <w:rPr>
                <w:rFonts w:ascii="仿宋_GB2312" w:hAnsi="仿宋_GB2312" w:eastAsia="仿宋_GB2312" w:cs="仿宋_GB2312"/>
              </w:rPr>
              <w:t>数量（计量单位）</w:t>
            </w:r>
          </w:p>
        </w:tc>
        <w:tc>
          <w:tcPr>
            <w:tcW w:w="1365" w:type="dxa"/>
          </w:tcPr>
          <w:p w14:paraId="45B8732F">
            <w:pPr>
              <w:pStyle w:val="7"/>
              <w:jc w:val="center"/>
            </w:pPr>
            <w:r>
              <w:rPr>
                <w:rFonts w:ascii="仿宋_GB2312" w:hAnsi="仿宋_GB2312" w:eastAsia="仿宋_GB2312" w:cs="仿宋_GB2312"/>
              </w:rPr>
              <w:t>最高限价</w:t>
            </w:r>
          </w:p>
        </w:tc>
        <w:tc>
          <w:tcPr>
            <w:tcW w:w="1138" w:type="dxa"/>
          </w:tcPr>
          <w:p w14:paraId="0E5B83CC">
            <w:pPr>
              <w:pStyle w:val="7"/>
              <w:jc w:val="center"/>
            </w:pPr>
            <w:r>
              <w:rPr>
                <w:rFonts w:ascii="仿宋_GB2312" w:hAnsi="仿宋_GB2312" w:eastAsia="仿宋_GB2312" w:cs="仿宋_GB2312"/>
              </w:rPr>
              <w:t>价款形式</w:t>
            </w:r>
          </w:p>
        </w:tc>
        <w:tc>
          <w:tcPr>
            <w:tcW w:w="1934" w:type="dxa"/>
          </w:tcPr>
          <w:p w14:paraId="652D0608">
            <w:pPr>
              <w:pStyle w:val="7"/>
              <w:jc w:val="center"/>
            </w:pPr>
            <w:r>
              <w:rPr>
                <w:rFonts w:ascii="仿宋_GB2312" w:hAnsi="仿宋_GB2312" w:eastAsia="仿宋_GB2312" w:cs="仿宋_GB2312"/>
              </w:rPr>
              <w:t>报价说明</w:t>
            </w:r>
          </w:p>
        </w:tc>
      </w:tr>
      <w:tr w14:paraId="29F19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D3A111">
            <w:pPr>
              <w:pStyle w:val="7"/>
              <w:jc w:val="center"/>
            </w:pPr>
            <w:r>
              <w:rPr>
                <w:rFonts w:ascii="仿宋_GB2312" w:hAnsi="仿宋_GB2312" w:eastAsia="仿宋_GB2312" w:cs="仿宋_GB2312"/>
              </w:rPr>
              <w:t>1</w:t>
            </w:r>
          </w:p>
        </w:tc>
        <w:tc>
          <w:tcPr>
            <w:tcW w:w="1707" w:type="dxa"/>
          </w:tcPr>
          <w:p w14:paraId="2337E884">
            <w:pPr>
              <w:pStyle w:val="7"/>
              <w:jc w:val="center"/>
            </w:pPr>
            <w:r>
              <w:rPr>
                <w:rFonts w:ascii="仿宋_GB2312" w:hAnsi="仿宋_GB2312" w:eastAsia="仿宋_GB2312" w:cs="仿宋_GB2312"/>
              </w:rPr>
              <w:t>上下铺钢架床</w:t>
            </w:r>
          </w:p>
        </w:tc>
        <w:tc>
          <w:tcPr>
            <w:tcW w:w="1138" w:type="dxa"/>
          </w:tcPr>
          <w:p w14:paraId="6FC20DC3">
            <w:pPr>
              <w:pStyle w:val="7"/>
              <w:jc w:val="center"/>
            </w:pPr>
            <w:r>
              <w:rPr>
                <w:rFonts w:ascii="仿宋_GB2312" w:hAnsi="仿宋_GB2312" w:eastAsia="仿宋_GB2312" w:cs="仿宋_GB2312"/>
              </w:rPr>
              <w:t>1,000.00（张）</w:t>
            </w:r>
          </w:p>
        </w:tc>
        <w:tc>
          <w:tcPr>
            <w:tcW w:w="1365" w:type="dxa"/>
          </w:tcPr>
          <w:p w14:paraId="62D45984">
            <w:pPr>
              <w:pStyle w:val="7"/>
              <w:jc w:val="center"/>
            </w:pPr>
            <w:r>
              <w:rPr>
                <w:rFonts w:ascii="仿宋_GB2312" w:hAnsi="仿宋_GB2312" w:eastAsia="仿宋_GB2312" w:cs="仿宋_GB2312"/>
              </w:rPr>
              <w:t>800,000.00</w:t>
            </w:r>
          </w:p>
        </w:tc>
        <w:tc>
          <w:tcPr>
            <w:tcW w:w="1138" w:type="dxa"/>
          </w:tcPr>
          <w:p w14:paraId="54BC182C">
            <w:pPr>
              <w:pStyle w:val="7"/>
              <w:jc w:val="center"/>
            </w:pPr>
            <w:r>
              <w:rPr>
                <w:rFonts w:ascii="仿宋_GB2312" w:hAnsi="仿宋_GB2312" w:eastAsia="仿宋_GB2312" w:cs="仿宋_GB2312"/>
              </w:rPr>
              <w:t>总价</w:t>
            </w:r>
          </w:p>
        </w:tc>
        <w:tc>
          <w:tcPr>
            <w:tcW w:w="1934" w:type="dxa"/>
          </w:tcPr>
          <w:p w14:paraId="07F9283D">
            <w:pPr>
              <w:pStyle w:val="7"/>
              <w:jc w:val="left"/>
            </w:pPr>
            <w:r>
              <w:rPr>
                <w:rFonts w:ascii="仿宋_GB2312" w:hAnsi="仿宋_GB2312" w:eastAsia="仿宋_GB2312" w:cs="仿宋_GB2312"/>
              </w:rPr>
              <w:t>无</w:t>
            </w:r>
          </w:p>
        </w:tc>
      </w:tr>
    </w:tbl>
    <w:p w14:paraId="4397494A">
      <w:pPr>
        <w:pStyle w:val="7"/>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77DC6F0E">
      <w:pPr>
        <w:pStyle w:val="7"/>
        <w:jc w:val="left"/>
      </w:pPr>
      <w:r>
        <w:rPr>
          <w:rFonts w:ascii="仿宋_GB2312" w:hAnsi="仿宋_GB2312" w:eastAsia="仿宋_GB2312" w:cs="仿宋_GB2312"/>
          <w:b/>
        </w:rPr>
        <w:t>本项目涉及核心产品：</w:t>
      </w:r>
    </w:p>
    <w:p w14:paraId="7FFEF756">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552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C1D5A3">
            <w:pPr>
              <w:pStyle w:val="7"/>
              <w:jc w:val="center"/>
            </w:pPr>
            <w:r>
              <w:rPr>
                <w:rFonts w:ascii="仿宋_GB2312" w:hAnsi="仿宋_GB2312" w:eastAsia="仿宋_GB2312" w:cs="仿宋_GB2312"/>
              </w:rPr>
              <w:t>序号</w:t>
            </w:r>
          </w:p>
        </w:tc>
        <w:tc>
          <w:tcPr>
            <w:tcW w:w="2492" w:type="dxa"/>
          </w:tcPr>
          <w:p w14:paraId="5D7DFACE">
            <w:pPr>
              <w:pStyle w:val="7"/>
              <w:jc w:val="center"/>
            </w:pPr>
            <w:r>
              <w:rPr>
                <w:rFonts w:ascii="仿宋_GB2312" w:hAnsi="仿宋_GB2312" w:eastAsia="仿宋_GB2312" w:cs="仿宋_GB2312"/>
              </w:rPr>
              <w:t>采购品目名称</w:t>
            </w:r>
          </w:p>
        </w:tc>
        <w:tc>
          <w:tcPr>
            <w:tcW w:w="2492" w:type="dxa"/>
          </w:tcPr>
          <w:p w14:paraId="059F83C7">
            <w:pPr>
              <w:pStyle w:val="7"/>
              <w:jc w:val="center"/>
            </w:pPr>
            <w:r>
              <w:rPr>
                <w:rFonts w:ascii="仿宋_GB2312" w:hAnsi="仿宋_GB2312" w:eastAsia="仿宋_GB2312" w:cs="仿宋_GB2312"/>
              </w:rPr>
              <w:t>标的名称</w:t>
            </w:r>
          </w:p>
        </w:tc>
        <w:tc>
          <w:tcPr>
            <w:tcW w:w="2492" w:type="dxa"/>
          </w:tcPr>
          <w:p w14:paraId="4AACC6F9">
            <w:pPr>
              <w:pStyle w:val="7"/>
              <w:jc w:val="center"/>
            </w:pPr>
            <w:r>
              <w:rPr>
                <w:rFonts w:ascii="仿宋_GB2312" w:hAnsi="仿宋_GB2312" w:eastAsia="仿宋_GB2312" w:cs="仿宋_GB2312"/>
              </w:rPr>
              <w:t>产品名称</w:t>
            </w:r>
          </w:p>
        </w:tc>
      </w:tr>
      <w:tr w14:paraId="37AED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7282F7">
            <w:pPr>
              <w:pStyle w:val="7"/>
              <w:jc w:val="left"/>
            </w:pPr>
            <w:r>
              <w:rPr>
                <w:rFonts w:ascii="仿宋_GB2312" w:hAnsi="仿宋_GB2312" w:eastAsia="仿宋_GB2312" w:cs="仿宋_GB2312"/>
              </w:rPr>
              <w:t>1</w:t>
            </w:r>
          </w:p>
        </w:tc>
        <w:tc>
          <w:tcPr>
            <w:tcW w:w="2492" w:type="dxa"/>
          </w:tcPr>
          <w:p w14:paraId="339DFEED">
            <w:pPr>
              <w:pStyle w:val="7"/>
              <w:jc w:val="left"/>
            </w:pPr>
            <w:r>
              <w:rPr>
                <w:rFonts w:ascii="仿宋_GB2312" w:hAnsi="仿宋_GB2312" w:eastAsia="仿宋_GB2312" w:cs="仿宋_GB2312"/>
              </w:rPr>
              <w:t>A05010102 钢塑床类</w:t>
            </w:r>
          </w:p>
        </w:tc>
        <w:tc>
          <w:tcPr>
            <w:tcW w:w="2492" w:type="dxa"/>
          </w:tcPr>
          <w:p w14:paraId="79A22807">
            <w:pPr>
              <w:pStyle w:val="7"/>
              <w:jc w:val="left"/>
            </w:pPr>
            <w:r>
              <w:rPr>
                <w:rFonts w:ascii="仿宋_GB2312" w:hAnsi="仿宋_GB2312" w:eastAsia="仿宋_GB2312" w:cs="仿宋_GB2312"/>
              </w:rPr>
              <w:t>上下铺钢架床</w:t>
            </w:r>
          </w:p>
        </w:tc>
        <w:tc>
          <w:tcPr>
            <w:tcW w:w="2492" w:type="dxa"/>
          </w:tcPr>
          <w:p w14:paraId="63D4E1FD">
            <w:pPr>
              <w:pStyle w:val="7"/>
              <w:jc w:val="left"/>
            </w:pPr>
            <w:r>
              <w:rPr>
                <w:rFonts w:ascii="仿宋_GB2312" w:hAnsi="仿宋_GB2312" w:eastAsia="仿宋_GB2312" w:cs="仿宋_GB2312"/>
              </w:rPr>
              <w:t>上下铺钢架床</w:t>
            </w:r>
          </w:p>
        </w:tc>
      </w:tr>
    </w:tbl>
    <w:p w14:paraId="6F5D3F20">
      <w:pPr>
        <w:pStyle w:val="7"/>
        <w:ind w:firstLine="480"/>
        <w:jc w:val="left"/>
      </w:pPr>
      <w:r>
        <w:rPr>
          <w:rFonts w:ascii="仿宋_GB2312" w:hAnsi="仿宋_GB2312" w:eastAsia="仿宋_GB2312" w:cs="仿宋_GB2312"/>
        </w:rPr>
        <w:t>注：涉及核心产品的，具体评审规定见第五章</w:t>
      </w:r>
    </w:p>
    <w:p w14:paraId="0ED596BD">
      <w:pPr>
        <w:pStyle w:val="7"/>
        <w:jc w:val="left"/>
      </w:pPr>
      <w:r>
        <w:rPr>
          <w:rFonts w:ascii="仿宋_GB2312" w:hAnsi="仿宋_GB2312" w:eastAsia="仿宋_GB2312" w:cs="仿宋_GB2312"/>
          <w:b/>
        </w:rPr>
        <w:t>本项目涉及采购进口产品：</w:t>
      </w:r>
    </w:p>
    <w:p w14:paraId="1586E5C0">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2F2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322C5E">
            <w:pPr>
              <w:pStyle w:val="7"/>
              <w:jc w:val="center"/>
            </w:pPr>
            <w:r>
              <w:rPr>
                <w:rFonts w:ascii="仿宋_GB2312" w:hAnsi="仿宋_GB2312" w:eastAsia="仿宋_GB2312" w:cs="仿宋_GB2312"/>
              </w:rPr>
              <w:t>序号</w:t>
            </w:r>
          </w:p>
        </w:tc>
        <w:tc>
          <w:tcPr>
            <w:tcW w:w="2492" w:type="dxa"/>
          </w:tcPr>
          <w:p w14:paraId="44EDB013">
            <w:pPr>
              <w:pStyle w:val="7"/>
              <w:jc w:val="center"/>
            </w:pPr>
            <w:r>
              <w:rPr>
                <w:rFonts w:ascii="仿宋_GB2312" w:hAnsi="仿宋_GB2312" w:eastAsia="仿宋_GB2312" w:cs="仿宋_GB2312"/>
              </w:rPr>
              <w:t>采购品目名称</w:t>
            </w:r>
          </w:p>
        </w:tc>
        <w:tc>
          <w:tcPr>
            <w:tcW w:w="2492" w:type="dxa"/>
          </w:tcPr>
          <w:p w14:paraId="480A4120">
            <w:pPr>
              <w:pStyle w:val="7"/>
              <w:jc w:val="center"/>
            </w:pPr>
            <w:r>
              <w:rPr>
                <w:rFonts w:ascii="仿宋_GB2312" w:hAnsi="仿宋_GB2312" w:eastAsia="仿宋_GB2312" w:cs="仿宋_GB2312"/>
              </w:rPr>
              <w:t>标的名称</w:t>
            </w:r>
          </w:p>
        </w:tc>
        <w:tc>
          <w:tcPr>
            <w:tcW w:w="2492" w:type="dxa"/>
          </w:tcPr>
          <w:p w14:paraId="2E40A2BE">
            <w:pPr>
              <w:pStyle w:val="7"/>
              <w:jc w:val="center"/>
            </w:pPr>
            <w:r>
              <w:rPr>
                <w:rFonts w:ascii="仿宋_GB2312" w:hAnsi="仿宋_GB2312" w:eastAsia="仿宋_GB2312" w:cs="仿宋_GB2312"/>
              </w:rPr>
              <w:t>产品名称</w:t>
            </w:r>
          </w:p>
        </w:tc>
      </w:tr>
      <w:tr w14:paraId="0BB28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9F66385">
            <w:pPr>
              <w:pStyle w:val="7"/>
              <w:jc w:val="center"/>
            </w:pPr>
            <w:r>
              <w:rPr>
                <w:rFonts w:ascii="仿宋_GB2312" w:hAnsi="仿宋_GB2312" w:eastAsia="仿宋_GB2312" w:cs="仿宋_GB2312"/>
              </w:rPr>
              <w:t>不涉及</w:t>
            </w:r>
          </w:p>
        </w:tc>
      </w:tr>
    </w:tbl>
    <w:p w14:paraId="455557EE">
      <w:pPr>
        <w:pStyle w:val="7"/>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3995EE9B">
      <w:pPr>
        <w:pStyle w:val="7"/>
        <w:jc w:val="left"/>
      </w:pPr>
      <w:r>
        <w:rPr>
          <w:rFonts w:ascii="仿宋_GB2312" w:hAnsi="仿宋_GB2312" w:eastAsia="仿宋_GB2312" w:cs="仿宋_GB2312"/>
          <w:b/>
        </w:rPr>
        <w:t>本项目涉及强制采购节能产品：</w:t>
      </w:r>
    </w:p>
    <w:p w14:paraId="56B05170">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346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16F6BF">
            <w:pPr>
              <w:pStyle w:val="7"/>
              <w:jc w:val="center"/>
            </w:pPr>
            <w:r>
              <w:rPr>
                <w:rFonts w:ascii="仿宋_GB2312" w:hAnsi="仿宋_GB2312" w:eastAsia="仿宋_GB2312" w:cs="仿宋_GB2312"/>
              </w:rPr>
              <w:t>序号</w:t>
            </w:r>
          </w:p>
        </w:tc>
        <w:tc>
          <w:tcPr>
            <w:tcW w:w="2492" w:type="dxa"/>
          </w:tcPr>
          <w:p w14:paraId="018A272D">
            <w:pPr>
              <w:pStyle w:val="7"/>
              <w:jc w:val="center"/>
            </w:pPr>
            <w:r>
              <w:rPr>
                <w:rFonts w:ascii="仿宋_GB2312" w:hAnsi="仿宋_GB2312" w:eastAsia="仿宋_GB2312" w:cs="仿宋_GB2312"/>
              </w:rPr>
              <w:t>采购品目名称</w:t>
            </w:r>
          </w:p>
        </w:tc>
        <w:tc>
          <w:tcPr>
            <w:tcW w:w="2492" w:type="dxa"/>
          </w:tcPr>
          <w:p w14:paraId="39BBAEF5">
            <w:pPr>
              <w:pStyle w:val="7"/>
              <w:jc w:val="center"/>
            </w:pPr>
            <w:r>
              <w:rPr>
                <w:rFonts w:ascii="仿宋_GB2312" w:hAnsi="仿宋_GB2312" w:eastAsia="仿宋_GB2312" w:cs="仿宋_GB2312"/>
              </w:rPr>
              <w:t>标的名称</w:t>
            </w:r>
          </w:p>
        </w:tc>
        <w:tc>
          <w:tcPr>
            <w:tcW w:w="2492" w:type="dxa"/>
          </w:tcPr>
          <w:p w14:paraId="05E90F5A">
            <w:pPr>
              <w:pStyle w:val="7"/>
              <w:jc w:val="center"/>
            </w:pPr>
            <w:r>
              <w:rPr>
                <w:rFonts w:ascii="仿宋_GB2312" w:hAnsi="仿宋_GB2312" w:eastAsia="仿宋_GB2312" w:cs="仿宋_GB2312"/>
              </w:rPr>
              <w:t>产品名称</w:t>
            </w:r>
          </w:p>
        </w:tc>
      </w:tr>
      <w:tr w14:paraId="144B9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7240A39">
            <w:pPr>
              <w:pStyle w:val="7"/>
              <w:jc w:val="center"/>
            </w:pPr>
            <w:r>
              <w:rPr>
                <w:rFonts w:ascii="仿宋_GB2312" w:hAnsi="仿宋_GB2312" w:eastAsia="仿宋_GB2312" w:cs="仿宋_GB2312"/>
              </w:rPr>
              <w:t>不涉及</w:t>
            </w:r>
          </w:p>
        </w:tc>
      </w:tr>
    </w:tbl>
    <w:p w14:paraId="03999A79">
      <w:pPr>
        <w:pStyle w:val="7"/>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6669DBE">
      <w:pPr>
        <w:pStyle w:val="7"/>
        <w:jc w:val="left"/>
      </w:pPr>
      <w:r>
        <w:rPr>
          <w:rFonts w:ascii="仿宋_GB2312" w:hAnsi="仿宋_GB2312" w:eastAsia="仿宋_GB2312" w:cs="仿宋_GB2312"/>
          <w:b/>
        </w:rPr>
        <w:t>本项目涉及优先采购节能产品：</w:t>
      </w:r>
    </w:p>
    <w:p w14:paraId="3908E8D6">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E0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2E136B">
            <w:pPr>
              <w:pStyle w:val="7"/>
              <w:jc w:val="center"/>
            </w:pPr>
            <w:r>
              <w:rPr>
                <w:rFonts w:ascii="仿宋_GB2312" w:hAnsi="仿宋_GB2312" w:eastAsia="仿宋_GB2312" w:cs="仿宋_GB2312"/>
              </w:rPr>
              <w:t>序号</w:t>
            </w:r>
          </w:p>
        </w:tc>
        <w:tc>
          <w:tcPr>
            <w:tcW w:w="2492" w:type="dxa"/>
          </w:tcPr>
          <w:p w14:paraId="17B81EBB">
            <w:pPr>
              <w:pStyle w:val="7"/>
              <w:jc w:val="center"/>
            </w:pPr>
            <w:r>
              <w:rPr>
                <w:rFonts w:ascii="仿宋_GB2312" w:hAnsi="仿宋_GB2312" w:eastAsia="仿宋_GB2312" w:cs="仿宋_GB2312"/>
              </w:rPr>
              <w:t>采购品目名称</w:t>
            </w:r>
          </w:p>
        </w:tc>
        <w:tc>
          <w:tcPr>
            <w:tcW w:w="2492" w:type="dxa"/>
          </w:tcPr>
          <w:p w14:paraId="1FB40040">
            <w:pPr>
              <w:pStyle w:val="7"/>
              <w:jc w:val="center"/>
            </w:pPr>
            <w:r>
              <w:rPr>
                <w:rFonts w:ascii="仿宋_GB2312" w:hAnsi="仿宋_GB2312" w:eastAsia="仿宋_GB2312" w:cs="仿宋_GB2312"/>
              </w:rPr>
              <w:t>标的名称</w:t>
            </w:r>
          </w:p>
        </w:tc>
        <w:tc>
          <w:tcPr>
            <w:tcW w:w="2492" w:type="dxa"/>
          </w:tcPr>
          <w:p w14:paraId="16850724">
            <w:pPr>
              <w:pStyle w:val="7"/>
              <w:jc w:val="center"/>
            </w:pPr>
            <w:r>
              <w:rPr>
                <w:rFonts w:ascii="仿宋_GB2312" w:hAnsi="仿宋_GB2312" w:eastAsia="仿宋_GB2312" w:cs="仿宋_GB2312"/>
              </w:rPr>
              <w:t>产品名称</w:t>
            </w:r>
          </w:p>
        </w:tc>
      </w:tr>
      <w:tr w14:paraId="2633F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5E6E3A8">
            <w:pPr>
              <w:pStyle w:val="7"/>
              <w:jc w:val="center"/>
            </w:pPr>
            <w:r>
              <w:rPr>
                <w:rFonts w:ascii="仿宋_GB2312" w:hAnsi="仿宋_GB2312" w:eastAsia="仿宋_GB2312" w:cs="仿宋_GB2312"/>
              </w:rPr>
              <w:t>不涉及</w:t>
            </w:r>
          </w:p>
        </w:tc>
      </w:tr>
    </w:tbl>
    <w:p w14:paraId="606DC07B">
      <w:pPr>
        <w:pStyle w:val="7"/>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FA78514">
      <w:pPr>
        <w:pStyle w:val="7"/>
        <w:jc w:val="left"/>
      </w:pPr>
      <w:r>
        <w:rPr>
          <w:rFonts w:ascii="仿宋_GB2312" w:hAnsi="仿宋_GB2312" w:eastAsia="仿宋_GB2312" w:cs="仿宋_GB2312"/>
          <w:b/>
        </w:rPr>
        <w:t>本项目涉及优先采购环境标志产品：</w:t>
      </w:r>
    </w:p>
    <w:p w14:paraId="3ABF753B">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4557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053067">
            <w:pPr>
              <w:pStyle w:val="7"/>
              <w:jc w:val="center"/>
            </w:pPr>
            <w:r>
              <w:rPr>
                <w:rFonts w:ascii="仿宋_GB2312" w:hAnsi="仿宋_GB2312" w:eastAsia="仿宋_GB2312" w:cs="仿宋_GB2312"/>
              </w:rPr>
              <w:t>序号</w:t>
            </w:r>
          </w:p>
        </w:tc>
        <w:tc>
          <w:tcPr>
            <w:tcW w:w="2492" w:type="dxa"/>
          </w:tcPr>
          <w:p w14:paraId="3B10B900">
            <w:pPr>
              <w:pStyle w:val="7"/>
              <w:jc w:val="center"/>
            </w:pPr>
            <w:r>
              <w:rPr>
                <w:rFonts w:ascii="仿宋_GB2312" w:hAnsi="仿宋_GB2312" w:eastAsia="仿宋_GB2312" w:cs="仿宋_GB2312"/>
              </w:rPr>
              <w:t>采购品目名称</w:t>
            </w:r>
          </w:p>
        </w:tc>
        <w:tc>
          <w:tcPr>
            <w:tcW w:w="2492" w:type="dxa"/>
          </w:tcPr>
          <w:p w14:paraId="4F1F577E">
            <w:pPr>
              <w:pStyle w:val="7"/>
              <w:jc w:val="center"/>
            </w:pPr>
            <w:r>
              <w:rPr>
                <w:rFonts w:ascii="仿宋_GB2312" w:hAnsi="仿宋_GB2312" w:eastAsia="仿宋_GB2312" w:cs="仿宋_GB2312"/>
              </w:rPr>
              <w:t>标的名称</w:t>
            </w:r>
          </w:p>
        </w:tc>
        <w:tc>
          <w:tcPr>
            <w:tcW w:w="2492" w:type="dxa"/>
          </w:tcPr>
          <w:p w14:paraId="3E0887C1">
            <w:pPr>
              <w:pStyle w:val="7"/>
              <w:jc w:val="center"/>
            </w:pPr>
            <w:r>
              <w:rPr>
                <w:rFonts w:ascii="仿宋_GB2312" w:hAnsi="仿宋_GB2312" w:eastAsia="仿宋_GB2312" w:cs="仿宋_GB2312"/>
              </w:rPr>
              <w:t>产品名称</w:t>
            </w:r>
          </w:p>
        </w:tc>
      </w:tr>
      <w:tr w14:paraId="13648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4A19B4">
            <w:pPr>
              <w:pStyle w:val="7"/>
              <w:jc w:val="left"/>
            </w:pPr>
            <w:r>
              <w:rPr>
                <w:rFonts w:ascii="仿宋_GB2312" w:hAnsi="仿宋_GB2312" w:eastAsia="仿宋_GB2312" w:cs="仿宋_GB2312"/>
              </w:rPr>
              <w:t>1</w:t>
            </w:r>
          </w:p>
        </w:tc>
        <w:tc>
          <w:tcPr>
            <w:tcW w:w="2492" w:type="dxa"/>
          </w:tcPr>
          <w:p w14:paraId="25527C0E">
            <w:pPr>
              <w:pStyle w:val="7"/>
              <w:jc w:val="left"/>
            </w:pPr>
            <w:r>
              <w:rPr>
                <w:rFonts w:ascii="仿宋_GB2312" w:hAnsi="仿宋_GB2312" w:eastAsia="仿宋_GB2312" w:cs="仿宋_GB2312"/>
              </w:rPr>
              <w:t>A05010102 钢塑床类</w:t>
            </w:r>
          </w:p>
        </w:tc>
        <w:tc>
          <w:tcPr>
            <w:tcW w:w="2492" w:type="dxa"/>
          </w:tcPr>
          <w:p w14:paraId="6F11145C">
            <w:pPr>
              <w:pStyle w:val="7"/>
              <w:jc w:val="left"/>
            </w:pPr>
            <w:r>
              <w:rPr>
                <w:rFonts w:ascii="仿宋_GB2312" w:hAnsi="仿宋_GB2312" w:eastAsia="仿宋_GB2312" w:cs="仿宋_GB2312"/>
              </w:rPr>
              <w:t>上下铺钢架床</w:t>
            </w:r>
          </w:p>
        </w:tc>
        <w:tc>
          <w:tcPr>
            <w:tcW w:w="2492" w:type="dxa"/>
          </w:tcPr>
          <w:p w14:paraId="155DF67A">
            <w:pPr>
              <w:pStyle w:val="7"/>
              <w:jc w:val="left"/>
            </w:pPr>
            <w:r>
              <w:rPr>
                <w:rFonts w:ascii="仿宋_GB2312" w:hAnsi="仿宋_GB2312" w:eastAsia="仿宋_GB2312" w:cs="仿宋_GB2312"/>
              </w:rPr>
              <w:t>上下铺钢架床</w:t>
            </w:r>
          </w:p>
        </w:tc>
      </w:tr>
    </w:tbl>
    <w:p w14:paraId="7F88007C">
      <w:pPr>
        <w:pStyle w:val="7"/>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224A67D">
      <w:pPr>
        <w:pStyle w:val="7"/>
        <w:jc w:val="left"/>
        <w:outlineLvl w:val="2"/>
      </w:pPr>
      <w:r>
        <w:rPr>
          <w:rFonts w:ascii="仿宋_GB2312" w:hAnsi="仿宋_GB2312" w:eastAsia="仿宋_GB2312" w:cs="仿宋_GB2312"/>
          <w:b/>
          <w:sz w:val="28"/>
        </w:rPr>
        <w:t>3.2.技术要求</w:t>
      </w:r>
    </w:p>
    <w:p w14:paraId="08C7EC74">
      <w:pPr>
        <w:pStyle w:val="7"/>
        <w:jc w:val="left"/>
      </w:pPr>
      <w:r>
        <w:rPr>
          <w:rFonts w:ascii="仿宋_GB2312" w:hAnsi="仿宋_GB2312" w:eastAsia="仿宋_GB2312" w:cs="仿宋_GB2312"/>
        </w:rPr>
        <w:t>采购包1：</w:t>
      </w:r>
    </w:p>
    <w:p w14:paraId="639BB90C">
      <w:pPr>
        <w:pStyle w:val="7"/>
        <w:jc w:val="left"/>
      </w:pPr>
      <w:r>
        <w:rPr>
          <w:rFonts w:ascii="仿宋_GB2312" w:hAnsi="仿宋_GB2312" w:eastAsia="仿宋_GB2312" w:cs="仿宋_GB2312"/>
        </w:rPr>
        <w:t>标的名称：上下铺钢架床</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C2D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CE7FCA">
            <w:pPr>
              <w:pStyle w:val="7"/>
              <w:jc w:val="center"/>
            </w:pPr>
            <w:r>
              <w:rPr>
                <w:rFonts w:ascii="仿宋_GB2312" w:hAnsi="仿宋_GB2312" w:eastAsia="仿宋_GB2312" w:cs="仿宋_GB2312"/>
              </w:rPr>
              <w:t>序号</w:t>
            </w:r>
          </w:p>
        </w:tc>
        <w:tc>
          <w:tcPr>
            <w:tcW w:w="581" w:type="dxa"/>
          </w:tcPr>
          <w:p w14:paraId="3DFB070D">
            <w:pPr>
              <w:pStyle w:val="7"/>
              <w:jc w:val="center"/>
            </w:pPr>
            <w:r>
              <w:rPr>
                <w:rFonts w:ascii="仿宋_GB2312" w:hAnsi="仿宋_GB2312" w:eastAsia="仿宋_GB2312" w:cs="仿宋_GB2312"/>
              </w:rPr>
              <w:t>符号标识</w:t>
            </w:r>
          </w:p>
        </w:tc>
        <w:tc>
          <w:tcPr>
            <w:tcW w:w="1495" w:type="dxa"/>
          </w:tcPr>
          <w:p w14:paraId="018CCC15">
            <w:pPr>
              <w:pStyle w:val="7"/>
              <w:jc w:val="center"/>
            </w:pPr>
            <w:r>
              <w:rPr>
                <w:rFonts w:ascii="仿宋_GB2312" w:hAnsi="仿宋_GB2312" w:eastAsia="仿宋_GB2312" w:cs="仿宋_GB2312"/>
              </w:rPr>
              <w:t>技术要求名称</w:t>
            </w:r>
          </w:p>
        </w:tc>
        <w:tc>
          <w:tcPr>
            <w:tcW w:w="5814" w:type="dxa"/>
          </w:tcPr>
          <w:p w14:paraId="02898CCB">
            <w:pPr>
              <w:pStyle w:val="7"/>
              <w:jc w:val="center"/>
            </w:pPr>
            <w:r>
              <w:rPr>
                <w:rFonts w:ascii="仿宋_GB2312" w:hAnsi="仿宋_GB2312" w:eastAsia="仿宋_GB2312" w:cs="仿宋_GB2312"/>
              </w:rPr>
              <w:t>技术参数与性能指标</w:t>
            </w:r>
          </w:p>
        </w:tc>
      </w:tr>
      <w:tr w14:paraId="6B00E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F7DB3C">
            <w:pPr>
              <w:pStyle w:val="7"/>
              <w:jc w:val="center"/>
            </w:pPr>
            <w:r>
              <w:rPr>
                <w:rFonts w:ascii="仿宋_GB2312" w:hAnsi="仿宋_GB2312" w:eastAsia="仿宋_GB2312" w:cs="仿宋_GB2312"/>
              </w:rPr>
              <w:t>1</w:t>
            </w:r>
          </w:p>
        </w:tc>
        <w:tc>
          <w:tcPr>
            <w:tcW w:w="581" w:type="dxa"/>
          </w:tcPr>
          <w:p w14:paraId="24EDCF6B">
            <w:pPr>
              <w:pStyle w:val="7"/>
              <w:jc w:val="center"/>
            </w:pPr>
            <w:r>
              <w:rPr>
                <w:rFonts w:ascii="仿宋_GB2312" w:hAnsi="仿宋_GB2312" w:eastAsia="仿宋_GB2312" w:cs="仿宋_GB2312"/>
              </w:rPr>
              <w:t>★</w:t>
            </w:r>
          </w:p>
        </w:tc>
        <w:tc>
          <w:tcPr>
            <w:tcW w:w="1495" w:type="dxa"/>
          </w:tcPr>
          <w:p w14:paraId="0BDA205F">
            <w:pPr>
              <w:pStyle w:val="7"/>
              <w:jc w:val="left"/>
            </w:pPr>
            <w:r>
              <w:rPr>
                <w:rFonts w:ascii="仿宋_GB2312" w:hAnsi="仿宋_GB2312" w:eastAsia="仿宋_GB2312" w:cs="仿宋_GB2312"/>
              </w:rPr>
              <w:t>上下铺钢架床</w:t>
            </w:r>
          </w:p>
        </w:tc>
        <w:tc>
          <w:tcPr>
            <w:tcW w:w="5814" w:type="dxa"/>
          </w:tcPr>
          <w:p w14:paraId="0D36E3CB">
            <w:pPr>
              <w:pStyle w:val="7"/>
              <w:jc w:val="left"/>
            </w:pPr>
            <w:r>
              <w:rPr>
                <w:rFonts w:ascii="仿宋_GB2312" w:hAnsi="仿宋_GB2312" w:eastAsia="仿宋_GB2312" w:cs="仿宋_GB2312"/>
              </w:rPr>
              <w:t>详见附件：技术要求</w:t>
            </w:r>
          </w:p>
        </w:tc>
      </w:tr>
    </w:tbl>
    <w:p w14:paraId="77834709">
      <w:pPr>
        <w:pStyle w:val="7"/>
        <w:jc w:val="left"/>
        <w:outlineLvl w:val="2"/>
      </w:pPr>
      <w:r>
        <w:rPr>
          <w:rFonts w:ascii="仿宋_GB2312" w:hAnsi="仿宋_GB2312" w:eastAsia="仿宋_GB2312" w:cs="仿宋_GB2312"/>
          <w:b/>
          <w:sz w:val="28"/>
        </w:rPr>
        <w:t>3.3.服务要求</w:t>
      </w:r>
    </w:p>
    <w:p w14:paraId="65873B22">
      <w:pPr>
        <w:pStyle w:val="7"/>
        <w:jc w:val="left"/>
        <w:outlineLvl w:val="3"/>
      </w:pPr>
      <w:r>
        <w:rPr>
          <w:rFonts w:ascii="仿宋_GB2312" w:hAnsi="仿宋_GB2312" w:eastAsia="仿宋_GB2312" w:cs="仿宋_GB2312"/>
          <w:b/>
          <w:sz w:val="24"/>
        </w:rPr>
        <w:t>3.3.1.服务内容要求</w:t>
      </w:r>
    </w:p>
    <w:p w14:paraId="1A565B3D">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ED9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434887">
            <w:pPr>
              <w:pStyle w:val="7"/>
              <w:jc w:val="center"/>
            </w:pPr>
            <w:r>
              <w:rPr>
                <w:rFonts w:ascii="仿宋_GB2312" w:hAnsi="仿宋_GB2312" w:eastAsia="仿宋_GB2312" w:cs="仿宋_GB2312"/>
              </w:rPr>
              <w:t xml:space="preserve"> 序号</w:t>
            </w:r>
          </w:p>
        </w:tc>
        <w:tc>
          <w:tcPr>
            <w:tcW w:w="581" w:type="dxa"/>
          </w:tcPr>
          <w:p w14:paraId="2AC27C61">
            <w:pPr>
              <w:pStyle w:val="7"/>
              <w:jc w:val="center"/>
            </w:pPr>
            <w:r>
              <w:rPr>
                <w:rFonts w:ascii="仿宋_GB2312" w:hAnsi="仿宋_GB2312" w:eastAsia="仿宋_GB2312" w:cs="仿宋_GB2312"/>
              </w:rPr>
              <w:t xml:space="preserve"> 符号标识</w:t>
            </w:r>
          </w:p>
        </w:tc>
        <w:tc>
          <w:tcPr>
            <w:tcW w:w="1495" w:type="dxa"/>
          </w:tcPr>
          <w:p w14:paraId="575F91FB">
            <w:pPr>
              <w:pStyle w:val="7"/>
              <w:jc w:val="center"/>
            </w:pPr>
            <w:r>
              <w:rPr>
                <w:rFonts w:ascii="仿宋_GB2312" w:hAnsi="仿宋_GB2312" w:eastAsia="仿宋_GB2312" w:cs="仿宋_GB2312"/>
              </w:rPr>
              <w:t xml:space="preserve"> 服务要求名称</w:t>
            </w:r>
          </w:p>
        </w:tc>
        <w:tc>
          <w:tcPr>
            <w:tcW w:w="5814" w:type="dxa"/>
          </w:tcPr>
          <w:p w14:paraId="35AD931D">
            <w:pPr>
              <w:pStyle w:val="7"/>
              <w:jc w:val="center"/>
            </w:pPr>
            <w:r>
              <w:rPr>
                <w:rFonts w:ascii="仿宋_GB2312" w:hAnsi="仿宋_GB2312" w:eastAsia="仿宋_GB2312" w:cs="仿宋_GB2312"/>
              </w:rPr>
              <w:t xml:space="preserve"> 服务要求内容</w:t>
            </w:r>
          </w:p>
        </w:tc>
      </w:tr>
      <w:tr w14:paraId="16CD8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DB61526">
            <w:pPr>
              <w:pStyle w:val="7"/>
              <w:jc w:val="center"/>
            </w:pPr>
            <w:r>
              <w:rPr>
                <w:rFonts w:ascii="仿宋_GB2312" w:hAnsi="仿宋_GB2312" w:eastAsia="仿宋_GB2312" w:cs="仿宋_GB2312"/>
              </w:rPr>
              <w:t>无</w:t>
            </w:r>
          </w:p>
        </w:tc>
      </w:tr>
    </w:tbl>
    <w:p w14:paraId="6A7EBC98">
      <w:pPr>
        <w:pStyle w:val="7"/>
        <w:jc w:val="left"/>
        <w:outlineLvl w:val="3"/>
      </w:pPr>
      <w:r>
        <w:rPr>
          <w:rFonts w:ascii="仿宋_GB2312" w:hAnsi="仿宋_GB2312" w:eastAsia="仿宋_GB2312" w:cs="仿宋_GB2312"/>
          <w:b/>
          <w:sz w:val="24"/>
        </w:rPr>
        <w:t>3.3.2.商务要求</w:t>
      </w:r>
    </w:p>
    <w:p w14:paraId="36BB654A">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9E9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41FD47">
            <w:pPr>
              <w:pStyle w:val="7"/>
              <w:jc w:val="center"/>
            </w:pPr>
            <w:r>
              <w:rPr>
                <w:rFonts w:ascii="仿宋_GB2312" w:hAnsi="仿宋_GB2312" w:eastAsia="仿宋_GB2312" w:cs="仿宋_GB2312"/>
              </w:rPr>
              <w:t>序号</w:t>
            </w:r>
          </w:p>
        </w:tc>
        <w:tc>
          <w:tcPr>
            <w:tcW w:w="581" w:type="dxa"/>
          </w:tcPr>
          <w:p w14:paraId="7A34E6EB">
            <w:pPr>
              <w:pStyle w:val="7"/>
              <w:jc w:val="center"/>
            </w:pPr>
            <w:r>
              <w:rPr>
                <w:rFonts w:ascii="仿宋_GB2312" w:hAnsi="仿宋_GB2312" w:eastAsia="仿宋_GB2312" w:cs="仿宋_GB2312"/>
              </w:rPr>
              <w:t>符号标识</w:t>
            </w:r>
          </w:p>
        </w:tc>
        <w:tc>
          <w:tcPr>
            <w:tcW w:w="1495" w:type="dxa"/>
          </w:tcPr>
          <w:p w14:paraId="527073AB">
            <w:pPr>
              <w:pStyle w:val="7"/>
              <w:jc w:val="center"/>
            </w:pPr>
            <w:r>
              <w:rPr>
                <w:rFonts w:ascii="仿宋_GB2312" w:hAnsi="仿宋_GB2312" w:eastAsia="仿宋_GB2312" w:cs="仿宋_GB2312"/>
              </w:rPr>
              <w:t>商务要求名称</w:t>
            </w:r>
          </w:p>
        </w:tc>
        <w:tc>
          <w:tcPr>
            <w:tcW w:w="5814" w:type="dxa"/>
          </w:tcPr>
          <w:p w14:paraId="261CE6CC">
            <w:pPr>
              <w:pStyle w:val="7"/>
              <w:jc w:val="center"/>
            </w:pPr>
            <w:r>
              <w:rPr>
                <w:rFonts w:ascii="仿宋_GB2312" w:hAnsi="仿宋_GB2312" w:eastAsia="仿宋_GB2312" w:cs="仿宋_GB2312"/>
              </w:rPr>
              <w:t>商务要求内容</w:t>
            </w:r>
          </w:p>
        </w:tc>
      </w:tr>
      <w:tr w14:paraId="59FED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D09F56">
            <w:pPr>
              <w:pStyle w:val="7"/>
              <w:jc w:val="center"/>
            </w:pPr>
            <w:r>
              <w:rPr>
                <w:rFonts w:ascii="仿宋_GB2312" w:hAnsi="仿宋_GB2312" w:eastAsia="仿宋_GB2312" w:cs="仿宋_GB2312"/>
              </w:rPr>
              <w:t>1</w:t>
            </w:r>
          </w:p>
        </w:tc>
        <w:tc>
          <w:tcPr>
            <w:tcW w:w="581" w:type="dxa"/>
          </w:tcPr>
          <w:p w14:paraId="7246806A">
            <w:pPr>
              <w:pStyle w:val="7"/>
              <w:jc w:val="center"/>
            </w:pPr>
            <w:r>
              <w:rPr>
                <w:rFonts w:ascii="仿宋_GB2312" w:hAnsi="仿宋_GB2312" w:eastAsia="仿宋_GB2312" w:cs="仿宋_GB2312"/>
              </w:rPr>
              <w:t>★</w:t>
            </w:r>
          </w:p>
        </w:tc>
        <w:tc>
          <w:tcPr>
            <w:tcW w:w="1495" w:type="dxa"/>
          </w:tcPr>
          <w:p w14:paraId="0A60B3F2">
            <w:pPr>
              <w:pStyle w:val="7"/>
              <w:jc w:val="left"/>
            </w:pPr>
            <w:r>
              <w:rPr>
                <w:rFonts w:ascii="仿宋_GB2312" w:hAnsi="仿宋_GB2312" w:eastAsia="仿宋_GB2312" w:cs="仿宋_GB2312"/>
              </w:rPr>
              <w:t>交货时间</w:t>
            </w:r>
          </w:p>
        </w:tc>
        <w:tc>
          <w:tcPr>
            <w:tcW w:w="5814" w:type="dxa"/>
          </w:tcPr>
          <w:p w14:paraId="3BF82C86">
            <w:pPr>
              <w:pStyle w:val="7"/>
              <w:jc w:val="left"/>
            </w:pPr>
            <w:r>
              <w:rPr>
                <w:rFonts w:ascii="仿宋_GB2312" w:hAnsi="仿宋_GB2312" w:eastAsia="仿宋_GB2312" w:cs="仿宋_GB2312"/>
              </w:rPr>
              <w:t>自合同签订之日起30日内完成交货并安装调试完成，交付采购人使用。</w:t>
            </w:r>
          </w:p>
        </w:tc>
      </w:tr>
      <w:tr w14:paraId="7370D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9EAC7E">
            <w:pPr>
              <w:pStyle w:val="7"/>
              <w:jc w:val="center"/>
            </w:pPr>
            <w:r>
              <w:rPr>
                <w:rFonts w:ascii="仿宋_GB2312" w:hAnsi="仿宋_GB2312" w:eastAsia="仿宋_GB2312" w:cs="仿宋_GB2312"/>
              </w:rPr>
              <w:t>2</w:t>
            </w:r>
          </w:p>
        </w:tc>
        <w:tc>
          <w:tcPr>
            <w:tcW w:w="581" w:type="dxa"/>
          </w:tcPr>
          <w:p w14:paraId="12EBCF43">
            <w:pPr>
              <w:pStyle w:val="7"/>
              <w:jc w:val="center"/>
            </w:pPr>
            <w:r>
              <w:rPr>
                <w:rFonts w:ascii="仿宋_GB2312" w:hAnsi="仿宋_GB2312" w:eastAsia="仿宋_GB2312" w:cs="仿宋_GB2312"/>
              </w:rPr>
              <w:t>★</w:t>
            </w:r>
          </w:p>
        </w:tc>
        <w:tc>
          <w:tcPr>
            <w:tcW w:w="1495" w:type="dxa"/>
          </w:tcPr>
          <w:p w14:paraId="4F44F9C4">
            <w:pPr>
              <w:pStyle w:val="7"/>
              <w:jc w:val="left"/>
            </w:pPr>
            <w:r>
              <w:rPr>
                <w:rFonts w:ascii="仿宋_GB2312" w:hAnsi="仿宋_GB2312" w:eastAsia="仿宋_GB2312" w:cs="仿宋_GB2312"/>
              </w:rPr>
              <w:t>交货地点</w:t>
            </w:r>
          </w:p>
        </w:tc>
        <w:tc>
          <w:tcPr>
            <w:tcW w:w="5814" w:type="dxa"/>
          </w:tcPr>
          <w:p w14:paraId="75C872E5">
            <w:pPr>
              <w:pStyle w:val="7"/>
              <w:jc w:val="left"/>
            </w:pPr>
            <w:r>
              <w:rPr>
                <w:rFonts w:ascii="仿宋_GB2312" w:hAnsi="仿宋_GB2312" w:eastAsia="仿宋_GB2312" w:cs="仿宋_GB2312"/>
              </w:rPr>
              <w:t>宜宾市叙州区蕨溪中学校。</w:t>
            </w:r>
          </w:p>
        </w:tc>
      </w:tr>
      <w:tr w14:paraId="549E4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97DCE0">
            <w:pPr>
              <w:pStyle w:val="7"/>
              <w:jc w:val="center"/>
            </w:pPr>
            <w:r>
              <w:rPr>
                <w:rFonts w:ascii="仿宋_GB2312" w:hAnsi="仿宋_GB2312" w:eastAsia="仿宋_GB2312" w:cs="仿宋_GB2312"/>
              </w:rPr>
              <w:t>3</w:t>
            </w:r>
          </w:p>
        </w:tc>
        <w:tc>
          <w:tcPr>
            <w:tcW w:w="581" w:type="dxa"/>
          </w:tcPr>
          <w:p w14:paraId="49F8FF2F">
            <w:pPr>
              <w:pStyle w:val="7"/>
              <w:jc w:val="center"/>
            </w:pPr>
            <w:r>
              <w:rPr>
                <w:rFonts w:ascii="仿宋_GB2312" w:hAnsi="仿宋_GB2312" w:eastAsia="仿宋_GB2312" w:cs="仿宋_GB2312"/>
              </w:rPr>
              <w:t>★</w:t>
            </w:r>
          </w:p>
        </w:tc>
        <w:tc>
          <w:tcPr>
            <w:tcW w:w="1495" w:type="dxa"/>
          </w:tcPr>
          <w:p w14:paraId="445EE4DB">
            <w:pPr>
              <w:pStyle w:val="7"/>
              <w:jc w:val="left"/>
            </w:pPr>
            <w:r>
              <w:rPr>
                <w:rFonts w:ascii="仿宋_GB2312" w:hAnsi="仿宋_GB2312" w:eastAsia="仿宋_GB2312" w:cs="仿宋_GB2312"/>
              </w:rPr>
              <w:t>支付方式</w:t>
            </w:r>
          </w:p>
        </w:tc>
        <w:tc>
          <w:tcPr>
            <w:tcW w:w="5814" w:type="dxa"/>
          </w:tcPr>
          <w:p w14:paraId="4445AB6A">
            <w:pPr>
              <w:pStyle w:val="7"/>
              <w:jc w:val="left"/>
            </w:pPr>
            <w:r>
              <w:rPr>
                <w:rFonts w:ascii="仿宋_GB2312" w:hAnsi="仿宋_GB2312" w:eastAsia="仿宋_GB2312" w:cs="仿宋_GB2312"/>
              </w:rPr>
              <w:t>一次付清</w:t>
            </w:r>
          </w:p>
        </w:tc>
      </w:tr>
      <w:tr w14:paraId="70C7B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83D94">
            <w:pPr>
              <w:pStyle w:val="7"/>
              <w:jc w:val="center"/>
            </w:pPr>
            <w:r>
              <w:rPr>
                <w:rFonts w:ascii="仿宋_GB2312" w:hAnsi="仿宋_GB2312" w:eastAsia="仿宋_GB2312" w:cs="仿宋_GB2312"/>
              </w:rPr>
              <w:t>4</w:t>
            </w:r>
          </w:p>
        </w:tc>
        <w:tc>
          <w:tcPr>
            <w:tcW w:w="581" w:type="dxa"/>
          </w:tcPr>
          <w:p w14:paraId="7EB1242F">
            <w:pPr>
              <w:pStyle w:val="7"/>
              <w:jc w:val="center"/>
            </w:pPr>
            <w:r>
              <w:rPr>
                <w:rFonts w:ascii="仿宋_GB2312" w:hAnsi="仿宋_GB2312" w:eastAsia="仿宋_GB2312" w:cs="仿宋_GB2312"/>
              </w:rPr>
              <w:t>★</w:t>
            </w:r>
          </w:p>
        </w:tc>
        <w:tc>
          <w:tcPr>
            <w:tcW w:w="1495" w:type="dxa"/>
          </w:tcPr>
          <w:p w14:paraId="01C2655E">
            <w:pPr>
              <w:pStyle w:val="7"/>
              <w:jc w:val="left"/>
            </w:pPr>
            <w:r>
              <w:rPr>
                <w:rFonts w:ascii="仿宋_GB2312" w:hAnsi="仿宋_GB2312" w:eastAsia="仿宋_GB2312" w:cs="仿宋_GB2312"/>
              </w:rPr>
              <w:t>付款进度安排</w:t>
            </w:r>
          </w:p>
        </w:tc>
        <w:tc>
          <w:tcPr>
            <w:tcW w:w="5814" w:type="dxa"/>
          </w:tcPr>
          <w:p w14:paraId="25CEA098">
            <w:pPr>
              <w:pStyle w:val="7"/>
              <w:jc w:val="left"/>
            </w:pPr>
            <w:r>
              <w:rPr>
                <w:rFonts w:ascii="仿宋_GB2312" w:hAnsi="仿宋_GB2312" w:eastAsia="仿宋_GB2312" w:cs="仿宋_GB2312"/>
              </w:rPr>
              <w:t>1、货款，项目验收合格后，采购人收到成交供应商出具的合法有效完整的完税发票及相关凭证资料，达到付款条件起10日内，支付合同总金额的100.00%</w:t>
            </w:r>
          </w:p>
        </w:tc>
      </w:tr>
      <w:tr w14:paraId="1D6CE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B8CCEE">
            <w:pPr>
              <w:pStyle w:val="7"/>
              <w:jc w:val="center"/>
            </w:pPr>
            <w:r>
              <w:rPr>
                <w:rFonts w:ascii="仿宋_GB2312" w:hAnsi="仿宋_GB2312" w:eastAsia="仿宋_GB2312" w:cs="仿宋_GB2312"/>
              </w:rPr>
              <w:t>5</w:t>
            </w:r>
          </w:p>
        </w:tc>
        <w:tc>
          <w:tcPr>
            <w:tcW w:w="581" w:type="dxa"/>
          </w:tcPr>
          <w:p w14:paraId="4F29DF9F">
            <w:pPr>
              <w:pStyle w:val="7"/>
              <w:jc w:val="center"/>
            </w:pPr>
            <w:r>
              <w:rPr>
                <w:rFonts w:ascii="仿宋_GB2312" w:hAnsi="仿宋_GB2312" w:eastAsia="仿宋_GB2312" w:cs="仿宋_GB2312"/>
              </w:rPr>
              <w:t>★</w:t>
            </w:r>
          </w:p>
        </w:tc>
        <w:tc>
          <w:tcPr>
            <w:tcW w:w="1495" w:type="dxa"/>
          </w:tcPr>
          <w:p w14:paraId="46DE597D">
            <w:pPr>
              <w:pStyle w:val="7"/>
              <w:jc w:val="left"/>
            </w:pPr>
            <w:r>
              <w:rPr>
                <w:rFonts w:ascii="仿宋_GB2312" w:hAnsi="仿宋_GB2312" w:eastAsia="仿宋_GB2312" w:cs="仿宋_GB2312"/>
              </w:rPr>
              <w:t>验收、交付标准和方法</w:t>
            </w:r>
          </w:p>
        </w:tc>
        <w:tc>
          <w:tcPr>
            <w:tcW w:w="5814" w:type="dxa"/>
          </w:tcPr>
          <w:p w14:paraId="407A57D3">
            <w:pPr>
              <w:pStyle w:val="7"/>
              <w:jc w:val="left"/>
            </w:pPr>
            <w:r>
              <w:rPr>
                <w:rFonts w:ascii="仿宋_GB2312" w:hAnsi="仿宋_GB2312" w:eastAsia="仿宋_GB2312" w:cs="仿宋_GB2312"/>
              </w:rPr>
              <w:t>1.验收标准：严格按照政府采购相关法律法规、《财政部关于进一步加强政府采购需求和履约验收管理的指导意见》（财库〔2016〕205号）的要求及本项目竞争性谈判文件要求进行验收。 2.验收方式：采购人根据采购项目具体情况自行组织验收，成立验收小组，出具验收报告。 3.验收时间：供应商提出验收申请之日起7日内组织验收。</w:t>
            </w:r>
          </w:p>
        </w:tc>
      </w:tr>
      <w:tr w14:paraId="13697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FB871D">
            <w:pPr>
              <w:pStyle w:val="7"/>
              <w:jc w:val="center"/>
            </w:pPr>
            <w:r>
              <w:rPr>
                <w:rFonts w:ascii="仿宋_GB2312" w:hAnsi="仿宋_GB2312" w:eastAsia="仿宋_GB2312" w:cs="仿宋_GB2312"/>
              </w:rPr>
              <w:t>6</w:t>
            </w:r>
          </w:p>
        </w:tc>
        <w:tc>
          <w:tcPr>
            <w:tcW w:w="581" w:type="dxa"/>
          </w:tcPr>
          <w:p w14:paraId="1B997E61">
            <w:pPr>
              <w:pStyle w:val="7"/>
              <w:jc w:val="center"/>
            </w:pPr>
            <w:r>
              <w:rPr>
                <w:rFonts w:ascii="仿宋_GB2312" w:hAnsi="仿宋_GB2312" w:eastAsia="仿宋_GB2312" w:cs="仿宋_GB2312"/>
              </w:rPr>
              <w:t>★</w:t>
            </w:r>
          </w:p>
        </w:tc>
        <w:tc>
          <w:tcPr>
            <w:tcW w:w="1495" w:type="dxa"/>
          </w:tcPr>
          <w:p w14:paraId="101EE79C">
            <w:pPr>
              <w:pStyle w:val="7"/>
              <w:jc w:val="left"/>
            </w:pPr>
            <w:r>
              <w:rPr>
                <w:rFonts w:ascii="仿宋_GB2312" w:hAnsi="仿宋_GB2312" w:eastAsia="仿宋_GB2312" w:cs="仿宋_GB2312"/>
              </w:rPr>
              <w:t>质量保修范围和保修期</w:t>
            </w:r>
          </w:p>
        </w:tc>
        <w:tc>
          <w:tcPr>
            <w:tcW w:w="5814" w:type="dxa"/>
          </w:tcPr>
          <w:p w14:paraId="7A2EB238">
            <w:pPr>
              <w:pStyle w:val="7"/>
              <w:jc w:val="left"/>
            </w:pPr>
            <w:r>
              <w:rPr>
                <w:rFonts w:ascii="仿宋_GB2312" w:hAnsi="仿宋_GB2312" w:eastAsia="仿宋_GB2312" w:cs="仿宋_GB2312"/>
              </w:rPr>
              <w:t>1.质保期：产品质保期5年（质保期为验收合格之日起开始计算）。 2.供应商应在响应文件中提供售后服务计划，至少包含售后服务人员名单、联系电话、响应时间、售后服务内容等。供应商响应文件中需指派专人负责本项目，与采购人对接售后服务事宜，提供专人联系电话并保证电话24小时畅通。项目质保期内，采购人有任何问题，只与供应商专人联系，供应商专人应协调所有问题。 3.成交供应商须提供免费的 7×24 热线电话技术及技术支持方案。供应商承诺在质保期内，及时解决产品出现的所有问题，在接到采购人的维修通知后（含书面和口头通知），须在0.5小时内响应；对于电话技术支持不能解决的问题，紧急要求3小时内派专业维修技术人员到达采购人产品使用现场维修，一般要求4小时内派专业维修技术人员到达采购人产品使用现场维修，若因维护时间延误造成采购人损失的由成交供应商承担。 4.质量要求：成交供应商保证所提供货物是全新的厂家正品。货物均为全新合格产品，且有合法透明的来源渠道，可依常规合法安全使用。提供全新的货物（含零部件、配件等），表面无划伤、无碰撞痕迹，且权属清楚，不得侵害他人的知识产权。货物必须符合或优于国家（行业）技术标准。在质保期内如出现产品质量问题，由成交供应商提供免费维修和更换服务（更换后产品质保期重新计算）。 5.质保期届满后，成交供应商应提供有偿的售后服务。</w:t>
            </w:r>
          </w:p>
        </w:tc>
      </w:tr>
      <w:tr w14:paraId="1F262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1E8439">
            <w:pPr>
              <w:pStyle w:val="7"/>
              <w:jc w:val="center"/>
            </w:pPr>
            <w:r>
              <w:rPr>
                <w:rFonts w:ascii="仿宋_GB2312" w:hAnsi="仿宋_GB2312" w:eastAsia="仿宋_GB2312" w:cs="仿宋_GB2312"/>
              </w:rPr>
              <w:t>7</w:t>
            </w:r>
          </w:p>
        </w:tc>
        <w:tc>
          <w:tcPr>
            <w:tcW w:w="581" w:type="dxa"/>
          </w:tcPr>
          <w:p w14:paraId="416CFB8C">
            <w:pPr>
              <w:pStyle w:val="7"/>
              <w:jc w:val="center"/>
            </w:pPr>
            <w:r>
              <w:rPr>
                <w:rFonts w:ascii="仿宋_GB2312" w:hAnsi="仿宋_GB2312" w:eastAsia="仿宋_GB2312" w:cs="仿宋_GB2312"/>
              </w:rPr>
              <w:t>★</w:t>
            </w:r>
          </w:p>
        </w:tc>
        <w:tc>
          <w:tcPr>
            <w:tcW w:w="1495" w:type="dxa"/>
          </w:tcPr>
          <w:p w14:paraId="675C6AC5">
            <w:pPr>
              <w:pStyle w:val="7"/>
              <w:jc w:val="left"/>
            </w:pPr>
            <w:r>
              <w:rPr>
                <w:rFonts w:ascii="仿宋_GB2312" w:hAnsi="仿宋_GB2312" w:eastAsia="仿宋_GB2312" w:cs="仿宋_GB2312"/>
              </w:rPr>
              <w:t>违约责任与解决争议的方法</w:t>
            </w:r>
          </w:p>
        </w:tc>
        <w:tc>
          <w:tcPr>
            <w:tcW w:w="5814" w:type="dxa"/>
          </w:tcPr>
          <w:p w14:paraId="2C0976F6">
            <w:pPr>
              <w:pStyle w:val="7"/>
              <w:jc w:val="left"/>
            </w:pPr>
            <w:r>
              <w:rPr>
                <w:rFonts w:ascii="仿宋_GB2312" w:hAnsi="仿宋_GB2312" w:eastAsia="仿宋_GB2312" w:cs="仿宋_GB2312"/>
              </w:rPr>
              <w:t>1. 因货物质量问题发生争议时，由质量技术监督部门或其指定的质量鉴定机构进行质量鉴定。若货物符合质量标准，鉴定费用由采购人承担；若货物不符合质量标准，鉴定费用由供应商承担。 2.合同履行期间，若双方发生争议，应优先通过协商或由有关部门调解解决。若协商或调解不成，双方可依法通过法律途径维护自身合法权益。</w:t>
            </w:r>
          </w:p>
        </w:tc>
      </w:tr>
      <w:tr w14:paraId="2D259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DB477">
            <w:pPr>
              <w:pStyle w:val="7"/>
              <w:jc w:val="center"/>
            </w:pPr>
            <w:r>
              <w:rPr>
                <w:rFonts w:ascii="仿宋_GB2312" w:hAnsi="仿宋_GB2312" w:eastAsia="仿宋_GB2312" w:cs="仿宋_GB2312"/>
              </w:rPr>
              <w:t>8</w:t>
            </w:r>
          </w:p>
        </w:tc>
        <w:tc>
          <w:tcPr>
            <w:tcW w:w="581" w:type="dxa"/>
          </w:tcPr>
          <w:p w14:paraId="1B2F6B90">
            <w:pPr>
              <w:pStyle w:val="7"/>
              <w:jc w:val="center"/>
            </w:pPr>
            <w:r>
              <w:rPr>
                <w:rFonts w:ascii="仿宋_GB2312" w:hAnsi="仿宋_GB2312" w:eastAsia="仿宋_GB2312" w:cs="仿宋_GB2312"/>
              </w:rPr>
              <w:t>★</w:t>
            </w:r>
          </w:p>
        </w:tc>
        <w:tc>
          <w:tcPr>
            <w:tcW w:w="1495" w:type="dxa"/>
          </w:tcPr>
          <w:p w14:paraId="09F82BA2">
            <w:pPr>
              <w:pStyle w:val="7"/>
              <w:jc w:val="left"/>
            </w:pPr>
            <w:r>
              <w:rPr>
                <w:rFonts w:ascii="仿宋_GB2312" w:hAnsi="仿宋_GB2312" w:eastAsia="仿宋_GB2312" w:cs="仿宋_GB2312"/>
              </w:rPr>
              <w:t>包装方式及运输</w:t>
            </w:r>
          </w:p>
        </w:tc>
        <w:tc>
          <w:tcPr>
            <w:tcW w:w="5814" w:type="dxa"/>
          </w:tcPr>
          <w:p w14:paraId="2F3F079F">
            <w:pPr>
              <w:pStyle w:val="7"/>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9401074">
      <w:pPr>
        <w:pStyle w:val="7"/>
        <w:jc w:val="left"/>
        <w:outlineLvl w:val="2"/>
      </w:pPr>
      <w:r>
        <w:rPr>
          <w:rFonts w:ascii="仿宋_GB2312" w:hAnsi="仿宋_GB2312" w:eastAsia="仿宋_GB2312" w:cs="仿宋_GB2312"/>
          <w:b/>
          <w:sz w:val="28"/>
        </w:rPr>
        <w:t>3.4.其他要求</w:t>
      </w:r>
    </w:p>
    <w:p w14:paraId="64885008">
      <w:pPr>
        <w:pStyle w:val="7"/>
        <w:jc w:val="left"/>
      </w:pPr>
      <w:r>
        <w:rPr>
          <w:rFonts w:ascii="仿宋_GB2312" w:hAnsi="仿宋_GB2312" w:eastAsia="仿宋_GB2312" w:cs="仿宋_GB2312"/>
        </w:rPr>
        <w:t>采购包1：</w:t>
      </w:r>
    </w:p>
    <w:p w14:paraId="4AE0CC8F">
      <w:pPr>
        <w:pStyle w:val="7"/>
        <w:jc w:val="left"/>
        <w:rPr>
          <w:rFonts w:ascii="仿宋_GB2312" w:hAnsi="仿宋_GB2312" w:eastAsia="仿宋_GB2312" w:cs="仿宋_GB2312"/>
        </w:rPr>
      </w:pPr>
      <w:r>
        <w:rPr>
          <w:rFonts w:ascii="仿宋_GB2312" w:hAnsi="仿宋_GB2312" w:eastAsia="仿宋_GB2312" w:cs="仿宋_GB2312"/>
        </w:rPr>
        <w:t>★1.设备安装调试及运输要求 （1）本次采购的标的物需要运输，成交供应商在合同约定的时间内将标的物运输至合同约定地点。成交供应商自行运输标的物或委托承运人运输的，应为该批货物购买货物运输保险，其损毁、灭失的风险自合同成立时起由成交供应商承担。 （2）供应商应将所供货物运送到采购人指定地点，并为使用单位提供安装及调试服务，成交供应商负责本次采购所有货物及附属件的安装调试，以保证产品正常投入使用,产生的相关费用由供应商承担。安全及环境保护要求：现场安全，供应商负责送货、安装、调试现场安全管理、环境保护管理，项目实施过程中产生的包装等纸质塑料垃圾搬运至采购人指定地点。安装符合环保、安全生产规范与技术要求，直至正常使用。 ★2.合同签订后5个工作日内，成交供应商须提供竞争性谈判文件中所要求的检测报告原件，送至采购人处查验核实，如不能提供按虚假响应处理，采购人有权拒收货物和终止合同，并提请监管部门依法处理。 ★3.保险：供应商应当遵守国家有关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 ★4.本合同价款为供应商为完成本项目全部工作内容所需费用的总括体现，包含履行合同所涉及的全部成本与费用，具体包括但不限于：本项目所需全部货物（设备、材料等）的购置费用、实施费用（人工、设备投入、运输、搬运、安装、调试、原有学生公寓约1100张老旧铁床的拆除与搬运至指定位置、验收等全过程实施费用）、售后服务、保险、利润、税金等的一切费用。 ★5.本项目要求成交供应商负责将采购人原有、放置于学生公寓内的约1100张老旧铁床进行拆除，并将其搬运至指定存放地点。该指定存放点位于学生公寓楼下约60米处，涉及作业的学生公寓总层高为7层。 ★6.若本项目竞争性谈判文件中涉及的标准要求有过期作废或与国家最新标准不一致，以国家最新标准为准。</w:t>
      </w:r>
    </w:p>
    <w:p w14:paraId="0879BE6B">
      <w:pPr>
        <w:rPr>
          <w:rFonts w:ascii="仿宋_GB2312" w:hAnsi="仿宋_GB2312" w:eastAsia="仿宋_GB2312" w:cs="仿宋_GB2312"/>
        </w:rPr>
      </w:pPr>
      <w:r>
        <w:rPr>
          <w:rFonts w:ascii="仿宋_GB2312" w:hAnsi="仿宋_GB2312" w:eastAsia="仿宋_GB2312" w:cs="仿宋_GB2312"/>
        </w:rPr>
        <w:br w:type="page"/>
      </w:r>
    </w:p>
    <w:p w14:paraId="68F79461">
      <w:pPr>
        <w:pStyle w:val="7"/>
        <w:outlineLvl w:val="1"/>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附件：</w:t>
      </w:r>
    </w:p>
    <w:p w14:paraId="3647F549">
      <w:pPr>
        <w:pStyle w:val="7"/>
        <w:outlineLvl w:val="1"/>
        <w:rPr>
          <w:rFonts w:hint="eastAsia" w:ascii="仿宋" w:hAnsi="仿宋" w:eastAsia="仿宋" w:cs="仿宋"/>
          <w:sz w:val="24"/>
          <w:szCs w:val="24"/>
        </w:rPr>
      </w:pPr>
      <w:r>
        <w:rPr>
          <w:rFonts w:hint="eastAsia" w:ascii="仿宋" w:hAnsi="仿宋" w:eastAsia="仿宋" w:cs="仿宋"/>
          <w:b/>
          <w:sz w:val="24"/>
          <w:szCs w:val="24"/>
          <w:lang w:val="en-US" w:eastAsia="zh-CN"/>
        </w:rPr>
        <w:t>3.2.</w:t>
      </w:r>
      <w:r>
        <w:rPr>
          <w:rFonts w:hint="eastAsia" w:ascii="仿宋" w:hAnsi="仿宋" w:eastAsia="仿宋" w:cs="仿宋"/>
          <w:b/>
          <w:sz w:val="24"/>
          <w:szCs w:val="24"/>
        </w:rPr>
        <w:t>技术要求</w:t>
      </w:r>
    </w:p>
    <w:p w14:paraId="554D7DCB">
      <w:pPr>
        <w:pStyle w:val="7"/>
        <w:rPr>
          <w:rFonts w:hint="eastAsia" w:ascii="仿宋" w:hAnsi="仿宋" w:eastAsia="仿宋" w:cs="仿宋"/>
          <w:sz w:val="24"/>
          <w:szCs w:val="24"/>
        </w:rPr>
      </w:pPr>
      <w:r>
        <w:rPr>
          <w:rFonts w:hint="eastAsia" w:ascii="仿宋" w:hAnsi="仿宋" w:eastAsia="仿宋" w:cs="仿宋"/>
          <w:sz w:val="24"/>
          <w:szCs w:val="24"/>
        </w:rPr>
        <w:t>采购包1：</w:t>
      </w:r>
    </w:p>
    <w:p w14:paraId="2C7DF554">
      <w:pPr>
        <w:pStyle w:val="7"/>
        <w:rPr>
          <w:rFonts w:hint="eastAsia" w:ascii="仿宋" w:hAnsi="仿宋" w:eastAsia="仿宋" w:cs="仿宋"/>
          <w:sz w:val="24"/>
          <w:szCs w:val="24"/>
        </w:rPr>
      </w:pPr>
      <w:r>
        <w:rPr>
          <w:rFonts w:hint="eastAsia" w:ascii="仿宋" w:hAnsi="仿宋" w:eastAsia="仿宋" w:cs="仿宋"/>
          <w:sz w:val="24"/>
          <w:szCs w:val="24"/>
        </w:rPr>
        <w:t>标的名称：上下铺钢架床</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581"/>
        <w:gridCol w:w="1495"/>
        <w:gridCol w:w="5814"/>
      </w:tblGrid>
      <w:tr w14:paraId="2912F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730CD0">
            <w:pPr>
              <w:pStyle w:val="7"/>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581" w:type="dxa"/>
          </w:tcPr>
          <w:p w14:paraId="3E86E6B5">
            <w:pPr>
              <w:pStyle w:val="7"/>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符号标识</w:t>
            </w:r>
          </w:p>
        </w:tc>
        <w:tc>
          <w:tcPr>
            <w:tcW w:w="1495" w:type="dxa"/>
          </w:tcPr>
          <w:p w14:paraId="47D7AC96">
            <w:pPr>
              <w:pStyle w:val="7"/>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技术要求名称</w:t>
            </w:r>
          </w:p>
        </w:tc>
        <w:tc>
          <w:tcPr>
            <w:tcW w:w="5814" w:type="dxa"/>
          </w:tcPr>
          <w:p w14:paraId="4D5D51F5">
            <w:pPr>
              <w:pStyle w:val="7"/>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技术参数与性能指标</w:t>
            </w:r>
          </w:p>
        </w:tc>
      </w:tr>
      <w:tr w14:paraId="3E3BC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5AE6DA">
            <w:pPr>
              <w:pStyle w:val="7"/>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581" w:type="dxa"/>
          </w:tcPr>
          <w:p w14:paraId="5051D1E0">
            <w:pPr>
              <w:pStyle w:val="7"/>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p>
        </w:tc>
        <w:tc>
          <w:tcPr>
            <w:tcW w:w="1495" w:type="dxa"/>
          </w:tcPr>
          <w:p w14:paraId="4D8385AD">
            <w:pPr>
              <w:pStyle w:val="7"/>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上下铺钢架床</w:t>
            </w:r>
          </w:p>
        </w:tc>
        <w:tc>
          <w:tcPr>
            <w:tcW w:w="5814" w:type="dxa"/>
          </w:tcPr>
          <w:p w14:paraId="36062EEC">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1.上下铺钢架床规格：长2000mm*宽900mm*高1870mm（±</w:t>
            </w:r>
            <w:r>
              <w:rPr>
                <w:rFonts w:hint="eastAsia" w:ascii="仿宋" w:hAnsi="仿宋" w:eastAsia="仿宋" w:cs="仿宋"/>
                <w:b w:val="0"/>
                <w:bCs w:val="0"/>
                <w:color w:val="auto"/>
                <w:kern w:val="0"/>
                <w:sz w:val="24"/>
                <w:szCs w:val="24"/>
                <w:lang w:val="en-US" w:eastAsia="zh-CN"/>
              </w:rPr>
              <w:t>5</w:t>
            </w:r>
            <w:r>
              <w:rPr>
                <w:rFonts w:hint="eastAsia" w:ascii="仿宋" w:hAnsi="仿宋" w:eastAsia="仿宋" w:cs="仿宋"/>
                <w:b w:val="0"/>
                <w:bCs w:val="0"/>
                <w:color w:val="auto"/>
                <w:kern w:val="0"/>
                <w:sz w:val="24"/>
                <w:szCs w:val="24"/>
              </w:rPr>
              <w:t>mm）；每套为两人位（注：含床架一张、床板两块、爬梯一个、床下鞋架一个）。</w:t>
            </w:r>
          </w:p>
          <w:p w14:paraId="2877A81F">
            <w:pPr>
              <w:pStyle w:val="3"/>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合同签订后5个工作日内向采购人提供“钢架床”检测报告，检验检测依据：GB/T 3325-2024、GB/T 35607-2024、GB/T 231.1-2018、GB/T2423.18-2021、GB/T 6461-2002、QB/T 4371-2012、GB/T 1741-2020、GB/T 10125-2021、GB/T 30789.2-2014、GB/T 30789.3-2014、GB/T 30789.4-2015、GB/T 30789.5-2015、GB/T 30789.8-2015；检测内容至少包含：①外观性能-金属件：喷漆（塑）涂层符合要求，电镀件符合要求；安全性能-结构安全符合要求；②产品表面理化性能-金属喷漆（塑）涂层：硬度符合要求、冲击强度符合要求、附着力0级；金属电镀层：抗盐雾无锈点；③有害物质限量：甲醛≤0.01mg/m³；苯≤0.005mg/m³；甲苯≤0.005mg/m³；二甲苯(邻、间、对二甲苯之和)≤0.005mg/m³；总挥发性有机化合物（TVOC）≤0.05mg/m³；④产品有害物质-家具涂层可迁移元素：铅 Pb≤5mg/kg，镉Cd≤5mg/kg，铬Cr≤5mg/kg，汞Hg≤5mg/kg，锑Sb≤5mg/kg，钡Ba≤50mg/kg，硒Se≤5mg/kg，砷 As≤5mg/kg；⑤布氏硬度≥190；⑥耐腐蚀试验-中性盐雾试验48h，起泡：起泡等级0级。生锈：生锈等级Ri 0级。开裂：开裂等级0级。剥落：剥落等级0级。划线周边的剥离及腐蚀：腐蚀等级1级；剥离等级1级。⑦耐霉菌性-耐霉菌性等级（黑曲霉、黄曲霉、平滑正青霉）为0级；⑧交变盐雾试验168h(试验方法3:1个循环周期7d)：10级/10级(无锈蚀,无鼓泡)；⑨抗菌性能-抑菌率（金黄色葡萄球菌、变化考克氏菌（变异库克菌）、大肠杆菌）≥99.9%。</w:t>
            </w:r>
          </w:p>
          <w:p w14:paraId="7EE7DCF2">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材质工艺要求：钢材焊接方式为二氧化碳保护焊接,焊接表面波纹均匀,焊接处无夹渣、气孔、焊瘤、焊丝头咬边飞溅，并保证无脱焊、虚焊及焊穿等现象。各钢制件经酸洗、磷化、陶化等除油除锈工序后，采用环保塑粉静电喷涂及高温固化处理，防锈，耐磨，防腐蚀。</w:t>
            </w:r>
          </w:p>
          <w:p w14:paraId="124E6A63">
            <w:pPr>
              <w:pStyle w:val="3"/>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合同签订后5个工作日内向采购人提供“塑粉”检测报告，检验检测依据：HG/T 2006-2022、GB 18581-2020、HG/T 3950-</w:t>
            </w:r>
            <w:r>
              <w:rPr>
                <w:rFonts w:hint="eastAsia" w:ascii="仿宋" w:hAnsi="仿宋" w:eastAsia="仿宋" w:cs="仿宋"/>
                <w:b w:val="0"/>
                <w:bCs w:val="0"/>
                <w:color w:val="auto"/>
                <w:kern w:val="0"/>
                <w:sz w:val="24"/>
                <w:szCs w:val="24"/>
                <w:lang w:val="en-US" w:eastAsia="zh-CN"/>
              </w:rPr>
              <w:t>2025</w:t>
            </w:r>
            <w:r>
              <w:rPr>
                <w:rFonts w:hint="eastAsia" w:ascii="仿宋" w:hAnsi="仿宋" w:eastAsia="仿宋" w:cs="仿宋"/>
                <w:b w:val="0"/>
                <w:bCs w:val="0"/>
                <w:color w:val="auto"/>
                <w:kern w:val="0"/>
                <w:sz w:val="24"/>
                <w:szCs w:val="24"/>
              </w:rPr>
              <w:t>；检测内容至少包含：①外观、筛余物、漆膜外观、耐冲击性符合要求，附着力(干附着力、沸水附着力,湿附着力)≤1级；②耐磨性(750g/500r)</w:t>
            </w:r>
            <w:bookmarkStart w:id="1" w:name="_GoBack"/>
            <w:bookmarkEnd w:id="1"/>
            <w:r>
              <w:rPr>
                <w:rFonts w:hint="eastAsia" w:ascii="仿宋" w:hAnsi="仿宋" w:eastAsia="仿宋" w:cs="仿宋"/>
                <w:b w:val="0"/>
                <w:bCs w:val="0"/>
                <w:color w:val="auto"/>
                <w:kern w:val="0"/>
                <w:sz w:val="24"/>
                <w:szCs w:val="24"/>
              </w:rPr>
              <w:t>≤15mg；铅笔硬度(内聚破坏中擦伤)≥4H；杯突试验≥4mm；弯曲试验：轴的直径≤4mm，涂层无剥落；③室内用耐碱性:[5%(质量分数)氢氧化钠溶液】：168h，无异常；耐酸性[3%(质量分数)盐酸溶液]：240h，无异常；耐湿性(室内用)：500h，无异常；耐沸水性：2h，无异常；④可溶性重金属含量：镉含量≤2mg/kg、铬含量≤2mg/kg、汞含量≤2mg/kg；总铅(Pb)含量≤2mg/kg；⑤抗细菌性能-抗细菌率：（金黄色葡萄球菌、变化考克氏菌（变异库克菌）、大肠杆菌）≥99.9%；⑥抗霉菌性能-长霉等级（黑曲霉、黄曲霉）为0级。</w:t>
            </w:r>
          </w:p>
          <w:p w14:paraId="2F06FB5A">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3.部件规格参数的基本要求：</w:t>
            </w:r>
          </w:p>
          <w:p w14:paraId="79CA328C">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3.1床立柱：采用冷轧钢板经成型机一次成型闭合异型材，成型后立面尺寸为65mm*65mm（±2mm），壁厚≥1.2mm，立柱整体有2根向内凹的加强筋，外侧为半圆型，防止碰撞，增加强度及美观。</w:t>
            </w:r>
          </w:p>
          <w:p w14:paraId="42178193">
            <w:pPr>
              <w:pStyle w:val="3"/>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drawing>
                <wp:inline distT="0" distB="0" distL="114300" distR="114300">
                  <wp:extent cx="1337310" cy="1536065"/>
                  <wp:effectExtent l="0" t="0" r="15240" b="6985"/>
                  <wp:docPr id="10" name="ID_3FABA4F652174E59A59154344356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_3FABA4F652174E59A591543443561160"/>
                          <pic:cNvPicPr>
                            <a:picLocks noChangeAspect="1"/>
                          </pic:cNvPicPr>
                        </pic:nvPicPr>
                        <pic:blipFill>
                          <a:blip r:embed="rId4" cstate="print"/>
                          <a:stretch>
                            <a:fillRect/>
                          </a:stretch>
                        </pic:blipFill>
                        <pic:spPr>
                          <a:xfrm>
                            <a:off x="0" y="0"/>
                            <a:ext cx="1337310" cy="1536065"/>
                          </a:xfrm>
                          <a:prstGeom prst="rect">
                            <a:avLst/>
                          </a:prstGeom>
                          <a:noFill/>
                          <a:ln w="9525">
                            <a:noFill/>
                          </a:ln>
                        </pic:spPr>
                      </pic:pic>
                    </a:graphicData>
                  </a:graphic>
                </wp:inline>
              </w:drawing>
            </w:r>
          </w:p>
          <w:p w14:paraId="42069354">
            <w:pPr>
              <w:pStyle w:val="4"/>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（床立柱示意图）</w:t>
            </w:r>
          </w:p>
          <w:p w14:paraId="7246F68E">
            <w:pP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合同签订后5个工作日内向采购人提供“床立柱”检测报告，检验检测依据：GB/T 3325-2024、GB/T 2423.18-2021、GB/T 6461-2002、GB/T 10125-2021、GB/T 30789.2-2014、GB/T 30789.3-2014、GB/T 30789.4-2015、GB/T 30789.5-2015、GB/T 30789.8-2015、GB/T 35607-2024、GB/T 230.1-2018、GB/T 11253-2019；检测内容至少包含：①外观性能-金属件：喷漆（塑）涂层符合要求；产品表面理化性能-金属喷漆（塑）层：硬度符合要求；冲击强度符合要求；附着力0级；②交变盐雾试验168h(试验方法3:1个循环周期7d)：10级/10级(无锈蚀,无鼓泡)；③耐腐蚀试验-中性盐雾试验48h。起泡：起泡等级0级。生锈：生锈等级Ri 0级。 开裂：开裂等级0级。剥落：剥落等级0级。划线周边的剥离及腐蚀：腐蚀等级1级；剥离等级1级；④产品有害物质-家具涂层可迁移元素：锑≤5mg/kg；砷≤5mg/kg；钡≤50mg/kg；镉≤5mg/kg；铬≤5mg/kg；铅≤5mg/kg；汞≤5mg/kg；硒≤5mg/kg；⑤洛氏硬度≥60；⑥抗拉强度R</w:t>
            </w:r>
            <w:r>
              <w:rPr>
                <w:rFonts w:hint="eastAsia" w:ascii="仿宋" w:hAnsi="仿宋" w:eastAsia="仿宋" w:cs="仿宋"/>
                <w:b w:val="0"/>
                <w:bCs w:val="0"/>
                <w:color w:val="auto"/>
                <w:kern w:val="0"/>
                <w:sz w:val="24"/>
                <w:szCs w:val="24"/>
                <w:vertAlign w:val="subscript"/>
              </w:rPr>
              <w:t>m</w:t>
            </w:r>
            <w:r>
              <w:rPr>
                <w:rFonts w:hint="eastAsia" w:ascii="仿宋" w:hAnsi="仿宋" w:eastAsia="仿宋" w:cs="仿宋"/>
                <w:b w:val="0"/>
                <w:bCs w:val="0"/>
                <w:color w:val="auto"/>
                <w:kern w:val="0"/>
                <w:sz w:val="24"/>
                <w:szCs w:val="24"/>
              </w:rPr>
              <w:t>≥350MPa、断后伸长率A</w:t>
            </w:r>
            <w:r>
              <w:rPr>
                <w:rFonts w:hint="eastAsia" w:ascii="仿宋" w:hAnsi="仿宋" w:eastAsia="仿宋" w:cs="仿宋"/>
                <w:b w:val="0"/>
                <w:bCs w:val="0"/>
                <w:color w:val="auto"/>
                <w:kern w:val="0"/>
                <w:sz w:val="24"/>
                <w:szCs w:val="24"/>
                <w:vertAlign w:val="subscript"/>
              </w:rPr>
              <w:t>80mm</w:t>
            </w:r>
            <w:r>
              <w:rPr>
                <w:rFonts w:hint="eastAsia" w:ascii="仿宋" w:hAnsi="仿宋" w:eastAsia="仿宋" w:cs="仿宋"/>
                <w:b w:val="0"/>
                <w:bCs w:val="0"/>
                <w:color w:val="auto"/>
                <w:kern w:val="0"/>
                <w:sz w:val="24"/>
                <w:szCs w:val="24"/>
              </w:rPr>
              <w:t>≥30%、下屈服强度R</w:t>
            </w:r>
            <w:r>
              <w:rPr>
                <w:rFonts w:hint="eastAsia" w:ascii="仿宋" w:hAnsi="仿宋" w:eastAsia="仿宋" w:cs="仿宋"/>
                <w:b w:val="0"/>
                <w:bCs w:val="0"/>
                <w:color w:val="auto"/>
                <w:kern w:val="0"/>
                <w:sz w:val="24"/>
                <w:szCs w:val="24"/>
                <w:vertAlign w:val="subscript"/>
              </w:rPr>
              <w:t>eL</w:t>
            </w:r>
            <w:r>
              <w:rPr>
                <w:rFonts w:hint="eastAsia" w:ascii="仿宋" w:hAnsi="仿宋" w:eastAsia="仿宋" w:cs="仿宋"/>
                <w:b w:val="0"/>
                <w:bCs w:val="0"/>
                <w:color w:val="auto"/>
                <w:kern w:val="0"/>
                <w:sz w:val="24"/>
                <w:szCs w:val="24"/>
              </w:rPr>
              <w:t>≥230MPa；化学成分：C≤0.05%、Si≤0.1%、Mn≤0.5%、P≤0.02%、S≤0.01%。</w:t>
            </w:r>
          </w:p>
          <w:p w14:paraId="4F723866">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3.2 床横梁：采用冷轧钢板经成型机一次成型闭合异型材，成型后立面尺寸为70mm*37mm（±2mm），壁厚≥1.2mm。</w:t>
            </w:r>
          </w:p>
          <w:p w14:paraId="7523706D">
            <w:pPr>
              <w:pStyle w:val="3"/>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drawing>
                <wp:inline distT="0" distB="0" distL="114300" distR="114300">
                  <wp:extent cx="1337310" cy="1676400"/>
                  <wp:effectExtent l="0" t="0" r="1524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5"/>
                          <a:stretch>
                            <a:fillRect/>
                          </a:stretch>
                        </pic:blipFill>
                        <pic:spPr>
                          <a:xfrm>
                            <a:off x="0" y="0"/>
                            <a:ext cx="1337310" cy="1676400"/>
                          </a:xfrm>
                          <a:prstGeom prst="rect">
                            <a:avLst/>
                          </a:prstGeom>
                          <a:noFill/>
                          <a:ln w="9525">
                            <a:noFill/>
                          </a:ln>
                        </pic:spPr>
                      </pic:pic>
                    </a:graphicData>
                  </a:graphic>
                </wp:inline>
              </w:drawing>
            </w:r>
          </w:p>
          <w:p w14:paraId="26C7D123">
            <w:pPr>
              <w:pStyle w:val="4"/>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（床横梁示意图）</w:t>
            </w:r>
          </w:p>
          <w:p w14:paraId="29C56E36">
            <w:pP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合同签订后5个工作日内向采购人提供“床横梁”检测报告，检验检测依据：GB/T 3325-2024、GB/T 2423.18-2021、GB/T 6461-2002、GB/T 10125-2021、GB/T 30789.2-2014、GB/T 30789.3-2014、GB/T 30789.4-2015、GB/T 30789.5-2015、GB/T 30789.8-2015、GB/T 35607-2024、GB/T 230.1-2018、GB/T 11253-2019；检测内容至少包含：①外观性能-金属件：喷漆（塑）涂层符合要求；产品表面理化性能-金属喷漆（塑）层：硬度符合要求；冲击强度符合要求；附着力0级；②交变盐雾试验168h(试验方法3:1个循环周期7d)：10级/10级(无锈蚀,无鼓泡)；③耐腐蚀试验-中性盐雾试验48h。起泡：起泡等级0级。生锈：生锈等级Ri 0级。 开裂：开裂等级0级。剥落：剥落等级0级。划线周边的剥离及腐蚀：腐蚀等级1级；剥离等级1级；④产品有害物质-家具涂层可迁移元素：锑≤5mg/kg；砷≤5mg/kg；钡≤50mg/kg；镉≤5mg/kg；铬≤5mg/kg；铅≤5mg/kg；汞≤5mg/kg；硒≤5mg/kg；⑤洛氏硬度≥60；⑥抗拉强度Rm≥350MPa、断后伸长率A80mm≥30%、下屈服强度ReL≥230MPa；化学成分：C≤0.05%、Si≤0.1%、Mn≤0.5%、P≤0.02%、S≤0.01%。</w:t>
            </w:r>
          </w:p>
          <w:p w14:paraId="7543418D">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3.3 侧短横梁：采用≥50mm*25mm，壁厚≥1.0mm钢管制作。</w:t>
            </w:r>
          </w:p>
          <w:p w14:paraId="4291A677">
            <w:pPr>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3.4 床挂件：成型后尺寸≥ 210mm*27mm*27mm，材质厚度≥2.0mm。采用冷轧钢板经冲床一次性冲压成半圆型，挂件有2个接触面并带有3 个挂齿，挂齿由导向段和锁紧段组成。</w:t>
            </w:r>
          </w:p>
          <w:p w14:paraId="5AFDA25C">
            <w:pPr>
              <w:pStyle w:val="4"/>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合同签订后5个工作日内向采购人提供“冷轧钢板”检测报告，检验检测依据：GB/T 2423.18-2021、GB/T 6461-2002、GB/T 10125-2021、GB/T 30789.2-2014、GB/T 30789.3-2014、GB/T 30789.4-2015、GB/T 30789.5-2015、GB/T 30789.8-2015、GB/T 35607-2024、GB/T 3325-2024、GB/T 230.1-2018、GB/T 232-2024、GB/T 11253-2019、QB/T 4371-2012、GB/T 1741-2020；检测内容至少包含：①产品表面理化性能-金属喷漆（塑）层：硬度符合要求；冲击强度符合要求；附着力0级；②交变盐雾试验168h(试验方法3:1个循环周期7d)：10级/10级(无锈蚀,无鼓泡)；③耐腐蚀试验中性盐雾试验48h，起泡：起泡等级0级。生锈：生锈等级Ri 0级。 开裂：开裂等级0级。剥落：剥落等级0级。划线周边的剥离及腐蚀：腐蚀等级1级；剥离等级1级；④产品有害物质-家具涂层可迁移元素：锑（Sb）≤5mg/kg、砷（As）≤5mg/kg、钡（Ba）≤50mg/kg、镉（Cd）≤5mg/kg、铬（Cr）≤5mg/kg、铅（Pd）≤5mg/kg、汞（Hg）≤5mg/kg、硒（Se）≤5mg/kg；⑤弯曲试验：不使用放大辅助设备观察弯曲后的试样，弯曲外表面无目视可见裂纹；⑥抗拉强度Rm≥375MPa、断后伸长率A80mm≥25%、下屈服强度ReL≥230MPa；⑦化学成分：C≤0.15%、Si≤0.35%、Mn≤1.20%、P≤0.035%、S≤0.035%；⑧抗菌性能-抗菌率（金黄色葡萄球菌、变化考克氏菌（变异库克菌）、大肠杆菌）≥99.9%；⑩耐霉菌性-耐霉菌性等级（黑曲霉、黄曲霉、平滑正青霉）为 0级。</w:t>
            </w:r>
          </w:p>
          <w:p w14:paraId="41B807D0">
            <w:pPr>
              <w:pStyle w:val="2"/>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3.5 前护栏：规格为长1430mm*高370mm（±5mm）,上层横管及左右两侧竖管采用整根≥25mm*25mm*1.2 mm钢管弯曲成型，内部分为上下两层，上层竖管平均分布，不少于2根，竖管采用≥25mm*25mm*1.0mm厚钢管；</w:t>
            </w:r>
            <w:r>
              <w:rPr>
                <w:rFonts w:hint="eastAsia" w:ascii="仿宋" w:hAnsi="仿宋" w:eastAsia="仿宋" w:cs="仿宋"/>
                <w:b w:val="0"/>
                <w:bCs w:val="0"/>
                <w:color w:val="auto"/>
                <w:kern w:val="0"/>
                <w:sz w:val="24"/>
                <w:szCs w:val="24"/>
                <w:highlight w:val="none"/>
              </w:rPr>
              <w:t>下层内镶入一块护栏板，规格为（1380mm±5mm）*（220mm±5mm）*25mm（长*高*厚），材质采用PP塑料一次性中空吹塑成型；护栏板外侧中间带有一个直径≥125mm的圆形凹槽可粘贴标识标牌，右侧带一个长≥100mm*65mm方形凹槽可粘贴学生信息卡；护栏板靠床头一侧带有一个推拉观察窗，规格：长≥440mm*高160mm（观察窗便于学生休息时不用起身观察外部情况，并且宿管查房时也可以推拉观察窗进行检查）；护栏板内侧设有两个长≥210mm*高150mm*内凹10mm的凹槽，凹槽上设有一个储物盒，储物盒整体规格为长≥490mm*高75mm，储物盒带有两个储物格，单个储物格内径规格为≥210mm*高60mm，材质采用PP塑料一次注塑成型，两个储物格分别与护栏板的两个凹槽对应，增加储物空间的宽度，便于学生放置钥匙及眼镜等随身物品，同时避免储物盒过大占用床铺面空间；护栏板内侧两边</w:t>
            </w:r>
            <w:r>
              <w:rPr>
                <w:rFonts w:hint="eastAsia" w:ascii="仿宋" w:hAnsi="仿宋" w:eastAsia="仿宋" w:cs="仿宋"/>
                <w:b w:val="0"/>
                <w:bCs w:val="0"/>
                <w:color w:val="auto"/>
                <w:kern w:val="0"/>
                <w:sz w:val="24"/>
                <w:szCs w:val="24"/>
              </w:rPr>
              <w:t>均设有被褥高度警示线。</w:t>
            </w:r>
          </w:p>
          <w:p w14:paraId="40D9D0F4">
            <w:pPr>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drawing>
                <wp:inline distT="0" distB="0" distL="114300" distR="114300">
                  <wp:extent cx="2722880" cy="1471930"/>
                  <wp:effectExtent l="0" t="0" r="1270" b="13970"/>
                  <wp:docPr id="143" name="ID_0F196576EBAB434DB9CA0BB0872D1A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D_0F196576EBAB434DB9CA0BB0872D1AB2"/>
                          <pic:cNvPicPr>
                            <a:picLocks noChangeAspect="1"/>
                          </pic:cNvPicPr>
                        </pic:nvPicPr>
                        <pic:blipFill>
                          <a:blip r:embed="rId6"/>
                          <a:stretch>
                            <a:fillRect/>
                          </a:stretch>
                        </pic:blipFill>
                        <pic:spPr>
                          <a:xfrm>
                            <a:off x="0" y="0"/>
                            <a:ext cx="2722880" cy="1471930"/>
                          </a:xfrm>
                          <a:prstGeom prst="rect">
                            <a:avLst/>
                          </a:prstGeom>
                          <a:noFill/>
                          <a:ln w="9525">
                            <a:noFill/>
                          </a:ln>
                        </pic:spPr>
                      </pic:pic>
                    </a:graphicData>
                  </a:graphic>
                </wp:inline>
              </w:drawing>
            </w:r>
          </w:p>
          <w:p w14:paraId="6666A39A">
            <w:pPr>
              <w:pStyle w:val="3"/>
              <w:rPr>
                <w:rFonts w:hint="eastAsia" w:ascii="仿宋" w:hAnsi="仿宋" w:eastAsia="仿宋" w:cs="仿宋"/>
                <w:b w:val="0"/>
                <w:bCs w:val="0"/>
                <w:color w:val="auto"/>
                <w:kern w:val="0"/>
                <w:sz w:val="24"/>
                <w:szCs w:val="24"/>
              </w:rPr>
            </w:pPr>
            <w:bookmarkStart w:id="0" w:name="OLE_LINK1"/>
            <w:r>
              <w:rPr>
                <w:rFonts w:hint="eastAsia" w:ascii="仿宋" w:hAnsi="仿宋" w:eastAsia="仿宋" w:cs="仿宋"/>
                <w:b w:val="0"/>
                <w:bCs w:val="0"/>
                <w:color w:val="auto"/>
                <w:sz w:val="24"/>
                <w:szCs w:val="24"/>
              </w:rPr>
              <w:t>（护栏板示意图）</w:t>
            </w:r>
            <w:bookmarkEnd w:id="0"/>
          </w:p>
          <w:p w14:paraId="6FF77805">
            <w:pPr>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合同签订后5个工作日内向采购人提供“钢管”检测报告，检验检测依据：GB/T 3325-2024、GB/T 2423.18-2021、GB/T 6461-2002、GB/T 10125-2021、GB/T 30789.2-2014、GB/T 30789.3-2014、GB/T 30789.4-2015、GB/T 30789.5-2015、GB/T 30789.8-2015、GB/T 35607-2024、GB/T 230.1-2018、GB/T 3094-2012、GB/T 231.1-2018、QB/T 4371-2012、GB/T 1741-2020；检测内容至少包含：①产品表面理化性能-金属喷漆（塑）层：硬度符合要求；冲击强度符合要求；附着力0级；②交变盐雾试验168h(试验方法3:1个循环周期7d)：10级/10级(无锈蚀,无鼓泡)；③耐腐蚀试验中性盐雾试验48h，起泡：起泡等级0级。生锈：生锈等级Ri 0级。 开裂：开裂等级0级。剥落：剥落等级0级。划线周边的剥离及腐蚀：腐蚀等级1级；剥离等级1级。④产品有害物质-家具涂层可迁移元素：锑（Sb）≤5mg/kg、砷（As）≤5mg/kg、钡（Ba）≤50mg/kg、镉（Cd）≤5mg/kg、铬（Cr）≤5mg/kg、铅（Pd）≤5mg/kg、汞（Hg）≤5mg/kg、硒（Se）≤5mg/kg；⑤力学性能：抗拉强度Rm≥435MPa，下屈服强度ReL≥250MPa，断后伸长率A80mm≥30%；⑥化学成分（质量分数）：C≤0.20%、Si≤0.35%、Mn≤1.4%、P≤0.045%、S≤0.045%；⑦抗菌性能-抗菌率（金黄色葡萄球菌、大肠杆菌）≥99.9%；耐霉菌性-耐霉菌性等级（黑曲霉、黄曲霉、串珠镰刀菌）为 0级。</w:t>
            </w:r>
          </w:p>
          <w:p w14:paraId="0CC63CC1">
            <w:pPr>
              <w:pStyle w:val="3"/>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3.6 侧护栏：横管采用≥25mm*25mm*1.0mm钢管，竖管采用≥20mm*20mm*0.8mm钢管。</w:t>
            </w:r>
          </w:p>
          <w:p w14:paraId="26DB2404">
            <w:pPr>
              <w:pStyle w:val="3"/>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3.7 床板支撑管：采用≥25mm*25mm*0.8mm钢管制作，每个床位不低于 5 根。同时支撑管为防退设计，支撑管与横梁结合处须有防退卡扣，保证支撑管与床框结合紧密，不晃动,不脱扣,不允许使用胶水粘连。</w:t>
            </w:r>
          </w:p>
          <w:p w14:paraId="6C7B330E">
            <w:pPr>
              <w:pStyle w:val="3"/>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3.8 爬梯：立柱采用≥20mm*40mm*1.2mm钢管制作，踏板采用≥1.2mm厚冷轧钢板经冲压成型，踏板前沿需为圆弧形防止撞伤，表面带有凹凸纹路，可以起到防滑作用。爬梯与床架之间采用螺栓及螺帽连接固定。</w:t>
            </w:r>
          </w:p>
          <w:p w14:paraId="71FAE458">
            <w:pPr>
              <w:pStyle w:val="3"/>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rPr>
              <w:t>合同签订后5个工作日内向采购人</w:t>
            </w:r>
            <w:r>
              <w:rPr>
                <w:rFonts w:hint="eastAsia" w:ascii="仿宋" w:hAnsi="仿宋" w:eastAsia="仿宋" w:cs="仿宋"/>
                <w:b w:val="0"/>
                <w:bCs w:val="0"/>
                <w:color w:val="auto"/>
                <w:sz w:val="24"/>
                <w:szCs w:val="24"/>
              </w:rPr>
              <w:t>提供“螺栓”、“螺帽”检测报告，检验检测依据：GB/T 2423.18-2021、GB/T 6461-2002、GB/T 10125-2021，检测内容至少包含：①交变盐雾试验168h(试验方法3:1个循环周期7d)：10级/10级(无锈蚀,无鼓泡)；②金属表面耐腐蚀-乙酸及中性盐雾试验≥240h，保护评级（Rᴘ)10级；外观评级（RA）10级；③金属表面耐腐蚀-铜加速乙酸盐雾试验≥48h，保护评级（Rᴘ)10级；外观评</w:t>
            </w:r>
            <w:r>
              <w:rPr>
                <w:rFonts w:hint="eastAsia" w:ascii="仿宋" w:hAnsi="仿宋" w:eastAsia="仿宋" w:cs="仿宋"/>
                <w:b w:val="0"/>
                <w:bCs w:val="0"/>
                <w:color w:val="auto"/>
                <w:sz w:val="24"/>
                <w:szCs w:val="24"/>
                <w:highlight w:val="none"/>
              </w:rPr>
              <w:t>级（RA）10级。</w:t>
            </w:r>
          </w:p>
          <w:p w14:paraId="46A6768B">
            <w:pPr>
              <w:pStyle w:val="3"/>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3.9 床板：采用≥15mm厚杉木板，承载力≥150kg，床板与床框之间间隙≤5mm</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经烘干、正反双面抛光处理，拼接缝隙应小于5mm，床板背面需有3根≥25*35mm实木方料横杠加固（可根据床内空制作）。</w:t>
            </w:r>
          </w:p>
          <w:p w14:paraId="0C9E2A86">
            <w:pPr>
              <w:pStyle w:val="4"/>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合同签订后5个工作日内向采购人提供“床板”检测报告，检验检测依据：GB/T 3324-2024、GB 18584-2024、GB/T 31762-2015、GB/T 38467-2020；检测内容至少包含：①外观要求-木材（贯通裂缝，虫蛀，腐朽材，树脂囊，节子，死节、孔洞、夹皮和树脂道、树胶道）符合要求；②有害物质限量-甲醛≤0.01mg/m³、苯≤0.005mg/m³、甲苯≤0.005mg/m³、二甲苯(邻、间、对二甲苯之和)≤0.005mg/m³、总挥发性有机化合物（TVOC）≤0.05mg/m³；③苯酚释放量≤0.1mg/m³；④理化性能-体积湿胀率≤7%，宽度干缩率≤3%，体积干缩率≤7%。</w:t>
            </w:r>
          </w:p>
          <w:p w14:paraId="3CF5CFEE">
            <w:pPr>
              <w:pStyle w:val="3"/>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3.10 床下鞋架：规格：宽800mm*深900mm（</w:t>
            </w:r>
            <w:r>
              <w:rPr>
                <w:rFonts w:hint="eastAsia" w:ascii="仿宋" w:hAnsi="仿宋" w:eastAsia="仿宋" w:cs="仿宋"/>
                <w:b w:val="0"/>
                <w:bCs w:val="0"/>
                <w:color w:val="auto"/>
                <w:kern w:val="0"/>
                <w:sz w:val="24"/>
                <w:szCs w:val="24"/>
                <w:highlight w:val="none"/>
              </w:rPr>
              <w:t>±5</w:t>
            </w:r>
            <w:r>
              <w:rPr>
                <w:rFonts w:hint="eastAsia" w:ascii="仿宋" w:hAnsi="仿宋" w:eastAsia="仿宋" w:cs="仿宋"/>
                <w:b w:val="0"/>
                <w:bCs w:val="0"/>
                <w:color w:val="auto"/>
                <w:sz w:val="24"/>
                <w:szCs w:val="24"/>
                <w:highlight w:val="none"/>
              </w:rPr>
              <w:t>mm），采用20mm*20mm*0.8mm钢管制作。</w:t>
            </w:r>
          </w:p>
          <w:p w14:paraId="5DD91240">
            <w:pPr>
              <w:pStyle w:val="3"/>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4.质量要求</w:t>
            </w:r>
          </w:p>
          <w:p w14:paraId="532C6631">
            <w:pPr>
              <w:pStyle w:val="3"/>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4.1 床立柱上下端均配置塑料脚套，脚套采用PP塑料一次性注塑成型，脚套与床脚应结合紧密，牢靠，不脱落。</w:t>
            </w:r>
          </w:p>
          <w:p w14:paraId="172FC90E">
            <w:pPr>
              <w:pStyle w:val="4"/>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highlight w:val="none"/>
              </w:rPr>
              <w:t>合同签订后5个工作日内向采购人提供“</w:t>
            </w:r>
            <w:r>
              <w:rPr>
                <w:rFonts w:hint="eastAsia" w:ascii="仿宋" w:hAnsi="仿宋" w:eastAsia="仿宋" w:cs="仿宋"/>
                <w:b w:val="0"/>
                <w:bCs w:val="0"/>
                <w:color w:val="auto"/>
                <w:kern w:val="0"/>
                <w:sz w:val="24"/>
                <w:szCs w:val="24"/>
              </w:rPr>
              <w:t>脚套”检测报告，检验检测依据：GB/T 32487-2016、GB/T 12000-2017、GB/T 24128-2018、GB/T 11547-2008；检测内容至少包含：①塑料件外观符合要求；②塑料材料理化性能-耐老化室内用500h：冲击强度的保持率≥60%，外观颜色变色评级≥3级；③理化性能-塑料件：耐冷热循环符合要求；④盐雾试验100h，质量变化率≤2%；⑤防霉性能-防霉等级（黑曲霉、黄曲霉、帚状曲霉）为0级；⑥耐液体化学试剂性能：乙酸（50%）168h，外观变化等级（无变化）。</w:t>
            </w:r>
          </w:p>
          <w:p w14:paraId="311C3EF7">
            <w:pPr>
              <w:pStyle w:val="3"/>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4.2 床整体采用卡式连接固定。立柱上经数控冲床加工3个连接孔，通过卡式连接件无缝式下压连接床横梁，实现使用后越用越紧的状态。床横梁与卡式连接件焊接为一个整体，为保证强度，卡式连接件焊接为满焊不能留缺口及缝隙。组合安装后床整体稳固结实无晃动。</w:t>
            </w:r>
          </w:p>
          <w:p w14:paraId="1094C5EF">
            <w:pPr>
              <w:pStyle w:val="3"/>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5.所有材质的厚度均指基材本身厚度，涂层、镀层等表面处理层厚度不包含在内。</w:t>
            </w:r>
          </w:p>
          <w:p w14:paraId="5015AB56">
            <w:pPr>
              <w:pStyle w:val="3"/>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上下铺钢架床参考图片：</w:t>
            </w:r>
          </w:p>
          <w:p w14:paraId="46860ED5">
            <w:pPr>
              <w:pStyle w:val="3"/>
              <w:jc w:val="left"/>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rPr>
              <w:drawing>
                <wp:inline distT="0" distB="0" distL="114300" distR="114300">
                  <wp:extent cx="3381375" cy="3006725"/>
                  <wp:effectExtent l="0" t="0" r="9525" b="3175"/>
                  <wp:docPr id="2" name="图片 2" descr="1729fefa31e272dc6a73d711e975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9fefa31e272dc6a73d711e9755853"/>
                          <pic:cNvPicPr>
                            <a:picLocks noChangeAspect="1"/>
                          </pic:cNvPicPr>
                        </pic:nvPicPr>
                        <pic:blipFill>
                          <a:blip r:embed="rId7"/>
                          <a:stretch>
                            <a:fillRect/>
                          </a:stretch>
                        </pic:blipFill>
                        <pic:spPr>
                          <a:xfrm>
                            <a:off x="0" y="0"/>
                            <a:ext cx="3381375" cy="3006725"/>
                          </a:xfrm>
                          <a:prstGeom prst="rect">
                            <a:avLst/>
                          </a:prstGeom>
                        </pic:spPr>
                      </pic:pic>
                    </a:graphicData>
                  </a:graphic>
                </wp:inline>
              </w:drawing>
            </w:r>
          </w:p>
          <w:p w14:paraId="7DFE6F55">
            <w:pPr>
              <w:pStyle w:val="3"/>
              <w:jc w:val="left"/>
              <w:rPr>
                <w:rFonts w:hint="eastAsia" w:ascii="仿宋" w:hAnsi="仿宋" w:eastAsia="仿宋" w:cs="仿宋"/>
                <w:b w:val="0"/>
                <w:bCs w:val="0"/>
                <w:color w:val="auto"/>
                <w:sz w:val="24"/>
                <w:szCs w:val="24"/>
                <w:lang w:eastAsia="zh-CN"/>
              </w:rPr>
            </w:pPr>
          </w:p>
        </w:tc>
      </w:tr>
    </w:tbl>
    <w:p w14:paraId="58A2FC73">
      <w:pPr>
        <w:pStyle w:val="7"/>
        <w:jc w:val="left"/>
        <w:rPr>
          <w:rFonts w:ascii="仿宋_GB2312" w:hAnsi="仿宋_GB2312" w:eastAsia="仿宋_GB2312" w:cs="仿宋_GB2312"/>
        </w:rPr>
      </w:pPr>
    </w:p>
    <w:p w14:paraId="1C6F1100">
      <w:pPr>
        <w:jc w:val="center"/>
        <w:rPr>
          <w:rFonts w:hint="eastAsia" w:ascii="仿宋_GB2312" w:hAnsi="仿宋_GB2312" w:eastAsia="仿宋_GB2312" w:cs="仿宋_GB2312"/>
          <w:b/>
          <w:sz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6221C"/>
    <w:rsid w:val="1940517D"/>
    <w:rsid w:val="20967991"/>
    <w:rsid w:val="22596EC8"/>
    <w:rsid w:val="50D91050"/>
    <w:rsid w:val="5F7408C2"/>
    <w:rsid w:val="6BE6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rPr>
      <w:sz w:val="24"/>
      <w:szCs w:val="24"/>
    </w:rPr>
  </w:style>
  <w:style w:type="paragraph" w:styleId="4">
    <w:name w:val="Date"/>
    <w:basedOn w:val="1"/>
    <w:next w:val="1"/>
    <w:qFormat/>
    <w:uiPriority w:val="0"/>
    <w:rPr>
      <w:rFonts w:ascii="Arial" w:hAnsi="Arial" w:cs="Arial"/>
      <w:b/>
      <w:sz w:val="28"/>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2026-05-11T07:17:00Z</dcterms:created>
  <dc:creator>沙粒</dc:creator>
  <cp:lastModifiedBy>沙粒</cp:lastModifiedBy>
  <dcterms:modified xsi:type="dcterms:W3CDTF">2026-05-11T07:21:31Z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91BE8A6BFE4B41B380C03E38B3761277_11</vt:lpwstr>
  </property>
  <property fmtid="{D5CDD505-2E9C-101B-9397-08002B2CF9AE}" pid="4" name="KSOTemplateDocerSaveRecord">
    <vt:lpwstr>eyJoZGlkIjoiYWVjYjEyMjgxYzFhZTEyYTdlZWQ1Nzg2MGNjZWFkNWIiLCJ1c2VySWQiOiI1ODIyNzkzNDQifQ==</vt:lpwstr>
  </property>
</Properties>
</file>