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C33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01C0402">
      <w:pPr>
        <w:pStyle w:val="4"/>
        <w:jc w:val="left"/>
        <w:outlineLvl w:val="2"/>
      </w:pPr>
      <w:r>
        <w:rPr>
          <w:rFonts w:ascii="仿宋_GB2312" w:hAnsi="仿宋_GB2312" w:eastAsia="仿宋_GB2312" w:cs="仿宋_GB2312"/>
          <w:b/>
          <w:sz w:val="28"/>
        </w:rPr>
        <w:t>3.1.采购内容</w:t>
      </w:r>
    </w:p>
    <w:p w14:paraId="48884729">
      <w:pPr>
        <w:pStyle w:val="4"/>
        <w:jc w:val="left"/>
      </w:pPr>
      <w:r>
        <w:rPr>
          <w:rFonts w:ascii="仿宋_GB2312" w:hAnsi="仿宋_GB2312" w:eastAsia="仿宋_GB2312" w:cs="仿宋_GB2312"/>
        </w:rPr>
        <w:t>采购包1：</w:t>
      </w:r>
    </w:p>
    <w:p w14:paraId="2D3C5B5C">
      <w:pPr>
        <w:pStyle w:val="4"/>
        <w:jc w:val="left"/>
      </w:pPr>
      <w:r>
        <w:rPr>
          <w:rFonts w:ascii="仿宋_GB2312" w:hAnsi="仿宋_GB2312" w:eastAsia="仿宋_GB2312" w:cs="仿宋_GB2312"/>
        </w:rPr>
        <w:t>采购包预算金额（元）: 500,000.00</w:t>
      </w:r>
    </w:p>
    <w:p w14:paraId="2B826E6B">
      <w:pPr>
        <w:pStyle w:val="4"/>
        <w:jc w:val="left"/>
      </w:pPr>
      <w:r>
        <w:rPr>
          <w:rFonts w:ascii="仿宋_GB2312" w:hAnsi="仿宋_GB2312" w:eastAsia="仿宋_GB2312" w:cs="仿宋_GB2312"/>
        </w:rPr>
        <w:t>采购包最高限价（元）: 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00084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B023DD">
            <w:pPr>
              <w:pStyle w:val="4"/>
              <w:jc w:val="center"/>
            </w:pPr>
            <w:r>
              <w:rPr>
                <w:rFonts w:ascii="仿宋_GB2312" w:hAnsi="仿宋_GB2312" w:eastAsia="仿宋_GB2312" w:cs="仿宋_GB2312"/>
              </w:rPr>
              <w:t>序号</w:t>
            </w:r>
          </w:p>
        </w:tc>
        <w:tc>
          <w:tcPr>
            <w:tcW w:w="821" w:type="dxa"/>
          </w:tcPr>
          <w:p w14:paraId="24CC6671">
            <w:pPr>
              <w:pStyle w:val="4"/>
              <w:jc w:val="center"/>
            </w:pPr>
            <w:r>
              <w:rPr>
                <w:rFonts w:ascii="仿宋_GB2312" w:hAnsi="仿宋_GB2312" w:eastAsia="仿宋_GB2312" w:cs="仿宋_GB2312"/>
              </w:rPr>
              <w:t>采购品目名称</w:t>
            </w:r>
          </w:p>
        </w:tc>
        <w:tc>
          <w:tcPr>
            <w:tcW w:w="821" w:type="dxa"/>
          </w:tcPr>
          <w:p w14:paraId="697F268F">
            <w:pPr>
              <w:pStyle w:val="4"/>
              <w:jc w:val="center"/>
            </w:pPr>
            <w:r>
              <w:rPr>
                <w:rFonts w:ascii="仿宋_GB2312" w:hAnsi="仿宋_GB2312" w:eastAsia="仿宋_GB2312" w:cs="仿宋_GB2312"/>
              </w:rPr>
              <w:t>标的名称</w:t>
            </w:r>
          </w:p>
        </w:tc>
        <w:tc>
          <w:tcPr>
            <w:tcW w:w="821" w:type="dxa"/>
          </w:tcPr>
          <w:p w14:paraId="69FC2EED">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2E340FA">
            <w:pPr>
              <w:pStyle w:val="4"/>
              <w:jc w:val="center"/>
            </w:pPr>
            <w:r>
              <w:rPr>
                <w:rFonts w:ascii="仿宋_GB2312" w:hAnsi="仿宋_GB2312" w:eastAsia="仿宋_GB2312" w:cs="仿宋_GB2312"/>
              </w:rPr>
              <w:t>标的金额 （元）</w:t>
            </w:r>
          </w:p>
        </w:tc>
        <w:tc>
          <w:tcPr>
            <w:tcW w:w="821" w:type="dxa"/>
          </w:tcPr>
          <w:p w14:paraId="6EF096C6">
            <w:pPr>
              <w:pStyle w:val="4"/>
              <w:jc w:val="center"/>
            </w:pPr>
            <w:r>
              <w:rPr>
                <w:rFonts w:ascii="仿宋_GB2312" w:hAnsi="仿宋_GB2312" w:eastAsia="仿宋_GB2312" w:cs="仿宋_GB2312"/>
              </w:rPr>
              <w:t>所属行业</w:t>
            </w:r>
          </w:p>
        </w:tc>
        <w:tc>
          <w:tcPr>
            <w:tcW w:w="821" w:type="dxa"/>
          </w:tcPr>
          <w:p w14:paraId="76614F9E">
            <w:pPr>
              <w:pStyle w:val="4"/>
              <w:jc w:val="center"/>
            </w:pPr>
            <w:r>
              <w:rPr>
                <w:rFonts w:ascii="仿宋_GB2312" w:hAnsi="仿宋_GB2312" w:eastAsia="仿宋_GB2312" w:cs="仿宋_GB2312"/>
              </w:rPr>
              <w:t>是否涉及核心产品</w:t>
            </w:r>
          </w:p>
        </w:tc>
        <w:tc>
          <w:tcPr>
            <w:tcW w:w="821" w:type="dxa"/>
          </w:tcPr>
          <w:p w14:paraId="07DB9A5D">
            <w:pPr>
              <w:pStyle w:val="4"/>
              <w:jc w:val="center"/>
            </w:pPr>
            <w:r>
              <w:rPr>
                <w:rFonts w:ascii="仿宋_GB2312" w:hAnsi="仿宋_GB2312" w:eastAsia="仿宋_GB2312" w:cs="仿宋_GB2312"/>
              </w:rPr>
              <w:t>是否涉及采购进口产品</w:t>
            </w:r>
          </w:p>
        </w:tc>
        <w:tc>
          <w:tcPr>
            <w:tcW w:w="821" w:type="dxa"/>
          </w:tcPr>
          <w:p w14:paraId="13670B30">
            <w:pPr>
              <w:pStyle w:val="4"/>
              <w:jc w:val="center"/>
            </w:pPr>
            <w:r>
              <w:rPr>
                <w:rFonts w:ascii="仿宋_GB2312" w:hAnsi="仿宋_GB2312" w:eastAsia="仿宋_GB2312" w:cs="仿宋_GB2312"/>
              </w:rPr>
              <w:t>是否涉及强制采购节能产品</w:t>
            </w:r>
          </w:p>
        </w:tc>
        <w:tc>
          <w:tcPr>
            <w:tcW w:w="639" w:type="dxa"/>
          </w:tcPr>
          <w:p w14:paraId="0A3D7BE0">
            <w:pPr>
              <w:pStyle w:val="4"/>
              <w:jc w:val="center"/>
            </w:pPr>
            <w:r>
              <w:rPr>
                <w:rFonts w:ascii="仿宋_GB2312" w:hAnsi="仿宋_GB2312" w:eastAsia="仿宋_GB2312" w:cs="仿宋_GB2312"/>
              </w:rPr>
              <w:t>是否涉及优先采购节能产品</w:t>
            </w:r>
          </w:p>
        </w:tc>
        <w:tc>
          <w:tcPr>
            <w:tcW w:w="639" w:type="dxa"/>
          </w:tcPr>
          <w:p w14:paraId="1DDD1469">
            <w:pPr>
              <w:pStyle w:val="4"/>
              <w:jc w:val="center"/>
            </w:pPr>
            <w:r>
              <w:rPr>
                <w:rFonts w:ascii="仿宋_GB2312" w:hAnsi="仿宋_GB2312" w:eastAsia="仿宋_GB2312" w:cs="仿宋_GB2312"/>
              </w:rPr>
              <w:t>是否涉及优先采购环境标志产品</w:t>
            </w:r>
          </w:p>
        </w:tc>
      </w:tr>
      <w:tr w14:paraId="3F2FF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C86674">
            <w:pPr>
              <w:pStyle w:val="4"/>
              <w:jc w:val="left"/>
            </w:pPr>
            <w:r>
              <w:rPr>
                <w:rFonts w:ascii="仿宋_GB2312" w:hAnsi="仿宋_GB2312" w:eastAsia="仿宋_GB2312" w:cs="仿宋_GB2312"/>
              </w:rPr>
              <w:t>1</w:t>
            </w:r>
          </w:p>
        </w:tc>
        <w:tc>
          <w:tcPr>
            <w:tcW w:w="821" w:type="dxa"/>
          </w:tcPr>
          <w:p w14:paraId="13B3DB94">
            <w:pPr>
              <w:pStyle w:val="4"/>
              <w:jc w:val="left"/>
            </w:pPr>
            <w:r>
              <w:rPr>
                <w:rFonts w:ascii="仿宋_GB2312" w:hAnsi="仿宋_GB2312" w:eastAsia="仿宋_GB2312" w:cs="仿宋_GB2312"/>
              </w:rPr>
              <w:t>A08060303 应用软件</w:t>
            </w:r>
          </w:p>
        </w:tc>
        <w:tc>
          <w:tcPr>
            <w:tcW w:w="821" w:type="dxa"/>
          </w:tcPr>
          <w:p w14:paraId="13EA5DE6">
            <w:pPr>
              <w:pStyle w:val="4"/>
              <w:jc w:val="left"/>
            </w:pPr>
            <w:r>
              <w:rPr>
                <w:rFonts w:ascii="仿宋_GB2312" w:hAnsi="仿宋_GB2312" w:eastAsia="仿宋_GB2312" w:cs="仿宋_GB2312"/>
              </w:rPr>
              <w:t>分布式存储软件</w:t>
            </w:r>
          </w:p>
        </w:tc>
        <w:tc>
          <w:tcPr>
            <w:tcW w:w="821" w:type="dxa"/>
          </w:tcPr>
          <w:p w14:paraId="4866581B">
            <w:pPr>
              <w:pStyle w:val="4"/>
              <w:jc w:val="right"/>
            </w:pPr>
            <w:r>
              <w:rPr>
                <w:rFonts w:ascii="仿宋_GB2312" w:hAnsi="仿宋_GB2312" w:eastAsia="仿宋_GB2312" w:cs="仿宋_GB2312"/>
              </w:rPr>
              <w:t>1.00（套）</w:t>
            </w:r>
          </w:p>
        </w:tc>
        <w:tc>
          <w:tcPr>
            <w:tcW w:w="821" w:type="dxa"/>
          </w:tcPr>
          <w:p w14:paraId="6A7C244B">
            <w:pPr>
              <w:pStyle w:val="4"/>
              <w:jc w:val="right"/>
            </w:pPr>
            <w:r>
              <w:rPr>
                <w:rFonts w:ascii="仿宋_GB2312" w:hAnsi="仿宋_GB2312" w:eastAsia="仿宋_GB2312" w:cs="仿宋_GB2312"/>
              </w:rPr>
              <w:t>100,000.00</w:t>
            </w:r>
          </w:p>
        </w:tc>
        <w:tc>
          <w:tcPr>
            <w:tcW w:w="821" w:type="dxa"/>
          </w:tcPr>
          <w:p w14:paraId="2F2A32A1">
            <w:pPr>
              <w:pStyle w:val="4"/>
              <w:jc w:val="left"/>
            </w:pPr>
            <w:r>
              <w:rPr>
                <w:rFonts w:ascii="仿宋_GB2312" w:hAnsi="仿宋_GB2312" w:eastAsia="仿宋_GB2312" w:cs="仿宋_GB2312"/>
              </w:rPr>
              <w:t>软件和信息技术服务业</w:t>
            </w:r>
          </w:p>
        </w:tc>
        <w:tc>
          <w:tcPr>
            <w:tcW w:w="821" w:type="dxa"/>
          </w:tcPr>
          <w:p w14:paraId="23792BC3">
            <w:pPr>
              <w:pStyle w:val="4"/>
              <w:jc w:val="left"/>
            </w:pPr>
            <w:r>
              <w:rPr>
                <w:rFonts w:ascii="仿宋_GB2312" w:hAnsi="仿宋_GB2312" w:eastAsia="仿宋_GB2312" w:cs="仿宋_GB2312"/>
              </w:rPr>
              <w:t>是</w:t>
            </w:r>
          </w:p>
        </w:tc>
        <w:tc>
          <w:tcPr>
            <w:tcW w:w="821" w:type="dxa"/>
          </w:tcPr>
          <w:p w14:paraId="628B0F11">
            <w:pPr>
              <w:pStyle w:val="4"/>
              <w:jc w:val="left"/>
            </w:pPr>
            <w:r>
              <w:rPr>
                <w:rFonts w:ascii="仿宋_GB2312" w:hAnsi="仿宋_GB2312" w:eastAsia="仿宋_GB2312" w:cs="仿宋_GB2312"/>
              </w:rPr>
              <w:t>否</w:t>
            </w:r>
          </w:p>
        </w:tc>
        <w:tc>
          <w:tcPr>
            <w:tcW w:w="821" w:type="dxa"/>
          </w:tcPr>
          <w:p w14:paraId="3307DE3A">
            <w:pPr>
              <w:pStyle w:val="4"/>
              <w:jc w:val="left"/>
            </w:pPr>
            <w:r>
              <w:rPr>
                <w:rFonts w:ascii="仿宋_GB2312" w:hAnsi="仿宋_GB2312" w:eastAsia="仿宋_GB2312" w:cs="仿宋_GB2312"/>
              </w:rPr>
              <w:t>否</w:t>
            </w:r>
          </w:p>
        </w:tc>
        <w:tc>
          <w:tcPr>
            <w:tcW w:w="639" w:type="dxa"/>
          </w:tcPr>
          <w:p w14:paraId="046130F6">
            <w:pPr>
              <w:pStyle w:val="4"/>
              <w:jc w:val="left"/>
            </w:pPr>
            <w:r>
              <w:rPr>
                <w:rFonts w:ascii="仿宋_GB2312" w:hAnsi="仿宋_GB2312" w:eastAsia="仿宋_GB2312" w:cs="仿宋_GB2312"/>
              </w:rPr>
              <w:t>否</w:t>
            </w:r>
          </w:p>
        </w:tc>
        <w:tc>
          <w:tcPr>
            <w:tcW w:w="639" w:type="dxa"/>
          </w:tcPr>
          <w:p w14:paraId="0441D556">
            <w:pPr>
              <w:pStyle w:val="4"/>
              <w:jc w:val="left"/>
            </w:pPr>
            <w:r>
              <w:rPr>
                <w:rFonts w:ascii="仿宋_GB2312" w:hAnsi="仿宋_GB2312" w:eastAsia="仿宋_GB2312" w:cs="仿宋_GB2312"/>
              </w:rPr>
              <w:t>否</w:t>
            </w:r>
          </w:p>
        </w:tc>
      </w:tr>
      <w:tr w14:paraId="72271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A32A89">
            <w:pPr>
              <w:pStyle w:val="4"/>
              <w:jc w:val="left"/>
            </w:pPr>
            <w:r>
              <w:rPr>
                <w:rFonts w:ascii="仿宋_GB2312" w:hAnsi="仿宋_GB2312" w:eastAsia="仿宋_GB2312" w:cs="仿宋_GB2312"/>
              </w:rPr>
              <w:t>2</w:t>
            </w:r>
          </w:p>
        </w:tc>
        <w:tc>
          <w:tcPr>
            <w:tcW w:w="821" w:type="dxa"/>
          </w:tcPr>
          <w:p w14:paraId="4EC7DD16">
            <w:pPr>
              <w:pStyle w:val="4"/>
              <w:jc w:val="left"/>
            </w:pPr>
            <w:r>
              <w:rPr>
                <w:rFonts w:ascii="仿宋_GB2312" w:hAnsi="仿宋_GB2312" w:eastAsia="仿宋_GB2312" w:cs="仿宋_GB2312"/>
              </w:rPr>
              <w:t>A02010599 其他存储设备</w:t>
            </w:r>
          </w:p>
        </w:tc>
        <w:tc>
          <w:tcPr>
            <w:tcW w:w="821" w:type="dxa"/>
          </w:tcPr>
          <w:p w14:paraId="57978920">
            <w:pPr>
              <w:pStyle w:val="4"/>
              <w:jc w:val="left"/>
            </w:pPr>
            <w:r>
              <w:rPr>
                <w:rFonts w:ascii="仿宋_GB2312" w:hAnsi="仿宋_GB2312" w:eastAsia="仿宋_GB2312" w:cs="仿宋_GB2312"/>
              </w:rPr>
              <w:t>分布式存储设备</w:t>
            </w:r>
          </w:p>
        </w:tc>
        <w:tc>
          <w:tcPr>
            <w:tcW w:w="821" w:type="dxa"/>
          </w:tcPr>
          <w:p w14:paraId="0DB354B0">
            <w:pPr>
              <w:pStyle w:val="4"/>
              <w:jc w:val="right"/>
            </w:pPr>
            <w:r>
              <w:rPr>
                <w:rFonts w:ascii="仿宋_GB2312" w:hAnsi="仿宋_GB2312" w:eastAsia="仿宋_GB2312" w:cs="仿宋_GB2312"/>
              </w:rPr>
              <w:t>3.00（台）</w:t>
            </w:r>
          </w:p>
        </w:tc>
        <w:tc>
          <w:tcPr>
            <w:tcW w:w="821" w:type="dxa"/>
          </w:tcPr>
          <w:p w14:paraId="419C8B2B">
            <w:pPr>
              <w:pStyle w:val="4"/>
              <w:jc w:val="right"/>
            </w:pPr>
            <w:r>
              <w:rPr>
                <w:rFonts w:ascii="仿宋_GB2312" w:hAnsi="仿宋_GB2312" w:eastAsia="仿宋_GB2312" w:cs="仿宋_GB2312"/>
              </w:rPr>
              <w:t>300,000.00</w:t>
            </w:r>
          </w:p>
        </w:tc>
        <w:tc>
          <w:tcPr>
            <w:tcW w:w="821" w:type="dxa"/>
          </w:tcPr>
          <w:p w14:paraId="69135015">
            <w:pPr>
              <w:pStyle w:val="4"/>
              <w:jc w:val="left"/>
            </w:pPr>
            <w:r>
              <w:rPr>
                <w:rFonts w:ascii="仿宋_GB2312" w:hAnsi="仿宋_GB2312" w:eastAsia="仿宋_GB2312" w:cs="仿宋_GB2312"/>
              </w:rPr>
              <w:t>工业</w:t>
            </w:r>
          </w:p>
        </w:tc>
        <w:tc>
          <w:tcPr>
            <w:tcW w:w="821" w:type="dxa"/>
          </w:tcPr>
          <w:p w14:paraId="359F962C">
            <w:pPr>
              <w:pStyle w:val="4"/>
              <w:jc w:val="left"/>
            </w:pPr>
            <w:r>
              <w:rPr>
                <w:rFonts w:ascii="仿宋_GB2312" w:hAnsi="仿宋_GB2312" w:eastAsia="仿宋_GB2312" w:cs="仿宋_GB2312"/>
              </w:rPr>
              <w:t>否</w:t>
            </w:r>
          </w:p>
        </w:tc>
        <w:tc>
          <w:tcPr>
            <w:tcW w:w="821" w:type="dxa"/>
          </w:tcPr>
          <w:p w14:paraId="534854B6">
            <w:pPr>
              <w:pStyle w:val="4"/>
              <w:jc w:val="left"/>
            </w:pPr>
            <w:r>
              <w:rPr>
                <w:rFonts w:ascii="仿宋_GB2312" w:hAnsi="仿宋_GB2312" w:eastAsia="仿宋_GB2312" w:cs="仿宋_GB2312"/>
              </w:rPr>
              <w:t>否</w:t>
            </w:r>
          </w:p>
        </w:tc>
        <w:tc>
          <w:tcPr>
            <w:tcW w:w="821" w:type="dxa"/>
          </w:tcPr>
          <w:p w14:paraId="249B68D9">
            <w:pPr>
              <w:pStyle w:val="4"/>
              <w:jc w:val="left"/>
            </w:pPr>
            <w:r>
              <w:rPr>
                <w:rFonts w:ascii="仿宋_GB2312" w:hAnsi="仿宋_GB2312" w:eastAsia="仿宋_GB2312" w:cs="仿宋_GB2312"/>
              </w:rPr>
              <w:t>否</w:t>
            </w:r>
          </w:p>
        </w:tc>
        <w:tc>
          <w:tcPr>
            <w:tcW w:w="639" w:type="dxa"/>
          </w:tcPr>
          <w:p w14:paraId="78860F54">
            <w:pPr>
              <w:pStyle w:val="4"/>
              <w:jc w:val="left"/>
            </w:pPr>
            <w:r>
              <w:rPr>
                <w:rFonts w:ascii="仿宋_GB2312" w:hAnsi="仿宋_GB2312" w:eastAsia="仿宋_GB2312" w:cs="仿宋_GB2312"/>
              </w:rPr>
              <w:t>否</w:t>
            </w:r>
          </w:p>
        </w:tc>
        <w:tc>
          <w:tcPr>
            <w:tcW w:w="639" w:type="dxa"/>
          </w:tcPr>
          <w:p w14:paraId="0E9B5863">
            <w:pPr>
              <w:pStyle w:val="4"/>
              <w:jc w:val="left"/>
            </w:pPr>
            <w:r>
              <w:rPr>
                <w:rFonts w:ascii="仿宋_GB2312" w:hAnsi="仿宋_GB2312" w:eastAsia="仿宋_GB2312" w:cs="仿宋_GB2312"/>
              </w:rPr>
              <w:t>否</w:t>
            </w:r>
          </w:p>
        </w:tc>
      </w:tr>
      <w:tr w14:paraId="4D00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D38F48">
            <w:pPr>
              <w:pStyle w:val="4"/>
              <w:jc w:val="left"/>
            </w:pPr>
            <w:r>
              <w:rPr>
                <w:rFonts w:ascii="仿宋_GB2312" w:hAnsi="仿宋_GB2312" w:eastAsia="仿宋_GB2312" w:cs="仿宋_GB2312"/>
              </w:rPr>
              <w:t>3</w:t>
            </w:r>
          </w:p>
        </w:tc>
        <w:tc>
          <w:tcPr>
            <w:tcW w:w="821" w:type="dxa"/>
          </w:tcPr>
          <w:p w14:paraId="7C57E193">
            <w:pPr>
              <w:pStyle w:val="4"/>
              <w:jc w:val="left"/>
            </w:pPr>
            <w:r>
              <w:rPr>
                <w:rFonts w:ascii="仿宋_GB2312" w:hAnsi="仿宋_GB2312" w:eastAsia="仿宋_GB2312" w:cs="仿宋_GB2312"/>
              </w:rPr>
              <w:t>A02010202 交换设备</w:t>
            </w:r>
          </w:p>
        </w:tc>
        <w:tc>
          <w:tcPr>
            <w:tcW w:w="821" w:type="dxa"/>
          </w:tcPr>
          <w:p w14:paraId="1943A7CB">
            <w:pPr>
              <w:pStyle w:val="4"/>
              <w:jc w:val="left"/>
            </w:pPr>
            <w:r>
              <w:rPr>
                <w:rFonts w:ascii="仿宋_GB2312" w:hAnsi="仿宋_GB2312" w:eastAsia="仿宋_GB2312" w:cs="仿宋_GB2312"/>
              </w:rPr>
              <w:t>万兆交换机</w:t>
            </w:r>
          </w:p>
        </w:tc>
        <w:tc>
          <w:tcPr>
            <w:tcW w:w="821" w:type="dxa"/>
          </w:tcPr>
          <w:p w14:paraId="37408773">
            <w:pPr>
              <w:pStyle w:val="4"/>
              <w:jc w:val="right"/>
            </w:pPr>
            <w:r>
              <w:rPr>
                <w:rFonts w:ascii="仿宋_GB2312" w:hAnsi="仿宋_GB2312" w:eastAsia="仿宋_GB2312" w:cs="仿宋_GB2312"/>
              </w:rPr>
              <w:t>2.00（台）</w:t>
            </w:r>
          </w:p>
        </w:tc>
        <w:tc>
          <w:tcPr>
            <w:tcW w:w="821" w:type="dxa"/>
          </w:tcPr>
          <w:p w14:paraId="777E723B">
            <w:pPr>
              <w:pStyle w:val="4"/>
              <w:jc w:val="right"/>
            </w:pPr>
            <w:r>
              <w:rPr>
                <w:rFonts w:ascii="仿宋_GB2312" w:hAnsi="仿宋_GB2312" w:eastAsia="仿宋_GB2312" w:cs="仿宋_GB2312"/>
              </w:rPr>
              <w:t>100,000.00</w:t>
            </w:r>
          </w:p>
        </w:tc>
        <w:tc>
          <w:tcPr>
            <w:tcW w:w="821" w:type="dxa"/>
          </w:tcPr>
          <w:p w14:paraId="38D60443">
            <w:pPr>
              <w:pStyle w:val="4"/>
              <w:jc w:val="left"/>
            </w:pPr>
            <w:r>
              <w:rPr>
                <w:rFonts w:ascii="仿宋_GB2312" w:hAnsi="仿宋_GB2312" w:eastAsia="仿宋_GB2312" w:cs="仿宋_GB2312"/>
              </w:rPr>
              <w:t>工业</w:t>
            </w:r>
          </w:p>
        </w:tc>
        <w:tc>
          <w:tcPr>
            <w:tcW w:w="821" w:type="dxa"/>
          </w:tcPr>
          <w:p w14:paraId="3E683507">
            <w:pPr>
              <w:pStyle w:val="4"/>
              <w:jc w:val="left"/>
            </w:pPr>
            <w:r>
              <w:rPr>
                <w:rFonts w:ascii="仿宋_GB2312" w:hAnsi="仿宋_GB2312" w:eastAsia="仿宋_GB2312" w:cs="仿宋_GB2312"/>
              </w:rPr>
              <w:t>否</w:t>
            </w:r>
          </w:p>
        </w:tc>
        <w:tc>
          <w:tcPr>
            <w:tcW w:w="821" w:type="dxa"/>
          </w:tcPr>
          <w:p w14:paraId="136CB930">
            <w:pPr>
              <w:pStyle w:val="4"/>
              <w:jc w:val="left"/>
            </w:pPr>
            <w:r>
              <w:rPr>
                <w:rFonts w:ascii="仿宋_GB2312" w:hAnsi="仿宋_GB2312" w:eastAsia="仿宋_GB2312" w:cs="仿宋_GB2312"/>
              </w:rPr>
              <w:t>否</w:t>
            </w:r>
          </w:p>
        </w:tc>
        <w:tc>
          <w:tcPr>
            <w:tcW w:w="821" w:type="dxa"/>
          </w:tcPr>
          <w:p w14:paraId="3962A0DB">
            <w:pPr>
              <w:pStyle w:val="4"/>
              <w:jc w:val="left"/>
            </w:pPr>
            <w:r>
              <w:rPr>
                <w:rFonts w:ascii="仿宋_GB2312" w:hAnsi="仿宋_GB2312" w:eastAsia="仿宋_GB2312" w:cs="仿宋_GB2312"/>
              </w:rPr>
              <w:t>否</w:t>
            </w:r>
          </w:p>
        </w:tc>
        <w:tc>
          <w:tcPr>
            <w:tcW w:w="639" w:type="dxa"/>
          </w:tcPr>
          <w:p w14:paraId="75193A6D">
            <w:pPr>
              <w:pStyle w:val="4"/>
              <w:jc w:val="left"/>
            </w:pPr>
            <w:r>
              <w:rPr>
                <w:rFonts w:ascii="仿宋_GB2312" w:hAnsi="仿宋_GB2312" w:eastAsia="仿宋_GB2312" w:cs="仿宋_GB2312"/>
              </w:rPr>
              <w:t>否</w:t>
            </w:r>
          </w:p>
        </w:tc>
        <w:tc>
          <w:tcPr>
            <w:tcW w:w="639" w:type="dxa"/>
          </w:tcPr>
          <w:p w14:paraId="0F7E2340">
            <w:pPr>
              <w:pStyle w:val="4"/>
              <w:jc w:val="left"/>
            </w:pPr>
            <w:r>
              <w:rPr>
                <w:rFonts w:ascii="仿宋_GB2312" w:hAnsi="仿宋_GB2312" w:eastAsia="仿宋_GB2312" w:cs="仿宋_GB2312"/>
              </w:rPr>
              <w:t>否</w:t>
            </w:r>
          </w:p>
        </w:tc>
      </w:tr>
    </w:tbl>
    <w:p w14:paraId="45079E28">
      <w:pPr>
        <w:pStyle w:val="4"/>
        <w:jc w:val="left"/>
      </w:pPr>
      <w:r>
        <w:rPr>
          <w:rFonts w:ascii="仿宋_GB2312" w:hAnsi="仿宋_GB2312" w:eastAsia="仿宋_GB2312" w:cs="仿宋_GB2312"/>
        </w:rPr>
        <w:t>是否适用本国产品标准：</w:t>
      </w:r>
    </w:p>
    <w:p w14:paraId="5993F77A">
      <w:pPr>
        <w:pStyle w:val="4"/>
        <w:jc w:val="left"/>
      </w:pPr>
      <w:r>
        <w:rPr>
          <w:rFonts w:ascii="仿宋_GB2312" w:hAnsi="仿宋_GB2312" w:eastAsia="仿宋_GB2312" w:cs="仿宋_GB2312"/>
        </w:rPr>
        <w:t>采购包1：是</w:t>
      </w:r>
    </w:p>
    <w:p w14:paraId="07085530">
      <w:pPr>
        <w:pStyle w:val="4"/>
        <w:jc w:val="left"/>
        <w:outlineLvl w:val="3"/>
      </w:pPr>
      <w:r>
        <w:rPr>
          <w:rFonts w:ascii="仿宋_GB2312" w:hAnsi="仿宋_GB2312" w:eastAsia="仿宋_GB2312" w:cs="仿宋_GB2312"/>
          <w:b/>
          <w:sz w:val="24"/>
        </w:rPr>
        <w:t>报价要求</w:t>
      </w:r>
    </w:p>
    <w:p w14:paraId="40375DB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C842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874A31">
            <w:pPr>
              <w:pStyle w:val="4"/>
              <w:jc w:val="center"/>
            </w:pPr>
            <w:r>
              <w:rPr>
                <w:rFonts w:ascii="仿宋_GB2312" w:hAnsi="仿宋_GB2312" w:eastAsia="仿宋_GB2312" w:cs="仿宋_GB2312"/>
              </w:rPr>
              <w:t>序号</w:t>
            </w:r>
          </w:p>
        </w:tc>
        <w:tc>
          <w:tcPr>
            <w:tcW w:w="1707" w:type="dxa"/>
          </w:tcPr>
          <w:p w14:paraId="7E13D0E8">
            <w:pPr>
              <w:pStyle w:val="4"/>
              <w:jc w:val="center"/>
            </w:pPr>
            <w:r>
              <w:rPr>
                <w:rFonts w:ascii="仿宋_GB2312" w:hAnsi="仿宋_GB2312" w:eastAsia="仿宋_GB2312" w:cs="仿宋_GB2312"/>
              </w:rPr>
              <w:t>报价内容</w:t>
            </w:r>
          </w:p>
        </w:tc>
        <w:tc>
          <w:tcPr>
            <w:tcW w:w="1138" w:type="dxa"/>
          </w:tcPr>
          <w:p w14:paraId="510B3A6A">
            <w:pPr>
              <w:pStyle w:val="4"/>
              <w:jc w:val="center"/>
            </w:pPr>
            <w:r>
              <w:rPr>
                <w:rFonts w:ascii="仿宋_GB2312" w:hAnsi="仿宋_GB2312" w:eastAsia="仿宋_GB2312" w:cs="仿宋_GB2312"/>
              </w:rPr>
              <w:t>数量（计量单位）</w:t>
            </w:r>
          </w:p>
        </w:tc>
        <w:tc>
          <w:tcPr>
            <w:tcW w:w="1365" w:type="dxa"/>
          </w:tcPr>
          <w:p w14:paraId="62BEBA38">
            <w:pPr>
              <w:pStyle w:val="4"/>
              <w:jc w:val="center"/>
            </w:pPr>
            <w:r>
              <w:rPr>
                <w:rFonts w:ascii="仿宋_GB2312" w:hAnsi="仿宋_GB2312" w:eastAsia="仿宋_GB2312" w:cs="仿宋_GB2312"/>
              </w:rPr>
              <w:t>最高限价</w:t>
            </w:r>
          </w:p>
        </w:tc>
        <w:tc>
          <w:tcPr>
            <w:tcW w:w="1138" w:type="dxa"/>
          </w:tcPr>
          <w:p w14:paraId="52BA2D88">
            <w:pPr>
              <w:pStyle w:val="4"/>
              <w:jc w:val="center"/>
            </w:pPr>
            <w:r>
              <w:rPr>
                <w:rFonts w:ascii="仿宋_GB2312" w:hAnsi="仿宋_GB2312" w:eastAsia="仿宋_GB2312" w:cs="仿宋_GB2312"/>
              </w:rPr>
              <w:t>价款形式</w:t>
            </w:r>
          </w:p>
        </w:tc>
        <w:tc>
          <w:tcPr>
            <w:tcW w:w="1934" w:type="dxa"/>
          </w:tcPr>
          <w:p w14:paraId="103059D6">
            <w:pPr>
              <w:pStyle w:val="4"/>
              <w:jc w:val="center"/>
            </w:pPr>
            <w:r>
              <w:rPr>
                <w:rFonts w:ascii="仿宋_GB2312" w:hAnsi="仿宋_GB2312" w:eastAsia="仿宋_GB2312" w:cs="仿宋_GB2312"/>
              </w:rPr>
              <w:t>报价说明</w:t>
            </w:r>
          </w:p>
        </w:tc>
      </w:tr>
      <w:tr w14:paraId="6B71A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9A4CE7">
            <w:pPr>
              <w:pStyle w:val="4"/>
              <w:jc w:val="center"/>
            </w:pPr>
            <w:r>
              <w:rPr>
                <w:rFonts w:ascii="仿宋_GB2312" w:hAnsi="仿宋_GB2312" w:eastAsia="仿宋_GB2312" w:cs="仿宋_GB2312"/>
              </w:rPr>
              <w:t>1</w:t>
            </w:r>
          </w:p>
        </w:tc>
        <w:tc>
          <w:tcPr>
            <w:tcW w:w="1707" w:type="dxa"/>
          </w:tcPr>
          <w:p w14:paraId="763FDB4E">
            <w:pPr>
              <w:pStyle w:val="4"/>
              <w:jc w:val="center"/>
            </w:pPr>
            <w:r>
              <w:rPr>
                <w:rFonts w:ascii="仿宋_GB2312" w:hAnsi="仿宋_GB2312" w:eastAsia="仿宋_GB2312" w:cs="仿宋_GB2312"/>
              </w:rPr>
              <w:t>分布式存储软件</w:t>
            </w:r>
          </w:p>
        </w:tc>
        <w:tc>
          <w:tcPr>
            <w:tcW w:w="1138" w:type="dxa"/>
          </w:tcPr>
          <w:p w14:paraId="63B56AEC">
            <w:pPr>
              <w:pStyle w:val="4"/>
              <w:jc w:val="center"/>
            </w:pPr>
            <w:r>
              <w:rPr>
                <w:rFonts w:ascii="仿宋_GB2312" w:hAnsi="仿宋_GB2312" w:eastAsia="仿宋_GB2312" w:cs="仿宋_GB2312"/>
              </w:rPr>
              <w:t>1.00（套）</w:t>
            </w:r>
          </w:p>
        </w:tc>
        <w:tc>
          <w:tcPr>
            <w:tcW w:w="1365" w:type="dxa"/>
          </w:tcPr>
          <w:p w14:paraId="3DC0B7DF">
            <w:pPr>
              <w:pStyle w:val="4"/>
              <w:jc w:val="center"/>
            </w:pPr>
            <w:r>
              <w:rPr>
                <w:rFonts w:ascii="仿宋_GB2312" w:hAnsi="仿宋_GB2312" w:eastAsia="仿宋_GB2312" w:cs="仿宋_GB2312"/>
              </w:rPr>
              <w:t>100,000.00</w:t>
            </w:r>
          </w:p>
        </w:tc>
        <w:tc>
          <w:tcPr>
            <w:tcW w:w="1138" w:type="dxa"/>
          </w:tcPr>
          <w:p w14:paraId="701640A7">
            <w:pPr>
              <w:pStyle w:val="4"/>
              <w:jc w:val="center"/>
            </w:pPr>
            <w:r>
              <w:rPr>
                <w:rFonts w:ascii="仿宋_GB2312" w:hAnsi="仿宋_GB2312" w:eastAsia="仿宋_GB2312" w:cs="仿宋_GB2312"/>
              </w:rPr>
              <w:t>总价</w:t>
            </w:r>
          </w:p>
        </w:tc>
        <w:tc>
          <w:tcPr>
            <w:tcW w:w="1934" w:type="dxa"/>
          </w:tcPr>
          <w:p w14:paraId="70F20CD0">
            <w:pPr>
              <w:pStyle w:val="4"/>
              <w:jc w:val="left"/>
            </w:pPr>
            <w:r>
              <w:rPr>
                <w:rFonts w:ascii="仿宋_GB2312" w:hAnsi="仿宋_GB2312" w:eastAsia="仿宋_GB2312" w:cs="仿宋_GB2312"/>
              </w:rPr>
              <w:t>超过最高限价的报价为无效报价</w:t>
            </w:r>
          </w:p>
        </w:tc>
      </w:tr>
      <w:tr w14:paraId="1D17A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8B503D">
            <w:pPr>
              <w:pStyle w:val="4"/>
              <w:jc w:val="center"/>
            </w:pPr>
            <w:r>
              <w:rPr>
                <w:rFonts w:ascii="仿宋_GB2312" w:hAnsi="仿宋_GB2312" w:eastAsia="仿宋_GB2312" w:cs="仿宋_GB2312"/>
              </w:rPr>
              <w:t>2</w:t>
            </w:r>
          </w:p>
        </w:tc>
        <w:tc>
          <w:tcPr>
            <w:tcW w:w="1707" w:type="dxa"/>
          </w:tcPr>
          <w:p w14:paraId="4C80EEC9">
            <w:pPr>
              <w:pStyle w:val="4"/>
              <w:jc w:val="center"/>
            </w:pPr>
            <w:r>
              <w:rPr>
                <w:rFonts w:ascii="仿宋_GB2312" w:hAnsi="仿宋_GB2312" w:eastAsia="仿宋_GB2312" w:cs="仿宋_GB2312"/>
              </w:rPr>
              <w:t>分布式存储设备</w:t>
            </w:r>
          </w:p>
        </w:tc>
        <w:tc>
          <w:tcPr>
            <w:tcW w:w="1138" w:type="dxa"/>
          </w:tcPr>
          <w:p w14:paraId="3237BD65">
            <w:pPr>
              <w:pStyle w:val="4"/>
              <w:jc w:val="center"/>
            </w:pPr>
            <w:r>
              <w:rPr>
                <w:rFonts w:ascii="仿宋_GB2312" w:hAnsi="仿宋_GB2312" w:eastAsia="仿宋_GB2312" w:cs="仿宋_GB2312"/>
              </w:rPr>
              <w:t>3.00（台）</w:t>
            </w:r>
          </w:p>
        </w:tc>
        <w:tc>
          <w:tcPr>
            <w:tcW w:w="1365" w:type="dxa"/>
          </w:tcPr>
          <w:p w14:paraId="756125B4">
            <w:pPr>
              <w:pStyle w:val="4"/>
              <w:jc w:val="center"/>
            </w:pPr>
            <w:r>
              <w:rPr>
                <w:rFonts w:ascii="仿宋_GB2312" w:hAnsi="仿宋_GB2312" w:eastAsia="仿宋_GB2312" w:cs="仿宋_GB2312"/>
              </w:rPr>
              <w:t>300,000.00</w:t>
            </w:r>
          </w:p>
        </w:tc>
        <w:tc>
          <w:tcPr>
            <w:tcW w:w="1138" w:type="dxa"/>
          </w:tcPr>
          <w:p w14:paraId="265EFA93">
            <w:pPr>
              <w:pStyle w:val="4"/>
              <w:jc w:val="center"/>
            </w:pPr>
            <w:r>
              <w:rPr>
                <w:rFonts w:ascii="仿宋_GB2312" w:hAnsi="仿宋_GB2312" w:eastAsia="仿宋_GB2312" w:cs="仿宋_GB2312"/>
              </w:rPr>
              <w:t>总价</w:t>
            </w:r>
          </w:p>
        </w:tc>
        <w:tc>
          <w:tcPr>
            <w:tcW w:w="1934" w:type="dxa"/>
          </w:tcPr>
          <w:p w14:paraId="4DCB81B9">
            <w:pPr>
              <w:pStyle w:val="4"/>
              <w:jc w:val="left"/>
            </w:pPr>
            <w:r>
              <w:rPr>
                <w:rFonts w:ascii="仿宋_GB2312" w:hAnsi="仿宋_GB2312" w:eastAsia="仿宋_GB2312" w:cs="仿宋_GB2312"/>
              </w:rPr>
              <w:t>超过最高限价的报价为无效报价</w:t>
            </w:r>
          </w:p>
        </w:tc>
      </w:tr>
      <w:tr w14:paraId="79D82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4B9B1B">
            <w:pPr>
              <w:pStyle w:val="4"/>
              <w:jc w:val="center"/>
            </w:pPr>
            <w:r>
              <w:rPr>
                <w:rFonts w:ascii="仿宋_GB2312" w:hAnsi="仿宋_GB2312" w:eastAsia="仿宋_GB2312" w:cs="仿宋_GB2312"/>
              </w:rPr>
              <w:t>3</w:t>
            </w:r>
          </w:p>
        </w:tc>
        <w:tc>
          <w:tcPr>
            <w:tcW w:w="1707" w:type="dxa"/>
          </w:tcPr>
          <w:p w14:paraId="4333AE0C">
            <w:pPr>
              <w:pStyle w:val="4"/>
              <w:jc w:val="center"/>
            </w:pPr>
            <w:r>
              <w:rPr>
                <w:rFonts w:ascii="仿宋_GB2312" w:hAnsi="仿宋_GB2312" w:eastAsia="仿宋_GB2312" w:cs="仿宋_GB2312"/>
              </w:rPr>
              <w:t>万兆交换机</w:t>
            </w:r>
          </w:p>
        </w:tc>
        <w:tc>
          <w:tcPr>
            <w:tcW w:w="1138" w:type="dxa"/>
          </w:tcPr>
          <w:p w14:paraId="4C17E33C">
            <w:pPr>
              <w:pStyle w:val="4"/>
              <w:jc w:val="center"/>
            </w:pPr>
            <w:r>
              <w:rPr>
                <w:rFonts w:ascii="仿宋_GB2312" w:hAnsi="仿宋_GB2312" w:eastAsia="仿宋_GB2312" w:cs="仿宋_GB2312"/>
              </w:rPr>
              <w:t>2.00（台）</w:t>
            </w:r>
          </w:p>
        </w:tc>
        <w:tc>
          <w:tcPr>
            <w:tcW w:w="1365" w:type="dxa"/>
          </w:tcPr>
          <w:p w14:paraId="393BCE2C">
            <w:pPr>
              <w:pStyle w:val="4"/>
              <w:jc w:val="center"/>
            </w:pPr>
            <w:r>
              <w:rPr>
                <w:rFonts w:ascii="仿宋_GB2312" w:hAnsi="仿宋_GB2312" w:eastAsia="仿宋_GB2312" w:cs="仿宋_GB2312"/>
              </w:rPr>
              <w:t>100,000.00</w:t>
            </w:r>
          </w:p>
        </w:tc>
        <w:tc>
          <w:tcPr>
            <w:tcW w:w="1138" w:type="dxa"/>
          </w:tcPr>
          <w:p w14:paraId="0B7ECCF1">
            <w:pPr>
              <w:pStyle w:val="4"/>
              <w:jc w:val="center"/>
            </w:pPr>
            <w:r>
              <w:rPr>
                <w:rFonts w:ascii="仿宋_GB2312" w:hAnsi="仿宋_GB2312" w:eastAsia="仿宋_GB2312" w:cs="仿宋_GB2312"/>
              </w:rPr>
              <w:t>总价</w:t>
            </w:r>
          </w:p>
        </w:tc>
        <w:tc>
          <w:tcPr>
            <w:tcW w:w="1934" w:type="dxa"/>
          </w:tcPr>
          <w:p w14:paraId="5BDCEE0F">
            <w:pPr>
              <w:pStyle w:val="4"/>
              <w:jc w:val="left"/>
            </w:pPr>
            <w:r>
              <w:rPr>
                <w:rFonts w:ascii="仿宋_GB2312" w:hAnsi="仿宋_GB2312" w:eastAsia="仿宋_GB2312" w:cs="仿宋_GB2312"/>
              </w:rPr>
              <w:t>超过最高限价的报价为无效报价</w:t>
            </w:r>
          </w:p>
        </w:tc>
      </w:tr>
    </w:tbl>
    <w:p w14:paraId="103D5107">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67DF4AB">
      <w:pPr>
        <w:pStyle w:val="4"/>
        <w:jc w:val="left"/>
      </w:pPr>
      <w:r>
        <w:rPr>
          <w:rFonts w:ascii="仿宋_GB2312" w:hAnsi="仿宋_GB2312" w:eastAsia="仿宋_GB2312" w:cs="仿宋_GB2312"/>
          <w:b/>
        </w:rPr>
        <w:t>本项目涉及核心产品：</w:t>
      </w:r>
    </w:p>
    <w:p w14:paraId="0C2F31F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58E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764F1E">
            <w:pPr>
              <w:pStyle w:val="4"/>
              <w:jc w:val="center"/>
            </w:pPr>
            <w:r>
              <w:rPr>
                <w:rFonts w:ascii="仿宋_GB2312" w:hAnsi="仿宋_GB2312" w:eastAsia="仿宋_GB2312" w:cs="仿宋_GB2312"/>
              </w:rPr>
              <w:t>序号</w:t>
            </w:r>
          </w:p>
        </w:tc>
        <w:tc>
          <w:tcPr>
            <w:tcW w:w="2492" w:type="dxa"/>
          </w:tcPr>
          <w:p w14:paraId="73E4BDC1">
            <w:pPr>
              <w:pStyle w:val="4"/>
              <w:jc w:val="center"/>
            </w:pPr>
            <w:r>
              <w:rPr>
                <w:rFonts w:ascii="仿宋_GB2312" w:hAnsi="仿宋_GB2312" w:eastAsia="仿宋_GB2312" w:cs="仿宋_GB2312"/>
              </w:rPr>
              <w:t>采购品目名称</w:t>
            </w:r>
          </w:p>
        </w:tc>
        <w:tc>
          <w:tcPr>
            <w:tcW w:w="2492" w:type="dxa"/>
          </w:tcPr>
          <w:p w14:paraId="2B619621">
            <w:pPr>
              <w:pStyle w:val="4"/>
              <w:jc w:val="center"/>
            </w:pPr>
            <w:r>
              <w:rPr>
                <w:rFonts w:ascii="仿宋_GB2312" w:hAnsi="仿宋_GB2312" w:eastAsia="仿宋_GB2312" w:cs="仿宋_GB2312"/>
              </w:rPr>
              <w:t>标的名称</w:t>
            </w:r>
          </w:p>
        </w:tc>
        <w:tc>
          <w:tcPr>
            <w:tcW w:w="2492" w:type="dxa"/>
          </w:tcPr>
          <w:p w14:paraId="6130FD49">
            <w:pPr>
              <w:pStyle w:val="4"/>
              <w:jc w:val="center"/>
            </w:pPr>
            <w:r>
              <w:rPr>
                <w:rFonts w:ascii="仿宋_GB2312" w:hAnsi="仿宋_GB2312" w:eastAsia="仿宋_GB2312" w:cs="仿宋_GB2312"/>
              </w:rPr>
              <w:t>产品名称</w:t>
            </w:r>
          </w:p>
        </w:tc>
      </w:tr>
      <w:tr w14:paraId="0860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9C27FD">
            <w:pPr>
              <w:pStyle w:val="4"/>
              <w:jc w:val="left"/>
            </w:pPr>
            <w:r>
              <w:rPr>
                <w:rFonts w:ascii="仿宋_GB2312" w:hAnsi="仿宋_GB2312" w:eastAsia="仿宋_GB2312" w:cs="仿宋_GB2312"/>
              </w:rPr>
              <w:t>1</w:t>
            </w:r>
          </w:p>
        </w:tc>
        <w:tc>
          <w:tcPr>
            <w:tcW w:w="2492" w:type="dxa"/>
          </w:tcPr>
          <w:p w14:paraId="488F3FC3">
            <w:pPr>
              <w:pStyle w:val="4"/>
              <w:jc w:val="left"/>
            </w:pPr>
            <w:r>
              <w:rPr>
                <w:rFonts w:ascii="仿宋_GB2312" w:hAnsi="仿宋_GB2312" w:eastAsia="仿宋_GB2312" w:cs="仿宋_GB2312"/>
              </w:rPr>
              <w:t>A08060303 应用软件</w:t>
            </w:r>
          </w:p>
        </w:tc>
        <w:tc>
          <w:tcPr>
            <w:tcW w:w="2492" w:type="dxa"/>
          </w:tcPr>
          <w:p w14:paraId="635C62FD">
            <w:pPr>
              <w:pStyle w:val="4"/>
              <w:jc w:val="left"/>
            </w:pPr>
            <w:r>
              <w:rPr>
                <w:rFonts w:ascii="仿宋_GB2312" w:hAnsi="仿宋_GB2312" w:eastAsia="仿宋_GB2312" w:cs="仿宋_GB2312"/>
              </w:rPr>
              <w:t>分布式存储软件</w:t>
            </w:r>
          </w:p>
        </w:tc>
        <w:tc>
          <w:tcPr>
            <w:tcW w:w="2492" w:type="dxa"/>
          </w:tcPr>
          <w:p w14:paraId="2F226AC1">
            <w:pPr>
              <w:pStyle w:val="4"/>
              <w:jc w:val="left"/>
            </w:pPr>
            <w:r>
              <w:rPr>
                <w:rFonts w:ascii="仿宋_GB2312" w:hAnsi="仿宋_GB2312" w:eastAsia="仿宋_GB2312" w:cs="仿宋_GB2312"/>
              </w:rPr>
              <w:t>分布式存储软件</w:t>
            </w:r>
          </w:p>
        </w:tc>
      </w:tr>
    </w:tbl>
    <w:p w14:paraId="60956D5F">
      <w:pPr>
        <w:pStyle w:val="4"/>
        <w:ind w:firstLine="480"/>
        <w:jc w:val="left"/>
      </w:pPr>
      <w:r>
        <w:rPr>
          <w:rFonts w:ascii="仿宋_GB2312" w:hAnsi="仿宋_GB2312" w:eastAsia="仿宋_GB2312" w:cs="仿宋_GB2312"/>
        </w:rPr>
        <w:t>注：涉及核心产品的，具体评审规定见第五章</w:t>
      </w:r>
    </w:p>
    <w:p w14:paraId="253599D6">
      <w:pPr>
        <w:pStyle w:val="4"/>
        <w:jc w:val="left"/>
      </w:pPr>
      <w:r>
        <w:rPr>
          <w:rFonts w:ascii="仿宋_GB2312" w:hAnsi="仿宋_GB2312" w:eastAsia="仿宋_GB2312" w:cs="仿宋_GB2312"/>
          <w:b/>
        </w:rPr>
        <w:t>本项目涉及采购进口产品：</w:t>
      </w:r>
    </w:p>
    <w:p w14:paraId="0B0985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BEF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BAE9CE">
            <w:pPr>
              <w:pStyle w:val="4"/>
              <w:jc w:val="center"/>
            </w:pPr>
            <w:r>
              <w:rPr>
                <w:rFonts w:ascii="仿宋_GB2312" w:hAnsi="仿宋_GB2312" w:eastAsia="仿宋_GB2312" w:cs="仿宋_GB2312"/>
              </w:rPr>
              <w:t>序号</w:t>
            </w:r>
          </w:p>
        </w:tc>
        <w:tc>
          <w:tcPr>
            <w:tcW w:w="2492" w:type="dxa"/>
          </w:tcPr>
          <w:p w14:paraId="117EDD64">
            <w:pPr>
              <w:pStyle w:val="4"/>
              <w:jc w:val="center"/>
            </w:pPr>
            <w:r>
              <w:rPr>
                <w:rFonts w:ascii="仿宋_GB2312" w:hAnsi="仿宋_GB2312" w:eastAsia="仿宋_GB2312" w:cs="仿宋_GB2312"/>
              </w:rPr>
              <w:t>采购品目名称</w:t>
            </w:r>
          </w:p>
        </w:tc>
        <w:tc>
          <w:tcPr>
            <w:tcW w:w="2492" w:type="dxa"/>
          </w:tcPr>
          <w:p w14:paraId="7E7E7C24">
            <w:pPr>
              <w:pStyle w:val="4"/>
              <w:jc w:val="center"/>
            </w:pPr>
            <w:r>
              <w:rPr>
                <w:rFonts w:ascii="仿宋_GB2312" w:hAnsi="仿宋_GB2312" w:eastAsia="仿宋_GB2312" w:cs="仿宋_GB2312"/>
              </w:rPr>
              <w:t>标的名称</w:t>
            </w:r>
          </w:p>
        </w:tc>
        <w:tc>
          <w:tcPr>
            <w:tcW w:w="2492" w:type="dxa"/>
          </w:tcPr>
          <w:p w14:paraId="67638A50">
            <w:pPr>
              <w:pStyle w:val="4"/>
              <w:jc w:val="center"/>
            </w:pPr>
            <w:r>
              <w:rPr>
                <w:rFonts w:ascii="仿宋_GB2312" w:hAnsi="仿宋_GB2312" w:eastAsia="仿宋_GB2312" w:cs="仿宋_GB2312"/>
              </w:rPr>
              <w:t>产品名称</w:t>
            </w:r>
          </w:p>
        </w:tc>
      </w:tr>
      <w:tr w14:paraId="6FC1A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FBF25B">
            <w:pPr>
              <w:pStyle w:val="4"/>
              <w:jc w:val="center"/>
            </w:pPr>
            <w:r>
              <w:rPr>
                <w:rFonts w:ascii="仿宋_GB2312" w:hAnsi="仿宋_GB2312" w:eastAsia="仿宋_GB2312" w:cs="仿宋_GB2312"/>
              </w:rPr>
              <w:t>不涉及</w:t>
            </w:r>
          </w:p>
        </w:tc>
      </w:tr>
    </w:tbl>
    <w:p w14:paraId="53D6668E">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67EA45D">
      <w:pPr>
        <w:pStyle w:val="4"/>
        <w:jc w:val="left"/>
      </w:pPr>
      <w:r>
        <w:rPr>
          <w:rFonts w:ascii="仿宋_GB2312" w:hAnsi="仿宋_GB2312" w:eastAsia="仿宋_GB2312" w:cs="仿宋_GB2312"/>
          <w:b/>
        </w:rPr>
        <w:t>本项目涉及强制采购节能产品：</w:t>
      </w:r>
    </w:p>
    <w:p w14:paraId="39421C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F48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73C5441">
            <w:pPr>
              <w:pStyle w:val="4"/>
              <w:jc w:val="center"/>
            </w:pPr>
            <w:r>
              <w:rPr>
                <w:rFonts w:ascii="仿宋_GB2312" w:hAnsi="仿宋_GB2312" w:eastAsia="仿宋_GB2312" w:cs="仿宋_GB2312"/>
              </w:rPr>
              <w:t>序号</w:t>
            </w:r>
          </w:p>
        </w:tc>
        <w:tc>
          <w:tcPr>
            <w:tcW w:w="2492" w:type="dxa"/>
          </w:tcPr>
          <w:p w14:paraId="0AEC1B12">
            <w:pPr>
              <w:pStyle w:val="4"/>
              <w:jc w:val="center"/>
            </w:pPr>
            <w:r>
              <w:rPr>
                <w:rFonts w:ascii="仿宋_GB2312" w:hAnsi="仿宋_GB2312" w:eastAsia="仿宋_GB2312" w:cs="仿宋_GB2312"/>
              </w:rPr>
              <w:t>采购品目名称</w:t>
            </w:r>
          </w:p>
        </w:tc>
        <w:tc>
          <w:tcPr>
            <w:tcW w:w="2492" w:type="dxa"/>
          </w:tcPr>
          <w:p w14:paraId="7F070ED4">
            <w:pPr>
              <w:pStyle w:val="4"/>
              <w:jc w:val="center"/>
            </w:pPr>
            <w:r>
              <w:rPr>
                <w:rFonts w:ascii="仿宋_GB2312" w:hAnsi="仿宋_GB2312" w:eastAsia="仿宋_GB2312" w:cs="仿宋_GB2312"/>
              </w:rPr>
              <w:t>标的名称</w:t>
            </w:r>
          </w:p>
        </w:tc>
        <w:tc>
          <w:tcPr>
            <w:tcW w:w="2492" w:type="dxa"/>
          </w:tcPr>
          <w:p w14:paraId="2953599C">
            <w:pPr>
              <w:pStyle w:val="4"/>
              <w:jc w:val="center"/>
            </w:pPr>
            <w:r>
              <w:rPr>
                <w:rFonts w:ascii="仿宋_GB2312" w:hAnsi="仿宋_GB2312" w:eastAsia="仿宋_GB2312" w:cs="仿宋_GB2312"/>
              </w:rPr>
              <w:t>产品名称</w:t>
            </w:r>
          </w:p>
        </w:tc>
      </w:tr>
      <w:tr w14:paraId="169F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EBF2E7">
            <w:pPr>
              <w:pStyle w:val="4"/>
              <w:jc w:val="center"/>
            </w:pPr>
            <w:r>
              <w:rPr>
                <w:rFonts w:ascii="仿宋_GB2312" w:hAnsi="仿宋_GB2312" w:eastAsia="仿宋_GB2312" w:cs="仿宋_GB2312"/>
              </w:rPr>
              <w:t>不涉及</w:t>
            </w:r>
          </w:p>
        </w:tc>
      </w:tr>
    </w:tbl>
    <w:p w14:paraId="119B9752">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1760A36">
      <w:pPr>
        <w:pStyle w:val="4"/>
        <w:jc w:val="left"/>
      </w:pPr>
      <w:r>
        <w:rPr>
          <w:rFonts w:ascii="仿宋_GB2312" w:hAnsi="仿宋_GB2312" w:eastAsia="仿宋_GB2312" w:cs="仿宋_GB2312"/>
          <w:b/>
        </w:rPr>
        <w:t>本项目涉及优先采购节能产品：</w:t>
      </w:r>
    </w:p>
    <w:p w14:paraId="13FAC7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3B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2DB9A5">
            <w:pPr>
              <w:pStyle w:val="4"/>
              <w:jc w:val="center"/>
            </w:pPr>
            <w:r>
              <w:rPr>
                <w:rFonts w:ascii="仿宋_GB2312" w:hAnsi="仿宋_GB2312" w:eastAsia="仿宋_GB2312" w:cs="仿宋_GB2312"/>
              </w:rPr>
              <w:t>序号</w:t>
            </w:r>
          </w:p>
        </w:tc>
        <w:tc>
          <w:tcPr>
            <w:tcW w:w="2492" w:type="dxa"/>
          </w:tcPr>
          <w:p w14:paraId="1570197B">
            <w:pPr>
              <w:pStyle w:val="4"/>
              <w:jc w:val="center"/>
            </w:pPr>
            <w:r>
              <w:rPr>
                <w:rFonts w:ascii="仿宋_GB2312" w:hAnsi="仿宋_GB2312" w:eastAsia="仿宋_GB2312" w:cs="仿宋_GB2312"/>
              </w:rPr>
              <w:t>采购品目名称</w:t>
            </w:r>
          </w:p>
        </w:tc>
        <w:tc>
          <w:tcPr>
            <w:tcW w:w="2492" w:type="dxa"/>
          </w:tcPr>
          <w:p w14:paraId="49C30A6E">
            <w:pPr>
              <w:pStyle w:val="4"/>
              <w:jc w:val="center"/>
            </w:pPr>
            <w:r>
              <w:rPr>
                <w:rFonts w:ascii="仿宋_GB2312" w:hAnsi="仿宋_GB2312" w:eastAsia="仿宋_GB2312" w:cs="仿宋_GB2312"/>
              </w:rPr>
              <w:t>标的名称</w:t>
            </w:r>
          </w:p>
        </w:tc>
        <w:tc>
          <w:tcPr>
            <w:tcW w:w="2492" w:type="dxa"/>
          </w:tcPr>
          <w:p w14:paraId="073B7AD5">
            <w:pPr>
              <w:pStyle w:val="4"/>
              <w:jc w:val="center"/>
            </w:pPr>
            <w:r>
              <w:rPr>
                <w:rFonts w:ascii="仿宋_GB2312" w:hAnsi="仿宋_GB2312" w:eastAsia="仿宋_GB2312" w:cs="仿宋_GB2312"/>
              </w:rPr>
              <w:t>产品名称</w:t>
            </w:r>
          </w:p>
        </w:tc>
      </w:tr>
      <w:tr w14:paraId="02989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38649D">
            <w:pPr>
              <w:pStyle w:val="4"/>
              <w:jc w:val="center"/>
            </w:pPr>
            <w:r>
              <w:rPr>
                <w:rFonts w:ascii="仿宋_GB2312" w:hAnsi="仿宋_GB2312" w:eastAsia="仿宋_GB2312" w:cs="仿宋_GB2312"/>
              </w:rPr>
              <w:t>不涉及</w:t>
            </w:r>
          </w:p>
        </w:tc>
      </w:tr>
    </w:tbl>
    <w:p w14:paraId="4EF5A2E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5FB64C6">
      <w:pPr>
        <w:pStyle w:val="4"/>
        <w:jc w:val="left"/>
      </w:pPr>
      <w:r>
        <w:rPr>
          <w:rFonts w:ascii="仿宋_GB2312" w:hAnsi="仿宋_GB2312" w:eastAsia="仿宋_GB2312" w:cs="仿宋_GB2312"/>
          <w:b/>
        </w:rPr>
        <w:t>本项目涉及优先采购环境标志产品：</w:t>
      </w:r>
    </w:p>
    <w:p w14:paraId="224E0EB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256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E911C8">
            <w:pPr>
              <w:pStyle w:val="4"/>
              <w:jc w:val="center"/>
            </w:pPr>
            <w:r>
              <w:rPr>
                <w:rFonts w:ascii="仿宋_GB2312" w:hAnsi="仿宋_GB2312" w:eastAsia="仿宋_GB2312" w:cs="仿宋_GB2312"/>
              </w:rPr>
              <w:t>序号</w:t>
            </w:r>
          </w:p>
        </w:tc>
        <w:tc>
          <w:tcPr>
            <w:tcW w:w="2492" w:type="dxa"/>
          </w:tcPr>
          <w:p w14:paraId="35824EB2">
            <w:pPr>
              <w:pStyle w:val="4"/>
              <w:jc w:val="center"/>
            </w:pPr>
            <w:r>
              <w:rPr>
                <w:rFonts w:ascii="仿宋_GB2312" w:hAnsi="仿宋_GB2312" w:eastAsia="仿宋_GB2312" w:cs="仿宋_GB2312"/>
              </w:rPr>
              <w:t>采购品目名称</w:t>
            </w:r>
          </w:p>
        </w:tc>
        <w:tc>
          <w:tcPr>
            <w:tcW w:w="2492" w:type="dxa"/>
          </w:tcPr>
          <w:p w14:paraId="1BA9621D">
            <w:pPr>
              <w:pStyle w:val="4"/>
              <w:jc w:val="center"/>
            </w:pPr>
            <w:r>
              <w:rPr>
                <w:rFonts w:ascii="仿宋_GB2312" w:hAnsi="仿宋_GB2312" w:eastAsia="仿宋_GB2312" w:cs="仿宋_GB2312"/>
              </w:rPr>
              <w:t>标的名称</w:t>
            </w:r>
          </w:p>
        </w:tc>
        <w:tc>
          <w:tcPr>
            <w:tcW w:w="2492" w:type="dxa"/>
          </w:tcPr>
          <w:p w14:paraId="4137D41F">
            <w:pPr>
              <w:pStyle w:val="4"/>
              <w:jc w:val="center"/>
            </w:pPr>
            <w:r>
              <w:rPr>
                <w:rFonts w:ascii="仿宋_GB2312" w:hAnsi="仿宋_GB2312" w:eastAsia="仿宋_GB2312" w:cs="仿宋_GB2312"/>
              </w:rPr>
              <w:t>产品名称</w:t>
            </w:r>
          </w:p>
        </w:tc>
      </w:tr>
      <w:tr w14:paraId="1577C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E1FE26">
            <w:pPr>
              <w:pStyle w:val="4"/>
              <w:jc w:val="center"/>
            </w:pPr>
            <w:r>
              <w:rPr>
                <w:rFonts w:ascii="仿宋_GB2312" w:hAnsi="仿宋_GB2312" w:eastAsia="仿宋_GB2312" w:cs="仿宋_GB2312"/>
              </w:rPr>
              <w:t>不涉及</w:t>
            </w:r>
          </w:p>
        </w:tc>
      </w:tr>
    </w:tbl>
    <w:p w14:paraId="0616529A">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799BA2F">
      <w:pPr>
        <w:pStyle w:val="4"/>
        <w:jc w:val="left"/>
        <w:outlineLvl w:val="2"/>
      </w:pPr>
      <w:r>
        <w:rPr>
          <w:rFonts w:ascii="仿宋_GB2312" w:hAnsi="仿宋_GB2312" w:eastAsia="仿宋_GB2312" w:cs="仿宋_GB2312"/>
          <w:b/>
          <w:sz w:val="28"/>
        </w:rPr>
        <w:t>3.2.技术要求</w:t>
      </w:r>
    </w:p>
    <w:p w14:paraId="1F0C7361">
      <w:pPr>
        <w:pStyle w:val="4"/>
        <w:jc w:val="left"/>
      </w:pPr>
      <w:r>
        <w:rPr>
          <w:rFonts w:ascii="仿宋_GB2312" w:hAnsi="仿宋_GB2312" w:eastAsia="仿宋_GB2312" w:cs="仿宋_GB2312"/>
        </w:rPr>
        <w:t>采购包1：</w:t>
      </w:r>
    </w:p>
    <w:p w14:paraId="6728C245">
      <w:pPr>
        <w:pStyle w:val="4"/>
        <w:jc w:val="left"/>
      </w:pPr>
      <w:r>
        <w:rPr>
          <w:rFonts w:ascii="仿宋_GB2312" w:hAnsi="仿宋_GB2312" w:eastAsia="仿宋_GB2312" w:cs="仿宋_GB2312"/>
        </w:rPr>
        <w:t>标的名称：分布式存储软件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65A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81BFF">
            <w:pPr>
              <w:pStyle w:val="4"/>
              <w:jc w:val="center"/>
            </w:pPr>
            <w:r>
              <w:rPr>
                <w:rFonts w:ascii="仿宋_GB2312" w:hAnsi="仿宋_GB2312" w:eastAsia="仿宋_GB2312" w:cs="仿宋_GB2312"/>
              </w:rPr>
              <w:t>序号</w:t>
            </w:r>
          </w:p>
        </w:tc>
        <w:tc>
          <w:tcPr>
            <w:tcW w:w="581" w:type="dxa"/>
          </w:tcPr>
          <w:p w14:paraId="6351024E">
            <w:pPr>
              <w:pStyle w:val="4"/>
              <w:jc w:val="center"/>
            </w:pPr>
            <w:r>
              <w:rPr>
                <w:rFonts w:ascii="仿宋_GB2312" w:hAnsi="仿宋_GB2312" w:eastAsia="仿宋_GB2312" w:cs="仿宋_GB2312"/>
              </w:rPr>
              <w:t>符号标识</w:t>
            </w:r>
          </w:p>
        </w:tc>
        <w:tc>
          <w:tcPr>
            <w:tcW w:w="1495" w:type="dxa"/>
          </w:tcPr>
          <w:p w14:paraId="60552081">
            <w:pPr>
              <w:pStyle w:val="4"/>
              <w:jc w:val="center"/>
            </w:pPr>
            <w:r>
              <w:rPr>
                <w:rFonts w:ascii="仿宋_GB2312" w:hAnsi="仿宋_GB2312" w:eastAsia="仿宋_GB2312" w:cs="仿宋_GB2312"/>
              </w:rPr>
              <w:t>技术要求名称</w:t>
            </w:r>
          </w:p>
        </w:tc>
        <w:tc>
          <w:tcPr>
            <w:tcW w:w="5814" w:type="dxa"/>
          </w:tcPr>
          <w:p w14:paraId="555175DB">
            <w:pPr>
              <w:pStyle w:val="4"/>
              <w:jc w:val="center"/>
            </w:pPr>
            <w:r>
              <w:rPr>
                <w:rFonts w:ascii="仿宋_GB2312" w:hAnsi="仿宋_GB2312" w:eastAsia="仿宋_GB2312" w:cs="仿宋_GB2312"/>
              </w:rPr>
              <w:t>技术参数与性能指标</w:t>
            </w:r>
          </w:p>
        </w:tc>
      </w:tr>
      <w:tr w14:paraId="0D64A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0B004">
            <w:pPr>
              <w:pStyle w:val="4"/>
              <w:jc w:val="center"/>
            </w:pPr>
            <w:r>
              <w:rPr>
                <w:rFonts w:ascii="仿宋_GB2312" w:hAnsi="仿宋_GB2312" w:eastAsia="仿宋_GB2312" w:cs="仿宋_GB2312"/>
              </w:rPr>
              <w:t>1</w:t>
            </w:r>
          </w:p>
        </w:tc>
        <w:tc>
          <w:tcPr>
            <w:tcW w:w="581" w:type="dxa"/>
          </w:tcPr>
          <w:p w14:paraId="045AE9A1">
            <w:pPr>
              <w:pStyle w:val="4"/>
              <w:jc w:val="center"/>
            </w:pPr>
            <w:r>
              <w:rPr>
                <w:rFonts w:ascii="仿宋_GB2312" w:hAnsi="仿宋_GB2312" w:eastAsia="仿宋_GB2312" w:cs="仿宋_GB2312"/>
              </w:rPr>
              <w:t>★</w:t>
            </w:r>
          </w:p>
        </w:tc>
        <w:tc>
          <w:tcPr>
            <w:tcW w:w="1495" w:type="dxa"/>
          </w:tcPr>
          <w:p w14:paraId="5D0052CD">
            <w:pPr>
              <w:pStyle w:val="4"/>
              <w:jc w:val="left"/>
            </w:pPr>
            <w:r>
              <w:rPr>
                <w:rFonts w:ascii="仿宋_GB2312" w:hAnsi="仿宋_GB2312" w:eastAsia="仿宋_GB2312" w:cs="仿宋_GB2312"/>
              </w:rPr>
              <w:t>技术参数要求</w:t>
            </w:r>
          </w:p>
        </w:tc>
        <w:tc>
          <w:tcPr>
            <w:tcW w:w="5814" w:type="dxa"/>
          </w:tcPr>
          <w:p w14:paraId="56710965">
            <w:pPr>
              <w:pStyle w:val="4"/>
              <w:jc w:val="both"/>
            </w:pPr>
            <w:r>
              <w:rPr>
                <w:rFonts w:ascii="仿宋_GB2312" w:hAnsi="仿宋_GB2312" w:eastAsia="仿宋_GB2312" w:cs="仿宋_GB2312"/>
                <w:color w:val="000000"/>
                <w:sz w:val="24"/>
              </w:rPr>
              <w:t>1、满足国家信创要求，确保核心医疗数据的自主可控与安全，分布式集群存储需支持国产化硬件（海光、鲲鹏、飞腾、兆芯CPU等）和麒麟操作系统。为保障医院门诊高峰期PACS影像调阅不卡顿、无延迟，系统需提供混合读写性能大于2700MB／s的能力，并提供不低于100TB的可用容量软件授权（双副本模式下）。</w:t>
            </w:r>
          </w:p>
          <w:p w14:paraId="29AFA80A">
            <w:pPr>
              <w:pStyle w:val="4"/>
              <w:jc w:val="left"/>
            </w:pPr>
            <w:r>
              <w:rPr>
                <w:rFonts w:ascii="仿宋_GB2312" w:hAnsi="仿宋_GB2312" w:eastAsia="仿宋_GB2312" w:cs="仿宋_GB2312"/>
                <w:color w:val="000000"/>
                <w:sz w:val="24"/>
              </w:rPr>
              <w:t>2、 满足医院内部HIS（数据库）、PACS（影像文件）、医共体区域影像平台（对象数据）等多业务系统异构数据的统一存储需求，打破数据孤岛，分布式存储系统需同时提供文件系统、对象、块存储服务；并支持CIFS/SMB、NFS、FTP、iSCSI、FC SAN、S3等全栈访问协议。为支撑未来智慧医院云平台建设，支持无缝升级为超融合虚拟化平台。</w:t>
            </w:r>
          </w:p>
          <w:p w14:paraId="3072923A">
            <w:pPr>
              <w:pStyle w:val="4"/>
              <w:jc w:val="left"/>
            </w:pPr>
            <w:r>
              <w:rPr>
                <w:rFonts w:ascii="仿宋_GB2312" w:hAnsi="仿宋_GB2312" w:eastAsia="仿宋_GB2312" w:cs="仿宋_GB2312"/>
                <w:color w:val="000000"/>
                <w:sz w:val="24"/>
              </w:rPr>
              <w:t>3、分布式集群存储需支持≥7种安全级别控制，至少包括：存储盘、存储盘框、主机、主机组、机架、机房、数据中心。</w:t>
            </w:r>
          </w:p>
          <w:p w14:paraId="5DDB99A0">
            <w:pPr>
              <w:pStyle w:val="4"/>
              <w:jc w:val="both"/>
            </w:pPr>
            <w:r>
              <w:rPr>
                <w:rFonts w:ascii="仿宋_GB2312" w:hAnsi="仿宋_GB2312" w:eastAsia="仿宋_GB2312" w:cs="仿宋_GB2312"/>
                <w:color w:val="000000"/>
                <w:sz w:val="24"/>
              </w:rPr>
              <w:t>4、为平衡临床在线业务的高性能与历史归档数据的低成本存储需求，分布式存储系统需同时支持副本模式和网络纠删码模式。</w:t>
            </w:r>
          </w:p>
          <w:p w14:paraId="55E40672">
            <w:pPr>
              <w:pStyle w:val="4"/>
              <w:jc w:val="both"/>
            </w:pPr>
            <w:r>
              <w:rPr>
                <w:rFonts w:ascii="仿宋_GB2312" w:hAnsi="仿宋_GB2312" w:eastAsia="仿宋_GB2312" w:cs="仿宋_GB2312"/>
                <w:color w:val="000000"/>
                <w:sz w:val="24"/>
              </w:rPr>
              <w:t>5、为确保在进行数据迁移或故障恢复时，不占用主要医疗业务的带宽，分布式集群存储需支持数据迁移和恢复的速度控制，保障医疗业务优先。</w:t>
            </w:r>
          </w:p>
          <w:p w14:paraId="7A371027">
            <w:pPr>
              <w:pStyle w:val="4"/>
              <w:jc w:val="both"/>
            </w:pPr>
            <w:r>
              <w:rPr>
                <w:rFonts w:ascii="仿宋_GB2312" w:hAnsi="仿宋_GB2312" w:eastAsia="仿宋_GB2312" w:cs="仿宋_GB2312"/>
                <w:color w:val="000000"/>
                <w:sz w:val="24"/>
              </w:rPr>
              <w:t>6、为避免出现数据热点导致某台存储服务器负载过高而影响局部业务访问速度，要求系统中数据分布均衡，节点间各硬盘容量使用率偏差应</w:t>
            </w:r>
            <w:r>
              <w:rPr>
                <w:rFonts w:ascii="仿宋_GB2312" w:hAnsi="仿宋_GB2312" w:eastAsia="仿宋_GB2312" w:cs="仿宋_GB2312"/>
                <w:color w:val="000000"/>
                <w:sz w:val="21"/>
              </w:rPr>
              <w:t>≤</w:t>
            </w:r>
            <w:r>
              <w:rPr>
                <w:rFonts w:ascii="仿宋_GB2312" w:hAnsi="仿宋_GB2312" w:eastAsia="仿宋_GB2312" w:cs="仿宋_GB2312"/>
                <w:color w:val="000000"/>
                <w:sz w:val="24"/>
              </w:rPr>
              <w:t>1%。</w:t>
            </w:r>
          </w:p>
          <w:p w14:paraId="75C929F1">
            <w:pPr>
              <w:pStyle w:val="4"/>
              <w:jc w:val="both"/>
            </w:pPr>
            <w:r>
              <w:rPr>
                <w:rFonts w:ascii="仿宋_GB2312" w:hAnsi="仿宋_GB2312" w:eastAsia="仿宋_GB2312" w:cs="仿宋_GB2312"/>
                <w:color w:val="000000"/>
                <w:sz w:val="24"/>
              </w:rPr>
              <w:t>7、支持在界面上自定义租户内用户的密码策略，可通过大小写字母数量、特殊字符或数字数量、密码长度、密码有效期等参数在一定程度上保障密码安全性。</w:t>
            </w:r>
          </w:p>
          <w:p w14:paraId="17A75A15">
            <w:pPr>
              <w:pStyle w:val="4"/>
              <w:jc w:val="both"/>
            </w:pPr>
            <w:r>
              <w:rPr>
                <w:rFonts w:ascii="仿宋_GB2312" w:hAnsi="仿宋_GB2312" w:eastAsia="仿宋_GB2312" w:cs="仿宋_GB2312"/>
                <w:color w:val="000000"/>
                <w:sz w:val="24"/>
              </w:rPr>
              <w:t>8、为减轻医院运维压力，实现故障硬件的快速定位与更换，要求可在管理界面中对节点电源、CPU频率、风扇转速、FC卡端口进行管理；并支持硬盘或网卡的一键定位功能（定位后硬件灯光闪烁）。</w:t>
            </w:r>
          </w:p>
          <w:p w14:paraId="2A987CCC">
            <w:pPr>
              <w:pStyle w:val="4"/>
              <w:jc w:val="both"/>
            </w:pPr>
            <w:r>
              <w:rPr>
                <w:rFonts w:ascii="仿宋_GB2312" w:hAnsi="仿宋_GB2312" w:eastAsia="仿宋_GB2312" w:cs="仿宋_GB2312"/>
                <w:color w:val="000000"/>
                <w:sz w:val="24"/>
              </w:rPr>
              <w:t>9、支持对CPU、内存、网络带宽/收发包率、磁盘使用率/读写带宽/IOPS、存储池读写带宽与IOPS的全方位监控。</w:t>
            </w:r>
          </w:p>
          <w:p w14:paraId="301695FE">
            <w:pPr>
              <w:pStyle w:val="4"/>
              <w:jc w:val="both"/>
            </w:pPr>
            <w:r>
              <w:rPr>
                <w:rFonts w:ascii="仿宋_GB2312" w:hAnsi="仿宋_GB2312" w:eastAsia="仿宋_GB2312" w:cs="仿宋_GB2312"/>
                <w:color w:val="000000"/>
                <w:sz w:val="24"/>
              </w:rPr>
              <w:t>10、为构建医疗数据多地容灾体系及混合云备份架构，分布式集群存储应在管理界面上提供具备基于策略的数据同步和备份功能，无需第三方工具即可实现文件系统与对象存储的任意互通同步。</w:t>
            </w:r>
          </w:p>
          <w:p w14:paraId="667AF7E3">
            <w:pPr>
              <w:pStyle w:val="4"/>
              <w:jc w:val="both"/>
            </w:pPr>
            <w:r>
              <w:rPr>
                <w:rFonts w:ascii="仿宋_GB2312" w:hAnsi="仿宋_GB2312" w:eastAsia="仿宋_GB2312" w:cs="仿宋_GB2312"/>
                <w:color w:val="000000"/>
                <w:sz w:val="24"/>
              </w:rPr>
              <w:t>11、为应对医疗行业高发的勒索病毒攻击及误删除风险，分布式集群文件系统需支持目录级快照功能（手动/定时），可查看快照目录结构，支持单文件恢复或整卷回滚，并支持一键清空。</w:t>
            </w:r>
          </w:p>
          <w:p w14:paraId="68F98281">
            <w:pPr>
              <w:pStyle w:val="4"/>
              <w:jc w:val="both"/>
            </w:pPr>
            <w:r>
              <w:rPr>
                <w:rFonts w:ascii="仿宋_GB2312" w:hAnsi="仿宋_GB2312" w:eastAsia="仿宋_GB2312" w:cs="仿宋_GB2312"/>
                <w:color w:val="000000"/>
                <w:sz w:val="24"/>
              </w:rPr>
              <w:t>12、为防止非关键业务（如日志归档）抢占带宽，优先保障HIS、PACS等核心业务的读写性能，文件系统需在界面上支持目录QoS管理，限制并展示某个目录的实时读写带宽及IOPS。</w:t>
            </w:r>
          </w:p>
          <w:p w14:paraId="295F34ED">
            <w:pPr>
              <w:pStyle w:val="4"/>
              <w:jc w:val="both"/>
            </w:pPr>
            <w:r>
              <w:rPr>
                <w:rFonts w:ascii="仿宋_GB2312" w:hAnsi="仿宋_GB2312" w:eastAsia="仿宋_GB2312" w:cs="仿宋_GB2312"/>
                <w:color w:val="000000"/>
                <w:sz w:val="24"/>
              </w:rPr>
              <w:t>13、为避免医疗数据误删除，系统需提供回收站功能，支持基于文件名、大小、保存天数等策略的不回收文件设置。</w:t>
            </w:r>
          </w:p>
          <w:p w14:paraId="750A96E1">
            <w:pPr>
              <w:pStyle w:val="4"/>
              <w:jc w:val="both"/>
            </w:pPr>
            <w:r>
              <w:rPr>
                <w:rFonts w:ascii="仿宋_GB2312" w:hAnsi="仿宋_GB2312" w:eastAsia="仿宋_GB2312" w:cs="仿宋_GB2312"/>
                <w:color w:val="000000"/>
                <w:sz w:val="24"/>
              </w:rPr>
              <w:t>14、对象存储需支持分层存储，根据存储介质不同至少需包括三类存储，可通过生命周期策略自动迁移不同层级存储池中的的数据。</w:t>
            </w:r>
          </w:p>
          <w:p w14:paraId="7C1CD858">
            <w:pPr>
              <w:pStyle w:val="4"/>
              <w:jc w:val="both"/>
            </w:pPr>
            <w:r>
              <w:rPr>
                <w:rFonts w:ascii="仿宋_GB2312" w:hAnsi="仿宋_GB2312" w:eastAsia="仿宋_GB2312" w:cs="仿宋_GB2312"/>
                <w:color w:val="000000"/>
                <w:sz w:val="24"/>
              </w:rPr>
              <w:t>15、为满足数据采集的实时性监控需求，需提供存储桶监听服务，支持对被监听桶内对象进行在线查看管理。</w:t>
            </w:r>
          </w:p>
          <w:p w14:paraId="5EE65D88">
            <w:pPr>
              <w:pStyle w:val="4"/>
              <w:jc w:val="both"/>
            </w:pPr>
            <w:r>
              <w:rPr>
                <w:rFonts w:ascii="仿宋_GB2312" w:hAnsi="仿宋_GB2312" w:eastAsia="仿宋_GB2312" w:cs="仿宋_GB2312"/>
                <w:color w:val="000000"/>
                <w:sz w:val="24"/>
              </w:rPr>
              <w:t>16、为提高医疗数据管理的效率，对象存储需具备文件预览功能，支持jpg、png、pdf、gif、bmp、jpeg、jfif、mp3、wav、mov、mp4等格式的对象进行在线预览。</w:t>
            </w:r>
          </w:p>
          <w:p w14:paraId="6C0381E5">
            <w:pPr>
              <w:pStyle w:val="4"/>
              <w:jc w:val="both"/>
            </w:pPr>
            <w:r>
              <w:rPr>
                <w:rFonts w:ascii="仿宋_GB2312" w:hAnsi="仿宋_GB2312" w:eastAsia="仿宋_GB2312" w:cs="仿宋_GB2312"/>
                <w:color w:val="000000"/>
                <w:sz w:val="24"/>
              </w:rPr>
              <w:t>17、为提高病例检索以及科研数据检索的效率，需提供基于对象的检索引擎，可通过元数据、标签、内容进行检索，并且</w:t>
            </w:r>
            <w:r>
              <w:rPr>
                <w:rFonts w:ascii="仿宋_GB2312" w:hAnsi="仿宋_GB2312" w:eastAsia="仿宋_GB2312" w:cs="仿宋_GB2312"/>
                <w:color w:val="000000"/>
                <w:sz w:val="21"/>
              </w:rPr>
              <w:t>至少</w:t>
            </w:r>
            <w:r>
              <w:rPr>
                <w:rFonts w:ascii="仿宋_GB2312" w:hAnsi="仿宋_GB2312" w:eastAsia="仿宋_GB2312" w:cs="仿宋_GB2312"/>
                <w:color w:val="000000"/>
                <w:sz w:val="24"/>
              </w:rPr>
              <w:t>支持对doc、xls、ppt、pptx、xlsx 、docx、pdf类型文件进行全文检索，支持高级检索，并可对检索结果进行预览、下载、打印。</w:t>
            </w:r>
          </w:p>
          <w:p w14:paraId="058DCCEA">
            <w:pPr>
              <w:pStyle w:val="4"/>
              <w:jc w:val="both"/>
            </w:pPr>
            <w:r>
              <w:rPr>
                <w:rFonts w:ascii="仿宋_GB2312" w:hAnsi="仿宋_GB2312" w:eastAsia="仿宋_GB2312" w:cs="仿宋_GB2312"/>
                <w:color w:val="000000"/>
                <w:sz w:val="24"/>
              </w:rPr>
              <w:t>18、 支持对象存储与文件系统的互通，NFS客户端可以根据设置的权限挂载存储桶，对桶中的文件进行删除、上传、下载等操作。</w:t>
            </w:r>
          </w:p>
          <w:p w14:paraId="66420A4F">
            <w:pPr>
              <w:pStyle w:val="4"/>
              <w:jc w:val="both"/>
            </w:pPr>
            <w:r>
              <w:rPr>
                <w:rFonts w:ascii="仿宋_GB2312" w:hAnsi="仿宋_GB2312" w:eastAsia="仿宋_GB2312" w:cs="仿宋_GB2312"/>
                <w:color w:val="000000"/>
                <w:sz w:val="24"/>
              </w:rPr>
              <w:t>19、为保障HIS、EMR、PACS等核心数据库的高可用与高性能至少需同时支持iSCSI和FC-SAN，支持使用分布式卷和本地卷，客户端可使用多条路径连接访问SAN，提供基于CHAP的安全性检测功能。持LUN和客户端的映射管理。</w:t>
            </w:r>
          </w:p>
          <w:p w14:paraId="7546D153">
            <w:pPr>
              <w:pStyle w:val="4"/>
              <w:jc w:val="both"/>
            </w:pPr>
            <w:r>
              <w:rPr>
                <w:rFonts w:ascii="仿宋_GB2312" w:hAnsi="仿宋_GB2312" w:eastAsia="仿宋_GB2312" w:cs="仿宋_GB2312"/>
                <w:color w:val="000000"/>
                <w:sz w:val="24"/>
              </w:rPr>
              <w:t>20、为满足医疗数据快照管理的灵活性，支持手动创建卷快照及定时自动创建快照、回滚快照及查看回滚记录、设置快照保存数量上限；同时为了保障使用多个卷的应用程序的数据一致性，需支持一致性卷组，可增删卷组所包含卷，当对该卷组创建快照时，组内的卷在同一时刻进行快照。</w:t>
            </w:r>
          </w:p>
          <w:p w14:paraId="11E17842">
            <w:pPr>
              <w:pStyle w:val="4"/>
              <w:jc w:val="left"/>
            </w:pPr>
            <w:r>
              <w:rPr>
                <w:rFonts w:ascii="仿宋_GB2312" w:hAnsi="仿宋_GB2312" w:eastAsia="仿宋_GB2312" w:cs="仿宋_GB2312"/>
                <w:color w:val="000000"/>
                <w:sz w:val="24"/>
              </w:rPr>
              <w:t>21、为了能够快速定位故障及了解故障原因，应支持对接医院智能监控告警系统，所需接口费用包含在本次投标报价中。告警信息内容至少需包括告警级别、告警概述、触发时间、持续时间、告警详情、影响、解决方法。</w:t>
            </w:r>
          </w:p>
          <w:p w14:paraId="2034F6E8">
            <w:pPr>
              <w:pStyle w:val="4"/>
              <w:jc w:val="both"/>
            </w:pPr>
            <w:r>
              <w:rPr>
                <w:rFonts w:ascii="仿宋_GB2312" w:hAnsi="仿宋_GB2312" w:eastAsia="仿宋_GB2312" w:cs="仿宋_GB2312"/>
                <w:color w:val="000000"/>
                <w:sz w:val="24"/>
              </w:rPr>
              <w:t>22、为了故障能第一时间通知到运维人员，至少需提供短信、微信两种告警方式其中之一。可在管理系统配置是否将本存储系统告警上报至运维服务商告警运维平台。</w:t>
            </w:r>
          </w:p>
          <w:p w14:paraId="32415E6F">
            <w:pPr>
              <w:pStyle w:val="4"/>
              <w:jc w:val="both"/>
            </w:pPr>
            <w:r>
              <w:rPr>
                <w:rFonts w:ascii="仿宋_GB2312" w:hAnsi="仿宋_GB2312" w:eastAsia="仿宋_GB2312" w:cs="仿宋_GB2312"/>
                <w:color w:val="000000"/>
                <w:sz w:val="24"/>
              </w:rPr>
              <w:t>23、支持指定上级DNS服务器，满足多种DNS使用场景。支持统一内部时钟源、外部时钟源、指定时间进行NTP时钟同步，保证集群时钟一致性。</w:t>
            </w:r>
          </w:p>
          <w:p w14:paraId="61F589EF">
            <w:pPr>
              <w:pStyle w:val="4"/>
              <w:jc w:val="both"/>
            </w:pPr>
            <w:r>
              <w:rPr>
                <w:rFonts w:ascii="仿宋_GB2312" w:hAnsi="仿宋_GB2312" w:eastAsia="仿宋_GB2312" w:cs="仿宋_GB2312"/>
                <w:color w:val="000000"/>
                <w:sz w:val="24"/>
              </w:rPr>
              <w:t>24、为确保医院院内影像业务不中断。原有历史数据需无缝迁移至本项目存储设备中，数据迁移费用包含在本次投标报价中。</w:t>
            </w:r>
          </w:p>
          <w:p w14:paraId="0A49560A">
            <w:pPr>
              <w:pStyle w:val="4"/>
              <w:jc w:val="both"/>
            </w:pPr>
            <w:r>
              <w:rPr>
                <w:rFonts w:ascii="仿宋_GB2312" w:hAnsi="仿宋_GB2312" w:eastAsia="仿宋_GB2312" w:cs="仿宋_GB2312"/>
                <w:color w:val="000000"/>
                <w:sz w:val="24"/>
              </w:rPr>
              <w:t>25、为确保医共体区域影像业务不中断，原有历史数据需无缝迁移至本项目存储设备中，数据迁移费用包含在本次投标报价中。</w:t>
            </w:r>
          </w:p>
        </w:tc>
      </w:tr>
    </w:tbl>
    <w:p w14:paraId="32B42CDE">
      <w:pPr>
        <w:pStyle w:val="4"/>
        <w:jc w:val="left"/>
      </w:pPr>
      <w:r>
        <w:rPr>
          <w:rFonts w:ascii="仿宋_GB2312" w:hAnsi="仿宋_GB2312" w:eastAsia="仿宋_GB2312" w:cs="仿宋_GB2312"/>
        </w:rPr>
        <w:t>标的名称：分布式存储设备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BC6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B93DE6">
            <w:pPr>
              <w:pStyle w:val="4"/>
              <w:jc w:val="center"/>
            </w:pPr>
            <w:r>
              <w:rPr>
                <w:rFonts w:ascii="仿宋_GB2312" w:hAnsi="仿宋_GB2312" w:eastAsia="仿宋_GB2312" w:cs="仿宋_GB2312"/>
              </w:rPr>
              <w:t>序号</w:t>
            </w:r>
          </w:p>
        </w:tc>
        <w:tc>
          <w:tcPr>
            <w:tcW w:w="581" w:type="dxa"/>
          </w:tcPr>
          <w:p w14:paraId="0CEF0CA3">
            <w:pPr>
              <w:pStyle w:val="4"/>
              <w:jc w:val="center"/>
            </w:pPr>
            <w:r>
              <w:rPr>
                <w:rFonts w:ascii="仿宋_GB2312" w:hAnsi="仿宋_GB2312" w:eastAsia="仿宋_GB2312" w:cs="仿宋_GB2312"/>
              </w:rPr>
              <w:t>符号标识</w:t>
            </w:r>
          </w:p>
        </w:tc>
        <w:tc>
          <w:tcPr>
            <w:tcW w:w="1495" w:type="dxa"/>
          </w:tcPr>
          <w:p w14:paraId="289B17A0">
            <w:pPr>
              <w:pStyle w:val="4"/>
              <w:jc w:val="center"/>
            </w:pPr>
            <w:r>
              <w:rPr>
                <w:rFonts w:ascii="仿宋_GB2312" w:hAnsi="仿宋_GB2312" w:eastAsia="仿宋_GB2312" w:cs="仿宋_GB2312"/>
              </w:rPr>
              <w:t>技术要求名称</w:t>
            </w:r>
          </w:p>
        </w:tc>
        <w:tc>
          <w:tcPr>
            <w:tcW w:w="5814" w:type="dxa"/>
          </w:tcPr>
          <w:p w14:paraId="62523AC5">
            <w:pPr>
              <w:pStyle w:val="4"/>
              <w:jc w:val="center"/>
            </w:pPr>
            <w:r>
              <w:rPr>
                <w:rFonts w:ascii="仿宋_GB2312" w:hAnsi="仿宋_GB2312" w:eastAsia="仿宋_GB2312" w:cs="仿宋_GB2312"/>
              </w:rPr>
              <w:t>技术参数与性能指标</w:t>
            </w:r>
          </w:p>
        </w:tc>
      </w:tr>
      <w:tr w14:paraId="5EB30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CC2C7">
            <w:pPr>
              <w:pStyle w:val="4"/>
              <w:jc w:val="center"/>
            </w:pPr>
            <w:r>
              <w:rPr>
                <w:rFonts w:ascii="仿宋_GB2312" w:hAnsi="仿宋_GB2312" w:eastAsia="仿宋_GB2312" w:cs="仿宋_GB2312"/>
              </w:rPr>
              <w:t>1</w:t>
            </w:r>
          </w:p>
        </w:tc>
        <w:tc>
          <w:tcPr>
            <w:tcW w:w="581" w:type="dxa"/>
          </w:tcPr>
          <w:p w14:paraId="64895260">
            <w:pPr>
              <w:pStyle w:val="4"/>
              <w:jc w:val="center"/>
            </w:pPr>
            <w:r>
              <w:rPr>
                <w:rFonts w:ascii="仿宋_GB2312" w:hAnsi="仿宋_GB2312" w:eastAsia="仿宋_GB2312" w:cs="仿宋_GB2312"/>
              </w:rPr>
              <w:t>★</w:t>
            </w:r>
          </w:p>
        </w:tc>
        <w:tc>
          <w:tcPr>
            <w:tcW w:w="1495" w:type="dxa"/>
          </w:tcPr>
          <w:p w14:paraId="046FCE3D">
            <w:pPr>
              <w:pStyle w:val="4"/>
              <w:jc w:val="left"/>
            </w:pPr>
            <w:r>
              <w:rPr>
                <w:rFonts w:ascii="仿宋_GB2312" w:hAnsi="仿宋_GB2312" w:eastAsia="仿宋_GB2312" w:cs="仿宋_GB2312"/>
              </w:rPr>
              <w:t>技术参数要求</w:t>
            </w:r>
          </w:p>
        </w:tc>
        <w:tc>
          <w:tcPr>
            <w:tcW w:w="5814" w:type="dxa"/>
          </w:tcPr>
          <w:p w14:paraId="793FE196">
            <w:pPr>
              <w:pStyle w:val="4"/>
              <w:jc w:val="both"/>
            </w:pPr>
            <w:r>
              <w:rPr>
                <w:rFonts w:ascii="仿宋_GB2312" w:hAnsi="仿宋_GB2312" w:eastAsia="仿宋_GB2312" w:cs="仿宋_GB2312"/>
                <w:color w:val="000000"/>
                <w:sz w:val="24"/>
              </w:rPr>
              <w:t>1、机箱规格：2U机架式；安装套件：原厂导轨套件。</w:t>
            </w:r>
          </w:p>
          <w:p w14:paraId="6BCA0ED1">
            <w:pPr>
              <w:pStyle w:val="4"/>
              <w:jc w:val="both"/>
            </w:pPr>
            <w:r>
              <w:rPr>
                <w:rFonts w:ascii="仿宋_GB2312" w:hAnsi="仿宋_GB2312" w:eastAsia="仿宋_GB2312" w:cs="仿宋_GB2312"/>
                <w:color w:val="000000"/>
                <w:sz w:val="24"/>
              </w:rPr>
              <w:t>2、CPU：单颗处理器核心数≥12核、线程数≥24线程，主频≥2.1GHz，数量≥2颗。</w:t>
            </w:r>
          </w:p>
          <w:p w14:paraId="70DE4A7E">
            <w:pPr>
              <w:pStyle w:val="4"/>
              <w:jc w:val="both"/>
            </w:pPr>
            <w:r>
              <w:rPr>
                <w:rFonts w:ascii="仿宋_GB2312" w:hAnsi="仿宋_GB2312" w:eastAsia="仿宋_GB2312" w:cs="仿宋_GB2312"/>
                <w:color w:val="000000"/>
                <w:sz w:val="24"/>
              </w:rPr>
              <w:t>3、内存≥96GB。</w:t>
            </w:r>
          </w:p>
          <w:p w14:paraId="732F3933">
            <w:pPr>
              <w:pStyle w:val="4"/>
              <w:jc w:val="both"/>
            </w:pPr>
            <w:r>
              <w:rPr>
                <w:rFonts w:ascii="仿宋_GB2312" w:hAnsi="仿宋_GB2312" w:eastAsia="仿宋_GB2312" w:cs="仿宋_GB2312"/>
                <w:color w:val="000000"/>
                <w:sz w:val="24"/>
              </w:rPr>
              <w:t>4、系统盘配置≥2块480GB SSD（系统），≥2块960GB NVMe SSD （缓存），数据盘配置≥4块3.5寸 16TB SATA硬盘，每主机预留空盘位数≥4个，用于支持后续添加硬盘扩容。双副本可用空间不低于100T。</w:t>
            </w:r>
          </w:p>
          <w:p w14:paraId="558F44B4">
            <w:pPr>
              <w:pStyle w:val="4"/>
              <w:jc w:val="both"/>
            </w:pPr>
            <w:r>
              <w:rPr>
                <w:rFonts w:ascii="仿宋_GB2312" w:hAnsi="仿宋_GB2312" w:eastAsia="仿宋_GB2312" w:cs="仿宋_GB2312"/>
                <w:color w:val="000000"/>
                <w:sz w:val="24"/>
              </w:rPr>
              <w:t>5、配置冗余电源。</w:t>
            </w:r>
          </w:p>
          <w:p w14:paraId="0B9DD7DB">
            <w:pPr>
              <w:pStyle w:val="4"/>
              <w:jc w:val="both"/>
            </w:pPr>
            <w:r>
              <w:rPr>
                <w:rFonts w:ascii="仿宋_GB2312" w:hAnsi="仿宋_GB2312" w:eastAsia="仿宋_GB2312" w:cs="仿宋_GB2312"/>
                <w:color w:val="000000"/>
                <w:sz w:val="24"/>
              </w:rPr>
              <w:t>6、配置冗余风扇。</w:t>
            </w:r>
          </w:p>
          <w:p w14:paraId="0407F876">
            <w:pPr>
              <w:pStyle w:val="4"/>
              <w:jc w:val="both"/>
            </w:pPr>
            <w:r>
              <w:rPr>
                <w:rFonts w:ascii="仿宋_GB2312" w:hAnsi="仿宋_GB2312" w:eastAsia="仿宋_GB2312" w:cs="仿宋_GB2312"/>
                <w:color w:val="000000"/>
                <w:sz w:val="24"/>
              </w:rPr>
              <w:t>7、配置≥2个10Gb双端口光网卡（含2个万兆多模光模块）。</w:t>
            </w:r>
          </w:p>
          <w:p w14:paraId="6172CC4F">
            <w:pPr>
              <w:pStyle w:val="4"/>
              <w:jc w:val="both"/>
            </w:pPr>
            <w:r>
              <w:rPr>
                <w:rFonts w:ascii="仿宋_GB2312" w:hAnsi="仿宋_GB2312" w:eastAsia="仿宋_GB2312" w:cs="仿宋_GB2312"/>
                <w:color w:val="000000"/>
                <w:sz w:val="24"/>
              </w:rPr>
              <w:t>8、配置RAID卡（支持RAID1和直通）。</w:t>
            </w:r>
          </w:p>
        </w:tc>
      </w:tr>
    </w:tbl>
    <w:p w14:paraId="08B4BEA3">
      <w:pPr>
        <w:pStyle w:val="4"/>
        <w:jc w:val="left"/>
      </w:pPr>
      <w:r>
        <w:rPr>
          <w:rFonts w:ascii="仿宋_GB2312" w:hAnsi="仿宋_GB2312" w:eastAsia="仿宋_GB2312" w:cs="仿宋_GB2312"/>
        </w:rPr>
        <w:t>标的名称：万兆交换机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129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4AB86D">
            <w:pPr>
              <w:pStyle w:val="4"/>
              <w:jc w:val="center"/>
            </w:pPr>
            <w:r>
              <w:rPr>
                <w:rFonts w:ascii="仿宋_GB2312" w:hAnsi="仿宋_GB2312" w:eastAsia="仿宋_GB2312" w:cs="仿宋_GB2312"/>
              </w:rPr>
              <w:t>序号</w:t>
            </w:r>
          </w:p>
        </w:tc>
        <w:tc>
          <w:tcPr>
            <w:tcW w:w="581" w:type="dxa"/>
          </w:tcPr>
          <w:p w14:paraId="61C310FE">
            <w:pPr>
              <w:pStyle w:val="4"/>
              <w:jc w:val="center"/>
            </w:pPr>
            <w:r>
              <w:rPr>
                <w:rFonts w:ascii="仿宋_GB2312" w:hAnsi="仿宋_GB2312" w:eastAsia="仿宋_GB2312" w:cs="仿宋_GB2312"/>
              </w:rPr>
              <w:t>符号标识</w:t>
            </w:r>
          </w:p>
        </w:tc>
        <w:tc>
          <w:tcPr>
            <w:tcW w:w="1495" w:type="dxa"/>
          </w:tcPr>
          <w:p w14:paraId="23173126">
            <w:pPr>
              <w:pStyle w:val="4"/>
              <w:jc w:val="center"/>
            </w:pPr>
            <w:r>
              <w:rPr>
                <w:rFonts w:ascii="仿宋_GB2312" w:hAnsi="仿宋_GB2312" w:eastAsia="仿宋_GB2312" w:cs="仿宋_GB2312"/>
              </w:rPr>
              <w:t>技术要求名称</w:t>
            </w:r>
          </w:p>
        </w:tc>
        <w:tc>
          <w:tcPr>
            <w:tcW w:w="5814" w:type="dxa"/>
          </w:tcPr>
          <w:p w14:paraId="28E98978">
            <w:pPr>
              <w:pStyle w:val="4"/>
              <w:jc w:val="center"/>
            </w:pPr>
            <w:r>
              <w:rPr>
                <w:rFonts w:ascii="仿宋_GB2312" w:hAnsi="仿宋_GB2312" w:eastAsia="仿宋_GB2312" w:cs="仿宋_GB2312"/>
              </w:rPr>
              <w:t>技术参数与性能指标</w:t>
            </w:r>
          </w:p>
        </w:tc>
      </w:tr>
      <w:tr w14:paraId="5A23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019F34">
            <w:pPr>
              <w:pStyle w:val="4"/>
              <w:jc w:val="center"/>
            </w:pPr>
            <w:r>
              <w:rPr>
                <w:rFonts w:ascii="仿宋_GB2312" w:hAnsi="仿宋_GB2312" w:eastAsia="仿宋_GB2312" w:cs="仿宋_GB2312"/>
              </w:rPr>
              <w:t>1</w:t>
            </w:r>
          </w:p>
        </w:tc>
        <w:tc>
          <w:tcPr>
            <w:tcW w:w="581" w:type="dxa"/>
          </w:tcPr>
          <w:p w14:paraId="07F2BEFF">
            <w:pPr>
              <w:pStyle w:val="4"/>
              <w:jc w:val="center"/>
            </w:pPr>
            <w:r>
              <w:rPr>
                <w:rFonts w:ascii="仿宋_GB2312" w:hAnsi="仿宋_GB2312" w:eastAsia="仿宋_GB2312" w:cs="仿宋_GB2312"/>
              </w:rPr>
              <w:t>★</w:t>
            </w:r>
          </w:p>
        </w:tc>
        <w:tc>
          <w:tcPr>
            <w:tcW w:w="1495" w:type="dxa"/>
          </w:tcPr>
          <w:p w14:paraId="64EC255D">
            <w:pPr>
              <w:pStyle w:val="4"/>
              <w:jc w:val="left"/>
            </w:pPr>
            <w:r>
              <w:rPr>
                <w:rFonts w:ascii="仿宋_GB2312" w:hAnsi="仿宋_GB2312" w:eastAsia="仿宋_GB2312" w:cs="仿宋_GB2312"/>
              </w:rPr>
              <w:t>技术参数要求</w:t>
            </w:r>
          </w:p>
        </w:tc>
        <w:tc>
          <w:tcPr>
            <w:tcW w:w="5814" w:type="dxa"/>
          </w:tcPr>
          <w:p w14:paraId="18E304DA">
            <w:pPr>
              <w:pStyle w:val="4"/>
              <w:jc w:val="both"/>
            </w:pPr>
            <w:r>
              <w:rPr>
                <w:rFonts w:ascii="仿宋_GB2312" w:hAnsi="仿宋_GB2312" w:eastAsia="仿宋_GB2312" w:cs="仿宋_GB2312"/>
                <w:color w:val="000000"/>
                <w:sz w:val="24"/>
              </w:rPr>
              <w:t>1、交换容量≥2.56Tbps。</w:t>
            </w:r>
          </w:p>
          <w:p w14:paraId="61ACCB75">
            <w:pPr>
              <w:pStyle w:val="4"/>
              <w:jc w:val="both"/>
            </w:pPr>
            <w:r>
              <w:rPr>
                <w:rFonts w:ascii="仿宋_GB2312" w:hAnsi="仿宋_GB2312" w:eastAsia="仿宋_GB2312" w:cs="仿宋_GB2312"/>
                <w:color w:val="000000"/>
                <w:sz w:val="24"/>
              </w:rPr>
              <w:t>2、转发性能≥480Mpps。</w:t>
            </w:r>
          </w:p>
          <w:p w14:paraId="0BB922D4">
            <w:pPr>
              <w:pStyle w:val="4"/>
              <w:jc w:val="both"/>
            </w:pPr>
            <w:r>
              <w:rPr>
                <w:rFonts w:ascii="仿宋_GB2312" w:hAnsi="仿宋_GB2312" w:eastAsia="仿宋_GB2312" w:cs="仿宋_GB2312"/>
                <w:color w:val="000000"/>
                <w:sz w:val="24"/>
              </w:rPr>
              <w:t>3、高度1U，固定接口交换机。</w:t>
            </w:r>
          </w:p>
          <w:p w14:paraId="2222ABE1">
            <w:pPr>
              <w:pStyle w:val="4"/>
              <w:jc w:val="both"/>
            </w:pPr>
            <w:r>
              <w:rPr>
                <w:rFonts w:ascii="仿宋_GB2312" w:hAnsi="仿宋_GB2312" w:eastAsia="仿宋_GB2312" w:cs="仿宋_GB2312"/>
                <w:color w:val="000000"/>
                <w:sz w:val="24"/>
              </w:rPr>
              <w:t>4、支持融合AC功能。</w:t>
            </w:r>
          </w:p>
          <w:p w14:paraId="5832C3BA">
            <w:pPr>
              <w:pStyle w:val="4"/>
              <w:jc w:val="both"/>
            </w:pPr>
            <w:r>
              <w:rPr>
                <w:rFonts w:ascii="仿宋_GB2312" w:hAnsi="仿宋_GB2312" w:eastAsia="仿宋_GB2312" w:cs="仿宋_GB2312"/>
                <w:color w:val="000000"/>
                <w:sz w:val="24"/>
              </w:rPr>
              <w:t>5、实配10 GE 光接口≥24个，扩展插槽≥1个。</w:t>
            </w:r>
          </w:p>
          <w:p w14:paraId="20DFFD23">
            <w:pPr>
              <w:pStyle w:val="4"/>
              <w:jc w:val="both"/>
            </w:pPr>
            <w:r>
              <w:rPr>
                <w:rFonts w:ascii="仿宋_GB2312" w:hAnsi="仿宋_GB2312" w:eastAsia="仿宋_GB2312" w:cs="仿宋_GB2312"/>
                <w:color w:val="000000"/>
                <w:sz w:val="24"/>
              </w:rPr>
              <w:t>6、支持IPv6静态路由、RIPng、OSPFv3、ISISv6、BGP4+。</w:t>
            </w:r>
          </w:p>
          <w:p w14:paraId="4FD6C4D7">
            <w:pPr>
              <w:pStyle w:val="4"/>
              <w:jc w:val="both"/>
            </w:pPr>
            <w:r>
              <w:rPr>
                <w:rFonts w:ascii="仿宋_GB2312" w:hAnsi="仿宋_GB2312" w:eastAsia="仿宋_GB2312" w:cs="仿宋_GB2312"/>
                <w:color w:val="000000"/>
                <w:sz w:val="24"/>
              </w:rPr>
              <w:t>7、支持通过标准以太端口进行堆叠。</w:t>
            </w:r>
          </w:p>
          <w:p w14:paraId="17256B12">
            <w:pPr>
              <w:pStyle w:val="4"/>
              <w:jc w:val="both"/>
            </w:pPr>
            <w:r>
              <w:rPr>
                <w:rFonts w:ascii="仿宋_GB2312" w:hAnsi="仿宋_GB2312" w:eastAsia="仿宋_GB2312" w:cs="仿宋_GB2312"/>
                <w:color w:val="000000"/>
                <w:sz w:val="24"/>
              </w:rPr>
              <w:t>8、支持基于端口的VLAN，支持基于协议的VLAN；支持基于MAC的VLAN。</w:t>
            </w:r>
          </w:p>
          <w:p w14:paraId="2DF07214">
            <w:pPr>
              <w:pStyle w:val="4"/>
              <w:jc w:val="both"/>
            </w:pPr>
            <w:r>
              <w:rPr>
                <w:rFonts w:ascii="仿宋_GB2312" w:hAnsi="仿宋_GB2312" w:eastAsia="仿宋_GB2312" w:cs="仿宋_GB2312"/>
                <w:color w:val="000000"/>
                <w:sz w:val="24"/>
              </w:rPr>
              <w:t>9、根据用户现场实际需求，配置接入到用户原有超融合所需的光模块及光纤线。</w:t>
            </w:r>
          </w:p>
        </w:tc>
      </w:tr>
    </w:tbl>
    <w:p w14:paraId="651F021A">
      <w:pPr>
        <w:pStyle w:val="4"/>
        <w:jc w:val="left"/>
        <w:outlineLvl w:val="2"/>
      </w:pPr>
      <w:r>
        <w:rPr>
          <w:rFonts w:ascii="仿宋_GB2312" w:hAnsi="仿宋_GB2312" w:eastAsia="仿宋_GB2312" w:cs="仿宋_GB2312"/>
          <w:b/>
          <w:sz w:val="28"/>
        </w:rPr>
        <w:t>3.3.服务要求</w:t>
      </w:r>
    </w:p>
    <w:p w14:paraId="170061F2">
      <w:pPr>
        <w:pStyle w:val="4"/>
        <w:jc w:val="left"/>
        <w:outlineLvl w:val="3"/>
      </w:pPr>
      <w:r>
        <w:rPr>
          <w:rFonts w:ascii="仿宋_GB2312" w:hAnsi="仿宋_GB2312" w:eastAsia="仿宋_GB2312" w:cs="仿宋_GB2312"/>
          <w:b/>
          <w:sz w:val="24"/>
        </w:rPr>
        <w:t>3.3.1.服务内容要求</w:t>
      </w:r>
    </w:p>
    <w:p w14:paraId="190602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C90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1269D">
            <w:pPr>
              <w:pStyle w:val="4"/>
              <w:jc w:val="center"/>
            </w:pPr>
            <w:r>
              <w:rPr>
                <w:rFonts w:ascii="仿宋_GB2312" w:hAnsi="仿宋_GB2312" w:eastAsia="仿宋_GB2312" w:cs="仿宋_GB2312"/>
              </w:rPr>
              <w:t xml:space="preserve"> 序号</w:t>
            </w:r>
          </w:p>
        </w:tc>
        <w:tc>
          <w:tcPr>
            <w:tcW w:w="581" w:type="dxa"/>
          </w:tcPr>
          <w:p w14:paraId="4525F078">
            <w:pPr>
              <w:pStyle w:val="4"/>
              <w:jc w:val="center"/>
            </w:pPr>
            <w:r>
              <w:rPr>
                <w:rFonts w:ascii="仿宋_GB2312" w:hAnsi="仿宋_GB2312" w:eastAsia="仿宋_GB2312" w:cs="仿宋_GB2312"/>
              </w:rPr>
              <w:t xml:space="preserve"> 符号标识</w:t>
            </w:r>
          </w:p>
        </w:tc>
        <w:tc>
          <w:tcPr>
            <w:tcW w:w="1495" w:type="dxa"/>
          </w:tcPr>
          <w:p w14:paraId="6874972C">
            <w:pPr>
              <w:pStyle w:val="4"/>
              <w:jc w:val="center"/>
            </w:pPr>
            <w:r>
              <w:rPr>
                <w:rFonts w:ascii="仿宋_GB2312" w:hAnsi="仿宋_GB2312" w:eastAsia="仿宋_GB2312" w:cs="仿宋_GB2312"/>
              </w:rPr>
              <w:t xml:space="preserve"> 服务要求名称</w:t>
            </w:r>
          </w:p>
        </w:tc>
        <w:tc>
          <w:tcPr>
            <w:tcW w:w="5814" w:type="dxa"/>
          </w:tcPr>
          <w:p w14:paraId="2FDC7767">
            <w:pPr>
              <w:pStyle w:val="4"/>
              <w:jc w:val="center"/>
            </w:pPr>
            <w:r>
              <w:rPr>
                <w:rFonts w:ascii="仿宋_GB2312" w:hAnsi="仿宋_GB2312" w:eastAsia="仿宋_GB2312" w:cs="仿宋_GB2312"/>
              </w:rPr>
              <w:t xml:space="preserve"> 服务要求内容</w:t>
            </w:r>
          </w:p>
        </w:tc>
      </w:tr>
      <w:tr w14:paraId="4AD2A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BF08C2">
            <w:pPr>
              <w:pStyle w:val="4"/>
              <w:jc w:val="center"/>
            </w:pPr>
            <w:r>
              <w:rPr>
                <w:rFonts w:ascii="仿宋_GB2312" w:hAnsi="仿宋_GB2312" w:eastAsia="仿宋_GB2312" w:cs="仿宋_GB2312"/>
              </w:rPr>
              <w:t>1</w:t>
            </w:r>
          </w:p>
        </w:tc>
        <w:tc>
          <w:tcPr>
            <w:tcW w:w="581" w:type="dxa"/>
          </w:tcPr>
          <w:p w14:paraId="28EFA6B5">
            <w:pPr>
              <w:pStyle w:val="4"/>
              <w:jc w:val="center"/>
            </w:pPr>
            <w:r>
              <w:rPr>
                <w:rFonts w:ascii="仿宋_GB2312" w:hAnsi="仿宋_GB2312" w:eastAsia="仿宋_GB2312" w:cs="仿宋_GB2312"/>
              </w:rPr>
              <w:t>★</w:t>
            </w:r>
          </w:p>
        </w:tc>
        <w:tc>
          <w:tcPr>
            <w:tcW w:w="1495" w:type="dxa"/>
          </w:tcPr>
          <w:p w14:paraId="3164C1CE">
            <w:pPr>
              <w:pStyle w:val="4"/>
              <w:jc w:val="left"/>
            </w:pPr>
            <w:r>
              <w:rPr>
                <w:rFonts w:ascii="仿宋_GB2312" w:hAnsi="仿宋_GB2312" w:eastAsia="仿宋_GB2312" w:cs="仿宋_GB2312"/>
              </w:rPr>
              <w:t>售后服务</w:t>
            </w:r>
          </w:p>
        </w:tc>
        <w:tc>
          <w:tcPr>
            <w:tcW w:w="5814" w:type="dxa"/>
          </w:tcPr>
          <w:p w14:paraId="66C99A8B">
            <w:pPr>
              <w:pStyle w:val="4"/>
              <w:jc w:val="left"/>
            </w:pPr>
            <w:r>
              <w:rPr>
                <w:rFonts w:ascii="仿宋_GB2312" w:hAnsi="仿宋_GB2312" w:eastAsia="仿宋_GB2312" w:cs="仿宋_GB2312"/>
                <w:color w:val="0000FF"/>
                <w:sz w:val="24"/>
              </w:rPr>
              <w:t>1、成交供应商须向采购人提供操作培训，包括设备结构、工作原理、故障判断、故障处理、设备的正常操作、保养、简单维护、修理等相关内容，保证采购人相关操作人员能够正常上岗操作及简单维护。</w:t>
            </w:r>
          </w:p>
          <w:p w14:paraId="144BC99B">
            <w:pPr>
              <w:pStyle w:val="4"/>
              <w:jc w:val="left"/>
            </w:pPr>
            <w:r>
              <w:rPr>
                <w:rFonts w:ascii="仿宋_GB2312" w:hAnsi="仿宋_GB2312" w:eastAsia="仿宋_GB2312" w:cs="仿宋_GB2312"/>
                <w:color w:val="0000FF"/>
                <w:sz w:val="24"/>
              </w:rPr>
              <w:t>2、成交供应商须安排专人负责售后服务事宜，向采购人提供拟派人员清单、联系方式。</w:t>
            </w:r>
          </w:p>
          <w:p w14:paraId="34595E72">
            <w:pPr>
              <w:pStyle w:val="4"/>
              <w:jc w:val="left"/>
            </w:pPr>
            <w:r>
              <w:rPr>
                <w:rFonts w:ascii="仿宋_GB2312" w:hAnsi="仿宋_GB2312" w:eastAsia="仿宋_GB2312" w:cs="仿宋_GB2312"/>
                <w:color w:val="0000FF"/>
                <w:sz w:val="24"/>
              </w:rPr>
              <w:t>3、成交供应商须对本次采购软件提供升级更新以及其他的支持服务，并提供7*24小时技术支持，包括各种系统故障及对各种突发事件采取应急措施等，服务响应时间为30分钟内。在此期间，成交供应商须通过电话提供解决方案，或者利用远程维护方式解决问题。若不能在2小时内解决故障问题或采购人需要成交供应商现场服务的，须在发现无法通过远程解决或采购人通知后3个小时内赶到现场解决。每季度现场巡检次数≥1次，并提供巡检报告。</w:t>
            </w:r>
          </w:p>
        </w:tc>
      </w:tr>
      <w:tr w14:paraId="57F67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2223F">
            <w:pPr>
              <w:pStyle w:val="4"/>
              <w:jc w:val="center"/>
            </w:pPr>
            <w:r>
              <w:rPr>
                <w:rFonts w:ascii="仿宋_GB2312" w:hAnsi="仿宋_GB2312" w:eastAsia="仿宋_GB2312" w:cs="仿宋_GB2312"/>
              </w:rPr>
              <w:t>2</w:t>
            </w:r>
          </w:p>
        </w:tc>
        <w:tc>
          <w:tcPr>
            <w:tcW w:w="581" w:type="dxa"/>
          </w:tcPr>
          <w:p w14:paraId="38DB4213">
            <w:pPr>
              <w:pStyle w:val="4"/>
              <w:jc w:val="center"/>
            </w:pPr>
            <w:r>
              <w:rPr>
                <w:rFonts w:ascii="仿宋_GB2312" w:hAnsi="仿宋_GB2312" w:eastAsia="仿宋_GB2312" w:cs="仿宋_GB2312"/>
              </w:rPr>
              <w:t>★</w:t>
            </w:r>
          </w:p>
        </w:tc>
        <w:tc>
          <w:tcPr>
            <w:tcW w:w="1495" w:type="dxa"/>
          </w:tcPr>
          <w:p w14:paraId="7B824E7C">
            <w:pPr>
              <w:pStyle w:val="4"/>
              <w:jc w:val="left"/>
            </w:pPr>
            <w:r>
              <w:rPr>
                <w:rFonts w:ascii="仿宋_GB2312" w:hAnsi="仿宋_GB2312" w:eastAsia="仿宋_GB2312" w:cs="仿宋_GB2312"/>
              </w:rPr>
              <w:t>整体服务要求</w:t>
            </w:r>
          </w:p>
        </w:tc>
        <w:tc>
          <w:tcPr>
            <w:tcW w:w="5814" w:type="dxa"/>
          </w:tcPr>
          <w:p w14:paraId="66134447">
            <w:pPr>
              <w:pStyle w:val="4"/>
              <w:jc w:val="both"/>
            </w:pPr>
            <w:r>
              <w:rPr>
                <w:rFonts w:ascii="仿宋_GB2312" w:hAnsi="仿宋_GB2312" w:eastAsia="仿宋_GB2312" w:cs="仿宋_GB2312"/>
                <w:color w:val="0000FF"/>
                <w:sz w:val="24"/>
              </w:rPr>
              <w:t>1、报价要求：本项目报价为包干价，包括但不限于货物、运输、保险、安装（成交供应商须根据采购人实际情况进行安装，所有设备的安装费用包含在本次设备报价中，包含所涉及的且辅材、人工等）、调试、利润、税金、验收等完成本项目的一切费用，采购人不再支付其他任何费用，由此而引起的风险由供应商自行承担。</w:t>
            </w:r>
          </w:p>
          <w:p w14:paraId="494E8949">
            <w:pPr>
              <w:pStyle w:val="4"/>
              <w:jc w:val="both"/>
            </w:pPr>
            <w:r>
              <w:rPr>
                <w:rFonts w:ascii="仿宋_GB2312" w:hAnsi="仿宋_GB2312" w:eastAsia="仿宋_GB2312" w:cs="仿宋_GB2312"/>
                <w:color w:val="0000FF"/>
                <w:sz w:val="24"/>
              </w:rPr>
              <w:t>2、成交供应商须承诺提供的产品为全新合格产品，货物须是原装产品，供货时无破损，产品表面无划伤、无碰撞伤，外观清洁，配置与装箱清单相符，提供使用说明书、检验合格证、保修卡及其他配套资料等（提供承诺函，格式自拟）。</w:t>
            </w:r>
          </w:p>
          <w:p w14:paraId="2D34E209">
            <w:pPr>
              <w:pStyle w:val="4"/>
              <w:jc w:val="both"/>
            </w:pPr>
            <w:r>
              <w:rPr>
                <w:rFonts w:ascii="仿宋_GB2312" w:hAnsi="仿宋_GB2312" w:eastAsia="仿宋_GB2312" w:cs="仿宋_GB2312"/>
                <w:color w:val="0000FF"/>
                <w:sz w:val="24"/>
              </w:rPr>
              <w:t>3、项目实施期间涉及的安全责任由成交供应商承担，与采购人无关。</w:t>
            </w:r>
          </w:p>
          <w:p w14:paraId="36D02F87">
            <w:pPr>
              <w:pStyle w:val="4"/>
              <w:jc w:val="both"/>
            </w:pPr>
            <w:r>
              <w:rPr>
                <w:rFonts w:ascii="仿宋_GB2312" w:hAnsi="仿宋_GB2312" w:eastAsia="仿宋_GB2312" w:cs="仿宋_GB2312"/>
                <w:color w:val="0000FF"/>
                <w:sz w:val="24"/>
              </w:rPr>
              <w:t>4、其他未尽事宜由采购人与成交供应商在政府采购合同中进行约定（约定的内容须符合国家相关法律法规的规定，所需费用包含在报价中）。</w:t>
            </w:r>
          </w:p>
          <w:p w14:paraId="626394CB">
            <w:pPr>
              <w:pStyle w:val="4"/>
              <w:jc w:val="left"/>
            </w:pPr>
            <w:r>
              <w:rPr>
                <w:rFonts w:ascii="仿宋_GB2312" w:hAnsi="仿宋_GB2312" w:eastAsia="仿宋_GB2312" w:cs="仿宋_GB2312"/>
                <w:color w:val="0000FF"/>
                <w:sz w:val="24"/>
              </w:rPr>
              <w:t>5、成交供应商具备CT设备的DCOM图像信息与PACS系统解析匹配能力。</w:t>
            </w:r>
          </w:p>
        </w:tc>
      </w:tr>
    </w:tbl>
    <w:p w14:paraId="50B00865">
      <w:pPr>
        <w:pStyle w:val="4"/>
        <w:jc w:val="left"/>
        <w:outlineLvl w:val="3"/>
      </w:pPr>
      <w:r>
        <w:rPr>
          <w:rFonts w:ascii="仿宋_GB2312" w:hAnsi="仿宋_GB2312" w:eastAsia="仿宋_GB2312" w:cs="仿宋_GB2312"/>
          <w:b/>
          <w:sz w:val="24"/>
        </w:rPr>
        <w:t>3.3.2.商务要求</w:t>
      </w:r>
    </w:p>
    <w:p w14:paraId="3C01E0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845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0C4243">
            <w:pPr>
              <w:pStyle w:val="4"/>
              <w:jc w:val="center"/>
            </w:pPr>
            <w:r>
              <w:rPr>
                <w:rFonts w:ascii="仿宋_GB2312" w:hAnsi="仿宋_GB2312" w:eastAsia="仿宋_GB2312" w:cs="仿宋_GB2312"/>
              </w:rPr>
              <w:t>序号</w:t>
            </w:r>
          </w:p>
        </w:tc>
        <w:tc>
          <w:tcPr>
            <w:tcW w:w="581" w:type="dxa"/>
          </w:tcPr>
          <w:p w14:paraId="28CA93C4">
            <w:pPr>
              <w:pStyle w:val="4"/>
              <w:jc w:val="center"/>
            </w:pPr>
            <w:r>
              <w:rPr>
                <w:rFonts w:ascii="仿宋_GB2312" w:hAnsi="仿宋_GB2312" w:eastAsia="仿宋_GB2312" w:cs="仿宋_GB2312"/>
              </w:rPr>
              <w:t>符号标识</w:t>
            </w:r>
          </w:p>
        </w:tc>
        <w:tc>
          <w:tcPr>
            <w:tcW w:w="1495" w:type="dxa"/>
          </w:tcPr>
          <w:p w14:paraId="7031D16C">
            <w:pPr>
              <w:pStyle w:val="4"/>
              <w:jc w:val="center"/>
            </w:pPr>
            <w:r>
              <w:rPr>
                <w:rFonts w:ascii="仿宋_GB2312" w:hAnsi="仿宋_GB2312" w:eastAsia="仿宋_GB2312" w:cs="仿宋_GB2312"/>
              </w:rPr>
              <w:t>商务要求名称</w:t>
            </w:r>
          </w:p>
        </w:tc>
        <w:tc>
          <w:tcPr>
            <w:tcW w:w="5814" w:type="dxa"/>
          </w:tcPr>
          <w:p w14:paraId="618AAE6E">
            <w:pPr>
              <w:pStyle w:val="4"/>
              <w:jc w:val="center"/>
            </w:pPr>
            <w:r>
              <w:rPr>
                <w:rFonts w:ascii="仿宋_GB2312" w:hAnsi="仿宋_GB2312" w:eastAsia="仿宋_GB2312" w:cs="仿宋_GB2312"/>
              </w:rPr>
              <w:t>商务要求内容</w:t>
            </w:r>
          </w:p>
        </w:tc>
      </w:tr>
      <w:tr w14:paraId="1ADC4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7EEA2B">
            <w:pPr>
              <w:pStyle w:val="4"/>
              <w:jc w:val="center"/>
            </w:pPr>
            <w:r>
              <w:rPr>
                <w:rFonts w:ascii="仿宋_GB2312" w:hAnsi="仿宋_GB2312" w:eastAsia="仿宋_GB2312" w:cs="仿宋_GB2312"/>
              </w:rPr>
              <w:t>1</w:t>
            </w:r>
          </w:p>
        </w:tc>
        <w:tc>
          <w:tcPr>
            <w:tcW w:w="581" w:type="dxa"/>
          </w:tcPr>
          <w:p w14:paraId="229C1B91">
            <w:pPr>
              <w:pStyle w:val="4"/>
              <w:jc w:val="center"/>
            </w:pPr>
            <w:r>
              <w:rPr>
                <w:rFonts w:ascii="仿宋_GB2312" w:hAnsi="仿宋_GB2312" w:eastAsia="仿宋_GB2312" w:cs="仿宋_GB2312"/>
              </w:rPr>
              <w:t>★</w:t>
            </w:r>
          </w:p>
        </w:tc>
        <w:tc>
          <w:tcPr>
            <w:tcW w:w="1495" w:type="dxa"/>
          </w:tcPr>
          <w:p w14:paraId="6291C8F6">
            <w:pPr>
              <w:pStyle w:val="4"/>
              <w:jc w:val="left"/>
            </w:pPr>
            <w:r>
              <w:rPr>
                <w:rFonts w:ascii="仿宋_GB2312" w:hAnsi="仿宋_GB2312" w:eastAsia="仿宋_GB2312" w:cs="仿宋_GB2312"/>
              </w:rPr>
              <w:t>交货时间</w:t>
            </w:r>
          </w:p>
        </w:tc>
        <w:tc>
          <w:tcPr>
            <w:tcW w:w="5814" w:type="dxa"/>
          </w:tcPr>
          <w:p w14:paraId="41C5AD20">
            <w:pPr>
              <w:pStyle w:val="4"/>
              <w:jc w:val="left"/>
            </w:pPr>
            <w:r>
              <w:rPr>
                <w:rFonts w:ascii="仿宋_GB2312" w:hAnsi="仿宋_GB2312" w:eastAsia="仿宋_GB2312" w:cs="仿宋_GB2312"/>
              </w:rPr>
              <w:t>政府采购合同签订后30个日历天内供货至采购人指定地点，按采购人要求完成安装、调试，交采购人验收，正常使用。</w:t>
            </w:r>
          </w:p>
        </w:tc>
      </w:tr>
      <w:tr w14:paraId="4F478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8A8F5">
            <w:pPr>
              <w:pStyle w:val="4"/>
              <w:jc w:val="center"/>
            </w:pPr>
            <w:r>
              <w:rPr>
                <w:rFonts w:ascii="仿宋_GB2312" w:hAnsi="仿宋_GB2312" w:eastAsia="仿宋_GB2312" w:cs="仿宋_GB2312"/>
              </w:rPr>
              <w:t>2</w:t>
            </w:r>
          </w:p>
        </w:tc>
        <w:tc>
          <w:tcPr>
            <w:tcW w:w="581" w:type="dxa"/>
          </w:tcPr>
          <w:p w14:paraId="07C1FFE8">
            <w:pPr>
              <w:pStyle w:val="4"/>
              <w:jc w:val="center"/>
            </w:pPr>
            <w:r>
              <w:rPr>
                <w:rFonts w:ascii="仿宋_GB2312" w:hAnsi="仿宋_GB2312" w:eastAsia="仿宋_GB2312" w:cs="仿宋_GB2312"/>
              </w:rPr>
              <w:t>★</w:t>
            </w:r>
          </w:p>
        </w:tc>
        <w:tc>
          <w:tcPr>
            <w:tcW w:w="1495" w:type="dxa"/>
          </w:tcPr>
          <w:p w14:paraId="2BAF0C89">
            <w:pPr>
              <w:pStyle w:val="4"/>
              <w:jc w:val="left"/>
            </w:pPr>
            <w:r>
              <w:rPr>
                <w:rFonts w:ascii="仿宋_GB2312" w:hAnsi="仿宋_GB2312" w:eastAsia="仿宋_GB2312" w:cs="仿宋_GB2312"/>
              </w:rPr>
              <w:t>交货地点</w:t>
            </w:r>
          </w:p>
        </w:tc>
        <w:tc>
          <w:tcPr>
            <w:tcW w:w="5814" w:type="dxa"/>
          </w:tcPr>
          <w:p w14:paraId="091F9AA2">
            <w:pPr>
              <w:pStyle w:val="4"/>
              <w:jc w:val="left"/>
            </w:pPr>
            <w:r>
              <w:rPr>
                <w:rFonts w:ascii="仿宋_GB2312" w:hAnsi="仿宋_GB2312" w:eastAsia="仿宋_GB2312" w:cs="仿宋_GB2312"/>
              </w:rPr>
              <w:t>攀枝花市仁和区人民医院</w:t>
            </w:r>
          </w:p>
        </w:tc>
      </w:tr>
      <w:tr w14:paraId="2FD2D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AA7242">
            <w:pPr>
              <w:pStyle w:val="4"/>
              <w:jc w:val="center"/>
            </w:pPr>
            <w:r>
              <w:rPr>
                <w:rFonts w:ascii="仿宋_GB2312" w:hAnsi="仿宋_GB2312" w:eastAsia="仿宋_GB2312" w:cs="仿宋_GB2312"/>
              </w:rPr>
              <w:t>3</w:t>
            </w:r>
          </w:p>
        </w:tc>
        <w:tc>
          <w:tcPr>
            <w:tcW w:w="581" w:type="dxa"/>
          </w:tcPr>
          <w:p w14:paraId="4B995B64">
            <w:pPr>
              <w:pStyle w:val="4"/>
              <w:jc w:val="center"/>
            </w:pPr>
            <w:r>
              <w:rPr>
                <w:rFonts w:ascii="仿宋_GB2312" w:hAnsi="仿宋_GB2312" w:eastAsia="仿宋_GB2312" w:cs="仿宋_GB2312"/>
              </w:rPr>
              <w:t>★</w:t>
            </w:r>
          </w:p>
        </w:tc>
        <w:tc>
          <w:tcPr>
            <w:tcW w:w="1495" w:type="dxa"/>
          </w:tcPr>
          <w:p w14:paraId="70CE69A4">
            <w:pPr>
              <w:pStyle w:val="4"/>
              <w:jc w:val="left"/>
            </w:pPr>
            <w:r>
              <w:rPr>
                <w:rFonts w:ascii="仿宋_GB2312" w:hAnsi="仿宋_GB2312" w:eastAsia="仿宋_GB2312" w:cs="仿宋_GB2312"/>
              </w:rPr>
              <w:t>支付方式</w:t>
            </w:r>
          </w:p>
        </w:tc>
        <w:tc>
          <w:tcPr>
            <w:tcW w:w="5814" w:type="dxa"/>
          </w:tcPr>
          <w:p w14:paraId="2D55BBDB">
            <w:pPr>
              <w:pStyle w:val="4"/>
              <w:jc w:val="left"/>
            </w:pPr>
            <w:r>
              <w:rPr>
                <w:rFonts w:ascii="仿宋_GB2312" w:hAnsi="仿宋_GB2312" w:eastAsia="仿宋_GB2312" w:cs="仿宋_GB2312"/>
              </w:rPr>
              <w:t>分期付款</w:t>
            </w:r>
          </w:p>
        </w:tc>
      </w:tr>
      <w:tr w14:paraId="199A5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FDB808">
            <w:pPr>
              <w:pStyle w:val="4"/>
              <w:jc w:val="center"/>
            </w:pPr>
            <w:r>
              <w:rPr>
                <w:rFonts w:ascii="仿宋_GB2312" w:hAnsi="仿宋_GB2312" w:eastAsia="仿宋_GB2312" w:cs="仿宋_GB2312"/>
              </w:rPr>
              <w:t>4</w:t>
            </w:r>
          </w:p>
        </w:tc>
        <w:tc>
          <w:tcPr>
            <w:tcW w:w="581" w:type="dxa"/>
          </w:tcPr>
          <w:p w14:paraId="5A70794F">
            <w:pPr>
              <w:pStyle w:val="4"/>
              <w:jc w:val="center"/>
            </w:pPr>
            <w:r>
              <w:rPr>
                <w:rFonts w:ascii="仿宋_GB2312" w:hAnsi="仿宋_GB2312" w:eastAsia="仿宋_GB2312" w:cs="仿宋_GB2312"/>
              </w:rPr>
              <w:t>★</w:t>
            </w:r>
          </w:p>
        </w:tc>
        <w:tc>
          <w:tcPr>
            <w:tcW w:w="1495" w:type="dxa"/>
          </w:tcPr>
          <w:p w14:paraId="55C8EB82">
            <w:pPr>
              <w:pStyle w:val="4"/>
              <w:jc w:val="left"/>
            </w:pPr>
            <w:r>
              <w:rPr>
                <w:rFonts w:ascii="仿宋_GB2312" w:hAnsi="仿宋_GB2312" w:eastAsia="仿宋_GB2312" w:cs="仿宋_GB2312"/>
              </w:rPr>
              <w:t>付款进度安排</w:t>
            </w:r>
          </w:p>
        </w:tc>
        <w:tc>
          <w:tcPr>
            <w:tcW w:w="5814" w:type="dxa"/>
          </w:tcPr>
          <w:p w14:paraId="5D4B9253">
            <w:pPr>
              <w:pStyle w:val="4"/>
              <w:jc w:val="left"/>
            </w:pPr>
            <w:r>
              <w:rPr>
                <w:rFonts w:ascii="仿宋_GB2312" w:hAnsi="仿宋_GB2312" w:eastAsia="仿宋_GB2312" w:cs="仿宋_GB2312"/>
              </w:rPr>
              <w:t>1、进度款，经采购人验收合格并无质量问题后，达到付款条件起30日内，支付合同总金额的95.00%</w:t>
            </w:r>
          </w:p>
          <w:p w14:paraId="4F2DB35E">
            <w:pPr>
              <w:pStyle w:val="4"/>
              <w:jc w:val="left"/>
            </w:pPr>
            <w:r>
              <w:rPr>
                <w:rFonts w:ascii="仿宋_GB2312" w:hAnsi="仿宋_GB2312" w:eastAsia="仿宋_GB2312" w:cs="仿宋_GB2312"/>
              </w:rPr>
              <w:t>2、尾款，验收合格，确认正常使用1年后，达到付款条件起30日内，支付合同总金额的5.00%</w:t>
            </w:r>
          </w:p>
        </w:tc>
      </w:tr>
      <w:tr w14:paraId="59647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5E92B5">
            <w:pPr>
              <w:pStyle w:val="4"/>
              <w:jc w:val="center"/>
            </w:pPr>
            <w:r>
              <w:rPr>
                <w:rFonts w:ascii="仿宋_GB2312" w:hAnsi="仿宋_GB2312" w:eastAsia="仿宋_GB2312" w:cs="仿宋_GB2312"/>
              </w:rPr>
              <w:t>5</w:t>
            </w:r>
          </w:p>
        </w:tc>
        <w:tc>
          <w:tcPr>
            <w:tcW w:w="581" w:type="dxa"/>
          </w:tcPr>
          <w:p w14:paraId="346CD8C5">
            <w:pPr>
              <w:pStyle w:val="4"/>
              <w:jc w:val="center"/>
            </w:pPr>
            <w:r>
              <w:rPr>
                <w:rFonts w:ascii="仿宋_GB2312" w:hAnsi="仿宋_GB2312" w:eastAsia="仿宋_GB2312" w:cs="仿宋_GB2312"/>
              </w:rPr>
              <w:t>★</w:t>
            </w:r>
          </w:p>
        </w:tc>
        <w:tc>
          <w:tcPr>
            <w:tcW w:w="1495" w:type="dxa"/>
          </w:tcPr>
          <w:p w14:paraId="1288B982">
            <w:pPr>
              <w:pStyle w:val="4"/>
              <w:jc w:val="left"/>
            </w:pPr>
            <w:r>
              <w:rPr>
                <w:rFonts w:ascii="仿宋_GB2312" w:hAnsi="仿宋_GB2312" w:eastAsia="仿宋_GB2312" w:cs="仿宋_GB2312"/>
              </w:rPr>
              <w:t>验收、交付标准和方法</w:t>
            </w:r>
          </w:p>
        </w:tc>
        <w:tc>
          <w:tcPr>
            <w:tcW w:w="5814" w:type="dxa"/>
          </w:tcPr>
          <w:p w14:paraId="176E88DF">
            <w:pPr>
              <w:pStyle w:val="4"/>
              <w:jc w:val="left"/>
            </w:pPr>
            <w:r>
              <w:rPr>
                <w:rFonts w:ascii="仿宋_GB2312" w:hAnsi="仿宋_GB2312" w:eastAsia="仿宋_GB2312" w:cs="仿宋_GB2312"/>
              </w:rPr>
              <w:t>严格按照《中华人民共和国政府采购法》《中华人民共和国政府采购法实施条例》《财政部关于进一步加强政府采购需求和履约验收管理的指导意见》（财库〔2016〕205 号）及行业相关规定或标准等进行验收。成交供应商所供货物表面无划伤、无碰撞痕迹，且权属清楚，不得侵害他人的知识产权，且必须符合本项目采购文件、成交供应商响应文件的承诺、合同要求等相应实质性要求。</w:t>
            </w:r>
          </w:p>
        </w:tc>
      </w:tr>
      <w:tr w14:paraId="5E4C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9A237E">
            <w:pPr>
              <w:pStyle w:val="4"/>
              <w:jc w:val="center"/>
            </w:pPr>
            <w:r>
              <w:rPr>
                <w:rFonts w:ascii="仿宋_GB2312" w:hAnsi="仿宋_GB2312" w:eastAsia="仿宋_GB2312" w:cs="仿宋_GB2312"/>
              </w:rPr>
              <w:t>6</w:t>
            </w:r>
          </w:p>
        </w:tc>
        <w:tc>
          <w:tcPr>
            <w:tcW w:w="581" w:type="dxa"/>
          </w:tcPr>
          <w:p w14:paraId="2C1A2F36">
            <w:pPr>
              <w:pStyle w:val="4"/>
              <w:jc w:val="center"/>
            </w:pPr>
            <w:r>
              <w:rPr>
                <w:rFonts w:ascii="仿宋_GB2312" w:hAnsi="仿宋_GB2312" w:eastAsia="仿宋_GB2312" w:cs="仿宋_GB2312"/>
              </w:rPr>
              <w:t>★</w:t>
            </w:r>
          </w:p>
        </w:tc>
        <w:tc>
          <w:tcPr>
            <w:tcW w:w="1495" w:type="dxa"/>
          </w:tcPr>
          <w:p w14:paraId="5A48E9E2">
            <w:pPr>
              <w:pStyle w:val="4"/>
              <w:jc w:val="left"/>
            </w:pPr>
            <w:r>
              <w:rPr>
                <w:rFonts w:ascii="仿宋_GB2312" w:hAnsi="仿宋_GB2312" w:eastAsia="仿宋_GB2312" w:cs="仿宋_GB2312"/>
              </w:rPr>
              <w:t>质量保修范围和保修期</w:t>
            </w:r>
          </w:p>
        </w:tc>
        <w:tc>
          <w:tcPr>
            <w:tcW w:w="5814" w:type="dxa"/>
          </w:tcPr>
          <w:p w14:paraId="56593892">
            <w:pPr>
              <w:pStyle w:val="4"/>
              <w:jc w:val="left"/>
            </w:pPr>
            <w:r>
              <w:rPr>
                <w:rFonts w:ascii="仿宋_GB2312" w:hAnsi="仿宋_GB2312" w:eastAsia="仿宋_GB2312" w:cs="仿宋_GB2312"/>
              </w:rPr>
              <w:t>软硬件质保期：验收合格之日起3年。</w:t>
            </w:r>
          </w:p>
        </w:tc>
      </w:tr>
      <w:tr w14:paraId="397C2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B42A4C">
            <w:pPr>
              <w:pStyle w:val="4"/>
              <w:jc w:val="center"/>
            </w:pPr>
            <w:r>
              <w:rPr>
                <w:rFonts w:ascii="仿宋_GB2312" w:hAnsi="仿宋_GB2312" w:eastAsia="仿宋_GB2312" w:cs="仿宋_GB2312"/>
              </w:rPr>
              <w:t>7</w:t>
            </w:r>
          </w:p>
        </w:tc>
        <w:tc>
          <w:tcPr>
            <w:tcW w:w="581" w:type="dxa"/>
          </w:tcPr>
          <w:p w14:paraId="7B41BCDF">
            <w:pPr>
              <w:pStyle w:val="4"/>
              <w:jc w:val="center"/>
            </w:pPr>
            <w:r>
              <w:rPr>
                <w:rFonts w:ascii="仿宋_GB2312" w:hAnsi="仿宋_GB2312" w:eastAsia="仿宋_GB2312" w:cs="仿宋_GB2312"/>
              </w:rPr>
              <w:t>★</w:t>
            </w:r>
          </w:p>
        </w:tc>
        <w:tc>
          <w:tcPr>
            <w:tcW w:w="1495" w:type="dxa"/>
          </w:tcPr>
          <w:p w14:paraId="48E45009">
            <w:pPr>
              <w:pStyle w:val="4"/>
              <w:jc w:val="left"/>
            </w:pPr>
            <w:r>
              <w:rPr>
                <w:rFonts w:ascii="仿宋_GB2312" w:hAnsi="仿宋_GB2312" w:eastAsia="仿宋_GB2312" w:cs="仿宋_GB2312"/>
              </w:rPr>
              <w:t>违约责任与解决争议的方法</w:t>
            </w:r>
          </w:p>
        </w:tc>
        <w:tc>
          <w:tcPr>
            <w:tcW w:w="5814" w:type="dxa"/>
          </w:tcPr>
          <w:p w14:paraId="4D79509C">
            <w:pPr>
              <w:pStyle w:val="4"/>
              <w:jc w:val="left"/>
            </w:pPr>
            <w:r>
              <w:rPr>
                <w:rFonts w:ascii="仿宋_GB2312" w:hAnsi="仿宋_GB2312" w:eastAsia="仿宋_GB2312" w:cs="仿宋_GB2312"/>
              </w:rPr>
              <w:t>违约责任 1、甲方无正当理由拒收设备的，甲方应向乙方偿付合同款总额10%的违约金；逾期验收的，甲方偿付给乙方等额履约保证金的赔偿金。 2、乙方所交设备品种、质量等要求不符合合同规定标准的，甲方有权拒收。 3、乙方不能履行合同时，乙方向甲方偿付合同款总额10%的违约金。 4、乙方逾期交货时，每逾1日乙方向甲方偿付合同款总额万分之五的滞纳金。同时没收履约保证金；逾期交货超过15个工作日的，甲方有权单方解除合同。如解除合同，按本条第4款执行。 5、乙方提供的设备不符合合同规定的，甲方在代保管期内实际发生的保管等费用及因采购方保管不善而发生的损失，应当由乙方承担。 6、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 解决争议的方法: 1、甲乙双方应严格遵守本合同约定的权利和义务，如有违背，承担违约责任。 2、本合同执行过程中的有关争议协商无效而产生的诉讼，任何方均可向甲方住所地人民法院提起诉讼，通过诉讼途径解决纠纷。（以上内容中“甲方和乙方”分别指“采购人和中标人”）</w:t>
            </w:r>
          </w:p>
        </w:tc>
      </w:tr>
      <w:tr w14:paraId="7C873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DCA4C">
            <w:pPr>
              <w:pStyle w:val="4"/>
              <w:jc w:val="center"/>
            </w:pPr>
            <w:r>
              <w:rPr>
                <w:rFonts w:ascii="仿宋_GB2312" w:hAnsi="仿宋_GB2312" w:eastAsia="仿宋_GB2312" w:cs="仿宋_GB2312"/>
              </w:rPr>
              <w:t>8</w:t>
            </w:r>
          </w:p>
        </w:tc>
        <w:tc>
          <w:tcPr>
            <w:tcW w:w="581" w:type="dxa"/>
          </w:tcPr>
          <w:p w14:paraId="4176A9B2">
            <w:pPr>
              <w:pStyle w:val="4"/>
              <w:jc w:val="center"/>
            </w:pPr>
            <w:r>
              <w:rPr>
                <w:rFonts w:ascii="仿宋_GB2312" w:hAnsi="仿宋_GB2312" w:eastAsia="仿宋_GB2312" w:cs="仿宋_GB2312"/>
              </w:rPr>
              <w:t>★</w:t>
            </w:r>
          </w:p>
        </w:tc>
        <w:tc>
          <w:tcPr>
            <w:tcW w:w="1495" w:type="dxa"/>
          </w:tcPr>
          <w:p w14:paraId="22FB12E4">
            <w:pPr>
              <w:pStyle w:val="4"/>
              <w:jc w:val="left"/>
            </w:pPr>
            <w:r>
              <w:rPr>
                <w:rFonts w:ascii="仿宋_GB2312" w:hAnsi="仿宋_GB2312" w:eastAsia="仿宋_GB2312" w:cs="仿宋_GB2312"/>
              </w:rPr>
              <w:t>包装方式及运输</w:t>
            </w:r>
          </w:p>
        </w:tc>
        <w:tc>
          <w:tcPr>
            <w:tcW w:w="5814" w:type="dxa"/>
          </w:tcPr>
          <w:p w14:paraId="79C17301">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1046581">
      <w:pPr>
        <w:pStyle w:val="4"/>
        <w:jc w:val="left"/>
        <w:outlineLvl w:val="2"/>
      </w:pPr>
      <w:r>
        <w:rPr>
          <w:rFonts w:ascii="仿宋_GB2312" w:hAnsi="仿宋_GB2312" w:eastAsia="仿宋_GB2312" w:cs="仿宋_GB2312"/>
          <w:b/>
          <w:sz w:val="28"/>
        </w:rPr>
        <w:t>3.4.其他要求</w:t>
      </w:r>
    </w:p>
    <w:p w14:paraId="1AD0C581">
      <w:pPr>
        <w:pStyle w:val="4"/>
        <w:jc w:val="left"/>
      </w:pPr>
      <w:r>
        <w:rPr>
          <w:rFonts w:ascii="仿宋_GB2312" w:hAnsi="仿宋_GB2312" w:eastAsia="仿宋_GB2312" w:cs="仿宋_GB2312"/>
        </w:rPr>
        <w:t>采购包1：</w:t>
      </w:r>
    </w:p>
    <w:p w14:paraId="024768CF">
      <w:pPr>
        <w:pStyle w:val="4"/>
        <w:jc w:val="left"/>
      </w:pPr>
      <w:r>
        <w:rPr>
          <w:rFonts w:ascii="仿宋_GB2312" w:hAnsi="仿宋_GB2312" w:eastAsia="仿宋_GB2312" w:cs="仿宋_GB2312"/>
        </w:rPr>
        <w:t>本国产品价格扣除说明（本条仅做告知说明，供应商无需单独应答本条内容）：结合本国产品价格扣除政策要求，本项目标的“分布式存储软件”属于无形资产，供应商若响应本国产品声明函的，该标的报价不适用本国产品价格扣除。</w:t>
      </w:r>
    </w:p>
    <w:p w14:paraId="1BADE0A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61250"/>
    <w:rsid w:val="3256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2026-05-11T08:39:00Z</dcterms:created>
  <dc:creator>WYY</dc:creator>
  <cp:lastModifiedBy>WYY</cp:lastModifiedBy>
  <dcterms:modified xsi:type="dcterms:W3CDTF">2026-05-11T08:40:37Z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F134ACD83FE14B6CA794C6D1402DA96A_11</vt:lpwstr>
  </property>
  <property fmtid="{D5CDD505-2E9C-101B-9397-08002B2CF9AE}" pid="4" name="KSOTemplateDocerSaveRecord">
    <vt:lpwstr>eyJoZGlkIjoiM2E4YTI1NjI5ZDllMGExNmIzMzU0NTFiYTk5ZWNlZDQiLCJ1c2VySWQiOiIzMDAyNTYyMzIifQ==</vt:lpwstr>
  </property>
</Properties>
</file>