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75C0">
      <w:pPr>
        <w:pStyle w:val="4"/>
        <w:jc w:val="center"/>
        <w:outlineLvl w:val="1"/>
      </w:pPr>
      <w:r>
        <w:rPr>
          <w:rFonts w:ascii="仿宋_GB2312" w:hAnsi="仿宋_GB2312" w:eastAsia="仿宋_GB2312" w:cs="仿宋_GB2312"/>
          <w:b/>
          <w:sz w:val="36"/>
        </w:rPr>
        <w:t>第三章 技术、服务及其他要求</w:t>
      </w:r>
    </w:p>
    <w:p w14:paraId="01B1299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364E1B2">
      <w:pPr>
        <w:pStyle w:val="4"/>
        <w:jc w:val="left"/>
        <w:outlineLvl w:val="2"/>
      </w:pPr>
      <w:r>
        <w:rPr>
          <w:rFonts w:ascii="仿宋_GB2312" w:hAnsi="仿宋_GB2312" w:eastAsia="仿宋_GB2312" w:cs="仿宋_GB2312"/>
          <w:b/>
          <w:sz w:val="28"/>
        </w:rPr>
        <w:t>3.1.采购内容</w:t>
      </w:r>
    </w:p>
    <w:p w14:paraId="4AA5B458">
      <w:pPr>
        <w:pStyle w:val="4"/>
        <w:jc w:val="left"/>
      </w:pPr>
      <w:r>
        <w:rPr>
          <w:rFonts w:ascii="仿宋_GB2312" w:hAnsi="仿宋_GB2312" w:eastAsia="仿宋_GB2312" w:cs="仿宋_GB2312"/>
        </w:rPr>
        <w:t>采购包1：</w:t>
      </w:r>
    </w:p>
    <w:p w14:paraId="4FC348B1">
      <w:pPr>
        <w:pStyle w:val="4"/>
        <w:jc w:val="left"/>
      </w:pPr>
      <w:r>
        <w:rPr>
          <w:rFonts w:ascii="仿宋_GB2312" w:hAnsi="仿宋_GB2312" w:eastAsia="仿宋_GB2312" w:cs="仿宋_GB2312"/>
        </w:rPr>
        <w:t>采购包预算金额（元）: 3,600,000.00</w:t>
      </w:r>
    </w:p>
    <w:p w14:paraId="0D4D13CC">
      <w:pPr>
        <w:pStyle w:val="4"/>
        <w:jc w:val="left"/>
      </w:pPr>
      <w:r>
        <w:rPr>
          <w:rFonts w:ascii="仿宋_GB2312" w:hAnsi="仿宋_GB2312" w:eastAsia="仿宋_GB2312" w:cs="仿宋_GB2312"/>
        </w:rPr>
        <w:t>采购包最高限价（元）: 3,600,000.00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61C6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1703DE">
            <w:pPr>
              <w:pStyle w:val="4"/>
              <w:jc w:val="center"/>
            </w:pPr>
            <w:r>
              <w:rPr>
                <w:rFonts w:ascii="仿宋_GB2312" w:hAnsi="仿宋_GB2312" w:eastAsia="仿宋_GB2312" w:cs="仿宋_GB2312"/>
              </w:rPr>
              <w:t>序号</w:t>
            </w:r>
          </w:p>
        </w:tc>
        <w:tc>
          <w:tcPr>
            <w:tcW w:w="821" w:type="dxa"/>
          </w:tcPr>
          <w:p w14:paraId="290DE372">
            <w:pPr>
              <w:pStyle w:val="4"/>
              <w:jc w:val="center"/>
            </w:pPr>
            <w:r>
              <w:rPr>
                <w:rFonts w:ascii="仿宋_GB2312" w:hAnsi="仿宋_GB2312" w:eastAsia="仿宋_GB2312" w:cs="仿宋_GB2312"/>
              </w:rPr>
              <w:t>采购品目名称</w:t>
            </w:r>
          </w:p>
        </w:tc>
        <w:tc>
          <w:tcPr>
            <w:tcW w:w="821" w:type="dxa"/>
          </w:tcPr>
          <w:p w14:paraId="41FE21B9">
            <w:pPr>
              <w:pStyle w:val="4"/>
              <w:jc w:val="center"/>
            </w:pPr>
            <w:r>
              <w:rPr>
                <w:rFonts w:ascii="仿宋_GB2312" w:hAnsi="仿宋_GB2312" w:eastAsia="仿宋_GB2312" w:cs="仿宋_GB2312"/>
              </w:rPr>
              <w:t>标的名称</w:t>
            </w:r>
          </w:p>
        </w:tc>
        <w:tc>
          <w:tcPr>
            <w:tcW w:w="821" w:type="dxa"/>
          </w:tcPr>
          <w:p w14:paraId="0A8885A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8E0A288">
            <w:pPr>
              <w:pStyle w:val="4"/>
              <w:jc w:val="center"/>
            </w:pPr>
            <w:r>
              <w:rPr>
                <w:rFonts w:ascii="仿宋_GB2312" w:hAnsi="仿宋_GB2312" w:eastAsia="仿宋_GB2312" w:cs="仿宋_GB2312"/>
              </w:rPr>
              <w:t>标的金额 （元）</w:t>
            </w:r>
          </w:p>
        </w:tc>
        <w:tc>
          <w:tcPr>
            <w:tcW w:w="821" w:type="dxa"/>
          </w:tcPr>
          <w:p w14:paraId="2DF98793">
            <w:pPr>
              <w:pStyle w:val="4"/>
              <w:jc w:val="center"/>
            </w:pPr>
            <w:r>
              <w:rPr>
                <w:rFonts w:ascii="仿宋_GB2312" w:hAnsi="仿宋_GB2312" w:eastAsia="仿宋_GB2312" w:cs="仿宋_GB2312"/>
              </w:rPr>
              <w:t>所属行业</w:t>
            </w:r>
          </w:p>
        </w:tc>
        <w:tc>
          <w:tcPr>
            <w:tcW w:w="821" w:type="dxa"/>
          </w:tcPr>
          <w:p w14:paraId="3A892A2A">
            <w:pPr>
              <w:pStyle w:val="4"/>
              <w:jc w:val="center"/>
            </w:pPr>
            <w:r>
              <w:rPr>
                <w:rFonts w:ascii="仿宋_GB2312" w:hAnsi="仿宋_GB2312" w:eastAsia="仿宋_GB2312" w:cs="仿宋_GB2312"/>
              </w:rPr>
              <w:t>是否涉及核心产品</w:t>
            </w:r>
          </w:p>
        </w:tc>
        <w:tc>
          <w:tcPr>
            <w:tcW w:w="821" w:type="dxa"/>
          </w:tcPr>
          <w:p w14:paraId="7EA72057">
            <w:pPr>
              <w:pStyle w:val="4"/>
              <w:jc w:val="center"/>
            </w:pPr>
            <w:r>
              <w:rPr>
                <w:rFonts w:ascii="仿宋_GB2312" w:hAnsi="仿宋_GB2312" w:eastAsia="仿宋_GB2312" w:cs="仿宋_GB2312"/>
              </w:rPr>
              <w:t>是否涉及采购进口产品</w:t>
            </w:r>
          </w:p>
        </w:tc>
        <w:tc>
          <w:tcPr>
            <w:tcW w:w="821" w:type="dxa"/>
          </w:tcPr>
          <w:p w14:paraId="472A34AD">
            <w:pPr>
              <w:pStyle w:val="4"/>
              <w:jc w:val="center"/>
            </w:pPr>
            <w:r>
              <w:rPr>
                <w:rFonts w:ascii="仿宋_GB2312" w:hAnsi="仿宋_GB2312" w:eastAsia="仿宋_GB2312" w:cs="仿宋_GB2312"/>
              </w:rPr>
              <w:t>是否涉及强制采购节能产品</w:t>
            </w:r>
          </w:p>
        </w:tc>
        <w:tc>
          <w:tcPr>
            <w:tcW w:w="639" w:type="dxa"/>
          </w:tcPr>
          <w:p w14:paraId="4572EF14">
            <w:pPr>
              <w:pStyle w:val="4"/>
              <w:jc w:val="center"/>
            </w:pPr>
            <w:r>
              <w:rPr>
                <w:rFonts w:ascii="仿宋_GB2312" w:hAnsi="仿宋_GB2312" w:eastAsia="仿宋_GB2312" w:cs="仿宋_GB2312"/>
              </w:rPr>
              <w:t>是否涉及优先采购节能产品</w:t>
            </w:r>
          </w:p>
        </w:tc>
        <w:tc>
          <w:tcPr>
            <w:tcW w:w="639" w:type="dxa"/>
          </w:tcPr>
          <w:p w14:paraId="44409F02">
            <w:pPr>
              <w:pStyle w:val="4"/>
              <w:jc w:val="center"/>
            </w:pPr>
            <w:r>
              <w:rPr>
                <w:rFonts w:ascii="仿宋_GB2312" w:hAnsi="仿宋_GB2312" w:eastAsia="仿宋_GB2312" w:cs="仿宋_GB2312"/>
              </w:rPr>
              <w:t>是否涉及优先采购环境标志产品</w:t>
            </w:r>
          </w:p>
        </w:tc>
      </w:tr>
      <w:tr w14:paraId="75EF7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775466">
            <w:pPr>
              <w:pStyle w:val="4"/>
              <w:jc w:val="left"/>
            </w:pPr>
            <w:r>
              <w:rPr>
                <w:rFonts w:ascii="仿宋_GB2312" w:hAnsi="仿宋_GB2312" w:eastAsia="仿宋_GB2312" w:cs="仿宋_GB2312"/>
              </w:rPr>
              <w:t>1</w:t>
            </w:r>
          </w:p>
        </w:tc>
        <w:tc>
          <w:tcPr>
            <w:tcW w:w="821" w:type="dxa"/>
          </w:tcPr>
          <w:p w14:paraId="768279F2">
            <w:pPr>
              <w:pStyle w:val="4"/>
              <w:jc w:val="left"/>
            </w:pPr>
            <w:r>
              <w:rPr>
                <w:rFonts w:ascii="仿宋_GB2312" w:hAnsi="仿宋_GB2312" w:eastAsia="仿宋_GB2312" w:cs="仿宋_GB2312"/>
              </w:rPr>
              <w:t>C04020000 卫生院和社区医疗服务</w:t>
            </w:r>
          </w:p>
        </w:tc>
        <w:tc>
          <w:tcPr>
            <w:tcW w:w="821" w:type="dxa"/>
          </w:tcPr>
          <w:p w14:paraId="5726EB1C">
            <w:pPr>
              <w:pStyle w:val="4"/>
              <w:jc w:val="left"/>
            </w:pPr>
            <w:r>
              <w:rPr>
                <w:rFonts w:ascii="仿宋_GB2312" w:hAnsi="仿宋_GB2312" w:eastAsia="仿宋_GB2312" w:cs="仿宋_GB2312"/>
              </w:rPr>
              <w:t>医学检验服务采购</w:t>
            </w:r>
          </w:p>
        </w:tc>
        <w:tc>
          <w:tcPr>
            <w:tcW w:w="821" w:type="dxa"/>
          </w:tcPr>
          <w:p w14:paraId="29A6F419">
            <w:pPr>
              <w:pStyle w:val="4"/>
              <w:jc w:val="right"/>
            </w:pPr>
            <w:r>
              <w:rPr>
                <w:rFonts w:ascii="仿宋_GB2312" w:hAnsi="仿宋_GB2312" w:eastAsia="仿宋_GB2312" w:cs="仿宋_GB2312"/>
              </w:rPr>
              <w:t>1.00（项）</w:t>
            </w:r>
          </w:p>
        </w:tc>
        <w:tc>
          <w:tcPr>
            <w:tcW w:w="821" w:type="dxa"/>
          </w:tcPr>
          <w:p w14:paraId="3DFF3E98">
            <w:pPr>
              <w:pStyle w:val="4"/>
              <w:jc w:val="right"/>
            </w:pPr>
            <w:r>
              <w:rPr>
                <w:rFonts w:ascii="仿宋_GB2312" w:hAnsi="仿宋_GB2312" w:eastAsia="仿宋_GB2312" w:cs="仿宋_GB2312"/>
              </w:rPr>
              <w:t>3,600,000.00</w:t>
            </w:r>
          </w:p>
        </w:tc>
        <w:tc>
          <w:tcPr>
            <w:tcW w:w="821" w:type="dxa"/>
          </w:tcPr>
          <w:p w14:paraId="5000C3A6">
            <w:pPr>
              <w:pStyle w:val="4"/>
              <w:jc w:val="left"/>
            </w:pPr>
            <w:r>
              <w:rPr>
                <w:rFonts w:ascii="仿宋_GB2312" w:hAnsi="仿宋_GB2312" w:eastAsia="仿宋_GB2312" w:cs="仿宋_GB2312"/>
              </w:rPr>
              <w:t>其他未列明行业</w:t>
            </w:r>
          </w:p>
        </w:tc>
        <w:tc>
          <w:tcPr>
            <w:tcW w:w="821" w:type="dxa"/>
          </w:tcPr>
          <w:p w14:paraId="275682D3">
            <w:pPr>
              <w:pStyle w:val="4"/>
              <w:jc w:val="left"/>
            </w:pPr>
            <w:r>
              <w:rPr>
                <w:rFonts w:ascii="仿宋_GB2312" w:hAnsi="仿宋_GB2312" w:eastAsia="仿宋_GB2312" w:cs="仿宋_GB2312"/>
              </w:rPr>
              <w:t>否</w:t>
            </w:r>
          </w:p>
        </w:tc>
        <w:tc>
          <w:tcPr>
            <w:tcW w:w="821" w:type="dxa"/>
          </w:tcPr>
          <w:p w14:paraId="31703BB9">
            <w:pPr>
              <w:pStyle w:val="4"/>
              <w:jc w:val="left"/>
            </w:pPr>
            <w:r>
              <w:rPr>
                <w:rFonts w:ascii="仿宋_GB2312" w:hAnsi="仿宋_GB2312" w:eastAsia="仿宋_GB2312" w:cs="仿宋_GB2312"/>
              </w:rPr>
              <w:t>否</w:t>
            </w:r>
          </w:p>
        </w:tc>
        <w:tc>
          <w:tcPr>
            <w:tcW w:w="821" w:type="dxa"/>
          </w:tcPr>
          <w:p w14:paraId="78C6A435">
            <w:pPr>
              <w:pStyle w:val="4"/>
              <w:jc w:val="left"/>
            </w:pPr>
            <w:r>
              <w:rPr>
                <w:rFonts w:ascii="仿宋_GB2312" w:hAnsi="仿宋_GB2312" w:eastAsia="仿宋_GB2312" w:cs="仿宋_GB2312"/>
              </w:rPr>
              <w:t>否</w:t>
            </w:r>
          </w:p>
        </w:tc>
        <w:tc>
          <w:tcPr>
            <w:tcW w:w="639" w:type="dxa"/>
          </w:tcPr>
          <w:p w14:paraId="00C372CE">
            <w:pPr>
              <w:pStyle w:val="4"/>
              <w:jc w:val="left"/>
            </w:pPr>
            <w:r>
              <w:rPr>
                <w:rFonts w:ascii="仿宋_GB2312" w:hAnsi="仿宋_GB2312" w:eastAsia="仿宋_GB2312" w:cs="仿宋_GB2312"/>
              </w:rPr>
              <w:t>否</w:t>
            </w:r>
          </w:p>
        </w:tc>
        <w:tc>
          <w:tcPr>
            <w:tcW w:w="639" w:type="dxa"/>
          </w:tcPr>
          <w:p w14:paraId="530B9C9C">
            <w:pPr>
              <w:pStyle w:val="4"/>
              <w:jc w:val="left"/>
            </w:pPr>
            <w:r>
              <w:rPr>
                <w:rFonts w:ascii="仿宋_GB2312" w:hAnsi="仿宋_GB2312" w:eastAsia="仿宋_GB2312" w:cs="仿宋_GB2312"/>
              </w:rPr>
              <w:t>否</w:t>
            </w:r>
          </w:p>
        </w:tc>
      </w:tr>
    </w:tbl>
    <w:p w14:paraId="62272255">
      <w:pPr>
        <w:pStyle w:val="4"/>
        <w:jc w:val="left"/>
      </w:pPr>
      <w:r>
        <w:rPr>
          <w:rFonts w:ascii="仿宋_GB2312" w:hAnsi="仿宋_GB2312" w:eastAsia="仿宋_GB2312" w:cs="仿宋_GB2312"/>
        </w:rPr>
        <w:t>是否适用本国产品标准：</w:t>
      </w:r>
    </w:p>
    <w:p w14:paraId="5A5DE5B2">
      <w:pPr>
        <w:pStyle w:val="4"/>
        <w:jc w:val="left"/>
      </w:pPr>
      <w:r>
        <w:rPr>
          <w:rFonts w:ascii="仿宋_GB2312" w:hAnsi="仿宋_GB2312" w:eastAsia="仿宋_GB2312" w:cs="仿宋_GB2312"/>
        </w:rPr>
        <w:t>采购包1：否</w:t>
      </w:r>
    </w:p>
    <w:p w14:paraId="36183B22">
      <w:pPr>
        <w:pStyle w:val="4"/>
        <w:jc w:val="left"/>
        <w:outlineLvl w:val="3"/>
      </w:pPr>
      <w:r>
        <w:rPr>
          <w:rFonts w:ascii="仿宋_GB2312" w:hAnsi="仿宋_GB2312" w:eastAsia="仿宋_GB2312" w:cs="仿宋_GB2312"/>
          <w:b/>
          <w:sz w:val="24"/>
        </w:rPr>
        <w:t>报价要求</w:t>
      </w:r>
    </w:p>
    <w:p w14:paraId="136FBE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2D021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84" w:type="dxa"/>
          </w:tcPr>
          <w:p w14:paraId="44F419B1">
            <w:pPr>
              <w:pStyle w:val="4"/>
              <w:jc w:val="center"/>
            </w:pPr>
            <w:r>
              <w:rPr>
                <w:rFonts w:ascii="仿宋_GB2312" w:hAnsi="仿宋_GB2312" w:eastAsia="仿宋_GB2312" w:cs="仿宋_GB2312"/>
              </w:rPr>
              <w:t>序号</w:t>
            </w:r>
          </w:p>
        </w:tc>
        <w:tc>
          <w:tcPr>
            <w:tcW w:w="1759" w:type="dxa"/>
          </w:tcPr>
          <w:p w14:paraId="19530B31">
            <w:pPr>
              <w:pStyle w:val="4"/>
              <w:jc w:val="center"/>
            </w:pPr>
            <w:r>
              <w:rPr>
                <w:rFonts w:ascii="仿宋_GB2312" w:hAnsi="仿宋_GB2312" w:eastAsia="仿宋_GB2312" w:cs="仿宋_GB2312"/>
              </w:rPr>
              <w:t>报价内容</w:t>
            </w:r>
          </w:p>
        </w:tc>
        <w:tc>
          <w:tcPr>
            <w:tcW w:w="977" w:type="dxa"/>
          </w:tcPr>
          <w:p w14:paraId="30E77BEF">
            <w:pPr>
              <w:pStyle w:val="4"/>
              <w:jc w:val="center"/>
            </w:pPr>
            <w:r>
              <w:rPr>
                <w:rFonts w:ascii="仿宋_GB2312" w:hAnsi="仿宋_GB2312" w:eastAsia="仿宋_GB2312" w:cs="仿宋_GB2312"/>
              </w:rPr>
              <w:t>计量单位</w:t>
            </w:r>
          </w:p>
        </w:tc>
        <w:tc>
          <w:tcPr>
            <w:tcW w:w="977" w:type="dxa"/>
          </w:tcPr>
          <w:p w14:paraId="2B1C8257">
            <w:pPr>
              <w:pStyle w:val="4"/>
              <w:jc w:val="center"/>
            </w:pPr>
            <w:r>
              <w:rPr>
                <w:rFonts w:ascii="仿宋_GB2312" w:hAnsi="仿宋_GB2312" w:eastAsia="仿宋_GB2312" w:cs="仿宋_GB2312"/>
              </w:rPr>
              <w:t>报价单位</w:t>
            </w:r>
          </w:p>
        </w:tc>
        <w:tc>
          <w:tcPr>
            <w:tcW w:w="1466" w:type="dxa"/>
          </w:tcPr>
          <w:p w14:paraId="6B71FC96">
            <w:pPr>
              <w:pStyle w:val="4"/>
              <w:jc w:val="center"/>
            </w:pPr>
            <w:r>
              <w:rPr>
                <w:rFonts w:ascii="仿宋_GB2312" w:hAnsi="仿宋_GB2312" w:eastAsia="仿宋_GB2312" w:cs="仿宋_GB2312"/>
              </w:rPr>
              <w:t>最高限价</w:t>
            </w:r>
          </w:p>
        </w:tc>
        <w:tc>
          <w:tcPr>
            <w:tcW w:w="977" w:type="dxa"/>
          </w:tcPr>
          <w:p w14:paraId="1DEE1502">
            <w:pPr>
              <w:pStyle w:val="4"/>
              <w:jc w:val="center"/>
            </w:pPr>
            <w:r>
              <w:rPr>
                <w:rFonts w:ascii="仿宋_GB2312" w:hAnsi="仿宋_GB2312" w:eastAsia="仿宋_GB2312" w:cs="仿宋_GB2312"/>
              </w:rPr>
              <w:t>价款形式</w:t>
            </w:r>
          </w:p>
        </w:tc>
        <w:tc>
          <w:tcPr>
            <w:tcW w:w="1466" w:type="dxa"/>
          </w:tcPr>
          <w:p w14:paraId="2F3E453A">
            <w:pPr>
              <w:pStyle w:val="4"/>
              <w:jc w:val="center"/>
            </w:pPr>
            <w:r>
              <w:rPr>
                <w:rFonts w:ascii="仿宋_GB2312" w:hAnsi="仿宋_GB2312" w:eastAsia="仿宋_GB2312" w:cs="仿宋_GB2312"/>
              </w:rPr>
              <w:t>报价说明</w:t>
            </w:r>
          </w:p>
        </w:tc>
      </w:tr>
      <w:tr w14:paraId="7897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28C61C6">
            <w:pPr>
              <w:pStyle w:val="4"/>
              <w:jc w:val="center"/>
            </w:pPr>
            <w:r>
              <w:rPr>
                <w:rFonts w:ascii="仿宋_GB2312" w:hAnsi="仿宋_GB2312" w:eastAsia="仿宋_GB2312" w:cs="仿宋_GB2312"/>
              </w:rPr>
              <w:t>1</w:t>
            </w:r>
          </w:p>
        </w:tc>
        <w:tc>
          <w:tcPr>
            <w:tcW w:w="1759" w:type="dxa"/>
          </w:tcPr>
          <w:p w14:paraId="10810F7B">
            <w:pPr>
              <w:pStyle w:val="4"/>
              <w:jc w:val="center"/>
            </w:pPr>
            <w:r>
              <w:rPr>
                <w:rFonts w:ascii="仿宋_GB2312" w:hAnsi="仿宋_GB2312" w:eastAsia="仿宋_GB2312" w:cs="仿宋_GB2312"/>
              </w:rPr>
              <w:t>医学检验服务采购</w:t>
            </w:r>
          </w:p>
        </w:tc>
        <w:tc>
          <w:tcPr>
            <w:tcW w:w="977" w:type="dxa"/>
          </w:tcPr>
          <w:p w14:paraId="67CC5D73">
            <w:pPr>
              <w:pStyle w:val="4"/>
              <w:jc w:val="center"/>
            </w:pPr>
            <w:r>
              <w:rPr>
                <w:rFonts w:ascii="仿宋_GB2312" w:hAnsi="仿宋_GB2312" w:eastAsia="仿宋_GB2312" w:cs="仿宋_GB2312"/>
              </w:rPr>
              <w:t>项</w:t>
            </w:r>
          </w:p>
        </w:tc>
        <w:tc>
          <w:tcPr>
            <w:tcW w:w="977" w:type="dxa"/>
          </w:tcPr>
          <w:p w14:paraId="44412810">
            <w:pPr>
              <w:pStyle w:val="4"/>
              <w:jc w:val="center"/>
            </w:pPr>
            <w:r>
              <w:rPr>
                <w:rFonts w:ascii="仿宋_GB2312" w:hAnsi="仿宋_GB2312" w:eastAsia="仿宋_GB2312" w:cs="仿宋_GB2312"/>
              </w:rPr>
              <w:t>%</w:t>
            </w:r>
          </w:p>
        </w:tc>
        <w:tc>
          <w:tcPr>
            <w:tcW w:w="1466" w:type="dxa"/>
          </w:tcPr>
          <w:p w14:paraId="1E9F7666">
            <w:pPr>
              <w:pStyle w:val="4"/>
              <w:jc w:val="center"/>
            </w:pPr>
            <w:r>
              <w:rPr>
                <w:rFonts w:ascii="仿宋_GB2312" w:hAnsi="仿宋_GB2312" w:eastAsia="仿宋_GB2312" w:cs="仿宋_GB2312"/>
              </w:rPr>
              <w:t>55.00</w:t>
            </w:r>
          </w:p>
        </w:tc>
        <w:tc>
          <w:tcPr>
            <w:tcW w:w="977" w:type="dxa"/>
          </w:tcPr>
          <w:p w14:paraId="694DC1F2">
            <w:pPr>
              <w:pStyle w:val="4"/>
              <w:jc w:val="center"/>
            </w:pPr>
            <w:r>
              <w:rPr>
                <w:rFonts w:ascii="仿宋_GB2312" w:hAnsi="仿宋_GB2312" w:eastAsia="仿宋_GB2312" w:cs="仿宋_GB2312"/>
              </w:rPr>
              <w:t>百分比</w:t>
            </w:r>
          </w:p>
        </w:tc>
        <w:tc>
          <w:tcPr>
            <w:tcW w:w="1466" w:type="dxa"/>
          </w:tcPr>
          <w:p w14:paraId="6B1DBEDA">
            <w:pPr>
              <w:pStyle w:val="4"/>
              <w:jc w:val="left"/>
            </w:pPr>
            <w:r>
              <w:rPr>
                <w:rFonts w:ascii="仿宋_GB2312" w:hAnsi="仿宋_GB2312" w:eastAsia="仿宋_GB2312" w:cs="仿宋_GB2312"/>
              </w:rPr>
              <w:t>本项目服务周期为自合同签订之日起3年（若合同达到支付上限则自动终止）。最高限价详见本项目第三章 3.3.1服务内容要求中【最高限价】内容。</w:t>
            </w:r>
          </w:p>
        </w:tc>
      </w:tr>
    </w:tbl>
    <w:p w14:paraId="31D1119C">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3C1DFA54">
      <w:pPr>
        <w:pStyle w:val="4"/>
        <w:jc w:val="left"/>
      </w:pPr>
      <w:r>
        <w:rPr>
          <w:rFonts w:ascii="仿宋_GB2312" w:hAnsi="仿宋_GB2312" w:eastAsia="仿宋_GB2312" w:cs="仿宋_GB2312"/>
          <w:b/>
        </w:rPr>
        <w:t>本项目涉及核心产品：</w:t>
      </w:r>
    </w:p>
    <w:p w14:paraId="3EF1AFB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211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1C1E50">
            <w:pPr>
              <w:pStyle w:val="4"/>
              <w:jc w:val="center"/>
            </w:pPr>
            <w:r>
              <w:rPr>
                <w:rFonts w:ascii="仿宋_GB2312" w:hAnsi="仿宋_GB2312" w:eastAsia="仿宋_GB2312" w:cs="仿宋_GB2312"/>
              </w:rPr>
              <w:t>序号</w:t>
            </w:r>
          </w:p>
        </w:tc>
        <w:tc>
          <w:tcPr>
            <w:tcW w:w="2492" w:type="dxa"/>
          </w:tcPr>
          <w:p w14:paraId="5828B6A5">
            <w:pPr>
              <w:pStyle w:val="4"/>
              <w:jc w:val="center"/>
            </w:pPr>
            <w:r>
              <w:rPr>
                <w:rFonts w:ascii="仿宋_GB2312" w:hAnsi="仿宋_GB2312" w:eastAsia="仿宋_GB2312" w:cs="仿宋_GB2312"/>
              </w:rPr>
              <w:t>采购品目名称</w:t>
            </w:r>
          </w:p>
        </w:tc>
        <w:tc>
          <w:tcPr>
            <w:tcW w:w="2492" w:type="dxa"/>
          </w:tcPr>
          <w:p w14:paraId="1DD8A68E">
            <w:pPr>
              <w:pStyle w:val="4"/>
              <w:jc w:val="center"/>
            </w:pPr>
            <w:r>
              <w:rPr>
                <w:rFonts w:ascii="仿宋_GB2312" w:hAnsi="仿宋_GB2312" w:eastAsia="仿宋_GB2312" w:cs="仿宋_GB2312"/>
              </w:rPr>
              <w:t>标的名称</w:t>
            </w:r>
          </w:p>
        </w:tc>
        <w:tc>
          <w:tcPr>
            <w:tcW w:w="2492" w:type="dxa"/>
          </w:tcPr>
          <w:p w14:paraId="7AD0A52B">
            <w:pPr>
              <w:pStyle w:val="4"/>
              <w:jc w:val="center"/>
            </w:pPr>
            <w:r>
              <w:rPr>
                <w:rFonts w:ascii="仿宋_GB2312" w:hAnsi="仿宋_GB2312" w:eastAsia="仿宋_GB2312" w:cs="仿宋_GB2312"/>
              </w:rPr>
              <w:t>产品名称</w:t>
            </w:r>
          </w:p>
        </w:tc>
      </w:tr>
      <w:tr w14:paraId="2B9ED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F6FE48">
            <w:pPr>
              <w:pStyle w:val="4"/>
              <w:jc w:val="center"/>
            </w:pPr>
            <w:r>
              <w:rPr>
                <w:rFonts w:ascii="仿宋_GB2312" w:hAnsi="仿宋_GB2312" w:eastAsia="仿宋_GB2312" w:cs="仿宋_GB2312"/>
              </w:rPr>
              <w:t>不涉及</w:t>
            </w:r>
          </w:p>
        </w:tc>
      </w:tr>
    </w:tbl>
    <w:p w14:paraId="2C60EDB0">
      <w:pPr>
        <w:pStyle w:val="4"/>
        <w:ind w:firstLine="480"/>
        <w:jc w:val="left"/>
      </w:pPr>
      <w:r>
        <w:rPr>
          <w:rFonts w:ascii="仿宋_GB2312" w:hAnsi="仿宋_GB2312" w:eastAsia="仿宋_GB2312" w:cs="仿宋_GB2312"/>
        </w:rPr>
        <w:t>注：涉及核心产品的，具体评审规定见第五章。</w:t>
      </w:r>
    </w:p>
    <w:p w14:paraId="40657B38">
      <w:pPr>
        <w:pStyle w:val="4"/>
        <w:jc w:val="left"/>
        <w:outlineLvl w:val="3"/>
      </w:pPr>
      <w:r>
        <w:rPr>
          <w:rFonts w:ascii="仿宋_GB2312" w:hAnsi="仿宋_GB2312" w:eastAsia="仿宋_GB2312" w:cs="仿宋_GB2312"/>
          <w:b/>
          <w:sz w:val="24"/>
        </w:rPr>
        <w:t>本项目涉及采购进口产品：</w:t>
      </w:r>
    </w:p>
    <w:p w14:paraId="36ACBA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AFD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723F98F">
            <w:pPr>
              <w:pStyle w:val="4"/>
              <w:jc w:val="center"/>
            </w:pPr>
            <w:r>
              <w:rPr>
                <w:rFonts w:ascii="仿宋_GB2312" w:hAnsi="仿宋_GB2312" w:eastAsia="仿宋_GB2312" w:cs="仿宋_GB2312"/>
              </w:rPr>
              <w:t>序号</w:t>
            </w:r>
          </w:p>
        </w:tc>
        <w:tc>
          <w:tcPr>
            <w:tcW w:w="2492" w:type="dxa"/>
          </w:tcPr>
          <w:p w14:paraId="060700A1">
            <w:pPr>
              <w:pStyle w:val="4"/>
              <w:jc w:val="center"/>
            </w:pPr>
            <w:r>
              <w:rPr>
                <w:rFonts w:ascii="仿宋_GB2312" w:hAnsi="仿宋_GB2312" w:eastAsia="仿宋_GB2312" w:cs="仿宋_GB2312"/>
              </w:rPr>
              <w:t>采购品目名称</w:t>
            </w:r>
          </w:p>
        </w:tc>
        <w:tc>
          <w:tcPr>
            <w:tcW w:w="2492" w:type="dxa"/>
          </w:tcPr>
          <w:p w14:paraId="01FDB046">
            <w:pPr>
              <w:pStyle w:val="4"/>
              <w:jc w:val="center"/>
            </w:pPr>
            <w:r>
              <w:rPr>
                <w:rFonts w:ascii="仿宋_GB2312" w:hAnsi="仿宋_GB2312" w:eastAsia="仿宋_GB2312" w:cs="仿宋_GB2312"/>
              </w:rPr>
              <w:t>标的名称</w:t>
            </w:r>
          </w:p>
        </w:tc>
        <w:tc>
          <w:tcPr>
            <w:tcW w:w="2492" w:type="dxa"/>
          </w:tcPr>
          <w:p w14:paraId="5E3FCCA1">
            <w:pPr>
              <w:pStyle w:val="4"/>
              <w:jc w:val="center"/>
            </w:pPr>
            <w:r>
              <w:rPr>
                <w:rFonts w:ascii="仿宋_GB2312" w:hAnsi="仿宋_GB2312" w:eastAsia="仿宋_GB2312" w:cs="仿宋_GB2312"/>
              </w:rPr>
              <w:t>产品名称</w:t>
            </w:r>
          </w:p>
        </w:tc>
      </w:tr>
      <w:tr w14:paraId="3B4E3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E64B48">
            <w:pPr>
              <w:pStyle w:val="4"/>
              <w:jc w:val="center"/>
            </w:pPr>
            <w:r>
              <w:rPr>
                <w:rFonts w:ascii="仿宋_GB2312" w:hAnsi="仿宋_GB2312" w:eastAsia="仿宋_GB2312" w:cs="仿宋_GB2312"/>
              </w:rPr>
              <w:t>不涉及</w:t>
            </w:r>
          </w:p>
        </w:tc>
      </w:tr>
    </w:tbl>
    <w:p w14:paraId="3881DD4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15D83F1">
      <w:pPr>
        <w:pStyle w:val="4"/>
        <w:jc w:val="left"/>
        <w:outlineLvl w:val="3"/>
      </w:pPr>
      <w:r>
        <w:rPr>
          <w:rFonts w:ascii="仿宋_GB2312" w:hAnsi="仿宋_GB2312" w:eastAsia="仿宋_GB2312" w:cs="仿宋_GB2312"/>
          <w:b/>
          <w:sz w:val="24"/>
        </w:rPr>
        <w:t>本项目涉及强制采购节能产品：</w:t>
      </w:r>
    </w:p>
    <w:p w14:paraId="1DA4A97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4A4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09874C">
            <w:pPr>
              <w:pStyle w:val="4"/>
              <w:jc w:val="center"/>
            </w:pPr>
            <w:r>
              <w:rPr>
                <w:rFonts w:ascii="仿宋_GB2312" w:hAnsi="仿宋_GB2312" w:eastAsia="仿宋_GB2312" w:cs="仿宋_GB2312"/>
              </w:rPr>
              <w:t>序号</w:t>
            </w:r>
          </w:p>
        </w:tc>
        <w:tc>
          <w:tcPr>
            <w:tcW w:w="2492" w:type="dxa"/>
          </w:tcPr>
          <w:p w14:paraId="114D11B3">
            <w:pPr>
              <w:pStyle w:val="4"/>
              <w:jc w:val="center"/>
            </w:pPr>
            <w:r>
              <w:rPr>
                <w:rFonts w:ascii="仿宋_GB2312" w:hAnsi="仿宋_GB2312" w:eastAsia="仿宋_GB2312" w:cs="仿宋_GB2312"/>
              </w:rPr>
              <w:t>采购品目名称</w:t>
            </w:r>
          </w:p>
        </w:tc>
        <w:tc>
          <w:tcPr>
            <w:tcW w:w="2492" w:type="dxa"/>
          </w:tcPr>
          <w:p w14:paraId="175D2153">
            <w:pPr>
              <w:pStyle w:val="4"/>
              <w:jc w:val="center"/>
            </w:pPr>
            <w:r>
              <w:rPr>
                <w:rFonts w:ascii="仿宋_GB2312" w:hAnsi="仿宋_GB2312" w:eastAsia="仿宋_GB2312" w:cs="仿宋_GB2312"/>
              </w:rPr>
              <w:t>标的名称</w:t>
            </w:r>
          </w:p>
        </w:tc>
        <w:tc>
          <w:tcPr>
            <w:tcW w:w="2492" w:type="dxa"/>
          </w:tcPr>
          <w:p w14:paraId="58A4D102">
            <w:pPr>
              <w:pStyle w:val="4"/>
              <w:jc w:val="center"/>
            </w:pPr>
            <w:r>
              <w:rPr>
                <w:rFonts w:ascii="仿宋_GB2312" w:hAnsi="仿宋_GB2312" w:eastAsia="仿宋_GB2312" w:cs="仿宋_GB2312"/>
              </w:rPr>
              <w:t>产品名称</w:t>
            </w:r>
          </w:p>
        </w:tc>
      </w:tr>
      <w:tr w14:paraId="4C758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E699B6">
            <w:pPr>
              <w:pStyle w:val="4"/>
              <w:jc w:val="center"/>
            </w:pPr>
            <w:r>
              <w:rPr>
                <w:rFonts w:ascii="仿宋_GB2312" w:hAnsi="仿宋_GB2312" w:eastAsia="仿宋_GB2312" w:cs="仿宋_GB2312"/>
              </w:rPr>
              <w:t>不涉及</w:t>
            </w:r>
          </w:p>
        </w:tc>
      </w:tr>
    </w:tbl>
    <w:p w14:paraId="10799DA9">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272A246">
      <w:pPr>
        <w:pStyle w:val="4"/>
        <w:jc w:val="left"/>
      </w:pPr>
      <w:r>
        <w:rPr>
          <w:rFonts w:ascii="仿宋_GB2312" w:hAnsi="仿宋_GB2312" w:eastAsia="仿宋_GB2312" w:cs="仿宋_GB2312"/>
          <w:b/>
        </w:rPr>
        <w:t>本项目涉及优先采购节能产品：</w:t>
      </w:r>
    </w:p>
    <w:p w14:paraId="5467DD3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5CB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866FD9">
            <w:pPr>
              <w:pStyle w:val="4"/>
              <w:jc w:val="center"/>
            </w:pPr>
            <w:r>
              <w:rPr>
                <w:rFonts w:ascii="仿宋_GB2312" w:hAnsi="仿宋_GB2312" w:eastAsia="仿宋_GB2312" w:cs="仿宋_GB2312"/>
              </w:rPr>
              <w:t>序号</w:t>
            </w:r>
          </w:p>
        </w:tc>
        <w:tc>
          <w:tcPr>
            <w:tcW w:w="2492" w:type="dxa"/>
          </w:tcPr>
          <w:p w14:paraId="0331B157">
            <w:pPr>
              <w:pStyle w:val="4"/>
              <w:jc w:val="center"/>
            </w:pPr>
            <w:r>
              <w:rPr>
                <w:rFonts w:ascii="仿宋_GB2312" w:hAnsi="仿宋_GB2312" w:eastAsia="仿宋_GB2312" w:cs="仿宋_GB2312"/>
              </w:rPr>
              <w:t>采购品目名称</w:t>
            </w:r>
          </w:p>
        </w:tc>
        <w:tc>
          <w:tcPr>
            <w:tcW w:w="2492" w:type="dxa"/>
          </w:tcPr>
          <w:p w14:paraId="187EB86E">
            <w:pPr>
              <w:pStyle w:val="4"/>
              <w:jc w:val="center"/>
            </w:pPr>
            <w:r>
              <w:rPr>
                <w:rFonts w:ascii="仿宋_GB2312" w:hAnsi="仿宋_GB2312" w:eastAsia="仿宋_GB2312" w:cs="仿宋_GB2312"/>
              </w:rPr>
              <w:t>标的名称</w:t>
            </w:r>
          </w:p>
        </w:tc>
        <w:tc>
          <w:tcPr>
            <w:tcW w:w="2492" w:type="dxa"/>
          </w:tcPr>
          <w:p w14:paraId="7E11F721">
            <w:pPr>
              <w:pStyle w:val="4"/>
              <w:jc w:val="center"/>
            </w:pPr>
            <w:r>
              <w:rPr>
                <w:rFonts w:ascii="仿宋_GB2312" w:hAnsi="仿宋_GB2312" w:eastAsia="仿宋_GB2312" w:cs="仿宋_GB2312"/>
              </w:rPr>
              <w:t>产品名称</w:t>
            </w:r>
          </w:p>
        </w:tc>
      </w:tr>
      <w:tr w14:paraId="51C15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4649A4">
            <w:pPr>
              <w:pStyle w:val="4"/>
              <w:jc w:val="center"/>
            </w:pPr>
            <w:r>
              <w:rPr>
                <w:rFonts w:ascii="仿宋_GB2312" w:hAnsi="仿宋_GB2312" w:eastAsia="仿宋_GB2312" w:cs="仿宋_GB2312"/>
              </w:rPr>
              <w:t>不涉及</w:t>
            </w:r>
          </w:p>
        </w:tc>
      </w:tr>
    </w:tbl>
    <w:p w14:paraId="0B5FC0E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B6005A5">
      <w:pPr>
        <w:pStyle w:val="4"/>
        <w:jc w:val="left"/>
        <w:outlineLvl w:val="3"/>
      </w:pPr>
      <w:r>
        <w:rPr>
          <w:rFonts w:ascii="仿宋_GB2312" w:hAnsi="仿宋_GB2312" w:eastAsia="仿宋_GB2312" w:cs="仿宋_GB2312"/>
          <w:b/>
          <w:sz w:val="24"/>
        </w:rPr>
        <w:t>本项目涉及优先采购环境标志产品：</w:t>
      </w:r>
    </w:p>
    <w:p w14:paraId="754524C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563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B955C9B">
            <w:pPr>
              <w:pStyle w:val="4"/>
              <w:jc w:val="center"/>
            </w:pPr>
            <w:r>
              <w:rPr>
                <w:rFonts w:ascii="仿宋_GB2312" w:hAnsi="仿宋_GB2312" w:eastAsia="仿宋_GB2312" w:cs="仿宋_GB2312"/>
              </w:rPr>
              <w:t>序号</w:t>
            </w:r>
          </w:p>
        </w:tc>
        <w:tc>
          <w:tcPr>
            <w:tcW w:w="2492" w:type="dxa"/>
          </w:tcPr>
          <w:p w14:paraId="566E88D1">
            <w:pPr>
              <w:pStyle w:val="4"/>
              <w:jc w:val="center"/>
            </w:pPr>
            <w:r>
              <w:rPr>
                <w:rFonts w:ascii="仿宋_GB2312" w:hAnsi="仿宋_GB2312" w:eastAsia="仿宋_GB2312" w:cs="仿宋_GB2312"/>
              </w:rPr>
              <w:t>采购品目名称</w:t>
            </w:r>
          </w:p>
        </w:tc>
        <w:tc>
          <w:tcPr>
            <w:tcW w:w="2492" w:type="dxa"/>
          </w:tcPr>
          <w:p w14:paraId="2119A486">
            <w:pPr>
              <w:pStyle w:val="4"/>
              <w:jc w:val="center"/>
            </w:pPr>
            <w:r>
              <w:rPr>
                <w:rFonts w:ascii="仿宋_GB2312" w:hAnsi="仿宋_GB2312" w:eastAsia="仿宋_GB2312" w:cs="仿宋_GB2312"/>
              </w:rPr>
              <w:t>标的名称</w:t>
            </w:r>
          </w:p>
        </w:tc>
        <w:tc>
          <w:tcPr>
            <w:tcW w:w="2492" w:type="dxa"/>
          </w:tcPr>
          <w:p w14:paraId="12FBE157">
            <w:pPr>
              <w:pStyle w:val="4"/>
              <w:jc w:val="center"/>
            </w:pPr>
            <w:r>
              <w:rPr>
                <w:rFonts w:ascii="仿宋_GB2312" w:hAnsi="仿宋_GB2312" w:eastAsia="仿宋_GB2312" w:cs="仿宋_GB2312"/>
              </w:rPr>
              <w:t>产品名称</w:t>
            </w:r>
          </w:p>
        </w:tc>
      </w:tr>
      <w:tr w14:paraId="38793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941C8BB">
            <w:pPr>
              <w:pStyle w:val="4"/>
              <w:jc w:val="center"/>
            </w:pPr>
            <w:r>
              <w:rPr>
                <w:rFonts w:ascii="仿宋_GB2312" w:hAnsi="仿宋_GB2312" w:eastAsia="仿宋_GB2312" w:cs="仿宋_GB2312"/>
              </w:rPr>
              <w:t>不涉及</w:t>
            </w:r>
          </w:p>
        </w:tc>
      </w:tr>
    </w:tbl>
    <w:p w14:paraId="6F5187E0">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F6F864F">
      <w:pPr>
        <w:pStyle w:val="4"/>
        <w:jc w:val="left"/>
        <w:outlineLvl w:val="2"/>
      </w:pPr>
      <w:r>
        <w:rPr>
          <w:rFonts w:ascii="仿宋_GB2312" w:hAnsi="仿宋_GB2312" w:eastAsia="仿宋_GB2312" w:cs="仿宋_GB2312"/>
          <w:b/>
          <w:sz w:val="28"/>
        </w:rPr>
        <w:t>3.2.技术要求</w:t>
      </w:r>
    </w:p>
    <w:p w14:paraId="67DFC319">
      <w:pPr>
        <w:pStyle w:val="4"/>
        <w:jc w:val="left"/>
      </w:pPr>
      <w:r>
        <w:rPr>
          <w:rFonts w:ascii="仿宋_GB2312" w:hAnsi="仿宋_GB2312" w:eastAsia="仿宋_GB2312" w:cs="仿宋_GB2312"/>
        </w:rPr>
        <w:t>采购包1：</w:t>
      </w:r>
    </w:p>
    <w:p w14:paraId="449584A8">
      <w:pPr>
        <w:pStyle w:val="4"/>
        <w:jc w:val="left"/>
      </w:pPr>
      <w:r>
        <w:rPr>
          <w:rFonts w:ascii="仿宋_GB2312" w:hAnsi="仿宋_GB2312" w:eastAsia="仿宋_GB2312" w:cs="仿宋_GB2312"/>
        </w:rPr>
        <w:t>标的名称：医学检验服务采购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CF3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99E9A6">
            <w:pPr>
              <w:pStyle w:val="4"/>
              <w:jc w:val="center"/>
            </w:pPr>
            <w:r>
              <w:rPr>
                <w:rFonts w:ascii="仿宋_GB2312" w:hAnsi="仿宋_GB2312" w:eastAsia="仿宋_GB2312" w:cs="仿宋_GB2312"/>
              </w:rPr>
              <w:t>序号</w:t>
            </w:r>
          </w:p>
        </w:tc>
        <w:tc>
          <w:tcPr>
            <w:tcW w:w="581" w:type="dxa"/>
          </w:tcPr>
          <w:p w14:paraId="162A2A68">
            <w:pPr>
              <w:pStyle w:val="4"/>
              <w:jc w:val="center"/>
            </w:pPr>
            <w:r>
              <w:rPr>
                <w:rFonts w:ascii="仿宋_GB2312" w:hAnsi="仿宋_GB2312" w:eastAsia="仿宋_GB2312" w:cs="仿宋_GB2312"/>
              </w:rPr>
              <w:t>符号标识</w:t>
            </w:r>
          </w:p>
        </w:tc>
        <w:tc>
          <w:tcPr>
            <w:tcW w:w="1495" w:type="dxa"/>
          </w:tcPr>
          <w:p w14:paraId="7C6CE9AD">
            <w:pPr>
              <w:pStyle w:val="4"/>
              <w:jc w:val="center"/>
            </w:pPr>
            <w:r>
              <w:rPr>
                <w:rFonts w:ascii="仿宋_GB2312" w:hAnsi="仿宋_GB2312" w:eastAsia="仿宋_GB2312" w:cs="仿宋_GB2312"/>
              </w:rPr>
              <w:t>技术要求名称</w:t>
            </w:r>
          </w:p>
        </w:tc>
        <w:tc>
          <w:tcPr>
            <w:tcW w:w="5814" w:type="dxa"/>
          </w:tcPr>
          <w:p w14:paraId="23DDE36A">
            <w:pPr>
              <w:pStyle w:val="4"/>
              <w:jc w:val="center"/>
            </w:pPr>
            <w:r>
              <w:rPr>
                <w:rFonts w:ascii="仿宋_GB2312" w:hAnsi="仿宋_GB2312" w:eastAsia="仿宋_GB2312" w:cs="仿宋_GB2312"/>
              </w:rPr>
              <w:t>技术参数与性能指标</w:t>
            </w:r>
          </w:p>
        </w:tc>
      </w:tr>
      <w:tr w14:paraId="5FF1D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C29F0C">
            <w:pPr>
              <w:pStyle w:val="4"/>
              <w:jc w:val="center"/>
            </w:pPr>
            <w:r>
              <w:rPr>
                <w:rFonts w:ascii="仿宋_GB2312" w:hAnsi="仿宋_GB2312" w:eastAsia="仿宋_GB2312" w:cs="仿宋_GB2312"/>
              </w:rPr>
              <w:t>1</w:t>
            </w:r>
          </w:p>
        </w:tc>
        <w:tc>
          <w:tcPr>
            <w:tcW w:w="581" w:type="dxa"/>
          </w:tcPr>
          <w:p w14:paraId="1F6BF755"/>
        </w:tc>
        <w:tc>
          <w:tcPr>
            <w:tcW w:w="1495" w:type="dxa"/>
          </w:tcPr>
          <w:p w14:paraId="441C53E9">
            <w:pPr>
              <w:pStyle w:val="4"/>
              <w:jc w:val="left"/>
            </w:pPr>
            <w:r>
              <w:rPr>
                <w:rFonts w:ascii="仿宋_GB2312" w:hAnsi="仿宋_GB2312" w:eastAsia="仿宋_GB2312" w:cs="仿宋_GB2312"/>
              </w:rPr>
              <w:t>项目要求</w:t>
            </w:r>
          </w:p>
        </w:tc>
        <w:tc>
          <w:tcPr>
            <w:tcW w:w="5814" w:type="dxa"/>
          </w:tcPr>
          <w:p w14:paraId="7A6A7C86">
            <w:pPr>
              <w:pStyle w:val="4"/>
              <w:jc w:val="left"/>
            </w:pPr>
            <w:r>
              <w:rPr>
                <w:rFonts w:ascii="仿宋_GB2312" w:hAnsi="仿宋_GB2312" w:eastAsia="仿宋_GB2312" w:cs="仿宋_GB2312"/>
              </w:rPr>
              <w:t>★（一）委托范围</w:t>
            </w:r>
            <w:r>
              <w:br w:type="textWrapping"/>
            </w:r>
            <w:r>
              <w:rPr>
                <w:rFonts w:ascii="仿宋_GB2312" w:hAnsi="仿宋_GB2312" w:eastAsia="仿宋_GB2312" w:cs="仿宋_GB2312"/>
              </w:rPr>
              <w:t xml:space="preserve"> 供应商为采购人提供医学检验、血型及POCT相关的物流送检、标本检测服务（至少包括临床检验、临床血液学检查、临床化学检查、临床免疫学检查、临床微生物学检查、临床寄生虫学检查项目），以及提供至少包括血细胞分析、尿液分析、粪便常规、阴道分泌物、血球分析仪、尿液分析仪、显微镜、血糖仪的常规及急诊项目在医院当地检测所需的仪器设备、检验专用试剂耗材、信息系统（LIS系统报告传输）、科室质量体系及制度建设等服务，并承担上述设备的维修、保养、等服务，同时开展上述常规项目的室内质量控制。</w:t>
            </w:r>
            <w:r>
              <w:br w:type="textWrapping"/>
            </w:r>
            <w:r>
              <w:rPr>
                <w:rFonts w:ascii="仿宋_GB2312" w:hAnsi="仿宋_GB2312" w:eastAsia="仿宋_GB2312" w:cs="仿宋_GB2312"/>
              </w:rPr>
              <w:t xml:space="preserve">  ★（二）服务要求</w:t>
            </w:r>
            <w:r>
              <w:br w:type="textWrapping"/>
            </w:r>
            <w:r>
              <w:rPr>
                <w:rFonts w:ascii="仿宋_GB2312" w:hAnsi="仿宋_GB2312" w:eastAsia="仿宋_GB2312" w:cs="仿宋_GB2312"/>
              </w:rPr>
              <w:t xml:space="preserve">  1、为采购人提供检验及病理相关项目的检测服务(至少包含肝脏功能与疾病、肾脏功 能与疾病、电解质、心血管功能与疾病、糖尿病、微量元素、肿瘤标志物、激素类、 细胞及感染免疫、HIV初筛、分子生物、免疫功能、贫血、甲状腺功能疾病、微生物 及药敏实验、院感监测、细胞学检查、过敏源及其他检验项目)并承担相应的试剂耗材成本。</w:t>
            </w:r>
            <w:r>
              <w:br w:type="textWrapping"/>
            </w:r>
            <w:r>
              <w:rPr>
                <w:rFonts w:ascii="仿宋_GB2312" w:hAnsi="仿宋_GB2312" w:eastAsia="仿宋_GB2312" w:cs="仿宋_GB2312"/>
              </w:rPr>
              <w:t xml:space="preserve">  2、出报告时间：自标本采集后-三大常规等即时检查出具报告，样本到实验室后：常规生化不超过12小时，常规肿瘤标志物、激素类不超过24小时；感染免疫24-48小时内； 分子生物48-72小时内；病理3-4个工作日内。急诊患者常规生化不得超过8小时。</w:t>
            </w:r>
            <w:r>
              <w:br w:type="textWrapping"/>
            </w:r>
            <w:r>
              <w:rPr>
                <w:rFonts w:ascii="仿宋_GB2312" w:hAnsi="仿宋_GB2312" w:eastAsia="仿宋_GB2312" w:cs="仿宋_GB2312"/>
              </w:rPr>
              <w:t xml:space="preserve">  3、服务期内，根据采购人单位实际情况，完善采购人单位检验科室开展各检测 项目所需的检测基本条件，如血常规、尿常规、粪便常规、阴道分泌物等常规及急诊检测项目,并为其提供维修保养服务，同时协助采购人开展常规项目的室内质量控制。</w:t>
            </w:r>
            <w:r>
              <w:br w:type="textWrapping"/>
            </w:r>
            <w:r>
              <w:rPr>
                <w:rFonts w:ascii="仿宋_GB2312" w:hAnsi="仿宋_GB2312" w:eastAsia="仿宋_GB2312" w:cs="仿宋_GB2312"/>
              </w:rPr>
              <w:t xml:space="preserve">  4、供应商向采购人提供每天（含法定节假日）上门接收标本的服务，遇特殊标本可机动收取。具有规范标本接收、登记和包装流程，保证标本质量和安全，确保标本顺利交接。</w:t>
            </w:r>
            <w:r>
              <w:br w:type="textWrapping"/>
            </w:r>
            <w:r>
              <w:rPr>
                <w:rFonts w:ascii="仿宋_GB2312" w:hAnsi="仿宋_GB2312" w:eastAsia="仿宋_GB2312" w:cs="仿宋_GB2312"/>
              </w:rPr>
              <w:t xml:space="preserve">  5、供应商必须确保及时接收、送检标本和及时检验。标本不符合检验要求时，应及时通知采购人进行处理。标本在送检过程中出现延迟、遗漏、丢失等情况，供应商应有完善的应急预案予以妥善解决，否则供应商应承担相应责任。</w:t>
            </w:r>
            <w:r>
              <w:br w:type="textWrapping"/>
            </w:r>
            <w:r>
              <w:rPr>
                <w:rFonts w:ascii="仿宋_GB2312" w:hAnsi="仿宋_GB2312" w:eastAsia="仿宋_GB2312" w:cs="仿宋_GB2312"/>
              </w:rPr>
              <w:t xml:space="preserve">  6、投标人所使用的生化、免疫检测试剂可具有溯源性来确保检验结果的准确性。</w:t>
            </w:r>
            <w:r>
              <w:br w:type="textWrapping"/>
            </w:r>
            <w:r>
              <w:rPr>
                <w:rFonts w:ascii="仿宋_GB2312" w:hAnsi="仿宋_GB2312" w:eastAsia="仿宋_GB2312" w:cs="仿宋_GB2312"/>
              </w:rPr>
              <w:t xml:space="preserve">  ★（三）结果查询</w:t>
            </w:r>
            <w:r>
              <w:br w:type="textWrapping"/>
            </w:r>
            <w:r>
              <w:rPr>
                <w:rFonts w:ascii="仿宋_GB2312" w:hAnsi="仿宋_GB2312" w:eastAsia="仿宋_GB2312" w:cs="仿宋_GB2312"/>
              </w:rPr>
              <w:t xml:space="preserve">  1.供应商提供的信息化服务需符合国家信息安全有关的规定和要求，保证检验结果实时网络传送，实现实验室数据的汇总、储存、传输功能，负责检验科 LIS 信息化系统建设和运维，与采购人签订合同之日起10日内完成。</w:t>
            </w:r>
            <w:r>
              <w:br w:type="textWrapping"/>
            </w:r>
            <w:r>
              <w:rPr>
                <w:rFonts w:ascii="仿宋_GB2312" w:hAnsi="仿宋_GB2312" w:eastAsia="仿宋_GB2312" w:cs="仿宋_GB2312"/>
              </w:rPr>
              <w:t xml:space="preserve">  2.提供公共卫生检验结果数据上传健康云平台。</w:t>
            </w:r>
            <w:r>
              <w:br w:type="textWrapping"/>
            </w:r>
            <w:r>
              <w:rPr>
                <w:rFonts w:ascii="仿宋_GB2312" w:hAnsi="仿宋_GB2312" w:eastAsia="仿宋_GB2312" w:cs="仿宋_GB2312"/>
              </w:rPr>
              <w:t xml:space="preserve">  3.提供网上查询服务，医务人员随时查询进度和结果。</w:t>
            </w:r>
            <w:r>
              <w:br w:type="textWrapping"/>
            </w:r>
            <w:r>
              <w:rPr>
                <w:rFonts w:ascii="仿宋_GB2312" w:hAnsi="仿宋_GB2312" w:eastAsia="仿宋_GB2312" w:cs="仿宋_GB2312"/>
              </w:rPr>
              <w:t xml:space="preserve">  4.提供电话查询服务，危急值专人电话跟进，确保患者检测信息与临床医生的畅通。</w:t>
            </w:r>
            <w:r>
              <w:br w:type="textWrapping"/>
            </w:r>
            <w:r>
              <w:rPr>
                <w:rFonts w:ascii="仿宋_GB2312" w:hAnsi="仿宋_GB2312" w:eastAsia="仿宋_GB2312" w:cs="仿宋_GB2312"/>
              </w:rPr>
              <w:t xml:space="preserve">  ★（四）质量要求</w:t>
            </w:r>
            <w:r>
              <w:br w:type="textWrapping"/>
            </w:r>
            <w:r>
              <w:rPr>
                <w:rFonts w:ascii="仿宋_GB2312" w:hAnsi="仿宋_GB2312" w:eastAsia="仿宋_GB2312" w:cs="仿宋_GB2312"/>
              </w:rPr>
              <w:t xml:space="preserve">  供应商须通过卫生部认定的室间质量评价机构组织的临床检验室间质量评价，每年参加卫生部门的质量控制和室间质量评估工作，按期通过省级或省级以上临检中心组织的室间质量评价。</w:t>
            </w:r>
          </w:p>
          <w:p w14:paraId="4ED13B05">
            <w:pPr>
              <w:pStyle w:val="4"/>
              <w:jc w:val="left"/>
            </w:pPr>
            <w:r>
              <w:rPr>
                <w:rFonts w:ascii="仿宋_GB2312" w:hAnsi="仿宋_GB2312" w:eastAsia="仿宋_GB2312" w:cs="仿宋_GB2312"/>
              </w:rPr>
              <w:t>（五）技术支持</w:t>
            </w:r>
          </w:p>
          <w:p w14:paraId="325E004E">
            <w:pPr>
              <w:pStyle w:val="4"/>
              <w:jc w:val="left"/>
            </w:pPr>
            <w:r>
              <w:rPr>
                <w:rFonts w:ascii="仿宋_GB2312" w:hAnsi="仿宋_GB2312" w:eastAsia="仿宋_GB2312" w:cs="仿宋_GB2312"/>
              </w:rPr>
              <w:t>供应商有完整的培训体系，能够独立完成检验科的建设和发展，每年为检验人员提供进修或知识培训。实验室具有完善的质量管理体系，提供检测标本的实验室均具有完善的质量管理体系，可提供每日完善的室内质量控制记录。</w:t>
            </w:r>
            <w:r>
              <w:br w:type="textWrapping"/>
            </w:r>
            <w:r>
              <w:rPr>
                <w:rFonts w:ascii="仿宋_GB2312" w:hAnsi="仿宋_GB2312" w:eastAsia="仿宋_GB2312" w:cs="仿宋_GB2312"/>
              </w:rPr>
              <w:t xml:space="preserve">  （六）车辆要求</w:t>
            </w:r>
            <w:r>
              <w:br w:type="textWrapping"/>
            </w:r>
            <w:r>
              <w:rPr>
                <w:rFonts w:ascii="仿宋_GB2312" w:hAnsi="仿宋_GB2312" w:eastAsia="仿宋_GB2312" w:cs="仿宋_GB2312"/>
              </w:rPr>
              <w:t xml:space="preserve">  配备车辆运送，车辆配备专用车载冰箱或保温箱，冰箱或保温箱有相应的温度记录表。</w:t>
            </w:r>
            <w:r>
              <w:br w:type="textWrapping"/>
            </w:r>
            <w:r>
              <w:rPr>
                <w:rFonts w:ascii="仿宋_GB2312" w:hAnsi="仿宋_GB2312" w:eastAsia="仿宋_GB2312" w:cs="仿宋_GB2312"/>
              </w:rPr>
              <w:t xml:space="preserve">  （七）提供售后服务</w:t>
            </w:r>
            <w:r>
              <w:br w:type="textWrapping"/>
            </w:r>
            <w:r>
              <w:rPr>
                <w:rFonts w:ascii="仿宋_GB2312" w:hAnsi="仿宋_GB2312" w:eastAsia="仿宋_GB2312" w:cs="仿宋_GB2312"/>
              </w:rPr>
              <w:t xml:space="preserve">  供应商至少应提供服务电话、网络查询渠道供采购人相关临床部门进行业务咨询、报告查询、账单查询统计功能。制定完善制度和流程保障上门服务，并提供具有医学检验背景的专业人员进行售后服务。</w:t>
            </w:r>
          </w:p>
          <w:p w14:paraId="294823AD">
            <w:pPr>
              <w:pStyle w:val="4"/>
              <w:jc w:val="left"/>
            </w:pPr>
            <w:r>
              <w:rPr>
                <w:rFonts w:ascii="仿宋_GB2312" w:hAnsi="仿宋_GB2312" w:eastAsia="仿宋_GB2312" w:cs="仿宋_GB2312"/>
              </w:rPr>
              <w:t xml:space="preserve"> </w:t>
            </w:r>
          </w:p>
        </w:tc>
      </w:tr>
    </w:tbl>
    <w:p w14:paraId="7C084419">
      <w:pPr>
        <w:pStyle w:val="4"/>
        <w:jc w:val="left"/>
        <w:outlineLvl w:val="2"/>
      </w:pPr>
      <w:r>
        <w:rPr>
          <w:rFonts w:ascii="仿宋_GB2312" w:hAnsi="仿宋_GB2312" w:eastAsia="仿宋_GB2312" w:cs="仿宋_GB2312"/>
          <w:b/>
          <w:sz w:val="28"/>
        </w:rPr>
        <w:t>3.3.服务要求</w:t>
      </w:r>
    </w:p>
    <w:p w14:paraId="76CA5C5B">
      <w:pPr>
        <w:pStyle w:val="4"/>
        <w:jc w:val="left"/>
        <w:outlineLvl w:val="3"/>
      </w:pPr>
      <w:r>
        <w:rPr>
          <w:rFonts w:ascii="仿宋_GB2312" w:hAnsi="仿宋_GB2312" w:eastAsia="仿宋_GB2312" w:cs="仿宋_GB2312"/>
          <w:b/>
          <w:sz w:val="24"/>
        </w:rPr>
        <w:t>3.3.1.服务内容要求</w:t>
      </w:r>
    </w:p>
    <w:p w14:paraId="5821A1A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9E2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9866F">
            <w:pPr>
              <w:pStyle w:val="4"/>
              <w:jc w:val="center"/>
            </w:pPr>
            <w:r>
              <w:rPr>
                <w:rFonts w:ascii="仿宋_GB2312" w:hAnsi="仿宋_GB2312" w:eastAsia="仿宋_GB2312" w:cs="仿宋_GB2312"/>
              </w:rPr>
              <w:t xml:space="preserve"> 序号</w:t>
            </w:r>
          </w:p>
        </w:tc>
        <w:tc>
          <w:tcPr>
            <w:tcW w:w="581" w:type="dxa"/>
          </w:tcPr>
          <w:p w14:paraId="6CA6440F">
            <w:pPr>
              <w:pStyle w:val="4"/>
              <w:jc w:val="center"/>
            </w:pPr>
            <w:r>
              <w:rPr>
                <w:rFonts w:ascii="仿宋_GB2312" w:hAnsi="仿宋_GB2312" w:eastAsia="仿宋_GB2312" w:cs="仿宋_GB2312"/>
              </w:rPr>
              <w:t xml:space="preserve"> 符号标识</w:t>
            </w:r>
          </w:p>
        </w:tc>
        <w:tc>
          <w:tcPr>
            <w:tcW w:w="1495" w:type="dxa"/>
          </w:tcPr>
          <w:p w14:paraId="49C2BE42">
            <w:pPr>
              <w:pStyle w:val="4"/>
              <w:jc w:val="center"/>
            </w:pPr>
            <w:r>
              <w:rPr>
                <w:rFonts w:ascii="仿宋_GB2312" w:hAnsi="仿宋_GB2312" w:eastAsia="仿宋_GB2312" w:cs="仿宋_GB2312"/>
              </w:rPr>
              <w:t xml:space="preserve"> 服务要求名称</w:t>
            </w:r>
          </w:p>
        </w:tc>
        <w:tc>
          <w:tcPr>
            <w:tcW w:w="5814" w:type="dxa"/>
          </w:tcPr>
          <w:p w14:paraId="024A3768">
            <w:pPr>
              <w:pStyle w:val="4"/>
              <w:jc w:val="center"/>
            </w:pPr>
            <w:r>
              <w:rPr>
                <w:rFonts w:ascii="仿宋_GB2312" w:hAnsi="仿宋_GB2312" w:eastAsia="仿宋_GB2312" w:cs="仿宋_GB2312"/>
              </w:rPr>
              <w:t xml:space="preserve"> 服务要求内容</w:t>
            </w:r>
          </w:p>
        </w:tc>
      </w:tr>
      <w:tr w14:paraId="49CFB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359127">
            <w:pPr>
              <w:pStyle w:val="4"/>
              <w:jc w:val="center"/>
            </w:pPr>
            <w:r>
              <w:rPr>
                <w:rFonts w:ascii="仿宋_GB2312" w:hAnsi="仿宋_GB2312" w:eastAsia="仿宋_GB2312" w:cs="仿宋_GB2312"/>
              </w:rPr>
              <w:t>1</w:t>
            </w:r>
          </w:p>
        </w:tc>
        <w:tc>
          <w:tcPr>
            <w:tcW w:w="581" w:type="dxa"/>
          </w:tcPr>
          <w:p w14:paraId="60C3F46C">
            <w:pPr>
              <w:pStyle w:val="4"/>
              <w:jc w:val="center"/>
            </w:pPr>
            <w:r>
              <w:rPr>
                <w:rFonts w:ascii="仿宋_GB2312" w:hAnsi="仿宋_GB2312" w:eastAsia="仿宋_GB2312" w:cs="仿宋_GB2312"/>
              </w:rPr>
              <w:t>★</w:t>
            </w:r>
          </w:p>
        </w:tc>
        <w:tc>
          <w:tcPr>
            <w:tcW w:w="1495" w:type="dxa"/>
          </w:tcPr>
          <w:p w14:paraId="3FC01B93">
            <w:pPr>
              <w:pStyle w:val="4"/>
              <w:jc w:val="left"/>
            </w:pPr>
            <w:r>
              <w:rPr>
                <w:rFonts w:ascii="仿宋_GB2312" w:hAnsi="仿宋_GB2312" w:eastAsia="仿宋_GB2312" w:cs="仿宋_GB2312"/>
              </w:rPr>
              <w:t>最高限价</w:t>
            </w:r>
          </w:p>
        </w:tc>
        <w:tc>
          <w:tcPr>
            <w:tcW w:w="5814" w:type="dxa"/>
          </w:tcPr>
          <w:p w14:paraId="27C48191">
            <w:pPr>
              <w:pStyle w:val="4"/>
              <w:jc w:val="left"/>
            </w:pPr>
            <w:r>
              <w:rPr>
                <w:rFonts w:ascii="仿宋_GB2312" w:hAnsi="仿宋_GB2312" w:eastAsia="仿宋_GB2312" w:cs="仿宋_GB2312"/>
                <w:sz w:val="21"/>
              </w:rPr>
              <w:t>根据采购人核定收费标准（依照眉山市医疗保障局关于印发《眉山市医疗服务项目价格汇编(2025版)》的通知》中相应医疗服务项目价格，如有新费用计算依据以价格主管部门公布的最新的文件为准）的55%据实结算。超过最高限价的报价无效。（本项目报结算比例，报价结算比例超过最高限价（结算比例＞55%，如56%）的报价为无效报价）本项目在预算内执行。（举例：若某检验项目指导价为100元，结算比例报价为50%，则合同执行价格=100×50%=50元）</w:t>
            </w:r>
          </w:p>
        </w:tc>
      </w:tr>
      <w:tr w14:paraId="273AD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9C54AB">
            <w:pPr>
              <w:pStyle w:val="4"/>
              <w:jc w:val="center"/>
            </w:pPr>
            <w:r>
              <w:rPr>
                <w:rFonts w:ascii="仿宋_GB2312" w:hAnsi="仿宋_GB2312" w:eastAsia="仿宋_GB2312" w:cs="仿宋_GB2312"/>
              </w:rPr>
              <w:t>2</w:t>
            </w:r>
          </w:p>
        </w:tc>
        <w:tc>
          <w:tcPr>
            <w:tcW w:w="581" w:type="dxa"/>
          </w:tcPr>
          <w:p w14:paraId="02548B38">
            <w:pPr>
              <w:pStyle w:val="4"/>
              <w:jc w:val="center"/>
            </w:pPr>
            <w:r>
              <w:rPr>
                <w:rFonts w:ascii="仿宋_GB2312" w:hAnsi="仿宋_GB2312" w:eastAsia="仿宋_GB2312" w:cs="仿宋_GB2312"/>
              </w:rPr>
              <w:t>★</w:t>
            </w:r>
          </w:p>
        </w:tc>
        <w:tc>
          <w:tcPr>
            <w:tcW w:w="1495" w:type="dxa"/>
          </w:tcPr>
          <w:p w14:paraId="5A39D112">
            <w:pPr>
              <w:pStyle w:val="4"/>
              <w:jc w:val="left"/>
            </w:pPr>
            <w:r>
              <w:rPr>
                <w:rFonts w:ascii="仿宋_GB2312" w:hAnsi="仿宋_GB2312" w:eastAsia="仿宋_GB2312" w:cs="仿宋_GB2312"/>
              </w:rPr>
              <w:t>报价要求</w:t>
            </w:r>
          </w:p>
        </w:tc>
        <w:tc>
          <w:tcPr>
            <w:tcW w:w="5814" w:type="dxa"/>
          </w:tcPr>
          <w:p w14:paraId="727CB708">
            <w:pPr>
              <w:pStyle w:val="4"/>
              <w:jc w:val="both"/>
            </w:pPr>
            <w:r>
              <w:rPr>
                <w:rFonts w:ascii="仿宋_GB2312" w:hAnsi="仿宋_GB2312" w:eastAsia="仿宋_GB2312" w:cs="仿宋_GB2312"/>
                <w:sz w:val="21"/>
              </w:rPr>
              <w:t>1.本项目采用结算比例的方式填报，中标结算比例为供应商的结算比例，结算比例是固定唯一。</w:t>
            </w:r>
          </w:p>
          <w:p w14:paraId="1DADBF12">
            <w:pPr>
              <w:pStyle w:val="4"/>
              <w:jc w:val="both"/>
            </w:pPr>
            <w:r>
              <w:rPr>
                <w:rFonts w:ascii="仿宋_GB2312" w:hAnsi="仿宋_GB2312" w:eastAsia="仿宋_GB2312" w:cs="仿宋_GB2312"/>
                <w:sz w:val="21"/>
              </w:rPr>
              <w:t>报价要求：按照眉山市医疗保障局关于印发《眉山市医疗服务项目价格汇编(2025版)》的通知》中相应医疗服务项目价格。作为采购人核定收费标准（如有新费用计算依据以价格主管部门公布的最新的文件为准）基础上报结算比例执行结算。</w:t>
            </w:r>
          </w:p>
          <w:p w14:paraId="45E0E8CD">
            <w:pPr>
              <w:pStyle w:val="4"/>
              <w:jc w:val="left"/>
            </w:pPr>
            <w:r>
              <w:rPr>
                <w:rFonts w:ascii="仿宋_GB2312" w:hAnsi="仿宋_GB2312" w:eastAsia="仿宋_GB2312" w:cs="仿宋_GB2312"/>
                <w:sz w:val="21"/>
              </w:rPr>
              <w:t>2.供应商的报价应包括但不限于检验项目的检验费用、检验标本接收保存运输费用、检测相关耗材、取材工具、结果查询费用、税费、资料费、以及合同实施过程中的应预见和不可预见的费用等完成合同规定责任和义务、达到合同目的的一切费用及企业利润，以上费用除招标文件有特殊要求外，服务期内采购人将不再增加任何费用。</w:t>
            </w:r>
          </w:p>
        </w:tc>
      </w:tr>
      <w:tr w14:paraId="57FF2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C64AED">
            <w:pPr>
              <w:pStyle w:val="4"/>
              <w:jc w:val="center"/>
            </w:pPr>
            <w:r>
              <w:rPr>
                <w:rFonts w:ascii="仿宋_GB2312" w:hAnsi="仿宋_GB2312" w:eastAsia="仿宋_GB2312" w:cs="仿宋_GB2312"/>
              </w:rPr>
              <w:t>3</w:t>
            </w:r>
          </w:p>
        </w:tc>
        <w:tc>
          <w:tcPr>
            <w:tcW w:w="581" w:type="dxa"/>
          </w:tcPr>
          <w:p w14:paraId="561C0C02">
            <w:pPr>
              <w:pStyle w:val="4"/>
              <w:jc w:val="center"/>
            </w:pPr>
            <w:r>
              <w:rPr>
                <w:rFonts w:ascii="仿宋_GB2312" w:hAnsi="仿宋_GB2312" w:eastAsia="仿宋_GB2312" w:cs="仿宋_GB2312"/>
              </w:rPr>
              <w:t>★</w:t>
            </w:r>
          </w:p>
        </w:tc>
        <w:tc>
          <w:tcPr>
            <w:tcW w:w="1495" w:type="dxa"/>
          </w:tcPr>
          <w:p w14:paraId="64E54FDE">
            <w:pPr>
              <w:pStyle w:val="4"/>
              <w:jc w:val="left"/>
            </w:pPr>
            <w:r>
              <w:rPr>
                <w:rFonts w:ascii="仿宋_GB2312" w:hAnsi="仿宋_GB2312" w:eastAsia="仿宋_GB2312" w:cs="仿宋_GB2312"/>
              </w:rPr>
              <w:t>付款进度安排</w:t>
            </w:r>
          </w:p>
        </w:tc>
        <w:tc>
          <w:tcPr>
            <w:tcW w:w="5814" w:type="dxa"/>
          </w:tcPr>
          <w:p w14:paraId="0AE2C959">
            <w:pPr>
              <w:pStyle w:val="4"/>
              <w:jc w:val="both"/>
            </w:pPr>
            <w:r>
              <w:rPr>
                <w:rFonts w:ascii="仿宋_GB2312" w:hAnsi="仿宋_GB2312" w:eastAsia="仿宋_GB2312" w:cs="仿宋_GB2312"/>
                <w:sz w:val="21"/>
              </w:rPr>
              <w:t>因系统固化原因，3.3.2.商务要求中的付款进度安排不适用本项目，具体付款进度安排以此为准（应答“付款进度安排”时，仅需应答本条要求即可，无需再应答3.3.2商务要求中“付款进度安排”要求）：</w:t>
            </w:r>
          </w:p>
          <w:p w14:paraId="6EEBBFD6">
            <w:pPr>
              <w:pStyle w:val="4"/>
              <w:jc w:val="left"/>
            </w:pPr>
            <w:r>
              <w:rPr>
                <w:rFonts w:ascii="仿宋_GB2312" w:hAnsi="仿宋_GB2312" w:eastAsia="仿宋_GB2312" w:cs="仿宋_GB2312"/>
                <w:sz w:val="21"/>
              </w:rPr>
              <w:t>1.由采购人按下列程序付款</w:t>
            </w:r>
            <w:r>
              <w:br w:type="textWrapping"/>
            </w:r>
            <w:r>
              <w:rPr>
                <w:rFonts w:ascii="仿宋_GB2312" w:hAnsi="仿宋_GB2312" w:eastAsia="仿宋_GB2312" w:cs="仿宋_GB2312"/>
                <w:sz w:val="21"/>
              </w:rPr>
              <w:t xml:space="preserve">   每月按实际发生检验量进行结算，供应商于每月的前10日将上月费用结算表与采购人进行核对，核对无误后签字盖章。供应商凭双方盖章后的费用结算表开具足额的合法合规的增值税普通发票交给采购人，采购人凭费用结算表、有效发票等作为依据跟供应商予以结算。采购人收到合法有效完整的完税发票及凭证资料后10个工作日内完成支付。</w:t>
            </w:r>
            <w:r>
              <w:br w:type="textWrapping"/>
            </w:r>
            <w:r>
              <w:rPr>
                <w:rFonts w:ascii="仿宋_GB2312" w:hAnsi="仿宋_GB2312" w:eastAsia="仿宋_GB2312" w:cs="仿宋_GB2312"/>
                <w:sz w:val="21"/>
              </w:rPr>
              <w:t xml:space="preserve"> 2.结算公式</w:t>
            </w:r>
            <w:r>
              <w:br w:type="textWrapping"/>
            </w:r>
            <w:r>
              <w:rPr>
                <w:rFonts w:ascii="仿宋_GB2312" w:hAnsi="仿宋_GB2312" w:eastAsia="仿宋_GB2312" w:cs="仿宋_GB2312"/>
                <w:sz w:val="21"/>
              </w:rPr>
              <w:t xml:space="preserve">   每月服务费用=每月实际检测项目费用×结算比例。</w:t>
            </w:r>
            <w:r>
              <w:br w:type="textWrapping"/>
            </w:r>
            <w:r>
              <w:rPr>
                <w:rFonts w:ascii="仿宋_GB2312" w:hAnsi="仿宋_GB2312" w:eastAsia="仿宋_GB2312" w:cs="仿宋_GB2312"/>
                <w:sz w:val="21"/>
              </w:rPr>
              <w:t xml:space="preserve">   说明：每月实际检测项目费用：依照眉山市医疗保障局关于印发《眉山市医疗服务项目价格汇编(2025版)的通知》中相应医疗服务项目价格进行核算每月实际检测项目费用，如有新费用计算依据以价格主管部门公布的最新的文件为准。</w:t>
            </w:r>
            <w:r>
              <w:br w:type="textWrapping"/>
            </w:r>
            <w:r>
              <w:rPr>
                <w:rFonts w:ascii="仿宋_GB2312" w:hAnsi="仿宋_GB2312" w:eastAsia="仿宋_GB2312" w:cs="仿宋_GB2312"/>
                <w:sz w:val="21"/>
              </w:rPr>
              <w:t xml:space="preserve"> 3.供应商凭以下有效文件与采购人结算</w:t>
            </w:r>
            <w:r>
              <w:br w:type="textWrapping"/>
            </w:r>
            <w:r>
              <w:rPr>
                <w:rFonts w:ascii="仿宋_GB2312" w:hAnsi="仿宋_GB2312" w:eastAsia="仿宋_GB2312" w:cs="仿宋_GB2312"/>
                <w:sz w:val="21"/>
              </w:rPr>
              <w:t xml:space="preserve">   （1）供应商开具的有效增值税普通发票；</w:t>
            </w:r>
            <w:r>
              <w:br w:type="textWrapping"/>
            </w:r>
            <w:r>
              <w:rPr>
                <w:rFonts w:ascii="仿宋_GB2312" w:hAnsi="仿宋_GB2312" w:eastAsia="仿宋_GB2312" w:cs="仿宋_GB2312"/>
                <w:sz w:val="21"/>
              </w:rPr>
              <w:t xml:space="preserve">   （2）费用结算单（双方项目负责人确认签字盖章）。</w:t>
            </w:r>
          </w:p>
        </w:tc>
      </w:tr>
      <w:tr w14:paraId="0AD4C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4A3261">
            <w:pPr>
              <w:pStyle w:val="4"/>
              <w:jc w:val="center"/>
            </w:pPr>
            <w:r>
              <w:rPr>
                <w:rFonts w:ascii="仿宋_GB2312" w:hAnsi="仿宋_GB2312" w:eastAsia="仿宋_GB2312" w:cs="仿宋_GB2312"/>
              </w:rPr>
              <w:t>4</w:t>
            </w:r>
          </w:p>
        </w:tc>
        <w:tc>
          <w:tcPr>
            <w:tcW w:w="581" w:type="dxa"/>
          </w:tcPr>
          <w:p w14:paraId="353177BB">
            <w:pPr>
              <w:pStyle w:val="4"/>
              <w:jc w:val="center"/>
            </w:pPr>
            <w:r>
              <w:rPr>
                <w:rFonts w:ascii="仿宋_GB2312" w:hAnsi="仿宋_GB2312" w:eastAsia="仿宋_GB2312" w:cs="仿宋_GB2312"/>
              </w:rPr>
              <w:t>★</w:t>
            </w:r>
          </w:p>
        </w:tc>
        <w:tc>
          <w:tcPr>
            <w:tcW w:w="1495" w:type="dxa"/>
          </w:tcPr>
          <w:p w14:paraId="2652FA0D">
            <w:pPr>
              <w:pStyle w:val="4"/>
              <w:jc w:val="left"/>
            </w:pPr>
            <w:r>
              <w:rPr>
                <w:rFonts w:ascii="仿宋_GB2312" w:hAnsi="仿宋_GB2312" w:eastAsia="仿宋_GB2312" w:cs="仿宋_GB2312"/>
              </w:rPr>
              <w:t>其他要求</w:t>
            </w:r>
          </w:p>
        </w:tc>
        <w:tc>
          <w:tcPr>
            <w:tcW w:w="5814" w:type="dxa"/>
          </w:tcPr>
          <w:p w14:paraId="5CC2F863">
            <w:pPr>
              <w:pStyle w:val="4"/>
              <w:jc w:val="left"/>
            </w:pPr>
            <w:r>
              <w:rPr>
                <w:rFonts w:ascii="仿宋_GB2312" w:hAnsi="仿宋_GB2312" w:eastAsia="仿宋_GB2312" w:cs="仿宋_GB2312"/>
              </w:rPr>
              <w:t>1.本项目预算为3年总预算；</w:t>
            </w:r>
          </w:p>
          <w:p w14:paraId="0A95ACE5">
            <w:pPr>
              <w:pStyle w:val="4"/>
              <w:jc w:val="left"/>
            </w:pPr>
            <w:r>
              <w:rPr>
                <w:rFonts w:ascii="仿宋_GB2312" w:hAnsi="仿宋_GB2312" w:eastAsia="仿宋_GB2312" w:cs="仿宋_GB2312"/>
              </w:rPr>
              <w:t>2.</w:t>
            </w:r>
            <w:r>
              <w:rPr>
                <w:rFonts w:ascii="仿宋_GB2312" w:hAnsi="仿宋_GB2312" w:eastAsia="仿宋_GB2312" w:cs="仿宋_GB2312"/>
                <w:sz w:val="21"/>
              </w:rPr>
              <w:t>合同履行过程中，如遇国家新政策，按新政策要求执行。</w:t>
            </w:r>
          </w:p>
        </w:tc>
      </w:tr>
    </w:tbl>
    <w:p w14:paraId="540D49D8">
      <w:pPr>
        <w:pStyle w:val="4"/>
        <w:jc w:val="left"/>
        <w:outlineLvl w:val="3"/>
      </w:pPr>
      <w:r>
        <w:rPr>
          <w:rFonts w:ascii="仿宋_GB2312" w:hAnsi="仿宋_GB2312" w:eastAsia="仿宋_GB2312" w:cs="仿宋_GB2312"/>
          <w:b/>
          <w:sz w:val="24"/>
        </w:rPr>
        <w:t>3.3.2.商务要求</w:t>
      </w:r>
    </w:p>
    <w:p w14:paraId="2A2C439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93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1B714D">
            <w:pPr>
              <w:pStyle w:val="4"/>
              <w:jc w:val="center"/>
            </w:pPr>
            <w:r>
              <w:rPr>
                <w:rFonts w:ascii="仿宋_GB2312" w:hAnsi="仿宋_GB2312" w:eastAsia="仿宋_GB2312" w:cs="仿宋_GB2312"/>
              </w:rPr>
              <w:t>序号</w:t>
            </w:r>
          </w:p>
        </w:tc>
        <w:tc>
          <w:tcPr>
            <w:tcW w:w="581" w:type="dxa"/>
          </w:tcPr>
          <w:p w14:paraId="5E834A87">
            <w:pPr>
              <w:pStyle w:val="4"/>
              <w:jc w:val="center"/>
            </w:pPr>
            <w:r>
              <w:rPr>
                <w:rFonts w:ascii="仿宋_GB2312" w:hAnsi="仿宋_GB2312" w:eastAsia="仿宋_GB2312" w:cs="仿宋_GB2312"/>
              </w:rPr>
              <w:t>符号标识</w:t>
            </w:r>
          </w:p>
        </w:tc>
        <w:tc>
          <w:tcPr>
            <w:tcW w:w="1495" w:type="dxa"/>
          </w:tcPr>
          <w:p w14:paraId="41CD4AFF">
            <w:pPr>
              <w:pStyle w:val="4"/>
              <w:jc w:val="center"/>
            </w:pPr>
            <w:r>
              <w:rPr>
                <w:rFonts w:ascii="仿宋_GB2312" w:hAnsi="仿宋_GB2312" w:eastAsia="仿宋_GB2312" w:cs="仿宋_GB2312"/>
              </w:rPr>
              <w:t>商务要求名称</w:t>
            </w:r>
          </w:p>
        </w:tc>
        <w:tc>
          <w:tcPr>
            <w:tcW w:w="5814" w:type="dxa"/>
          </w:tcPr>
          <w:p w14:paraId="07A0ABBF">
            <w:pPr>
              <w:pStyle w:val="4"/>
              <w:jc w:val="center"/>
            </w:pPr>
            <w:r>
              <w:rPr>
                <w:rFonts w:ascii="仿宋_GB2312" w:hAnsi="仿宋_GB2312" w:eastAsia="仿宋_GB2312" w:cs="仿宋_GB2312"/>
              </w:rPr>
              <w:t>商务要求内容</w:t>
            </w:r>
          </w:p>
        </w:tc>
      </w:tr>
      <w:tr w14:paraId="1E6D7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1458A9">
            <w:pPr>
              <w:pStyle w:val="4"/>
              <w:jc w:val="center"/>
            </w:pPr>
            <w:r>
              <w:rPr>
                <w:rFonts w:ascii="仿宋_GB2312" w:hAnsi="仿宋_GB2312" w:eastAsia="仿宋_GB2312" w:cs="仿宋_GB2312"/>
              </w:rPr>
              <w:t>1</w:t>
            </w:r>
          </w:p>
        </w:tc>
        <w:tc>
          <w:tcPr>
            <w:tcW w:w="581" w:type="dxa"/>
          </w:tcPr>
          <w:p w14:paraId="51F9ADC0">
            <w:pPr>
              <w:pStyle w:val="4"/>
              <w:jc w:val="center"/>
            </w:pPr>
            <w:r>
              <w:rPr>
                <w:rFonts w:ascii="仿宋_GB2312" w:hAnsi="仿宋_GB2312" w:eastAsia="仿宋_GB2312" w:cs="仿宋_GB2312"/>
              </w:rPr>
              <w:t>★</w:t>
            </w:r>
          </w:p>
        </w:tc>
        <w:tc>
          <w:tcPr>
            <w:tcW w:w="1495" w:type="dxa"/>
          </w:tcPr>
          <w:p w14:paraId="4A84CA5E">
            <w:pPr>
              <w:pStyle w:val="4"/>
              <w:jc w:val="left"/>
            </w:pPr>
            <w:r>
              <w:rPr>
                <w:rFonts w:ascii="仿宋_GB2312" w:hAnsi="仿宋_GB2312" w:eastAsia="仿宋_GB2312" w:cs="仿宋_GB2312"/>
              </w:rPr>
              <w:t>服务期限</w:t>
            </w:r>
          </w:p>
        </w:tc>
        <w:tc>
          <w:tcPr>
            <w:tcW w:w="5814" w:type="dxa"/>
          </w:tcPr>
          <w:p w14:paraId="67D4C5DD">
            <w:pPr>
              <w:pStyle w:val="4"/>
              <w:jc w:val="left"/>
            </w:pPr>
            <w:r>
              <w:rPr>
                <w:rFonts w:ascii="仿宋_GB2312" w:hAnsi="仿宋_GB2312" w:eastAsia="仿宋_GB2312" w:cs="仿宋_GB2312"/>
              </w:rPr>
              <w:t>三年，合同一年一签。</w:t>
            </w:r>
          </w:p>
        </w:tc>
      </w:tr>
      <w:tr w14:paraId="1815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C8D6CE">
            <w:pPr>
              <w:pStyle w:val="4"/>
              <w:jc w:val="center"/>
            </w:pPr>
            <w:r>
              <w:rPr>
                <w:rFonts w:ascii="仿宋_GB2312" w:hAnsi="仿宋_GB2312" w:eastAsia="仿宋_GB2312" w:cs="仿宋_GB2312"/>
              </w:rPr>
              <w:t>2</w:t>
            </w:r>
          </w:p>
        </w:tc>
        <w:tc>
          <w:tcPr>
            <w:tcW w:w="581" w:type="dxa"/>
          </w:tcPr>
          <w:p w14:paraId="3A2B6604">
            <w:pPr>
              <w:pStyle w:val="4"/>
              <w:jc w:val="center"/>
            </w:pPr>
            <w:r>
              <w:rPr>
                <w:rFonts w:ascii="仿宋_GB2312" w:hAnsi="仿宋_GB2312" w:eastAsia="仿宋_GB2312" w:cs="仿宋_GB2312"/>
              </w:rPr>
              <w:t>★</w:t>
            </w:r>
          </w:p>
        </w:tc>
        <w:tc>
          <w:tcPr>
            <w:tcW w:w="1495" w:type="dxa"/>
          </w:tcPr>
          <w:p w14:paraId="38ABA460">
            <w:pPr>
              <w:pStyle w:val="4"/>
              <w:jc w:val="left"/>
            </w:pPr>
            <w:r>
              <w:rPr>
                <w:rFonts w:ascii="仿宋_GB2312" w:hAnsi="仿宋_GB2312" w:eastAsia="仿宋_GB2312" w:cs="仿宋_GB2312"/>
              </w:rPr>
              <w:t>服务地点</w:t>
            </w:r>
          </w:p>
        </w:tc>
        <w:tc>
          <w:tcPr>
            <w:tcW w:w="5814" w:type="dxa"/>
          </w:tcPr>
          <w:p w14:paraId="72B44F2B">
            <w:pPr>
              <w:pStyle w:val="4"/>
              <w:jc w:val="left"/>
            </w:pPr>
            <w:r>
              <w:rPr>
                <w:rFonts w:ascii="仿宋_GB2312" w:hAnsi="仿宋_GB2312" w:eastAsia="仿宋_GB2312" w:cs="仿宋_GB2312"/>
              </w:rPr>
              <w:t>采购人指定地点。</w:t>
            </w:r>
          </w:p>
        </w:tc>
      </w:tr>
      <w:tr w14:paraId="4717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9538AE">
            <w:pPr>
              <w:pStyle w:val="4"/>
              <w:jc w:val="center"/>
            </w:pPr>
            <w:r>
              <w:rPr>
                <w:rFonts w:ascii="仿宋_GB2312" w:hAnsi="仿宋_GB2312" w:eastAsia="仿宋_GB2312" w:cs="仿宋_GB2312"/>
              </w:rPr>
              <w:t>3</w:t>
            </w:r>
          </w:p>
        </w:tc>
        <w:tc>
          <w:tcPr>
            <w:tcW w:w="581" w:type="dxa"/>
          </w:tcPr>
          <w:p w14:paraId="6A526360">
            <w:pPr>
              <w:pStyle w:val="4"/>
              <w:jc w:val="center"/>
            </w:pPr>
            <w:r>
              <w:rPr>
                <w:rFonts w:ascii="仿宋_GB2312" w:hAnsi="仿宋_GB2312" w:eastAsia="仿宋_GB2312" w:cs="仿宋_GB2312"/>
              </w:rPr>
              <w:t>★</w:t>
            </w:r>
          </w:p>
        </w:tc>
        <w:tc>
          <w:tcPr>
            <w:tcW w:w="1495" w:type="dxa"/>
          </w:tcPr>
          <w:p w14:paraId="0C9C8D46">
            <w:pPr>
              <w:pStyle w:val="4"/>
              <w:jc w:val="left"/>
            </w:pPr>
            <w:r>
              <w:rPr>
                <w:rFonts w:ascii="仿宋_GB2312" w:hAnsi="仿宋_GB2312" w:eastAsia="仿宋_GB2312" w:cs="仿宋_GB2312"/>
              </w:rPr>
              <w:t>验收、交付标准和方法</w:t>
            </w:r>
          </w:p>
        </w:tc>
        <w:tc>
          <w:tcPr>
            <w:tcW w:w="5814" w:type="dxa"/>
          </w:tcPr>
          <w:p w14:paraId="23D7CA9C">
            <w:pPr>
              <w:pStyle w:val="4"/>
              <w:jc w:val="left"/>
            </w:pPr>
            <w:r>
              <w:rPr>
                <w:rFonts w:ascii="仿宋_GB2312" w:hAnsi="仿宋_GB2312" w:eastAsia="仿宋_GB2312" w:cs="仿宋_GB2312"/>
              </w:rPr>
              <w:t>按照国家现行验收方法和标准执行；按照《财政部关于进一步加强政府采购需求和履约验收管理的指导意见》（财库〔2016〕205号）有关规定以及本项目招标文件的质量要求和技术指标、供应商的投标文件及承诺约定标准进行验收；采购人和供应商双方如对质量要求和技术指标的约定标准有相互抵触或异议的事项，由采购人在投标文件与招标文件中按质量要求和技术指标比较优胜的原则确定该项的约定标准进行验收。</w:t>
            </w:r>
          </w:p>
        </w:tc>
      </w:tr>
      <w:tr w14:paraId="304B4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E3771A">
            <w:pPr>
              <w:pStyle w:val="4"/>
              <w:jc w:val="center"/>
            </w:pPr>
            <w:r>
              <w:rPr>
                <w:rFonts w:ascii="仿宋_GB2312" w:hAnsi="仿宋_GB2312" w:eastAsia="仿宋_GB2312" w:cs="仿宋_GB2312"/>
              </w:rPr>
              <w:t>4</w:t>
            </w:r>
          </w:p>
        </w:tc>
        <w:tc>
          <w:tcPr>
            <w:tcW w:w="581" w:type="dxa"/>
          </w:tcPr>
          <w:p w14:paraId="53DB74C1">
            <w:pPr>
              <w:pStyle w:val="4"/>
              <w:jc w:val="center"/>
            </w:pPr>
            <w:r>
              <w:rPr>
                <w:rFonts w:ascii="仿宋_GB2312" w:hAnsi="仿宋_GB2312" w:eastAsia="仿宋_GB2312" w:cs="仿宋_GB2312"/>
              </w:rPr>
              <w:t>★</w:t>
            </w:r>
          </w:p>
        </w:tc>
        <w:tc>
          <w:tcPr>
            <w:tcW w:w="1495" w:type="dxa"/>
          </w:tcPr>
          <w:p w14:paraId="6751BEF9">
            <w:pPr>
              <w:pStyle w:val="4"/>
              <w:jc w:val="left"/>
            </w:pPr>
            <w:r>
              <w:rPr>
                <w:rFonts w:ascii="仿宋_GB2312" w:hAnsi="仿宋_GB2312" w:eastAsia="仿宋_GB2312" w:cs="仿宋_GB2312"/>
              </w:rPr>
              <w:t>支付方式</w:t>
            </w:r>
          </w:p>
        </w:tc>
        <w:tc>
          <w:tcPr>
            <w:tcW w:w="5814" w:type="dxa"/>
          </w:tcPr>
          <w:p w14:paraId="5592248F">
            <w:pPr>
              <w:pStyle w:val="4"/>
              <w:jc w:val="left"/>
            </w:pPr>
            <w:r>
              <w:rPr>
                <w:rFonts w:ascii="仿宋_GB2312" w:hAnsi="仿宋_GB2312" w:eastAsia="仿宋_GB2312" w:cs="仿宋_GB2312"/>
              </w:rPr>
              <w:t>分期付款</w:t>
            </w:r>
          </w:p>
        </w:tc>
      </w:tr>
      <w:tr w14:paraId="28C5C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5E38EF">
            <w:pPr>
              <w:pStyle w:val="4"/>
              <w:jc w:val="center"/>
            </w:pPr>
            <w:r>
              <w:rPr>
                <w:rFonts w:ascii="仿宋_GB2312" w:hAnsi="仿宋_GB2312" w:eastAsia="仿宋_GB2312" w:cs="仿宋_GB2312"/>
              </w:rPr>
              <w:t>5</w:t>
            </w:r>
          </w:p>
        </w:tc>
        <w:tc>
          <w:tcPr>
            <w:tcW w:w="581" w:type="dxa"/>
          </w:tcPr>
          <w:p w14:paraId="0AC1E192"/>
        </w:tc>
        <w:tc>
          <w:tcPr>
            <w:tcW w:w="1495" w:type="dxa"/>
          </w:tcPr>
          <w:p w14:paraId="6273900B">
            <w:pPr>
              <w:pStyle w:val="4"/>
              <w:jc w:val="left"/>
            </w:pPr>
            <w:r>
              <w:rPr>
                <w:rFonts w:ascii="仿宋_GB2312" w:hAnsi="仿宋_GB2312" w:eastAsia="仿宋_GB2312" w:cs="仿宋_GB2312"/>
              </w:rPr>
              <w:t>付款进度安排</w:t>
            </w:r>
          </w:p>
        </w:tc>
        <w:tc>
          <w:tcPr>
            <w:tcW w:w="5814" w:type="dxa"/>
          </w:tcPr>
          <w:p w14:paraId="14A142A8">
            <w:pPr>
              <w:pStyle w:val="4"/>
              <w:jc w:val="left"/>
            </w:pPr>
            <w:r>
              <w:rPr>
                <w:rFonts w:ascii="仿宋_GB2312" w:hAnsi="仿宋_GB2312" w:eastAsia="仿宋_GB2312" w:cs="仿宋_GB2312"/>
              </w:rPr>
              <w:t>1、每月按实际发生检验量进行结算，供应商于每月的前10日将上月费用结算表与采购人进行核对，核对无误后签字盖章。供应商凭双方盖章后的费用结算表开具足额的合法合规的增值税普通发票交给采购人，采购人凭费用结算表、有效发票等作为依据跟供应商予以结算，达到付款条件起10日内，据实结算说明为1. 每月按实际发生检验量进行结算， 2.结算公式 每月服务费用=每月实际检测项目费用×结算比例。 说明：每月实际检测项目费用：依照眉山市医疗保障局关于印发《眉山市医疗服务项目价格汇编(2024版)》的通知》中相应医疗服务项目价格进行核算每月实际检测项目费用，如有新费用计算依据以价格主管部门公布的最新的文件为准。3.结算凭证 （1）供应商开具的有效增值税普通发票； （2）费用结算单</w:t>
            </w:r>
          </w:p>
        </w:tc>
      </w:tr>
      <w:tr w14:paraId="265A0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EE0AF9">
            <w:pPr>
              <w:pStyle w:val="4"/>
              <w:jc w:val="center"/>
            </w:pPr>
            <w:r>
              <w:rPr>
                <w:rFonts w:ascii="仿宋_GB2312" w:hAnsi="仿宋_GB2312" w:eastAsia="仿宋_GB2312" w:cs="仿宋_GB2312"/>
              </w:rPr>
              <w:t>6</w:t>
            </w:r>
          </w:p>
        </w:tc>
        <w:tc>
          <w:tcPr>
            <w:tcW w:w="581" w:type="dxa"/>
          </w:tcPr>
          <w:p w14:paraId="2ABC0D49">
            <w:pPr>
              <w:pStyle w:val="4"/>
              <w:jc w:val="center"/>
            </w:pPr>
            <w:r>
              <w:rPr>
                <w:rFonts w:ascii="仿宋_GB2312" w:hAnsi="仿宋_GB2312" w:eastAsia="仿宋_GB2312" w:cs="仿宋_GB2312"/>
              </w:rPr>
              <w:t>★</w:t>
            </w:r>
          </w:p>
        </w:tc>
        <w:tc>
          <w:tcPr>
            <w:tcW w:w="1495" w:type="dxa"/>
          </w:tcPr>
          <w:p w14:paraId="4691B60A">
            <w:pPr>
              <w:pStyle w:val="4"/>
              <w:jc w:val="left"/>
            </w:pPr>
            <w:r>
              <w:rPr>
                <w:rFonts w:ascii="仿宋_GB2312" w:hAnsi="仿宋_GB2312" w:eastAsia="仿宋_GB2312" w:cs="仿宋_GB2312"/>
              </w:rPr>
              <w:t>违约责任与解决争议的方法</w:t>
            </w:r>
          </w:p>
        </w:tc>
        <w:tc>
          <w:tcPr>
            <w:tcW w:w="5814" w:type="dxa"/>
          </w:tcPr>
          <w:p w14:paraId="6E2E6E3C">
            <w:pPr>
              <w:pStyle w:val="4"/>
              <w:jc w:val="left"/>
            </w:pPr>
            <w:r>
              <w:rPr>
                <w:rFonts w:ascii="仿宋_GB2312" w:hAnsi="仿宋_GB2312" w:eastAsia="仿宋_GB2312" w:cs="仿宋_GB2312"/>
              </w:rPr>
              <w:t>1.供应商对送检的样本质量和检测结果负责，若因供应商原因导致检测结果存在质量问题，由供应商承担相应责任。 2.供应商应保证其用到本项目的专利、技术是合格持有，且享有处分权，若因实施本项目的专利技术产生的侵权纠纷，采购人有权向供应商追究责任，并向供应商索赔因此受到的全部损失，并有权单方终止本项目合同。 3.其它未尽事宜签订合同时约定。</w:t>
            </w:r>
          </w:p>
        </w:tc>
      </w:tr>
    </w:tbl>
    <w:p w14:paraId="13E84BCE">
      <w:pPr>
        <w:pStyle w:val="4"/>
        <w:jc w:val="left"/>
        <w:outlineLvl w:val="2"/>
      </w:pPr>
      <w:r>
        <w:rPr>
          <w:rFonts w:ascii="仿宋_GB2312" w:hAnsi="仿宋_GB2312" w:eastAsia="仿宋_GB2312" w:cs="仿宋_GB2312"/>
          <w:b/>
          <w:sz w:val="28"/>
        </w:rPr>
        <w:t>3.4.其他要求</w:t>
      </w:r>
    </w:p>
    <w:p w14:paraId="27C3F124">
      <w:pPr>
        <w:pStyle w:val="4"/>
        <w:ind w:firstLine="480"/>
        <w:jc w:val="left"/>
      </w:pPr>
      <w:r>
        <w:rPr>
          <w:rFonts w:ascii="仿宋_GB2312" w:hAnsi="仿宋_GB2312" w:eastAsia="仿宋_GB2312" w:cs="仿宋_GB2312"/>
        </w:rPr>
        <w:t>采购包1：</w:t>
      </w:r>
    </w:p>
    <w:p w14:paraId="26CDA1F6">
      <w:pPr>
        <w:pStyle w:val="4"/>
        <w:jc w:val="left"/>
      </w:pPr>
      <w:r>
        <w:rPr>
          <w:rFonts w:ascii="仿宋_GB2312" w:hAnsi="仿宋_GB2312" w:eastAsia="仿宋_GB2312" w:cs="仿宋_GB2312"/>
        </w:rPr>
        <w:t>一、项目实施方案：1.供应商根据采购人需求提供采购项目实施方案，内容包括：（1）投标人针对本项目的团队人员名单以及职责分工；（2）针对本项目的设施设备的投入清单；（3）针对本项目的控制措施与技术规范；（4）投标人LIS与采购人HIS系统对接方案；（5）针对本项目的保密措施；（6）预期效果分析（包含社会效益、经济效益）。2.全流程管控方案：供应商根据采购人需求提供采购项目检测全过程流程管控方案，内容包括：（1）标本接收流程；（2）标本转运流程及运输安全保障方案；（3）标本运输冷链监测；（4）应急预防措施及方案。 3.质量保障方案：供应商根据采购人需求提供全过程质量保障方案，内容至少包括：（1）针对本项目的项目风险分析及应对措施；（2）针对本项目设置的内部管理制度及管理办法；（3）质量保障措施（包含检验检测项目报告质量、派驻人员技术质量）。4.售后服务方案：供应商根据采购人需求提供售后服务方案，内容至少包括：（1）实验室后期质量控制；（2）后期信息化系统维护和数据安全保护方案；（3）培训服务以及专家咨询服务。 二、1.供应商提供省级及以上临检中心组织的室间质量评价的有效证书中的合格项目情况。2.供应商针对本项目配置的车辆情况。3.供应商实验室通过医学实验室-质量和能力认可的前提下，通过认可项目数量情况。4.供应商提供2023年8月1日（含）至递交投标文件截止日类似检验检测外包服务项目业绩。5.投标人针对本项目提供的团队人员证书情况。6.实验室检测能力情况。7.质量保障：供应商实验室使用的生化、免疫项目试剂提供溯源性证明材料。上述一、二项提供的内容将作为本项目评审依据。</w:t>
      </w:r>
    </w:p>
    <w:p w14:paraId="4C56A24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96CAB"/>
    <w:rsid w:val="6E99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2026-05-09T03:32:00Z</dcterms:created>
  <dc:creator>CCCCCC</dc:creator>
  <cp:lastModifiedBy>CCCCCC</cp:lastModifiedBy>
  <dcterms:modified xsi:type="dcterms:W3CDTF">2026-05-09T03:33:10Z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63FBD92B23CC48C885474AA1EA281185_11</vt:lpwstr>
  </property>
  <property fmtid="{D5CDD505-2E9C-101B-9397-08002B2CF9AE}" pid="4" name="KSOTemplateDocerSaveRecord">
    <vt:lpwstr>eyJoZGlkIjoiZjM3Nzk3NGFlYTRhZTg3ZjQxZmJkODRlMzA4Nzg5YjUiLCJ1c2VySWQiOiI0MzIxMTI3NzYifQ==</vt:lpwstr>
  </property>
</Properties>
</file>