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C7FF6">
      <w:pPr>
        <w:pStyle w:val="4"/>
        <w:jc w:val="center"/>
        <w:outlineLvl w:val="1"/>
      </w:pPr>
      <w:r>
        <w:rPr>
          <w:rFonts w:ascii="仿宋_GB2312" w:hAnsi="仿宋_GB2312" w:eastAsia="仿宋_GB2312" w:cs="仿宋_GB2312"/>
          <w:b/>
          <w:sz w:val="36"/>
        </w:rPr>
        <w:t xml:space="preserve"> 技术、服务及其他要求</w:t>
      </w:r>
    </w:p>
    <w:p w14:paraId="5AF8B51C">
      <w:pPr>
        <w:pStyle w:val="4"/>
        <w:jc w:val="left"/>
        <w:outlineLvl w:val="2"/>
      </w:pPr>
      <w:r>
        <w:rPr>
          <w:rFonts w:ascii="仿宋_GB2312" w:hAnsi="仿宋_GB2312" w:eastAsia="仿宋_GB2312" w:cs="仿宋_GB2312"/>
          <w:b/>
          <w:sz w:val="28"/>
        </w:rPr>
        <w:t>1.采购内容</w:t>
      </w:r>
    </w:p>
    <w:p w14:paraId="506C9F70">
      <w:pPr>
        <w:pStyle w:val="4"/>
        <w:jc w:val="left"/>
      </w:pPr>
      <w:r>
        <w:rPr>
          <w:rFonts w:ascii="仿宋_GB2312" w:hAnsi="仿宋_GB2312" w:eastAsia="仿宋_GB2312" w:cs="仿宋_GB2312"/>
        </w:rPr>
        <w:t>采购包1：</w:t>
      </w:r>
    </w:p>
    <w:p w14:paraId="4A35E794">
      <w:pPr>
        <w:pStyle w:val="4"/>
        <w:jc w:val="left"/>
      </w:pPr>
      <w:r>
        <w:rPr>
          <w:rFonts w:ascii="仿宋_GB2312" w:hAnsi="仿宋_GB2312" w:eastAsia="仿宋_GB2312" w:cs="仿宋_GB2312"/>
        </w:rPr>
        <w:t>采购包预算金额（元）: 635,880.00</w:t>
      </w:r>
    </w:p>
    <w:p w14:paraId="4CA950D3">
      <w:pPr>
        <w:pStyle w:val="4"/>
        <w:jc w:val="left"/>
      </w:pPr>
      <w:r>
        <w:rPr>
          <w:rFonts w:ascii="仿宋_GB2312" w:hAnsi="仿宋_GB2312" w:eastAsia="仿宋_GB2312" w:cs="仿宋_GB2312"/>
        </w:rPr>
        <w:t>采购包最高限价（元）: 635,880.00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7"/>
        <w:gridCol w:w="1116"/>
        <w:gridCol w:w="779"/>
        <w:gridCol w:w="820"/>
        <w:gridCol w:w="1216"/>
        <w:gridCol w:w="739"/>
        <w:gridCol w:w="739"/>
        <w:gridCol w:w="739"/>
        <w:gridCol w:w="739"/>
        <w:gridCol w:w="594"/>
        <w:gridCol w:w="594"/>
      </w:tblGrid>
      <w:tr w14:paraId="3997A8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0AF13C4">
            <w:pPr>
              <w:pStyle w:val="4"/>
              <w:jc w:val="center"/>
            </w:pPr>
            <w:r>
              <w:rPr>
                <w:rFonts w:ascii="仿宋_GB2312" w:hAnsi="仿宋_GB2312" w:eastAsia="仿宋_GB2312" w:cs="仿宋_GB2312"/>
              </w:rPr>
              <w:t>序号</w:t>
            </w:r>
          </w:p>
        </w:tc>
        <w:tc>
          <w:tcPr>
            <w:tcW w:w="821" w:type="dxa"/>
          </w:tcPr>
          <w:p w14:paraId="63E4260D">
            <w:pPr>
              <w:pStyle w:val="4"/>
              <w:jc w:val="center"/>
            </w:pPr>
            <w:r>
              <w:rPr>
                <w:rFonts w:ascii="仿宋_GB2312" w:hAnsi="仿宋_GB2312" w:eastAsia="仿宋_GB2312" w:cs="仿宋_GB2312"/>
              </w:rPr>
              <w:t>采购品目名称</w:t>
            </w:r>
          </w:p>
        </w:tc>
        <w:tc>
          <w:tcPr>
            <w:tcW w:w="821" w:type="dxa"/>
          </w:tcPr>
          <w:p w14:paraId="57CEC332">
            <w:pPr>
              <w:pStyle w:val="4"/>
              <w:jc w:val="center"/>
            </w:pPr>
            <w:r>
              <w:rPr>
                <w:rFonts w:ascii="仿宋_GB2312" w:hAnsi="仿宋_GB2312" w:eastAsia="仿宋_GB2312" w:cs="仿宋_GB2312"/>
              </w:rPr>
              <w:t>标的名称</w:t>
            </w:r>
          </w:p>
        </w:tc>
        <w:tc>
          <w:tcPr>
            <w:tcW w:w="821" w:type="dxa"/>
          </w:tcPr>
          <w:p w14:paraId="0E1258D9">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11CD5177">
            <w:pPr>
              <w:pStyle w:val="4"/>
              <w:jc w:val="center"/>
            </w:pPr>
            <w:r>
              <w:rPr>
                <w:rFonts w:ascii="仿宋_GB2312" w:hAnsi="仿宋_GB2312" w:eastAsia="仿宋_GB2312" w:cs="仿宋_GB2312"/>
              </w:rPr>
              <w:t>标的金额 （元）</w:t>
            </w:r>
          </w:p>
        </w:tc>
        <w:tc>
          <w:tcPr>
            <w:tcW w:w="821" w:type="dxa"/>
          </w:tcPr>
          <w:p w14:paraId="62DDBC33">
            <w:pPr>
              <w:pStyle w:val="4"/>
              <w:jc w:val="center"/>
            </w:pPr>
            <w:r>
              <w:rPr>
                <w:rFonts w:ascii="仿宋_GB2312" w:hAnsi="仿宋_GB2312" w:eastAsia="仿宋_GB2312" w:cs="仿宋_GB2312"/>
              </w:rPr>
              <w:t>所属行业</w:t>
            </w:r>
          </w:p>
        </w:tc>
        <w:tc>
          <w:tcPr>
            <w:tcW w:w="821" w:type="dxa"/>
          </w:tcPr>
          <w:p w14:paraId="450A4B93">
            <w:pPr>
              <w:pStyle w:val="4"/>
              <w:jc w:val="center"/>
            </w:pPr>
            <w:r>
              <w:rPr>
                <w:rFonts w:ascii="仿宋_GB2312" w:hAnsi="仿宋_GB2312" w:eastAsia="仿宋_GB2312" w:cs="仿宋_GB2312"/>
              </w:rPr>
              <w:t>是否涉及核心产品</w:t>
            </w:r>
          </w:p>
        </w:tc>
        <w:tc>
          <w:tcPr>
            <w:tcW w:w="821" w:type="dxa"/>
          </w:tcPr>
          <w:p w14:paraId="51E0B220">
            <w:pPr>
              <w:pStyle w:val="4"/>
              <w:jc w:val="center"/>
            </w:pPr>
            <w:r>
              <w:rPr>
                <w:rFonts w:ascii="仿宋_GB2312" w:hAnsi="仿宋_GB2312" w:eastAsia="仿宋_GB2312" w:cs="仿宋_GB2312"/>
              </w:rPr>
              <w:t>是否涉及采购进口产品</w:t>
            </w:r>
          </w:p>
        </w:tc>
        <w:tc>
          <w:tcPr>
            <w:tcW w:w="821" w:type="dxa"/>
          </w:tcPr>
          <w:p w14:paraId="09C14654">
            <w:pPr>
              <w:pStyle w:val="4"/>
              <w:jc w:val="center"/>
            </w:pPr>
            <w:r>
              <w:rPr>
                <w:rFonts w:ascii="仿宋_GB2312" w:hAnsi="仿宋_GB2312" w:eastAsia="仿宋_GB2312" w:cs="仿宋_GB2312"/>
              </w:rPr>
              <w:t>是否涉及强制采购节能产品</w:t>
            </w:r>
          </w:p>
        </w:tc>
        <w:tc>
          <w:tcPr>
            <w:tcW w:w="639" w:type="dxa"/>
          </w:tcPr>
          <w:p w14:paraId="7DC3DC78">
            <w:pPr>
              <w:pStyle w:val="4"/>
              <w:jc w:val="center"/>
            </w:pPr>
            <w:r>
              <w:rPr>
                <w:rFonts w:ascii="仿宋_GB2312" w:hAnsi="仿宋_GB2312" w:eastAsia="仿宋_GB2312" w:cs="仿宋_GB2312"/>
              </w:rPr>
              <w:t>是否涉及优先采购节能产品</w:t>
            </w:r>
          </w:p>
        </w:tc>
        <w:tc>
          <w:tcPr>
            <w:tcW w:w="639" w:type="dxa"/>
          </w:tcPr>
          <w:p w14:paraId="5C5CF5D9">
            <w:pPr>
              <w:pStyle w:val="4"/>
              <w:jc w:val="center"/>
            </w:pPr>
            <w:r>
              <w:rPr>
                <w:rFonts w:ascii="仿宋_GB2312" w:hAnsi="仿宋_GB2312" w:eastAsia="仿宋_GB2312" w:cs="仿宋_GB2312"/>
              </w:rPr>
              <w:t>是否涉及优先采购环境标志产品</w:t>
            </w:r>
          </w:p>
        </w:tc>
      </w:tr>
      <w:tr w14:paraId="771083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72A53D4">
            <w:pPr>
              <w:pStyle w:val="4"/>
              <w:jc w:val="left"/>
            </w:pPr>
            <w:r>
              <w:rPr>
                <w:rFonts w:ascii="仿宋_GB2312" w:hAnsi="仿宋_GB2312" w:eastAsia="仿宋_GB2312" w:cs="仿宋_GB2312"/>
              </w:rPr>
              <w:t>1</w:t>
            </w:r>
          </w:p>
        </w:tc>
        <w:tc>
          <w:tcPr>
            <w:tcW w:w="821" w:type="dxa"/>
          </w:tcPr>
          <w:p w14:paraId="05243DFF">
            <w:pPr>
              <w:pStyle w:val="4"/>
              <w:jc w:val="left"/>
            </w:pPr>
            <w:r>
              <w:rPr>
                <w:rFonts w:ascii="仿宋_GB2312" w:hAnsi="仿宋_GB2312" w:eastAsia="仿宋_GB2312" w:cs="仿宋_GB2312"/>
              </w:rPr>
              <w:t>C16070100 基础环境运维服务</w:t>
            </w:r>
          </w:p>
        </w:tc>
        <w:tc>
          <w:tcPr>
            <w:tcW w:w="821" w:type="dxa"/>
          </w:tcPr>
          <w:p w14:paraId="6053FE96">
            <w:pPr>
              <w:pStyle w:val="4"/>
              <w:jc w:val="left"/>
            </w:pPr>
            <w:r>
              <w:rPr>
                <w:rFonts w:ascii="仿宋_GB2312" w:hAnsi="仿宋_GB2312" w:eastAsia="仿宋_GB2312" w:cs="仿宋_GB2312"/>
              </w:rPr>
              <w:t>“铁穹”感知源设备网络运维采购项目</w:t>
            </w:r>
          </w:p>
        </w:tc>
        <w:tc>
          <w:tcPr>
            <w:tcW w:w="821" w:type="dxa"/>
          </w:tcPr>
          <w:p w14:paraId="5823BD91">
            <w:pPr>
              <w:pStyle w:val="4"/>
              <w:jc w:val="right"/>
            </w:pPr>
            <w:r>
              <w:rPr>
                <w:rFonts w:ascii="仿宋_GB2312" w:hAnsi="仿宋_GB2312" w:eastAsia="仿宋_GB2312" w:cs="仿宋_GB2312"/>
              </w:rPr>
              <w:t>1.00（项）</w:t>
            </w:r>
          </w:p>
        </w:tc>
        <w:tc>
          <w:tcPr>
            <w:tcW w:w="821" w:type="dxa"/>
          </w:tcPr>
          <w:p w14:paraId="444F7DBC">
            <w:pPr>
              <w:pStyle w:val="4"/>
              <w:jc w:val="right"/>
            </w:pPr>
            <w:r>
              <w:rPr>
                <w:rFonts w:ascii="仿宋_GB2312" w:hAnsi="仿宋_GB2312" w:eastAsia="仿宋_GB2312" w:cs="仿宋_GB2312"/>
              </w:rPr>
              <w:t>635,880.00</w:t>
            </w:r>
          </w:p>
        </w:tc>
        <w:tc>
          <w:tcPr>
            <w:tcW w:w="821" w:type="dxa"/>
          </w:tcPr>
          <w:p w14:paraId="541C4361">
            <w:pPr>
              <w:pStyle w:val="4"/>
              <w:jc w:val="left"/>
            </w:pPr>
            <w:r>
              <w:rPr>
                <w:rFonts w:ascii="仿宋_GB2312" w:hAnsi="仿宋_GB2312" w:eastAsia="仿宋_GB2312" w:cs="仿宋_GB2312"/>
              </w:rPr>
              <w:t>其他未列明行业</w:t>
            </w:r>
          </w:p>
        </w:tc>
        <w:tc>
          <w:tcPr>
            <w:tcW w:w="821" w:type="dxa"/>
          </w:tcPr>
          <w:p w14:paraId="725E79AC">
            <w:pPr>
              <w:pStyle w:val="4"/>
              <w:jc w:val="left"/>
            </w:pPr>
            <w:r>
              <w:rPr>
                <w:rFonts w:ascii="仿宋_GB2312" w:hAnsi="仿宋_GB2312" w:eastAsia="仿宋_GB2312" w:cs="仿宋_GB2312"/>
              </w:rPr>
              <w:t>否</w:t>
            </w:r>
          </w:p>
        </w:tc>
        <w:tc>
          <w:tcPr>
            <w:tcW w:w="821" w:type="dxa"/>
          </w:tcPr>
          <w:p w14:paraId="208679E2">
            <w:pPr>
              <w:pStyle w:val="4"/>
              <w:jc w:val="left"/>
            </w:pPr>
            <w:r>
              <w:rPr>
                <w:rFonts w:ascii="仿宋_GB2312" w:hAnsi="仿宋_GB2312" w:eastAsia="仿宋_GB2312" w:cs="仿宋_GB2312"/>
              </w:rPr>
              <w:t>否</w:t>
            </w:r>
          </w:p>
        </w:tc>
        <w:tc>
          <w:tcPr>
            <w:tcW w:w="821" w:type="dxa"/>
          </w:tcPr>
          <w:p w14:paraId="5883F945">
            <w:pPr>
              <w:pStyle w:val="4"/>
              <w:jc w:val="left"/>
            </w:pPr>
            <w:r>
              <w:rPr>
                <w:rFonts w:ascii="仿宋_GB2312" w:hAnsi="仿宋_GB2312" w:eastAsia="仿宋_GB2312" w:cs="仿宋_GB2312"/>
              </w:rPr>
              <w:t>否</w:t>
            </w:r>
          </w:p>
        </w:tc>
        <w:tc>
          <w:tcPr>
            <w:tcW w:w="639" w:type="dxa"/>
          </w:tcPr>
          <w:p w14:paraId="3A574C86">
            <w:pPr>
              <w:pStyle w:val="4"/>
              <w:jc w:val="left"/>
            </w:pPr>
            <w:r>
              <w:rPr>
                <w:rFonts w:ascii="仿宋_GB2312" w:hAnsi="仿宋_GB2312" w:eastAsia="仿宋_GB2312" w:cs="仿宋_GB2312"/>
              </w:rPr>
              <w:t>否</w:t>
            </w:r>
          </w:p>
        </w:tc>
        <w:tc>
          <w:tcPr>
            <w:tcW w:w="639" w:type="dxa"/>
          </w:tcPr>
          <w:p w14:paraId="1EDB8F1F">
            <w:pPr>
              <w:pStyle w:val="4"/>
              <w:jc w:val="left"/>
            </w:pPr>
            <w:r>
              <w:rPr>
                <w:rFonts w:ascii="仿宋_GB2312" w:hAnsi="仿宋_GB2312" w:eastAsia="仿宋_GB2312" w:cs="仿宋_GB2312"/>
              </w:rPr>
              <w:t>否</w:t>
            </w:r>
          </w:p>
        </w:tc>
      </w:tr>
    </w:tbl>
    <w:p w14:paraId="4CBF5195">
      <w:pPr>
        <w:pStyle w:val="4"/>
        <w:jc w:val="left"/>
      </w:pPr>
      <w:r>
        <w:rPr>
          <w:rFonts w:ascii="仿宋_GB2312" w:hAnsi="仿宋_GB2312" w:eastAsia="仿宋_GB2312" w:cs="仿宋_GB2312"/>
        </w:rPr>
        <w:t>是否适用本国产品标准：</w:t>
      </w:r>
    </w:p>
    <w:p w14:paraId="4464F07A">
      <w:pPr>
        <w:pStyle w:val="4"/>
        <w:jc w:val="left"/>
      </w:pPr>
      <w:r>
        <w:rPr>
          <w:rFonts w:ascii="仿宋_GB2312" w:hAnsi="仿宋_GB2312" w:eastAsia="仿宋_GB2312" w:cs="仿宋_GB2312"/>
        </w:rPr>
        <w:t>采购包1：否</w:t>
      </w:r>
    </w:p>
    <w:p w14:paraId="2F797E1F">
      <w:pPr>
        <w:pStyle w:val="4"/>
        <w:jc w:val="left"/>
        <w:outlineLvl w:val="3"/>
      </w:pPr>
      <w:r>
        <w:rPr>
          <w:rFonts w:ascii="仿宋_GB2312" w:hAnsi="仿宋_GB2312" w:eastAsia="仿宋_GB2312" w:cs="仿宋_GB2312"/>
          <w:b/>
          <w:sz w:val="24"/>
        </w:rPr>
        <w:t>报价要求</w:t>
      </w:r>
    </w:p>
    <w:p w14:paraId="0ADC2F1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2CF211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B14DE89">
            <w:pPr>
              <w:pStyle w:val="4"/>
              <w:jc w:val="center"/>
            </w:pPr>
            <w:r>
              <w:rPr>
                <w:rFonts w:ascii="仿宋_GB2312" w:hAnsi="仿宋_GB2312" w:eastAsia="仿宋_GB2312" w:cs="仿宋_GB2312"/>
              </w:rPr>
              <w:t>序号</w:t>
            </w:r>
          </w:p>
        </w:tc>
        <w:tc>
          <w:tcPr>
            <w:tcW w:w="1707" w:type="dxa"/>
          </w:tcPr>
          <w:p w14:paraId="7971149D">
            <w:pPr>
              <w:pStyle w:val="4"/>
              <w:jc w:val="center"/>
            </w:pPr>
            <w:r>
              <w:rPr>
                <w:rFonts w:ascii="仿宋_GB2312" w:hAnsi="仿宋_GB2312" w:eastAsia="仿宋_GB2312" w:cs="仿宋_GB2312"/>
              </w:rPr>
              <w:t>报价内容</w:t>
            </w:r>
          </w:p>
        </w:tc>
        <w:tc>
          <w:tcPr>
            <w:tcW w:w="1138" w:type="dxa"/>
          </w:tcPr>
          <w:p w14:paraId="76775DA3">
            <w:pPr>
              <w:pStyle w:val="4"/>
              <w:jc w:val="center"/>
            </w:pPr>
            <w:r>
              <w:rPr>
                <w:rFonts w:ascii="仿宋_GB2312" w:hAnsi="仿宋_GB2312" w:eastAsia="仿宋_GB2312" w:cs="仿宋_GB2312"/>
              </w:rPr>
              <w:t>数量（计量单位）</w:t>
            </w:r>
          </w:p>
        </w:tc>
        <w:tc>
          <w:tcPr>
            <w:tcW w:w="1365" w:type="dxa"/>
          </w:tcPr>
          <w:p w14:paraId="35B6A4F8">
            <w:pPr>
              <w:pStyle w:val="4"/>
              <w:jc w:val="center"/>
            </w:pPr>
            <w:r>
              <w:rPr>
                <w:rFonts w:ascii="仿宋_GB2312" w:hAnsi="仿宋_GB2312" w:eastAsia="仿宋_GB2312" w:cs="仿宋_GB2312"/>
              </w:rPr>
              <w:t>最高限价</w:t>
            </w:r>
          </w:p>
        </w:tc>
        <w:tc>
          <w:tcPr>
            <w:tcW w:w="1138" w:type="dxa"/>
          </w:tcPr>
          <w:p w14:paraId="43E08D17">
            <w:pPr>
              <w:pStyle w:val="4"/>
              <w:jc w:val="center"/>
            </w:pPr>
            <w:r>
              <w:rPr>
                <w:rFonts w:ascii="仿宋_GB2312" w:hAnsi="仿宋_GB2312" w:eastAsia="仿宋_GB2312" w:cs="仿宋_GB2312"/>
              </w:rPr>
              <w:t>价款形式</w:t>
            </w:r>
          </w:p>
        </w:tc>
        <w:tc>
          <w:tcPr>
            <w:tcW w:w="1934" w:type="dxa"/>
          </w:tcPr>
          <w:p w14:paraId="30947E13">
            <w:pPr>
              <w:pStyle w:val="4"/>
              <w:jc w:val="center"/>
            </w:pPr>
            <w:r>
              <w:rPr>
                <w:rFonts w:ascii="仿宋_GB2312" w:hAnsi="仿宋_GB2312" w:eastAsia="仿宋_GB2312" w:cs="仿宋_GB2312"/>
              </w:rPr>
              <w:t>报价说明</w:t>
            </w:r>
          </w:p>
        </w:tc>
      </w:tr>
      <w:tr w14:paraId="4A0DA4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D587949">
            <w:pPr>
              <w:pStyle w:val="4"/>
              <w:jc w:val="center"/>
            </w:pPr>
            <w:r>
              <w:rPr>
                <w:rFonts w:ascii="仿宋_GB2312" w:hAnsi="仿宋_GB2312" w:eastAsia="仿宋_GB2312" w:cs="仿宋_GB2312"/>
              </w:rPr>
              <w:t>1</w:t>
            </w:r>
          </w:p>
        </w:tc>
        <w:tc>
          <w:tcPr>
            <w:tcW w:w="1707" w:type="dxa"/>
          </w:tcPr>
          <w:p w14:paraId="05F42826">
            <w:pPr>
              <w:pStyle w:val="4"/>
              <w:jc w:val="center"/>
            </w:pPr>
            <w:r>
              <w:rPr>
                <w:rFonts w:ascii="仿宋_GB2312" w:hAnsi="仿宋_GB2312" w:eastAsia="仿宋_GB2312" w:cs="仿宋_GB2312"/>
              </w:rPr>
              <w:t>“铁穹”感知源设备网络运维采购项目</w:t>
            </w:r>
          </w:p>
        </w:tc>
        <w:tc>
          <w:tcPr>
            <w:tcW w:w="1138" w:type="dxa"/>
          </w:tcPr>
          <w:p w14:paraId="6CDA43A6">
            <w:pPr>
              <w:pStyle w:val="4"/>
              <w:jc w:val="center"/>
            </w:pPr>
            <w:r>
              <w:rPr>
                <w:rFonts w:ascii="仿宋_GB2312" w:hAnsi="仿宋_GB2312" w:eastAsia="仿宋_GB2312" w:cs="仿宋_GB2312"/>
              </w:rPr>
              <w:t>1.00（项）</w:t>
            </w:r>
          </w:p>
        </w:tc>
        <w:tc>
          <w:tcPr>
            <w:tcW w:w="1365" w:type="dxa"/>
          </w:tcPr>
          <w:p w14:paraId="1CB863C1">
            <w:pPr>
              <w:pStyle w:val="4"/>
              <w:jc w:val="center"/>
            </w:pPr>
            <w:r>
              <w:rPr>
                <w:rFonts w:ascii="仿宋_GB2312" w:hAnsi="仿宋_GB2312" w:eastAsia="仿宋_GB2312" w:cs="仿宋_GB2312"/>
              </w:rPr>
              <w:t>635,880.00</w:t>
            </w:r>
          </w:p>
        </w:tc>
        <w:tc>
          <w:tcPr>
            <w:tcW w:w="1138" w:type="dxa"/>
          </w:tcPr>
          <w:p w14:paraId="6F619420">
            <w:pPr>
              <w:pStyle w:val="4"/>
              <w:jc w:val="center"/>
            </w:pPr>
            <w:r>
              <w:rPr>
                <w:rFonts w:ascii="仿宋_GB2312" w:hAnsi="仿宋_GB2312" w:eastAsia="仿宋_GB2312" w:cs="仿宋_GB2312"/>
              </w:rPr>
              <w:t>总价</w:t>
            </w:r>
          </w:p>
        </w:tc>
        <w:tc>
          <w:tcPr>
            <w:tcW w:w="1934" w:type="dxa"/>
          </w:tcPr>
          <w:p w14:paraId="50987AA1">
            <w:pPr>
              <w:pStyle w:val="4"/>
              <w:jc w:val="left"/>
            </w:pPr>
            <w:r>
              <w:rPr>
                <w:rFonts w:ascii="仿宋_GB2312" w:hAnsi="仿宋_GB2312" w:eastAsia="仿宋_GB2312" w:cs="仿宋_GB2312"/>
              </w:rPr>
              <w:t>供应商报价应包括服务人员基本工资、管理费、人员保险费、税费所有费用。</w:t>
            </w:r>
          </w:p>
        </w:tc>
      </w:tr>
    </w:tbl>
    <w:p w14:paraId="571A00BF">
      <w:pPr>
        <w:pStyle w:val="4"/>
        <w:ind w:firstLine="480"/>
        <w:jc w:val="left"/>
      </w:pPr>
      <w:r>
        <w:rPr>
          <w:rFonts w:ascii="仿宋_GB2312" w:hAnsi="仿宋_GB2312" w:eastAsia="仿宋_GB2312" w:cs="仿宋_GB2312"/>
        </w:rPr>
        <w:t>★注：本采购包涉及采购货物的，供应商响应产品应当明确品牌和规格型号并指向唯一产品，不能指向唯一产品的，应通过报价表唯一产品说明栏补充说明。</w:t>
      </w:r>
    </w:p>
    <w:p w14:paraId="562B4E75">
      <w:pPr>
        <w:pStyle w:val="4"/>
        <w:jc w:val="left"/>
        <w:outlineLvl w:val="3"/>
      </w:pPr>
      <w:r>
        <w:rPr>
          <w:rFonts w:ascii="仿宋_GB2312" w:hAnsi="仿宋_GB2312" w:eastAsia="仿宋_GB2312" w:cs="仿宋_GB2312"/>
          <w:b/>
          <w:sz w:val="24"/>
        </w:rPr>
        <w:t>本项目涉及核心产品：</w:t>
      </w:r>
    </w:p>
    <w:p w14:paraId="4D93C87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0856E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A98F825">
            <w:pPr>
              <w:pStyle w:val="4"/>
              <w:jc w:val="center"/>
            </w:pPr>
            <w:r>
              <w:rPr>
                <w:rFonts w:ascii="仿宋_GB2312" w:hAnsi="仿宋_GB2312" w:eastAsia="仿宋_GB2312" w:cs="仿宋_GB2312"/>
              </w:rPr>
              <w:t>序号</w:t>
            </w:r>
          </w:p>
        </w:tc>
        <w:tc>
          <w:tcPr>
            <w:tcW w:w="2492" w:type="dxa"/>
          </w:tcPr>
          <w:p w14:paraId="2D04A86E">
            <w:pPr>
              <w:pStyle w:val="4"/>
              <w:jc w:val="center"/>
            </w:pPr>
            <w:r>
              <w:rPr>
                <w:rFonts w:ascii="仿宋_GB2312" w:hAnsi="仿宋_GB2312" w:eastAsia="仿宋_GB2312" w:cs="仿宋_GB2312"/>
              </w:rPr>
              <w:t>采购品目名称</w:t>
            </w:r>
          </w:p>
        </w:tc>
        <w:tc>
          <w:tcPr>
            <w:tcW w:w="2492" w:type="dxa"/>
          </w:tcPr>
          <w:p w14:paraId="39AA1122">
            <w:pPr>
              <w:pStyle w:val="4"/>
              <w:jc w:val="center"/>
            </w:pPr>
            <w:r>
              <w:rPr>
                <w:rFonts w:ascii="仿宋_GB2312" w:hAnsi="仿宋_GB2312" w:eastAsia="仿宋_GB2312" w:cs="仿宋_GB2312"/>
              </w:rPr>
              <w:t>标的名称</w:t>
            </w:r>
          </w:p>
        </w:tc>
        <w:tc>
          <w:tcPr>
            <w:tcW w:w="2492" w:type="dxa"/>
          </w:tcPr>
          <w:p w14:paraId="253351A5">
            <w:pPr>
              <w:pStyle w:val="4"/>
              <w:jc w:val="center"/>
            </w:pPr>
            <w:r>
              <w:rPr>
                <w:rFonts w:ascii="仿宋_GB2312" w:hAnsi="仿宋_GB2312" w:eastAsia="仿宋_GB2312" w:cs="仿宋_GB2312"/>
              </w:rPr>
              <w:t>产品名称</w:t>
            </w:r>
          </w:p>
        </w:tc>
      </w:tr>
      <w:tr w14:paraId="2A1D1E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1CA568E">
            <w:pPr>
              <w:pStyle w:val="4"/>
              <w:jc w:val="center"/>
            </w:pPr>
            <w:r>
              <w:rPr>
                <w:rFonts w:ascii="仿宋_GB2312" w:hAnsi="仿宋_GB2312" w:eastAsia="仿宋_GB2312" w:cs="仿宋_GB2312"/>
              </w:rPr>
              <w:t>不涉及</w:t>
            </w:r>
          </w:p>
        </w:tc>
      </w:tr>
    </w:tbl>
    <w:p w14:paraId="31E9018A">
      <w:pPr>
        <w:pStyle w:val="4"/>
        <w:ind w:firstLine="480"/>
        <w:jc w:val="left"/>
      </w:pPr>
      <w:r>
        <w:rPr>
          <w:rFonts w:ascii="仿宋_GB2312" w:hAnsi="仿宋_GB2312" w:eastAsia="仿宋_GB2312" w:cs="仿宋_GB2312"/>
        </w:rPr>
        <w:t>注：涉及核心产品的，具体评审规定见第五章。</w:t>
      </w:r>
    </w:p>
    <w:p w14:paraId="04EF91BF">
      <w:pPr>
        <w:pStyle w:val="4"/>
        <w:jc w:val="left"/>
        <w:outlineLvl w:val="3"/>
      </w:pPr>
      <w:r>
        <w:rPr>
          <w:rFonts w:ascii="仿宋_GB2312" w:hAnsi="仿宋_GB2312" w:eastAsia="仿宋_GB2312" w:cs="仿宋_GB2312"/>
          <w:b/>
          <w:sz w:val="24"/>
        </w:rPr>
        <w:t>本项目涉及采购进口产品：</w:t>
      </w:r>
    </w:p>
    <w:p w14:paraId="4642DAA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7C9FB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139C3955">
            <w:pPr>
              <w:pStyle w:val="4"/>
              <w:jc w:val="center"/>
            </w:pPr>
            <w:r>
              <w:rPr>
                <w:rFonts w:ascii="仿宋_GB2312" w:hAnsi="仿宋_GB2312" w:eastAsia="仿宋_GB2312" w:cs="仿宋_GB2312"/>
              </w:rPr>
              <w:t>序号</w:t>
            </w:r>
          </w:p>
        </w:tc>
        <w:tc>
          <w:tcPr>
            <w:tcW w:w="2492" w:type="dxa"/>
          </w:tcPr>
          <w:p w14:paraId="04BAB2CD">
            <w:pPr>
              <w:pStyle w:val="4"/>
              <w:jc w:val="center"/>
            </w:pPr>
            <w:r>
              <w:rPr>
                <w:rFonts w:ascii="仿宋_GB2312" w:hAnsi="仿宋_GB2312" w:eastAsia="仿宋_GB2312" w:cs="仿宋_GB2312"/>
              </w:rPr>
              <w:t>采购品目名称</w:t>
            </w:r>
          </w:p>
        </w:tc>
        <w:tc>
          <w:tcPr>
            <w:tcW w:w="2492" w:type="dxa"/>
          </w:tcPr>
          <w:p w14:paraId="3613A740">
            <w:pPr>
              <w:pStyle w:val="4"/>
              <w:jc w:val="center"/>
            </w:pPr>
            <w:r>
              <w:rPr>
                <w:rFonts w:ascii="仿宋_GB2312" w:hAnsi="仿宋_GB2312" w:eastAsia="仿宋_GB2312" w:cs="仿宋_GB2312"/>
              </w:rPr>
              <w:t>标的名称</w:t>
            </w:r>
          </w:p>
        </w:tc>
        <w:tc>
          <w:tcPr>
            <w:tcW w:w="2492" w:type="dxa"/>
          </w:tcPr>
          <w:p w14:paraId="0738855B">
            <w:pPr>
              <w:pStyle w:val="4"/>
              <w:jc w:val="center"/>
            </w:pPr>
            <w:r>
              <w:rPr>
                <w:rFonts w:ascii="仿宋_GB2312" w:hAnsi="仿宋_GB2312" w:eastAsia="仿宋_GB2312" w:cs="仿宋_GB2312"/>
              </w:rPr>
              <w:t>产品名称</w:t>
            </w:r>
          </w:p>
        </w:tc>
      </w:tr>
      <w:tr w14:paraId="512DAF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544D750">
            <w:pPr>
              <w:pStyle w:val="4"/>
              <w:jc w:val="center"/>
            </w:pPr>
            <w:r>
              <w:rPr>
                <w:rFonts w:ascii="仿宋_GB2312" w:hAnsi="仿宋_GB2312" w:eastAsia="仿宋_GB2312" w:cs="仿宋_GB2312"/>
              </w:rPr>
              <w:t>不涉及</w:t>
            </w:r>
          </w:p>
        </w:tc>
      </w:tr>
    </w:tbl>
    <w:p w14:paraId="3DC76C2B">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4FDCA655">
      <w:pPr>
        <w:pStyle w:val="4"/>
        <w:jc w:val="left"/>
        <w:outlineLvl w:val="3"/>
      </w:pPr>
      <w:r>
        <w:rPr>
          <w:rFonts w:ascii="仿宋_GB2312" w:hAnsi="仿宋_GB2312" w:eastAsia="仿宋_GB2312" w:cs="仿宋_GB2312"/>
          <w:b/>
          <w:sz w:val="24"/>
        </w:rPr>
        <w:t>本项目涉及强制采购节能产品：</w:t>
      </w:r>
    </w:p>
    <w:p w14:paraId="55FAAFC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092B2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56A91AC">
            <w:pPr>
              <w:pStyle w:val="4"/>
              <w:jc w:val="center"/>
            </w:pPr>
            <w:r>
              <w:rPr>
                <w:rFonts w:ascii="仿宋_GB2312" w:hAnsi="仿宋_GB2312" w:eastAsia="仿宋_GB2312" w:cs="仿宋_GB2312"/>
              </w:rPr>
              <w:t>序号</w:t>
            </w:r>
          </w:p>
        </w:tc>
        <w:tc>
          <w:tcPr>
            <w:tcW w:w="2492" w:type="dxa"/>
          </w:tcPr>
          <w:p w14:paraId="119F6B64">
            <w:pPr>
              <w:pStyle w:val="4"/>
              <w:jc w:val="center"/>
            </w:pPr>
            <w:r>
              <w:rPr>
                <w:rFonts w:ascii="仿宋_GB2312" w:hAnsi="仿宋_GB2312" w:eastAsia="仿宋_GB2312" w:cs="仿宋_GB2312"/>
              </w:rPr>
              <w:t>采购品目名称</w:t>
            </w:r>
          </w:p>
        </w:tc>
        <w:tc>
          <w:tcPr>
            <w:tcW w:w="2492" w:type="dxa"/>
          </w:tcPr>
          <w:p w14:paraId="6C8E16B1">
            <w:pPr>
              <w:pStyle w:val="4"/>
              <w:jc w:val="center"/>
            </w:pPr>
            <w:r>
              <w:rPr>
                <w:rFonts w:ascii="仿宋_GB2312" w:hAnsi="仿宋_GB2312" w:eastAsia="仿宋_GB2312" w:cs="仿宋_GB2312"/>
              </w:rPr>
              <w:t>标的名称</w:t>
            </w:r>
          </w:p>
        </w:tc>
        <w:tc>
          <w:tcPr>
            <w:tcW w:w="2492" w:type="dxa"/>
          </w:tcPr>
          <w:p w14:paraId="5E4E725A">
            <w:pPr>
              <w:pStyle w:val="4"/>
              <w:jc w:val="center"/>
            </w:pPr>
            <w:r>
              <w:rPr>
                <w:rFonts w:ascii="仿宋_GB2312" w:hAnsi="仿宋_GB2312" w:eastAsia="仿宋_GB2312" w:cs="仿宋_GB2312"/>
              </w:rPr>
              <w:t>产品名称</w:t>
            </w:r>
          </w:p>
        </w:tc>
      </w:tr>
      <w:tr w14:paraId="2E2C34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5F9298F">
            <w:pPr>
              <w:pStyle w:val="4"/>
              <w:jc w:val="center"/>
            </w:pPr>
            <w:r>
              <w:rPr>
                <w:rFonts w:ascii="仿宋_GB2312" w:hAnsi="仿宋_GB2312" w:eastAsia="仿宋_GB2312" w:cs="仿宋_GB2312"/>
              </w:rPr>
              <w:t>不涉及</w:t>
            </w:r>
          </w:p>
        </w:tc>
      </w:tr>
    </w:tbl>
    <w:p w14:paraId="38AC9309">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1C72E619">
      <w:pPr>
        <w:pStyle w:val="4"/>
        <w:jc w:val="left"/>
      </w:pPr>
      <w:r>
        <w:rPr>
          <w:rFonts w:ascii="仿宋_GB2312" w:hAnsi="仿宋_GB2312" w:eastAsia="仿宋_GB2312" w:cs="仿宋_GB2312"/>
          <w:b/>
        </w:rPr>
        <w:t>本项目涉及优先采购节能产品：</w:t>
      </w:r>
    </w:p>
    <w:p w14:paraId="193B0B1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4A9CA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2BA4B2C">
            <w:pPr>
              <w:pStyle w:val="4"/>
              <w:jc w:val="center"/>
            </w:pPr>
            <w:r>
              <w:rPr>
                <w:rFonts w:ascii="仿宋_GB2312" w:hAnsi="仿宋_GB2312" w:eastAsia="仿宋_GB2312" w:cs="仿宋_GB2312"/>
              </w:rPr>
              <w:t>序号</w:t>
            </w:r>
          </w:p>
        </w:tc>
        <w:tc>
          <w:tcPr>
            <w:tcW w:w="2492" w:type="dxa"/>
          </w:tcPr>
          <w:p w14:paraId="39DA09AB">
            <w:pPr>
              <w:pStyle w:val="4"/>
              <w:jc w:val="center"/>
            </w:pPr>
            <w:r>
              <w:rPr>
                <w:rFonts w:ascii="仿宋_GB2312" w:hAnsi="仿宋_GB2312" w:eastAsia="仿宋_GB2312" w:cs="仿宋_GB2312"/>
              </w:rPr>
              <w:t>采购品目名称</w:t>
            </w:r>
          </w:p>
        </w:tc>
        <w:tc>
          <w:tcPr>
            <w:tcW w:w="2492" w:type="dxa"/>
          </w:tcPr>
          <w:p w14:paraId="181C1CD3">
            <w:pPr>
              <w:pStyle w:val="4"/>
              <w:jc w:val="center"/>
            </w:pPr>
            <w:r>
              <w:rPr>
                <w:rFonts w:ascii="仿宋_GB2312" w:hAnsi="仿宋_GB2312" w:eastAsia="仿宋_GB2312" w:cs="仿宋_GB2312"/>
              </w:rPr>
              <w:t>标的名称</w:t>
            </w:r>
          </w:p>
        </w:tc>
        <w:tc>
          <w:tcPr>
            <w:tcW w:w="2492" w:type="dxa"/>
          </w:tcPr>
          <w:p w14:paraId="2F78DF86">
            <w:pPr>
              <w:pStyle w:val="4"/>
              <w:jc w:val="center"/>
            </w:pPr>
            <w:r>
              <w:rPr>
                <w:rFonts w:ascii="仿宋_GB2312" w:hAnsi="仿宋_GB2312" w:eastAsia="仿宋_GB2312" w:cs="仿宋_GB2312"/>
              </w:rPr>
              <w:t>产品名称</w:t>
            </w:r>
          </w:p>
        </w:tc>
      </w:tr>
      <w:tr w14:paraId="6F8413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0D8AF93">
            <w:pPr>
              <w:pStyle w:val="4"/>
              <w:jc w:val="center"/>
            </w:pPr>
            <w:r>
              <w:rPr>
                <w:rFonts w:ascii="仿宋_GB2312" w:hAnsi="仿宋_GB2312" w:eastAsia="仿宋_GB2312" w:cs="仿宋_GB2312"/>
              </w:rPr>
              <w:t>不涉及</w:t>
            </w:r>
          </w:p>
        </w:tc>
      </w:tr>
    </w:tbl>
    <w:p w14:paraId="1B8650CE">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2B5AC1FE">
      <w:pPr>
        <w:pStyle w:val="4"/>
        <w:jc w:val="left"/>
        <w:outlineLvl w:val="3"/>
      </w:pPr>
      <w:r>
        <w:rPr>
          <w:rFonts w:ascii="仿宋_GB2312" w:hAnsi="仿宋_GB2312" w:eastAsia="仿宋_GB2312" w:cs="仿宋_GB2312"/>
          <w:b/>
          <w:sz w:val="24"/>
        </w:rPr>
        <w:t>本项目涉及优先采购环境标志产品：</w:t>
      </w:r>
    </w:p>
    <w:p w14:paraId="47417D0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68465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7C3A635">
            <w:pPr>
              <w:pStyle w:val="4"/>
              <w:jc w:val="center"/>
            </w:pPr>
            <w:r>
              <w:rPr>
                <w:rFonts w:ascii="仿宋_GB2312" w:hAnsi="仿宋_GB2312" w:eastAsia="仿宋_GB2312" w:cs="仿宋_GB2312"/>
              </w:rPr>
              <w:t>序号</w:t>
            </w:r>
          </w:p>
        </w:tc>
        <w:tc>
          <w:tcPr>
            <w:tcW w:w="2492" w:type="dxa"/>
          </w:tcPr>
          <w:p w14:paraId="4128E99E">
            <w:pPr>
              <w:pStyle w:val="4"/>
              <w:jc w:val="center"/>
            </w:pPr>
            <w:r>
              <w:rPr>
                <w:rFonts w:ascii="仿宋_GB2312" w:hAnsi="仿宋_GB2312" w:eastAsia="仿宋_GB2312" w:cs="仿宋_GB2312"/>
              </w:rPr>
              <w:t>采购品目名称</w:t>
            </w:r>
          </w:p>
        </w:tc>
        <w:tc>
          <w:tcPr>
            <w:tcW w:w="2492" w:type="dxa"/>
          </w:tcPr>
          <w:p w14:paraId="63646ABE">
            <w:pPr>
              <w:pStyle w:val="4"/>
              <w:jc w:val="center"/>
            </w:pPr>
            <w:r>
              <w:rPr>
                <w:rFonts w:ascii="仿宋_GB2312" w:hAnsi="仿宋_GB2312" w:eastAsia="仿宋_GB2312" w:cs="仿宋_GB2312"/>
              </w:rPr>
              <w:t>标的名称</w:t>
            </w:r>
          </w:p>
        </w:tc>
        <w:tc>
          <w:tcPr>
            <w:tcW w:w="2492" w:type="dxa"/>
          </w:tcPr>
          <w:p w14:paraId="1314A013">
            <w:pPr>
              <w:pStyle w:val="4"/>
              <w:jc w:val="center"/>
            </w:pPr>
            <w:r>
              <w:rPr>
                <w:rFonts w:ascii="仿宋_GB2312" w:hAnsi="仿宋_GB2312" w:eastAsia="仿宋_GB2312" w:cs="仿宋_GB2312"/>
              </w:rPr>
              <w:t>产品名称</w:t>
            </w:r>
          </w:p>
        </w:tc>
      </w:tr>
      <w:tr w14:paraId="734EC0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FCFCFCF">
            <w:pPr>
              <w:pStyle w:val="4"/>
              <w:jc w:val="center"/>
            </w:pPr>
            <w:r>
              <w:rPr>
                <w:rFonts w:ascii="仿宋_GB2312" w:hAnsi="仿宋_GB2312" w:eastAsia="仿宋_GB2312" w:cs="仿宋_GB2312"/>
              </w:rPr>
              <w:t>不涉及</w:t>
            </w:r>
          </w:p>
        </w:tc>
      </w:tr>
    </w:tbl>
    <w:p w14:paraId="353637CD">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7AFBD419">
      <w:pPr>
        <w:pStyle w:val="4"/>
        <w:jc w:val="left"/>
        <w:outlineLvl w:val="2"/>
      </w:pPr>
      <w:r>
        <w:rPr>
          <w:rFonts w:ascii="仿宋_GB2312" w:hAnsi="仿宋_GB2312" w:eastAsia="仿宋_GB2312" w:cs="仿宋_GB2312"/>
          <w:b/>
          <w:sz w:val="28"/>
        </w:rPr>
        <w:t>3.2.技术要求</w:t>
      </w:r>
    </w:p>
    <w:p w14:paraId="6B07AC58">
      <w:pPr>
        <w:pStyle w:val="4"/>
        <w:jc w:val="left"/>
      </w:pPr>
      <w:r>
        <w:rPr>
          <w:rFonts w:ascii="仿宋_GB2312" w:hAnsi="仿宋_GB2312" w:eastAsia="仿宋_GB2312" w:cs="仿宋_GB2312"/>
        </w:rPr>
        <w:t>采购包1：</w:t>
      </w:r>
    </w:p>
    <w:p w14:paraId="0D8D2DDF">
      <w:pPr>
        <w:pStyle w:val="4"/>
        <w:jc w:val="left"/>
      </w:pPr>
      <w:r>
        <w:rPr>
          <w:rFonts w:ascii="仿宋_GB2312" w:hAnsi="仿宋_GB2312" w:eastAsia="仿宋_GB2312" w:cs="仿宋_GB2312"/>
        </w:rPr>
        <w:t>标的名称：“铁穹”感知源设备网络运维采购项目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C3D1B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D907860">
            <w:pPr>
              <w:pStyle w:val="4"/>
              <w:jc w:val="center"/>
            </w:pPr>
            <w:r>
              <w:rPr>
                <w:rFonts w:ascii="仿宋_GB2312" w:hAnsi="仿宋_GB2312" w:eastAsia="仿宋_GB2312" w:cs="仿宋_GB2312"/>
              </w:rPr>
              <w:t>序号</w:t>
            </w:r>
          </w:p>
        </w:tc>
        <w:tc>
          <w:tcPr>
            <w:tcW w:w="581" w:type="dxa"/>
          </w:tcPr>
          <w:p w14:paraId="1C5D5A60">
            <w:pPr>
              <w:pStyle w:val="4"/>
              <w:jc w:val="center"/>
            </w:pPr>
            <w:r>
              <w:rPr>
                <w:rFonts w:ascii="仿宋_GB2312" w:hAnsi="仿宋_GB2312" w:eastAsia="仿宋_GB2312" w:cs="仿宋_GB2312"/>
              </w:rPr>
              <w:t>符号标识</w:t>
            </w:r>
          </w:p>
        </w:tc>
        <w:tc>
          <w:tcPr>
            <w:tcW w:w="1495" w:type="dxa"/>
          </w:tcPr>
          <w:p w14:paraId="76B7E512">
            <w:pPr>
              <w:pStyle w:val="4"/>
              <w:jc w:val="center"/>
            </w:pPr>
            <w:r>
              <w:rPr>
                <w:rFonts w:ascii="仿宋_GB2312" w:hAnsi="仿宋_GB2312" w:eastAsia="仿宋_GB2312" w:cs="仿宋_GB2312"/>
              </w:rPr>
              <w:t>技术要求名称</w:t>
            </w:r>
          </w:p>
        </w:tc>
        <w:tc>
          <w:tcPr>
            <w:tcW w:w="5814" w:type="dxa"/>
          </w:tcPr>
          <w:p w14:paraId="3E4F249D">
            <w:pPr>
              <w:pStyle w:val="4"/>
              <w:jc w:val="center"/>
            </w:pPr>
            <w:r>
              <w:rPr>
                <w:rFonts w:ascii="仿宋_GB2312" w:hAnsi="仿宋_GB2312" w:eastAsia="仿宋_GB2312" w:cs="仿宋_GB2312"/>
              </w:rPr>
              <w:t>技术参数与性能指标</w:t>
            </w:r>
          </w:p>
        </w:tc>
      </w:tr>
      <w:tr w14:paraId="0DD22C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00BB9A2">
            <w:pPr>
              <w:pStyle w:val="4"/>
              <w:jc w:val="center"/>
            </w:pPr>
            <w:r>
              <w:rPr>
                <w:rFonts w:ascii="仿宋_GB2312" w:hAnsi="仿宋_GB2312" w:eastAsia="仿宋_GB2312" w:cs="仿宋_GB2312"/>
              </w:rPr>
              <w:t>1</w:t>
            </w:r>
          </w:p>
        </w:tc>
        <w:tc>
          <w:tcPr>
            <w:tcW w:w="581" w:type="dxa"/>
          </w:tcPr>
          <w:p w14:paraId="1D98A4F5">
            <w:pPr>
              <w:pStyle w:val="4"/>
              <w:jc w:val="center"/>
            </w:pPr>
            <w:r>
              <w:rPr>
                <w:rFonts w:ascii="仿宋_GB2312" w:hAnsi="仿宋_GB2312" w:eastAsia="仿宋_GB2312" w:cs="仿宋_GB2312"/>
              </w:rPr>
              <w:t>★</w:t>
            </w:r>
          </w:p>
        </w:tc>
        <w:tc>
          <w:tcPr>
            <w:tcW w:w="1495" w:type="dxa"/>
          </w:tcPr>
          <w:p w14:paraId="209D2B0E">
            <w:pPr>
              <w:pStyle w:val="4"/>
              <w:jc w:val="left"/>
            </w:pPr>
            <w:r>
              <w:rPr>
                <w:rFonts w:ascii="仿宋_GB2312" w:hAnsi="仿宋_GB2312" w:eastAsia="仿宋_GB2312" w:cs="仿宋_GB2312"/>
              </w:rPr>
              <w:t>运维项目</w:t>
            </w:r>
          </w:p>
        </w:tc>
        <w:tc>
          <w:tcPr>
            <w:tcW w:w="5814" w:type="dxa"/>
          </w:tcPr>
          <w:p w14:paraId="402A21D9">
            <w:pPr>
              <w:pStyle w:val="4"/>
              <w:ind w:firstLine="560"/>
              <w:jc w:val="left"/>
            </w:pPr>
            <w:r>
              <w:rPr>
                <w:rFonts w:ascii="仿宋_GB2312" w:hAnsi="仿宋_GB2312" w:eastAsia="仿宋_GB2312" w:cs="仿宋_GB2312"/>
                <w:sz w:val="21"/>
              </w:rPr>
              <w:t>1.感知源点位网络链路、电路运维及所产生的网费、电费（含光猫、路由、电缆、网线辅材费用及人工费用）；</w:t>
            </w:r>
          </w:p>
          <w:p w14:paraId="5AC908F4">
            <w:pPr>
              <w:pStyle w:val="4"/>
              <w:ind w:firstLine="560"/>
              <w:jc w:val="left"/>
            </w:pPr>
            <w:r>
              <w:rPr>
                <w:rFonts w:ascii="仿宋_GB2312" w:hAnsi="仿宋_GB2312" w:eastAsia="仿宋_GB2312" w:cs="仿宋_GB2312"/>
                <w:sz w:val="21"/>
              </w:rPr>
              <w:t>2.感知源点位日常维护（含前端设施设备、卡口终端及杆体检修更新、迁移、挡遮物清理、联调联试）；</w:t>
            </w:r>
          </w:p>
          <w:p w14:paraId="01B521D5">
            <w:pPr>
              <w:pStyle w:val="4"/>
              <w:ind w:firstLine="560"/>
              <w:jc w:val="left"/>
            </w:pPr>
            <w:r>
              <w:rPr>
                <w:rFonts w:ascii="仿宋_GB2312" w:hAnsi="仿宋_GB2312" w:eastAsia="仿宋_GB2312" w:cs="仿宋_GB2312"/>
                <w:sz w:val="21"/>
              </w:rPr>
              <w:t>3.感知源点位标识规范喷涂；</w:t>
            </w:r>
          </w:p>
          <w:p w14:paraId="4C635F60">
            <w:pPr>
              <w:pStyle w:val="4"/>
              <w:ind w:firstLine="560"/>
              <w:jc w:val="left"/>
            </w:pPr>
            <w:r>
              <w:rPr>
                <w:rFonts w:ascii="仿宋_GB2312" w:hAnsi="仿宋_GB2312" w:eastAsia="仿宋_GB2312" w:cs="仿宋_GB2312"/>
                <w:sz w:val="21"/>
              </w:rPr>
              <w:t>4.感知源运维其他相关工作。</w:t>
            </w:r>
          </w:p>
          <w:p w14:paraId="5276FDD3">
            <w:pPr>
              <w:pStyle w:val="4"/>
              <w:ind w:firstLine="560"/>
              <w:jc w:val="left"/>
            </w:pPr>
            <w:r>
              <w:rPr>
                <w:rFonts w:ascii="仿宋_GB2312" w:hAnsi="仿宋_GB2312" w:eastAsia="仿宋_GB2312" w:cs="仿宋_GB2312"/>
                <w:sz w:val="21"/>
              </w:rPr>
              <w:t>5.设备数量：一杆 1 机：272个；一杆2 机：17 个；一杆3 机：2 个；视频专网运维、增迁。</w:t>
            </w:r>
          </w:p>
          <w:p w14:paraId="2CA1E765">
            <w:pPr>
              <w:pStyle w:val="4"/>
              <w:jc w:val="left"/>
            </w:pPr>
            <w:r>
              <w:rPr>
                <w:rFonts w:ascii="仿宋_GB2312" w:hAnsi="仿宋_GB2312" w:eastAsia="仿宋_GB2312" w:cs="仿宋_GB2312"/>
                <w:sz w:val="21"/>
              </w:rPr>
              <w:t xml:space="preserve">   6.此项目总计费用63.588万元。</w:t>
            </w:r>
          </w:p>
          <w:p w14:paraId="6847EA5E">
            <w:pPr>
              <w:pStyle w:val="4"/>
              <w:jc w:val="left"/>
            </w:pPr>
            <w:r>
              <w:rPr>
                <w:rFonts w:ascii="仿宋_GB2312" w:hAnsi="仿宋_GB2312" w:eastAsia="仿宋_GB2312" w:cs="仿宋_GB2312"/>
                <w:sz w:val="21"/>
              </w:rPr>
              <w:t xml:space="preserve">   7.运维时间：自签订合同之日起12个月。</w:t>
            </w:r>
          </w:p>
        </w:tc>
      </w:tr>
      <w:tr w14:paraId="33A65C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842B991">
            <w:pPr>
              <w:pStyle w:val="4"/>
              <w:jc w:val="center"/>
            </w:pPr>
            <w:r>
              <w:rPr>
                <w:rFonts w:ascii="仿宋_GB2312" w:hAnsi="仿宋_GB2312" w:eastAsia="仿宋_GB2312" w:cs="仿宋_GB2312"/>
              </w:rPr>
              <w:t>2</w:t>
            </w:r>
          </w:p>
        </w:tc>
        <w:tc>
          <w:tcPr>
            <w:tcW w:w="581" w:type="dxa"/>
          </w:tcPr>
          <w:p w14:paraId="041DEAD3">
            <w:pPr>
              <w:pStyle w:val="4"/>
              <w:jc w:val="center"/>
            </w:pPr>
            <w:r>
              <w:rPr>
                <w:rFonts w:ascii="仿宋_GB2312" w:hAnsi="仿宋_GB2312" w:eastAsia="仿宋_GB2312" w:cs="仿宋_GB2312"/>
              </w:rPr>
              <w:t>★</w:t>
            </w:r>
          </w:p>
        </w:tc>
        <w:tc>
          <w:tcPr>
            <w:tcW w:w="1495" w:type="dxa"/>
          </w:tcPr>
          <w:p w14:paraId="16D942CA">
            <w:pPr>
              <w:pStyle w:val="4"/>
              <w:jc w:val="left"/>
            </w:pPr>
            <w:r>
              <w:rPr>
                <w:rFonts w:ascii="仿宋_GB2312" w:hAnsi="仿宋_GB2312" w:eastAsia="仿宋_GB2312" w:cs="仿宋_GB2312"/>
              </w:rPr>
              <w:t>运维要求</w:t>
            </w:r>
          </w:p>
        </w:tc>
        <w:tc>
          <w:tcPr>
            <w:tcW w:w="5814" w:type="dxa"/>
          </w:tcPr>
          <w:p w14:paraId="6B2F5B47">
            <w:pPr>
              <w:pStyle w:val="4"/>
              <w:ind w:firstLine="560"/>
              <w:jc w:val="both"/>
            </w:pPr>
            <w:r>
              <w:rPr>
                <w:rFonts w:ascii="仿宋_GB2312" w:hAnsi="仿宋_GB2312" w:eastAsia="仿宋_GB2312" w:cs="仿宋_GB2312"/>
                <w:sz w:val="21"/>
              </w:rPr>
              <w:t>1.各感知源点位杆体视频专网带宽不低于800MB/s，并由供应商提供相关纸质证明文件给采购人存档备查。</w:t>
            </w:r>
          </w:p>
          <w:p w14:paraId="1C2C1841">
            <w:pPr>
              <w:pStyle w:val="4"/>
              <w:ind w:firstLine="560"/>
              <w:jc w:val="both"/>
            </w:pPr>
            <w:r>
              <w:rPr>
                <w:rFonts w:ascii="仿宋_GB2312" w:hAnsi="仿宋_GB2312" w:eastAsia="仿宋_GB2312" w:cs="仿宋_GB2312"/>
                <w:sz w:val="21"/>
              </w:rPr>
              <w:t>2.供应商要保证“一杆一电一表一链路”的运维要求，保障各感知源点位设备正常运转，确保各感知源点位正常查看、调取。同时应建立健全定期巡检制度及巡检台账备查，确保“杆、电、网”的安全，防止出现因杆体倒塌、电路漏电隐患而引发的安全事故，若因巡检维修不及时造成的安全事故，责任由供应商承担。</w:t>
            </w:r>
          </w:p>
          <w:p w14:paraId="239CD000">
            <w:pPr>
              <w:pStyle w:val="4"/>
              <w:ind w:firstLine="560"/>
              <w:jc w:val="both"/>
            </w:pPr>
            <w:r>
              <w:rPr>
                <w:rFonts w:ascii="仿宋_GB2312" w:hAnsi="仿宋_GB2312" w:eastAsia="仿宋_GB2312" w:cs="仿宋_GB2312"/>
                <w:sz w:val="21"/>
              </w:rPr>
              <w:t>3.对于感知源点位故障，提供7×24小时服务，承诺设备出现故障时，在30分钟内对采购人所提出的维修要求做出响应，并确保城区内应在30分钟内到达现场处置，城区外偏远地区3小时内到达现场处置，并提供现场水印照片，未提供照片的点位视为未响应。前端设备如需返厂维修或维修时间较长，则须在48小时内提供同型号备用设备更换确保点位在线。</w:t>
            </w:r>
          </w:p>
          <w:p w14:paraId="62987BB0">
            <w:pPr>
              <w:pStyle w:val="4"/>
              <w:ind w:firstLine="560"/>
              <w:jc w:val="both"/>
            </w:pPr>
            <w:r>
              <w:rPr>
                <w:rFonts w:ascii="仿宋_GB2312" w:hAnsi="仿宋_GB2312" w:eastAsia="仿宋_GB2312" w:cs="仿宋_GB2312"/>
                <w:sz w:val="21"/>
              </w:rPr>
              <w:t>4.供应商当年出现3次运维不及时或2次违规操作造成公安专网、视频专网“一机两用”预警被上级公安机关通报考核的，采购人有权中止服务合同（协议），造成数据泄露或安全事故的追究供应商相关法律责任。</w:t>
            </w:r>
          </w:p>
          <w:p w14:paraId="5DF9B99F">
            <w:pPr>
              <w:pStyle w:val="4"/>
              <w:ind w:firstLine="560"/>
              <w:jc w:val="both"/>
            </w:pPr>
            <w:r>
              <w:rPr>
                <w:rFonts w:ascii="仿宋_GB2312" w:hAnsi="仿宋_GB2312" w:eastAsia="仿宋_GB2312" w:cs="仿宋_GB2312"/>
                <w:sz w:val="21"/>
              </w:rPr>
              <w:t>5.在运维过程中，辅材耗损由供应商购置更换，主要设备（不含机房设施设备、城际系统、图码联侦设备）耗损（含老旧更新、自然损坏）经维修后仍无法恢复的由供应商负责购置更换并承担所需费用，更换设备应符合GB35114-2017标准，经费标准不超过年度总经费5%，每年度根据实际耗损情况由采购人提出更新需求。</w:t>
            </w:r>
          </w:p>
          <w:p w14:paraId="096BF458">
            <w:pPr>
              <w:pStyle w:val="4"/>
              <w:ind w:firstLine="560"/>
              <w:jc w:val="both"/>
            </w:pPr>
            <w:r>
              <w:rPr>
                <w:rFonts w:ascii="仿宋_GB2312" w:hAnsi="仿宋_GB2312" w:eastAsia="仿宋_GB2312" w:cs="仿宋_GB2312"/>
                <w:sz w:val="21"/>
              </w:rPr>
              <w:t>6.供应商需提供专业运维团队负责日常保障，包含运维人数、运维人员专业资质、运维区域划分详细方案并签订保密协议。</w:t>
            </w:r>
          </w:p>
          <w:p w14:paraId="534C5C16">
            <w:pPr>
              <w:pStyle w:val="4"/>
              <w:ind w:firstLine="560"/>
              <w:jc w:val="both"/>
            </w:pPr>
            <w:r>
              <w:rPr>
                <w:rFonts w:ascii="仿宋_GB2312" w:hAnsi="仿宋_GB2312" w:eastAsia="仿宋_GB2312" w:cs="仿宋_GB2312"/>
                <w:sz w:val="21"/>
              </w:rPr>
              <w:t>7.运维期间，采购人的派出机构或部门需要迁建视频专网的，由供应商负责相关事宜处理并承担迁建所产生的费用，采购人不再支付任何费用。</w:t>
            </w:r>
          </w:p>
          <w:p w14:paraId="7A588E9C">
            <w:pPr>
              <w:pStyle w:val="4"/>
              <w:ind w:firstLine="560"/>
              <w:jc w:val="both"/>
            </w:pPr>
            <w:r>
              <w:rPr>
                <w:rFonts w:ascii="仿宋_GB2312" w:hAnsi="仿宋_GB2312" w:eastAsia="仿宋_GB2312" w:cs="仿宋_GB2312"/>
                <w:sz w:val="21"/>
              </w:rPr>
              <w:t>8.若遇市政、交通建设需要进行点位搬迁，服务包括：点位拆除、新点位基础制作、新点位供电、设备调试，搬迁比列不超过运维点位总数的10%，搬迁所产生的费用全部由供应商承担，采购人不再支付任何费用。</w:t>
            </w:r>
          </w:p>
          <w:p w14:paraId="5E90B43D">
            <w:pPr>
              <w:pStyle w:val="4"/>
              <w:ind w:firstLine="560"/>
              <w:jc w:val="both"/>
            </w:pPr>
            <w:r>
              <w:rPr>
                <w:rFonts w:ascii="仿宋_GB2312" w:hAnsi="仿宋_GB2312" w:eastAsia="仿宋_GB2312" w:cs="仿宋_GB2312"/>
                <w:sz w:val="21"/>
              </w:rPr>
              <w:t>9.供应商需在感知源日常维护服务中向采购人提供首位优先级服务响应，响应内容包括：优先业务咨询、优先业务受理、优先故障申告、优先技术支持。在重大安保或时间节点期间根据采购人需求安排维保人员24小时待命值守。</w:t>
            </w:r>
          </w:p>
          <w:p w14:paraId="6015C403">
            <w:pPr>
              <w:pStyle w:val="4"/>
              <w:jc w:val="left"/>
            </w:pPr>
            <w:r>
              <w:rPr>
                <w:rFonts w:ascii="仿宋_GB2312" w:hAnsi="仿宋_GB2312" w:eastAsia="仿宋_GB2312" w:cs="仿宋_GB2312"/>
                <w:sz w:val="21"/>
              </w:rPr>
              <w:t xml:space="preserve">   10.运维期间，前端感知源设备和杆体由供应商负责保管并建立管理台账备查，对于设备因受到外力（如灾害天气、车辆碰撞、偷盗、人为破坏）影响造成的故障，应在故障发生 4 小时内消除安全隐患并在 72 小时内完成故障修复。因人为造成前端感知源损坏、遗失的，供应商应优先及时恢复故障点位，确保点位在线，并负责处理相关事项依法依规向肇事方进行追偿。</w:t>
            </w:r>
          </w:p>
        </w:tc>
      </w:tr>
      <w:tr w14:paraId="1B8CAA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18C9C39">
            <w:pPr>
              <w:pStyle w:val="4"/>
              <w:jc w:val="center"/>
            </w:pPr>
            <w:r>
              <w:rPr>
                <w:rFonts w:ascii="仿宋_GB2312" w:hAnsi="仿宋_GB2312" w:eastAsia="仿宋_GB2312" w:cs="仿宋_GB2312"/>
              </w:rPr>
              <w:t>3</w:t>
            </w:r>
          </w:p>
        </w:tc>
        <w:tc>
          <w:tcPr>
            <w:tcW w:w="581" w:type="dxa"/>
          </w:tcPr>
          <w:p w14:paraId="17238890">
            <w:pPr>
              <w:pStyle w:val="4"/>
              <w:jc w:val="center"/>
            </w:pPr>
            <w:r>
              <w:rPr>
                <w:rFonts w:ascii="仿宋_GB2312" w:hAnsi="仿宋_GB2312" w:eastAsia="仿宋_GB2312" w:cs="仿宋_GB2312"/>
              </w:rPr>
              <w:t>★</w:t>
            </w:r>
          </w:p>
        </w:tc>
        <w:tc>
          <w:tcPr>
            <w:tcW w:w="1495" w:type="dxa"/>
          </w:tcPr>
          <w:p w14:paraId="3FDC1CC8">
            <w:pPr>
              <w:pStyle w:val="4"/>
              <w:jc w:val="left"/>
            </w:pPr>
            <w:r>
              <w:rPr>
                <w:rFonts w:ascii="仿宋_GB2312" w:hAnsi="仿宋_GB2312" w:eastAsia="仿宋_GB2312" w:cs="仿宋_GB2312"/>
              </w:rPr>
              <w:t>考核要求</w:t>
            </w:r>
          </w:p>
        </w:tc>
        <w:tc>
          <w:tcPr>
            <w:tcW w:w="5814" w:type="dxa"/>
          </w:tcPr>
          <w:p w14:paraId="7A6E0894">
            <w:pPr>
              <w:pStyle w:val="4"/>
              <w:ind w:firstLine="560"/>
              <w:jc w:val="both"/>
            </w:pPr>
            <w:r>
              <w:rPr>
                <w:rFonts w:ascii="仿宋_GB2312" w:hAnsi="仿宋_GB2312" w:eastAsia="仿宋_GB2312" w:cs="仿宋_GB2312"/>
                <w:sz w:val="21"/>
              </w:rPr>
              <w:t>1.“铁穹”感知源项目点位总体在线率标准为不低于98%每月，其中参与部、省、市考核点位在线率标准为98%每月，以采购人每月感知源运维通报为准，未达标扣除0.5万元/次的服务费。</w:t>
            </w:r>
          </w:p>
          <w:p w14:paraId="36808B13">
            <w:pPr>
              <w:pStyle w:val="4"/>
              <w:ind w:firstLine="560"/>
              <w:jc w:val="both"/>
            </w:pPr>
            <w:r>
              <w:rPr>
                <w:rFonts w:ascii="仿宋_GB2312" w:hAnsi="仿宋_GB2312" w:eastAsia="仿宋_GB2312" w:cs="仿宋_GB2312"/>
                <w:sz w:val="21"/>
              </w:rPr>
              <w:t>2.因前端点位摄像头严重脏污、严重遮挡、图像模糊、偏移正常拍摄角度、闪光灯应亮未亮影响正常使用的情况，供应商应在接到采购人通知后需在24小时内完成整改并提供现场整改照片佐证，未提供整改照片的视为未整改，超出24小时未整改完成的按照500元/天/点从服务费中扣除，直至整改完成。</w:t>
            </w:r>
          </w:p>
          <w:p w14:paraId="0FF27462">
            <w:pPr>
              <w:pStyle w:val="4"/>
              <w:ind w:firstLine="560"/>
              <w:jc w:val="both"/>
            </w:pPr>
            <w:r>
              <w:rPr>
                <w:rFonts w:ascii="仿宋_GB2312" w:hAnsi="仿宋_GB2312" w:eastAsia="仿宋_GB2312" w:cs="仿宋_GB2312"/>
                <w:sz w:val="21"/>
              </w:rPr>
              <w:t>3.供应商在建设和维护过程中，造成视频专网、公安网外联影响信息系统和网络安全的违规行为，经四川省公安厅发现并通报的，一次扣除本年度服务费人民币5万元，经公安部发现并通报的，一次扣除本年度服务费人民币10万元。违规行为造成数据信息泄露或其他严重后果的、故意人为进行破坏的，将移交司法机关按照国家法律法规进行处理。</w:t>
            </w:r>
          </w:p>
          <w:p w14:paraId="30DA8D51">
            <w:pPr>
              <w:pStyle w:val="4"/>
              <w:ind w:firstLine="560"/>
              <w:jc w:val="both"/>
            </w:pPr>
            <w:r>
              <w:rPr>
                <w:rFonts w:ascii="仿宋_GB2312" w:hAnsi="仿宋_GB2312" w:eastAsia="仿宋_GB2312" w:cs="仿宋_GB2312"/>
                <w:sz w:val="21"/>
              </w:rPr>
              <w:t>4.未按运维要求“一杆一电一表一链路”标准执行的，一经发现由采购人提出限期整改通知书，未在规定期限内按照要求进行整改的，按照1000元/点/天扣除服务费。未按要求进行巡检、隐患排查整治从而引发安全事故的，一次扣除服务费0.2万元/点，若因此造成恶劣影响的，采购人有权利单方面终止相关的运维合同，并追究供应商相关责任人的法律责任。</w:t>
            </w:r>
          </w:p>
          <w:p w14:paraId="4D189E23">
            <w:pPr>
              <w:pStyle w:val="4"/>
              <w:ind w:firstLine="560"/>
              <w:jc w:val="both"/>
            </w:pPr>
            <w:r>
              <w:rPr>
                <w:rFonts w:ascii="仿宋_GB2312" w:hAnsi="仿宋_GB2312" w:eastAsia="仿宋_GB2312" w:cs="仿宋_GB2312"/>
                <w:sz w:val="21"/>
              </w:rPr>
              <w:t>5.未按运维要求感知源点位杆体视频专网带宽不低于800MB/s规定的，由采购人提出限期整改通知，未在整改期限内按要求予以整改的，超出时间按1000元/点/天扣除服务费。</w:t>
            </w:r>
          </w:p>
          <w:p w14:paraId="625E5203">
            <w:pPr>
              <w:pStyle w:val="4"/>
              <w:ind w:firstLine="560"/>
              <w:jc w:val="both"/>
            </w:pPr>
            <w:r>
              <w:rPr>
                <w:rFonts w:ascii="仿宋_GB2312" w:hAnsi="仿宋_GB2312" w:eastAsia="仿宋_GB2312" w:cs="仿宋_GB2312"/>
                <w:sz w:val="21"/>
              </w:rPr>
              <w:t>6.违反运维要求未在规定时间内到达故障点位现场进行处置的，按照50元/点/时扣除服务费；离线时长超过2天（含2天）的按1000元/点/天扣除服务费，直至整改完成。</w:t>
            </w:r>
          </w:p>
          <w:p w14:paraId="382E2133">
            <w:pPr>
              <w:pStyle w:val="4"/>
              <w:ind w:firstLine="560"/>
              <w:jc w:val="both"/>
            </w:pPr>
            <w:r>
              <w:rPr>
                <w:rFonts w:ascii="仿宋_GB2312" w:hAnsi="仿宋_GB2312" w:eastAsia="仿宋_GB2312" w:cs="仿宋_GB2312"/>
                <w:sz w:val="21"/>
              </w:rPr>
              <w:t>7.采购人在运用感知源应用进行案件侦办、警情处置突发案事件时，因前端感知源设备离线或损坏，造成无法调取相关周边地域监控视频的，从离线时间起按照500元/点/天扣除服务费。</w:t>
            </w:r>
          </w:p>
          <w:p w14:paraId="3344021A">
            <w:pPr>
              <w:pStyle w:val="4"/>
              <w:ind w:firstLine="560"/>
              <w:jc w:val="both"/>
            </w:pPr>
            <w:r>
              <w:rPr>
                <w:rFonts w:ascii="仿宋_GB2312" w:hAnsi="仿宋_GB2312" w:eastAsia="仿宋_GB2312" w:cs="仿宋_GB2312"/>
                <w:sz w:val="21"/>
              </w:rPr>
              <w:t>8.感知源设备因受到外力（如灾害天气、车辆碰撞、偷盗、人为破坏）影响造成故障的，供应商未在故障发生的4小时内消除安全隐患的，超出时间按照100元/点/时扣除服务费，若因安全隐患消除不及时，造成二次安全事故的责任由供应商承担；未在72 小时内完成故障修复的，超出时间按照200元/点/时扣除服务费。</w:t>
            </w:r>
          </w:p>
          <w:p w14:paraId="35F09FDF">
            <w:pPr>
              <w:pStyle w:val="4"/>
              <w:ind w:firstLine="560"/>
              <w:jc w:val="both"/>
            </w:pPr>
            <w:r>
              <w:rPr>
                <w:rFonts w:ascii="仿宋_GB2312" w:hAnsi="仿宋_GB2312" w:eastAsia="仿宋_GB2312" w:cs="仿宋_GB2312"/>
                <w:sz w:val="21"/>
              </w:rPr>
              <w:t>9.感知源前端设备因供应商保管不善，造成设备遗失、损坏且无法维修的，由供应商负责购买相同标准型号的设备进行替换、安装、调试并承担所需的费用，若损坏能维修的则由供应商负责该设备的送修、安装、调试并承担所产生的费用。</w:t>
            </w:r>
          </w:p>
          <w:p w14:paraId="1EF43E3B">
            <w:pPr>
              <w:pStyle w:val="4"/>
              <w:ind w:firstLine="560"/>
              <w:jc w:val="both"/>
            </w:pPr>
            <w:r>
              <w:rPr>
                <w:rFonts w:ascii="仿宋_GB2312" w:hAnsi="仿宋_GB2312" w:eastAsia="仿宋_GB2312" w:cs="仿宋_GB2312"/>
                <w:sz w:val="21"/>
              </w:rPr>
              <w:t>10.供应商在运维期间，未按要求对感知源设备进行安全隐患排查、巡检的，按照1000元/点/次扣除服务费。未建立感知源应急预案、安全隐患排查方案及巡检相关台账的，经采购人提出后不立即进行整改的，扣除0.2万元的服务费。若一直不进行整改的，采购人有权利单方面终止相关运维合同。</w:t>
            </w:r>
          </w:p>
          <w:p w14:paraId="564361C8">
            <w:pPr>
              <w:pStyle w:val="4"/>
              <w:ind w:firstLine="560"/>
              <w:jc w:val="both"/>
            </w:pPr>
            <w:r>
              <w:rPr>
                <w:rFonts w:ascii="仿宋_GB2312" w:hAnsi="仿宋_GB2312" w:eastAsia="仿宋_GB2312" w:cs="仿宋_GB2312"/>
                <w:sz w:val="21"/>
              </w:rPr>
              <w:t>11.供应商在运维期间未按要求向采购人提供首位优先级服务响应或在重大安保和时间节点期间未根据采购人需求安排维保人员24小时待命值守的，一次扣除0.2万元服务费；若因服务响应不及时、在重大安保或时间节点期间未根据采购人需求安排维保人员24小时待命值守、值守维保人员脱岗离岗履职不到位，造成重大安全事件无相关视频监控支撑的，一次扣除本年度服务费人民币2万元。</w:t>
            </w:r>
          </w:p>
          <w:p w14:paraId="34A44B86">
            <w:pPr>
              <w:pStyle w:val="4"/>
              <w:jc w:val="left"/>
            </w:pPr>
            <w:r>
              <w:rPr>
                <w:rFonts w:ascii="仿宋_GB2312" w:hAnsi="仿宋_GB2312" w:eastAsia="仿宋_GB2312" w:cs="仿宋_GB2312"/>
                <w:sz w:val="21"/>
              </w:rPr>
              <w:t xml:space="preserve">   12.供应商在运维期间若未按运维要求建立健全相关巡检制度及巡检台账备查的，经采购人提出整改要求后，未在规定期限内进行整改的扣除服务费0.5万元/次。</w:t>
            </w:r>
          </w:p>
        </w:tc>
      </w:tr>
      <w:tr w14:paraId="3C3861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3A866FE">
            <w:pPr>
              <w:pStyle w:val="4"/>
              <w:jc w:val="center"/>
            </w:pPr>
            <w:r>
              <w:rPr>
                <w:rFonts w:ascii="仿宋_GB2312" w:hAnsi="仿宋_GB2312" w:eastAsia="仿宋_GB2312" w:cs="仿宋_GB2312"/>
              </w:rPr>
              <w:t>4</w:t>
            </w:r>
          </w:p>
        </w:tc>
        <w:tc>
          <w:tcPr>
            <w:tcW w:w="581" w:type="dxa"/>
          </w:tcPr>
          <w:p w14:paraId="6B9FAEBD"/>
        </w:tc>
        <w:tc>
          <w:tcPr>
            <w:tcW w:w="1495" w:type="dxa"/>
          </w:tcPr>
          <w:p w14:paraId="5EB4B1F5">
            <w:pPr>
              <w:pStyle w:val="4"/>
              <w:jc w:val="left"/>
            </w:pPr>
            <w:r>
              <w:rPr>
                <w:rFonts w:ascii="仿宋_GB2312" w:hAnsi="仿宋_GB2312" w:eastAsia="仿宋_GB2312" w:cs="仿宋_GB2312"/>
              </w:rPr>
              <w:t>其他要求</w:t>
            </w:r>
          </w:p>
        </w:tc>
        <w:tc>
          <w:tcPr>
            <w:tcW w:w="5814" w:type="dxa"/>
          </w:tcPr>
          <w:p w14:paraId="2D4FA799">
            <w:pPr>
              <w:pStyle w:val="4"/>
              <w:ind w:firstLine="560"/>
              <w:jc w:val="both"/>
            </w:pPr>
            <w:r>
              <w:rPr>
                <w:rFonts w:ascii="仿宋_GB2312" w:hAnsi="仿宋_GB2312" w:eastAsia="仿宋_GB2312" w:cs="仿宋_GB2312"/>
                <w:sz w:val="21"/>
              </w:rPr>
              <w:t xml:space="preserve">1.供应商针对本项目提供维保方案，包括：①项目实施计划；②进度计划及保障措施；③安全保障措施；④服务承诺。 </w:t>
            </w:r>
          </w:p>
          <w:p w14:paraId="5B4598E6">
            <w:pPr>
              <w:pStyle w:val="4"/>
              <w:ind w:firstLine="560"/>
              <w:jc w:val="both"/>
            </w:pPr>
            <w:r>
              <w:rPr>
                <w:rFonts w:ascii="仿宋_GB2312" w:hAnsi="仿宋_GB2312" w:eastAsia="仿宋_GB2312" w:cs="仿宋_GB2312"/>
                <w:sz w:val="21"/>
              </w:rPr>
              <w:t>2.供应商针对本项目提供应急预案，包括：①突发地质灾害应急措施；②应急拉动演练；③停电断网应急处理措施；④消防处理措施。</w:t>
            </w:r>
          </w:p>
          <w:p w14:paraId="5777E2BC">
            <w:pPr>
              <w:pStyle w:val="4"/>
              <w:ind w:firstLine="560"/>
              <w:jc w:val="both"/>
            </w:pPr>
            <w:r>
              <w:rPr>
                <w:rFonts w:ascii="仿宋_GB2312" w:hAnsi="仿宋_GB2312" w:eastAsia="仿宋_GB2312" w:cs="仿宋_GB2312"/>
                <w:sz w:val="21"/>
              </w:rPr>
              <w:t>3.供应商针对本项目提供服务方案，包括：①服务响应；②问题解决措施（常见问题处理措施、应急问题处理机制）③服务机构、培训。</w:t>
            </w:r>
          </w:p>
          <w:p w14:paraId="05A39CFE">
            <w:pPr>
              <w:pStyle w:val="4"/>
              <w:ind w:firstLine="560"/>
              <w:jc w:val="both"/>
            </w:pPr>
            <w:r>
              <w:rPr>
                <w:rFonts w:ascii="仿宋_GB2312" w:hAnsi="仿宋_GB2312" w:eastAsia="仿宋_GB2312" w:cs="仿宋_GB2312"/>
                <w:sz w:val="21"/>
              </w:rPr>
              <w:t>4.供应商应为本项目配置项目经理、技术负责人和项目团队。</w:t>
            </w:r>
          </w:p>
          <w:p w14:paraId="77B5D550">
            <w:pPr>
              <w:pStyle w:val="4"/>
              <w:jc w:val="left"/>
            </w:pPr>
            <w:r>
              <w:rPr>
                <w:rFonts w:ascii="仿宋_GB2312" w:hAnsi="仿宋_GB2312" w:eastAsia="仿宋_GB2312" w:cs="仿宋_GB2312"/>
                <w:sz w:val="21"/>
              </w:rPr>
              <w:t xml:space="preserve">   5.供应商需自行配备相关运维设备。</w:t>
            </w:r>
          </w:p>
        </w:tc>
      </w:tr>
    </w:tbl>
    <w:p w14:paraId="44567F57">
      <w:pPr>
        <w:pStyle w:val="4"/>
        <w:jc w:val="left"/>
        <w:outlineLvl w:val="2"/>
      </w:pPr>
      <w:r>
        <w:rPr>
          <w:rFonts w:ascii="仿宋_GB2312" w:hAnsi="仿宋_GB2312" w:eastAsia="仿宋_GB2312" w:cs="仿宋_GB2312"/>
          <w:b/>
          <w:sz w:val="28"/>
        </w:rPr>
        <w:t>3.3.服务要求</w:t>
      </w:r>
    </w:p>
    <w:p w14:paraId="76A561A3">
      <w:pPr>
        <w:pStyle w:val="4"/>
        <w:jc w:val="left"/>
        <w:outlineLvl w:val="3"/>
      </w:pPr>
      <w:r>
        <w:rPr>
          <w:rFonts w:ascii="仿宋_GB2312" w:hAnsi="仿宋_GB2312" w:eastAsia="仿宋_GB2312" w:cs="仿宋_GB2312"/>
          <w:b/>
          <w:sz w:val="24"/>
        </w:rPr>
        <w:t>3.3.1服务内容要求</w:t>
      </w:r>
    </w:p>
    <w:p w14:paraId="6E48B57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66E62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FE63FB8">
            <w:pPr>
              <w:pStyle w:val="4"/>
              <w:jc w:val="center"/>
            </w:pPr>
            <w:r>
              <w:rPr>
                <w:rFonts w:ascii="仿宋_GB2312" w:hAnsi="仿宋_GB2312" w:eastAsia="仿宋_GB2312" w:cs="仿宋_GB2312"/>
              </w:rPr>
              <w:t xml:space="preserve"> 序号</w:t>
            </w:r>
          </w:p>
        </w:tc>
        <w:tc>
          <w:tcPr>
            <w:tcW w:w="581" w:type="dxa"/>
          </w:tcPr>
          <w:p w14:paraId="593DF383">
            <w:pPr>
              <w:pStyle w:val="4"/>
              <w:jc w:val="center"/>
            </w:pPr>
            <w:r>
              <w:rPr>
                <w:rFonts w:ascii="仿宋_GB2312" w:hAnsi="仿宋_GB2312" w:eastAsia="仿宋_GB2312" w:cs="仿宋_GB2312"/>
              </w:rPr>
              <w:t xml:space="preserve"> 符号标识</w:t>
            </w:r>
          </w:p>
        </w:tc>
        <w:tc>
          <w:tcPr>
            <w:tcW w:w="1495" w:type="dxa"/>
          </w:tcPr>
          <w:p w14:paraId="793361B5">
            <w:pPr>
              <w:pStyle w:val="4"/>
              <w:jc w:val="center"/>
            </w:pPr>
            <w:r>
              <w:rPr>
                <w:rFonts w:ascii="仿宋_GB2312" w:hAnsi="仿宋_GB2312" w:eastAsia="仿宋_GB2312" w:cs="仿宋_GB2312"/>
              </w:rPr>
              <w:t xml:space="preserve"> 服务要求名称</w:t>
            </w:r>
          </w:p>
        </w:tc>
        <w:tc>
          <w:tcPr>
            <w:tcW w:w="5814" w:type="dxa"/>
          </w:tcPr>
          <w:p w14:paraId="0E3BAEC3">
            <w:pPr>
              <w:pStyle w:val="4"/>
              <w:jc w:val="center"/>
            </w:pPr>
            <w:r>
              <w:rPr>
                <w:rFonts w:ascii="仿宋_GB2312" w:hAnsi="仿宋_GB2312" w:eastAsia="仿宋_GB2312" w:cs="仿宋_GB2312"/>
              </w:rPr>
              <w:t xml:space="preserve"> 服务要求内容</w:t>
            </w:r>
          </w:p>
        </w:tc>
      </w:tr>
      <w:tr w14:paraId="28DA6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3AE531CD">
            <w:pPr>
              <w:pStyle w:val="4"/>
              <w:jc w:val="center"/>
            </w:pPr>
            <w:r>
              <w:rPr>
                <w:rFonts w:ascii="仿宋_GB2312" w:hAnsi="仿宋_GB2312" w:eastAsia="仿宋_GB2312" w:cs="仿宋_GB2312"/>
              </w:rPr>
              <w:t>无</w:t>
            </w:r>
          </w:p>
        </w:tc>
      </w:tr>
    </w:tbl>
    <w:p w14:paraId="5DF6C130">
      <w:pPr>
        <w:pStyle w:val="4"/>
        <w:jc w:val="left"/>
        <w:outlineLvl w:val="3"/>
      </w:pPr>
      <w:r>
        <w:rPr>
          <w:rFonts w:ascii="仿宋_GB2312" w:hAnsi="仿宋_GB2312" w:eastAsia="仿宋_GB2312" w:cs="仿宋_GB2312"/>
          <w:b/>
          <w:sz w:val="24"/>
        </w:rPr>
        <w:t>3.3.2.商务要求</w:t>
      </w:r>
    </w:p>
    <w:p w14:paraId="58BE410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BC470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BB1B15F">
            <w:pPr>
              <w:pStyle w:val="4"/>
              <w:jc w:val="center"/>
            </w:pPr>
            <w:r>
              <w:rPr>
                <w:rFonts w:ascii="仿宋_GB2312" w:hAnsi="仿宋_GB2312" w:eastAsia="仿宋_GB2312" w:cs="仿宋_GB2312"/>
              </w:rPr>
              <w:t>序号</w:t>
            </w:r>
          </w:p>
        </w:tc>
        <w:tc>
          <w:tcPr>
            <w:tcW w:w="581" w:type="dxa"/>
          </w:tcPr>
          <w:p w14:paraId="6B94BE74">
            <w:pPr>
              <w:pStyle w:val="4"/>
              <w:jc w:val="center"/>
            </w:pPr>
            <w:r>
              <w:rPr>
                <w:rFonts w:ascii="仿宋_GB2312" w:hAnsi="仿宋_GB2312" w:eastAsia="仿宋_GB2312" w:cs="仿宋_GB2312"/>
              </w:rPr>
              <w:t>符号标识</w:t>
            </w:r>
          </w:p>
        </w:tc>
        <w:tc>
          <w:tcPr>
            <w:tcW w:w="1495" w:type="dxa"/>
          </w:tcPr>
          <w:p w14:paraId="1DCF709D">
            <w:pPr>
              <w:pStyle w:val="4"/>
              <w:jc w:val="center"/>
            </w:pPr>
            <w:r>
              <w:rPr>
                <w:rFonts w:ascii="仿宋_GB2312" w:hAnsi="仿宋_GB2312" w:eastAsia="仿宋_GB2312" w:cs="仿宋_GB2312"/>
              </w:rPr>
              <w:t>商务要求名称</w:t>
            </w:r>
          </w:p>
        </w:tc>
        <w:tc>
          <w:tcPr>
            <w:tcW w:w="5814" w:type="dxa"/>
          </w:tcPr>
          <w:p w14:paraId="0767F91C">
            <w:pPr>
              <w:pStyle w:val="4"/>
              <w:jc w:val="center"/>
            </w:pPr>
            <w:r>
              <w:rPr>
                <w:rFonts w:ascii="仿宋_GB2312" w:hAnsi="仿宋_GB2312" w:eastAsia="仿宋_GB2312" w:cs="仿宋_GB2312"/>
              </w:rPr>
              <w:t>商务要求内容</w:t>
            </w:r>
          </w:p>
        </w:tc>
      </w:tr>
      <w:tr w14:paraId="1932F5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9BF7FEB">
            <w:pPr>
              <w:pStyle w:val="4"/>
              <w:jc w:val="center"/>
            </w:pPr>
            <w:r>
              <w:rPr>
                <w:rFonts w:ascii="仿宋_GB2312" w:hAnsi="仿宋_GB2312" w:eastAsia="仿宋_GB2312" w:cs="仿宋_GB2312"/>
              </w:rPr>
              <w:t>1</w:t>
            </w:r>
          </w:p>
        </w:tc>
        <w:tc>
          <w:tcPr>
            <w:tcW w:w="581" w:type="dxa"/>
          </w:tcPr>
          <w:p w14:paraId="79782E55">
            <w:pPr>
              <w:pStyle w:val="4"/>
              <w:jc w:val="center"/>
            </w:pPr>
            <w:r>
              <w:rPr>
                <w:rFonts w:ascii="仿宋_GB2312" w:hAnsi="仿宋_GB2312" w:eastAsia="仿宋_GB2312" w:cs="仿宋_GB2312"/>
              </w:rPr>
              <w:t>★</w:t>
            </w:r>
          </w:p>
        </w:tc>
        <w:tc>
          <w:tcPr>
            <w:tcW w:w="1495" w:type="dxa"/>
          </w:tcPr>
          <w:p w14:paraId="7FC23F0F">
            <w:pPr>
              <w:pStyle w:val="4"/>
              <w:jc w:val="left"/>
            </w:pPr>
            <w:r>
              <w:rPr>
                <w:rFonts w:ascii="仿宋_GB2312" w:hAnsi="仿宋_GB2312" w:eastAsia="仿宋_GB2312" w:cs="仿宋_GB2312"/>
              </w:rPr>
              <w:t>服务期限</w:t>
            </w:r>
          </w:p>
        </w:tc>
        <w:tc>
          <w:tcPr>
            <w:tcW w:w="5814" w:type="dxa"/>
          </w:tcPr>
          <w:p w14:paraId="021256B1">
            <w:pPr>
              <w:pStyle w:val="4"/>
              <w:jc w:val="left"/>
            </w:pPr>
            <w:r>
              <w:rPr>
                <w:rFonts w:ascii="仿宋_GB2312" w:hAnsi="仿宋_GB2312" w:eastAsia="仿宋_GB2312" w:cs="仿宋_GB2312"/>
              </w:rPr>
              <w:t>签订合同后至2027年3月1日止，到期前一月采购人（青川县公安局）组织进行综合运维质效评估考核。在同时满足（项目资金落实，服务实质内容和合同总金额不变情况下【重新核算最新点位费用】，经采购人考核合格）的情况下，可续签一年服务合同。</w:t>
            </w:r>
          </w:p>
        </w:tc>
      </w:tr>
      <w:tr w14:paraId="7AF010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ADC49B5">
            <w:pPr>
              <w:pStyle w:val="4"/>
              <w:jc w:val="center"/>
            </w:pPr>
            <w:r>
              <w:rPr>
                <w:rFonts w:ascii="仿宋_GB2312" w:hAnsi="仿宋_GB2312" w:eastAsia="仿宋_GB2312" w:cs="仿宋_GB2312"/>
              </w:rPr>
              <w:t>2</w:t>
            </w:r>
          </w:p>
        </w:tc>
        <w:tc>
          <w:tcPr>
            <w:tcW w:w="581" w:type="dxa"/>
          </w:tcPr>
          <w:p w14:paraId="70B1AC92">
            <w:pPr>
              <w:pStyle w:val="4"/>
              <w:jc w:val="center"/>
            </w:pPr>
            <w:r>
              <w:rPr>
                <w:rFonts w:ascii="仿宋_GB2312" w:hAnsi="仿宋_GB2312" w:eastAsia="仿宋_GB2312" w:cs="仿宋_GB2312"/>
              </w:rPr>
              <w:t>★</w:t>
            </w:r>
          </w:p>
        </w:tc>
        <w:tc>
          <w:tcPr>
            <w:tcW w:w="1495" w:type="dxa"/>
          </w:tcPr>
          <w:p w14:paraId="311F4658">
            <w:pPr>
              <w:pStyle w:val="4"/>
              <w:jc w:val="left"/>
            </w:pPr>
            <w:r>
              <w:rPr>
                <w:rFonts w:ascii="仿宋_GB2312" w:hAnsi="仿宋_GB2312" w:eastAsia="仿宋_GB2312" w:cs="仿宋_GB2312"/>
              </w:rPr>
              <w:t>服务地点</w:t>
            </w:r>
          </w:p>
        </w:tc>
        <w:tc>
          <w:tcPr>
            <w:tcW w:w="5814" w:type="dxa"/>
          </w:tcPr>
          <w:p w14:paraId="41BD283F">
            <w:pPr>
              <w:pStyle w:val="4"/>
              <w:jc w:val="left"/>
            </w:pPr>
            <w:r>
              <w:rPr>
                <w:rFonts w:ascii="仿宋_GB2312" w:hAnsi="仿宋_GB2312" w:eastAsia="仿宋_GB2312" w:cs="仿宋_GB2312"/>
              </w:rPr>
              <w:t>按青川县“铁穹”感知源设备点位</w:t>
            </w:r>
          </w:p>
        </w:tc>
      </w:tr>
      <w:tr w14:paraId="10DA03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CDA7830">
            <w:pPr>
              <w:pStyle w:val="4"/>
              <w:jc w:val="center"/>
            </w:pPr>
            <w:r>
              <w:rPr>
                <w:rFonts w:ascii="仿宋_GB2312" w:hAnsi="仿宋_GB2312" w:eastAsia="仿宋_GB2312" w:cs="仿宋_GB2312"/>
              </w:rPr>
              <w:t>3</w:t>
            </w:r>
          </w:p>
        </w:tc>
        <w:tc>
          <w:tcPr>
            <w:tcW w:w="581" w:type="dxa"/>
          </w:tcPr>
          <w:p w14:paraId="50CC4457">
            <w:pPr>
              <w:pStyle w:val="4"/>
              <w:jc w:val="center"/>
            </w:pPr>
            <w:r>
              <w:rPr>
                <w:rFonts w:ascii="仿宋_GB2312" w:hAnsi="仿宋_GB2312" w:eastAsia="仿宋_GB2312" w:cs="仿宋_GB2312"/>
              </w:rPr>
              <w:t>★</w:t>
            </w:r>
          </w:p>
        </w:tc>
        <w:tc>
          <w:tcPr>
            <w:tcW w:w="1495" w:type="dxa"/>
          </w:tcPr>
          <w:p w14:paraId="71ABDD15">
            <w:pPr>
              <w:pStyle w:val="4"/>
              <w:jc w:val="left"/>
            </w:pPr>
            <w:r>
              <w:rPr>
                <w:rFonts w:ascii="仿宋_GB2312" w:hAnsi="仿宋_GB2312" w:eastAsia="仿宋_GB2312" w:cs="仿宋_GB2312"/>
              </w:rPr>
              <w:t>验收、交付标准和方法</w:t>
            </w:r>
          </w:p>
        </w:tc>
        <w:tc>
          <w:tcPr>
            <w:tcW w:w="5814" w:type="dxa"/>
          </w:tcPr>
          <w:p w14:paraId="01175C11">
            <w:pPr>
              <w:pStyle w:val="4"/>
              <w:jc w:val="left"/>
            </w:pPr>
            <w:r>
              <w:rPr>
                <w:rFonts w:ascii="仿宋_GB2312" w:hAnsi="仿宋_GB2312" w:eastAsia="仿宋_GB2312" w:cs="仿宋_GB2312"/>
              </w:rPr>
              <w:t>按国家有关规定以及采购文件的技术服务要 求、响应文件及承诺与本合同约定标准进行验收。其他未尽事宜应严格按照《财政部关于进一步加强政府采购需求和履约验收管理的指导意见》（财库〔2016〕205 号）和财政部关于印发《政府采购需求管理办法》的通知（财库〔2021〕22 号）的文件要求进行验收。</w:t>
            </w:r>
          </w:p>
        </w:tc>
      </w:tr>
      <w:tr w14:paraId="00080C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C7BC5DA">
            <w:pPr>
              <w:pStyle w:val="4"/>
              <w:jc w:val="center"/>
            </w:pPr>
            <w:r>
              <w:rPr>
                <w:rFonts w:ascii="仿宋_GB2312" w:hAnsi="仿宋_GB2312" w:eastAsia="仿宋_GB2312" w:cs="仿宋_GB2312"/>
              </w:rPr>
              <w:t>4</w:t>
            </w:r>
          </w:p>
        </w:tc>
        <w:tc>
          <w:tcPr>
            <w:tcW w:w="581" w:type="dxa"/>
          </w:tcPr>
          <w:p w14:paraId="3CFB8BAD">
            <w:pPr>
              <w:pStyle w:val="4"/>
              <w:jc w:val="center"/>
            </w:pPr>
            <w:r>
              <w:rPr>
                <w:rFonts w:ascii="仿宋_GB2312" w:hAnsi="仿宋_GB2312" w:eastAsia="仿宋_GB2312" w:cs="仿宋_GB2312"/>
              </w:rPr>
              <w:t>★</w:t>
            </w:r>
          </w:p>
        </w:tc>
        <w:tc>
          <w:tcPr>
            <w:tcW w:w="1495" w:type="dxa"/>
          </w:tcPr>
          <w:p w14:paraId="0E849F98">
            <w:pPr>
              <w:pStyle w:val="4"/>
              <w:jc w:val="left"/>
            </w:pPr>
            <w:r>
              <w:rPr>
                <w:rFonts w:ascii="仿宋_GB2312" w:hAnsi="仿宋_GB2312" w:eastAsia="仿宋_GB2312" w:cs="仿宋_GB2312"/>
              </w:rPr>
              <w:t>支付方式</w:t>
            </w:r>
          </w:p>
        </w:tc>
        <w:tc>
          <w:tcPr>
            <w:tcW w:w="5814" w:type="dxa"/>
          </w:tcPr>
          <w:p w14:paraId="42950C04">
            <w:pPr>
              <w:pStyle w:val="4"/>
              <w:jc w:val="left"/>
            </w:pPr>
            <w:r>
              <w:rPr>
                <w:rFonts w:ascii="仿宋_GB2312" w:hAnsi="仿宋_GB2312" w:eastAsia="仿宋_GB2312" w:cs="仿宋_GB2312"/>
              </w:rPr>
              <w:t>分期付款</w:t>
            </w:r>
          </w:p>
        </w:tc>
      </w:tr>
      <w:tr w14:paraId="0289DF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329E840">
            <w:pPr>
              <w:pStyle w:val="4"/>
              <w:jc w:val="center"/>
            </w:pPr>
            <w:r>
              <w:rPr>
                <w:rFonts w:ascii="仿宋_GB2312" w:hAnsi="仿宋_GB2312" w:eastAsia="仿宋_GB2312" w:cs="仿宋_GB2312"/>
              </w:rPr>
              <w:t>5</w:t>
            </w:r>
          </w:p>
        </w:tc>
        <w:tc>
          <w:tcPr>
            <w:tcW w:w="581" w:type="dxa"/>
          </w:tcPr>
          <w:p w14:paraId="38B28540">
            <w:pPr>
              <w:pStyle w:val="4"/>
              <w:jc w:val="center"/>
            </w:pPr>
            <w:r>
              <w:rPr>
                <w:rFonts w:ascii="仿宋_GB2312" w:hAnsi="仿宋_GB2312" w:eastAsia="仿宋_GB2312" w:cs="仿宋_GB2312"/>
              </w:rPr>
              <w:t>★</w:t>
            </w:r>
          </w:p>
        </w:tc>
        <w:tc>
          <w:tcPr>
            <w:tcW w:w="1495" w:type="dxa"/>
          </w:tcPr>
          <w:p w14:paraId="231035F1">
            <w:pPr>
              <w:pStyle w:val="4"/>
              <w:jc w:val="left"/>
            </w:pPr>
            <w:r>
              <w:rPr>
                <w:rFonts w:ascii="仿宋_GB2312" w:hAnsi="仿宋_GB2312" w:eastAsia="仿宋_GB2312" w:cs="仿宋_GB2312"/>
              </w:rPr>
              <w:t>付款进度安排</w:t>
            </w:r>
          </w:p>
        </w:tc>
        <w:tc>
          <w:tcPr>
            <w:tcW w:w="5814" w:type="dxa"/>
          </w:tcPr>
          <w:p w14:paraId="73ED7936">
            <w:pPr>
              <w:pStyle w:val="4"/>
              <w:jc w:val="left"/>
            </w:pPr>
            <w:r>
              <w:rPr>
                <w:rFonts w:ascii="仿宋_GB2312" w:hAnsi="仿宋_GB2312" w:eastAsia="仿宋_GB2312" w:cs="仿宋_GB2312"/>
              </w:rPr>
              <w:t>1、双方签订合同后支付预付款，达到付款条件起5日内，支付合同总金额的50.00%</w:t>
            </w:r>
          </w:p>
          <w:p w14:paraId="144E675B">
            <w:pPr>
              <w:pStyle w:val="4"/>
              <w:jc w:val="left"/>
            </w:pPr>
            <w:r>
              <w:rPr>
                <w:rFonts w:ascii="仿宋_GB2312" w:hAnsi="仿宋_GB2312" w:eastAsia="仿宋_GB2312" w:cs="仿宋_GB2312"/>
              </w:rPr>
              <w:t>2、经考核验收合格，达到付款条件起5日内，支付合同总金额的50.00%</w:t>
            </w:r>
          </w:p>
        </w:tc>
      </w:tr>
      <w:tr w14:paraId="221CE7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1A48D7B">
            <w:pPr>
              <w:pStyle w:val="4"/>
              <w:jc w:val="center"/>
            </w:pPr>
            <w:r>
              <w:rPr>
                <w:rFonts w:ascii="仿宋_GB2312" w:hAnsi="仿宋_GB2312" w:eastAsia="仿宋_GB2312" w:cs="仿宋_GB2312"/>
              </w:rPr>
              <w:t>6</w:t>
            </w:r>
          </w:p>
        </w:tc>
        <w:tc>
          <w:tcPr>
            <w:tcW w:w="581" w:type="dxa"/>
          </w:tcPr>
          <w:p w14:paraId="10B2A93D">
            <w:pPr>
              <w:pStyle w:val="4"/>
              <w:jc w:val="center"/>
            </w:pPr>
            <w:r>
              <w:rPr>
                <w:rFonts w:ascii="仿宋_GB2312" w:hAnsi="仿宋_GB2312" w:eastAsia="仿宋_GB2312" w:cs="仿宋_GB2312"/>
              </w:rPr>
              <w:t>★</w:t>
            </w:r>
          </w:p>
        </w:tc>
        <w:tc>
          <w:tcPr>
            <w:tcW w:w="1495" w:type="dxa"/>
          </w:tcPr>
          <w:p w14:paraId="6519FC5E">
            <w:pPr>
              <w:pStyle w:val="4"/>
              <w:jc w:val="left"/>
            </w:pPr>
            <w:r>
              <w:rPr>
                <w:rFonts w:ascii="仿宋_GB2312" w:hAnsi="仿宋_GB2312" w:eastAsia="仿宋_GB2312" w:cs="仿宋_GB2312"/>
              </w:rPr>
              <w:t>违约责任与解决争议的方法</w:t>
            </w:r>
          </w:p>
        </w:tc>
        <w:tc>
          <w:tcPr>
            <w:tcW w:w="5814" w:type="dxa"/>
          </w:tcPr>
          <w:p w14:paraId="5C357FD6">
            <w:pPr>
              <w:pStyle w:val="4"/>
              <w:jc w:val="left"/>
            </w:pPr>
            <w:r>
              <w:rPr>
                <w:rFonts w:ascii="仿宋_GB2312" w:hAnsi="仿宋_GB2312" w:eastAsia="仿宋_GB2312" w:cs="仿宋_GB2312"/>
              </w:rPr>
              <w:t>供应商必须遵守采购合同并执行合同中的各项规定，保证采购合同的正常履行；如因供应商工作人员在履行职务过程中的的疏忽、失职、过错故意或者过失原因给采购人造成损失或侵害，包括但不限于采购人本身的财产损失、由此而导致的采购人对任何第三方的法律责任，供应商对此均应承担全部的赔偿责任。</w:t>
            </w:r>
          </w:p>
        </w:tc>
      </w:tr>
    </w:tbl>
    <w:p w14:paraId="2391758B">
      <w:pPr>
        <w:pStyle w:val="4"/>
        <w:jc w:val="left"/>
        <w:outlineLvl w:val="2"/>
      </w:pPr>
      <w:r>
        <w:rPr>
          <w:rFonts w:ascii="仿宋_GB2312" w:hAnsi="仿宋_GB2312" w:eastAsia="仿宋_GB2312" w:cs="仿宋_GB2312"/>
          <w:b/>
          <w:sz w:val="28"/>
        </w:rPr>
        <w:t>3.4.其他要求</w:t>
      </w:r>
    </w:p>
    <w:p w14:paraId="5B4DE792">
      <w:pPr>
        <w:pStyle w:val="4"/>
        <w:ind w:firstLine="480"/>
        <w:jc w:val="left"/>
      </w:pPr>
      <w:r>
        <w:rPr>
          <w:rFonts w:ascii="仿宋_GB2312" w:hAnsi="仿宋_GB2312" w:eastAsia="仿宋_GB2312" w:cs="仿宋_GB2312"/>
        </w:rPr>
        <w:t>采购包1：</w:t>
      </w:r>
    </w:p>
    <w:p w14:paraId="7F82AE48">
      <w:pPr>
        <w:pStyle w:val="4"/>
        <w:jc w:val="left"/>
        <w:rPr>
          <w:rFonts w:hint="eastAsia"/>
          <w:lang w:val="en-US" w:eastAsia="zh-Hans"/>
        </w:rPr>
      </w:pPr>
      <w:r>
        <w:rPr>
          <w:rFonts w:ascii="仿宋_GB2312" w:hAnsi="仿宋_GB2312" w:eastAsia="仿宋_GB2312" w:cs="仿宋_GB2312"/>
        </w:rPr>
        <w:t>无</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862641B"/>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2065</Words>
  <Characters>2280</Characters>
  <Lines>0</Lines>
  <Paragraphs>0</Paragraphs>
  <TotalTime>34</TotalTime>
  <ScaleCrop>false</ScaleCrop>
  <LinksUpToDate>false</LinksUpToDate>
  <CharactersWithSpaces>2321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名字</cp:lastModifiedBy>
  <dcterms:modified xsi:type="dcterms:W3CDTF">2026-04-24T01:37:03Z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eyJoZGlkIjoiMTZkZDM5ZmU1MDY1MzRiMmJhOWI2NjAzOTQ4ZWYyOTYiLCJ1c2VySWQiOiIzNDk2Njk2NDUifQ==</vt:lpwstr>
  </property>
  <property fmtid="{D5CDD505-2E9C-101B-9397-08002B2CF9AE}" pid="4" name="ICV">
    <vt:lpwstr>A769059A448542CB9330D81EE555A3DB_12</vt:lpwstr>
  </property>
</Properties>
</file>