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BEA13">
      <w:pPr>
        <w:pStyle w:val="4"/>
        <w:jc w:val="center"/>
        <w:outlineLvl w:val="1"/>
      </w:pPr>
      <w:r>
        <w:rPr>
          <w:rFonts w:ascii="仿宋_GB2312" w:hAnsi="仿宋_GB2312" w:eastAsia="仿宋_GB2312" w:cs="仿宋_GB2312"/>
          <w:b/>
          <w:sz w:val="36"/>
        </w:rPr>
        <w:t>第三章 技术、服务及其他要求</w:t>
      </w:r>
    </w:p>
    <w:p w14:paraId="0BD0AC29">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F4ED98D">
      <w:pPr>
        <w:pStyle w:val="4"/>
        <w:jc w:val="left"/>
        <w:outlineLvl w:val="2"/>
      </w:pPr>
      <w:r>
        <w:rPr>
          <w:rFonts w:ascii="仿宋_GB2312" w:hAnsi="仿宋_GB2312" w:eastAsia="仿宋_GB2312" w:cs="仿宋_GB2312"/>
          <w:b/>
          <w:sz w:val="28"/>
        </w:rPr>
        <w:t>3.1.采购内容</w:t>
      </w:r>
    </w:p>
    <w:p w14:paraId="4FDCAA34">
      <w:pPr>
        <w:pStyle w:val="4"/>
        <w:jc w:val="left"/>
      </w:pPr>
      <w:r>
        <w:rPr>
          <w:rFonts w:ascii="仿宋_GB2312" w:hAnsi="仿宋_GB2312" w:eastAsia="仿宋_GB2312" w:cs="仿宋_GB2312"/>
        </w:rPr>
        <w:t>采购包1：</w:t>
      </w:r>
    </w:p>
    <w:p w14:paraId="46A2FC38">
      <w:pPr>
        <w:pStyle w:val="4"/>
        <w:jc w:val="left"/>
      </w:pPr>
      <w:r>
        <w:rPr>
          <w:rFonts w:ascii="仿宋_GB2312" w:hAnsi="仿宋_GB2312" w:eastAsia="仿宋_GB2312" w:cs="仿宋_GB2312"/>
        </w:rPr>
        <w:t>采购包预算金额（元）: 1,000,000.00</w:t>
      </w:r>
    </w:p>
    <w:p w14:paraId="08C78B1F">
      <w:pPr>
        <w:pStyle w:val="4"/>
        <w:jc w:val="left"/>
      </w:pPr>
      <w:r>
        <w:rPr>
          <w:rFonts w:ascii="仿宋_GB2312" w:hAnsi="仿宋_GB2312" w:eastAsia="仿宋_GB2312" w:cs="仿宋_GB2312"/>
        </w:rPr>
        <w:t>采购包最高限价（元）: 1,000,000.00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02808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6DBA42">
            <w:pPr>
              <w:pStyle w:val="4"/>
              <w:jc w:val="center"/>
            </w:pPr>
            <w:r>
              <w:rPr>
                <w:rFonts w:ascii="仿宋_GB2312" w:hAnsi="仿宋_GB2312" w:eastAsia="仿宋_GB2312" w:cs="仿宋_GB2312"/>
              </w:rPr>
              <w:t>序号</w:t>
            </w:r>
          </w:p>
        </w:tc>
        <w:tc>
          <w:tcPr>
            <w:tcW w:w="821" w:type="dxa"/>
          </w:tcPr>
          <w:p w14:paraId="74FA57A0">
            <w:pPr>
              <w:pStyle w:val="4"/>
              <w:jc w:val="center"/>
            </w:pPr>
            <w:r>
              <w:rPr>
                <w:rFonts w:ascii="仿宋_GB2312" w:hAnsi="仿宋_GB2312" w:eastAsia="仿宋_GB2312" w:cs="仿宋_GB2312"/>
              </w:rPr>
              <w:t>采购品目名称</w:t>
            </w:r>
          </w:p>
        </w:tc>
        <w:tc>
          <w:tcPr>
            <w:tcW w:w="821" w:type="dxa"/>
          </w:tcPr>
          <w:p w14:paraId="3CF27355">
            <w:pPr>
              <w:pStyle w:val="4"/>
              <w:jc w:val="center"/>
            </w:pPr>
            <w:r>
              <w:rPr>
                <w:rFonts w:ascii="仿宋_GB2312" w:hAnsi="仿宋_GB2312" w:eastAsia="仿宋_GB2312" w:cs="仿宋_GB2312"/>
              </w:rPr>
              <w:t>标的名称</w:t>
            </w:r>
          </w:p>
        </w:tc>
        <w:tc>
          <w:tcPr>
            <w:tcW w:w="821" w:type="dxa"/>
          </w:tcPr>
          <w:p w14:paraId="45F3B88E">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9113EDE">
            <w:pPr>
              <w:pStyle w:val="4"/>
              <w:jc w:val="center"/>
            </w:pPr>
            <w:r>
              <w:rPr>
                <w:rFonts w:ascii="仿宋_GB2312" w:hAnsi="仿宋_GB2312" w:eastAsia="仿宋_GB2312" w:cs="仿宋_GB2312"/>
              </w:rPr>
              <w:t>标的金额 （元）</w:t>
            </w:r>
          </w:p>
        </w:tc>
        <w:tc>
          <w:tcPr>
            <w:tcW w:w="821" w:type="dxa"/>
          </w:tcPr>
          <w:p w14:paraId="3022D991">
            <w:pPr>
              <w:pStyle w:val="4"/>
              <w:jc w:val="center"/>
            </w:pPr>
            <w:r>
              <w:rPr>
                <w:rFonts w:ascii="仿宋_GB2312" w:hAnsi="仿宋_GB2312" w:eastAsia="仿宋_GB2312" w:cs="仿宋_GB2312"/>
              </w:rPr>
              <w:t>所属行业</w:t>
            </w:r>
          </w:p>
        </w:tc>
        <w:tc>
          <w:tcPr>
            <w:tcW w:w="821" w:type="dxa"/>
          </w:tcPr>
          <w:p w14:paraId="5EBF2C66">
            <w:pPr>
              <w:pStyle w:val="4"/>
              <w:jc w:val="center"/>
            </w:pPr>
            <w:r>
              <w:rPr>
                <w:rFonts w:ascii="仿宋_GB2312" w:hAnsi="仿宋_GB2312" w:eastAsia="仿宋_GB2312" w:cs="仿宋_GB2312"/>
              </w:rPr>
              <w:t>是否涉及核心产品</w:t>
            </w:r>
          </w:p>
        </w:tc>
        <w:tc>
          <w:tcPr>
            <w:tcW w:w="821" w:type="dxa"/>
          </w:tcPr>
          <w:p w14:paraId="3ABB0CB5">
            <w:pPr>
              <w:pStyle w:val="4"/>
              <w:jc w:val="center"/>
            </w:pPr>
            <w:r>
              <w:rPr>
                <w:rFonts w:ascii="仿宋_GB2312" w:hAnsi="仿宋_GB2312" w:eastAsia="仿宋_GB2312" w:cs="仿宋_GB2312"/>
              </w:rPr>
              <w:t>是否涉及采购进口产品</w:t>
            </w:r>
          </w:p>
        </w:tc>
        <w:tc>
          <w:tcPr>
            <w:tcW w:w="821" w:type="dxa"/>
          </w:tcPr>
          <w:p w14:paraId="10429888">
            <w:pPr>
              <w:pStyle w:val="4"/>
              <w:jc w:val="center"/>
            </w:pPr>
            <w:r>
              <w:rPr>
                <w:rFonts w:ascii="仿宋_GB2312" w:hAnsi="仿宋_GB2312" w:eastAsia="仿宋_GB2312" w:cs="仿宋_GB2312"/>
              </w:rPr>
              <w:t>是否涉及强制采购节能产品</w:t>
            </w:r>
          </w:p>
        </w:tc>
        <w:tc>
          <w:tcPr>
            <w:tcW w:w="639" w:type="dxa"/>
          </w:tcPr>
          <w:p w14:paraId="0EE0F86C">
            <w:pPr>
              <w:pStyle w:val="4"/>
              <w:jc w:val="center"/>
            </w:pPr>
            <w:r>
              <w:rPr>
                <w:rFonts w:ascii="仿宋_GB2312" w:hAnsi="仿宋_GB2312" w:eastAsia="仿宋_GB2312" w:cs="仿宋_GB2312"/>
              </w:rPr>
              <w:t>是否涉及优先采购节能产品</w:t>
            </w:r>
          </w:p>
        </w:tc>
        <w:tc>
          <w:tcPr>
            <w:tcW w:w="639" w:type="dxa"/>
          </w:tcPr>
          <w:p w14:paraId="33174636">
            <w:pPr>
              <w:pStyle w:val="4"/>
              <w:jc w:val="center"/>
            </w:pPr>
            <w:r>
              <w:rPr>
                <w:rFonts w:ascii="仿宋_GB2312" w:hAnsi="仿宋_GB2312" w:eastAsia="仿宋_GB2312" w:cs="仿宋_GB2312"/>
              </w:rPr>
              <w:t>是否涉及优先采购环境标志产品</w:t>
            </w:r>
          </w:p>
        </w:tc>
      </w:tr>
      <w:tr w14:paraId="2EA7A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A7E2CC">
            <w:pPr>
              <w:pStyle w:val="4"/>
              <w:jc w:val="left"/>
            </w:pPr>
            <w:r>
              <w:rPr>
                <w:rFonts w:ascii="仿宋_GB2312" w:hAnsi="仿宋_GB2312" w:eastAsia="仿宋_GB2312" w:cs="仿宋_GB2312"/>
              </w:rPr>
              <w:t>1</w:t>
            </w:r>
          </w:p>
        </w:tc>
        <w:tc>
          <w:tcPr>
            <w:tcW w:w="821" w:type="dxa"/>
          </w:tcPr>
          <w:p w14:paraId="1BF93354">
            <w:pPr>
              <w:pStyle w:val="4"/>
              <w:jc w:val="left"/>
            </w:pPr>
            <w:r>
              <w:rPr>
                <w:rFonts w:ascii="仿宋_GB2312" w:hAnsi="仿宋_GB2312" w:eastAsia="仿宋_GB2312" w:cs="仿宋_GB2312"/>
              </w:rPr>
              <w:t>C13020000 市政公用设施管理服务</w:t>
            </w:r>
          </w:p>
        </w:tc>
        <w:tc>
          <w:tcPr>
            <w:tcW w:w="821" w:type="dxa"/>
          </w:tcPr>
          <w:p w14:paraId="5EF7CFFA">
            <w:pPr>
              <w:pStyle w:val="4"/>
              <w:jc w:val="left"/>
            </w:pPr>
            <w:r>
              <w:rPr>
                <w:rFonts w:ascii="仿宋_GB2312" w:hAnsi="仿宋_GB2312" w:eastAsia="仿宋_GB2312" w:cs="仿宋_GB2312"/>
              </w:rPr>
              <w:t>2026年度零星城市市政基础设施维修服务采购</w:t>
            </w:r>
          </w:p>
        </w:tc>
        <w:tc>
          <w:tcPr>
            <w:tcW w:w="821" w:type="dxa"/>
          </w:tcPr>
          <w:p w14:paraId="4D816AC7">
            <w:pPr>
              <w:pStyle w:val="4"/>
              <w:jc w:val="right"/>
            </w:pPr>
            <w:r>
              <w:rPr>
                <w:rFonts w:ascii="仿宋_GB2312" w:hAnsi="仿宋_GB2312" w:eastAsia="仿宋_GB2312" w:cs="仿宋_GB2312"/>
              </w:rPr>
              <w:t>1.00（项）</w:t>
            </w:r>
          </w:p>
        </w:tc>
        <w:tc>
          <w:tcPr>
            <w:tcW w:w="821" w:type="dxa"/>
          </w:tcPr>
          <w:p w14:paraId="5BE200B0">
            <w:pPr>
              <w:pStyle w:val="4"/>
              <w:jc w:val="right"/>
            </w:pPr>
            <w:r>
              <w:rPr>
                <w:rFonts w:ascii="仿宋_GB2312" w:hAnsi="仿宋_GB2312" w:eastAsia="仿宋_GB2312" w:cs="仿宋_GB2312"/>
              </w:rPr>
              <w:t>1,000,000.00</w:t>
            </w:r>
          </w:p>
        </w:tc>
        <w:tc>
          <w:tcPr>
            <w:tcW w:w="821" w:type="dxa"/>
          </w:tcPr>
          <w:p w14:paraId="24534378">
            <w:pPr>
              <w:pStyle w:val="4"/>
              <w:jc w:val="left"/>
            </w:pPr>
            <w:r>
              <w:rPr>
                <w:rFonts w:ascii="仿宋_GB2312" w:hAnsi="仿宋_GB2312" w:eastAsia="仿宋_GB2312" w:cs="仿宋_GB2312"/>
              </w:rPr>
              <w:t>其他未列明行业</w:t>
            </w:r>
          </w:p>
        </w:tc>
        <w:tc>
          <w:tcPr>
            <w:tcW w:w="821" w:type="dxa"/>
          </w:tcPr>
          <w:p w14:paraId="455A1178">
            <w:pPr>
              <w:pStyle w:val="4"/>
              <w:jc w:val="left"/>
            </w:pPr>
            <w:r>
              <w:rPr>
                <w:rFonts w:ascii="仿宋_GB2312" w:hAnsi="仿宋_GB2312" w:eastAsia="仿宋_GB2312" w:cs="仿宋_GB2312"/>
              </w:rPr>
              <w:t>否</w:t>
            </w:r>
          </w:p>
        </w:tc>
        <w:tc>
          <w:tcPr>
            <w:tcW w:w="821" w:type="dxa"/>
          </w:tcPr>
          <w:p w14:paraId="14A2444A">
            <w:pPr>
              <w:pStyle w:val="4"/>
              <w:jc w:val="left"/>
            </w:pPr>
            <w:r>
              <w:rPr>
                <w:rFonts w:ascii="仿宋_GB2312" w:hAnsi="仿宋_GB2312" w:eastAsia="仿宋_GB2312" w:cs="仿宋_GB2312"/>
              </w:rPr>
              <w:t>否</w:t>
            </w:r>
          </w:p>
        </w:tc>
        <w:tc>
          <w:tcPr>
            <w:tcW w:w="821" w:type="dxa"/>
          </w:tcPr>
          <w:p w14:paraId="4B608893">
            <w:pPr>
              <w:pStyle w:val="4"/>
              <w:jc w:val="left"/>
            </w:pPr>
            <w:r>
              <w:rPr>
                <w:rFonts w:ascii="仿宋_GB2312" w:hAnsi="仿宋_GB2312" w:eastAsia="仿宋_GB2312" w:cs="仿宋_GB2312"/>
              </w:rPr>
              <w:t>否</w:t>
            </w:r>
          </w:p>
        </w:tc>
        <w:tc>
          <w:tcPr>
            <w:tcW w:w="639" w:type="dxa"/>
          </w:tcPr>
          <w:p w14:paraId="51B12E75">
            <w:pPr>
              <w:pStyle w:val="4"/>
              <w:jc w:val="left"/>
            </w:pPr>
            <w:r>
              <w:rPr>
                <w:rFonts w:ascii="仿宋_GB2312" w:hAnsi="仿宋_GB2312" w:eastAsia="仿宋_GB2312" w:cs="仿宋_GB2312"/>
              </w:rPr>
              <w:t>否</w:t>
            </w:r>
          </w:p>
        </w:tc>
        <w:tc>
          <w:tcPr>
            <w:tcW w:w="639" w:type="dxa"/>
          </w:tcPr>
          <w:p w14:paraId="09DF2047">
            <w:pPr>
              <w:pStyle w:val="4"/>
              <w:jc w:val="left"/>
            </w:pPr>
            <w:r>
              <w:rPr>
                <w:rFonts w:ascii="仿宋_GB2312" w:hAnsi="仿宋_GB2312" w:eastAsia="仿宋_GB2312" w:cs="仿宋_GB2312"/>
              </w:rPr>
              <w:t>否</w:t>
            </w:r>
          </w:p>
        </w:tc>
      </w:tr>
    </w:tbl>
    <w:p w14:paraId="437B9CAF">
      <w:pPr>
        <w:pStyle w:val="4"/>
        <w:jc w:val="left"/>
      </w:pPr>
      <w:r>
        <w:rPr>
          <w:rFonts w:ascii="仿宋_GB2312" w:hAnsi="仿宋_GB2312" w:eastAsia="仿宋_GB2312" w:cs="仿宋_GB2312"/>
        </w:rPr>
        <w:t xml:space="preserve"> 是否适用本国产品标准：</w:t>
      </w:r>
    </w:p>
    <w:p w14:paraId="34E47193">
      <w:pPr>
        <w:pStyle w:val="4"/>
        <w:jc w:val="left"/>
      </w:pPr>
      <w:r>
        <w:rPr>
          <w:rFonts w:ascii="仿宋_GB2312" w:hAnsi="仿宋_GB2312" w:eastAsia="仿宋_GB2312" w:cs="仿宋_GB2312"/>
        </w:rPr>
        <w:t>采购包1：是</w:t>
      </w:r>
    </w:p>
    <w:p w14:paraId="5D1F032D">
      <w:pPr>
        <w:pStyle w:val="4"/>
        <w:jc w:val="left"/>
        <w:outlineLvl w:val="3"/>
      </w:pPr>
      <w:r>
        <w:rPr>
          <w:rFonts w:ascii="仿宋_GB2312" w:hAnsi="仿宋_GB2312" w:eastAsia="仿宋_GB2312" w:cs="仿宋_GB2312"/>
          <w:b/>
          <w:sz w:val="24"/>
        </w:rPr>
        <w:t>报价要求</w:t>
      </w:r>
    </w:p>
    <w:p w14:paraId="0BAF428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5E12F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2023E4B6">
            <w:pPr>
              <w:pStyle w:val="4"/>
              <w:jc w:val="center"/>
            </w:pPr>
            <w:r>
              <w:rPr>
                <w:rFonts w:ascii="仿宋_GB2312" w:hAnsi="仿宋_GB2312" w:eastAsia="仿宋_GB2312" w:cs="仿宋_GB2312"/>
              </w:rPr>
              <w:t>序号</w:t>
            </w:r>
          </w:p>
        </w:tc>
        <w:tc>
          <w:tcPr>
            <w:tcW w:w="1759" w:type="dxa"/>
          </w:tcPr>
          <w:p w14:paraId="6D6C67D4">
            <w:pPr>
              <w:pStyle w:val="4"/>
              <w:jc w:val="center"/>
            </w:pPr>
            <w:r>
              <w:rPr>
                <w:rFonts w:ascii="仿宋_GB2312" w:hAnsi="仿宋_GB2312" w:eastAsia="仿宋_GB2312" w:cs="仿宋_GB2312"/>
              </w:rPr>
              <w:t>报价内容</w:t>
            </w:r>
          </w:p>
        </w:tc>
        <w:tc>
          <w:tcPr>
            <w:tcW w:w="977" w:type="dxa"/>
          </w:tcPr>
          <w:p w14:paraId="2482D020">
            <w:pPr>
              <w:pStyle w:val="4"/>
              <w:jc w:val="center"/>
            </w:pPr>
            <w:r>
              <w:rPr>
                <w:rFonts w:ascii="仿宋_GB2312" w:hAnsi="仿宋_GB2312" w:eastAsia="仿宋_GB2312" w:cs="仿宋_GB2312"/>
              </w:rPr>
              <w:t>计量单位</w:t>
            </w:r>
          </w:p>
        </w:tc>
        <w:tc>
          <w:tcPr>
            <w:tcW w:w="977" w:type="dxa"/>
          </w:tcPr>
          <w:p w14:paraId="1D0AC3B8">
            <w:pPr>
              <w:pStyle w:val="4"/>
              <w:jc w:val="center"/>
            </w:pPr>
            <w:r>
              <w:rPr>
                <w:rFonts w:ascii="仿宋_GB2312" w:hAnsi="仿宋_GB2312" w:eastAsia="仿宋_GB2312" w:cs="仿宋_GB2312"/>
              </w:rPr>
              <w:t>报价单位</w:t>
            </w:r>
          </w:p>
        </w:tc>
        <w:tc>
          <w:tcPr>
            <w:tcW w:w="1466" w:type="dxa"/>
          </w:tcPr>
          <w:p w14:paraId="2FC0568F">
            <w:pPr>
              <w:pStyle w:val="4"/>
              <w:jc w:val="center"/>
            </w:pPr>
            <w:r>
              <w:rPr>
                <w:rFonts w:ascii="仿宋_GB2312" w:hAnsi="仿宋_GB2312" w:eastAsia="仿宋_GB2312" w:cs="仿宋_GB2312"/>
              </w:rPr>
              <w:t>最高限价</w:t>
            </w:r>
          </w:p>
        </w:tc>
        <w:tc>
          <w:tcPr>
            <w:tcW w:w="977" w:type="dxa"/>
          </w:tcPr>
          <w:p w14:paraId="52C81987">
            <w:pPr>
              <w:pStyle w:val="4"/>
              <w:jc w:val="center"/>
            </w:pPr>
            <w:r>
              <w:rPr>
                <w:rFonts w:ascii="仿宋_GB2312" w:hAnsi="仿宋_GB2312" w:eastAsia="仿宋_GB2312" w:cs="仿宋_GB2312"/>
              </w:rPr>
              <w:t>价款形式</w:t>
            </w:r>
          </w:p>
        </w:tc>
        <w:tc>
          <w:tcPr>
            <w:tcW w:w="1466" w:type="dxa"/>
          </w:tcPr>
          <w:p w14:paraId="5C7A71C4">
            <w:pPr>
              <w:pStyle w:val="4"/>
              <w:jc w:val="center"/>
            </w:pPr>
            <w:r>
              <w:rPr>
                <w:rFonts w:ascii="仿宋_GB2312" w:hAnsi="仿宋_GB2312" w:eastAsia="仿宋_GB2312" w:cs="仿宋_GB2312"/>
              </w:rPr>
              <w:t>报价说明</w:t>
            </w:r>
          </w:p>
        </w:tc>
      </w:tr>
      <w:tr w14:paraId="59B07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43D8B481">
            <w:pPr>
              <w:pStyle w:val="4"/>
              <w:jc w:val="center"/>
            </w:pPr>
            <w:r>
              <w:rPr>
                <w:rFonts w:ascii="仿宋_GB2312" w:hAnsi="仿宋_GB2312" w:eastAsia="仿宋_GB2312" w:cs="仿宋_GB2312"/>
              </w:rPr>
              <w:t>1</w:t>
            </w:r>
          </w:p>
        </w:tc>
        <w:tc>
          <w:tcPr>
            <w:tcW w:w="1759" w:type="dxa"/>
          </w:tcPr>
          <w:p w14:paraId="20889C98">
            <w:pPr>
              <w:pStyle w:val="4"/>
              <w:jc w:val="center"/>
            </w:pPr>
            <w:r>
              <w:rPr>
                <w:rFonts w:ascii="仿宋_GB2312" w:hAnsi="仿宋_GB2312" w:eastAsia="仿宋_GB2312" w:cs="仿宋_GB2312"/>
              </w:rPr>
              <w:t>2026年度零星城市市政基础设施维修服务采购</w:t>
            </w:r>
          </w:p>
        </w:tc>
        <w:tc>
          <w:tcPr>
            <w:tcW w:w="977" w:type="dxa"/>
          </w:tcPr>
          <w:p w14:paraId="02550C97">
            <w:pPr>
              <w:pStyle w:val="4"/>
              <w:jc w:val="center"/>
            </w:pPr>
            <w:r>
              <w:rPr>
                <w:rFonts w:ascii="仿宋_GB2312" w:hAnsi="仿宋_GB2312" w:eastAsia="仿宋_GB2312" w:cs="仿宋_GB2312"/>
              </w:rPr>
              <w:t>项</w:t>
            </w:r>
          </w:p>
        </w:tc>
        <w:tc>
          <w:tcPr>
            <w:tcW w:w="977" w:type="dxa"/>
          </w:tcPr>
          <w:p w14:paraId="71399A8A">
            <w:pPr>
              <w:pStyle w:val="4"/>
              <w:jc w:val="center"/>
            </w:pPr>
            <w:r>
              <w:rPr>
                <w:rFonts w:ascii="仿宋_GB2312" w:hAnsi="仿宋_GB2312" w:eastAsia="仿宋_GB2312" w:cs="仿宋_GB2312"/>
              </w:rPr>
              <w:t>%</w:t>
            </w:r>
          </w:p>
        </w:tc>
        <w:tc>
          <w:tcPr>
            <w:tcW w:w="1466" w:type="dxa"/>
          </w:tcPr>
          <w:p w14:paraId="762CD6F7">
            <w:pPr>
              <w:pStyle w:val="4"/>
              <w:jc w:val="center"/>
            </w:pPr>
            <w:r>
              <w:rPr>
                <w:rFonts w:ascii="仿宋_GB2312" w:hAnsi="仿宋_GB2312" w:eastAsia="仿宋_GB2312" w:cs="仿宋_GB2312"/>
              </w:rPr>
              <w:t>100.00</w:t>
            </w:r>
          </w:p>
        </w:tc>
        <w:tc>
          <w:tcPr>
            <w:tcW w:w="977" w:type="dxa"/>
          </w:tcPr>
          <w:p w14:paraId="5CD912AE">
            <w:pPr>
              <w:pStyle w:val="4"/>
              <w:jc w:val="center"/>
            </w:pPr>
            <w:r>
              <w:rPr>
                <w:rFonts w:ascii="仿宋_GB2312" w:hAnsi="仿宋_GB2312" w:eastAsia="仿宋_GB2312" w:cs="仿宋_GB2312"/>
              </w:rPr>
              <w:t>百分比</w:t>
            </w:r>
          </w:p>
        </w:tc>
        <w:tc>
          <w:tcPr>
            <w:tcW w:w="1466" w:type="dxa"/>
          </w:tcPr>
          <w:p w14:paraId="705FCA3B">
            <w:pPr>
              <w:pStyle w:val="4"/>
              <w:jc w:val="left"/>
            </w:pPr>
            <w:r>
              <w:rPr>
                <w:rFonts w:ascii="仿宋_GB2312" w:hAnsi="仿宋_GB2312" w:eastAsia="仿宋_GB2312" w:cs="仿宋_GB2312"/>
              </w:rPr>
              <w:t>详见第三章3.4其他要求部分</w:t>
            </w:r>
          </w:p>
        </w:tc>
      </w:tr>
    </w:tbl>
    <w:p w14:paraId="3C5C2F9E">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555AA33E">
      <w:pPr>
        <w:pStyle w:val="4"/>
        <w:jc w:val="left"/>
        <w:outlineLvl w:val="3"/>
      </w:pPr>
      <w:r>
        <w:rPr>
          <w:rFonts w:ascii="仿宋_GB2312" w:hAnsi="仿宋_GB2312" w:eastAsia="仿宋_GB2312" w:cs="仿宋_GB2312"/>
          <w:b/>
          <w:sz w:val="24"/>
        </w:rPr>
        <w:t>本项目涉及核心产品：</w:t>
      </w:r>
    </w:p>
    <w:p w14:paraId="5BF3E24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A238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F644BF">
            <w:pPr>
              <w:pStyle w:val="4"/>
              <w:jc w:val="center"/>
            </w:pPr>
            <w:r>
              <w:rPr>
                <w:rFonts w:ascii="仿宋_GB2312" w:hAnsi="仿宋_GB2312" w:eastAsia="仿宋_GB2312" w:cs="仿宋_GB2312"/>
              </w:rPr>
              <w:t>序号</w:t>
            </w:r>
          </w:p>
        </w:tc>
        <w:tc>
          <w:tcPr>
            <w:tcW w:w="2492" w:type="dxa"/>
          </w:tcPr>
          <w:p w14:paraId="777B4A60">
            <w:pPr>
              <w:pStyle w:val="4"/>
              <w:jc w:val="center"/>
            </w:pPr>
            <w:r>
              <w:rPr>
                <w:rFonts w:ascii="仿宋_GB2312" w:hAnsi="仿宋_GB2312" w:eastAsia="仿宋_GB2312" w:cs="仿宋_GB2312"/>
              </w:rPr>
              <w:t>采购品目名称</w:t>
            </w:r>
          </w:p>
        </w:tc>
        <w:tc>
          <w:tcPr>
            <w:tcW w:w="2492" w:type="dxa"/>
          </w:tcPr>
          <w:p w14:paraId="3413C32D">
            <w:pPr>
              <w:pStyle w:val="4"/>
              <w:jc w:val="center"/>
            </w:pPr>
            <w:r>
              <w:rPr>
                <w:rFonts w:ascii="仿宋_GB2312" w:hAnsi="仿宋_GB2312" w:eastAsia="仿宋_GB2312" w:cs="仿宋_GB2312"/>
              </w:rPr>
              <w:t>标的名称</w:t>
            </w:r>
          </w:p>
        </w:tc>
        <w:tc>
          <w:tcPr>
            <w:tcW w:w="2492" w:type="dxa"/>
          </w:tcPr>
          <w:p w14:paraId="1871EA9C">
            <w:pPr>
              <w:pStyle w:val="4"/>
              <w:jc w:val="center"/>
            </w:pPr>
            <w:r>
              <w:rPr>
                <w:rFonts w:ascii="仿宋_GB2312" w:hAnsi="仿宋_GB2312" w:eastAsia="仿宋_GB2312" w:cs="仿宋_GB2312"/>
              </w:rPr>
              <w:t>产品名称</w:t>
            </w:r>
          </w:p>
        </w:tc>
      </w:tr>
      <w:tr w14:paraId="5975A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824E03E">
            <w:pPr>
              <w:pStyle w:val="4"/>
              <w:jc w:val="center"/>
            </w:pPr>
            <w:r>
              <w:rPr>
                <w:rFonts w:ascii="仿宋_GB2312" w:hAnsi="仿宋_GB2312" w:eastAsia="仿宋_GB2312" w:cs="仿宋_GB2312"/>
              </w:rPr>
              <w:t>不涉及</w:t>
            </w:r>
          </w:p>
        </w:tc>
      </w:tr>
    </w:tbl>
    <w:p w14:paraId="7BCC00A6">
      <w:pPr>
        <w:pStyle w:val="4"/>
        <w:ind w:firstLine="480"/>
        <w:jc w:val="left"/>
      </w:pPr>
      <w:r>
        <w:rPr>
          <w:rFonts w:ascii="仿宋_GB2312" w:hAnsi="仿宋_GB2312" w:eastAsia="仿宋_GB2312" w:cs="仿宋_GB2312"/>
        </w:rPr>
        <w:t>注：涉及核心产品的，具体评审规定见第五章。</w:t>
      </w:r>
    </w:p>
    <w:p w14:paraId="408C10D7">
      <w:pPr>
        <w:pStyle w:val="4"/>
        <w:jc w:val="left"/>
        <w:outlineLvl w:val="3"/>
      </w:pPr>
      <w:r>
        <w:rPr>
          <w:rFonts w:ascii="仿宋_GB2312" w:hAnsi="仿宋_GB2312" w:eastAsia="仿宋_GB2312" w:cs="仿宋_GB2312"/>
          <w:b/>
          <w:sz w:val="24"/>
        </w:rPr>
        <w:t>本项目涉及采购进口产品：</w:t>
      </w:r>
    </w:p>
    <w:p w14:paraId="6A70F11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7FFF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ECDC9A">
            <w:pPr>
              <w:pStyle w:val="4"/>
              <w:jc w:val="center"/>
            </w:pPr>
            <w:r>
              <w:rPr>
                <w:rFonts w:ascii="仿宋_GB2312" w:hAnsi="仿宋_GB2312" w:eastAsia="仿宋_GB2312" w:cs="仿宋_GB2312"/>
              </w:rPr>
              <w:t>序号</w:t>
            </w:r>
          </w:p>
        </w:tc>
        <w:tc>
          <w:tcPr>
            <w:tcW w:w="2492" w:type="dxa"/>
          </w:tcPr>
          <w:p w14:paraId="01E372AA">
            <w:pPr>
              <w:pStyle w:val="4"/>
              <w:jc w:val="center"/>
            </w:pPr>
            <w:r>
              <w:rPr>
                <w:rFonts w:ascii="仿宋_GB2312" w:hAnsi="仿宋_GB2312" w:eastAsia="仿宋_GB2312" w:cs="仿宋_GB2312"/>
              </w:rPr>
              <w:t>采购品目名称</w:t>
            </w:r>
          </w:p>
        </w:tc>
        <w:tc>
          <w:tcPr>
            <w:tcW w:w="2492" w:type="dxa"/>
          </w:tcPr>
          <w:p w14:paraId="665811DA">
            <w:pPr>
              <w:pStyle w:val="4"/>
              <w:jc w:val="center"/>
            </w:pPr>
            <w:r>
              <w:rPr>
                <w:rFonts w:ascii="仿宋_GB2312" w:hAnsi="仿宋_GB2312" w:eastAsia="仿宋_GB2312" w:cs="仿宋_GB2312"/>
              </w:rPr>
              <w:t>标的名称</w:t>
            </w:r>
          </w:p>
        </w:tc>
        <w:tc>
          <w:tcPr>
            <w:tcW w:w="2492" w:type="dxa"/>
          </w:tcPr>
          <w:p w14:paraId="4E3BCCDC">
            <w:pPr>
              <w:pStyle w:val="4"/>
              <w:jc w:val="center"/>
            </w:pPr>
            <w:r>
              <w:rPr>
                <w:rFonts w:ascii="仿宋_GB2312" w:hAnsi="仿宋_GB2312" w:eastAsia="仿宋_GB2312" w:cs="仿宋_GB2312"/>
              </w:rPr>
              <w:t>产品名称</w:t>
            </w:r>
          </w:p>
        </w:tc>
      </w:tr>
      <w:tr w14:paraId="12AFE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4BB00CD">
            <w:pPr>
              <w:pStyle w:val="4"/>
              <w:jc w:val="center"/>
            </w:pPr>
            <w:r>
              <w:rPr>
                <w:rFonts w:ascii="仿宋_GB2312" w:hAnsi="仿宋_GB2312" w:eastAsia="仿宋_GB2312" w:cs="仿宋_GB2312"/>
              </w:rPr>
              <w:t>不涉及</w:t>
            </w:r>
          </w:p>
        </w:tc>
      </w:tr>
    </w:tbl>
    <w:p w14:paraId="76ABB9A7">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7D96040">
      <w:pPr>
        <w:pStyle w:val="4"/>
        <w:jc w:val="left"/>
        <w:outlineLvl w:val="3"/>
      </w:pPr>
      <w:r>
        <w:rPr>
          <w:rFonts w:ascii="仿宋_GB2312" w:hAnsi="仿宋_GB2312" w:eastAsia="仿宋_GB2312" w:cs="仿宋_GB2312"/>
          <w:b/>
          <w:sz w:val="24"/>
        </w:rPr>
        <w:t>本项目涉及强制采购节能产品：</w:t>
      </w:r>
    </w:p>
    <w:p w14:paraId="6785913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575A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DF5826">
            <w:pPr>
              <w:pStyle w:val="4"/>
              <w:jc w:val="center"/>
            </w:pPr>
            <w:r>
              <w:rPr>
                <w:rFonts w:ascii="仿宋_GB2312" w:hAnsi="仿宋_GB2312" w:eastAsia="仿宋_GB2312" w:cs="仿宋_GB2312"/>
              </w:rPr>
              <w:t>序号</w:t>
            </w:r>
          </w:p>
        </w:tc>
        <w:tc>
          <w:tcPr>
            <w:tcW w:w="2492" w:type="dxa"/>
          </w:tcPr>
          <w:p w14:paraId="39F5DCE1">
            <w:pPr>
              <w:pStyle w:val="4"/>
              <w:jc w:val="center"/>
            </w:pPr>
            <w:r>
              <w:rPr>
                <w:rFonts w:ascii="仿宋_GB2312" w:hAnsi="仿宋_GB2312" w:eastAsia="仿宋_GB2312" w:cs="仿宋_GB2312"/>
              </w:rPr>
              <w:t>采购品目名称</w:t>
            </w:r>
          </w:p>
        </w:tc>
        <w:tc>
          <w:tcPr>
            <w:tcW w:w="2492" w:type="dxa"/>
          </w:tcPr>
          <w:p w14:paraId="5540A9DF">
            <w:pPr>
              <w:pStyle w:val="4"/>
              <w:jc w:val="center"/>
            </w:pPr>
            <w:r>
              <w:rPr>
                <w:rFonts w:ascii="仿宋_GB2312" w:hAnsi="仿宋_GB2312" w:eastAsia="仿宋_GB2312" w:cs="仿宋_GB2312"/>
              </w:rPr>
              <w:t>标的名称</w:t>
            </w:r>
          </w:p>
        </w:tc>
        <w:tc>
          <w:tcPr>
            <w:tcW w:w="2492" w:type="dxa"/>
          </w:tcPr>
          <w:p w14:paraId="44208C8B">
            <w:pPr>
              <w:pStyle w:val="4"/>
              <w:jc w:val="center"/>
            </w:pPr>
            <w:r>
              <w:rPr>
                <w:rFonts w:ascii="仿宋_GB2312" w:hAnsi="仿宋_GB2312" w:eastAsia="仿宋_GB2312" w:cs="仿宋_GB2312"/>
              </w:rPr>
              <w:t>产品名称</w:t>
            </w:r>
          </w:p>
        </w:tc>
      </w:tr>
      <w:tr w14:paraId="25CB1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6EB122B">
            <w:pPr>
              <w:pStyle w:val="4"/>
              <w:jc w:val="center"/>
            </w:pPr>
            <w:r>
              <w:rPr>
                <w:rFonts w:ascii="仿宋_GB2312" w:hAnsi="仿宋_GB2312" w:eastAsia="仿宋_GB2312" w:cs="仿宋_GB2312"/>
              </w:rPr>
              <w:t>不涉及</w:t>
            </w:r>
          </w:p>
        </w:tc>
      </w:tr>
    </w:tbl>
    <w:p w14:paraId="7E847B9F">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2A44A8BD">
      <w:pPr>
        <w:pStyle w:val="4"/>
        <w:jc w:val="left"/>
      </w:pPr>
      <w:r>
        <w:rPr>
          <w:rFonts w:ascii="仿宋_GB2312" w:hAnsi="仿宋_GB2312" w:eastAsia="仿宋_GB2312" w:cs="仿宋_GB2312"/>
          <w:b/>
        </w:rPr>
        <w:t>本项目涉及优先采购节能产品：</w:t>
      </w:r>
    </w:p>
    <w:p w14:paraId="1C3BB89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7EB5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28DB62">
            <w:pPr>
              <w:pStyle w:val="4"/>
              <w:jc w:val="center"/>
            </w:pPr>
            <w:r>
              <w:rPr>
                <w:rFonts w:ascii="仿宋_GB2312" w:hAnsi="仿宋_GB2312" w:eastAsia="仿宋_GB2312" w:cs="仿宋_GB2312"/>
              </w:rPr>
              <w:t>序号</w:t>
            </w:r>
          </w:p>
        </w:tc>
        <w:tc>
          <w:tcPr>
            <w:tcW w:w="2492" w:type="dxa"/>
          </w:tcPr>
          <w:p w14:paraId="024A81D6">
            <w:pPr>
              <w:pStyle w:val="4"/>
              <w:jc w:val="center"/>
            </w:pPr>
            <w:r>
              <w:rPr>
                <w:rFonts w:ascii="仿宋_GB2312" w:hAnsi="仿宋_GB2312" w:eastAsia="仿宋_GB2312" w:cs="仿宋_GB2312"/>
              </w:rPr>
              <w:t>采购品目名称</w:t>
            </w:r>
          </w:p>
        </w:tc>
        <w:tc>
          <w:tcPr>
            <w:tcW w:w="2492" w:type="dxa"/>
          </w:tcPr>
          <w:p w14:paraId="646A2E92">
            <w:pPr>
              <w:pStyle w:val="4"/>
              <w:jc w:val="center"/>
            </w:pPr>
            <w:r>
              <w:rPr>
                <w:rFonts w:ascii="仿宋_GB2312" w:hAnsi="仿宋_GB2312" w:eastAsia="仿宋_GB2312" w:cs="仿宋_GB2312"/>
              </w:rPr>
              <w:t>标的名称</w:t>
            </w:r>
          </w:p>
        </w:tc>
        <w:tc>
          <w:tcPr>
            <w:tcW w:w="2492" w:type="dxa"/>
          </w:tcPr>
          <w:p w14:paraId="50BF0166">
            <w:pPr>
              <w:pStyle w:val="4"/>
              <w:jc w:val="center"/>
            </w:pPr>
            <w:r>
              <w:rPr>
                <w:rFonts w:ascii="仿宋_GB2312" w:hAnsi="仿宋_GB2312" w:eastAsia="仿宋_GB2312" w:cs="仿宋_GB2312"/>
              </w:rPr>
              <w:t>产品名称</w:t>
            </w:r>
          </w:p>
        </w:tc>
      </w:tr>
      <w:tr w14:paraId="4DDBE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E2457BA">
            <w:pPr>
              <w:pStyle w:val="4"/>
              <w:jc w:val="center"/>
            </w:pPr>
            <w:r>
              <w:rPr>
                <w:rFonts w:ascii="仿宋_GB2312" w:hAnsi="仿宋_GB2312" w:eastAsia="仿宋_GB2312" w:cs="仿宋_GB2312"/>
              </w:rPr>
              <w:t>不涉及</w:t>
            </w:r>
          </w:p>
        </w:tc>
      </w:tr>
    </w:tbl>
    <w:p w14:paraId="4555E06F">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C2FA57C">
      <w:pPr>
        <w:pStyle w:val="4"/>
        <w:jc w:val="left"/>
        <w:outlineLvl w:val="3"/>
      </w:pPr>
      <w:r>
        <w:rPr>
          <w:rFonts w:ascii="仿宋_GB2312" w:hAnsi="仿宋_GB2312" w:eastAsia="仿宋_GB2312" w:cs="仿宋_GB2312"/>
          <w:b/>
          <w:sz w:val="24"/>
        </w:rPr>
        <w:t>本项目涉及优先采购环境标志产品：</w:t>
      </w:r>
    </w:p>
    <w:p w14:paraId="2758D50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E051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BC376B">
            <w:pPr>
              <w:pStyle w:val="4"/>
              <w:jc w:val="center"/>
            </w:pPr>
            <w:r>
              <w:rPr>
                <w:rFonts w:ascii="仿宋_GB2312" w:hAnsi="仿宋_GB2312" w:eastAsia="仿宋_GB2312" w:cs="仿宋_GB2312"/>
              </w:rPr>
              <w:t>序号</w:t>
            </w:r>
          </w:p>
        </w:tc>
        <w:tc>
          <w:tcPr>
            <w:tcW w:w="2492" w:type="dxa"/>
          </w:tcPr>
          <w:p w14:paraId="06B95A27">
            <w:pPr>
              <w:pStyle w:val="4"/>
              <w:jc w:val="center"/>
            </w:pPr>
            <w:r>
              <w:rPr>
                <w:rFonts w:ascii="仿宋_GB2312" w:hAnsi="仿宋_GB2312" w:eastAsia="仿宋_GB2312" w:cs="仿宋_GB2312"/>
              </w:rPr>
              <w:t>采购品目名称</w:t>
            </w:r>
          </w:p>
        </w:tc>
        <w:tc>
          <w:tcPr>
            <w:tcW w:w="2492" w:type="dxa"/>
          </w:tcPr>
          <w:p w14:paraId="5E4250C2">
            <w:pPr>
              <w:pStyle w:val="4"/>
              <w:jc w:val="center"/>
            </w:pPr>
            <w:r>
              <w:rPr>
                <w:rFonts w:ascii="仿宋_GB2312" w:hAnsi="仿宋_GB2312" w:eastAsia="仿宋_GB2312" w:cs="仿宋_GB2312"/>
              </w:rPr>
              <w:t>标的名称</w:t>
            </w:r>
          </w:p>
        </w:tc>
        <w:tc>
          <w:tcPr>
            <w:tcW w:w="2492" w:type="dxa"/>
          </w:tcPr>
          <w:p w14:paraId="6536F0F8">
            <w:pPr>
              <w:pStyle w:val="4"/>
              <w:jc w:val="center"/>
            </w:pPr>
            <w:r>
              <w:rPr>
                <w:rFonts w:ascii="仿宋_GB2312" w:hAnsi="仿宋_GB2312" w:eastAsia="仿宋_GB2312" w:cs="仿宋_GB2312"/>
              </w:rPr>
              <w:t>产品名称</w:t>
            </w:r>
          </w:p>
        </w:tc>
      </w:tr>
      <w:tr w14:paraId="79634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7A9EB7D">
            <w:pPr>
              <w:pStyle w:val="4"/>
              <w:jc w:val="center"/>
            </w:pPr>
            <w:r>
              <w:rPr>
                <w:rFonts w:ascii="仿宋_GB2312" w:hAnsi="仿宋_GB2312" w:eastAsia="仿宋_GB2312" w:cs="仿宋_GB2312"/>
              </w:rPr>
              <w:t>不涉及</w:t>
            </w:r>
          </w:p>
        </w:tc>
      </w:tr>
    </w:tbl>
    <w:p w14:paraId="687AFADF">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D9EC4E2">
      <w:pPr>
        <w:pStyle w:val="4"/>
        <w:jc w:val="left"/>
        <w:outlineLvl w:val="2"/>
      </w:pPr>
      <w:r>
        <w:rPr>
          <w:rFonts w:ascii="仿宋_GB2312" w:hAnsi="仿宋_GB2312" w:eastAsia="仿宋_GB2312" w:cs="仿宋_GB2312"/>
          <w:b/>
          <w:sz w:val="28"/>
        </w:rPr>
        <w:t>3.2.技术要求</w:t>
      </w:r>
    </w:p>
    <w:p w14:paraId="1B5A34C3">
      <w:pPr>
        <w:pStyle w:val="4"/>
        <w:jc w:val="left"/>
      </w:pPr>
      <w:r>
        <w:rPr>
          <w:rFonts w:ascii="仿宋_GB2312" w:hAnsi="仿宋_GB2312" w:eastAsia="仿宋_GB2312" w:cs="仿宋_GB2312"/>
        </w:rPr>
        <w:t>采购包1：</w:t>
      </w:r>
    </w:p>
    <w:p w14:paraId="3B499CE5">
      <w:pPr>
        <w:pStyle w:val="4"/>
        <w:jc w:val="left"/>
      </w:pPr>
      <w:r>
        <w:rPr>
          <w:rFonts w:ascii="仿宋_GB2312" w:hAnsi="仿宋_GB2312" w:eastAsia="仿宋_GB2312" w:cs="仿宋_GB2312"/>
        </w:rPr>
        <w:t>标的名称：2026年度零星城市市政基础设施维修服务采购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E29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1B2204">
            <w:pPr>
              <w:pStyle w:val="4"/>
              <w:jc w:val="center"/>
            </w:pPr>
            <w:r>
              <w:rPr>
                <w:rFonts w:ascii="仿宋_GB2312" w:hAnsi="仿宋_GB2312" w:eastAsia="仿宋_GB2312" w:cs="仿宋_GB2312"/>
              </w:rPr>
              <w:t>序号</w:t>
            </w:r>
          </w:p>
        </w:tc>
        <w:tc>
          <w:tcPr>
            <w:tcW w:w="581" w:type="dxa"/>
          </w:tcPr>
          <w:p w14:paraId="37803206">
            <w:pPr>
              <w:pStyle w:val="4"/>
              <w:jc w:val="center"/>
            </w:pPr>
            <w:r>
              <w:rPr>
                <w:rFonts w:ascii="仿宋_GB2312" w:hAnsi="仿宋_GB2312" w:eastAsia="仿宋_GB2312" w:cs="仿宋_GB2312"/>
              </w:rPr>
              <w:t>符号标识</w:t>
            </w:r>
          </w:p>
        </w:tc>
        <w:tc>
          <w:tcPr>
            <w:tcW w:w="1495" w:type="dxa"/>
          </w:tcPr>
          <w:p w14:paraId="56D00DE3">
            <w:pPr>
              <w:pStyle w:val="4"/>
              <w:jc w:val="center"/>
            </w:pPr>
            <w:r>
              <w:rPr>
                <w:rFonts w:ascii="仿宋_GB2312" w:hAnsi="仿宋_GB2312" w:eastAsia="仿宋_GB2312" w:cs="仿宋_GB2312"/>
              </w:rPr>
              <w:t>技术要求名称</w:t>
            </w:r>
          </w:p>
        </w:tc>
        <w:tc>
          <w:tcPr>
            <w:tcW w:w="5814" w:type="dxa"/>
          </w:tcPr>
          <w:p w14:paraId="46EB1455">
            <w:pPr>
              <w:pStyle w:val="4"/>
              <w:jc w:val="center"/>
            </w:pPr>
            <w:r>
              <w:rPr>
                <w:rFonts w:ascii="仿宋_GB2312" w:hAnsi="仿宋_GB2312" w:eastAsia="仿宋_GB2312" w:cs="仿宋_GB2312"/>
              </w:rPr>
              <w:t>技术参数与性能指标</w:t>
            </w:r>
          </w:p>
        </w:tc>
      </w:tr>
      <w:tr w14:paraId="3F8B8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2FC0EB">
            <w:pPr>
              <w:pStyle w:val="4"/>
              <w:jc w:val="center"/>
            </w:pPr>
            <w:r>
              <w:rPr>
                <w:rFonts w:ascii="仿宋_GB2312" w:hAnsi="仿宋_GB2312" w:eastAsia="仿宋_GB2312" w:cs="仿宋_GB2312"/>
              </w:rPr>
              <w:t>1</w:t>
            </w:r>
          </w:p>
        </w:tc>
        <w:tc>
          <w:tcPr>
            <w:tcW w:w="581" w:type="dxa"/>
          </w:tcPr>
          <w:p w14:paraId="14999443">
            <w:pPr>
              <w:pStyle w:val="4"/>
              <w:jc w:val="center"/>
            </w:pPr>
            <w:r>
              <w:rPr>
                <w:rFonts w:ascii="仿宋_GB2312" w:hAnsi="仿宋_GB2312" w:eastAsia="仿宋_GB2312" w:cs="仿宋_GB2312"/>
              </w:rPr>
              <w:t>★</w:t>
            </w:r>
          </w:p>
        </w:tc>
        <w:tc>
          <w:tcPr>
            <w:tcW w:w="1495" w:type="dxa"/>
          </w:tcPr>
          <w:p w14:paraId="2D2A5B3D">
            <w:pPr>
              <w:pStyle w:val="4"/>
              <w:jc w:val="left"/>
            </w:pPr>
            <w:r>
              <w:rPr>
                <w:rFonts w:ascii="仿宋_GB2312" w:hAnsi="仿宋_GB2312" w:eastAsia="仿宋_GB2312" w:cs="仿宋_GB2312"/>
              </w:rPr>
              <w:t>技术、服务清单及要求</w:t>
            </w:r>
          </w:p>
        </w:tc>
        <w:tc>
          <w:tcPr>
            <w:tcW w:w="5814" w:type="dxa"/>
          </w:tcPr>
          <w:p w14:paraId="29A5DCC6">
            <w:pPr>
              <w:pStyle w:val="4"/>
              <w:ind w:firstLine="480"/>
              <w:jc w:val="left"/>
            </w:pPr>
            <w:r>
              <w:rPr>
                <w:rFonts w:ascii="仿宋_GB2312" w:hAnsi="仿宋_GB2312" w:eastAsia="仿宋_GB2312" w:cs="仿宋_GB2312"/>
                <w:color w:val="000000"/>
                <w:sz w:val="21"/>
              </w:rPr>
              <w:t>（一）技术、服务清单（详见附件4：高县综合行政执法局2026年度零星城市市政基础设施维修项目）</w:t>
            </w:r>
          </w:p>
          <w:p w14:paraId="2A72DC49">
            <w:pPr>
              <w:pStyle w:val="4"/>
              <w:ind w:firstLine="480"/>
              <w:jc w:val="left"/>
            </w:pPr>
            <w:r>
              <w:rPr>
                <w:rFonts w:ascii="仿宋_GB2312" w:hAnsi="仿宋_GB2312" w:eastAsia="仿宋_GB2312" w:cs="仿宋_GB2312"/>
                <w:color w:val="000000"/>
                <w:sz w:val="21"/>
              </w:rPr>
              <w:t>（二）服务要求</w:t>
            </w:r>
          </w:p>
          <w:p w14:paraId="64111F66">
            <w:pPr>
              <w:pStyle w:val="4"/>
              <w:ind w:firstLine="480"/>
              <w:jc w:val="left"/>
            </w:pPr>
            <w:r>
              <w:rPr>
                <w:rFonts w:ascii="仿宋_GB2312" w:hAnsi="仿宋_GB2312" w:eastAsia="仿宋_GB2312" w:cs="仿宋_GB2312"/>
                <w:color w:val="000000"/>
                <w:sz w:val="21"/>
              </w:rPr>
              <w:t>1、成交供应商须在项目所在地配备专门的办公场所和满足日常维修需求的材料库房。</w:t>
            </w:r>
          </w:p>
          <w:p w14:paraId="0ADCDD9D">
            <w:pPr>
              <w:pStyle w:val="4"/>
              <w:ind w:firstLine="480"/>
              <w:jc w:val="left"/>
            </w:pPr>
            <w:r>
              <w:rPr>
                <w:rFonts w:ascii="仿宋_GB2312" w:hAnsi="仿宋_GB2312" w:eastAsia="仿宋_GB2312" w:cs="仿宋_GB2312"/>
                <w:color w:val="000000"/>
                <w:sz w:val="21"/>
              </w:rPr>
              <w:t>2、坚持“早、快、严”的服务原则，为市民大众提供安全、功能完善的市政基础设施。</w:t>
            </w:r>
          </w:p>
          <w:p w14:paraId="18D7A221">
            <w:pPr>
              <w:pStyle w:val="4"/>
              <w:ind w:firstLine="480"/>
              <w:jc w:val="left"/>
            </w:pPr>
            <w:r>
              <w:rPr>
                <w:rFonts w:ascii="仿宋_GB2312" w:hAnsi="仿宋_GB2312" w:eastAsia="仿宋_GB2312" w:cs="仿宋_GB2312"/>
                <w:color w:val="000000"/>
                <w:sz w:val="21"/>
              </w:rPr>
              <w:t>3、市政设施维护应严格按照建设部颁布的《市政设施养护规范》等有关市政设施管理规定进行维护，达到“五无 ”(无隐患、无坑洞、无积水、无缺损、无堵塞)，实现“道路平整、排水畅通、桥梁牢固、设施完好、设施安全 ”的标准。</w:t>
            </w:r>
          </w:p>
          <w:p w14:paraId="27FB5523">
            <w:pPr>
              <w:pStyle w:val="4"/>
              <w:ind w:firstLine="480"/>
              <w:jc w:val="left"/>
            </w:pPr>
            <w:r>
              <w:rPr>
                <w:rFonts w:ascii="仿宋_GB2312" w:hAnsi="仿宋_GB2312" w:eastAsia="仿宋_GB2312" w:cs="仿宋_GB2312"/>
                <w:color w:val="000000"/>
                <w:sz w:val="21"/>
              </w:rPr>
              <w:t>4、 市政基础设施管理人员、维修维护人员每月必须开展不少于一次的安全生产培训和教育，在工作时必须统一穿着有反光标志印有“高县市政维护”的服装。</w:t>
            </w:r>
          </w:p>
          <w:p w14:paraId="120E28B6">
            <w:pPr>
              <w:pStyle w:val="4"/>
              <w:ind w:firstLine="480"/>
              <w:jc w:val="left"/>
            </w:pPr>
            <w:r>
              <w:rPr>
                <w:rFonts w:ascii="仿宋_GB2312" w:hAnsi="仿宋_GB2312" w:eastAsia="仿宋_GB2312" w:cs="仿宋_GB2312"/>
                <w:color w:val="000000"/>
                <w:sz w:val="21"/>
              </w:rPr>
              <w:t>5、当巡查发现市政基础设施安全隐患，维修维护人员应根据通知（安排）及时响应，十五分钟内赶赴现场以高效、安全、优质的标准做好市政基础设施的维修维护，及时消除安全隐患并将处理结果拍照记录，需要养护的做好警示标志，防止发生安全事故。并将处理结果反馈给采购人和巡查人员。</w:t>
            </w:r>
          </w:p>
          <w:p w14:paraId="49518F07">
            <w:pPr>
              <w:pStyle w:val="4"/>
              <w:ind w:firstLine="480"/>
              <w:jc w:val="left"/>
            </w:pPr>
            <w:r>
              <w:rPr>
                <w:rFonts w:ascii="仿宋_GB2312" w:hAnsi="仿宋_GB2312" w:eastAsia="仿宋_GB2312" w:cs="仿宋_GB2312"/>
                <w:color w:val="000000"/>
                <w:sz w:val="21"/>
              </w:rPr>
              <w:t>6、零星市政基础设施维修维护需根据采购人的计划安排进行维修、维护处理。</w:t>
            </w:r>
          </w:p>
          <w:p w14:paraId="09148F2A">
            <w:pPr>
              <w:pStyle w:val="4"/>
              <w:ind w:firstLine="480"/>
              <w:jc w:val="left"/>
            </w:pPr>
            <w:r>
              <w:rPr>
                <w:rFonts w:ascii="仿宋_GB2312" w:hAnsi="仿宋_GB2312" w:eastAsia="仿宋_GB2312" w:cs="仿宋_GB2312"/>
                <w:color w:val="000000"/>
                <w:sz w:val="21"/>
              </w:rPr>
              <w:t>7、市政基础设施维修维护应严格执行城市安全文明施工相关要求。</w:t>
            </w:r>
          </w:p>
          <w:p w14:paraId="399266EF">
            <w:pPr>
              <w:pStyle w:val="4"/>
              <w:ind w:firstLine="480"/>
              <w:jc w:val="left"/>
            </w:pPr>
            <w:r>
              <w:rPr>
                <w:rFonts w:ascii="仿宋_GB2312" w:hAnsi="仿宋_GB2312" w:eastAsia="仿宋_GB2312" w:cs="仿宋_GB2312"/>
                <w:color w:val="000000"/>
                <w:sz w:val="21"/>
              </w:rPr>
              <w:t>8、市政基础设施维修企业，应加强安全生产工作，确保工作人员、维护人员、市政维修工程、市政基础设施的安全，并对因维护不及时、维护质量不合格等造成的安全责任事故承担全部责任。</w:t>
            </w:r>
          </w:p>
          <w:p w14:paraId="3DD2FB0D">
            <w:pPr>
              <w:pStyle w:val="4"/>
              <w:ind w:firstLine="480"/>
              <w:jc w:val="left"/>
            </w:pPr>
            <w:r>
              <w:rPr>
                <w:rFonts w:ascii="仿宋_GB2312" w:hAnsi="仿宋_GB2312" w:eastAsia="仿宋_GB2312" w:cs="仿宋_GB2312"/>
                <w:color w:val="000000"/>
                <w:sz w:val="21"/>
              </w:rPr>
              <w:t>9、质量要求：合格。</w:t>
            </w:r>
          </w:p>
          <w:p w14:paraId="35E2811C">
            <w:pPr>
              <w:pStyle w:val="4"/>
              <w:ind w:firstLine="420"/>
              <w:jc w:val="left"/>
            </w:pPr>
            <w:r>
              <w:rPr>
                <w:rFonts w:ascii="仿宋_GB2312" w:hAnsi="仿宋_GB2312" w:eastAsia="仿宋_GB2312" w:cs="仿宋_GB2312"/>
                <w:color w:val="000000"/>
                <w:sz w:val="21"/>
              </w:rPr>
              <w:t>10、本项目最高限价100万元系一年的最高限价，每月按实结算，供应商每年据实结算金额累计达100万元时，当年合同自动终止。履约期间，采购人将依据考核细则对服务质量、履约能力、工作成效等实施全过程动态考核。在年度考核合格、财政预算保障且双方无异议的前提下，可逐年续签服务合同，续签期限累计不超过2年。若出现考核不合格、履约未达标或预算无法保障等情形，采购人有权终止合作并不再续签，将重新组织采购。</w:t>
            </w:r>
          </w:p>
          <w:p w14:paraId="51357896">
            <w:pPr>
              <w:pStyle w:val="4"/>
              <w:jc w:val="left"/>
            </w:pPr>
            <w:r>
              <w:rPr>
                <w:rFonts w:ascii="仿宋_GB2312" w:hAnsi="仿宋_GB2312" w:eastAsia="仿宋_GB2312" w:cs="仿宋_GB2312"/>
                <w:color w:val="000000"/>
                <w:sz w:val="21"/>
              </w:rPr>
              <w:t>11、 质保期：一年。在质保期内(人为损坏因素除外)出现质量问题，成交供应商应无条件更换。</w:t>
            </w:r>
          </w:p>
          <w:p w14:paraId="6F163EBF">
            <w:pPr>
              <w:pStyle w:val="4"/>
              <w:jc w:val="left"/>
            </w:pPr>
            <w:r>
              <w:rPr>
                <w:rFonts w:ascii="仿宋_GB2312" w:hAnsi="仿宋_GB2312" w:eastAsia="仿宋_GB2312" w:cs="仿宋_GB2312"/>
                <w:color w:val="000000"/>
                <w:sz w:val="21"/>
              </w:rPr>
              <w:t>12、本项目为固定单价合同，服务时限内不做任何调整。全费用综合单价已包含但不限于维修、维护（主材、辅材、运输、拆除安装更换、机械）、人工、保险、税费及磋商文件规定的其它全部费用。供应商须自行承担服务期内所有相关成本，采购方不再支付任何额外费用。</w:t>
            </w:r>
          </w:p>
        </w:tc>
      </w:tr>
      <w:tr w14:paraId="3B888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54B94B">
            <w:pPr>
              <w:pStyle w:val="4"/>
              <w:jc w:val="center"/>
            </w:pPr>
            <w:r>
              <w:rPr>
                <w:rFonts w:ascii="仿宋_GB2312" w:hAnsi="仿宋_GB2312" w:eastAsia="仿宋_GB2312" w:cs="仿宋_GB2312"/>
              </w:rPr>
              <w:t>2</w:t>
            </w:r>
          </w:p>
        </w:tc>
        <w:tc>
          <w:tcPr>
            <w:tcW w:w="581" w:type="dxa"/>
          </w:tcPr>
          <w:p w14:paraId="24B8A4B9">
            <w:pPr>
              <w:pStyle w:val="4"/>
              <w:jc w:val="center"/>
            </w:pPr>
            <w:r>
              <w:rPr>
                <w:rFonts w:ascii="仿宋_GB2312" w:hAnsi="仿宋_GB2312" w:eastAsia="仿宋_GB2312" w:cs="仿宋_GB2312"/>
              </w:rPr>
              <w:t>★</w:t>
            </w:r>
          </w:p>
        </w:tc>
        <w:tc>
          <w:tcPr>
            <w:tcW w:w="1495" w:type="dxa"/>
          </w:tcPr>
          <w:p w14:paraId="008A9DA0">
            <w:pPr>
              <w:pStyle w:val="4"/>
              <w:jc w:val="left"/>
            </w:pPr>
            <w:r>
              <w:rPr>
                <w:rFonts w:ascii="仿宋_GB2312" w:hAnsi="仿宋_GB2312" w:eastAsia="仿宋_GB2312" w:cs="仿宋_GB2312"/>
              </w:rPr>
              <w:t>技术、服务清单及要求</w:t>
            </w:r>
          </w:p>
        </w:tc>
        <w:tc>
          <w:tcPr>
            <w:tcW w:w="5814" w:type="dxa"/>
          </w:tcPr>
          <w:p w14:paraId="32FBB6FF">
            <w:pPr>
              <w:pStyle w:val="4"/>
              <w:jc w:val="left"/>
            </w:pPr>
            <w:r>
              <w:rPr>
                <w:rFonts w:ascii="仿宋_GB2312" w:hAnsi="仿宋_GB2312" w:eastAsia="仿宋_GB2312" w:cs="仿宋_GB2312"/>
                <w:color w:val="000000"/>
                <w:sz w:val="21"/>
              </w:rPr>
              <w:t>详见附件：附件4：高县综合行政执法局2026年度零星城市市政基础设施维修项目</w:t>
            </w:r>
          </w:p>
          <w:p w14:paraId="22F17DFD">
            <w:pPr>
              <w:pStyle w:val="4"/>
              <w:jc w:val="both"/>
            </w:pPr>
          </w:p>
        </w:tc>
      </w:tr>
      <w:tr w14:paraId="5AFAC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13FCC6">
            <w:pPr>
              <w:pStyle w:val="4"/>
              <w:jc w:val="center"/>
            </w:pPr>
            <w:r>
              <w:rPr>
                <w:rFonts w:ascii="仿宋_GB2312" w:hAnsi="仿宋_GB2312" w:eastAsia="仿宋_GB2312" w:cs="仿宋_GB2312"/>
              </w:rPr>
              <w:t>3</w:t>
            </w:r>
          </w:p>
        </w:tc>
        <w:tc>
          <w:tcPr>
            <w:tcW w:w="581" w:type="dxa"/>
          </w:tcPr>
          <w:p w14:paraId="6C87EF0C"/>
        </w:tc>
        <w:tc>
          <w:tcPr>
            <w:tcW w:w="1495" w:type="dxa"/>
          </w:tcPr>
          <w:p w14:paraId="46942E0F">
            <w:pPr>
              <w:pStyle w:val="4"/>
              <w:jc w:val="left"/>
            </w:pPr>
            <w:r>
              <w:rPr>
                <w:rFonts w:ascii="仿宋_GB2312" w:hAnsi="仿宋_GB2312" w:eastAsia="仿宋_GB2312" w:cs="仿宋_GB2312"/>
              </w:rPr>
              <w:t>其他服务要求</w:t>
            </w:r>
          </w:p>
        </w:tc>
        <w:tc>
          <w:tcPr>
            <w:tcW w:w="5814" w:type="dxa"/>
          </w:tcPr>
          <w:p w14:paraId="341C52AB">
            <w:pPr>
              <w:pStyle w:val="4"/>
              <w:ind w:firstLine="480"/>
              <w:jc w:val="left"/>
            </w:pPr>
            <w:r>
              <w:rPr>
                <w:rFonts w:ascii="仿宋_GB2312" w:hAnsi="仿宋_GB2312" w:eastAsia="仿宋_GB2312" w:cs="仿宋_GB2312"/>
                <w:sz w:val="24"/>
              </w:rPr>
              <w:t>(一) 供应商提供的服务方案内容包含：(1)管理制度；(2)人员岗位配置；(3) 人员岗位职责；(4)巡查管理办法；(5)质量保障措施；(6)进度保障措施；(7)巡查及施工期间安全保障措施；(8)施工方案；(9)紧急突发事件的应急预案与措施；（10）重大节假、迎检期间的保障方案。</w:t>
            </w:r>
          </w:p>
          <w:p w14:paraId="12BF8310">
            <w:pPr>
              <w:pStyle w:val="4"/>
              <w:ind w:firstLine="480"/>
              <w:jc w:val="left"/>
            </w:pPr>
            <w:r>
              <w:rPr>
                <w:rFonts w:ascii="仿宋_GB2312" w:hAnsi="仿宋_GB2312" w:eastAsia="仿宋_GB2312" w:cs="仿宋_GB2312"/>
                <w:sz w:val="24"/>
              </w:rPr>
              <w:t>（二）供应商提供的售后服务方案内容包含：(1)服务流程；(2)解决措施；(3)服务体系；(4) 工程交付后的服务措施。</w:t>
            </w:r>
          </w:p>
          <w:p w14:paraId="782EFFB3">
            <w:pPr>
              <w:pStyle w:val="4"/>
              <w:ind w:firstLine="240"/>
              <w:jc w:val="left"/>
            </w:pPr>
            <w:r>
              <w:rPr>
                <w:rFonts w:ascii="仿宋_GB2312" w:hAnsi="仿宋_GB2312" w:eastAsia="仿宋_GB2312" w:cs="仿宋_GB2312"/>
                <w:sz w:val="24"/>
              </w:rPr>
              <w:t>★（三）供应商承诺在合同签订后10日内须在项目所在地配备专门的办公场所和满足日常维修需求的材料库房。</w:t>
            </w:r>
            <w:r>
              <w:rPr>
                <w:rFonts w:ascii="仿宋_GB2312" w:hAnsi="仿宋_GB2312" w:eastAsia="仿宋_GB2312" w:cs="仿宋_GB2312"/>
                <w:b/>
                <w:sz w:val="24"/>
              </w:rPr>
              <w:t>（须在响应文件中单独提供承诺函，格式自拟）</w:t>
            </w:r>
            <w:r>
              <w:rPr>
                <w:rFonts w:ascii="仿宋_GB2312" w:hAnsi="仿宋_GB2312" w:eastAsia="仿宋_GB2312" w:cs="仿宋_GB2312"/>
                <w:sz w:val="24"/>
              </w:rPr>
              <w:t>。</w:t>
            </w:r>
          </w:p>
          <w:p w14:paraId="71B775A1">
            <w:pPr>
              <w:pStyle w:val="4"/>
              <w:ind w:firstLine="240"/>
              <w:jc w:val="left"/>
            </w:pPr>
            <w:r>
              <w:rPr>
                <w:rFonts w:ascii="仿宋_GB2312" w:hAnsi="仿宋_GB2312" w:eastAsia="仿宋_GB2312" w:cs="仿宋_GB2312"/>
                <w:sz w:val="24"/>
              </w:rPr>
              <w:t>★（四）供应商在接到采购人工作安排后，须在15分钟内到达现场进行处理在此期间应做好安全防护措施，如因供应商未做好安全防护措施或处理不及时导致的安全事故，责任将由供应商全权负责，供应商累计出现两次因未及时处理发生安全责任事故，采购人有权单方面终止合同。</w:t>
            </w:r>
            <w:r>
              <w:rPr>
                <w:rFonts w:ascii="仿宋_GB2312" w:hAnsi="仿宋_GB2312" w:eastAsia="仿宋_GB2312" w:cs="仿宋_GB2312"/>
                <w:b/>
                <w:sz w:val="24"/>
              </w:rPr>
              <w:t>（须在响应文件中单独提供承诺函，格式自拟）</w:t>
            </w:r>
            <w:r>
              <w:rPr>
                <w:rFonts w:ascii="仿宋_GB2312" w:hAnsi="仿宋_GB2312" w:eastAsia="仿宋_GB2312" w:cs="仿宋_GB2312"/>
                <w:sz w:val="24"/>
              </w:rPr>
              <w:t>。</w:t>
            </w:r>
          </w:p>
          <w:p w14:paraId="6D007E28">
            <w:pPr>
              <w:pStyle w:val="4"/>
              <w:ind w:firstLine="480"/>
              <w:jc w:val="left"/>
            </w:pPr>
            <w:r>
              <w:rPr>
                <w:rFonts w:ascii="仿宋_GB2312" w:hAnsi="仿宋_GB2312" w:eastAsia="仿宋_GB2312" w:cs="仿宋_GB2312"/>
                <w:sz w:val="24"/>
              </w:rPr>
              <w:t>★（五）配备维修维护作业车辆（巡查车、作业工具车）；具备市政基础设施维修维护工具（通风设备、防毒面具、气体检测报警器等）。</w:t>
            </w:r>
            <w:r>
              <w:rPr>
                <w:rFonts w:ascii="仿宋_GB2312" w:hAnsi="仿宋_GB2312" w:eastAsia="仿宋_GB2312" w:cs="仿宋_GB2312"/>
                <w:b/>
                <w:sz w:val="24"/>
              </w:rPr>
              <w:t>（须在响应文件中单独提供承诺函，格式自拟）</w:t>
            </w:r>
            <w:r>
              <w:rPr>
                <w:rFonts w:ascii="仿宋_GB2312" w:hAnsi="仿宋_GB2312" w:eastAsia="仿宋_GB2312" w:cs="仿宋_GB2312"/>
                <w:sz w:val="24"/>
              </w:rPr>
              <w:t>。</w:t>
            </w:r>
          </w:p>
          <w:p w14:paraId="59D23EB5">
            <w:pPr>
              <w:pStyle w:val="4"/>
              <w:ind w:firstLine="480"/>
              <w:jc w:val="left"/>
            </w:pPr>
            <w:r>
              <w:rPr>
                <w:rFonts w:ascii="仿宋_GB2312" w:hAnsi="仿宋_GB2312" w:eastAsia="仿宋_GB2312" w:cs="仿宋_GB2312"/>
                <w:sz w:val="24"/>
              </w:rPr>
              <w:t>（六）成交供应商在服务期间应安排专职巡查员对项目服务区域每天开展巡查工作，经采购人抽查未巡查的，采购人有权要求成交供应商按1000元/次支付违约金（应当巡查到的问题而未发现的，视为未巡查），1季度内如出现连续（或累计）3次抽查未巡查的，采购人有权单方面终止合同。</w:t>
            </w:r>
          </w:p>
          <w:p w14:paraId="67ADD412">
            <w:pPr>
              <w:pStyle w:val="4"/>
              <w:jc w:val="left"/>
            </w:pPr>
            <w:r>
              <w:rPr>
                <w:rFonts w:ascii="仿宋_GB2312" w:hAnsi="仿宋_GB2312" w:eastAsia="仿宋_GB2312" w:cs="仿宋_GB2312"/>
                <w:sz w:val="24"/>
              </w:rPr>
              <w:t>（七）组建专业的维修、维护队伍人员不得少于12人（维修队伍中包含项目负责人（安全负责人）和专职巡查员、维修人员）。</w:t>
            </w:r>
          </w:p>
          <w:p w14:paraId="7466B73C">
            <w:pPr>
              <w:pStyle w:val="4"/>
              <w:jc w:val="left"/>
            </w:pPr>
            <w:r>
              <w:rPr>
                <w:rFonts w:ascii="仿宋_GB2312" w:hAnsi="仿宋_GB2312" w:eastAsia="仿宋_GB2312" w:cs="仿宋_GB2312"/>
                <w:sz w:val="24"/>
              </w:rPr>
              <w:t>★（八）配置2名电工(提供电工特种作业操作证及在职证明材料)。</w:t>
            </w:r>
          </w:p>
        </w:tc>
      </w:tr>
    </w:tbl>
    <w:p w14:paraId="26A0F453">
      <w:pPr>
        <w:pStyle w:val="4"/>
        <w:jc w:val="left"/>
        <w:outlineLvl w:val="2"/>
      </w:pPr>
      <w:r>
        <w:rPr>
          <w:rFonts w:ascii="仿宋_GB2312" w:hAnsi="仿宋_GB2312" w:eastAsia="仿宋_GB2312" w:cs="仿宋_GB2312"/>
          <w:b/>
          <w:sz w:val="28"/>
        </w:rPr>
        <w:t>3.3.服务要求</w:t>
      </w:r>
    </w:p>
    <w:p w14:paraId="4A525341">
      <w:pPr>
        <w:pStyle w:val="4"/>
        <w:jc w:val="left"/>
        <w:outlineLvl w:val="3"/>
      </w:pPr>
      <w:r>
        <w:rPr>
          <w:rFonts w:ascii="仿宋_GB2312" w:hAnsi="仿宋_GB2312" w:eastAsia="仿宋_GB2312" w:cs="仿宋_GB2312"/>
          <w:b/>
          <w:sz w:val="24"/>
        </w:rPr>
        <w:t>3.3.1服务内容要求</w:t>
      </w:r>
    </w:p>
    <w:p w14:paraId="7649FF8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ECA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91B97D">
            <w:pPr>
              <w:pStyle w:val="4"/>
              <w:jc w:val="center"/>
            </w:pPr>
            <w:r>
              <w:rPr>
                <w:rFonts w:ascii="仿宋_GB2312" w:hAnsi="仿宋_GB2312" w:eastAsia="仿宋_GB2312" w:cs="仿宋_GB2312"/>
              </w:rPr>
              <w:t xml:space="preserve"> 序号</w:t>
            </w:r>
          </w:p>
        </w:tc>
        <w:tc>
          <w:tcPr>
            <w:tcW w:w="581" w:type="dxa"/>
          </w:tcPr>
          <w:p w14:paraId="667536F5">
            <w:pPr>
              <w:pStyle w:val="4"/>
              <w:jc w:val="center"/>
            </w:pPr>
            <w:r>
              <w:rPr>
                <w:rFonts w:ascii="仿宋_GB2312" w:hAnsi="仿宋_GB2312" w:eastAsia="仿宋_GB2312" w:cs="仿宋_GB2312"/>
              </w:rPr>
              <w:t xml:space="preserve"> 符号标识</w:t>
            </w:r>
          </w:p>
        </w:tc>
        <w:tc>
          <w:tcPr>
            <w:tcW w:w="1495" w:type="dxa"/>
          </w:tcPr>
          <w:p w14:paraId="09AE3BAB">
            <w:pPr>
              <w:pStyle w:val="4"/>
              <w:jc w:val="center"/>
            </w:pPr>
            <w:r>
              <w:rPr>
                <w:rFonts w:ascii="仿宋_GB2312" w:hAnsi="仿宋_GB2312" w:eastAsia="仿宋_GB2312" w:cs="仿宋_GB2312"/>
              </w:rPr>
              <w:t xml:space="preserve"> 服务要求名称</w:t>
            </w:r>
          </w:p>
        </w:tc>
        <w:tc>
          <w:tcPr>
            <w:tcW w:w="5814" w:type="dxa"/>
          </w:tcPr>
          <w:p w14:paraId="4437F634">
            <w:pPr>
              <w:pStyle w:val="4"/>
              <w:jc w:val="center"/>
            </w:pPr>
            <w:r>
              <w:rPr>
                <w:rFonts w:ascii="仿宋_GB2312" w:hAnsi="仿宋_GB2312" w:eastAsia="仿宋_GB2312" w:cs="仿宋_GB2312"/>
              </w:rPr>
              <w:t xml:space="preserve"> 服务要求内容</w:t>
            </w:r>
          </w:p>
        </w:tc>
      </w:tr>
      <w:tr w14:paraId="782FC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7D4E27DE">
            <w:pPr>
              <w:pStyle w:val="4"/>
              <w:jc w:val="center"/>
            </w:pPr>
            <w:r>
              <w:rPr>
                <w:rFonts w:ascii="仿宋_GB2312" w:hAnsi="仿宋_GB2312" w:eastAsia="仿宋_GB2312" w:cs="仿宋_GB2312"/>
              </w:rPr>
              <w:t>无</w:t>
            </w:r>
          </w:p>
        </w:tc>
      </w:tr>
    </w:tbl>
    <w:p w14:paraId="0EBBA538">
      <w:pPr>
        <w:pStyle w:val="4"/>
        <w:jc w:val="left"/>
        <w:outlineLvl w:val="3"/>
      </w:pPr>
      <w:r>
        <w:rPr>
          <w:rFonts w:ascii="仿宋_GB2312" w:hAnsi="仿宋_GB2312" w:eastAsia="仿宋_GB2312" w:cs="仿宋_GB2312"/>
          <w:b/>
          <w:sz w:val="24"/>
        </w:rPr>
        <w:t>3.3.2.商务要求</w:t>
      </w:r>
    </w:p>
    <w:p w14:paraId="508A3FF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0725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7B2CB9">
            <w:pPr>
              <w:pStyle w:val="4"/>
              <w:jc w:val="center"/>
            </w:pPr>
            <w:r>
              <w:rPr>
                <w:rFonts w:ascii="仿宋_GB2312" w:hAnsi="仿宋_GB2312" w:eastAsia="仿宋_GB2312" w:cs="仿宋_GB2312"/>
              </w:rPr>
              <w:t>序号</w:t>
            </w:r>
          </w:p>
        </w:tc>
        <w:tc>
          <w:tcPr>
            <w:tcW w:w="581" w:type="dxa"/>
          </w:tcPr>
          <w:p w14:paraId="461AB766">
            <w:pPr>
              <w:pStyle w:val="4"/>
              <w:jc w:val="center"/>
            </w:pPr>
            <w:r>
              <w:rPr>
                <w:rFonts w:ascii="仿宋_GB2312" w:hAnsi="仿宋_GB2312" w:eastAsia="仿宋_GB2312" w:cs="仿宋_GB2312"/>
              </w:rPr>
              <w:t>符号标识</w:t>
            </w:r>
          </w:p>
        </w:tc>
        <w:tc>
          <w:tcPr>
            <w:tcW w:w="1495" w:type="dxa"/>
          </w:tcPr>
          <w:p w14:paraId="4DBB6B85">
            <w:pPr>
              <w:pStyle w:val="4"/>
              <w:jc w:val="center"/>
            </w:pPr>
            <w:r>
              <w:rPr>
                <w:rFonts w:ascii="仿宋_GB2312" w:hAnsi="仿宋_GB2312" w:eastAsia="仿宋_GB2312" w:cs="仿宋_GB2312"/>
              </w:rPr>
              <w:t>商务要求名称</w:t>
            </w:r>
          </w:p>
        </w:tc>
        <w:tc>
          <w:tcPr>
            <w:tcW w:w="5814" w:type="dxa"/>
          </w:tcPr>
          <w:p w14:paraId="4AD78BC3">
            <w:pPr>
              <w:pStyle w:val="4"/>
              <w:jc w:val="center"/>
            </w:pPr>
            <w:r>
              <w:rPr>
                <w:rFonts w:ascii="仿宋_GB2312" w:hAnsi="仿宋_GB2312" w:eastAsia="仿宋_GB2312" w:cs="仿宋_GB2312"/>
              </w:rPr>
              <w:t>商务要求内容</w:t>
            </w:r>
          </w:p>
        </w:tc>
      </w:tr>
      <w:tr w14:paraId="68378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0D8F07">
            <w:pPr>
              <w:pStyle w:val="4"/>
              <w:jc w:val="center"/>
            </w:pPr>
            <w:r>
              <w:rPr>
                <w:rFonts w:ascii="仿宋_GB2312" w:hAnsi="仿宋_GB2312" w:eastAsia="仿宋_GB2312" w:cs="仿宋_GB2312"/>
              </w:rPr>
              <w:t>1</w:t>
            </w:r>
          </w:p>
        </w:tc>
        <w:tc>
          <w:tcPr>
            <w:tcW w:w="581" w:type="dxa"/>
          </w:tcPr>
          <w:p w14:paraId="7335750A">
            <w:pPr>
              <w:pStyle w:val="4"/>
              <w:jc w:val="center"/>
            </w:pPr>
            <w:r>
              <w:rPr>
                <w:rFonts w:ascii="仿宋_GB2312" w:hAnsi="仿宋_GB2312" w:eastAsia="仿宋_GB2312" w:cs="仿宋_GB2312"/>
              </w:rPr>
              <w:t>★</w:t>
            </w:r>
          </w:p>
        </w:tc>
        <w:tc>
          <w:tcPr>
            <w:tcW w:w="1495" w:type="dxa"/>
          </w:tcPr>
          <w:p w14:paraId="3D08453B">
            <w:pPr>
              <w:pStyle w:val="4"/>
              <w:jc w:val="left"/>
            </w:pPr>
            <w:r>
              <w:rPr>
                <w:rFonts w:ascii="仿宋_GB2312" w:hAnsi="仿宋_GB2312" w:eastAsia="仿宋_GB2312" w:cs="仿宋_GB2312"/>
              </w:rPr>
              <w:t>服务期限</w:t>
            </w:r>
          </w:p>
        </w:tc>
        <w:tc>
          <w:tcPr>
            <w:tcW w:w="5814" w:type="dxa"/>
          </w:tcPr>
          <w:p w14:paraId="0EBC3F64">
            <w:pPr>
              <w:pStyle w:val="4"/>
              <w:jc w:val="left"/>
            </w:pPr>
            <w:r>
              <w:rPr>
                <w:rFonts w:ascii="仿宋_GB2312" w:hAnsi="仿宋_GB2312" w:eastAsia="仿宋_GB2312" w:cs="仿宋_GB2312"/>
              </w:rPr>
              <w:t>自合同签订之日起365日</w:t>
            </w:r>
          </w:p>
        </w:tc>
      </w:tr>
      <w:tr w14:paraId="4CEEF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DEBCA0">
            <w:pPr>
              <w:pStyle w:val="4"/>
              <w:jc w:val="center"/>
            </w:pPr>
            <w:r>
              <w:rPr>
                <w:rFonts w:ascii="仿宋_GB2312" w:hAnsi="仿宋_GB2312" w:eastAsia="仿宋_GB2312" w:cs="仿宋_GB2312"/>
              </w:rPr>
              <w:t>2</w:t>
            </w:r>
          </w:p>
        </w:tc>
        <w:tc>
          <w:tcPr>
            <w:tcW w:w="581" w:type="dxa"/>
          </w:tcPr>
          <w:p w14:paraId="6204E8D8">
            <w:pPr>
              <w:pStyle w:val="4"/>
              <w:jc w:val="center"/>
            </w:pPr>
            <w:r>
              <w:rPr>
                <w:rFonts w:ascii="仿宋_GB2312" w:hAnsi="仿宋_GB2312" w:eastAsia="仿宋_GB2312" w:cs="仿宋_GB2312"/>
              </w:rPr>
              <w:t>★</w:t>
            </w:r>
          </w:p>
        </w:tc>
        <w:tc>
          <w:tcPr>
            <w:tcW w:w="1495" w:type="dxa"/>
          </w:tcPr>
          <w:p w14:paraId="1366FFBB">
            <w:pPr>
              <w:pStyle w:val="4"/>
              <w:jc w:val="left"/>
            </w:pPr>
            <w:r>
              <w:rPr>
                <w:rFonts w:ascii="仿宋_GB2312" w:hAnsi="仿宋_GB2312" w:eastAsia="仿宋_GB2312" w:cs="仿宋_GB2312"/>
              </w:rPr>
              <w:t>服务地点</w:t>
            </w:r>
          </w:p>
        </w:tc>
        <w:tc>
          <w:tcPr>
            <w:tcW w:w="5814" w:type="dxa"/>
          </w:tcPr>
          <w:p w14:paraId="7F50AA91">
            <w:pPr>
              <w:pStyle w:val="4"/>
              <w:jc w:val="left"/>
            </w:pPr>
            <w:r>
              <w:rPr>
                <w:rFonts w:ascii="仿宋_GB2312" w:hAnsi="仿宋_GB2312" w:eastAsia="仿宋_GB2312" w:cs="仿宋_GB2312"/>
              </w:rPr>
              <w:t>采购人指定的时间及地点。</w:t>
            </w:r>
          </w:p>
        </w:tc>
      </w:tr>
      <w:tr w14:paraId="5C99D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B92C3F">
            <w:pPr>
              <w:pStyle w:val="4"/>
              <w:jc w:val="center"/>
            </w:pPr>
            <w:r>
              <w:rPr>
                <w:rFonts w:ascii="仿宋_GB2312" w:hAnsi="仿宋_GB2312" w:eastAsia="仿宋_GB2312" w:cs="仿宋_GB2312"/>
              </w:rPr>
              <w:t>3</w:t>
            </w:r>
          </w:p>
        </w:tc>
        <w:tc>
          <w:tcPr>
            <w:tcW w:w="581" w:type="dxa"/>
          </w:tcPr>
          <w:p w14:paraId="52931D05">
            <w:pPr>
              <w:pStyle w:val="4"/>
              <w:jc w:val="center"/>
            </w:pPr>
            <w:r>
              <w:rPr>
                <w:rFonts w:ascii="仿宋_GB2312" w:hAnsi="仿宋_GB2312" w:eastAsia="仿宋_GB2312" w:cs="仿宋_GB2312"/>
              </w:rPr>
              <w:t>★</w:t>
            </w:r>
          </w:p>
        </w:tc>
        <w:tc>
          <w:tcPr>
            <w:tcW w:w="1495" w:type="dxa"/>
          </w:tcPr>
          <w:p w14:paraId="58C4954D">
            <w:pPr>
              <w:pStyle w:val="4"/>
              <w:jc w:val="left"/>
            </w:pPr>
            <w:r>
              <w:rPr>
                <w:rFonts w:ascii="仿宋_GB2312" w:hAnsi="仿宋_GB2312" w:eastAsia="仿宋_GB2312" w:cs="仿宋_GB2312"/>
              </w:rPr>
              <w:t>验收、交付标准和方法</w:t>
            </w:r>
          </w:p>
        </w:tc>
        <w:tc>
          <w:tcPr>
            <w:tcW w:w="5814" w:type="dxa"/>
          </w:tcPr>
          <w:p w14:paraId="0985D628">
            <w:pPr>
              <w:pStyle w:val="4"/>
              <w:jc w:val="left"/>
            </w:pPr>
            <w:r>
              <w:rPr>
                <w:rFonts w:ascii="仿宋_GB2312" w:hAnsi="仿宋_GB2312" w:eastAsia="仿宋_GB2312" w:cs="仿宋_GB2312"/>
              </w:rPr>
              <w:t>符合国家（或行业）相关标准并通过采购人组织的验收考核，并严格按照政府采购相关法律法规及《财政部关于进一步加强政府采购需求和履约验收管理的指导意见》（财库[2016]205 号）、《政府采购需求管理办法》（财库〔2021〕22 号）的相关要求，磋商文件的规定和响应文件及合同条款内容进行验收。</w:t>
            </w:r>
          </w:p>
        </w:tc>
      </w:tr>
      <w:tr w14:paraId="7C0AB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08295F">
            <w:pPr>
              <w:pStyle w:val="4"/>
              <w:jc w:val="center"/>
            </w:pPr>
            <w:r>
              <w:rPr>
                <w:rFonts w:ascii="仿宋_GB2312" w:hAnsi="仿宋_GB2312" w:eastAsia="仿宋_GB2312" w:cs="仿宋_GB2312"/>
              </w:rPr>
              <w:t>4</w:t>
            </w:r>
          </w:p>
        </w:tc>
        <w:tc>
          <w:tcPr>
            <w:tcW w:w="581" w:type="dxa"/>
          </w:tcPr>
          <w:p w14:paraId="30341194">
            <w:pPr>
              <w:pStyle w:val="4"/>
              <w:jc w:val="center"/>
            </w:pPr>
            <w:r>
              <w:rPr>
                <w:rFonts w:ascii="仿宋_GB2312" w:hAnsi="仿宋_GB2312" w:eastAsia="仿宋_GB2312" w:cs="仿宋_GB2312"/>
              </w:rPr>
              <w:t>★</w:t>
            </w:r>
          </w:p>
        </w:tc>
        <w:tc>
          <w:tcPr>
            <w:tcW w:w="1495" w:type="dxa"/>
          </w:tcPr>
          <w:p w14:paraId="218FC425">
            <w:pPr>
              <w:pStyle w:val="4"/>
              <w:jc w:val="left"/>
            </w:pPr>
            <w:r>
              <w:rPr>
                <w:rFonts w:ascii="仿宋_GB2312" w:hAnsi="仿宋_GB2312" w:eastAsia="仿宋_GB2312" w:cs="仿宋_GB2312"/>
              </w:rPr>
              <w:t>支付方式</w:t>
            </w:r>
          </w:p>
        </w:tc>
        <w:tc>
          <w:tcPr>
            <w:tcW w:w="5814" w:type="dxa"/>
          </w:tcPr>
          <w:p w14:paraId="5F91D325">
            <w:pPr>
              <w:pStyle w:val="4"/>
              <w:jc w:val="left"/>
            </w:pPr>
            <w:r>
              <w:rPr>
                <w:rFonts w:ascii="仿宋_GB2312" w:hAnsi="仿宋_GB2312" w:eastAsia="仿宋_GB2312" w:cs="仿宋_GB2312"/>
              </w:rPr>
              <w:t>分期付款</w:t>
            </w:r>
          </w:p>
        </w:tc>
      </w:tr>
      <w:tr w14:paraId="11FC7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C7BC8F">
            <w:pPr>
              <w:pStyle w:val="4"/>
              <w:jc w:val="center"/>
            </w:pPr>
            <w:r>
              <w:rPr>
                <w:rFonts w:ascii="仿宋_GB2312" w:hAnsi="仿宋_GB2312" w:eastAsia="仿宋_GB2312" w:cs="仿宋_GB2312"/>
              </w:rPr>
              <w:t>5</w:t>
            </w:r>
          </w:p>
        </w:tc>
        <w:tc>
          <w:tcPr>
            <w:tcW w:w="581" w:type="dxa"/>
          </w:tcPr>
          <w:p w14:paraId="7D8EFAB9">
            <w:pPr>
              <w:pStyle w:val="4"/>
              <w:jc w:val="center"/>
            </w:pPr>
            <w:r>
              <w:rPr>
                <w:rFonts w:ascii="仿宋_GB2312" w:hAnsi="仿宋_GB2312" w:eastAsia="仿宋_GB2312" w:cs="仿宋_GB2312"/>
              </w:rPr>
              <w:t>★</w:t>
            </w:r>
          </w:p>
        </w:tc>
        <w:tc>
          <w:tcPr>
            <w:tcW w:w="1495" w:type="dxa"/>
          </w:tcPr>
          <w:p w14:paraId="607B130E">
            <w:pPr>
              <w:pStyle w:val="4"/>
              <w:jc w:val="left"/>
            </w:pPr>
            <w:r>
              <w:rPr>
                <w:rFonts w:ascii="仿宋_GB2312" w:hAnsi="仿宋_GB2312" w:eastAsia="仿宋_GB2312" w:cs="仿宋_GB2312"/>
              </w:rPr>
              <w:t>付款进度安排</w:t>
            </w:r>
          </w:p>
        </w:tc>
        <w:tc>
          <w:tcPr>
            <w:tcW w:w="5814" w:type="dxa"/>
          </w:tcPr>
          <w:p w14:paraId="33491FD9">
            <w:pPr>
              <w:pStyle w:val="4"/>
              <w:jc w:val="left"/>
            </w:pPr>
            <w:r>
              <w:rPr>
                <w:rFonts w:ascii="仿宋_GB2312" w:hAnsi="仿宋_GB2312" w:eastAsia="仿宋_GB2312" w:cs="仿宋_GB2312"/>
              </w:rPr>
              <w:t>1、第一个月：以供应商实际完成数量和成交单价，经采购人验收合格后，采购人核实实际完成工程量，按月度据实结算支付，达到付款条件起15日内，据实结算说明为供应商需向采购人提供结算支付所需资料</w:t>
            </w:r>
          </w:p>
          <w:p w14:paraId="42C1A499">
            <w:pPr>
              <w:pStyle w:val="4"/>
              <w:jc w:val="left"/>
            </w:pPr>
            <w:r>
              <w:rPr>
                <w:rFonts w:ascii="仿宋_GB2312" w:hAnsi="仿宋_GB2312" w:eastAsia="仿宋_GB2312" w:cs="仿宋_GB2312"/>
              </w:rPr>
              <w:t>2、第二个月:以供应商实际完成数量和成交单价，经采购人验收合格后，采购人核实实际完成工程量，按月度据实结算支付，达到付款条件起15日内，据实结算说明为供应商需向采购人提供结算支付所需资料</w:t>
            </w:r>
          </w:p>
          <w:p w14:paraId="0B9A8D20">
            <w:pPr>
              <w:pStyle w:val="4"/>
              <w:jc w:val="left"/>
            </w:pPr>
            <w:r>
              <w:rPr>
                <w:rFonts w:ascii="仿宋_GB2312" w:hAnsi="仿宋_GB2312" w:eastAsia="仿宋_GB2312" w:cs="仿宋_GB2312"/>
              </w:rPr>
              <w:t>3、第三个月:以供应商实际完成数量和成交单价，经采购人验收合格后，采购人核实实际完成工程量，按月度据实结算支付，达到付款条件起15日内，据实结算说明为供应商需向采购人提供结算支付所需资料</w:t>
            </w:r>
          </w:p>
          <w:p w14:paraId="1B873EB1">
            <w:pPr>
              <w:pStyle w:val="4"/>
              <w:jc w:val="left"/>
            </w:pPr>
            <w:r>
              <w:rPr>
                <w:rFonts w:ascii="仿宋_GB2312" w:hAnsi="仿宋_GB2312" w:eastAsia="仿宋_GB2312" w:cs="仿宋_GB2312"/>
              </w:rPr>
              <w:t>4、第四个月:以供应商实际完成数量和成交单价，经采购人验收合格后，采购人核实实际完成工程量，按月度据实结算支付，达到付款条件起15日内，据实结算说明为供应商需向采购人提供结算支付所需资料</w:t>
            </w:r>
          </w:p>
          <w:p w14:paraId="2D21EF6E">
            <w:pPr>
              <w:pStyle w:val="4"/>
              <w:jc w:val="left"/>
            </w:pPr>
            <w:r>
              <w:rPr>
                <w:rFonts w:ascii="仿宋_GB2312" w:hAnsi="仿宋_GB2312" w:eastAsia="仿宋_GB2312" w:cs="仿宋_GB2312"/>
              </w:rPr>
              <w:t>5、第五个月:以供应商实际完成数量和成交单价，经采购人验收合格后，采购人核实实际完成工程量，按月度据实结算支付，达到付款条件起15日内，据实结算说明为供应商需向采购人提供结算支付所需资料</w:t>
            </w:r>
          </w:p>
          <w:p w14:paraId="0D91F2CE">
            <w:pPr>
              <w:pStyle w:val="4"/>
              <w:jc w:val="left"/>
            </w:pPr>
            <w:r>
              <w:rPr>
                <w:rFonts w:ascii="仿宋_GB2312" w:hAnsi="仿宋_GB2312" w:eastAsia="仿宋_GB2312" w:cs="仿宋_GB2312"/>
              </w:rPr>
              <w:t>6、第六个月:以供应商实际完成数量和成交单价，经采购人验收合格后，采购人核实实际完成工程量，按月度据实结算支付，达到付款条件起15日内，据实结算说明为供应商需向采购人提供结算支付所需资料</w:t>
            </w:r>
          </w:p>
          <w:p w14:paraId="1D5BF578">
            <w:pPr>
              <w:pStyle w:val="4"/>
              <w:jc w:val="left"/>
            </w:pPr>
            <w:r>
              <w:rPr>
                <w:rFonts w:ascii="仿宋_GB2312" w:hAnsi="仿宋_GB2312" w:eastAsia="仿宋_GB2312" w:cs="仿宋_GB2312"/>
              </w:rPr>
              <w:t>7、第七个月:以供应商实际完成数量和成交单价，经采购人验收合格后，采购人核实实际完成工程量，按月度据实结算支付，达到付款条件起15日内，据实结算说明为供应商需向采购人提供结算支付所需资料</w:t>
            </w:r>
          </w:p>
          <w:p w14:paraId="5933F99A">
            <w:pPr>
              <w:pStyle w:val="4"/>
              <w:jc w:val="left"/>
            </w:pPr>
            <w:r>
              <w:rPr>
                <w:rFonts w:ascii="仿宋_GB2312" w:hAnsi="仿宋_GB2312" w:eastAsia="仿宋_GB2312" w:cs="仿宋_GB2312"/>
              </w:rPr>
              <w:t>8、第八个月:以供应商实际完成数量和成交单价，经采购人验收合格后，采购人核实实际完成工程量，按月度据实结算支付，达到付款条件起15日内，据实结算说明为供应商需向采购人提供结算支付所需资料</w:t>
            </w:r>
          </w:p>
          <w:p w14:paraId="0A8A7A2E">
            <w:pPr>
              <w:pStyle w:val="4"/>
              <w:jc w:val="left"/>
            </w:pPr>
            <w:r>
              <w:rPr>
                <w:rFonts w:ascii="仿宋_GB2312" w:hAnsi="仿宋_GB2312" w:eastAsia="仿宋_GB2312" w:cs="仿宋_GB2312"/>
              </w:rPr>
              <w:t>9、第九个月:以供应商实际完成数量和成交单价，经采购人验收合格后，采购人核实实际完成工程量，按月度据实结算支付，达到付款条件起15日内，据实结算说明为供应商需向采购人提供结算支付所需资料</w:t>
            </w:r>
          </w:p>
          <w:p w14:paraId="421396F6">
            <w:pPr>
              <w:pStyle w:val="4"/>
              <w:jc w:val="left"/>
            </w:pPr>
            <w:r>
              <w:rPr>
                <w:rFonts w:ascii="仿宋_GB2312" w:hAnsi="仿宋_GB2312" w:eastAsia="仿宋_GB2312" w:cs="仿宋_GB2312"/>
              </w:rPr>
              <w:t>10、第十个月:以供应商实际完成数量和成交单价，经采购人验收合格后，采购人核实实际完成工程量，按月度据实结算支付，达到付款条件起15日内，据实结算说明为供应商需向采购人提供结算支付所需资料</w:t>
            </w:r>
          </w:p>
          <w:p w14:paraId="30DA02CB">
            <w:pPr>
              <w:pStyle w:val="4"/>
              <w:jc w:val="left"/>
            </w:pPr>
            <w:r>
              <w:rPr>
                <w:rFonts w:ascii="仿宋_GB2312" w:hAnsi="仿宋_GB2312" w:eastAsia="仿宋_GB2312" w:cs="仿宋_GB2312"/>
              </w:rPr>
              <w:t>11、第十一个月:以供应商实际完成数量和成交单价，经采购人验收合格后，采购人核实实际完成工程量，按月度据实结算支付，达到付款条件起15日内，据实结算说明为供应商需向采购人提供结算支付所需资料</w:t>
            </w:r>
          </w:p>
          <w:p w14:paraId="2E6B1827">
            <w:pPr>
              <w:pStyle w:val="4"/>
              <w:jc w:val="left"/>
            </w:pPr>
            <w:r>
              <w:rPr>
                <w:rFonts w:ascii="仿宋_GB2312" w:hAnsi="仿宋_GB2312" w:eastAsia="仿宋_GB2312" w:cs="仿宋_GB2312"/>
              </w:rPr>
              <w:t>12、第十二个月:以供应商实际完成数量和成交单价，经采购人验收合格后，采购人核实实际完成工程量，按月度据实结算支付，达到付款条件起15日内，据实结算说明为供应商需向采购人提供结算支付所需资料</w:t>
            </w:r>
          </w:p>
        </w:tc>
      </w:tr>
      <w:tr w14:paraId="19685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0D52CA">
            <w:pPr>
              <w:pStyle w:val="4"/>
              <w:jc w:val="center"/>
            </w:pPr>
            <w:r>
              <w:rPr>
                <w:rFonts w:ascii="仿宋_GB2312" w:hAnsi="仿宋_GB2312" w:eastAsia="仿宋_GB2312" w:cs="仿宋_GB2312"/>
              </w:rPr>
              <w:t>6</w:t>
            </w:r>
          </w:p>
        </w:tc>
        <w:tc>
          <w:tcPr>
            <w:tcW w:w="581" w:type="dxa"/>
          </w:tcPr>
          <w:p w14:paraId="08FE5F6E">
            <w:pPr>
              <w:pStyle w:val="4"/>
              <w:jc w:val="center"/>
            </w:pPr>
            <w:r>
              <w:rPr>
                <w:rFonts w:ascii="仿宋_GB2312" w:hAnsi="仿宋_GB2312" w:eastAsia="仿宋_GB2312" w:cs="仿宋_GB2312"/>
              </w:rPr>
              <w:t>★</w:t>
            </w:r>
          </w:p>
        </w:tc>
        <w:tc>
          <w:tcPr>
            <w:tcW w:w="1495" w:type="dxa"/>
          </w:tcPr>
          <w:p w14:paraId="7D16B9FF">
            <w:pPr>
              <w:pStyle w:val="4"/>
              <w:jc w:val="left"/>
            </w:pPr>
            <w:r>
              <w:rPr>
                <w:rFonts w:ascii="仿宋_GB2312" w:hAnsi="仿宋_GB2312" w:eastAsia="仿宋_GB2312" w:cs="仿宋_GB2312"/>
              </w:rPr>
              <w:t>违约责任与解决争议的方法</w:t>
            </w:r>
          </w:p>
        </w:tc>
        <w:tc>
          <w:tcPr>
            <w:tcW w:w="5814" w:type="dxa"/>
          </w:tcPr>
          <w:p w14:paraId="24BEB80D">
            <w:pPr>
              <w:pStyle w:val="4"/>
              <w:jc w:val="left"/>
            </w:pPr>
            <w:r>
              <w:rPr>
                <w:rFonts w:ascii="仿宋_GB2312" w:hAnsi="仿宋_GB2312" w:eastAsia="仿宋_GB2312" w:cs="仿宋_GB2312"/>
              </w:rPr>
              <w:t>违约责任：（1）双方必须遵守本合同并执行合同中的各项规定，保证本合同的合法正常履行。（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3）成交供应商不履行或未完全履行本项目约定的服务内容及要求或提供的服务不符合本项目采购文件、采购合同规定的，成交供应商除了应当赔偿因违约给采购人造成的一切损失之外，每出现一次违约（合同涉及“日期”和“天数”的，每逾期一天或少一天，视为一次违约），还须向采购人支付本合同总价1% 的违约金并且按采购人要求进行整改，出现违约三次及以上或未按采购人要求整改的，采购人有权无条件解除本合同并要求供应商退还已收取的费用。（4）成交供应商未经采购人书面同意，不得将承担的服务转包给第三方，否则采购人有权解除合同，要求供应商支付本合同总价5%的违约金，并追究成交供应商的责任。（5）成交供应商拒绝或不配合采购人服务质量检查、服务质量验收的，采购人有权解除合同。（6）在服务期内，如由于成交供应商未及时提交成果，怠于履行服务义务造成采购人损失的，应当赔偿采购人损失。（7）如采购人因使用成交供应商服务而受到第三方侵权指控或索赔，成交供应商除应向采购人返还已收款项及利息外，还应另按合同总价的5%向采购人支付违约金并赔偿因此给采购人造成的一切损失，包括采购人因诉讼产生的律师费、诉讼费等费用。 （8）供应商偿付的违约金不足以弥补采购人损失的，还应按采购人损失尚未弥补的部分，支付赔偿金给采购人。（9）合同签订后，若供应商存在违法违规行为的，采购人有权无条件解除本合同并要求供应商退还已获得的全部费用。 解决争议的方法：（1）在执行本合同中发生的或与本合同有关的争端，双方应通过友好协商解决，经协商在30天内不能达成协议时，应提交采购人所在地区仲裁委员会仲裁。（2）仲裁裁决应为最终决定，并对双方具有约束力。（3）除另有裁决外，仲裁费应由败诉方负担。（4）在仲裁期间，除正在进行仲裁部分外，合同其他部分继续执行。</w:t>
            </w:r>
          </w:p>
        </w:tc>
      </w:tr>
    </w:tbl>
    <w:p w14:paraId="57270D6A">
      <w:pPr>
        <w:pStyle w:val="4"/>
        <w:jc w:val="left"/>
        <w:outlineLvl w:val="2"/>
      </w:pPr>
      <w:r>
        <w:rPr>
          <w:rFonts w:ascii="仿宋_GB2312" w:hAnsi="仿宋_GB2312" w:eastAsia="仿宋_GB2312" w:cs="仿宋_GB2312"/>
          <w:b/>
          <w:sz w:val="28"/>
        </w:rPr>
        <w:t>3.4.其他要求</w:t>
      </w:r>
    </w:p>
    <w:p w14:paraId="291777A2">
      <w:pPr>
        <w:pStyle w:val="4"/>
        <w:ind w:firstLine="480"/>
        <w:jc w:val="left"/>
      </w:pPr>
      <w:r>
        <w:rPr>
          <w:rFonts w:ascii="仿宋_GB2312" w:hAnsi="仿宋_GB2312" w:eastAsia="仿宋_GB2312" w:cs="仿宋_GB2312"/>
        </w:rPr>
        <w:t>采购包1：</w:t>
      </w:r>
    </w:p>
    <w:p w14:paraId="47F3AFDD">
      <w:pPr>
        <w:pStyle w:val="4"/>
        <w:jc w:val="left"/>
        <w:rPr>
          <w:rFonts w:hint="eastAsia"/>
          <w:lang w:val="en-US" w:eastAsia="zh-Hans"/>
        </w:rPr>
      </w:pPr>
      <w:r>
        <w:rPr>
          <w:rFonts w:ascii="仿宋_GB2312" w:hAnsi="仿宋_GB2312" w:eastAsia="仿宋_GB2312" w:cs="仿宋_GB2312"/>
        </w:rPr>
        <w:t>★报价要求：以全费用综合单价合计金额14868.9元为基准，以百分比为报价单位，示例：若报价为80%，即代表供应商承诺按基准价的80%执行，即最终结算综合单价为14868.9元×80%，每项单价为基准单价×80%）。 2.响应报价不得超过100%（即全费用综合单价合计金额不得超过14868.9元），超出最高限价的报价将被视为无效。 3. 费用说明：全费用综合单价已包含但不限于维修、维护（主材、辅材、运输、拆除安装更换、机械）、人工、保险、税费及磋商文件规定的其它全部费用。供应商须自行承担服务期内所有相关成本，采购方不再支付任何额外费用。</w:t>
      </w:r>
      <w:bookmarkStart w:id="0" w:name="_GoBack"/>
      <w:bookmarkEnd w:id="0"/>
      <w:r>
        <w:rPr>
          <w:rFonts w:ascii="仿宋_GB2312" w:hAnsi="仿宋_GB2312" w:eastAsia="仿宋_GB2312" w:cs="仿宋_GB231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9D82749"/>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2196</Words>
  <Characters>2424</Characters>
  <Lines>0</Lines>
  <Paragraphs>0</Paragraphs>
  <TotalTime>1</TotalTime>
  <ScaleCrop>false</ScaleCrop>
  <LinksUpToDate>false</LinksUpToDate>
  <CharactersWithSpaces>2468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亭亭宇立</cp:lastModifiedBy>
  <dcterms:modified xsi:type="dcterms:W3CDTF">2026-05-11T08:40:20Z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eyJoZGlkIjoiN2YzOWQzNjAxNzY5YTI2MmZjZjVjNjNjOTkyNDZjNzkiLCJ1c2VySWQiOiIxMDcxODE4MTM2In0=</vt:lpwstr>
  </property>
  <property fmtid="{D5CDD505-2E9C-101B-9397-08002B2CF9AE}" pid="4" name="ICV">
    <vt:lpwstr>E3FCBD9FE46947EEAE3A34EFE5C6567C_12</vt:lpwstr>
  </property>
</Properties>
</file>