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B6EC5">
      <w:pPr>
        <w:jc w:val="center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具有健全财务会计制度的证明材料</w:t>
      </w:r>
    </w:p>
    <w:p w14:paraId="1C9B3DF9"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供应商提供截至响应文件提交截止之日前两年内（任意一年），经审计的财务报告（包含审计报告和审计报告中所涉及的财务报表和报表附注）或者银行出具的资信证明。未经审计的提供财务报告（包括资产负债表、利润表、现金流量表）。供应商注册时间截至响应文件提交截止之日前不足一年的，也可提供在相关主管部门备案的公司章程等证明材料。供应商需在使用投标(响应)客户端编制响应文件时，按要求上传相应证明材料并进行电子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E34D7"/>
    <w:rsid w:val="19F138C1"/>
    <w:rsid w:val="42452E8B"/>
    <w:rsid w:val="43851473"/>
    <w:rsid w:val="605C0F6C"/>
    <w:rsid w:val="6F6D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1</TotalTime>
  <ScaleCrop>false</ScaleCrop>
  <LinksUpToDate>false</LinksUpToDate>
  <CharactersWithSpaces>165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2025-02-06T02:01:00Z</dcterms:created>
  <dc:creator>Administrator</dc:creator>
  <cp:lastModifiedBy>ZXY</cp:lastModifiedBy>
  <dcterms:modified xsi:type="dcterms:W3CDTF">2026-01-14T09:11:42Z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eyJoZGlkIjoiMDg5ZjQ1NjRiYWMzOTAwMzRkOGRkN2E1OTk1NzY3NzMiLCJ1c2VySWQiOiIxMTc0NTUzODY5In0=</vt:lpwstr>
  </property>
  <property fmtid="{D5CDD505-2E9C-101B-9397-08002B2CF9AE}" pid="4" name="ICV">
    <vt:lpwstr>52D8CC76FB7541159AB96D24A76E7CA1_12</vt:lpwstr>
  </property>
</Properties>
</file>