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版本号：N513338202600002020260415001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漳扎曲-俄木学集中引水工程项目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N5133382026000020</w:t>
      </w:r>
    </w:p>
    <w:p>
      <w:pPr>
        <w:pStyle w:val="null3"/>
        <w:jc w:val="left"/>
        <w:outlineLvl w:val="2"/>
      </w:pPr>
      <w:r>
        <w:rPr>
          <w:rFonts w:ascii="仿宋_GB2312" w:hAnsi="仿宋_GB2312" w:cs="仿宋_GB2312" w:eastAsia="仿宋_GB2312"/>
          <w:sz w:val="28"/>
          <w:b/>
        </w:rPr>
        <w:t>得荣县发展改革和经信商务局</w:t>
      </w:r>
    </w:p>
    <w:p>
      <w:pPr>
        <w:pStyle w:val="null3"/>
        <w:jc w:val="center"/>
        <w:outlineLvl w:val="2"/>
      </w:pPr>
      <w:r>
        <w:rPr>
          <w:rFonts w:ascii="仿宋_GB2312" w:hAnsi="仿宋_GB2312" w:cs="仿宋_GB2312" w:eastAsia="仿宋_GB2312"/>
          <w:sz w:val="28"/>
          <w:b/>
        </w:rPr>
        <w:t>建融建设管理集团有限责任公司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建融建设管理集团有限责任公司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得荣县发展改革和经信商务局</w:t>
      </w:r>
      <w:r>
        <w:rPr>
          <w:rFonts w:ascii="仿宋_GB2312" w:hAnsi="仿宋_GB2312" w:cs="仿宋_GB2312" w:eastAsia="仿宋_GB2312"/>
        </w:rPr>
        <w:t xml:space="preserve"> 委托，拟对 </w:t>
      </w:r>
      <w:r>
        <w:rPr>
          <w:rFonts w:ascii="仿宋_GB2312" w:hAnsi="仿宋_GB2312" w:cs="仿宋_GB2312" w:eastAsia="仿宋_GB2312"/>
        </w:rPr>
        <w:t>漳扎曲-俄木学集中引水工程项目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甘孜藏族自治州得荣县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N5133382026000020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漳扎曲-俄木学集中引水工程项目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次采购为得荣县漳扎曲-俄木学集中引水工程可研阶段勘察设计及专题报告编制，该项目的建设是为解决曲河两岸太阳谷镇（县城）和奔都乡等乡镇的城乡供水问题和1.21万亩耕园地、林草地灌溉用水问题，是一个以灌溉和供水等综合利用的Ⅳ等小（1）型工程，主要建设内容为新建底格栏栅坝取水口1处、新建小（1）型囤蓄水库1座、新建输水干管75.40km、蓄水池8口。</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国家行政主管部门颁发的工程设计水利行业乙级及以上资质；具有国家行政主管部门颁发的工程勘察专业类（岩土工程（勘察））乙级及以上资质。（描述：具有国家行政主管部门颁发的工程设计水利行业乙级及以上资质；具有国家行政主管部门颁发的工程勘察专业类（岩土工程（勘察））乙级及以上资质。提供相应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得荣县发展改革和经信商务局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得荣县河西上街10号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627950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0836-3922370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建融建设管理集团有限责任公司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成都市武阳大道三段5号下一站都市写字楼A座1210</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028-87014511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成交）价为计费基数，按照《四川省政府采购营商环境指标提升专项行动工作方案》中“成本+合理利润”原则，参照计价格[2002]1980号规定收费标准收取，中标（成交）人在领取中标（成交）通知书时一次性支付给代理机构。</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得荣县发展改革和经信商务局</w:t>
      </w:r>
      <w:r>
        <w:rPr>
          <w:rFonts w:ascii="仿宋_GB2312" w:hAnsi="仿宋_GB2312" w:cs="仿宋_GB2312" w:eastAsia="仿宋_GB2312"/>
        </w:rPr>
        <w:t xml:space="preserve"> 和 </w:t>
      </w:r>
      <w:r>
        <w:rPr>
          <w:rFonts w:ascii="仿宋_GB2312" w:hAnsi="仿宋_GB2312" w:cs="仿宋_GB2312" w:eastAsia="仿宋_GB2312"/>
        </w:rPr>
        <w:t>建融建设管理集团有限责任公司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得荣县发展改革和经信商务局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建融建设管理集团有限责任公司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非主体、非关键性工作(除勘察设计工作外)经甲方审核同意后允许分包(分包比例不超过合同总额的30%)</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发改部门对可行性报告批复出文后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采购文件、响应文件和合同规定的服务内容、服务要求等技术要求。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采购文件、响应文件及承诺和合同规定的商务要求。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财政部关于进一步加强政府采购需求和履约验收管理的指导意见》(财库〔2016〕205号)、《财政部关于印发政府采购项目需求管理办法的通知》(财库〔2021〕22号)、采购文件、中标供应商的响应文件及承诺、本合同约定等标准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得荣县发展改革和经信商务局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建融建设管理集团有限责任公司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建融建设管理集团有限责任公司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联系人：杨先生</w:t>
      </w:r>
    </w:p>
    <w:p>
      <w:pPr>
        <w:pStyle w:val="null3"/>
        <w:jc w:val="left"/>
      </w:pPr>
      <w:r>
        <w:rPr>
          <w:rFonts w:ascii="仿宋_GB2312" w:hAnsi="仿宋_GB2312" w:cs="仿宋_GB2312" w:eastAsia="仿宋_GB2312"/>
        </w:rPr>
        <w:t>联系电话：0836-5922370</w:t>
      </w:r>
    </w:p>
    <w:p>
      <w:pPr>
        <w:pStyle w:val="null3"/>
        <w:jc w:val="left"/>
      </w:pPr>
      <w:r>
        <w:rPr>
          <w:rFonts w:ascii="仿宋_GB2312" w:hAnsi="仿宋_GB2312" w:cs="仿宋_GB2312" w:eastAsia="仿宋_GB2312"/>
        </w:rPr>
        <w:t>地址：得荣县河西上街10号</w:t>
      </w:r>
    </w:p>
    <w:p>
      <w:pPr>
        <w:pStyle w:val="null3"/>
        <w:jc w:val="left"/>
      </w:pPr>
      <w:r>
        <w:rPr>
          <w:rFonts w:ascii="仿宋_GB2312" w:hAnsi="仿宋_GB2312" w:cs="仿宋_GB2312" w:eastAsia="仿宋_GB2312"/>
        </w:rPr>
        <w:t>邮编：627950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联系电话：028-87014511</w:t>
      </w:r>
    </w:p>
    <w:p>
      <w:pPr>
        <w:pStyle w:val="null3"/>
        <w:jc w:val="left"/>
      </w:pPr>
      <w:r>
        <w:rPr>
          <w:rFonts w:ascii="仿宋_GB2312" w:hAnsi="仿宋_GB2312" w:cs="仿宋_GB2312" w:eastAsia="仿宋_GB2312"/>
        </w:rPr>
        <w:t>地址：成都市武阳大道三段5号下一站都市写字楼A座1210</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4,800,000.00</w:t>
      </w:r>
    </w:p>
    <w:p>
      <w:pPr>
        <w:pStyle w:val="null3"/>
        <w:jc w:val="left"/>
      </w:pPr>
      <w:r>
        <w:rPr>
          <w:rFonts w:ascii="仿宋_GB2312" w:hAnsi="仿宋_GB2312" w:cs="仿宋_GB2312" w:eastAsia="仿宋_GB2312"/>
        </w:rPr>
        <w:t>采购包最高限价（元）: 4,800,000.00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C11040000 工程项目管理服务</w:t>
            </w:r>
          </w:p>
        </w:tc>
        <w:tc>
          <w:tcPr>
            <w:tcW w:type="dxa" w:w="821"/>
          </w:tcPr>
          <w:p>
            <w:pPr>
              <w:pStyle w:val="null3"/>
              <w:jc w:val="left"/>
            </w:pPr>
            <w:r>
              <w:rPr>
                <w:rFonts w:ascii="仿宋_GB2312" w:hAnsi="仿宋_GB2312" w:cs="仿宋_GB2312" w:eastAsia="仿宋_GB2312"/>
              </w:rPr>
              <w:t>漳扎曲-俄木学集中引水工程项目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可研阶段勘察设计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专题报告编制（建设项目用地预审与选址意见书）</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专题报告编制（建设征地移民安置社会稳定风险评估报告）</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专题报告编制（节能评估报告）</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专题报告编制（地质灾害评价报告）</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专题报告编制（水资源论证报告）</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标的名称：漳扎曲-俄木学集中引水工程项目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1"/>
              </w:rPr>
              <w:t>建设内容及规模：本次采购为得荣县漳扎曲</w:t>
            </w:r>
            <w:r>
              <w:rPr>
                <w:rFonts w:ascii="仿宋_GB2312" w:hAnsi="仿宋_GB2312" w:cs="仿宋_GB2312" w:eastAsia="仿宋_GB2312"/>
                <w:sz w:val="21"/>
              </w:rPr>
              <w:t>-俄木学集中引水工程可研阶段勘察设计及专题报告编制，该项目的建设是为解决曲河两岸太阳谷镇（县城）和奔都乡</w:t>
            </w:r>
            <w:r>
              <w:rPr>
                <w:rFonts w:ascii="仿宋_GB2312" w:hAnsi="仿宋_GB2312" w:cs="仿宋_GB2312" w:eastAsia="仿宋_GB2312"/>
                <w:sz w:val="21"/>
              </w:rPr>
              <w:t>等</w:t>
            </w:r>
            <w:r>
              <w:rPr>
                <w:rFonts w:ascii="仿宋_GB2312" w:hAnsi="仿宋_GB2312" w:cs="仿宋_GB2312" w:eastAsia="仿宋_GB2312"/>
                <w:sz w:val="21"/>
              </w:rPr>
              <w:t>乡镇的城乡供水问题和</w:t>
            </w:r>
            <w:r>
              <w:rPr>
                <w:rFonts w:ascii="仿宋_GB2312" w:hAnsi="仿宋_GB2312" w:cs="仿宋_GB2312" w:eastAsia="仿宋_GB2312"/>
                <w:sz w:val="21"/>
              </w:rPr>
              <w:t>1.21万亩耕园地、林草地灌溉用水问题，是一个以灌溉和供水等综合利用的Ⅳ等小（1）型工程，主要建设内容为新建底格栏栅坝取水口1处、新建小（1）型囤蓄水库1座、新建输水干管75.40km、蓄水池</w:t>
            </w:r>
            <w:r>
              <w:rPr>
                <w:rFonts w:ascii="仿宋_GB2312" w:hAnsi="仿宋_GB2312" w:cs="仿宋_GB2312" w:eastAsia="仿宋_GB2312"/>
                <w:sz w:val="21"/>
              </w:rPr>
              <w:t>8</w:t>
            </w:r>
            <w:r>
              <w:rPr>
                <w:rFonts w:ascii="仿宋_GB2312" w:hAnsi="仿宋_GB2312" w:cs="仿宋_GB2312" w:eastAsia="仿宋_GB2312"/>
                <w:sz w:val="21"/>
              </w:rPr>
              <w:t>口。</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相关技术服务内容及要求</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rPr>
              <w:t>服务内容</w:t>
            </w:r>
          </w:p>
          <w:p>
            <w:pPr>
              <w:pStyle w:val="null3"/>
              <w:jc w:val="left"/>
            </w:pPr>
            <w:r>
              <w:rPr>
                <w:rFonts w:ascii="仿宋_GB2312" w:hAnsi="仿宋_GB2312" w:cs="仿宋_GB2312" w:eastAsia="仿宋_GB2312"/>
              </w:rPr>
              <w:t>根据本项目基本情况及相关资料，完成</w:t>
            </w:r>
            <w:r>
              <w:rPr>
                <w:rFonts w:ascii="仿宋_GB2312" w:hAnsi="仿宋_GB2312" w:cs="仿宋_GB2312" w:eastAsia="仿宋_GB2312"/>
              </w:rPr>
              <w:t>可研阶段勘察设计及专题报告编制（专题报告编制包含：建设项目用地预审与选址意见书、建设征地移民安置社会稳定风险评估报告、节能评估报告、地质灾害评价报告、水资源论证报告）</w:t>
            </w:r>
          </w:p>
          <w:p>
            <w:pPr>
              <w:pStyle w:val="null3"/>
              <w:jc w:val="left"/>
            </w:pPr>
            <w:r>
              <w:rPr>
                <w:rFonts w:ascii="仿宋_GB2312" w:hAnsi="仿宋_GB2312" w:cs="仿宋_GB2312" w:eastAsia="仿宋_GB2312"/>
              </w:rPr>
              <w:t>可研阶段勘察设计及专题报告编制</w:t>
            </w:r>
            <w:r>
              <w:rPr>
                <w:rFonts w:ascii="仿宋_GB2312" w:hAnsi="仿宋_GB2312" w:cs="仿宋_GB2312" w:eastAsia="仿宋_GB2312"/>
              </w:rPr>
              <w:t>必须符合下列要求</w:t>
            </w:r>
            <w:r>
              <w:rPr>
                <w:rFonts w:ascii="仿宋_GB2312" w:hAnsi="仿宋_GB2312" w:cs="仿宋_GB2312" w:eastAsia="仿宋_GB2312"/>
              </w:rPr>
              <w:t>:</w:t>
            </w:r>
          </w:p>
          <w:p>
            <w:pPr>
              <w:pStyle w:val="null3"/>
              <w:jc w:val="left"/>
            </w:pPr>
            <w:r>
              <w:rPr>
                <w:rFonts w:ascii="仿宋_GB2312" w:hAnsi="仿宋_GB2312" w:cs="仿宋_GB2312" w:eastAsia="仿宋_GB2312"/>
              </w:rPr>
              <w:t>（1）</w:t>
            </w:r>
            <w:r>
              <w:rPr>
                <w:rFonts w:ascii="仿宋_GB2312" w:hAnsi="仿宋_GB2312" w:cs="仿宋_GB2312" w:eastAsia="仿宋_GB2312"/>
              </w:rPr>
              <w:t>可研阶段勘察设计及专题报告编制</w:t>
            </w:r>
            <w:r>
              <w:rPr>
                <w:rFonts w:ascii="仿宋_GB2312" w:hAnsi="仿宋_GB2312" w:cs="仿宋_GB2312" w:eastAsia="仿宋_GB2312"/>
              </w:rPr>
              <w:t>应符合有关水利工程建设法律、法规、规章、标准、规程和合同的要求；</w:t>
            </w:r>
          </w:p>
          <w:p>
            <w:pPr>
              <w:pStyle w:val="null3"/>
              <w:jc w:val="left"/>
            </w:pPr>
            <w:r>
              <w:rPr>
                <w:rFonts w:ascii="仿宋_GB2312" w:hAnsi="仿宋_GB2312" w:cs="仿宋_GB2312" w:eastAsia="仿宋_GB2312"/>
              </w:rPr>
              <w:t>（2）</w:t>
            </w:r>
            <w:r>
              <w:rPr>
                <w:rFonts w:ascii="仿宋_GB2312" w:hAnsi="仿宋_GB2312" w:cs="仿宋_GB2312" w:eastAsia="仿宋_GB2312"/>
              </w:rPr>
              <w:t>可研阶段勘察设计及专题报告编制</w:t>
            </w:r>
            <w:r>
              <w:rPr>
                <w:rFonts w:ascii="仿宋_GB2312" w:hAnsi="仿宋_GB2312" w:cs="仿宋_GB2312" w:eastAsia="仿宋_GB2312"/>
              </w:rPr>
              <w:t>依据的基本资料应完整、准确、可靠</w:t>
            </w:r>
            <w:r>
              <w:rPr>
                <w:rFonts w:ascii="仿宋_GB2312" w:hAnsi="仿宋_GB2312" w:cs="仿宋_GB2312" w:eastAsia="仿宋_GB2312"/>
              </w:rPr>
              <w:t>,论证过程严格，研究结论可靠；</w:t>
            </w:r>
          </w:p>
          <w:p>
            <w:pPr>
              <w:pStyle w:val="null3"/>
              <w:jc w:val="left"/>
            </w:pPr>
            <w:r>
              <w:rPr>
                <w:rFonts w:ascii="仿宋_GB2312" w:hAnsi="仿宋_GB2312" w:cs="仿宋_GB2312" w:eastAsia="仿宋_GB2312"/>
              </w:rPr>
              <w:t>（3）</w:t>
            </w:r>
            <w:r>
              <w:rPr>
                <w:rFonts w:ascii="仿宋_GB2312" w:hAnsi="仿宋_GB2312" w:cs="仿宋_GB2312" w:eastAsia="仿宋_GB2312"/>
              </w:rPr>
              <w:t>可研阶段勘察设计及专题报告编制</w:t>
            </w:r>
            <w:r>
              <w:rPr>
                <w:rFonts w:ascii="仿宋_GB2312" w:hAnsi="仿宋_GB2312" w:cs="仿宋_GB2312" w:eastAsia="仿宋_GB2312"/>
              </w:rPr>
              <w:t>的深度应满足相应阶段的有关规定要求</w:t>
            </w:r>
            <w:r>
              <w:rPr>
                <w:rFonts w:ascii="仿宋_GB2312" w:hAnsi="仿宋_GB2312" w:cs="仿宋_GB2312" w:eastAsia="仿宋_GB2312"/>
              </w:rPr>
              <w:t>,并符合相关规范的要求，并取得有关行政主管部门的审查批复。</w:t>
            </w:r>
          </w:p>
          <w:p>
            <w:pPr>
              <w:pStyle w:val="null3"/>
              <w:jc w:val="left"/>
            </w:pPr>
            <w:r>
              <w:rPr>
                <w:rFonts w:ascii="仿宋_GB2312" w:hAnsi="仿宋_GB2312" w:cs="仿宋_GB2312" w:eastAsia="仿宋_GB2312"/>
              </w:rPr>
              <w:t>2、服务要求</w:t>
            </w:r>
          </w:p>
          <w:p>
            <w:pPr>
              <w:pStyle w:val="null3"/>
              <w:jc w:val="left"/>
            </w:pPr>
            <w:r>
              <w:rPr>
                <w:rFonts w:ascii="仿宋_GB2312" w:hAnsi="仿宋_GB2312" w:cs="仿宋_GB2312" w:eastAsia="仿宋_GB2312"/>
              </w:rPr>
              <w:t>（</w:t>
            </w:r>
            <w:r>
              <w:rPr>
                <w:rFonts w:ascii="仿宋_GB2312" w:hAnsi="仿宋_GB2312" w:cs="仿宋_GB2312" w:eastAsia="仿宋_GB2312"/>
              </w:rPr>
              <w:t>1）供应商必须遵循职业道德独立性、客观性、科学性、公正性原则，依法开展相关工作。</w:t>
            </w:r>
          </w:p>
          <w:p>
            <w:pPr>
              <w:pStyle w:val="null3"/>
              <w:jc w:val="left"/>
            </w:pPr>
            <w:r>
              <w:rPr>
                <w:rFonts w:ascii="仿宋_GB2312" w:hAnsi="仿宋_GB2312" w:cs="仿宋_GB2312" w:eastAsia="仿宋_GB2312"/>
              </w:rPr>
              <w:t>（</w:t>
            </w:r>
            <w:r>
              <w:rPr>
                <w:rFonts w:ascii="仿宋_GB2312" w:hAnsi="仿宋_GB2312" w:cs="仿宋_GB2312" w:eastAsia="仿宋_GB2312"/>
              </w:rPr>
              <w:t>2）供应商在服务期内必须检查提交资料的完整性、合规性，以便提供的成果的完整和准确。如出现重大漏项和误差时，供应商须承担由此带来的责任和损失。</w:t>
            </w:r>
          </w:p>
          <w:p>
            <w:pPr>
              <w:pStyle w:val="null3"/>
              <w:jc w:val="left"/>
            </w:pPr>
            <w:r>
              <w:rPr>
                <w:rFonts w:ascii="仿宋_GB2312" w:hAnsi="仿宋_GB2312" w:cs="仿宋_GB2312" w:eastAsia="仿宋_GB2312"/>
              </w:rPr>
              <w:t>（</w:t>
            </w:r>
            <w:r>
              <w:rPr>
                <w:rFonts w:ascii="仿宋_GB2312" w:hAnsi="仿宋_GB2312" w:cs="仿宋_GB2312" w:eastAsia="仿宋_GB2312"/>
              </w:rPr>
              <w:t>3）成果文件包括但不限于以下成果</w:t>
            </w:r>
            <w:r>
              <w:rPr>
                <w:rFonts w:ascii="仿宋_GB2312" w:hAnsi="仿宋_GB2312" w:cs="仿宋_GB2312" w:eastAsia="仿宋_GB2312"/>
              </w:rPr>
              <w:t>: ①</w:t>
            </w:r>
            <w:r>
              <w:rPr>
                <w:rFonts w:ascii="仿宋_GB2312" w:hAnsi="仿宋_GB2312" w:cs="仿宋_GB2312" w:eastAsia="仿宋_GB2312"/>
              </w:rPr>
              <w:t>成果要求</w:t>
            </w:r>
            <w:r>
              <w:rPr>
                <w:rFonts w:ascii="仿宋_GB2312" w:hAnsi="仿宋_GB2312" w:cs="仿宋_GB2312" w:eastAsia="仿宋_GB2312"/>
              </w:rPr>
              <w:t>:</w:t>
            </w:r>
            <w:r>
              <w:rPr>
                <w:rFonts w:ascii="仿宋_GB2312" w:hAnsi="仿宋_GB2312" w:cs="仿宋_GB2312" w:eastAsia="仿宋_GB2312"/>
              </w:rPr>
              <w:t>成交供应商需提供纸质文档</w:t>
            </w:r>
            <w:r>
              <w:rPr>
                <w:rFonts w:ascii="仿宋_GB2312" w:hAnsi="仿宋_GB2312" w:cs="仿宋_GB2312" w:eastAsia="仿宋_GB2312"/>
              </w:rPr>
              <w:t xml:space="preserve">8 </w:t>
            </w:r>
            <w:r>
              <w:rPr>
                <w:rFonts w:ascii="仿宋_GB2312" w:hAnsi="仿宋_GB2312" w:cs="仿宋_GB2312" w:eastAsia="仿宋_GB2312"/>
              </w:rPr>
              <w:t>套、电子文档</w:t>
            </w:r>
            <w:r>
              <w:rPr>
                <w:rFonts w:ascii="仿宋_GB2312" w:hAnsi="仿宋_GB2312" w:cs="仿宋_GB2312" w:eastAsia="仿宋_GB2312"/>
              </w:rPr>
              <w:t xml:space="preserve">1 </w:t>
            </w:r>
            <w:r>
              <w:rPr>
                <w:rFonts w:ascii="仿宋_GB2312" w:hAnsi="仿宋_GB2312" w:cs="仿宋_GB2312" w:eastAsia="仿宋_GB2312"/>
              </w:rPr>
              <w:t>套。报告须经相关部门、机构审查合格。</w:t>
            </w:r>
            <w:r>
              <w:rPr>
                <w:rFonts w:ascii="仿宋_GB2312" w:hAnsi="仿宋_GB2312" w:cs="仿宋_GB2312" w:eastAsia="仿宋_GB2312"/>
              </w:rPr>
              <w:t>②</w:t>
            </w:r>
            <w:r>
              <w:rPr>
                <w:rFonts w:ascii="仿宋_GB2312" w:hAnsi="仿宋_GB2312" w:cs="仿宋_GB2312" w:eastAsia="仿宋_GB2312"/>
              </w:rPr>
              <w:t>提交成果资料以双方书面交接为准。</w:t>
            </w:r>
            <w:r>
              <w:rPr>
                <w:rFonts w:ascii="仿宋_GB2312" w:hAnsi="仿宋_GB2312" w:cs="仿宋_GB2312" w:eastAsia="仿宋_GB2312"/>
              </w:rPr>
              <w:t>③</w:t>
            </w:r>
            <w:r>
              <w:rPr>
                <w:rFonts w:ascii="仿宋_GB2312" w:hAnsi="仿宋_GB2312" w:cs="仿宋_GB2312" w:eastAsia="仿宋_GB2312"/>
              </w:rPr>
              <w:t>供应商应保证所提供的服务或其任何一部分均不会侵犯任何第三方的专利权、商标权或著作权。</w:t>
            </w:r>
          </w:p>
          <w:p>
            <w:pPr>
              <w:pStyle w:val="null3"/>
              <w:jc w:val="left"/>
            </w:pPr>
            <w:r>
              <w:rPr>
                <w:rFonts w:ascii="仿宋_GB2312" w:hAnsi="仿宋_GB2312" w:cs="仿宋_GB2312" w:eastAsia="仿宋_GB2312"/>
              </w:rPr>
              <w:t>（</w:t>
            </w:r>
            <w:r>
              <w:rPr>
                <w:rFonts w:ascii="仿宋_GB2312" w:hAnsi="仿宋_GB2312" w:cs="仿宋_GB2312" w:eastAsia="仿宋_GB2312"/>
              </w:rPr>
              <w:t>4）服务成果应符合相关法律、法规、规章、标准、规程、合同以及行业有关规定和要求。</w:t>
            </w:r>
          </w:p>
          <w:p>
            <w:pPr>
              <w:pStyle w:val="null3"/>
              <w:jc w:val="left"/>
            </w:pPr>
            <w:r>
              <w:rPr>
                <w:rFonts w:ascii="仿宋_GB2312" w:hAnsi="仿宋_GB2312" w:cs="仿宋_GB2312" w:eastAsia="仿宋_GB2312"/>
              </w:rPr>
              <w:t>（</w:t>
            </w:r>
            <w:r>
              <w:rPr>
                <w:rFonts w:ascii="仿宋_GB2312" w:hAnsi="仿宋_GB2312" w:cs="仿宋_GB2312" w:eastAsia="仿宋_GB2312"/>
              </w:rPr>
              <w:t>5）服务成果依据的基本资料应完整、准确、可靠</w:t>
            </w:r>
            <w:r>
              <w:rPr>
                <w:rFonts w:ascii="仿宋_GB2312" w:hAnsi="仿宋_GB2312" w:cs="仿宋_GB2312" w:eastAsia="仿宋_GB2312"/>
              </w:rPr>
              <w:t>,</w:t>
            </w:r>
            <w:r>
              <w:rPr>
                <w:rFonts w:ascii="仿宋_GB2312" w:hAnsi="仿宋_GB2312" w:cs="仿宋_GB2312" w:eastAsia="仿宋_GB2312"/>
              </w:rPr>
              <w:t>论证过程严格</w:t>
            </w:r>
            <w:r>
              <w:rPr>
                <w:rFonts w:ascii="仿宋_GB2312" w:hAnsi="仿宋_GB2312" w:cs="仿宋_GB2312" w:eastAsia="仿宋_GB2312"/>
              </w:rPr>
              <w:t>,</w:t>
            </w:r>
            <w:r>
              <w:rPr>
                <w:rFonts w:ascii="仿宋_GB2312" w:hAnsi="仿宋_GB2312" w:cs="仿宋_GB2312" w:eastAsia="仿宋_GB2312"/>
              </w:rPr>
              <w:t>研究结论可靠。</w:t>
            </w:r>
          </w:p>
          <w:p>
            <w:pPr>
              <w:pStyle w:val="null3"/>
              <w:jc w:val="left"/>
            </w:pPr>
            <w:r>
              <w:rPr>
                <w:rFonts w:ascii="仿宋_GB2312" w:hAnsi="仿宋_GB2312" w:cs="仿宋_GB2312" w:eastAsia="仿宋_GB2312"/>
              </w:rPr>
              <w:t>（</w:t>
            </w:r>
            <w:r>
              <w:rPr>
                <w:rFonts w:ascii="仿宋_GB2312" w:hAnsi="仿宋_GB2312" w:cs="仿宋_GB2312" w:eastAsia="仿宋_GB2312"/>
              </w:rPr>
              <w:t>6）服务成果的深度应满足相应阶段的有关规定要求</w:t>
            </w:r>
            <w:r>
              <w:rPr>
                <w:rFonts w:ascii="仿宋_GB2312" w:hAnsi="仿宋_GB2312" w:cs="仿宋_GB2312" w:eastAsia="仿宋_GB2312"/>
              </w:rPr>
              <w:t>,</w:t>
            </w:r>
            <w:r>
              <w:rPr>
                <w:rFonts w:ascii="仿宋_GB2312" w:hAnsi="仿宋_GB2312" w:cs="仿宋_GB2312" w:eastAsia="仿宋_GB2312"/>
              </w:rPr>
              <w:t>并符合相关规范的要求。</w:t>
            </w:r>
          </w:p>
          <w:p>
            <w:pPr>
              <w:pStyle w:val="null3"/>
              <w:jc w:val="left"/>
            </w:pPr>
            <w:r>
              <w:rPr>
                <w:rFonts w:ascii="仿宋_GB2312" w:hAnsi="仿宋_GB2312" w:cs="仿宋_GB2312" w:eastAsia="仿宋_GB2312"/>
              </w:rPr>
              <w:t>（</w:t>
            </w:r>
            <w:r>
              <w:rPr>
                <w:rFonts w:ascii="仿宋_GB2312" w:hAnsi="仿宋_GB2312" w:cs="仿宋_GB2312" w:eastAsia="仿宋_GB2312"/>
              </w:rPr>
              <w:t>7）供应商在工作中使用或参考国家有关工程建设标准、规范以外的技术标准规范时，应征得采购人的同意。</w:t>
            </w:r>
          </w:p>
          <w:p>
            <w:pPr>
              <w:pStyle w:val="null3"/>
              <w:jc w:val="left"/>
            </w:pPr>
            <w:r>
              <w:rPr>
                <w:rFonts w:ascii="仿宋_GB2312" w:hAnsi="仿宋_GB2312" w:cs="仿宋_GB2312" w:eastAsia="仿宋_GB2312"/>
              </w:rPr>
              <w:t>（</w:t>
            </w:r>
            <w:r>
              <w:rPr>
                <w:rFonts w:ascii="仿宋_GB2312" w:hAnsi="仿宋_GB2312" w:cs="仿宋_GB2312" w:eastAsia="仿宋_GB2312"/>
              </w:rPr>
              <w:t>8）在前期工作服务过程中</w:t>
            </w:r>
            <w:r>
              <w:rPr>
                <w:rFonts w:ascii="仿宋_GB2312" w:hAnsi="仿宋_GB2312" w:cs="仿宋_GB2312" w:eastAsia="仿宋_GB2312"/>
              </w:rPr>
              <w:t>,</w:t>
            </w:r>
            <w:r>
              <w:rPr>
                <w:rFonts w:ascii="仿宋_GB2312" w:hAnsi="仿宋_GB2312" w:cs="仿宋_GB2312" w:eastAsia="仿宋_GB2312"/>
              </w:rPr>
              <w:t>如果国家或有关部门颁布了新的技术标准或规范，则供应商应采用新的标准或规范。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9）成果文件应通过评审和批准</w:t>
            </w:r>
            <w:r>
              <w:rPr>
                <w:rFonts w:ascii="仿宋_GB2312" w:hAnsi="仿宋_GB2312" w:cs="仿宋_GB2312" w:eastAsia="仿宋_GB2312"/>
                <w:sz w:val="21"/>
              </w:rPr>
              <w:t>,</w:t>
            </w:r>
            <w:r>
              <w:rPr>
                <w:rFonts w:ascii="仿宋_GB2312" w:hAnsi="仿宋_GB2312" w:cs="仿宋_GB2312" w:eastAsia="仿宋_GB2312"/>
                <w:sz w:val="21"/>
              </w:rPr>
              <w:t>如不能通过</w:t>
            </w:r>
            <w:r>
              <w:rPr>
                <w:rFonts w:ascii="仿宋_GB2312" w:hAnsi="仿宋_GB2312" w:cs="仿宋_GB2312" w:eastAsia="仿宋_GB2312"/>
                <w:sz w:val="21"/>
              </w:rPr>
              <w:t>,</w:t>
            </w:r>
            <w:r>
              <w:rPr>
                <w:rFonts w:ascii="仿宋_GB2312" w:hAnsi="仿宋_GB2312" w:cs="仿宋_GB2312" w:eastAsia="仿宋_GB2312"/>
                <w:sz w:val="21"/>
              </w:rPr>
              <w:t>编制单位应负责修改、补充完善直至通过评审和批准。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甘孜州得荣县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根据《财政部关于进一步加强政府采购需求和履约验收管理的指导意见》（财库〔2016〕205 号）要求以及招标文件的要求、中标单位投标文件及承诺、合同约定的标准进行验收。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1、可研阶段勘察设计预付款，合同签订，达到付款条件起15日内，据实结算说明为支付可研阶段勘察设计费的20.00%</w:t>
            </w:r>
          </w:p>
          <w:p>
            <w:pPr>
              <w:pStyle w:val="null3"/>
              <w:jc w:val="left"/>
            </w:pPr>
            <w:r>
              <w:rPr>
                <w:rFonts w:ascii="仿宋_GB2312" w:hAnsi="仿宋_GB2312" w:cs="仿宋_GB2312" w:eastAsia="仿宋_GB2312"/>
              </w:rPr>
              <w:t>2、可研阶段勘察设计进度款，可行性研究报告专家评审通过后，达到付款条件起15日内，据实结算说明为支付可研阶段勘察设计费的40.00%</w:t>
            </w:r>
          </w:p>
          <w:p>
            <w:pPr>
              <w:pStyle w:val="null3"/>
              <w:jc w:val="left"/>
            </w:pPr>
            <w:r>
              <w:rPr>
                <w:rFonts w:ascii="仿宋_GB2312" w:hAnsi="仿宋_GB2312" w:cs="仿宋_GB2312" w:eastAsia="仿宋_GB2312"/>
              </w:rPr>
              <w:t>3、可研阶段勘察设计尾款，发改部门对可行性研究报告批复后，达到付款条件起15日内，据实结算说明为支付可研阶段勘察设计费的40.00%</w:t>
            </w:r>
          </w:p>
          <w:p>
            <w:pPr>
              <w:pStyle w:val="null3"/>
              <w:jc w:val="left"/>
            </w:pPr>
            <w:r>
              <w:rPr>
                <w:rFonts w:ascii="仿宋_GB2312" w:hAnsi="仿宋_GB2312" w:cs="仿宋_GB2312" w:eastAsia="仿宋_GB2312"/>
              </w:rPr>
              <w:t>4、专题报告编制，勘察设计人向采购人每提交一个专题报告并通过评审后，达到付款条件起15日内，据实结算说明为采购人向勘察设计人支付该项目专题报告编制费的100%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1、在本项目招标文件中没有提及的与本项目履约切实相关的事宜，在采购人与中标单位签订合同时约定。（约定的内容须符合国家相关法律法规的规定）。 2、投标人需具有完成本项目的履约能力、人员配备并提供技术服务方案（包括①对本项基本情况和现状的理解；②可研编制任务；③项目实施目标； ④项目特点及关键性技术；⑤勘察设计工作重难点分析及应对措施；⑥技术路线及工作思路进行综合评审）、质量方案（包括①质量管理机构设置及职责；②质量保障体系；③质量保障措施；④日常管理制度和考核办法）、进度保障方案 (包括①工期计划目标及进度安排；②具体工期进度保障措施；③工期管理及人员安排；④安全管理措施）、后续服务方案（包括①后续服务团队；②后续服务范围及后续服务联系方式；③后续服务措施及服务承诺；④后续服务响应时间）3、其他补充说明：①本项目实际执行单位为：得荣县项目促进中心；②因“得荣县项目促进中心”没有独立的四川政府采购一体化平台CA锁，因此该项目发布的所有公告（公示)都由“得荣县发展改革和经信商务局”代发布。项目后续开展及合同签约都由“得荣县项目促进中心”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（1）可提供近三年（2022年或2023或2024）任一年度经审计的财务报告（包含审计报告和审计报告中所涉及的财务报表和报表附注）。 （2）可提供近三年（2022年或2023或2024年）任一年度供应商完整的全套财务报表（应当包括资产负债表、利润表、现金流量表）。 （3）可提供截至响应文件提交截止日一年内银行出具的资信证明。 （4）供应商注册时间截至响应文件提交截止日不足一年的，也可提供在工商管理部门备案的公司章程。 （5）提供承诺或声明（承诺或声明应为原件扫描件）</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具有国家行政主管部门颁发的工程设计水利行业乙级及以上资质；具有国家行政主管部门颁发的工程勘察专业类（岩土工程（勘察））乙级及以上资质。</w:t>
            </w:r>
          </w:p>
        </w:tc>
        <w:tc>
          <w:tcPr>
            <w:tcW w:type="dxa" w:w="3322"/>
          </w:tcPr>
          <w:p>
            <w:pPr>
              <w:pStyle w:val="null3"/>
              <w:jc w:val="left"/>
            </w:pPr>
            <w:r>
              <w:rPr>
                <w:rFonts w:ascii="仿宋_GB2312" w:hAnsi="仿宋_GB2312" w:cs="仿宋_GB2312" w:eastAsia="仿宋_GB2312"/>
              </w:rPr>
              <w:t>具有国家行政主管部门颁发的工程设计水利行业乙级及以上资质；具有国家行政主管部门颁发的工程勘察专业类（岩土工程（勘察））乙级及以上资质。提供相应证明材料并进行电子签章。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招标文件技术、服务及其他要求的★条款。</w:t>
            </w:r>
          </w:p>
        </w:tc>
        <w:tc>
          <w:tcPr>
            <w:tcW w:type="dxa" w:w="3322"/>
          </w:tcPr>
          <w:p>
            <w:pPr>
              <w:pStyle w:val="null3"/>
              <w:jc w:val="left"/>
            </w:pPr>
            <w:r>
              <w:rPr>
                <w:rFonts w:ascii="仿宋_GB2312" w:hAnsi="仿宋_GB2312" w:cs="仿宋_GB2312" w:eastAsia="仿宋_GB2312"/>
              </w:rPr>
              <w:t>供应商须针对招标文件的要求进行响应或提供相关证明材料。</w:t>
            </w:r>
          </w:p>
        </w:tc>
        <w:tc>
          <w:tcPr>
            <w:tcW w:type="dxa" w:w="1661"/>
          </w:tcPr>
          <w:p>
            <w:pPr>
              <w:pStyle w:val="null3"/>
              <w:jc w:val="left"/>
            </w:pPr>
            <w:r>
              <w:rPr>
                <w:rFonts w:ascii="仿宋_GB2312" w:hAnsi="仿宋_GB2312" w:cs="仿宋_GB2312" w:eastAsia="仿宋_GB2312"/>
              </w:rPr>
              <w:t>投标人应提交的相关证明材料,投标文件封面,服务应答表,商务应答表.docx,报价表,投标（响应）函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技术服务方案内容至少包括①对本项基本情况和现状的理解；②可研编制任务；③项目实施目标； ④项目特点及关键性技术；⑤勘察设计工作重难点分析及应对措施；⑥技术路线及工作思路。上述所有内容完整，完全满足项目需求得18分；每有一项内容缺失扣3分，每有一项不合理或存在缺陷，不能完全满足功能需求扣1.5分，18分扣完为止。 【注：1、内容缺失是指：方案整体缺失或仅有标题和框架或仅有标题；2、不合理或缺陷是指：①套用其他项目方案；②内容前后表述矛盾；③不符合本项目涉及的相关规范或标准要求；④内容表述错误；⑤实施地点区域错误；⑥内容与本项目需求无关或脱离了实际情况不具备实施的可能性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质量保障方案内容至少包括：①质量管理机构设置及职责；②质量保障体系；③质量保障措施；④日常管理制度和考核办法。上述所有内容完整，完全满足项目需求得12分；每有一项内容缺失扣3分，每有一项不合理或存在缺陷，不能完全满足功能需求扣1.5分，12分扣完为止。 【注：1、内容缺失是指：方案整体缺失或仅有标题和框架或仅有标题；2、不合理或缺陷是指：①套用其他项目方案；②内容前后表述矛盾；③不符合本项目涉及的相关规范或标准要求；④内容表述错误；⑤实施地点区域错误；⑥内容与本项目需求无关或脱离了实际情况不具备实施的可能性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进度保障方案</w:t>
            </w:r>
          </w:p>
        </w:tc>
        <w:tc>
          <w:tcPr>
            <w:tcW w:type="dxa" w:w="2575"/>
          </w:tcPr>
          <w:p>
            <w:pPr>
              <w:pStyle w:val="null3"/>
              <w:jc w:val="left"/>
            </w:pPr>
            <w:r>
              <w:rPr>
                <w:rFonts w:ascii="仿宋_GB2312" w:hAnsi="仿宋_GB2312" w:cs="仿宋_GB2312" w:eastAsia="仿宋_GB2312"/>
              </w:rPr>
              <w:t>进度保障方案内容至少包括：①工期计划目标及进度安排；②具体工期进度保障措施；③工期管理及人员安排；④安全管理措施。上述所有内容完整，完全满足项目需求得12分；每有一项内容缺失扣3分，每有一项不合理或存在缺陷，不能完全满足功能需求扣1.5分，12分扣完为止。 【注：1、内容缺失是指：方案整体缺失或仅有标题和框架或仅有标题；2、不合理或缺陷是指：①套用其他项目方案；②内容前后表述矛盾；③不符合本项目涉及的相关规范或标准要求；④内容表述错误；⑤实施地点区域错误；⑥内容与本项目需求无关或脱离了实际情况不具备实施的可能性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后续服务方案内容至少包括：①后续服务团队；②后续服务范围及后续服务联系方式；③后续服务措施及服务承诺；④后续服务响应时间。上述所有内容完整，完全满足项目需求得12分；每有一项内容缺失扣3分，每有一项不合理或存在缺陷，不能完全满足功能需求扣1.5分，12分扣完为止。 【注：1、内容缺失是指：方案整体缺失或仅有标题和框架或仅有标题；2、不合理或缺陷是指：①套用其他项目方案；②内容前后表述矛盾；③不符合本项目涉及的相关规范或标准要求；④内容表述错误；⑤实施地点区域错误；⑥内容与本项目需求无关或脱离了实际情况不具备实施的可能性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1人）：具有咨询工程师（投资）登记证书（水利水电专业）得2分，在此基础上具有水利相关专业中级技术职称加1分，具有水利相关专业高级及以上技术职称加2分；本项最高得4分。（若联合体投标的，由设计单位提供。） 2、设计技术负责人：具有一级注册结构工程师资格得2分，在此基础上具有水利相关专业中级技术职称加1分，具有水利相关专业高级及以上技术职称加2分；本项最高得4分。（若联合体投标的，由设计单位提供。） 3、环保专业负责人：具有注册环保工程师资格得2分，在此基础上具有环境类中级技术职称加1分，具有环境类高级及以上技术职称加2分；本项最高得4 分。（若联合体投标的，由设计单位提供。） 4、勘察负责人：具有注册土木工程师(岩土)资格得2分，在此基础上具有岩土相关专业中级技术职称加1分，具有岩土相关专业高级及以上技术职称加2分；本项最高得4分。（若联合体投标的，由勘察单位提供。） 5、测绘专业负责人：具有注册测绘工程师资格得2分，在此基础上具有测绘类中级技术职称加1分，具有测绘类高级及以上技术职称加2分；本项最高得4分。（若联合体投标的，由勘察单位提供。） 6、安全专业负责人：具有注册安全工程师资格得2分，在此基础上具有工程管理类中级技术职称加1分，具有工程管理类高级及以上技术职称加2分；本项最高得4分。（若联合体投标的，由勘察单位提供。） 7、造价专业负责人:具有注册一级造价工程师（水利工程）资格得2分，在此基础上具有水利相关专业中级技术职称加1分，具有水利相关专业高级及以上技术职称加2分；本项最高得4分。（若联合体投标的，由设计单位提供。） 注：1、人员必须是本公司人员，所有人员不重复计分；2、以上人员应提供身份证和相关证书等证明资料复印件，提供多本职称证书的以等级最高的为准，不重复计分；3、未提供不得分。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4月1日至今具有1个类似项目业绩得4分，每增加1个类似项目业绩加2分；本项最高得8分。注：1、类似业绩是指：水利工程可研勘察设计业绩；2、须提供合同协议书。3、业绩认定时间以合同签订时间为准。（若联合体投标的，设计业绩由设计单位提供，勘察业绩由勘察单位提供。)</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满足招标文件要求且报价最低的为评审基准价，价格得分=（评审基准价/报价）×10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采购包接受大中型企业与小微企业组成联合体的采购项目，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4.00%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