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版本号：N511102202600002720260427001</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2026年度环卫耗材（铁扫把、垃圾袋）采购(二次)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N5111022026000027</w:t>
      </w:r>
    </w:p>
    <w:p>
      <w:pPr>
        <w:pStyle w:val="null3"/>
        <w:jc w:val="left"/>
        <w:outlineLvl w:val="2"/>
      </w:pPr>
      <w:r>
        <w:rPr>
          <w:rFonts w:ascii="仿宋_GB2312" w:hAnsi="仿宋_GB2312" w:cs="仿宋_GB2312" w:eastAsia="仿宋_GB2312"/>
          <w:sz w:val="28"/>
          <w:b/>
        </w:rPr>
        <w:t>乐山市市中区市容管理局</w:t>
      </w:r>
    </w:p>
    <w:p>
      <w:pPr>
        <w:pStyle w:val="null3"/>
        <w:jc w:val="center"/>
        <w:outlineLvl w:val="2"/>
      </w:pPr>
      <w:r>
        <w:rPr>
          <w:rFonts w:ascii="仿宋_GB2312" w:hAnsi="仿宋_GB2312" w:cs="仿宋_GB2312" w:eastAsia="仿宋_GB2312"/>
          <w:sz w:val="28"/>
          <w:b/>
        </w:rPr>
        <w:t>乐山市市中区人民政府采购中心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乐山市市中区人民政府采购中心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乐山市市中区市容管理局</w:t>
      </w:r>
      <w:r>
        <w:rPr>
          <w:rFonts w:ascii="仿宋_GB2312" w:hAnsi="仿宋_GB2312" w:cs="仿宋_GB2312" w:eastAsia="仿宋_GB2312"/>
        </w:rPr>
        <w:t xml:space="preserve"> 委托，拟对 </w:t>
      </w:r>
      <w:r>
        <w:rPr>
          <w:rFonts w:ascii="仿宋_GB2312" w:hAnsi="仿宋_GB2312" w:cs="仿宋_GB2312" w:eastAsia="仿宋_GB2312"/>
        </w:rPr>
        <w:t>2026年度环卫耗材（铁扫把、垃圾袋）采购(二次)</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乐山市市中区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N5111022026000027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2026年度环卫耗材（铁扫把、垃圾袋）采购(二次)</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sz w:val="21"/>
        </w:rPr>
        <w:t>采购2026年度环卫耗材（铁扫把、垃圾袋）一批。</w:t>
      </w:r>
      <w:r>
        <w:rPr>
          <w:rFonts w:ascii="仿宋_GB2312" w:hAnsi="仿宋_GB2312" w:cs="仿宋_GB2312" w:eastAsia="仿宋_GB2312"/>
          <w:sz w:val="21"/>
        </w:rPr>
        <w:t xml:space="preserve"> </w:t>
      </w:r>
      <w:r>
        <w:rPr>
          <w:rFonts w:ascii="仿宋_GB2312" w:hAnsi="仿宋_GB2312" w:cs="仿宋_GB2312" w:eastAsia="仿宋_GB2312"/>
          <w:sz w:val="21"/>
        </w:rPr>
        <w:t>本项目铁扫把采购预算为</w:t>
      </w:r>
      <w:r>
        <w:rPr>
          <w:rFonts w:ascii="仿宋_GB2312" w:hAnsi="仿宋_GB2312" w:cs="仿宋_GB2312" w:eastAsia="仿宋_GB2312"/>
          <w:sz w:val="21"/>
        </w:rPr>
        <w:t>42万元，垃圾袋采购预算为46万元。</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乐山市市中区市容管理局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乐山市市中区马铺路123号党校综合楼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王虎</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0833-2451135</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乐山市市中区人民政府采购中心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四川省乐山市市中区春华路南段422号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陈老师、徐老师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0833-2192933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采购包1：880,000.00元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（1）缴纳方式：成交供应商须在签订合同前足额缴纳；履约保证金以支票、汇票、本票或者金融机构出具的保函等非现金形式提交（包括网银转账，电汇等方式）。</w:t>
              <w:br/>
              <w:t>（2）收款信息：</w:t>
              <w:br/>
              <w:t>收款单位：乐山市市中区市容管理局</w:t>
              <w:br/>
              <w:t xml:space="preserve">    开户行：中国农业银行股份有限公司乐山直属支行西城分理处</w:t>
              <w:br/>
              <w:t xml:space="preserve">    银行账号：22363501040001263</w:t>
              <w:br/>
              <w:t>（3）交款时间：成交通知书发出后，采购合同签订前。</w:t>
              <w:br/>
              <w:t>（4）退还时间：配送期满后，成交供应商凭采购人出具的项目履约验收合格凭证材料向采购人申请退还，采购人在收到成交供应商申请（含项目履约验收合格凭证材料）后30日内，以成交供应商交纳履约保证金的方式一次性无息退还给成交供应商。</w:t>
              <w:br/>
              <w:t>（5）不予退还履约保证金的情形：</w:t>
              <w:br/>
              <w:t>（5.1）成交供应商交纳履约保证金后无正当理由拒绝与采购人签订采购合同的。</w:t>
              <w:br/>
              <w:t>（5.2）成交供应商违规分包或违法转包的。</w:t>
              <w:br/>
              <w:t>（5.3）提供假冒伪劣产品或者提供不符合招标文件规定实质性要求的产品。</w:t>
              <w:br/>
              <w:t>（5.4）成交供应商擅自变更、中止或者终止采购合同的。</w:t>
              <w:br/>
              <w:t>（5.5）在配送服务期间不履行相应职责的。</w:t>
              <w:br/>
              <w:t>（5.6）发生采购文件规定的情况被采购人惩罚或者取消配送资格或者解除合同的。</w:t>
              <w:br/>
              <w:t>（5.7）其他采购文件规定应当不予退还履约保证金的情况。</w:t>
              <w:br/>
              <w:t>（5.8）其他因成交供应商原因（不可抗力因素除外）对采购人造成损失的。</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60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乐山市市中区市容管理局</w:t>
      </w:r>
      <w:r>
        <w:rPr>
          <w:rFonts w:ascii="仿宋_GB2312" w:hAnsi="仿宋_GB2312" w:cs="仿宋_GB2312" w:eastAsia="仿宋_GB2312"/>
        </w:rPr>
        <w:t xml:space="preserve"> 和 </w:t>
      </w:r>
      <w:r>
        <w:rPr>
          <w:rFonts w:ascii="仿宋_GB2312" w:hAnsi="仿宋_GB2312" w:cs="仿宋_GB2312" w:eastAsia="仿宋_GB2312"/>
        </w:rPr>
        <w:t>乐山市市中区人民政府采购中心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乐山市市中区市容管理局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乐山市市中区人民政府采购中心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三、评审过程中出现下列情形之一的，询价小组应当启动异常低价响应审查程序：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4.询价小组基于专业判断，认为供应商报价过低，有可能影响产品质量或者不能诚信履约的其他情形。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询价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询价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询价小组应当将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全部交货后</w:t>
      </w:r>
      <w:r>
        <w:rPr>
          <w:rFonts w:ascii="仿宋_GB2312" w:hAnsi="仿宋_GB2312" w:cs="仿宋_GB2312" w:eastAsia="仿宋_GB2312"/>
        </w:rPr>
        <w:t xml:space="preserve"> ，达到验收条件起 </w:t>
      </w:r>
      <w:r>
        <w:rPr>
          <w:rFonts w:ascii="仿宋_GB2312" w:hAnsi="仿宋_GB2312" w:cs="仿宋_GB2312" w:eastAsia="仿宋_GB2312"/>
        </w:rPr>
        <w:t>60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按照文件技术要求验收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按照文件商务要求验收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按照文件商务要求验收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乐山市市中区市容管理局</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乐山市市中区人民政府采购中心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乐山市市中区人民政府采购中心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联系电话：0833-2451135</w:t>
      </w:r>
    </w:p>
    <w:p>
      <w:pPr>
        <w:pStyle w:val="null3"/>
        <w:jc w:val="left"/>
      </w:pPr>
      <w:r>
        <w:rPr>
          <w:rFonts w:ascii="仿宋_GB2312" w:hAnsi="仿宋_GB2312" w:cs="仿宋_GB2312" w:eastAsia="仿宋_GB2312"/>
        </w:rPr>
        <w:t>地址： 乐山市市中区马铺路123号党校综合楼</w:t>
      </w:r>
    </w:p>
    <w:p>
      <w:pPr>
        <w:pStyle w:val="null3"/>
        <w:jc w:val="left"/>
      </w:pPr>
      <w:r>
        <w:rPr>
          <w:rFonts w:ascii="仿宋_GB2312" w:hAnsi="仿宋_GB2312" w:cs="仿宋_GB2312" w:eastAsia="仿宋_GB2312"/>
        </w:rPr>
        <w:t>邮编：614000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联系人：毛女士</w:t>
      </w:r>
    </w:p>
    <w:p>
      <w:pPr>
        <w:pStyle w:val="null3"/>
        <w:jc w:val="left"/>
      </w:pPr>
      <w:r>
        <w:rPr>
          <w:rFonts w:ascii="仿宋_GB2312" w:hAnsi="仿宋_GB2312" w:cs="仿宋_GB2312" w:eastAsia="仿宋_GB2312"/>
        </w:rPr>
        <w:t>联系电话：0833-2402767</w:t>
      </w:r>
    </w:p>
    <w:p>
      <w:pPr>
        <w:pStyle w:val="null3"/>
        <w:jc w:val="left"/>
      </w:pPr>
      <w:r>
        <w:rPr>
          <w:rFonts w:ascii="仿宋_GB2312" w:hAnsi="仿宋_GB2312" w:cs="仿宋_GB2312" w:eastAsia="仿宋_GB2312"/>
        </w:rPr>
        <w:t>地址：四川省乐山市市中区春华路南段422号</w:t>
      </w:r>
    </w:p>
    <w:p>
      <w:pPr>
        <w:pStyle w:val="null3"/>
        <w:jc w:val="left"/>
      </w:pPr>
      <w:r>
        <w:rPr>
          <w:rFonts w:ascii="仿宋_GB2312" w:hAnsi="仿宋_GB2312" w:cs="仿宋_GB2312" w:eastAsia="仿宋_GB2312"/>
        </w:rPr>
        <w:t>邮编：614000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880,000.00</w:t>
      </w:r>
    </w:p>
    <w:p>
      <w:pPr>
        <w:pStyle w:val="null3"/>
        <w:jc w:val="left"/>
      </w:pPr>
      <w:r>
        <w:rPr>
          <w:rFonts w:ascii="仿宋_GB2312" w:hAnsi="仿宋_GB2312" w:cs="仿宋_GB2312" w:eastAsia="仿宋_GB2312"/>
        </w:rPr>
        <w:t>采购包最高限价（元）: 880,000.00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A05029900 其他用具</w:t>
            </w:r>
          </w:p>
        </w:tc>
        <w:tc>
          <w:tcPr>
            <w:tcW w:type="dxa" w:w="821"/>
          </w:tcPr>
          <w:p>
            <w:pPr>
              <w:pStyle w:val="null3"/>
              <w:jc w:val="left"/>
            </w:pPr>
            <w:r>
              <w:rPr>
                <w:rFonts w:ascii="仿宋_GB2312" w:hAnsi="仿宋_GB2312" w:cs="仿宋_GB2312" w:eastAsia="仿宋_GB2312"/>
              </w:rPr>
              <w:t>2026年度环卫耗材（铁扫把、垃圾袋）采购</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880,000.00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2026年度环卫耗材（铁扫把、垃圾袋）采购</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详见3.2.技术要求中“项目说明”</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A05029900 其他用具</w:t>
            </w:r>
          </w:p>
        </w:tc>
        <w:tc>
          <w:tcPr>
            <w:tcW w:type="dxa" w:w="2492"/>
          </w:tcPr>
          <w:p>
            <w:pPr>
              <w:pStyle w:val="null3"/>
              <w:jc w:val="left"/>
            </w:pPr>
            <w:r>
              <w:rPr>
                <w:rFonts w:ascii="仿宋_GB2312" w:hAnsi="仿宋_GB2312" w:cs="仿宋_GB2312" w:eastAsia="仿宋_GB2312"/>
              </w:rPr>
              <w:t>2026年度环卫耗材（铁扫把、垃圾袋）采购</w:t>
            </w:r>
          </w:p>
        </w:tc>
        <w:tc>
          <w:tcPr>
            <w:tcW w:type="dxa" w:w="2492"/>
          </w:tcPr>
          <w:p>
            <w:pPr>
              <w:pStyle w:val="null3"/>
              <w:jc w:val="left"/>
            </w:pPr>
            <w:r>
              <w:rPr>
                <w:rFonts w:ascii="仿宋_GB2312" w:hAnsi="仿宋_GB2312" w:cs="仿宋_GB2312" w:eastAsia="仿宋_GB2312"/>
              </w:rPr>
              <w:t>详见3.2.技术要求中“项目说明”</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标的名称：2026年度环卫耗材（铁扫把、垃圾袋）采购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both"/>
            </w:pPr>
            <w:r>
              <w:rPr>
                <w:rFonts w:ascii="仿宋_GB2312" w:hAnsi="仿宋_GB2312" w:cs="仿宋_GB2312" w:eastAsia="仿宋_GB2312"/>
                <w:sz w:val="21"/>
              </w:rPr>
              <w:t>一、</w:t>
            </w:r>
            <w:r>
              <w:rPr>
                <w:rFonts w:ascii="仿宋_GB2312" w:hAnsi="仿宋_GB2312" w:cs="仿宋_GB2312" w:eastAsia="仿宋_GB2312"/>
                <w:sz w:val="22"/>
                <w:color w:val="FF0000"/>
              </w:rPr>
              <w:t>★</w:t>
            </w:r>
            <w:r>
              <w:rPr>
                <w:rFonts w:ascii="仿宋_GB2312" w:hAnsi="仿宋_GB2312" w:cs="仿宋_GB2312" w:eastAsia="仿宋_GB2312"/>
                <w:sz w:val="21"/>
              </w:rPr>
              <w:t>项目说明（供应商对此约定要求可不作文字响应，但供应商参与本项目投标则视同供应商对以下要求已完全知晓、理解并同意接受或按相关规定提供相应证明材料）：</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、由于本项目标的物较多，采购人将项目标的物组建成一批，系统固化原因会致上述</w:t>
            </w:r>
            <w:r>
              <w:rPr>
                <w:rFonts w:ascii="仿宋_GB2312" w:hAnsi="仿宋_GB2312" w:cs="仿宋_GB2312" w:eastAsia="仿宋_GB2312"/>
                <w:sz w:val="21"/>
              </w:rPr>
              <w:t>3.1</w:t>
            </w:r>
            <w:r>
              <w:rPr>
                <w:rFonts w:ascii="仿宋_GB2312" w:hAnsi="仿宋_GB2312" w:cs="仿宋_GB2312" w:eastAsia="仿宋_GB2312"/>
                <w:sz w:val="21"/>
              </w:rPr>
              <w:t>采购内容中品目代码与标的物可能不一一对应或标的名称为项目名称现象，请忽略；上述</w:t>
            </w:r>
            <w:r>
              <w:rPr>
                <w:rFonts w:ascii="仿宋_GB2312" w:hAnsi="仿宋_GB2312" w:cs="仿宋_GB2312" w:eastAsia="仿宋_GB2312"/>
                <w:sz w:val="21"/>
              </w:rPr>
              <w:t>3.1</w:t>
            </w:r>
            <w:r>
              <w:rPr>
                <w:rFonts w:ascii="仿宋_GB2312" w:hAnsi="仿宋_GB2312" w:cs="仿宋_GB2312" w:eastAsia="仿宋_GB2312"/>
                <w:sz w:val="21"/>
              </w:rPr>
              <w:t>采购内容中涉及以下说明内容的，以此说明为准。</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、本项目核心产品：序号</w:t>
            </w:r>
            <w:r>
              <w:rPr>
                <w:rFonts w:ascii="仿宋_GB2312" w:hAnsi="仿宋_GB2312" w:cs="仿宋_GB2312" w:eastAsia="仿宋_GB2312"/>
                <w:sz w:val="21"/>
              </w:rPr>
              <w:t>1</w:t>
            </w:r>
            <w:r>
              <w:rPr>
                <w:rFonts w:ascii="仿宋_GB2312" w:hAnsi="仿宋_GB2312" w:cs="仿宋_GB2312" w:eastAsia="仿宋_GB2312"/>
                <w:sz w:val="21"/>
              </w:rPr>
              <w:t>的“</w:t>
            </w:r>
            <w:r>
              <w:rPr>
                <w:rFonts w:ascii="仿宋_GB2312" w:hAnsi="仿宋_GB2312" w:cs="仿宋_GB2312" w:eastAsia="仿宋_GB2312"/>
                <w:sz w:val="20"/>
              </w:rPr>
              <w:t>铁扫把</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、本项目采购强制节能产品：</w:t>
            </w:r>
            <w:r>
              <w:rPr>
                <w:rFonts w:ascii="仿宋_GB2312" w:hAnsi="仿宋_GB2312" w:cs="仿宋_GB2312" w:eastAsia="仿宋_GB2312"/>
                <w:sz w:val="21"/>
              </w:rPr>
              <w:t>不涉及</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、本项目优先采购节能产品：</w:t>
            </w:r>
            <w:r>
              <w:rPr>
                <w:rFonts w:ascii="仿宋_GB2312" w:hAnsi="仿宋_GB2312" w:cs="仿宋_GB2312" w:eastAsia="仿宋_GB2312"/>
                <w:sz w:val="21"/>
              </w:rPr>
              <w:t>不涉及</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、本项目优先采购环境标志产品：</w:t>
            </w:r>
            <w:r>
              <w:rPr>
                <w:rFonts w:ascii="仿宋_GB2312" w:hAnsi="仿宋_GB2312" w:cs="仿宋_GB2312" w:eastAsia="仿宋_GB2312"/>
                <w:sz w:val="21"/>
              </w:rPr>
              <w:t>不涉及</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、本项目采购进口产品：不涉及。</w:t>
            </w:r>
          </w:p>
          <w:p>
            <w:pPr>
              <w:pStyle w:val="null3"/>
              <w:jc w:val="both"/>
            </w:pPr>
            <w:r>
              <w:rPr>
                <w:rFonts w:ascii="仿宋_GB2312" w:hAnsi="仿宋_GB2312" w:cs="仿宋_GB2312" w:eastAsia="仿宋_GB2312"/>
                <w:sz w:val="21"/>
              </w:rPr>
              <w:t>除另有规定外，上述</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均指主要标的物，不含标的物中辅材或配件类货物。</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、本项目《中小企业声明函》填写：</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所属行业：工业</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本项目属性为货物。</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供应商所报产品制造商属于同一制造商的，允许在声明函“标的物名称”处将同一制造商的所有标的物一并列出作合并声明；标的物名称相同且所报产品制造商属于同一制造商的，允许只作一次声明。</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声明函中从业人员、营业收入、资产总额应填报上一自然年度数据，其上一年度数据尚未统计或审计时（例如年初参与投标），可填报在税务系统申报的上一会计年度数据。</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、本项目报价表填写：</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）填写“报价表”中产地、规格、品牌、生产厂家时均填写“见报价明细表”，此内容不评审。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）填写“报价明细表”中品牌规格型号时，标的物属于定制或确无品牌规格型号的可填写“定制”或“自定”或作类似说明。供应商接受此约定可视为此类产品品牌和规格型号“不能指向唯一”的说明。</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）报价漏项、数量有误、总价及单价（项）超限价、报价百分比不一致（报结算比例时）及不符合其他报价要求的均作无效报价。</w:t>
            </w:r>
            <w:r>
              <w:rPr>
                <w:rFonts w:ascii="仿宋_GB2312" w:hAnsi="仿宋_GB2312" w:cs="仿宋_GB2312" w:eastAsia="仿宋_GB2312"/>
                <w:sz w:val="20"/>
              </w:rPr>
              <w:t>本项目以预算单价为基准单价，供应商在此基础上报统一结算比例。</w:t>
            </w:r>
            <w:r>
              <w:rPr>
                <w:rFonts w:ascii="仿宋_GB2312" w:hAnsi="仿宋_GB2312" w:cs="仿宋_GB2312" w:eastAsia="仿宋_GB2312"/>
                <w:sz w:val="21"/>
              </w:rPr>
              <w:t>单价（项）限价、数量见本项目采购文件附件（报价明细表）。附件提供的报价明细表</w:t>
            </w:r>
            <w:r>
              <w:rPr>
                <w:rFonts w:ascii="仿宋_GB2312" w:hAnsi="仿宋_GB2312" w:cs="仿宋_GB2312" w:eastAsia="仿宋_GB2312"/>
                <w:sz w:val="21"/>
              </w:rPr>
              <w:t>将标的名称、数量、单位、单价限价进行了锁定，供应商只需填写品牌、规格型号、生产厂家、单价及补充说明等其他内容，不能对此表作插入、删除或修改等改动。因供应商自行改动造成漏报或超限价或计算错误等后果由供应商自行承担。</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、本项目标的物名称，因采购人不能穷尽详列或通俗认知等原因，供应商提供的报价明细表中标的物名称、产品所对应的证书、证明材料对产品命名可能存在差别，在满足技术参数要求前提下，本项目给予认可。</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、本文件引用技术规范或标准有误或已废止的，无论供应商如何响应均按现行有效、更新的技术规范或标准执行，成交</w:t>
            </w:r>
            <w:r>
              <w:rPr>
                <w:rFonts w:ascii="仿宋_GB2312" w:hAnsi="仿宋_GB2312" w:cs="仿宋_GB2312" w:eastAsia="仿宋_GB2312"/>
                <w:sz w:val="21"/>
              </w:rPr>
              <w:t>/</w:t>
            </w:r>
            <w:r>
              <w:rPr>
                <w:rFonts w:ascii="仿宋_GB2312" w:hAnsi="仿宋_GB2312" w:cs="仿宋_GB2312" w:eastAsia="仿宋_GB2312"/>
                <w:sz w:val="21"/>
              </w:rPr>
              <w:t>中标供应商与采购人在合同签订时予以纠正。</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、供应商为本项目提供的所有货物、辅材中属于《国家强制性产品认证目录》范围内货物的，均应通过国家强制性认证并取得认证证书。</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、供应商为本项目提供的所有货物及其制造商属于国家规定须取得备案、生产等许可的，无论本项目采购文件是否要求在投标</w:t>
            </w:r>
            <w:r>
              <w:rPr>
                <w:rFonts w:ascii="仿宋_GB2312" w:hAnsi="仿宋_GB2312" w:cs="仿宋_GB2312" w:eastAsia="仿宋_GB2312"/>
                <w:sz w:val="21"/>
              </w:rPr>
              <w:t>/</w:t>
            </w:r>
            <w:r>
              <w:rPr>
                <w:rFonts w:ascii="仿宋_GB2312" w:hAnsi="仿宋_GB2312" w:cs="仿宋_GB2312" w:eastAsia="仿宋_GB2312"/>
                <w:sz w:val="21"/>
              </w:rPr>
              <w:t>响应文件中提供证明材，供应商均应提供符合国家相关规定的货物。</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、供应商应对所提供材料、承诺或声明的真实性、合法性及有效性负责。除本项目采购文件已明确要求在投标</w:t>
            </w:r>
            <w:r>
              <w:rPr>
                <w:rFonts w:ascii="仿宋_GB2312" w:hAnsi="仿宋_GB2312" w:cs="仿宋_GB2312" w:eastAsia="仿宋_GB2312"/>
                <w:sz w:val="21"/>
              </w:rPr>
              <w:t>/</w:t>
            </w:r>
            <w:r>
              <w:rPr>
                <w:rFonts w:ascii="仿宋_GB2312" w:hAnsi="仿宋_GB2312" w:cs="仿宋_GB2312" w:eastAsia="仿宋_GB2312"/>
                <w:sz w:val="21"/>
              </w:rPr>
              <w:t>响应文件中提供证明材料外，在合同签订前，采购人将重点对中标</w:t>
            </w:r>
            <w:r>
              <w:rPr>
                <w:rFonts w:ascii="仿宋_GB2312" w:hAnsi="仿宋_GB2312" w:cs="仿宋_GB2312" w:eastAsia="仿宋_GB2312"/>
                <w:sz w:val="21"/>
              </w:rPr>
              <w:t>/</w:t>
            </w:r>
            <w:r>
              <w:rPr>
                <w:rFonts w:ascii="仿宋_GB2312" w:hAnsi="仿宋_GB2312" w:cs="仿宋_GB2312" w:eastAsia="仿宋_GB2312"/>
                <w:sz w:val="21"/>
              </w:rPr>
              <w:t>成交供应商提供的包括但不限于检验（测）报告、资质证书、强制节能产品认证证书、强制性产品认证证书（</w:t>
            </w:r>
            <w:r>
              <w:rPr>
                <w:rFonts w:ascii="仿宋_GB2312" w:hAnsi="仿宋_GB2312" w:cs="仿宋_GB2312" w:eastAsia="仿宋_GB2312"/>
                <w:sz w:val="21"/>
              </w:rPr>
              <w:t>3C</w:t>
            </w:r>
            <w:r>
              <w:rPr>
                <w:rFonts w:ascii="仿宋_GB2312" w:hAnsi="仿宋_GB2312" w:cs="仿宋_GB2312" w:eastAsia="仿宋_GB2312"/>
                <w:sz w:val="21"/>
              </w:rPr>
              <w:t>认证）、产品备案或生产许可材料等采取原件核查或法定第三方平台查询或发函方式进行真实性、合法性及有效性核查。经核查发现不能提供或未查询到或应作无效的，将报同级财政部门处理，供应商自行承担不利后果和相关责任。</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供应商对技术参数中以“以上”、“以下”、“内”、“以内”、“不少于”、“≥”、“≤”等范围值形式表述的指标仍以范围值形式进行响应的，在合同签订时以供应商响应范围值本数作最低标准。同理，“不足”、“低于”、“超过”、“＜”、“＞”的则以优于但不含本数作最低标准。合同签订时，双方应按不低于上述要求确定准确值并作为验收的依据。</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本项目采购文件提供的“拟签订合同文本”中为通用版本，签订合同时对采购文件已有表述或要求的则按采购文件签订，采购文件没有约定的则由合同双方在公平公正且不违反相关法律法规前提下协商签订以及增加本项目必要的相关条款。</w:t>
            </w:r>
          </w:p>
          <w:p>
            <w:pPr>
              <w:pStyle w:val="null3"/>
              <w:jc w:val="both"/>
            </w:pPr>
            <w:r>
              <w:rPr>
                <w:rFonts w:ascii="仿宋_GB2312" w:hAnsi="仿宋_GB2312" w:cs="仿宋_GB2312" w:eastAsia="仿宋_GB2312"/>
                <w:sz w:val="28"/>
                <w:b/>
                <w:color w:val="000000"/>
              </w:rPr>
              <w:t>二、采购清单及技术参数要求：</w:t>
            </w:r>
          </w:p>
          <w:p>
            <w:pPr>
              <w:pStyle w:val="null3"/>
              <w:jc w:val="left"/>
            </w:pPr>
            <w:r>
              <w:rPr>
                <w:rFonts w:ascii="仿宋_GB2312" w:hAnsi="仿宋_GB2312" w:cs="仿宋_GB2312" w:eastAsia="仿宋_GB2312"/>
                <w:sz w:val="28"/>
                <w:b/>
                <w:color w:val="000000"/>
              </w:rPr>
              <w:t>（一）采购清单</w:t>
            </w:r>
          </w:p>
          <w:tbl>
            <w:tblPr>
              <w:tblInd w:type="dxa" w:w="315"/>
              <w:tblBorders>
                <w:top w:val="none" w:color="000000" w:sz="4"/>
                <w:left w:val="none" w:color="000000" w:sz="4"/>
                <w:bottom w:val="none" w:color="000000" w:sz="4"/>
                <w:right w:val="none" w:color="000000" w:sz="4"/>
                <w:insideH w:val="none"/>
                <w:insideV w:val="none"/>
              </w:tblBorders>
            </w:tblPr>
            <w:tblGrid>
              <w:gridCol w:w="605"/>
              <w:gridCol w:w="1491"/>
              <w:gridCol w:w="2097"/>
              <w:gridCol w:w="1358"/>
            </w:tblGrid>
            <w:tr>
              <w:tc>
                <w:tcPr>
                  <w:tcW w:type="dxa" w:w="6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序号</w:t>
                  </w:r>
                </w:p>
              </w:tc>
              <w:tc>
                <w:tcPr>
                  <w:tcW w:type="dxa" w:w="14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标的名称</w:t>
                  </w:r>
                </w:p>
              </w:tc>
              <w:tc>
                <w:tcPr>
                  <w:tcW w:type="dxa" w:w="20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p>
              </w:tc>
              <w:tc>
                <w:tcPr>
                  <w:tcW w:type="dxa" w:w="13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数量</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铁扫把</w:t>
                  </w:r>
                </w:p>
              </w:tc>
              <w:tc>
                <w:tcPr>
                  <w:tcW w:type="dxa" w:w="2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定制</w:t>
                  </w:r>
                </w:p>
              </w:tc>
              <w:tc>
                <w:tcPr>
                  <w:tcW w:type="dxa" w:w="13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根据采购人要求按需配送，具体数量以最终实际配送数</w:t>
                  </w:r>
                  <w:r>
                    <w:rPr>
                      <w:rFonts w:ascii="仿宋_GB2312" w:hAnsi="仿宋_GB2312" w:cs="仿宋_GB2312" w:eastAsia="仿宋_GB2312"/>
                      <w:sz w:val="20"/>
                    </w:rPr>
                    <w:t>量</w:t>
                  </w:r>
                  <w:r>
                    <w:rPr>
                      <w:rFonts w:ascii="仿宋_GB2312" w:hAnsi="仿宋_GB2312" w:cs="仿宋_GB2312" w:eastAsia="仿宋_GB2312"/>
                      <w:sz w:val="20"/>
                    </w:rPr>
                    <w:t>为准，但结算金额不得超过项目预算金额。</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标准垃圾袋</w:t>
                  </w:r>
                  <w:r>
                    <w:rPr>
                      <w:rFonts w:ascii="仿宋_GB2312" w:hAnsi="仿宋_GB2312" w:cs="仿宋_GB2312" w:eastAsia="仿宋_GB2312"/>
                      <w:sz w:val="20"/>
                    </w:rPr>
                    <w:t>(240L垃圾桶垃圾袋)</w:t>
                  </w:r>
                </w:p>
              </w:tc>
              <w:tc>
                <w:tcPr>
                  <w:tcW w:type="dxa" w:w="2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122cm×143cm；黑色</w:t>
                  </w:r>
                </w:p>
              </w:tc>
              <w:tc>
                <w:tcPr>
                  <w:tcW w:type="dxa" w:w="1358"/>
                  <w:vMerge/>
                  <w:tcBorders>
                    <w:top w:val="none" w:color="000000" w:sz="4"/>
                    <w:left w:val="none" w:color="000000" w:sz="4"/>
                    <w:bottom w:val="single" w:color="000000" w:sz="4"/>
                    <w:right w:val="single" w:color="000000" w:sz="4"/>
                  </w:tcBorders>
                </w:tcP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标准垃圾袋</w:t>
                  </w:r>
                  <w:r>
                    <w:rPr>
                      <w:rFonts w:ascii="仿宋_GB2312" w:hAnsi="仿宋_GB2312" w:cs="仿宋_GB2312" w:eastAsia="仿宋_GB2312"/>
                      <w:sz w:val="20"/>
                    </w:rPr>
                    <w:t>(240L垃圾桶垃圾袋)</w:t>
                  </w:r>
                </w:p>
              </w:tc>
              <w:tc>
                <w:tcPr>
                  <w:tcW w:type="dxa" w:w="2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122cm×143cm；绿色</w:t>
                  </w:r>
                </w:p>
              </w:tc>
              <w:tc>
                <w:tcPr>
                  <w:tcW w:type="dxa" w:w="1358"/>
                  <w:vMerge/>
                  <w:tcBorders>
                    <w:top w:val="none" w:color="000000" w:sz="4"/>
                    <w:left w:val="none" w:color="000000" w:sz="4"/>
                    <w:bottom w:val="single" w:color="000000" w:sz="4"/>
                    <w:right w:val="single" w:color="000000" w:sz="4"/>
                  </w:tcBorders>
                </w:tcP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标准垃圾袋</w:t>
                  </w:r>
                  <w:r>
                    <w:rPr>
                      <w:rFonts w:ascii="仿宋_GB2312" w:hAnsi="仿宋_GB2312" w:cs="仿宋_GB2312" w:eastAsia="仿宋_GB2312"/>
                      <w:sz w:val="20"/>
                    </w:rPr>
                    <w:t>(240L垃圾桶垃圾袋)</w:t>
                  </w:r>
                </w:p>
              </w:tc>
              <w:tc>
                <w:tcPr>
                  <w:tcW w:type="dxa" w:w="2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122cm×143cm；红色</w:t>
                  </w:r>
                </w:p>
              </w:tc>
              <w:tc>
                <w:tcPr>
                  <w:tcW w:type="dxa" w:w="1358"/>
                  <w:vMerge/>
                  <w:tcBorders>
                    <w:top w:val="none" w:color="000000" w:sz="4"/>
                    <w:left w:val="none" w:color="000000" w:sz="4"/>
                    <w:bottom w:val="single" w:color="000000" w:sz="4"/>
                    <w:right w:val="single" w:color="000000" w:sz="4"/>
                  </w:tcBorders>
                </w:tcP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标准垃圾袋</w:t>
                  </w:r>
                  <w:r>
                    <w:rPr>
                      <w:rFonts w:ascii="仿宋_GB2312" w:hAnsi="仿宋_GB2312" w:cs="仿宋_GB2312" w:eastAsia="仿宋_GB2312"/>
                      <w:sz w:val="20"/>
                    </w:rPr>
                    <w:t>(240L垃圾桶垃圾袋)</w:t>
                  </w:r>
                </w:p>
              </w:tc>
              <w:tc>
                <w:tcPr>
                  <w:tcW w:type="dxa" w:w="2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122cm×143cm；蓝色</w:t>
                  </w:r>
                </w:p>
              </w:tc>
              <w:tc>
                <w:tcPr>
                  <w:tcW w:type="dxa" w:w="1358"/>
                  <w:vMerge/>
                  <w:tcBorders>
                    <w:top w:val="none" w:color="000000" w:sz="4"/>
                    <w:left w:val="none" w:color="000000" w:sz="4"/>
                    <w:bottom w:val="single" w:color="000000" w:sz="4"/>
                    <w:right w:val="single" w:color="000000" w:sz="4"/>
                  </w:tcBorders>
                </w:tcP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标准垃圾袋</w:t>
                  </w:r>
                  <w:r>
                    <w:rPr>
                      <w:rFonts w:ascii="仿宋_GB2312" w:hAnsi="仿宋_GB2312" w:cs="仿宋_GB2312" w:eastAsia="仿宋_GB2312"/>
                      <w:sz w:val="20"/>
                    </w:rPr>
                    <w:t>(果屑箱垃圾袋)</w:t>
                  </w:r>
                </w:p>
              </w:tc>
              <w:tc>
                <w:tcPr>
                  <w:tcW w:type="dxa" w:w="2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76cm×83cm；  黑色</w:t>
                  </w:r>
                </w:p>
              </w:tc>
              <w:tc>
                <w:tcPr>
                  <w:tcW w:type="dxa" w:w="1358"/>
                  <w:vMerge/>
                  <w:tcBorders>
                    <w:top w:val="none" w:color="000000" w:sz="4"/>
                    <w:left w:val="none" w:color="000000" w:sz="4"/>
                    <w:bottom w:val="single" w:color="000000" w:sz="4"/>
                    <w:right w:val="single" w:color="000000" w:sz="4"/>
                  </w:tcBorders>
                </w:tcP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标准垃圾袋</w:t>
                  </w:r>
                  <w:r>
                    <w:rPr>
                      <w:rFonts w:ascii="仿宋_GB2312" w:hAnsi="仿宋_GB2312" w:cs="仿宋_GB2312" w:eastAsia="仿宋_GB2312"/>
                      <w:sz w:val="20"/>
                    </w:rPr>
                    <w:t>(果屑箱垃圾袋)</w:t>
                  </w:r>
                </w:p>
              </w:tc>
              <w:tc>
                <w:tcPr>
                  <w:tcW w:type="dxa" w:w="2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76cm×83cm；  白色</w:t>
                  </w:r>
                </w:p>
              </w:tc>
              <w:tc>
                <w:tcPr>
                  <w:tcW w:type="dxa" w:w="1358"/>
                  <w:vMerge/>
                  <w:tcBorders>
                    <w:top w:val="none" w:color="000000" w:sz="4"/>
                    <w:left w:val="none" w:color="000000" w:sz="4"/>
                    <w:bottom w:val="single" w:color="000000" w:sz="4"/>
                    <w:right w:val="single" w:color="000000" w:sz="4"/>
                  </w:tcBorders>
                </w:tcP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两耳塑料垃圾袋</w:t>
                  </w:r>
                  <w:r>
                    <w:rPr>
                      <w:rFonts w:ascii="仿宋_GB2312" w:hAnsi="仿宋_GB2312" w:cs="仿宋_GB2312" w:eastAsia="仿宋_GB2312"/>
                      <w:sz w:val="20"/>
                    </w:rPr>
                    <w:t>(公厕垃圾袋)</w:t>
                  </w:r>
                </w:p>
              </w:tc>
              <w:tc>
                <w:tcPr>
                  <w:tcW w:type="dxa" w:w="2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50cm×38cm； 黑色</w:t>
                  </w:r>
                </w:p>
              </w:tc>
              <w:tc>
                <w:tcPr>
                  <w:tcW w:type="dxa" w:w="1358"/>
                  <w:vMerge/>
                  <w:tcBorders>
                    <w:top w:val="none" w:color="000000" w:sz="4"/>
                    <w:left w:val="none" w:color="000000" w:sz="4"/>
                    <w:bottom w:val="single" w:color="000000" w:sz="4"/>
                    <w:right w:val="single" w:color="000000" w:sz="4"/>
                  </w:tcBorders>
                </w:tcPr>
                <w:p/>
              </w:tc>
            </w:tr>
          </w:tbl>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8"/>
                <w:b/>
                <w:color w:val="000000"/>
              </w:rPr>
              <w:t>（二）技术参数要求</w:t>
            </w:r>
          </w:p>
          <w:tbl>
            <w:tblPr>
              <w:tblBorders>
                <w:top w:val="none" w:color="000000" w:sz="4"/>
                <w:left w:val="none" w:color="000000" w:sz="4"/>
                <w:bottom w:val="none" w:color="000000" w:sz="4"/>
                <w:right w:val="none" w:color="000000" w:sz="4"/>
                <w:insideH w:val="none"/>
                <w:insideV w:val="none"/>
              </w:tblBorders>
            </w:tblPr>
            <w:tblGrid>
              <w:gridCol w:w="437"/>
              <w:gridCol w:w="766"/>
              <w:gridCol w:w="4379"/>
            </w:tblGrid>
            <w:tr>
              <w:tc>
                <w:tcPr>
                  <w:tcW w:type="dxa" w:w="4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7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产品名称</w:t>
                  </w:r>
                </w:p>
              </w:tc>
              <w:tc>
                <w:tcPr>
                  <w:tcW w:type="dxa" w:w="43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铁扫把</w:t>
                  </w:r>
                </w:p>
              </w:tc>
              <w:tc>
                <w:tcPr>
                  <w:tcW w:type="dxa" w:w="4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1、铁扫把单枝长度：1.</w:t>
                  </w:r>
                  <w:r>
                    <w:rPr>
                      <w:rFonts w:ascii="仿宋_GB2312" w:hAnsi="仿宋_GB2312" w:cs="仿宋_GB2312" w:eastAsia="仿宋_GB2312"/>
                      <w:sz w:val="20"/>
                    </w:rPr>
                    <w:t>4</w:t>
                  </w:r>
                  <w:r>
                    <w:rPr>
                      <w:rFonts w:ascii="仿宋_GB2312" w:hAnsi="仿宋_GB2312" w:cs="仿宋_GB2312" w:eastAsia="仿宋_GB2312"/>
                      <w:sz w:val="20"/>
                    </w:rPr>
                    <w:t>m—</w:t>
                  </w:r>
                  <w:r>
                    <w:rPr>
                      <w:rFonts w:ascii="仿宋_GB2312" w:hAnsi="仿宋_GB2312" w:cs="仿宋_GB2312" w:eastAsia="仿宋_GB2312"/>
                      <w:sz w:val="20"/>
                    </w:rPr>
                    <w:t>1.7</w:t>
                  </w:r>
                  <w:r>
                    <w:rPr>
                      <w:rFonts w:ascii="仿宋_GB2312" w:hAnsi="仿宋_GB2312" w:cs="仿宋_GB2312" w:eastAsia="仿宋_GB2312"/>
                      <w:sz w:val="20"/>
                    </w:rPr>
                    <w:t>m，有效使用部分（即铁扫把用于清扫的细密枝桠部分）≥0.7</w:t>
                  </w:r>
                  <w:r>
                    <w:rPr>
                      <w:rFonts w:ascii="仿宋_GB2312" w:hAnsi="仿宋_GB2312" w:cs="仿宋_GB2312" w:eastAsia="仿宋_GB2312"/>
                      <w:sz w:val="20"/>
                    </w:rPr>
                    <w:t>m</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2、铁扫把单枝杆部直径：≤1.5cm；</w:t>
                  </w:r>
                </w:p>
                <w:p>
                  <w:pPr>
                    <w:pStyle w:val="null3"/>
                    <w:jc w:val="left"/>
                  </w:pPr>
                  <w:r>
                    <w:rPr>
                      <w:rFonts w:ascii="仿宋_GB2312" w:hAnsi="仿宋_GB2312" w:cs="仿宋_GB2312" w:eastAsia="仿宋_GB2312"/>
                      <w:sz w:val="20"/>
                    </w:rPr>
                    <w:t>3、铁扫把单枝：干燥、无霉烂、无变色、无变质、无霉味</w:t>
                  </w:r>
                  <w:r>
                    <w:rPr>
                      <w:rFonts w:ascii="仿宋_GB2312" w:hAnsi="仿宋_GB2312" w:cs="仿宋_GB2312" w:eastAsia="仿宋_GB2312"/>
                      <w:sz w:val="20"/>
                    </w:rPr>
                    <w:t>、无枯枝烂叶</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4、铁扫把单枝植物外观：色泽金黄、枝桠柔软无弯曲，完全成熟，枝桠部分细密茂盛无粗枝条且脱籽干净基本无籽粒、无叶；</w:t>
                  </w:r>
                </w:p>
                <w:p>
                  <w:pPr>
                    <w:pStyle w:val="null3"/>
                    <w:jc w:val="left"/>
                  </w:pPr>
                  <w:r>
                    <w:rPr>
                      <w:rFonts w:ascii="仿宋_GB2312" w:hAnsi="仿宋_GB2312" w:cs="仿宋_GB2312" w:eastAsia="仿宋_GB2312"/>
                      <w:sz w:val="20"/>
                    </w:rPr>
                    <w:t>5、单捆重量约10公斤；</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、须为202</w:t>
                  </w:r>
                  <w:r>
                    <w:rPr>
                      <w:rFonts w:ascii="仿宋_GB2312" w:hAnsi="仿宋_GB2312" w:cs="仿宋_GB2312" w:eastAsia="仿宋_GB2312"/>
                      <w:sz w:val="20"/>
                    </w:rPr>
                    <w:t>5</w:t>
                  </w:r>
                  <w:r>
                    <w:rPr>
                      <w:rFonts w:ascii="仿宋_GB2312" w:hAnsi="仿宋_GB2312" w:cs="仿宋_GB2312" w:eastAsia="仿宋_GB2312"/>
                      <w:sz w:val="20"/>
                    </w:rPr>
                    <w:t>年收割并完全晾干（陈年货属不达标范围）。</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铁扫把成品</w:t>
                  </w:r>
                  <w:r>
                    <w:rPr>
                      <w:rFonts w:ascii="仿宋_GB2312" w:hAnsi="仿宋_GB2312" w:cs="仿宋_GB2312" w:eastAsia="仿宋_GB2312"/>
                      <w:sz w:val="20"/>
                    </w:rPr>
                    <w:t>参考图片：详见附件）</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240L标准垃圾袋（黑色）</w:t>
                  </w:r>
                </w:p>
              </w:tc>
              <w:tc>
                <w:tcPr>
                  <w:tcW w:type="dxa" w:w="4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1、规格：①有效宽度≥1220mm；②有效长度≥1430mm；</w:t>
                  </w:r>
                </w:p>
                <w:p>
                  <w:pPr>
                    <w:pStyle w:val="null3"/>
                    <w:jc w:val="left"/>
                  </w:pPr>
                  <w:r>
                    <w:rPr>
                      <w:rFonts w:ascii="仿宋_GB2312" w:hAnsi="仿宋_GB2312" w:cs="仿宋_GB2312" w:eastAsia="仿宋_GB2312"/>
                      <w:sz w:val="20"/>
                    </w:rPr>
                    <w:t>2、整体要求：①无明显异味；②外观均匀、平整，无有碍使用的气泡、穿孔、鱼眼僵块、丝纹、挂料线等瑕疵；③封口后不漏气；</w:t>
                  </w:r>
                </w:p>
                <w:p>
                  <w:pPr>
                    <w:pStyle w:val="null3"/>
                    <w:jc w:val="left"/>
                  </w:pPr>
                  <w:r>
                    <w:rPr>
                      <w:rFonts w:ascii="仿宋_GB2312" w:hAnsi="仿宋_GB2312" w:cs="仿宋_GB2312" w:eastAsia="仿宋_GB2312"/>
                      <w:sz w:val="20"/>
                    </w:rPr>
                    <w:t>3、颜色：黑色；</w:t>
                  </w:r>
                </w:p>
                <w:p>
                  <w:pPr>
                    <w:pStyle w:val="null3"/>
                    <w:jc w:val="left"/>
                  </w:pPr>
                  <w:r>
                    <w:rPr>
                      <w:rFonts w:ascii="仿宋_GB2312" w:hAnsi="仿宋_GB2312" w:cs="仿宋_GB2312" w:eastAsia="仿宋_GB2312"/>
                      <w:sz w:val="20"/>
                    </w:rPr>
                    <w:t>4、材料材质：</w:t>
                  </w:r>
                  <w:r>
                    <w:rPr>
                      <w:rFonts w:ascii="仿宋_GB2312" w:hAnsi="仿宋_GB2312" w:cs="仿宋_GB2312" w:eastAsia="仿宋_GB2312"/>
                      <w:sz w:val="20"/>
                    </w:rPr>
                    <w:t>全新</w:t>
                  </w:r>
                  <w:r>
                    <w:rPr>
                      <w:rFonts w:ascii="仿宋_GB2312" w:hAnsi="仿宋_GB2312" w:cs="仿宋_GB2312" w:eastAsia="仿宋_GB2312"/>
                      <w:sz w:val="20"/>
                    </w:rPr>
                    <w:t>高密度聚乙烯（</w:t>
                  </w:r>
                  <w:r>
                    <w:rPr>
                      <w:rFonts w:ascii="仿宋_GB2312" w:hAnsi="仿宋_GB2312" w:cs="仿宋_GB2312" w:eastAsia="仿宋_GB2312"/>
                      <w:sz w:val="20"/>
                    </w:rPr>
                    <w:t>HDPE）；</w:t>
                  </w:r>
                </w:p>
                <w:p>
                  <w:pPr>
                    <w:pStyle w:val="null3"/>
                    <w:jc w:val="left"/>
                  </w:pPr>
                  <w:r>
                    <w:rPr>
                      <w:rFonts w:ascii="仿宋_GB2312" w:hAnsi="仿宋_GB2312" w:cs="仿宋_GB2312" w:eastAsia="仿宋_GB2312"/>
                      <w:sz w:val="20"/>
                    </w:rPr>
                    <w:t>5、厚度：</w:t>
                  </w:r>
                  <w:r>
                    <w:rPr>
                      <w:rFonts w:ascii="仿宋_GB2312" w:hAnsi="仿宋_GB2312" w:cs="仿宋_GB2312" w:eastAsia="仿宋_GB2312"/>
                      <w:sz w:val="20"/>
                    </w:rPr>
                    <w:t>单面</w:t>
                  </w:r>
                  <w:r>
                    <w:rPr>
                      <w:rFonts w:ascii="仿宋_GB2312" w:hAnsi="仿宋_GB2312" w:cs="仿宋_GB2312" w:eastAsia="仿宋_GB2312"/>
                      <w:sz w:val="20"/>
                    </w:rPr>
                    <w:t>≥0.0</w:t>
                  </w:r>
                  <w:r>
                    <w:rPr>
                      <w:rFonts w:ascii="仿宋_GB2312" w:hAnsi="仿宋_GB2312" w:cs="仿宋_GB2312" w:eastAsia="仿宋_GB2312"/>
                      <w:sz w:val="20"/>
                    </w:rPr>
                    <w:t>2</w:t>
                  </w:r>
                  <w:r>
                    <w:rPr>
                      <w:rFonts w:ascii="仿宋_GB2312" w:hAnsi="仿宋_GB2312" w:cs="仿宋_GB2312" w:eastAsia="仿宋_GB2312"/>
                      <w:sz w:val="20"/>
                    </w:rPr>
                    <w:t>mm；</w:t>
                  </w:r>
                </w:p>
                <w:p>
                  <w:pPr>
                    <w:pStyle w:val="null3"/>
                    <w:jc w:val="left"/>
                  </w:pPr>
                  <w:r>
                    <w:rPr>
                      <w:rFonts w:ascii="仿宋_GB2312" w:hAnsi="仿宋_GB2312" w:cs="仿宋_GB2312" w:eastAsia="仿宋_GB2312"/>
                      <w:sz w:val="20"/>
                    </w:rPr>
                    <w:t>6、承重：</w:t>
                  </w:r>
                  <w:r>
                    <w:rPr>
                      <w:rFonts w:ascii="仿宋_GB2312" w:hAnsi="仿宋_GB2312" w:cs="仿宋_GB2312" w:eastAsia="仿宋_GB2312"/>
                      <w:sz w:val="20"/>
                    </w:rPr>
                    <w:t>≥</w:t>
                  </w:r>
                  <w:r>
                    <w:rPr>
                      <w:rFonts w:ascii="仿宋_GB2312" w:hAnsi="仿宋_GB2312" w:cs="仿宋_GB2312" w:eastAsia="仿宋_GB2312"/>
                      <w:sz w:val="20"/>
                    </w:rPr>
                    <w:t>50Kg；</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、符合《中华人民共和国国家标准（</w:t>
                  </w:r>
                  <w:r>
                    <w:rPr>
                      <w:rFonts w:ascii="仿宋_GB2312" w:hAnsi="仿宋_GB2312" w:cs="仿宋_GB2312" w:eastAsia="仿宋_GB2312"/>
                      <w:sz w:val="20"/>
                    </w:rPr>
                    <w:t>GB/T 24454-2009）</w:t>
                  </w:r>
                  <w:r>
                    <w:rPr>
                      <w:rFonts w:ascii="仿宋_GB2312" w:hAnsi="仿宋_GB2312" w:cs="仿宋_GB2312" w:eastAsia="仿宋_GB2312"/>
                      <w:sz w:val="20"/>
                    </w:rPr>
                    <w:t>》</w:t>
                  </w:r>
                  <w:r>
                    <w:rPr>
                      <w:rFonts w:ascii="仿宋_GB2312" w:hAnsi="仿宋_GB2312" w:cs="仿宋_GB2312" w:eastAsia="仿宋_GB2312"/>
                      <w:sz w:val="20"/>
                    </w:rPr>
                    <w:t>的要求。</w:t>
                  </w:r>
                </w:p>
                <w:p>
                  <w:pPr>
                    <w:pStyle w:val="null3"/>
                    <w:jc w:val="left"/>
                  </w:pPr>
                  <w:r>
                    <w:rPr>
                      <w:rFonts w:ascii="仿宋_GB2312" w:hAnsi="仿宋_GB2312" w:cs="仿宋_GB2312" w:eastAsia="仿宋_GB2312"/>
                      <w:sz w:val="20"/>
                    </w:rPr>
                    <w:t>注：以上执行标准、规范若有更新，则按更新后正式实施的标准及规范要求执行。</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240L标准垃圾袋（绿色）</w:t>
                  </w:r>
                </w:p>
              </w:tc>
              <w:tc>
                <w:tcPr>
                  <w:tcW w:type="dxa" w:w="4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1、规格：①有效宽度≥1220mm；②有效长度≥1430mm；</w:t>
                  </w:r>
                </w:p>
                <w:p>
                  <w:pPr>
                    <w:pStyle w:val="null3"/>
                    <w:jc w:val="left"/>
                  </w:pPr>
                  <w:r>
                    <w:rPr>
                      <w:rFonts w:ascii="仿宋_GB2312" w:hAnsi="仿宋_GB2312" w:cs="仿宋_GB2312" w:eastAsia="仿宋_GB2312"/>
                      <w:sz w:val="20"/>
                    </w:rPr>
                    <w:t>2、整体要求：①无明显异味；②外观均匀、平整，无有碍使用的气泡、穿孔、鱼眼僵块、丝纹、挂料线等瑕疵；③封口后不漏气；</w:t>
                  </w:r>
                </w:p>
                <w:p>
                  <w:pPr>
                    <w:pStyle w:val="null3"/>
                    <w:jc w:val="left"/>
                  </w:pPr>
                  <w:r>
                    <w:rPr>
                      <w:rFonts w:ascii="仿宋_GB2312" w:hAnsi="仿宋_GB2312" w:cs="仿宋_GB2312" w:eastAsia="仿宋_GB2312"/>
                      <w:sz w:val="20"/>
                    </w:rPr>
                    <w:t>3、颜色：绿色；</w:t>
                  </w:r>
                </w:p>
                <w:p>
                  <w:pPr>
                    <w:pStyle w:val="null3"/>
                    <w:jc w:val="left"/>
                  </w:pPr>
                  <w:r>
                    <w:rPr>
                      <w:rFonts w:ascii="仿宋_GB2312" w:hAnsi="仿宋_GB2312" w:cs="仿宋_GB2312" w:eastAsia="仿宋_GB2312"/>
                      <w:sz w:val="20"/>
                    </w:rPr>
                    <w:t>4、材料材质：</w:t>
                  </w:r>
                  <w:r>
                    <w:rPr>
                      <w:rFonts w:ascii="仿宋_GB2312" w:hAnsi="仿宋_GB2312" w:cs="仿宋_GB2312" w:eastAsia="仿宋_GB2312"/>
                      <w:sz w:val="20"/>
                    </w:rPr>
                    <w:t>全新</w:t>
                  </w:r>
                  <w:r>
                    <w:rPr>
                      <w:rFonts w:ascii="仿宋_GB2312" w:hAnsi="仿宋_GB2312" w:cs="仿宋_GB2312" w:eastAsia="仿宋_GB2312"/>
                      <w:sz w:val="20"/>
                    </w:rPr>
                    <w:t>高密度聚乙烯（</w:t>
                  </w:r>
                  <w:r>
                    <w:rPr>
                      <w:rFonts w:ascii="仿宋_GB2312" w:hAnsi="仿宋_GB2312" w:cs="仿宋_GB2312" w:eastAsia="仿宋_GB2312"/>
                      <w:sz w:val="20"/>
                    </w:rPr>
                    <w:t>HDPE）；</w:t>
                  </w:r>
                </w:p>
                <w:p>
                  <w:pPr>
                    <w:pStyle w:val="null3"/>
                    <w:jc w:val="left"/>
                  </w:pPr>
                  <w:r>
                    <w:rPr>
                      <w:rFonts w:ascii="仿宋_GB2312" w:hAnsi="仿宋_GB2312" w:cs="仿宋_GB2312" w:eastAsia="仿宋_GB2312"/>
                      <w:sz w:val="20"/>
                    </w:rPr>
                    <w:t>5、厚度：</w:t>
                  </w:r>
                  <w:r>
                    <w:rPr>
                      <w:rFonts w:ascii="仿宋_GB2312" w:hAnsi="仿宋_GB2312" w:cs="仿宋_GB2312" w:eastAsia="仿宋_GB2312"/>
                      <w:sz w:val="20"/>
                    </w:rPr>
                    <w:t>单面</w:t>
                  </w:r>
                  <w:r>
                    <w:rPr>
                      <w:rFonts w:ascii="仿宋_GB2312" w:hAnsi="仿宋_GB2312" w:cs="仿宋_GB2312" w:eastAsia="仿宋_GB2312"/>
                      <w:sz w:val="20"/>
                    </w:rPr>
                    <w:t>≥0.0</w:t>
                  </w:r>
                  <w:r>
                    <w:rPr>
                      <w:rFonts w:ascii="仿宋_GB2312" w:hAnsi="仿宋_GB2312" w:cs="仿宋_GB2312" w:eastAsia="仿宋_GB2312"/>
                      <w:sz w:val="20"/>
                    </w:rPr>
                    <w:t>2</w:t>
                  </w:r>
                  <w:r>
                    <w:rPr>
                      <w:rFonts w:ascii="仿宋_GB2312" w:hAnsi="仿宋_GB2312" w:cs="仿宋_GB2312" w:eastAsia="仿宋_GB2312"/>
                      <w:sz w:val="20"/>
                    </w:rPr>
                    <w:t>mm；</w:t>
                  </w:r>
                </w:p>
                <w:p>
                  <w:pPr>
                    <w:pStyle w:val="null3"/>
                    <w:jc w:val="left"/>
                  </w:pPr>
                  <w:r>
                    <w:rPr>
                      <w:rFonts w:ascii="仿宋_GB2312" w:hAnsi="仿宋_GB2312" w:cs="仿宋_GB2312" w:eastAsia="仿宋_GB2312"/>
                      <w:sz w:val="20"/>
                    </w:rPr>
                    <w:t>6、承重：</w:t>
                  </w:r>
                  <w:r>
                    <w:rPr>
                      <w:rFonts w:ascii="仿宋_GB2312" w:hAnsi="仿宋_GB2312" w:cs="仿宋_GB2312" w:eastAsia="仿宋_GB2312"/>
                      <w:sz w:val="20"/>
                    </w:rPr>
                    <w:t>≥</w:t>
                  </w:r>
                  <w:r>
                    <w:rPr>
                      <w:rFonts w:ascii="仿宋_GB2312" w:hAnsi="仿宋_GB2312" w:cs="仿宋_GB2312" w:eastAsia="仿宋_GB2312"/>
                      <w:sz w:val="20"/>
                    </w:rPr>
                    <w:t>50Kg；</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、符合《中华人民共和国国家标准（</w:t>
                  </w:r>
                  <w:r>
                    <w:rPr>
                      <w:rFonts w:ascii="仿宋_GB2312" w:hAnsi="仿宋_GB2312" w:cs="仿宋_GB2312" w:eastAsia="仿宋_GB2312"/>
                      <w:sz w:val="20"/>
                    </w:rPr>
                    <w:t>GB/T 24454-2009）</w:t>
                  </w:r>
                  <w:r>
                    <w:rPr>
                      <w:rFonts w:ascii="仿宋_GB2312" w:hAnsi="仿宋_GB2312" w:cs="仿宋_GB2312" w:eastAsia="仿宋_GB2312"/>
                      <w:sz w:val="20"/>
                    </w:rPr>
                    <w:t>》</w:t>
                  </w:r>
                  <w:r>
                    <w:rPr>
                      <w:rFonts w:ascii="仿宋_GB2312" w:hAnsi="仿宋_GB2312" w:cs="仿宋_GB2312" w:eastAsia="仿宋_GB2312"/>
                      <w:sz w:val="20"/>
                    </w:rPr>
                    <w:t>的要求。</w:t>
                  </w:r>
                </w:p>
                <w:p>
                  <w:pPr>
                    <w:pStyle w:val="null3"/>
                    <w:jc w:val="left"/>
                  </w:pPr>
                  <w:r>
                    <w:rPr>
                      <w:rFonts w:ascii="仿宋_GB2312" w:hAnsi="仿宋_GB2312" w:cs="仿宋_GB2312" w:eastAsia="仿宋_GB2312"/>
                      <w:sz w:val="20"/>
                    </w:rPr>
                    <w:t>注：以上执行标准、规范若有更新，则按更新后正式实施的标准及规范要求执行。</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240L标准垃圾袋（红色）</w:t>
                  </w:r>
                </w:p>
              </w:tc>
              <w:tc>
                <w:tcPr>
                  <w:tcW w:type="dxa" w:w="4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1、规格：①有效宽度≥1220mm；②有效长度≥1430mm；</w:t>
                  </w:r>
                </w:p>
                <w:p>
                  <w:pPr>
                    <w:pStyle w:val="null3"/>
                    <w:jc w:val="left"/>
                  </w:pPr>
                  <w:r>
                    <w:rPr>
                      <w:rFonts w:ascii="仿宋_GB2312" w:hAnsi="仿宋_GB2312" w:cs="仿宋_GB2312" w:eastAsia="仿宋_GB2312"/>
                      <w:sz w:val="20"/>
                    </w:rPr>
                    <w:t>2、整体要求：①无明显异味；②外观均匀、平整，无有碍使用的气泡、穿孔、鱼眼僵块、丝纹、挂料线等瑕疵；③封口后不漏气；</w:t>
                  </w:r>
                </w:p>
                <w:p>
                  <w:pPr>
                    <w:pStyle w:val="null3"/>
                    <w:jc w:val="left"/>
                  </w:pPr>
                  <w:r>
                    <w:rPr>
                      <w:rFonts w:ascii="仿宋_GB2312" w:hAnsi="仿宋_GB2312" w:cs="仿宋_GB2312" w:eastAsia="仿宋_GB2312"/>
                      <w:sz w:val="20"/>
                    </w:rPr>
                    <w:t>3、颜色：红色；</w:t>
                  </w:r>
                </w:p>
                <w:p>
                  <w:pPr>
                    <w:pStyle w:val="null3"/>
                    <w:jc w:val="left"/>
                  </w:pPr>
                  <w:r>
                    <w:rPr>
                      <w:rFonts w:ascii="仿宋_GB2312" w:hAnsi="仿宋_GB2312" w:cs="仿宋_GB2312" w:eastAsia="仿宋_GB2312"/>
                      <w:sz w:val="20"/>
                    </w:rPr>
                    <w:t>4、材料材质：</w:t>
                  </w:r>
                  <w:r>
                    <w:rPr>
                      <w:rFonts w:ascii="仿宋_GB2312" w:hAnsi="仿宋_GB2312" w:cs="仿宋_GB2312" w:eastAsia="仿宋_GB2312"/>
                      <w:sz w:val="20"/>
                    </w:rPr>
                    <w:t>全新</w:t>
                  </w:r>
                  <w:r>
                    <w:rPr>
                      <w:rFonts w:ascii="仿宋_GB2312" w:hAnsi="仿宋_GB2312" w:cs="仿宋_GB2312" w:eastAsia="仿宋_GB2312"/>
                      <w:sz w:val="20"/>
                    </w:rPr>
                    <w:t>高密度聚乙烯（</w:t>
                  </w:r>
                  <w:r>
                    <w:rPr>
                      <w:rFonts w:ascii="仿宋_GB2312" w:hAnsi="仿宋_GB2312" w:cs="仿宋_GB2312" w:eastAsia="仿宋_GB2312"/>
                      <w:sz w:val="20"/>
                    </w:rPr>
                    <w:t>HDPE）；</w:t>
                  </w:r>
                </w:p>
                <w:p>
                  <w:pPr>
                    <w:pStyle w:val="null3"/>
                    <w:jc w:val="left"/>
                  </w:pPr>
                  <w:r>
                    <w:rPr>
                      <w:rFonts w:ascii="仿宋_GB2312" w:hAnsi="仿宋_GB2312" w:cs="仿宋_GB2312" w:eastAsia="仿宋_GB2312"/>
                      <w:sz w:val="20"/>
                    </w:rPr>
                    <w:t>5、厚度：</w:t>
                  </w:r>
                  <w:r>
                    <w:rPr>
                      <w:rFonts w:ascii="仿宋_GB2312" w:hAnsi="仿宋_GB2312" w:cs="仿宋_GB2312" w:eastAsia="仿宋_GB2312"/>
                      <w:sz w:val="20"/>
                    </w:rPr>
                    <w:t>单面</w:t>
                  </w:r>
                  <w:r>
                    <w:rPr>
                      <w:rFonts w:ascii="仿宋_GB2312" w:hAnsi="仿宋_GB2312" w:cs="仿宋_GB2312" w:eastAsia="仿宋_GB2312"/>
                      <w:sz w:val="20"/>
                    </w:rPr>
                    <w:t>≥0.0</w:t>
                  </w:r>
                  <w:r>
                    <w:rPr>
                      <w:rFonts w:ascii="仿宋_GB2312" w:hAnsi="仿宋_GB2312" w:cs="仿宋_GB2312" w:eastAsia="仿宋_GB2312"/>
                      <w:sz w:val="20"/>
                    </w:rPr>
                    <w:t>2</w:t>
                  </w:r>
                  <w:r>
                    <w:rPr>
                      <w:rFonts w:ascii="仿宋_GB2312" w:hAnsi="仿宋_GB2312" w:cs="仿宋_GB2312" w:eastAsia="仿宋_GB2312"/>
                      <w:sz w:val="20"/>
                    </w:rPr>
                    <w:t>mm；</w:t>
                  </w:r>
                </w:p>
                <w:p>
                  <w:pPr>
                    <w:pStyle w:val="null3"/>
                    <w:jc w:val="left"/>
                  </w:pPr>
                  <w:r>
                    <w:rPr>
                      <w:rFonts w:ascii="仿宋_GB2312" w:hAnsi="仿宋_GB2312" w:cs="仿宋_GB2312" w:eastAsia="仿宋_GB2312"/>
                      <w:sz w:val="20"/>
                    </w:rPr>
                    <w:t>6、承重：</w:t>
                  </w:r>
                  <w:r>
                    <w:rPr>
                      <w:rFonts w:ascii="仿宋_GB2312" w:hAnsi="仿宋_GB2312" w:cs="仿宋_GB2312" w:eastAsia="仿宋_GB2312"/>
                      <w:sz w:val="20"/>
                    </w:rPr>
                    <w:t>≥</w:t>
                  </w:r>
                  <w:r>
                    <w:rPr>
                      <w:rFonts w:ascii="仿宋_GB2312" w:hAnsi="仿宋_GB2312" w:cs="仿宋_GB2312" w:eastAsia="仿宋_GB2312"/>
                      <w:sz w:val="20"/>
                    </w:rPr>
                    <w:t>50Kg；</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、符合《中华人民共和国国家标准（</w:t>
                  </w:r>
                  <w:r>
                    <w:rPr>
                      <w:rFonts w:ascii="仿宋_GB2312" w:hAnsi="仿宋_GB2312" w:cs="仿宋_GB2312" w:eastAsia="仿宋_GB2312"/>
                      <w:sz w:val="20"/>
                    </w:rPr>
                    <w:t>GB/T 24454-2009）的要求。</w:t>
                  </w:r>
                </w:p>
                <w:p>
                  <w:pPr>
                    <w:pStyle w:val="null3"/>
                    <w:jc w:val="left"/>
                  </w:pPr>
                  <w:r>
                    <w:rPr>
                      <w:rFonts w:ascii="仿宋_GB2312" w:hAnsi="仿宋_GB2312" w:cs="仿宋_GB2312" w:eastAsia="仿宋_GB2312"/>
                      <w:sz w:val="20"/>
                    </w:rPr>
                    <w:t>注：以上执行标准、规范若有更新，则按更新后正式实施的标准及规范要求执行。</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240L标准垃圾袋（蓝色）</w:t>
                  </w:r>
                </w:p>
              </w:tc>
              <w:tc>
                <w:tcPr>
                  <w:tcW w:type="dxa" w:w="4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1、规格：①有效宽度≥1220mm；②有效长度≥1430mm；</w:t>
                  </w:r>
                </w:p>
                <w:p>
                  <w:pPr>
                    <w:pStyle w:val="null3"/>
                    <w:jc w:val="left"/>
                  </w:pPr>
                  <w:r>
                    <w:rPr>
                      <w:rFonts w:ascii="仿宋_GB2312" w:hAnsi="仿宋_GB2312" w:cs="仿宋_GB2312" w:eastAsia="仿宋_GB2312"/>
                      <w:sz w:val="20"/>
                    </w:rPr>
                    <w:t>2、整体要求：①无明显异味；②外观均匀、平整，无有碍使用的气泡、穿孔、鱼眼僵块、丝纹、挂料线等瑕疵；③封口后不漏气；</w:t>
                  </w:r>
                </w:p>
                <w:p>
                  <w:pPr>
                    <w:pStyle w:val="null3"/>
                    <w:jc w:val="left"/>
                  </w:pPr>
                  <w:r>
                    <w:rPr>
                      <w:rFonts w:ascii="仿宋_GB2312" w:hAnsi="仿宋_GB2312" w:cs="仿宋_GB2312" w:eastAsia="仿宋_GB2312"/>
                      <w:sz w:val="20"/>
                    </w:rPr>
                    <w:t>3、颜色：蓝色；</w:t>
                  </w:r>
                </w:p>
                <w:p>
                  <w:pPr>
                    <w:pStyle w:val="null3"/>
                    <w:jc w:val="left"/>
                  </w:pPr>
                  <w:r>
                    <w:rPr>
                      <w:rFonts w:ascii="仿宋_GB2312" w:hAnsi="仿宋_GB2312" w:cs="仿宋_GB2312" w:eastAsia="仿宋_GB2312"/>
                      <w:sz w:val="20"/>
                    </w:rPr>
                    <w:t>4、材料材质：</w:t>
                  </w:r>
                  <w:r>
                    <w:rPr>
                      <w:rFonts w:ascii="仿宋_GB2312" w:hAnsi="仿宋_GB2312" w:cs="仿宋_GB2312" w:eastAsia="仿宋_GB2312"/>
                      <w:sz w:val="20"/>
                    </w:rPr>
                    <w:t>全新</w:t>
                  </w:r>
                  <w:r>
                    <w:rPr>
                      <w:rFonts w:ascii="仿宋_GB2312" w:hAnsi="仿宋_GB2312" w:cs="仿宋_GB2312" w:eastAsia="仿宋_GB2312"/>
                      <w:sz w:val="20"/>
                    </w:rPr>
                    <w:t>高密度聚乙烯（</w:t>
                  </w:r>
                  <w:r>
                    <w:rPr>
                      <w:rFonts w:ascii="仿宋_GB2312" w:hAnsi="仿宋_GB2312" w:cs="仿宋_GB2312" w:eastAsia="仿宋_GB2312"/>
                      <w:sz w:val="20"/>
                    </w:rPr>
                    <w:t>HDPE）；</w:t>
                  </w:r>
                </w:p>
                <w:p>
                  <w:pPr>
                    <w:pStyle w:val="null3"/>
                    <w:jc w:val="left"/>
                  </w:pPr>
                  <w:r>
                    <w:rPr>
                      <w:rFonts w:ascii="仿宋_GB2312" w:hAnsi="仿宋_GB2312" w:cs="仿宋_GB2312" w:eastAsia="仿宋_GB2312"/>
                      <w:sz w:val="20"/>
                    </w:rPr>
                    <w:t>5、厚度：</w:t>
                  </w:r>
                  <w:r>
                    <w:rPr>
                      <w:rFonts w:ascii="仿宋_GB2312" w:hAnsi="仿宋_GB2312" w:cs="仿宋_GB2312" w:eastAsia="仿宋_GB2312"/>
                      <w:sz w:val="20"/>
                    </w:rPr>
                    <w:t>单面</w:t>
                  </w:r>
                  <w:r>
                    <w:rPr>
                      <w:rFonts w:ascii="仿宋_GB2312" w:hAnsi="仿宋_GB2312" w:cs="仿宋_GB2312" w:eastAsia="仿宋_GB2312"/>
                      <w:sz w:val="20"/>
                    </w:rPr>
                    <w:t>≥0.0</w:t>
                  </w:r>
                  <w:r>
                    <w:rPr>
                      <w:rFonts w:ascii="仿宋_GB2312" w:hAnsi="仿宋_GB2312" w:cs="仿宋_GB2312" w:eastAsia="仿宋_GB2312"/>
                      <w:sz w:val="20"/>
                    </w:rPr>
                    <w:t>2</w:t>
                  </w:r>
                  <w:r>
                    <w:rPr>
                      <w:rFonts w:ascii="仿宋_GB2312" w:hAnsi="仿宋_GB2312" w:cs="仿宋_GB2312" w:eastAsia="仿宋_GB2312"/>
                      <w:sz w:val="20"/>
                    </w:rPr>
                    <w:t>mm；</w:t>
                  </w:r>
                </w:p>
                <w:p>
                  <w:pPr>
                    <w:pStyle w:val="null3"/>
                    <w:jc w:val="left"/>
                  </w:pPr>
                  <w:r>
                    <w:rPr>
                      <w:rFonts w:ascii="仿宋_GB2312" w:hAnsi="仿宋_GB2312" w:cs="仿宋_GB2312" w:eastAsia="仿宋_GB2312"/>
                      <w:sz w:val="20"/>
                    </w:rPr>
                    <w:t>6、承重：</w:t>
                  </w:r>
                  <w:r>
                    <w:rPr>
                      <w:rFonts w:ascii="仿宋_GB2312" w:hAnsi="仿宋_GB2312" w:cs="仿宋_GB2312" w:eastAsia="仿宋_GB2312"/>
                      <w:sz w:val="20"/>
                    </w:rPr>
                    <w:t>≥</w:t>
                  </w:r>
                  <w:r>
                    <w:rPr>
                      <w:rFonts w:ascii="仿宋_GB2312" w:hAnsi="仿宋_GB2312" w:cs="仿宋_GB2312" w:eastAsia="仿宋_GB2312"/>
                      <w:sz w:val="20"/>
                    </w:rPr>
                    <w:t>50Kg；</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、符合《中华人民共和国国家标准（</w:t>
                  </w:r>
                  <w:r>
                    <w:rPr>
                      <w:rFonts w:ascii="仿宋_GB2312" w:hAnsi="仿宋_GB2312" w:cs="仿宋_GB2312" w:eastAsia="仿宋_GB2312"/>
                      <w:sz w:val="20"/>
                    </w:rPr>
                    <w:t>GB/T 24454-2009）的要求。</w:t>
                  </w:r>
                </w:p>
                <w:p>
                  <w:pPr>
                    <w:pStyle w:val="null3"/>
                    <w:jc w:val="left"/>
                  </w:pPr>
                  <w:r>
                    <w:rPr>
                      <w:rFonts w:ascii="仿宋_GB2312" w:hAnsi="仿宋_GB2312" w:cs="仿宋_GB2312" w:eastAsia="仿宋_GB2312"/>
                      <w:sz w:val="20"/>
                    </w:rPr>
                    <w:t>注：以上执行标准、规范若有更新，则按更新后正式实施的标准及规范要求执行。</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果屑箱标准垃圾袋（黑色）</w:t>
                  </w:r>
                </w:p>
              </w:tc>
              <w:tc>
                <w:tcPr>
                  <w:tcW w:type="dxa" w:w="4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1、规格：①有效宽度≥760mm；②有效长度≥830mm；</w:t>
                  </w:r>
                </w:p>
                <w:p>
                  <w:pPr>
                    <w:pStyle w:val="null3"/>
                    <w:jc w:val="left"/>
                  </w:pPr>
                  <w:r>
                    <w:rPr>
                      <w:rFonts w:ascii="仿宋_GB2312" w:hAnsi="仿宋_GB2312" w:cs="仿宋_GB2312" w:eastAsia="仿宋_GB2312"/>
                      <w:sz w:val="20"/>
                    </w:rPr>
                    <w:t>2、整体要求：①无明显异味；②外观均匀、平整，无有碍使用的气泡、穿孔、鱼眼僵块、丝纹、挂料线等瑕疵；③封口后不漏气；</w:t>
                  </w:r>
                </w:p>
                <w:p>
                  <w:pPr>
                    <w:pStyle w:val="null3"/>
                    <w:jc w:val="left"/>
                  </w:pPr>
                  <w:r>
                    <w:rPr>
                      <w:rFonts w:ascii="仿宋_GB2312" w:hAnsi="仿宋_GB2312" w:cs="仿宋_GB2312" w:eastAsia="仿宋_GB2312"/>
                      <w:sz w:val="20"/>
                    </w:rPr>
                    <w:t>3、颜色：黑色；</w:t>
                  </w:r>
                </w:p>
                <w:p>
                  <w:pPr>
                    <w:pStyle w:val="null3"/>
                    <w:jc w:val="left"/>
                  </w:pPr>
                  <w:r>
                    <w:rPr>
                      <w:rFonts w:ascii="仿宋_GB2312" w:hAnsi="仿宋_GB2312" w:cs="仿宋_GB2312" w:eastAsia="仿宋_GB2312"/>
                      <w:sz w:val="20"/>
                    </w:rPr>
                    <w:t>4、材料材质：</w:t>
                  </w:r>
                  <w:r>
                    <w:rPr>
                      <w:rFonts w:ascii="仿宋_GB2312" w:hAnsi="仿宋_GB2312" w:cs="仿宋_GB2312" w:eastAsia="仿宋_GB2312"/>
                      <w:sz w:val="20"/>
                    </w:rPr>
                    <w:t>全新</w:t>
                  </w:r>
                  <w:r>
                    <w:rPr>
                      <w:rFonts w:ascii="仿宋_GB2312" w:hAnsi="仿宋_GB2312" w:cs="仿宋_GB2312" w:eastAsia="仿宋_GB2312"/>
                      <w:sz w:val="20"/>
                    </w:rPr>
                    <w:t>高密度聚乙烯（</w:t>
                  </w:r>
                  <w:r>
                    <w:rPr>
                      <w:rFonts w:ascii="仿宋_GB2312" w:hAnsi="仿宋_GB2312" w:cs="仿宋_GB2312" w:eastAsia="仿宋_GB2312"/>
                      <w:sz w:val="20"/>
                    </w:rPr>
                    <w:t>HDPE）；</w:t>
                  </w:r>
                </w:p>
                <w:p>
                  <w:pPr>
                    <w:pStyle w:val="null3"/>
                    <w:jc w:val="left"/>
                  </w:pPr>
                  <w:r>
                    <w:rPr>
                      <w:rFonts w:ascii="仿宋_GB2312" w:hAnsi="仿宋_GB2312" w:cs="仿宋_GB2312" w:eastAsia="仿宋_GB2312"/>
                      <w:sz w:val="20"/>
                    </w:rPr>
                    <w:t>5、厚度</w:t>
                  </w:r>
                  <w:r>
                    <w:rPr>
                      <w:rFonts w:ascii="仿宋_GB2312" w:hAnsi="仿宋_GB2312" w:cs="仿宋_GB2312" w:eastAsia="仿宋_GB2312"/>
                      <w:sz w:val="20"/>
                    </w:rPr>
                    <w:t>：单面</w:t>
                  </w:r>
                  <w:r>
                    <w:rPr>
                      <w:rFonts w:ascii="仿宋_GB2312" w:hAnsi="仿宋_GB2312" w:cs="仿宋_GB2312" w:eastAsia="仿宋_GB2312"/>
                      <w:sz w:val="20"/>
                    </w:rPr>
                    <w:t>≥0.0</w:t>
                  </w:r>
                  <w:r>
                    <w:rPr>
                      <w:rFonts w:ascii="仿宋_GB2312" w:hAnsi="仿宋_GB2312" w:cs="仿宋_GB2312" w:eastAsia="仿宋_GB2312"/>
                      <w:sz w:val="20"/>
                    </w:rPr>
                    <w:t>2</w:t>
                  </w:r>
                  <w:r>
                    <w:rPr>
                      <w:rFonts w:ascii="仿宋_GB2312" w:hAnsi="仿宋_GB2312" w:cs="仿宋_GB2312" w:eastAsia="仿宋_GB2312"/>
                      <w:sz w:val="20"/>
                    </w:rPr>
                    <w:t>mm；</w:t>
                  </w:r>
                </w:p>
                <w:p>
                  <w:pPr>
                    <w:pStyle w:val="null3"/>
                    <w:jc w:val="left"/>
                  </w:pPr>
                  <w:r>
                    <w:rPr>
                      <w:rFonts w:ascii="仿宋_GB2312" w:hAnsi="仿宋_GB2312" w:cs="仿宋_GB2312" w:eastAsia="仿宋_GB2312"/>
                      <w:sz w:val="20"/>
                    </w:rPr>
                    <w:t>6、承重：</w:t>
                  </w:r>
                  <w:r>
                    <w:rPr>
                      <w:rFonts w:ascii="仿宋_GB2312" w:hAnsi="仿宋_GB2312" w:cs="仿宋_GB2312" w:eastAsia="仿宋_GB2312"/>
                      <w:sz w:val="20"/>
                    </w:rPr>
                    <w:t>≥</w:t>
                  </w:r>
                  <w:r>
                    <w:rPr>
                      <w:rFonts w:ascii="仿宋_GB2312" w:hAnsi="仿宋_GB2312" w:cs="仿宋_GB2312" w:eastAsia="仿宋_GB2312"/>
                      <w:sz w:val="20"/>
                    </w:rPr>
                    <w:t>20Kg；</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符合《中华人民共和国国家标准（</w:t>
                  </w:r>
                  <w:r>
                    <w:rPr>
                      <w:rFonts w:ascii="仿宋_GB2312" w:hAnsi="仿宋_GB2312" w:cs="仿宋_GB2312" w:eastAsia="仿宋_GB2312"/>
                      <w:sz w:val="20"/>
                    </w:rPr>
                    <w:t>GB/T 24454-2009）的要求。</w:t>
                  </w:r>
                </w:p>
                <w:p>
                  <w:pPr>
                    <w:pStyle w:val="null3"/>
                    <w:jc w:val="left"/>
                  </w:pPr>
                  <w:r>
                    <w:rPr>
                      <w:rFonts w:ascii="仿宋_GB2312" w:hAnsi="仿宋_GB2312" w:cs="仿宋_GB2312" w:eastAsia="仿宋_GB2312"/>
                      <w:sz w:val="20"/>
                    </w:rPr>
                    <w:t>注：以上执行标准、规范若有更新，则按更新后正式实施的标准及规范要求执行。</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果屑箱标准垃圾袋（白色）</w:t>
                  </w:r>
                </w:p>
              </w:tc>
              <w:tc>
                <w:tcPr>
                  <w:tcW w:type="dxa" w:w="4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1、规格：①有效宽度≥760mm；②有效长度≥830mm；</w:t>
                  </w:r>
                </w:p>
                <w:p>
                  <w:pPr>
                    <w:pStyle w:val="null3"/>
                    <w:jc w:val="left"/>
                  </w:pPr>
                  <w:r>
                    <w:rPr>
                      <w:rFonts w:ascii="仿宋_GB2312" w:hAnsi="仿宋_GB2312" w:cs="仿宋_GB2312" w:eastAsia="仿宋_GB2312"/>
                      <w:sz w:val="20"/>
                    </w:rPr>
                    <w:t>2、整体要求：①无明显异味；②外观均匀、平整，无有碍使用的气泡、穿孔、鱼眼僵块、丝纹、挂料线等瑕疵；③封口后不漏气；</w:t>
                  </w:r>
                </w:p>
                <w:p>
                  <w:pPr>
                    <w:pStyle w:val="null3"/>
                    <w:jc w:val="left"/>
                  </w:pPr>
                  <w:r>
                    <w:rPr>
                      <w:rFonts w:ascii="仿宋_GB2312" w:hAnsi="仿宋_GB2312" w:cs="仿宋_GB2312" w:eastAsia="仿宋_GB2312"/>
                      <w:sz w:val="20"/>
                    </w:rPr>
                    <w:t>3、颜色：白色；</w:t>
                  </w:r>
                </w:p>
                <w:p>
                  <w:pPr>
                    <w:pStyle w:val="null3"/>
                    <w:jc w:val="left"/>
                  </w:pPr>
                  <w:r>
                    <w:rPr>
                      <w:rFonts w:ascii="仿宋_GB2312" w:hAnsi="仿宋_GB2312" w:cs="仿宋_GB2312" w:eastAsia="仿宋_GB2312"/>
                      <w:sz w:val="20"/>
                    </w:rPr>
                    <w:t>4、材料材质：</w:t>
                  </w:r>
                  <w:r>
                    <w:rPr>
                      <w:rFonts w:ascii="仿宋_GB2312" w:hAnsi="仿宋_GB2312" w:cs="仿宋_GB2312" w:eastAsia="仿宋_GB2312"/>
                      <w:sz w:val="20"/>
                    </w:rPr>
                    <w:t>全新</w:t>
                  </w:r>
                  <w:r>
                    <w:rPr>
                      <w:rFonts w:ascii="仿宋_GB2312" w:hAnsi="仿宋_GB2312" w:cs="仿宋_GB2312" w:eastAsia="仿宋_GB2312"/>
                      <w:sz w:val="20"/>
                    </w:rPr>
                    <w:t>高密度聚乙烯（</w:t>
                  </w:r>
                  <w:r>
                    <w:rPr>
                      <w:rFonts w:ascii="仿宋_GB2312" w:hAnsi="仿宋_GB2312" w:cs="仿宋_GB2312" w:eastAsia="仿宋_GB2312"/>
                      <w:sz w:val="20"/>
                    </w:rPr>
                    <w:t>HDPE）；</w:t>
                  </w:r>
                </w:p>
                <w:p>
                  <w:pPr>
                    <w:pStyle w:val="null3"/>
                    <w:jc w:val="left"/>
                  </w:pPr>
                  <w:r>
                    <w:rPr>
                      <w:rFonts w:ascii="仿宋_GB2312" w:hAnsi="仿宋_GB2312" w:cs="仿宋_GB2312" w:eastAsia="仿宋_GB2312"/>
                      <w:sz w:val="20"/>
                    </w:rPr>
                    <w:t>5、厚度：单面≥0.02mm；</w:t>
                  </w:r>
                </w:p>
                <w:p>
                  <w:pPr>
                    <w:pStyle w:val="null3"/>
                    <w:jc w:val="left"/>
                  </w:pPr>
                  <w:r>
                    <w:rPr>
                      <w:rFonts w:ascii="仿宋_GB2312" w:hAnsi="仿宋_GB2312" w:cs="仿宋_GB2312" w:eastAsia="仿宋_GB2312"/>
                      <w:sz w:val="20"/>
                    </w:rPr>
                    <w:t>6、承重：</w:t>
                  </w:r>
                  <w:r>
                    <w:rPr>
                      <w:rFonts w:ascii="仿宋_GB2312" w:hAnsi="仿宋_GB2312" w:cs="仿宋_GB2312" w:eastAsia="仿宋_GB2312"/>
                      <w:sz w:val="20"/>
                    </w:rPr>
                    <w:t>≥</w:t>
                  </w:r>
                  <w:r>
                    <w:rPr>
                      <w:rFonts w:ascii="仿宋_GB2312" w:hAnsi="仿宋_GB2312" w:cs="仿宋_GB2312" w:eastAsia="仿宋_GB2312"/>
                      <w:sz w:val="20"/>
                    </w:rPr>
                    <w:t>20Kg；</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、符合《中华人民共和国国家标准（</w:t>
                  </w:r>
                  <w:r>
                    <w:rPr>
                      <w:rFonts w:ascii="仿宋_GB2312" w:hAnsi="仿宋_GB2312" w:cs="仿宋_GB2312" w:eastAsia="仿宋_GB2312"/>
                      <w:sz w:val="20"/>
                    </w:rPr>
                    <w:t>GB/T 24454-2009）的要求。</w:t>
                  </w:r>
                </w:p>
                <w:p>
                  <w:pPr>
                    <w:pStyle w:val="null3"/>
                    <w:jc w:val="left"/>
                  </w:pPr>
                  <w:r>
                    <w:rPr>
                      <w:rFonts w:ascii="仿宋_GB2312" w:hAnsi="仿宋_GB2312" w:cs="仿宋_GB2312" w:eastAsia="仿宋_GB2312"/>
                      <w:sz w:val="20"/>
                    </w:rPr>
                    <w:t>注：以上执行标准、规范若有更新，则按更新后正式实施的标准及规范要求执行。</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两耳塑料垃圾袋（公厕垃圾袋）</w:t>
                  </w:r>
                </w:p>
              </w:tc>
              <w:tc>
                <w:tcPr>
                  <w:tcW w:type="dxa" w:w="4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1、规格：①有效宽度≥500mm；②有效长度≥380mm；③耳长≥120mm；</w:t>
                  </w:r>
                </w:p>
                <w:p>
                  <w:pPr>
                    <w:pStyle w:val="null3"/>
                    <w:jc w:val="left"/>
                  </w:pPr>
                  <w:r>
                    <w:rPr>
                      <w:rFonts w:ascii="仿宋_GB2312" w:hAnsi="仿宋_GB2312" w:cs="仿宋_GB2312" w:eastAsia="仿宋_GB2312"/>
                      <w:sz w:val="20"/>
                    </w:rPr>
                    <w:t>2、整体要求：①无明显异味；②外观均匀、平整，无有碍使用的气泡、穿孔、鱼眼僵块、丝纹、挂料线等瑕疵；③封口后不漏气；</w:t>
                  </w:r>
                </w:p>
                <w:p>
                  <w:pPr>
                    <w:pStyle w:val="null3"/>
                    <w:jc w:val="left"/>
                  </w:pPr>
                  <w:r>
                    <w:rPr>
                      <w:rFonts w:ascii="仿宋_GB2312" w:hAnsi="仿宋_GB2312" w:cs="仿宋_GB2312" w:eastAsia="仿宋_GB2312"/>
                      <w:sz w:val="20"/>
                    </w:rPr>
                    <w:t>3、颜色：黑色；</w:t>
                  </w:r>
                </w:p>
                <w:p>
                  <w:pPr>
                    <w:pStyle w:val="null3"/>
                    <w:jc w:val="left"/>
                  </w:pPr>
                  <w:r>
                    <w:rPr>
                      <w:rFonts w:ascii="仿宋_GB2312" w:hAnsi="仿宋_GB2312" w:cs="仿宋_GB2312" w:eastAsia="仿宋_GB2312"/>
                      <w:sz w:val="20"/>
                    </w:rPr>
                    <w:t>4、材料材质：</w:t>
                  </w:r>
                  <w:r>
                    <w:rPr>
                      <w:rFonts w:ascii="仿宋_GB2312" w:hAnsi="仿宋_GB2312" w:cs="仿宋_GB2312" w:eastAsia="仿宋_GB2312"/>
                      <w:sz w:val="20"/>
                    </w:rPr>
                    <w:t>全新</w:t>
                  </w:r>
                  <w:r>
                    <w:rPr>
                      <w:rFonts w:ascii="仿宋_GB2312" w:hAnsi="仿宋_GB2312" w:cs="仿宋_GB2312" w:eastAsia="仿宋_GB2312"/>
                      <w:sz w:val="20"/>
                    </w:rPr>
                    <w:t>高密度聚乙烯（</w:t>
                  </w:r>
                  <w:r>
                    <w:rPr>
                      <w:rFonts w:ascii="仿宋_GB2312" w:hAnsi="仿宋_GB2312" w:cs="仿宋_GB2312" w:eastAsia="仿宋_GB2312"/>
                      <w:sz w:val="20"/>
                    </w:rPr>
                    <w:t>HDPE）；</w:t>
                  </w:r>
                </w:p>
                <w:p>
                  <w:pPr>
                    <w:pStyle w:val="null3"/>
                    <w:jc w:val="left"/>
                  </w:pPr>
                  <w:r>
                    <w:rPr>
                      <w:rFonts w:ascii="仿宋_GB2312" w:hAnsi="仿宋_GB2312" w:cs="仿宋_GB2312" w:eastAsia="仿宋_GB2312"/>
                      <w:sz w:val="20"/>
                    </w:rPr>
                    <w:t>5、厚度</w:t>
                  </w:r>
                  <w:r>
                    <w:rPr>
                      <w:rFonts w:ascii="仿宋_GB2312" w:hAnsi="仿宋_GB2312" w:cs="仿宋_GB2312" w:eastAsia="仿宋_GB2312"/>
                      <w:sz w:val="20"/>
                    </w:rPr>
                    <w:t>：单面</w:t>
                  </w:r>
                  <w:r>
                    <w:rPr>
                      <w:rFonts w:ascii="仿宋_GB2312" w:hAnsi="仿宋_GB2312" w:cs="仿宋_GB2312" w:eastAsia="仿宋_GB2312"/>
                      <w:sz w:val="20"/>
                    </w:rPr>
                    <w:t>≥0.0</w:t>
                  </w:r>
                  <w:r>
                    <w:rPr>
                      <w:rFonts w:ascii="仿宋_GB2312" w:hAnsi="仿宋_GB2312" w:cs="仿宋_GB2312" w:eastAsia="仿宋_GB2312"/>
                      <w:sz w:val="20"/>
                    </w:rPr>
                    <w:t>2</w:t>
                  </w:r>
                  <w:r>
                    <w:rPr>
                      <w:rFonts w:ascii="仿宋_GB2312" w:hAnsi="仿宋_GB2312" w:cs="仿宋_GB2312" w:eastAsia="仿宋_GB2312"/>
                      <w:sz w:val="20"/>
                    </w:rPr>
                    <w:t>mm；</w:t>
                  </w:r>
                </w:p>
                <w:p>
                  <w:pPr>
                    <w:pStyle w:val="null3"/>
                    <w:jc w:val="left"/>
                  </w:pPr>
                  <w:r>
                    <w:rPr>
                      <w:rFonts w:ascii="仿宋_GB2312" w:hAnsi="仿宋_GB2312" w:cs="仿宋_GB2312" w:eastAsia="仿宋_GB2312"/>
                      <w:sz w:val="20"/>
                    </w:rPr>
                    <w:t>6、承重：</w:t>
                  </w:r>
                  <w:r>
                    <w:rPr>
                      <w:rFonts w:ascii="仿宋_GB2312" w:hAnsi="仿宋_GB2312" w:cs="仿宋_GB2312" w:eastAsia="仿宋_GB2312"/>
                      <w:sz w:val="20"/>
                    </w:rPr>
                    <w:t>≥</w:t>
                  </w:r>
                  <w:r>
                    <w:rPr>
                      <w:rFonts w:ascii="仿宋_GB2312" w:hAnsi="仿宋_GB2312" w:cs="仿宋_GB2312" w:eastAsia="仿宋_GB2312"/>
                      <w:sz w:val="20"/>
                    </w:rPr>
                    <w:t>5Kg；</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符合《中华人民共和国国家标准（</w:t>
                  </w:r>
                  <w:r>
                    <w:rPr>
                      <w:rFonts w:ascii="仿宋_GB2312" w:hAnsi="仿宋_GB2312" w:cs="仿宋_GB2312" w:eastAsia="仿宋_GB2312"/>
                      <w:sz w:val="20"/>
                    </w:rPr>
                    <w:t>GB/T 24454-2009）的要求。</w:t>
                  </w:r>
                </w:p>
                <w:p>
                  <w:pPr>
                    <w:pStyle w:val="null3"/>
                    <w:jc w:val="left"/>
                  </w:pPr>
                  <w:r>
                    <w:rPr>
                      <w:rFonts w:ascii="仿宋_GB2312" w:hAnsi="仿宋_GB2312" w:cs="仿宋_GB2312" w:eastAsia="仿宋_GB2312"/>
                      <w:sz w:val="20"/>
                    </w:rPr>
                    <w:t>注：以上执行标准、规范若有更新，则按更新后正式实施的标准及规范要求执行。</w:t>
                  </w:r>
                </w:p>
              </w:tc>
            </w:tr>
          </w:tbl>
          <w:p>
            <w:pPr>
              <w:pStyle w:val="null3"/>
              <w:jc w:val="left"/>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服务及其他要求</w:t>
            </w:r>
          </w:p>
        </w:tc>
        <w:tc>
          <w:tcPr>
            <w:tcW w:type="dxa" w:w="5814"/>
          </w:tcPr>
          <w:p>
            <w:pPr>
              <w:pStyle w:val="null3"/>
              <w:jc w:val="left"/>
            </w:pPr>
            <w:r>
              <w:rPr>
                <w:rFonts w:ascii="仿宋_GB2312" w:hAnsi="仿宋_GB2312" w:cs="仿宋_GB2312" w:eastAsia="仿宋_GB2312"/>
                <w:sz w:val="27"/>
                <w:b/>
              </w:rPr>
              <w:t>一、服务要求</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售后服务：</w:t>
            </w:r>
            <w:r>
              <w:rPr>
                <w:rFonts w:ascii="仿宋_GB2312" w:hAnsi="仿宋_GB2312" w:cs="仿宋_GB2312" w:eastAsia="仿宋_GB2312"/>
                <w:sz w:val="32"/>
              </w:rPr>
              <w:t>供应商应具备完备的售后服务计划和相关的应急预案措施，确保保质、保量、及时供货，如本项⽬货物出现质量问题，供应商在接到通知后2⼩时内响应，5个工作日内免费更换，并承担相关费⽤；如货物经供应商2次更换仍不能达到本合同约定的质量标准，视作未能按时交货⽽违约，采购⼈有权追究供应商的违约责任</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2、安全要求：本项目自签订合同之日起至项目完成之日止，成交供应商将负责该项目实施过程中的人身安全、财产安全等一切安全责任。在项目实施过程中造成的直接或间接损失，均由成交供应商自行承担。</w:t>
            </w:r>
          </w:p>
          <w:p>
            <w:pPr>
              <w:pStyle w:val="null3"/>
              <w:jc w:val="left"/>
            </w:pPr>
            <w:r>
              <w:rPr>
                <w:rFonts w:ascii="仿宋_GB2312" w:hAnsi="仿宋_GB2312" w:cs="仿宋_GB2312" w:eastAsia="仿宋_GB2312"/>
                <w:sz w:val="20"/>
              </w:rPr>
              <w:t>3、</w:t>
            </w:r>
            <w:r>
              <w:rPr>
                <w:rFonts w:ascii="仿宋_GB2312" w:hAnsi="仿宋_GB2312" w:cs="仿宋_GB2312" w:eastAsia="仿宋_GB2312"/>
                <w:sz w:val="24"/>
              </w:rPr>
              <w:t>在合同签订后的</w:t>
            </w:r>
            <w:r>
              <w:rPr>
                <w:rFonts w:ascii="仿宋_GB2312" w:hAnsi="仿宋_GB2312" w:cs="仿宋_GB2312" w:eastAsia="仿宋_GB2312"/>
                <w:sz w:val="24"/>
              </w:rPr>
              <w:t>5日内，提供完全满足技术参数的货物成品样品给采购人确认，其采购清单中序号2-5 240L垃圾桶垃圾袋的颜色必须与采购人现使用的垃圾桶的颜色一致，在采购人出具样品确认书并封存成品样品外观尺寸后，成交供应商才能按样生产，并以此样品作为验收样品。</w:t>
            </w:r>
            <w:r>
              <w:rPr>
                <w:rFonts w:ascii="仿宋_GB2312" w:hAnsi="仿宋_GB2312" w:cs="仿宋_GB2312" w:eastAsia="仿宋_GB2312"/>
                <w:sz w:val="24"/>
                <w:shd w:fill="FFFFFF" w:val="clear"/>
              </w:rPr>
              <w:t>不能提供或提供不符合要求的，甲方（采购人）有权单方解除合同或成交</w:t>
            </w:r>
            <w:r>
              <w:rPr>
                <w:rFonts w:ascii="仿宋_GB2312" w:hAnsi="仿宋_GB2312" w:cs="仿宋_GB2312" w:eastAsia="仿宋_GB2312"/>
                <w:sz w:val="24"/>
                <w:shd w:fill="FFFFFF" w:val="clear"/>
              </w:rPr>
              <w:t>/中标供应商承担验收不合格及其他</w:t>
            </w:r>
            <w:r>
              <w:rPr>
                <w:rFonts w:ascii="仿宋_GB2312" w:hAnsi="仿宋_GB2312" w:cs="仿宋_GB2312" w:eastAsia="仿宋_GB2312"/>
                <w:sz w:val="24"/>
              </w:rPr>
              <w:t>不利后果和相关责任</w:t>
            </w:r>
            <w:r>
              <w:rPr>
                <w:rFonts w:ascii="仿宋_GB2312" w:hAnsi="仿宋_GB2312" w:cs="仿宋_GB2312" w:eastAsia="仿宋_GB2312"/>
                <w:sz w:val="20"/>
              </w:rPr>
              <w:t>。</w:t>
            </w:r>
          </w:p>
          <w:p>
            <w:pPr>
              <w:pStyle w:val="null3"/>
              <w:jc w:val="left"/>
            </w:pPr>
            <w:r>
              <w:rPr>
                <w:rFonts w:ascii="仿宋_GB2312" w:hAnsi="仿宋_GB2312" w:cs="仿宋_GB2312" w:eastAsia="仿宋_GB2312"/>
                <w:sz w:val="28"/>
                <w:b/>
                <w:color w:val="000000"/>
              </w:rPr>
              <w:t>二、其他要求</w:t>
            </w:r>
          </w:p>
          <w:p>
            <w:pPr>
              <w:pStyle w:val="null3"/>
              <w:jc w:val="left"/>
            </w:pPr>
            <w:r>
              <w:rPr>
                <w:rFonts w:ascii="仿宋_GB2312" w:hAnsi="仿宋_GB2312" w:cs="仿宋_GB2312" w:eastAsia="仿宋_GB2312"/>
                <w:sz w:val="20"/>
              </w:rPr>
              <w:t xml:space="preserve"> 1、</w:t>
            </w:r>
            <w:r>
              <w:rPr>
                <w:rFonts w:ascii="仿宋_GB2312" w:hAnsi="仿宋_GB2312" w:cs="仿宋_GB2312" w:eastAsia="仿宋_GB2312"/>
                <w:sz w:val="20"/>
              </w:rPr>
              <w:t>供应商的报价为按照采购文件要求完成本项目要求的铁扫把和垃圾袋所涉及到的所有采购、供货、配送、保险、税费、代理、人工、搬运、检测、企业利润等所有费用的总和，成交供应商在完成项目供货结算时，不得要求采购人支付除货款以外的任何费用。</w:t>
            </w:r>
            <w:r>
              <w:rPr>
                <w:rFonts w:ascii="仿宋_GB2312" w:hAnsi="仿宋_GB2312" w:cs="仿宋_GB2312" w:eastAsia="仿宋_GB2312"/>
                <w:sz w:val="32"/>
              </w:rPr>
              <w:t xml:space="preserve"> </w:t>
            </w:r>
          </w:p>
          <w:p>
            <w:pPr>
              <w:pStyle w:val="null3"/>
              <w:jc w:val="left"/>
            </w:pPr>
            <w:r>
              <w:rPr>
                <w:rFonts w:ascii="仿宋_GB2312" w:hAnsi="仿宋_GB2312" w:cs="仿宋_GB2312" w:eastAsia="仿宋_GB2312"/>
                <w:sz w:val="20"/>
              </w:rPr>
              <w:t xml:space="preserve"> 2、</w:t>
            </w:r>
            <w:r>
              <w:rPr>
                <w:rFonts w:ascii="仿宋_GB2312" w:hAnsi="仿宋_GB2312" w:cs="仿宋_GB2312" w:eastAsia="仿宋_GB2312"/>
                <w:sz w:val="20"/>
              </w:rPr>
              <w:t>在采购文件中没有提及的与本项目履约切实相关的事宜，在采购人与成交供应商订立合同时按明细约定或后续补充约定（约定的内容须符合国家相关法律法规的规定）。</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自合同签订之日起270日内按采购人需求分批交货。第一次交货时间为合同签订之日起40日内；后续交货乙方应当在收到甲方出具的书面交货通知后15日内完成交货，全部交货应当在合同签订之日起270日内完成。</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采购人指定地点，成交供应商负责“三包”，即包送货、包上下货产生的一切费用。</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按实际供货量分两次付款（估算实际结算金额过预算金额一半时和合同履约完毕时），收到乙方向采购人出具的书面付款申请与完整有效的税后发票和货物签收清单，达到付款条件起60日内，据实结算说明为采购人接到成交供应商的结算申请后，采购人复核结算申请，如有错误，要求成交供应商重新提交，采购人审核供应商结算金额无误后，货款全额转账支付到成交供应商对公帐户，乙方接受转账的开户信息以采购合同载明的为准。乙方开具发票迟延，甲方有权迟延支付价款并不承担任何迟延支付的违约责任，节假日顺延。</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按照《乐山市财政局关于沿用&lt;乐山市政府采购项目需求论证和履约验收管理实施细则&gt;的通知》(乐市财政采〔2021〕8 号)的要求进行验收。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供应商须保证货物（含零部件、配件等）是全新的、出厂后未开封使用过的产品，表面无划伤、无碰撞痕迹，且权属清楚，不得侵害他人的知识产权，不得以次充好，产品来源渠道必须合法，同时应根据国家有关规定及采购单位的要求做好售后服务工作。 （2）供应商提供的产品必须符合或优于国家标准、行业标准、地方标准等标准、规范。供应商供货时需提供垃圾袋产品合格检测报告（报告内容至少包括本项目垃圾袋技术参数相关指标） （3）货物质量出现问题，供应商应负责三包（包修、包换、包退），费用由供应商负担。 （4）质量缺陷保证期：货物自验收合格之日起为期12个月的质量缺陷保证期，质量缺陷保证期内非人为因素、不可抗力等导致的货物损坏，供应商免费负责更换，并承担造成的所有损失。</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①甲乙双方必须遵守本合同并执行合同中的各项规定，保证本合同的正常履行。②如因乙方工作人员在履行职务过程中的疏忽、失职、过错等故意或者过失原因给甲方造成损失或侵害,包括但不限于甲方本身的财产损失、由此而导致的甲方对任何第三方的法律责任等，乙方对此均应承担全部的赔偿责任。（2）解决合同纠纷的方式①在执行本合同中发生的或与本合同有关的争端，双方应通过友好协商解决，经协商在30天内不能达成协议时，向甲方所在地有管辖权的人民法院提起诉讼。②在诉讼期间，乙方不得停止服务，并应保证政府采购合同的继续履行执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供应商根据自身情况选择提供其中任意一项（本文件其他地方与此不一致的以此为准）： 1、提供（2024年或2025年）任一年度经审计的财务报告（包含审计报告和审计报告中所涉及的财务报表和报表附注）复印件。 2、提供（2024年或2025年）任一年度供应商财务报表（至少包括资产负债表、利润表、现金流量表）复印件。 3、提供截至投标文件提交截止日一年内银行出具的资信证明复印件。 4、提供具有担保资格的担保机构出具的投标担保函复印件。 5、供应商为个体工商户或自然人的，提供《投标（响应）函》完成承诺并进行电子签章。 6、供应商注册时间截至投标文件提交截止日不足一年的，也可提供营业执照副本或在工商部门备案的公司章程材料复印件。 7、供应商是联合体的，须按上述情况提供联合体所有成员的证明材料。</w:t>
            </w:r>
          </w:p>
        </w:tc>
        <w:tc>
          <w:tcPr>
            <w:tcW w:type="dxa" w:w="1661"/>
          </w:tcPr>
          <w:p>
            <w:pPr>
              <w:pStyle w:val="null3"/>
              <w:jc w:val="left"/>
            </w:pPr>
            <w:r>
              <w:rPr>
                <w:rFonts w:ascii="仿宋_GB2312" w:hAnsi="仿宋_GB2312" w:cs="仿宋_GB2312" w:eastAsia="仿宋_GB2312"/>
              </w:rPr>
              <w:t>供应商应提交的相关证明材料,具有健全财务会计制度的证明材料,投标（响应）函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询价通知书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第三章技术、服务及其他要求的响应情况</w:t>
            </w:r>
          </w:p>
        </w:tc>
        <w:tc>
          <w:tcPr>
            <w:tcW w:type="dxa" w:w="3322"/>
          </w:tcPr>
          <w:p>
            <w:pPr>
              <w:pStyle w:val="null3"/>
              <w:jc w:val="left"/>
            </w:pPr>
            <w:r>
              <w:rPr>
                <w:rFonts w:ascii="仿宋_GB2312" w:hAnsi="仿宋_GB2312" w:cs="仿宋_GB2312" w:eastAsia="仿宋_GB2312"/>
              </w:rPr>
              <w:t>供应商需针对第三章技术、服务及其他要求（含：3.1中报价要求、3.2技术要求、3.3服务要求）进行逐项响应或按要求提供相关证明材料。对于“★”项（实质性要求)未响应或不满足的作不通过处理。</w:t>
            </w:r>
          </w:p>
        </w:tc>
        <w:tc>
          <w:tcPr>
            <w:tcW w:type="dxa" w:w="1661"/>
          </w:tcPr>
          <w:p>
            <w:pPr>
              <w:pStyle w:val="null3"/>
              <w:jc w:val="left"/>
            </w:pPr>
            <w:r>
              <w:rPr>
                <w:rFonts w:ascii="仿宋_GB2312" w:hAnsi="仿宋_GB2312" w:cs="仿宋_GB2312" w:eastAsia="仿宋_GB2312"/>
              </w:rPr>
              <w:t>产品技术参数响应表,报价明细表,服务应答表,报价表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异常低价响应审查</w:t>
            </w:r>
          </w:p>
        </w:tc>
        <w:tc>
          <w:tcPr>
            <w:tcW w:type="dxa" w:w="3322"/>
          </w:tcPr>
          <w:p>
            <w:pPr>
              <w:pStyle w:val="null3"/>
              <w:jc w:val="left"/>
            </w:pPr>
            <w:r>
              <w:rPr>
                <w:rFonts w:ascii="仿宋_GB2312" w:hAnsi="仿宋_GB2312" w:cs="仿宋_GB2312" w:eastAsia="仿宋_GB2312"/>
              </w:rPr>
              <w:t>依据采购文件中关于启动异常低价响应审查程序相关规定进行评审。</w:t>
            </w:r>
          </w:p>
        </w:tc>
        <w:tc>
          <w:tcPr>
            <w:tcW w:type="dxa" w:w="1661"/>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2026年度环卫耗材（铁扫把、垃圾袋）采购</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 xml:space="preserve"> 本项目授权询价小组在询价报告确定的成交候选供应商名单中按顺序直接确定1名成交供应商。采购人或者代理机构应当自成交供应商确定之日起2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