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版本号：N511102202600003720260423001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2026年度主城区重点区域环境整治和监管服务采购项目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N5111022026000037</w:t>
      </w:r>
    </w:p>
    <w:p>
      <w:pPr>
        <w:pStyle w:val="null3"/>
        <w:jc w:val="center"/>
        <w:outlineLvl w:val="2"/>
      </w:pPr>
      <w:r>
        <w:rPr>
          <w:rFonts w:ascii="仿宋_GB2312" w:hAnsi="仿宋_GB2312" w:cs="仿宋_GB2312" w:eastAsia="仿宋_GB2312"/>
          <w:sz w:val="28"/>
          <w:b/>
        </w:rPr>
        <w:t>乐山市市中区生态环境局</w:t>
      </w:r>
    </w:p>
    <w:p>
      <w:pPr>
        <w:pStyle w:val="null3"/>
        <w:jc w:val="center"/>
        <w:outlineLvl w:val="2"/>
      </w:pPr>
      <w:r>
        <w:rPr>
          <w:rFonts w:ascii="仿宋_GB2312" w:hAnsi="仿宋_GB2312" w:cs="仿宋_GB2312" w:eastAsia="仿宋_GB2312"/>
          <w:sz w:val="28"/>
          <w:b/>
        </w:rPr>
        <w:t>乐山市市中区人民政府采购中心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乐山市市中区人民政府采购中心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乐山市市中区生态环境局</w:t>
      </w:r>
      <w:r>
        <w:rPr>
          <w:rFonts w:ascii="仿宋_GB2312" w:hAnsi="仿宋_GB2312" w:cs="仿宋_GB2312" w:eastAsia="仿宋_GB2312"/>
        </w:rPr>
        <w:t xml:space="preserve"> 委托，拟对 </w:t>
      </w:r>
      <w:r>
        <w:rPr>
          <w:rFonts w:ascii="仿宋_GB2312" w:hAnsi="仿宋_GB2312" w:cs="仿宋_GB2312" w:eastAsia="仿宋_GB2312"/>
        </w:rPr>
        <w:t>2026年度主城区重点区域环境整治和监管服务采购项目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乐山市市中区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N5111022026000037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2026年度主城区重点区域环境整治和监管服务采购项目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为贯彻落实深入打好大气污染防治攻坚战的工作部署，利用相关科技装备，依托专业团队提供的一站式驻点服务工作，对辖区大气巡查监管，为持续改善环境空气质量提供有力支撑。</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乐山市市中区生态环境局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乐山市市中区白燕路830号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王钰萱</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19894750014</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乐山市市中区人民政府采购中心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四川省乐山市市中区春华路南段422号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0833-2192933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乐山市市中区生态环境局</w:t>
      </w:r>
      <w:r>
        <w:rPr>
          <w:rFonts w:ascii="仿宋_GB2312" w:hAnsi="仿宋_GB2312" w:cs="仿宋_GB2312" w:eastAsia="仿宋_GB2312"/>
        </w:rPr>
        <w:t xml:space="preserve"> 和 </w:t>
      </w:r>
      <w:r>
        <w:rPr>
          <w:rFonts w:ascii="仿宋_GB2312" w:hAnsi="仿宋_GB2312" w:cs="仿宋_GB2312" w:eastAsia="仿宋_GB2312"/>
        </w:rPr>
        <w:t>乐山市市中区人民政府采购中心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乐山市市中区生态环境局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乐山市市中区人民政府采购中心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服务期满6个月并经采购人考核合格后，按照采购人收到供应商出具的发票，达到付款条件起30日内，支付合同总金额的40.00%.其中管理考核总分100分，综合考评 90 分(含 90 分)以上为合格。低于 90 分的，其考核服务费相应扣减。 90 分(含 90 分)以上付应付服务费 100%，低于90 分的考核后应付服务费=考核得分*应付服务费/100</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服务期满经采购人考核合格后，采购人收到供应商出具的发票，达到付款条件起30日内，支付合同总金额的30.00%。其中管理考核总分100分，综合考评 90 分(含 90 分)以上为合格。低于 90 分的，其考核服务费相应扣减。 90 分(含 90 分)以上付应付服务费 100%，低于90 分的考核后应付服务费=考核得分*应付服务费/100</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按照采购文件技术服务内容及要求、投标（响应）技术响应表、政府采购合同约定的技术服务内容及要求进行验收。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按照采购文件商务要求、投标（响应）商务响应表、政府采购合同约定的商务内容进行验收。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现行国家、地方及行业相关规定和投标（响应）文件的承诺、政府采购合同约定。按照投标（响应）文件、政府采购合同约定的服务内容及要求进行验收。其余未尽事项严格按照《财政部关于进一步加强政府采购需求和履约验收管理的指导意见》 (财库〔2016〕205号)、及政府采购等相关法律法规的要求进行验收。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乐山市市中区生态环境局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乐山市市中区人民政府采购中心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乐山市市中区人民政府采购中心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联系人：王钰萱</w:t>
      </w:r>
    </w:p>
    <w:p>
      <w:pPr>
        <w:pStyle w:val="null3"/>
        <w:jc w:val="left"/>
      </w:pPr>
      <w:r>
        <w:rPr>
          <w:rFonts w:ascii="仿宋_GB2312" w:hAnsi="仿宋_GB2312" w:cs="仿宋_GB2312" w:eastAsia="仿宋_GB2312"/>
        </w:rPr>
        <w:t>联系电话：19894750014</w:t>
      </w:r>
    </w:p>
    <w:p>
      <w:pPr>
        <w:pStyle w:val="null3"/>
        <w:jc w:val="left"/>
      </w:pPr>
      <w:r>
        <w:rPr>
          <w:rFonts w:ascii="仿宋_GB2312" w:hAnsi="仿宋_GB2312" w:cs="仿宋_GB2312" w:eastAsia="仿宋_GB2312"/>
        </w:rPr>
        <w:t>地址：乐山市市中区白燕路830号</w:t>
      </w:r>
    </w:p>
    <w:p>
      <w:pPr>
        <w:pStyle w:val="null3"/>
        <w:jc w:val="left"/>
      </w:pPr>
      <w:r>
        <w:rPr>
          <w:rFonts w:ascii="仿宋_GB2312" w:hAnsi="仿宋_GB2312" w:cs="仿宋_GB2312" w:eastAsia="仿宋_GB2312"/>
        </w:rPr>
        <w:t>邮编：614000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联系人：李先生、毛女士</w:t>
      </w:r>
    </w:p>
    <w:p>
      <w:pPr>
        <w:pStyle w:val="null3"/>
        <w:jc w:val="left"/>
      </w:pPr>
      <w:r>
        <w:rPr>
          <w:rFonts w:ascii="仿宋_GB2312" w:hAnsi="仿宋_GB2312" w:cs="仿宋_GB2312" w:eastAsia="仿宋_GB2312"/>
        </w:rPr>
        <w:t>联系电话：0833-2402767</w:t>
      </w:r>
    </w:p>
    <w:p>
      <w:pPr>
        <w:pStyle w:val="null3"/>
        <w:jc w:val="left"/>
      </w:pPr>
      <w:r>
        <w:rPr>
          <w:rFonts w:ascii="仿宋_GB2312" w:hAnsi="仿宋_GB2312" w:cs="仿宋_GB2312" w:eastAsia="仿宋_GB2312"/>
        </w:rPr>
        <w:t>地址：乐山市春华路南段422号工行3楼</w:t>
      </w:r>
    </w:p>
    <w:p>
      <w:pPr>
        <w:pStyle w:val="null3"/>
        <w:jc w:val="left"/>
      </w:pPr>
      <w:r>
        <w:rPr>
          <w:rFonts w:ascii="仿宋_GB2312" w:hAnsi="仿宋_GB2312" w:cs="仿宋_GB2312" w:eastAsia="仿宋_GB2312"/>
        </w:rPr>
        <w:t>邮编：614000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400,000.00</w:t>
      </w:r>
    </w:p>
    <w:p>
      <w:pPr>
        <w:pStyle w:val="null3"/>
        <w:jc w:val="left"/>
      </w:pPr>
      <w:r>
        <w:rPr>
          <w:rFonts w:ascii="仿宋_GB2312" w:hAnsi="仿宋_GB2312" w:cs="仿宋_GB2312" w:eastAsia="仿宋_GB2312"/>
        </w:rPr>
        <w:t>采购包最高限价（元）: 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C07010300 生态环境舆情监控服务</w:t>
            </w:r>
          </w:p>
        </w:tc>
        <w:tc>
          <w:tcPr>
            <w:tcW w:type="dxa" w:w="821"/>
          </w:tcPr>
          <w:p>
            <w:pPr>
              <w:pStyle w:val="null3"/>
              <w:jc w:val="left"/>
            </w:pPr>
            <w:r>
              <w:rPr>
                <w:rFonts w:ascii="仿宋_GB2312" w:hAnsi="仿宋_GB2312" w:cs="仿宋_GB2312" w:eastAsia="仿宋_GB2312"/>
              </w:rPr>
              <w:t>2026年度主城区重点区域环境整治和监管服务采购项目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2026年度主城区重点区域环境整治和监管服务采购项目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标的名称：2026年度主城区重点区域环境整治和监管服务采购项目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82"/>
              <w:jc w:val="left"/>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sz w:val="24"/>
              </w:rPr>
              <w:t>1、大气巡查工作服务内容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巡查区域：乐山中心城区海棠街道、通江街道、绿心街道行政区划范围内及全福街道翡翠社区、沟儿口社区、夏沟村、台子村、三桥村、马边河村，牟子镇牟子场社区、武皇村、老龙村、强鸣村、槐子村、菜利村，棉竹镇棉竹铺社区、高坝社区、张铺儿村、袁坝村、天空山村(部分)、九百洞村，苏稽镇苏稽街社区、 新桥街社区、万顺村、新联村、徐浩村、双江村、卫东村、饶坎村、红专村、青峨村、楠园村、严龙村(部分)、跃进村(部分)、刘浩村、长虹村、红阳村、灵官村、长春村、石鼓寺村、雷坝村，水口镇水口场社区、三兴村、周金村、周桥坝村、龙窝村(部分)，大佛街道篦子街社区、碧山路社区、龙泓路社区、钓鱼台社区、任家坝村、大佛坝村、鞍山村、永安村、青衣坝村、棕桥村、明月村、源安村行政区划范围内。</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2）巡查行业：餐饮、包装印刷、家具、建材、拆卸、汽修、喷涂、切割、装修、加油站、施工工地、物料堆场、散乱污作坊大气环境问题等。</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shd w:fill="FFFF00" w:val="clear"/>
              </w:rPr>
              <w:t>在空气质量数据呈现异常变差时，在市环委办、区委、区政府、区环委办调度时，不分白昼、节假日，及时开展现场调查，并快速形成结论反馈乐山市市中区生态环境局。</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4）提供监测服务，能够实时将监测数据上传至</w:t>
            </w:r>
            <w:r>
              <w:rPr>
                <w:rFonts w:ascii="仿宋_GB2312" w:hAnsi="仿宋_GB2312" w:cs="仿宋_GB2312" w:eastAsia="仿宋_GB2312"/>
                <w:sz w:val="24"/>
                <w:shd w:fill="FFFF00" w:val="clear"/>
              </w:rPr>
              <w:t>管理平台</w:t>
            </w:r>
            <w:r>
              <w:rPr>
                <w:rFonts w:ascii="仿宋_GB2312" w:hAnsi="仿宋_GB2312" w:cs="仿宋_GB2312" w:eastAsia="仿宋_GB2312"/>
                <w:sz w:val="24"/>
              </w:rPr>
              <w:t>，同时系统能够使用北斗系统对监测轨迹进行实时监控；</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shd w:fill="FFFF00" w:val="clear"/>
              </w:rPr>
              <w:t>前端污染处理设施</w:t>
            </w:r>
            <w:r>
              <w:rPr>
                <w:rFonts w:ascii="仿宋_GB2312" w:hAnsi="仿宋_GB2312" w:cs="仿宋_GB2312" w:eastAsia="仿宋_GB2312"/>
                <w:sz w:val="24"/>
                <w:shd w:fill="FFFF00" w:val="clear"/>
              </w:rPr>
              <w:t>、</w:t>
            </w:r>
            <w:r>
              <w:rPr>
                <w:rFonts w:ascii="仿宋_GB2312" w:hAnsi="仿宋_GB2312" w:cs="仿宋_GB2312" w:eastAsia="仿宋_GB2312"/>
                <w:sz w:val="24"/>
              </w:rPr>
              <w:t>污染源自动监控设施</w:t>
            </w:r>
            <w:r>
              <w:rPr>
                <w:rFonts w:ascii="仿宋_GB2312" w:hAnsi="仿宋_GB2312" w:cs="仿宋_GB2312" w:eastAsia="仿宋_GB2312"/>
                <w:sz w:val="24"/>
              </w:rPr>
              <w:t>监管</w:t>
            </w:r>
            <w:r>
              <w:rPr>
                <w:rFonts w:ascii="仿宋_GB2312" w:hAnsi="仿宋_GB2312" w:cs="仿宋_GB2312" w:eastAsia="仿宋_GB2312"/>
                <w:sz w:val="24"/>
              </w:rPr>
              <w:t>服务内容</w:t>
            </w:r>
          </w:p>
          <w:p>
            <w:pPr>
              <w:pStyle w:val="null3"/>
              <w:ind w:firstLine="480"/>
              <w:jc w:val="left"/>
            </w:pPr>
            <w:r>
              <w:rPr>
                <w:rFonts w:ascii="仿宋_GB2312" w:hAnsi="仿宋_GB2312" w:cs="仿宋_GB2312" w:eastAsia="仿宋_GB2312"/>
                <w:sz w:val="24"/>
                <w:shd w:fill="FFFF00" w:val="clear"/>
              </w:rPr>
              <w:t>配合采购人对</w:t>
            </w:r>
            <w:r>
              <w:rPr>
                <w:rFonts w:ascii="仿宋_GB2312" w:hAnsi="仿宋_GB2312" w:cs="仿宋_GB2312" w:eastAsia="仿宋_GB2312"/>
                <w:sz w:val="24"/>
                <w:shd w:fill="FFFF00" w:val="clear"/>
              </w:rPr>
              <w:t>企业</w:t>
            </w:r>
            <w:r>
              <w:rPr>
                <w:rFonts w:ascii="仿宋_GB2312" w:hAnsi="仿宋_GB2312" w:cs="仿宋_GB2312" w:eastAsia="仿宋_GB2312"/>
                <w:sz w:val="24"/>
                <w:shd w:fill="FFFF00" w:val="clear"/>
              </w:rPr>
              <w:t>前端污染处理设施</w:t>
            </w:r>
            <w:r>
              <w:rPr>
                <w:rFonts w:ascii="仿宋_GB2312" w:hAnsi="仿宋_GB2312" w:cs="仿宋_GB2312" w:eastAsia="仿宋_GB2312"/>
                <w:sz w:val="24"/>
                <w:shd w:fill="FFFF00" w:val="clear"/>
              </w:rPr>
              <w:t>运行情况、</w:t>
            </w:r>
            <w:r>
              <w:rPr>
                <w:rFonts w:ascii="仿宋_GB2312" w:hAnsi="仿宋_GB2312" w:cs="仿宋_GB2312" w:eastAsia="仿宋_GB2312"/>
                <w:sz w:val="24"/>
                <w:shd w:fill="FFFF00" w:val="clear"/>
              </w:rPr>
              <w:t>污染源自动监控设备运维情况进行检查记录。</w:t>
            </w:r>
          </w:p>
          <w:p>
            <w:pPr>
              <w:pStyle w:val="null3"/>
              <w:ind w:firstLine="480"/>
              <w:jc w:val="left"/>
            </w:pPr>
            <w:r>
              <w:rPr>
                <w:rFonts w:ascii="仿宋_GB2312" w:hAnsi="仿宋_GB2312" w:cs="仿宋_GB2312" w:eastAsia="仿宋_GB2312"/>
                <w:sz w:val="24"/>
                <w:shd w:fill="FFFF00" w:val="clear"/>
              </w:rPr>
              <w:t>3、日常污染精准溯源排查服务内容</w:t>
            </w:r>
          </w:p>
          <w:p>
            <w:pPr>
              <w:pStyle w:val="null3"/>
              <w:ind w:firstLine="480"/>
              <w:jc w:val="left"/>
            </w:pPr>
            <w:r>
              <w:rPr>
                <w:rFonts w:ascii="仿宋_GB2312" w:hAnsi="仿宋_GB2312" w:cs="仿宋_GB2312" w:eastAsia="仿宋_GB2312"/>
                <w:sz w:val="24"/>
                <w:shd w:fill="FFFF00" w:val="clear"/>
              </w:rPr>
              <w:t>（</w:t>
            </w:r>
            <w:r>
              <w:rPr>
                <w:rFonts w:ascii="仿宋_GB2312" w:hAnsi="仿宋_GB2312" w:cs="仿宋_GB2312" w:eastAsia="仿宋_GB2312"/>
                <w:sz w:val="24"/>
                <w:shd w:fill="FFFF00" w:val="clear"/>
              </w:rPr>
              <w:t>1）配合采购人开展实时监控预警响应，及时到达报警点位周边进行现场排查，协助定位污染来源，并配合将现场情况记录上报，支持相关部门对污染事件进行及时处置。</w:t>
            </w:r>
          </w:p>
          <w:p>
            <w:pPr>
              <w:pStyle w:val="null3"/>
              <w:ind w:firstLine="480"/>
              <w:jc w:val="left"/>
            </w:pPr>
            <w:r>
              <w:rPr>
                <w:rFonts w:ascii="仿宋_GB2312" w:hAnsi="仿宋_GB2312" w:cs="仿宋_GB2312" w:eastAsia="仿宋_GB2312"/>
                <w:sz w:val="24"/>
                <w:shd w:fill="FFFF00" w:val="clear"/>
              </w:rPr>
              <w:t>（</w:t>
            </w:r>
            <w:r>
              <w:rPr>
                <w:rFonts w:ascii="仿宋_GB2312" w:hAnsi="仿宋_GB2312" w:cs="仿宋_GB2312" w:eastAsia="仿宋_GB2312"/>
                <w:sz w:val="24"/>
                <w:shd w:fill="FFFF00" w:val="clear"/>
              </w:rPr>
              <w:t>2）配合采购人对重点区域及疑似污染源周边开展针对性巡查，配合锁定污染来源及问题环节。巡查工作包括但不限于：协助对现场环境状况、环保设施运行效率、管道泄漏、无组织排放、在线监测设备运行情况及环保设施设置的合理性等进行现场记录与反馈。</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重点排污企业日常巡查服务</w:t>
            </w:r>
            <w:r>
              <w:rPr>
                <w:rFonts w:ascii="仿宋_GB2312" w:hAnsi="仿宋_GB2312" w:cs="仿宋_GB2312" w:eastAsia="仿宋_GB2312"/>
                <w:sz w:val="24"/>
              </w:rPr>
              <w:t>内容：为加强企业污染排放监管，指导企业有效合理进行大气污染防治工作，投标人需依据采购人需求开展重点企业日常帮扶工作，主要内容包括企业现场巡查，巡查内容包括废气收集治理情况、治理情况运行状态检查、在线设备运行状态等内容，检查根据需要完成后提供检查报告，并根据需要进行复查。</w:t>
            </w:r>
          </w:p>
          <w:p>
            <w:pPr>
              <w:pStyle w:val="null3"/>
              <w:ind w:firstLine="480"/>
              <w:jc w:val="left"/>
            </w:pPr>
            <w:r>
              <w:rPr>
                <w:rFonts w:ascii="仿宋_GB2312" w:hAnsi="仿宋_GB2312" w:cs="仿宋_GB2312" w:eastAsia="仿宋_GB2312"/>
                <w:sz w:val="24"/>
              </w:rPr>
              <w:t>5、完成污染源档案更新服务、工作报告与指导服务及采购人交办的与项目有关的其他工作。</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考核要求及其他要求</w:t>
            </w:r>
          </w:p>
        </w:tc>
        <w:tc>
          <w:tcPr>
            <w:tcW w:type="dxa" w:w="5814"/>
          </w:tcPr>
          <w:p>
            <w:pPr>
              <w:pStyle w:val="null3"/>
              <w:jc w:val="left"/>
            </w:pPr>
            <w:r>
              <w:rPr>
                <w:rFonts w:ascii="仿宋_GB2312" w:hAnsi="仿宋_GB2312" w:cs="仿宋_GB2312" w:eastAsia="仿宋_GB2312"/>
                <w:b/>
              </w:rPr>
              <w:t>一、2026年度主城区重点区域环境整治和监管服务采购项目</w:t>
            </w:r>
            <w:r>
              <w:rPr>
                <w:rFonts w:ascii="仿宋_GB2312" w:hAnsi="仿宋_GB2312" w:cs="仿宋_GB2312" w:eastAsia="仿宋_GB2312"/>
                <w:b/>
              </w:rPr>
              <w:t>考核办法</w:t>
            </w:r>
          </w:p>
          <w:p>
            <w:pPr>
              <w:pStyle w:val="null3"/>
              <w:jc w:val="left"/>
            </w:pPr>
            <w:r>
              <w:rPr>
                <w:rFonts w:ascii="仿宋_GB2312" w:hAnsi="仿宋_GB2312" w:cs="仿宋_GB2312" w:eastAsia="仿宋_GB2312"/>
              </w:rPr>
              <w:t>1、考核评分采用百分制扣分法，半年考核1次。</w:t>
            </w:r>
          </w:p>
          <w:p>
            <w:pPr>
              <w:pStyle w:val="null3"/>
              <w:jc w:val="left"/>
            </w:pPr>
            <w:r>
              <w:rPr>
                <w:rFonts w:ascii="仿宋_GB2312" w:hAnsi="仿宋_GB2312" w:cs="仿宋_GB2312" w:eastAsia="仿宋_GB2312"/>
              </w:rPr>
              <w:t>2、管理考核总分100分，综合考评 90 分(含 90 分)以上为合格。低于 90 分的，其考核服务费相应扣减。 90 分(含 90 分)以上付应付服务费 100%，低于90 分的考核后应付服务费=考核得分*应付服务费/100。</w:t>
            </w:r>
          </w:p>
          <w:tbl>
            <w:tblPr>
              <w:tblBorders>
                <w:top w:val="single"/>
                <w:left w:val="single"/>
                <w:bottom w:val="single"/>
                <w:right w:val="single"/>
                <w:insideH w:val="single"/>
                <w:insideV w:val="single"/>
              </w:tblBorders>
            </w:tblPr>
            <w:tblGrid>
              <w:gridCol w:w="1120"/>
              <w:gridCol w:w="1120"/>
              <w:gridCol w:w="1120"/>
              <w:gridCol w:w="1120"/>
              <w:gridCol w:w="1120"/>
            </w:tblGrid>
            <w:tr>
              <w:tc>
                <w:tcPr>
                  <w:tcW w:type="dxa" w:w="1120"/>
                </w:tcPr>
                <w:p>
                  <w:pPr>
                    <w:pStyle w:val="null3"/>
                    <w:jc w:val="left"/>
                  </w:pPr>
                  <w:r>
                    <w:rPr>
                      <w:rFonts w:ascii="仿宋_GB2312" w:hAnsi="仿宋_GB2312" w:cs="仿宋_GB2312" w:eastAsia="仿宋_GB2312"/>
                      <w:b/>
                    </w:rPr>
                    <w:t>考评指标</w:t>
                  </w:r>
                </w:p>
              </w:tc>
              <w:tc>
                <w:tcPr>
                  <w:tcW w:type="dxa" w:w="1120"/>
                </w:tcPr>
                <w:p>
                  <w:pPr>
                    <w:pStyle w:val="null3"/>
                    <w:jc w:val="left"/>
                  </w:pPr>
                  <w:r>
                    <w:rPr>
                      <w:rFonts w:ascii="仿宋_GB2312" w:hAnsi="仿宋_GB2312" w:cs="仿宋_GB2312" w:eastAsia="仿宋_GB2312"/>
                      <w:b/>
                    </w:rPr>
                    <w:t>考评内容</w:t>
                  </w:r>
                </w:p>
              </w:tc>
              <w:tc>
                <w:tcPr>
                  <w:tcW w:type="dxa" w:w="1120"/>
                </w:tcPr>
                <w:p>
                  <w:pPr>
                    <w:pStyle w:val="null3"/>
                    <w:jc w:val="left"/>
                  </w:pPr>
                  <w:r>
                    <w:rPr>
                      <w:rFonts w:ascii="仿宋_GB2312" w:hAnsi="仿宋_GB2312" w:cs="仿宋_GB2312" w:eastAsia="仿宋_GB2312"/>
                      <w:b/>
                    </w:rPr>
                    <w:t>计分标准</w:t>
                  </w:r>
                </w:p>
              </w:tc>
              <w:tc>
                <w:tcPr>
                  <w:tcW w:type="dxa" w:w="1120"/>
                </w:tcPr>
                <w:p>
                  <w:pPr>
                    <w:pStyle w:val="null3"/>
                    <w:jc w:val="left"/>
                  </w:pPr>
                  <w:r>
                    <w:rPr>
                      <w:rFonts w:ascii="仿宋_GB2312" w:hAnsi="仿宋_GB2312" w:cs="仿宋_GB2312" w:eastAsia="仿宋_GB2312"/>
                      <w:b/>
                    </w:rPr>
                    <w:t>分值</w:t>
                  </w:r>
                </w:p>
              </w:tc>
              <w:tc>
                <w:tcPr>
                  <w:tcW w:type="dxa" w:w="1120"/>
                </w:tcPr>
                <w:p>
                  <w:pPr>
                    <w:pStyle w:val="null3"/>
                    <w:jc w:val="left"/>
                  </w:pPr>
                  <w:r>
                    <w:rPr>
                      <w:rFonts w:ascii="仿宋_GB2312" w:hAnsi="仿宋_GB2312" w:cs="仿宋_GB2312" w:eastAsia="仿宋_GB2312"/>
                      <w:b/>
                    </w:rPr>
                    <w:t>扣分记录</w:t>
                  </w:r>
                </w:p>
              </w:tc>
            </w:tr>
            <w:tr>
              <w:tc>
                <w:tcPr>
                  <w:tcW w:type="dxa" w:w="1120"/>
                </w:tcPr>
                <w:p>
                  <w:pPr>
                    <w:pStyle w:val="null3"/>
                    <w:jc w:val="left"/>
                  </w:pPr>
                  <w:r>
                    <w:rPr>
                      <w:rFonts w:ascii="仿宋_GB2312" w:hAnsi="仿宋_GB2312" w:cs="仿宋_GB2312" w:eastAsia="仿宋_GB2312"/>
                    </w:rPr>
                    <w:t>调度服务</w:t>
                  </w:r>
                </w:p>
                <w:p>
                  <w:pPr>
                    <w:pStyle w:val="null3"/>
                    <w:jc w:val="left"/>
                  </w:pPr>
                  <w:r>
                    <w:rPr>
                      <w:rFonts w:ascii="仿宋_GB2312" w:hAnsi="仿宋_GB2312" w:cs="仿宋_GB2312" w:eastAsia="仿宋_GB2312"/>
                    </w:rPr>
                    <w:t>（10 分）</w:t>
                  </w:r>
                </w:p>
              </w:tc>
              <w:tc>
                <w:tcPr>
                  <w:tcW w:type="dxa" w:w="1120"/>
                </w:tcPr>
                <w:p>
                  <w:pPr>
                    <w:pStyle w:val="null3"/>
                    <w:jc w:val="left"/>
                  </w:pPr>
                  <w:r>
                    <w:rPr>
                      <w:rFonts w:ascii="仿宋_GB2312" w:hAnsi="仿宋_GB2312" w:cs="仿宋_GB2312" w:eastAsia="仿宋_GB2312"/>
                    </w:rPr>
                    <w:t>调度服务人员考核</w:t>
                  </w:r>
                </w:p>
              </w:tc>
              <w:tc>
                <w:tcPr>
                  <w:tcW w:type="dxa" w:w="1120"/>
                </w:tcPr>
                <w:p>
                  <w:pPr>
                    <w:pStyle w:val="null3"/>
                    <w:jc w:val="left"/>
                  </w:pPr>
                  <w:r>
                    <w:rPr>
                      <w:rFonts w:ascii="仿宋_GB2312" w:hAnsi="仿宋_GB2312" w:cs="仿宋_GB2312" w:eastAsia="仿宋_GB2312"/>
                    </w:rPr>
                    <w:t>数据异常未及时处理并调度，出现1次扣0.5分；</w:t>
                  </w:r>
                </w:p>
                <w:p>
                  <w:pPr>
                    <w:pStyle w:val="null3"/>
                    <w:jc w:val="left"/>
                  </w:pPr>
                  <w:r>
                    <w:rPr>
                      <w:rFonts w:ascii="仿宋_GB2312" w:hAnsi="仿宋_GB2312" w:cs="仿宋_GB2312" w:eastAsia="仿宋_GB2312"/>
                    </w:rPr>
                    <w:t>发现重大环境问题未及时汇报，出现1次扣0.5分；</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 xml:space="preserve"> </w:t>
                  </w:r>
                </w:p>
              </w:tc>
            </w:tr>
            <w:tr>
              <w:tc>
                <w:tcPr>
                  <w:tcW w:type="dxa" w:w="1120"/>
                </w:tcPr>
                <w:p>
                  <w:pPr>
                    <w:pStyle w:val="null3"/>
                    <w:jc w:val="left"/>
                  </w:pPr>
                  <w:r>
                    <w:rPr>
                      <w:rFonts w:ascii="仿宋_GB2312" w:hAnsi="仿宋_GB2312" w:cs="仿宋_GB2312" w:eastAsia="仿宋_GB2312"/>
                    </w:rPr>
                    <w:t>巡查服务</w:t>
                  </w:r>
                </w:p>
                <w:p>
                  <w:pPr>
                    <w:pStyle w:val="null3"/>
                    <w:jc w:val="left"/>
                  </w:pPr>
                  <w:r>
                    <w:rPr>
                      <w:rFonts w:ascii="仿宋_GB2312" w:hAnsi="仿宋_GB2312" w:cs="仿宋_GB2312" w:eastAsia="仿宋_GB2312"/>
                    </w:rPr>
                    <w:t>（30 分）</w:t>
                  </w:r>
                </w:p>
              </w:tc>
              <w:tc>
                <w:tcPr>
                  <w:tcW w:type="dxa" w:w="1120"/>
                </w:tcPr>
                <w:p>
                  <w:pPr>
                    <w:pStyle w:val="null3"/>
                    <w:jc w:val="left"/>
                  </w:pPr>
                  <w:r>
                    <w:rPr>
                      <w:rFonts w:ascii="仿宋_GB2312" w:hAnsi="仿宋_GB2312" w:cs="仿宋_GB2312" w:eastAsia="仿宋_GB2312"/>
                    </w:rPr>
                    <w:t>巡查服务人员考核</w:t>
                  </w:r>
                </w:p>
              </w:tc>
              <w:tc>
                <w:tcPr>
                  <w:tcW w:type="dxa" w:w="1120"/>
                </w:tcPr>
                <w:p>
                  <w:pPr>
                    <w:pStyle w:val="null3"/>
                    <w:jc w:val="left"/>
                  </w:pPr>
                  <w:r>
                    <w:rPr>
                      <w:rFonts w:ascii="仿宋_GB2312" w:hAnsi="仿宋_GB2312" w:cs="仿宋_GB2312" w:eastAsia="仿宋_GB2312"/>
                    </w:rPr>
                    <w:t>巡查时工作不认真未发现明显的问题，出现1次扣0.5分；</w:t>
                  </w:r>
                </w:p>
                <w:p>
                  <w:pPr>
                    <w:pStyle w:val="null3"/>
                    <w:jc w:val="left"/>
                  </w:pPr>
                  <w:r>
                    <w:rPr>
                      <w:rFonts w:ascii="仿宋_GB2312" w:hAnsi="仿宋_GB2312" w:cs="仿宋_GB2312" w:eastAsia="仿宋_GB2312"/>
                    </w:rPr>
                    <w:t>巡查时发现问题未上报，出现1 次扣0.5分；</w:t>
                  </w:r>
                </w:p>
                <w:p>
                  <w:pPr>
                    <w:pStyle w:val="null3"/>
                    <w:jc w:val="left"/>
                  </w:pPr>
                  <w:r>
                    <w:rPr>
                      <w:rFonts w:ascii="仿宋_GB2312" w:hAnsi="仿宋_GB2312" w:cs="仿宋_GB2312" w:eastAsia="仿宋_GB2312"/>
                    </w:rPr>
                    <w:t>巡查工作量作假，出现1次扣0.5 分；</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 xml:space="preserve"> </w:t>
                  </w:r>
                </w:p>
              </w:tc>
            </w:tr>
            <w:tr>
              <w:tc>
                <w:tcPr>
                  <w:tcW w:type="dxa" w:w="1120"/>
                </w:tcPr>
                <w:p>
                  <w:pPr>
                    <w:pStyle w:val="null3"/>
                    <w:jc w:val="left"/>
                  </w:pPr>
                  <w:r>
                    <w:rPr>
                      <w:rFonts w:ascii="仿宋_GB2312" w:hAnsi="仿宋_GB2312" w:cs="仿宋_GB2312" w:eastAsia="仿宋_GB2312"/>
                    </w:rPr>
                    <w:t>工作报告与指导服务</w:t>
                  </w:r>
                </w:p>
                <w:p>
                  <w:pPr>
                    <w:pStyle w:val="null3"/>
                    <w:jc w:val="left"/>
                  </w:pPr>
                  <w:r>
                    <w:rPr>
                      <w:rFonts w:ascii="仿宋_GB2312" w:hAnsi="仿宋_GB2312" w:cs="仿宋_GB2312" w:eastAsia="仿宋_GB2312"/>
                    </w:rPr>
                    <w:t>（20 分）</w:t>
                  </w:r>
                </w:p>
              </w:tc>
              <w:tc>
                <w:tcPr>
                  <w:tcW w:type="dxa" w:w="1120"/>
                </w:tcPr>
                <w:p>
                  <w:pPr>
                    <w:pStyle w:val="null3"/>
                    <w:jc w:val="left"/>
                  </w:pPr>
                  <w:r>
                    <w:rPr>
                      <w:rFonts w:ascii="仿宋_GB2312" w:hAnsi="仿宋_GB2312" w:cs="仿宋_GB2312" w:eastAsia="仿宋_GB2312"/>
                    </w:rPr>
                    <w:t>工作报告考核</w:t>
                  </w:r>
                </w:p>
              </w:tc>
              <w:tc>
                <w:tcPr>
                  <w:tcW w:type="dxa" w:w="1120"/>
                </w:tcPr>
                <w:p>
                  <w:pPr>
                    <w:pStyle w:val="null3"/>
                    <w:jc w:val="left"/>
                  </w:pPr>
                  <w:r>
                    <w:rPr>
                      <w:rFonts w:ascii="仿宋_GB2312" w:hAnsi="仿宋_GB2312" w:cs="仿宋_GB2312" w:eastAsia="仿宋_GB2312"/>
                    </w:rPr>
                    <w:t>未按进度提交日报、月报、年报，出现1次扣0.5分；</w:t>
                  </w:r>
                </w:p>
                <w:p>
                  <w:pPr>
                    <w:pStyle w:val="null3"/>
                    <w:jc w:val="left"/>
                  </w:pPr>
                  <w:r>
                    <w:rPr>
                      <w:rFonts w:ascii="仿宋_GB2312" w:hAnsi="仿宋_GB2312" w:cs="仿宋_GB2312" w:eastAsia="仿宋_GB2312"/>
                    </w:rPr>
                    <w:t>提供的工作报告出现明显错误，出现1次扣0.5分；</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 xml:space="preserve"> </w:t>
                  </w:r>
                </w:p>
              </w:tc>
            </w:tr>
            <w:tr>
              <w:tc>
                <w:tcPr>
                  <w:tcW w:type="dxa" w:w="1120"/>
                </w:tcPr>
                <w:p>
                  <w:pPr>
                    <w:pStyle w:val="null3"/>
                    <w:jc w:val="left"/>
                  </w:pPr>
                  <w:r>
                    <w:rPr>
                      <w:rFonts w:ascii="仿宋_GB2312" w:hAnsi="仿宋_GB2312" w:cs="仿宋_GB2312" w:eastAsia="仿宋_GB2312"/>
                    </w:rPr>
                    <w:t>污染源档案更新服务</w:t>
                  </w:r>
                </w:p>
                <w:p>
                  <w:pPr>
                    <w:pStyle w:val="null3"/>
                    <w:jc w:val="left"/>
                  </w:pPr>
                  <w:r>
                    <w:rPr>
                      <w:rFonts w:ascii="仿宋_GB2312" w:hAnsi="仿宋_GB2312" w:cs="仿宋_GB2312" w:eastAsia="仿宋_GB2312"/>
                    </w:rPr>
                    <w:t>（30 分）</w:t>
                  </w:r>
                </w:p>
              </w:tc>
              <w:tc>
                <w:tcPr>
                  <w:tcW w:type="dxa" w:w="1120"/>
                </w:tcPr>
                <w:p>
                  <w:pPr>
                    <w:pStyle w:val="null3"/>
                    <w:jc w:val="left"/>
                  </w:pPr>
                  <w:r>
                    <w:rPr>
                      <w:rFonts w:ascii="仿宋_GB2312" w:hAnsi="仿宋_GB2312" w:cs="仿宋_GB2312" w:eastAsia="仿宋_GB2312"/>
                    </w:rPr>
                    <w:t>对污染源档案进行管理</w:t>
                  </w:r>
                </w:p>
              </w:tc>
              <w:tc>
                <w:tcPr>
                  <w:tcW w:type="dxa" w:w="1120"/>
                </w:tcPr>
                <w:p>
                  <w:pPr>
                    <w:pStyle w:val="null3"/>
                    <w:jc w:val="left"/>
                  </w:pPr>
                  <w:r>
                    <w:rPr>
                      <w:rFonts w:ascii="仿宋_GB2312" w:hAnsi="仿宋_GB2312" w:cs="仿宋_GB2312" w:eastAsia="仿宋_GB2312"/>
                    </w:rPr>
                    <w:t>每月未按时提交最新的污染源清单，出现1次扣 0.5 分；</w:t>
                  </w:r>
                </w:p>
                <w:p>
                  <w:pPr>
                    <w:pStyle w:val="null3"/>
                    <w:jc w:val="left"/>
                  </w:pPr>
                  <w:r>
                    <w:rPr>
                      <w:rFonts w:ascii="仿宋_GB2312" w:hAnsi="仿宋_GB2312" w:cs="仿宋_GB2312" w:eastAsia="仿宋_GB2312"/>
                    </w:rPr>
                    <w:t>污染源状态变化超过两个月没更新，出现1次扣 0.5 分；</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 xml:space="preserve"> </w:t>
                  </w:r>
                </w:p>
              </w:tc>
            </w:tr>
            <w:tr>
              <w:tc>
                <w:tcPr>
                  <w:tcW w:type="dxa" w:w="1120"/>
                  <w:vMerge w:val="restart"/>
                </w:tcPr>
                <w:p>
                  <w:pPr>
                    <w:pStyle w:val="null3"/>
                    <w:jc w:val="left"/>
                  </w:pPr>
                  <w:r>
                    <w:rPr>
                      <w:rFonts w:ascii="仿宋_GB2312" w:hAnsi="仿宋_GB2312" w:cs="仿宋_GB2312" w:eastAsia="仿宋_GB2312"/>
                    </w:rPr>
                    <w:t>服务质量评价（10 分）</w:t>
                  </w:r>
                </w:p>
              </w:tc>
              <w:tc>
                <w:tcPr>
                  <w:tcW w:type="dxa" w:w="1120"/>
                </w:tcPr>
                <w:p>
                  <w:pPr>
                    <w:pStyle w:val="null3"/>
                    <w:jc w:val="left"/>
                  </w:pPr>
                  <w:r>
                    <w:rPr>
                      <w:rFonts w:ascii="仿宋_GB2312" w:hAnsi="仿宋_GB2312" w:cs="仿宋_GB2312" w:eastAsia="仿宋_GB2312"/>
                    </w:rPr>
                    <w:t>巡查人员需严格遵守采购人的工作制度和作息时间，外出或有其他工作安排需提前告知采购人并征得同意。</w:t>
                  </w:r>
                </w:p>
              </w:tc>
              <w:tc>
                <w:tcPr>
                  <w:tcW w:type="dxa" w:w="1120"/>
                </w:tcPr>
                <w:p>
                  <w:pPr>
                    <w:pStyle w:val="null3"/>
                    <w:jc w:val="left"/>
                  </w:pPr>
                  <w:r>
                    <w:rPr>
                      <w:rFonts w:ascii="仿宋_GB2312" w:hAnsi="仿宋_GB2312" w:cs="仿宋_GB2312" w:eastAsia="仿宋_GB2312"/>
                    </w:rPr>
                    <w:t>擅自离岗或不在岗，造成服务工作没有及时响应的，每次扣1分</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 xml:space="preserve"> </w:t>
                  </w:r>
                </w:p>
              </w:tc>
            </w:tr>
            <w:tr>
              <w:tc>
                <w:tcPr>
                  <w:tcW w:type="dxa" w:w="1120"/>
                  <w:vMerge/>
                </w:tcPr>
                <w:p/>
              </w:tc>
              <w:tc>
                <w:tcPr>
                  <w:tcW w:type="dxa" w:w="1120"/>
                </w:tcPr>
                <w:p>
                  <w:pPr>
                    <w:pStyle w:val="null3"/>
                    <w:jc w:val="left"/>
                  </w:pPr>
                  <w:r>
                    <w:rPr>
                      <w:rFonts w:ascii="仿宋_GB2312" w:hAnsi="仿宋_GB2312" w:cs="仿宋_GB2312" w:eastAsia="仿宋_GB2312"/>
                    </w:rPr>
                    <w:t>服务团队和人员在开展工作时需保持良好的态度，提供专业和耐心的技术支持服务。</w:t>
                  </w:r>
                </w:p>
              </w:tc>
              <w:tc>
                <w:tcPr>
                  <w:tcW w:type="dxa" w:w="1120"/>
                </w:tcPr>
                <w:p>
                  <w:pPr>
                    <w:pStyle w:val="null3"/>
                    <w:jc w:val="left"/>
                  </w:pPr>
                  <w:r>
                    <w:rPr>
                      <w:rFonts w:ascii="仿宋_GB2312" w:hAnsi="仿宋_GB2312" w:cs="仿宋_GB2312" w:eastAsia="仿宋_GB2312"/>
                    </w:rPr>
                    <w:t>受到投诉的，每次扣1 分</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二、其他要求： 项目实施过程中，一切由成交人自身原因造成的人身安全事故，均由成交人承担责任。</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验收交付标准：符合现行国家、地方及行业相关规定和投标（响应）文件的承诺、政府采购合同约定。 验收方法： 按照投标（响应）文件、政府采购合同约定的服务内容及要求进行验收。其余未尽事项严格按照《财政部关于进一步加强政府采购需求和履约验收管理的指导意见》 (财库〔2016〕205号)、及政府采购等相关法律法规的要求进行验收。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1、合同签订后，采购人收到供应商出具的发票.，达到付款条件起30日内，支付合同总金额的30.00%</w:t>
            </w:r>
          </w:p>
          <w:p>
            <w:pPr>
              <w:pStyle w:val="null3"/>
              <w:jc w:val="left"/>
            </w:pPr>
            <w:r>
              <w:rPr>
                <w:rFonts w:ascii="仿宋_GB2312" w:hAnsi="仿宋_GB2312" w:cs="仿宋_GB2312" w:eastAsia="仿宋_GB2312"/>
              </w:rPr>
              <w:t>2、服务期满6个月并经采购人考核合格后，按照采购人收到供应商出具的发票。其中管理考核总分100分，综合考评 90 分(含 90 分)以上为合格。低于 90 分的，其考核服务费相应扣减。 90 分(含 90 分)以上付应付服务费 100%，低于90 分的考核后应付服务费=考核得分*应付服务费/100。，达到付款条件起30日内，支付合同总金额的40.00%</w:t>
            </w:r>
          </w:p>
          <w:p>
            <w:pPr>
              <w:pStyle w:val="null3"/>
              <w:jc w:val="left"/>
            </w:pPr>
            <w:r>
              <w:rPr>
                <w:rFonts w:ascii="仿宋_GB2312" w:hAnsi="仿宋_GB2312" w:cs="仿宋_GB2312" w:eastAsia="仿宋_GB2312"/>
              </w:rPr>
              <w:t>3、服务期满经采购人考核合格后，采购人收到供应商出具的发票。其中管理考核总分100分，综合考评 90 分(含 90 分)以上为合格。低于 90 分的，其考核服务费相应扣减。 90 分(含 90 分)以上付应付服务费 100%，低于90 分的考核后应付服务费=考核得分*应付服务费/100。，达到付款条件起30日内，支付合同总金额的30.00%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1、甲乙双方必须遵守采购合同并执行合同中的各项规定，保证政府采购合同的正常履行。 2、如因乙方工作人员在履行职务过程中的疏忽、失职、过错等故意或者过失原因给甲方造成损失或侵害，包括但不限于采购人本身的财产损失、由此而导致的采购人对任何第三方的法律责任等，乙方对此均应承担全部的赔偿责任。 3、乙方应当遵守采购方的相关项目需求及相关技术要求及实质性条款，实施完成采购合同应当完全满足相关项目需求及相关技术要求及实质性条款，若供应商瑕疵履行采购合同，采购方有权向乙方要求赔偿合同总价款20%的违约金，若造成相关损失的，甲方有权要求乙方承担所有赔偿责任。 （2）争议解决办法： 1、因本合同及合同有关事项发生的争议，由甲乙双方友好协商解决。协商不成时，可以向有关组织申请调解。合同一方或双方不愿调解或调解不成的，由当事人依法向采购人所在地人民法院提起诉讼解决争议。 2、如甲乙双方有争议的事项不影响合同其他部分的履行，在争议解决期间，合同其他部分应当继续履行。 注：以最终签订的合同为准。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采购包1： 供应商对此约定要求可不作文字响应，但供应商参与本项目投标则视同供应商对以下要求已完全知晓、理解并同意接受或按相关规定提供相应证明材料：1、本文件引用技术规范或标准有误或已废止的，无论供应商如何响应均按现行有效、更新的技术规范或标准执行，成交/中标供应商与采购人在合同签订时予以纠正。2、供应商应对所提供材料、承诺或声明的真实性、合法性及有效性负责。除本项目采购文件已明确要求在投标/响应文件中提供证明材料外，在合同签订前，采购人将重点对中标/成交供应商提供的包括但不限于检验（测）报告、资质证书、强制节能产品认证证书、强制性产品认证证书（3C认证）、产品备案或生产许可材料等采取原件核查或法定第三方平台查询或发函核实等方式进行真实性、合法性及有效性核查。经核查发现不能提供或未查询到或应作无效的，将报同级财政部门处理，供应商自行承担不利后果和相关责任。3、供应商对技术参数中以“以上”、“以下”、“内”、“以内”、“不少于”、“≥”、“≤”等范围值形式表述的指标仍以范围值形式进行响应的，在合同签订时以供应商响应范围值本数作最低标准。同理，“不足”、“低于”、“超过”、“＜”、“＞”的则以优于但不含本数作最低标准。合同签订时，双方应按不低于上述要求确定准确值并作为验收的依据。4、本项目采购文件提供的“拟签订合同文本”中为通用版本，签订合同时对采购文件已有表述或要求的则按采购文件签订，采购文件没有约定的则由合同双方在公平公正且不违反相关法律法规前提下协商签订以及增加本项目必要的相关条款。 5、本项目为综合评分法： （1）技术、服务要求中未提出的其他要求在评分细则中列出，供应商应对应评分细则予以提供和响应，评委/评审小组将根据评分细则给予评分。 （2）供应商在资格要求中承诺了具有履行合同所必需的设备和专业技术能力以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供应商根据自身情况选择提供其中任意一项（本文件其他地方与此不一致的以此为准）： 1、提供（2024年或2025年）任一年度经审计的财务报告（包含审计报告和审计报告中所涉及的财务报表和报表附注）复印件。 2、提供（2024年或2025年）任一年度供应商财务报表（至少包括资产负债表、利润表、现金流量表）复印件。 3、提供截至投标文件提交截止日一年内银行出具的资信证明复印件。 4、提供具有担保资格的担保机构出具的投标担保函复印件。 5、供应商为个体工商户或自然人的，提供《投标（响应）函》完成承诺并进行电子签章。 6、供应商注册时间截至投标文件提交截止日不足一年的，也可提供营业执照副本或在工商部门备案的公司章程材料复印件。</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第三章技术、服务及其他要求的响应情况</w:t>
            </w:r>
          </w:p>
        </w:tc>
        <w:tc>
          <w:tcPr>
            <w:tcW w:type="dxa" w:w="3322"/>
          </w:tcPr>
          <w:p>
            <w:pPr>
              <w:pStyle w:val="null3"/>
              <w:jc w:val="left"/>
            </w:pPr>
            <w:r>
              <w:rPr>
                <w:rFonts w:ascii="仿宋_GB2312" w:hAnsi="仿宋_GB2312" w:cs="仿宋_GB2312" w:eastAsia="仿宋_GB2312"/>
              </w:rPr>
              <w:t>供应商需针对第三章技术、服务及其他要求（含：3.1中报价要求、3.2技术要求、3.3服务要求）进行逐项响应或按要求提供相关证明材料。对于“★”项（实质性要求)未响应或不满足的作不通过处理。</w:t>
            </w:r>
          </w:p>
        </w:tc>
        <w:tc>
          <w:tcPr>
            <w:tcW w:type="dxa" w:w="1661"/>
          </w:tcPr>
          <w:p>
            <w:pPr>
              <w:pStyle w:val="null3"/>
              <w:jc w:val="left"/>
            </w:pPr>
            <w:r>
              <w:rPr>
                <w:rFonts w:ascii="仿宋_GB2312" w:hAnsi="仿宋_GB2312" w:cs="仿宋_GB2312" w:eastAsia="仿宋_GB2312"/>
              </w:rPr>
              <w:t>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项目服务方案</w:t>
            </w:r>
          </w:p>
        </w:tc>
        <w:tc>
          <w:tcPr>
            <w:tcW w:type="dxa" w:w="2575"/>
          </w:tcPr>
          <w:p>
            <w:pPr>
              <w:pStyle w:val="null3"/>
              <w:jc w:val="left"/>
            </w:pPr>
            <w:r>
              <w:rPr>
                <w:rFonts w:ascii="仿宋_GB2312" w:hAnsi="仿宋_GB2312" w:cs="仿宋_GB2312" w:eastAsia="仿宋_GB2312"/>
              </w:rPr>
              <w:t>供应商应针对本项目提供的项目服务方案内容需包括①项目背景及市中区污染源现状分析；②项目管理目标；③项目实施重难点问题阐述及对应措施；④项目实施计划（含人员及车辆配置保障）；⑤针对工业企业、餐饮业等不同污染源巡查溯源检测监管方案；⑥工作岗位职责和管理制度； ⑦质量保障措施（应包含质量保障体系、质控措施、具备提供本地化服务能力保障优势及经验等）；⑧应急预案（应包含重污染天气应急预案、自然灾害应急预案、人为干扰或破坏应急预案）；⑨安全管理预案。以上内容完整、完全满足项目实际需求的得45分；每缺少一项扣5分；每有一项内容有缺陷的扣2.5分，扣完为止。 注：内容有缺陷是指：非专门针对本项目或不适用项目特性的情形，内容不完整或虽有内容但描述简单或缺少关键节点、套用其他项目方案、存在不适用项目实际情况、凭空编造、方案中内容前后不一致、涉及的规范及标准错误、地点区域错误、不利于项目实施、不可能实现的情形等任意一种情形。</w:t>
            </w:r>
          </w:p>
        </w:tc>
        <w:tc>
          <w:tcPr>
            <w:tcW w:type="dxa" w:w="831"/>
          </w:tcPr>
          <w:p>
            <w:pPr>
              <w:pStyle w:val="null3"/>
              <w:jc w:val="center"/>
            </w:pPr>
            <w:r>
              <w:rPr>
                <w:rFonts w:ascii="仿宋_GB2312" w:hAnsi="仿宋_GB2312" w:cs="仿宋_GB2312" w:eastAsia="仿宋_GB2312"/>
              </w:rPr>
              <w:t>45.0000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评审因素响应情况.docx</w:t>
            </w:r>
          </w:p>
        </w:tc>
      </w:tr>
      <w:tr>
        <w:tc>
          <w:tcPr>
            <w:tcW w:type="dxa" w:w="831"/>
            <w:vMerge/>
          </w:tcPr>
          <w:p/>
        </w:tc>
        <w:tc>
          <w:tcPr>
            <w:tcW w:type="dxa" w:w="1661"/>
          </w:tcPr>
          <w:p>
            <w:pPr>
              <w:pStyle w:val="null3"/>
              <w:jc w:val="left"/>
            </w:pPr>
            <w:r>
              <w:rPr>
                <w:rFonts w:ascii="仿宋_GB2312" w:hAnsi="仿宋_GB2312" w:cs="仿宋_GB2312" w:eastAsia="仿宋_GB2312"/>
              </w:rPr>
              <w:t>团队管理人员配置</w:t>
            </w:r>
          </w:p>
        </w:tc>
        <w:tc>
          <w:tcPr>
            <w:tcW w:type="dxa" w:w="2575"/>
          </w:tcPr>
          <w:p>
            <w:pPr>
              <w:pStyle w:val="null3"/>
              <w:jc w:val="left"/>
            </w:pPr>
            <w:r>
              <w:rPr>
                <w:rFonts w:ascii="仿宋_GB2312" w:hAnsi="仿宋_GB2312" w:cs="仿宋_GB2312" w:eastAsia="仿宋_GB2312"/>
              </w:rPr>
              <w:t>1、项目负责人（1名）：具有行政主管部门颁发的环境保护或环境管理或环境监测专业中级职称的得2分，具有行政主管部门颁发的环境保护或环境管理或环境监测专业高级职称的得3分，本项最多得3分； 2、技术负责人（1名）：具有行政主管部门颁发的环境保护或环境管理或环境监测专业中级职称的得2分，具有行政主管部门颁发的环境保护或环境管理或环境监测专业高级职称的得3分，本项最多得3分； 3、团队其他人员中有一人具有行政主管部门颁发的二级及以上注册计量师证书得3分。 注：上述人员不能重复计分，须提供有效的证书扫描件及本单位在职证明（仅限于提供社保证明或劳动合同）并加盖供应商公章，不提供不得分。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评审因素响应情况.docx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2023年1月1日至递交投标文件截止日，每具有1个类似项目业绩得3分，本项最多得9分。注：类似业绩是指与各级生态环境主管部门签订的涉及生态环境领域第三方运维监督或监管项目，提供合同扫描件（时间以合同签订时间为准）、业绩合同相应的发票证明（未完结项目提供已开具部分即可，发票编码须清晰无遮挡涂改）、项目对应的回款凭证（未完结项目提供已回款部分即可）。 2、供应商针对本项目配备含有非甲烷总烃、PM2.5、PM10、氮氧化物、二氧化硫等监测指标的1套便携式检测设备得4分（注：1、自有设备：提供购置发票扫描件；2、租赁设备：租赁合同扫描件）；具备实时监测数据、监测轨迹动态显示并自动统计功能得3分（提供平台功能展示截图证明或承诺函）；本项最多得7分。</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评审因素响应情况.docx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详见附件：评审因素响应情况.docx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