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版本号：N513221202600003620260422001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汶川县2026年山洪灾害防治非工程措施设施维修养护项目(二次)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N5132212026000036</w:t>
      </w:r>
    </w:p>
    <w:p>
      <w:pPr>
        <w:pStyle w:val="null3"/>
        <w:jc w:val="center"/>
        <w:outlineLvl w:val="2"/>
      </w:pPr>
      <w:r>
        <w:rPr>
          <w:rFonts w:ascii="仿宋_GB2312" w:hAnsi="仿宋_GB2312" w:cs="仿宋_GB2312" w:eastAsia="仿宋_GB2312"/>
          <w:sz w:val="28"/>
          <w:b/>
        </w:rPr>
        <w:t>汶川县水务局</w:t>
      </w:r>
    </w:p>
    <w:p>
      <w:pPr>
        <w:pStyle w:val="null3"/>
        <w:jc w:val="center"/>
        <w:outlineLvl w:val="2"/>
      </w:pPr>
      <w:r>
        <w:rPr>
          <w:rFonts w:ascii="仿宋_GB2312" w:hAnsi="仿宋_GB2312" w:cs="仿宋_GB2312" w:eastAsia="仿宋_GB2312"/>
          <w:sz w:val="28"/>
          <w:b/>
        </w:rPr>
        <w:t>四川顺成通达项目管理有限公司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四川顺成通达项目管理有限公司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汶川县水务局</w:t>
      </w:r>
      <w:r>
        <w:rPr>
          <w:rFonts w:ascii="仿宋_GB2312" w:hAnsi="仿宋_GB2312" w:cs="仿宋_GB2312" w:eastAsia="仿宋_GB2312"/>
        </w:rPr>
        <w:t xml:space="preserve"> 委托，拟对 </w:t>
      </w:r>
      <w:r>
        <w:rPr>
          <w:rFonts w:ascii="仿宋_GB2312" w:hAnsi="仿宋_GB2312" w:cs="仿宋_GB2312" w:eastAsia="仿宋_GB2312"/>
        </w:rPr>
        <w:t>汶川县2026年山洪灾害防治非工程措施设施维修养护项目(二次)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阿坝藏族羌族自治州汶川县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N5132212026000036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汶川县2026年山洪灾害防治非工程措施设施维修养护项目(二次)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汶川县2026年度山洪灾害防治非工程措施设施维修养护项目建设内容主要分两大类：一是技术人员提供驻场技术服务；二是山洪灾害防治非工程措施项目设施设备运行维护。</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汶川县水务局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威州镇树人大楼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623000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尚晓丽</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13795799333</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四川顺成通达项目管理有限公司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四川省成都市武侯区武兴五路555号1栋3层6号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陈实文</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19180657443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采购包1：332,900.00元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代理服务费收费标准：参照国家计委《关于印发招标代理服务收费管理暂行办法的通知》(计价格〔2002〕1980号)文件的相关规定收费标准收取。</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汶川县水务局</w:t>
      </w:r>
      <w:r>
        <w:rPr>
          <w:rFonts w:ascii="仿宋_GB2312" w:hAnsi="仿宋_GB2312" w:cs="仿宋_GB2312" w:eastAsia="仿宋_GB2312"/>
        </w:rPr>
        <w:t xml:space="preserve"> 和 </w:t>
      </w:r>
      <w:r>
        <w:rPr>
          <w:rFonts w:ascii="仿宋_GB2312" w:hAnsi="仿宋_GB2312" w:cs="仿宋_GB2312" w:eastAsia="仿宋_GB2312"/>
        </w:rPr>
        <w:t>四川顺成通达项目管理有限公司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汶川县水务局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四川顺成通达项目管理有限公司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根据《财政部关于进一步加强政府采购需求和履约验收管理的指导意见》（财库〔2016〕205号）以及《政府采购需求管理办法》（财库〔2021〕22号）的要求进行验收。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按照本项目采购文件中技术要求及成交人响应文件进行验收。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按照本项目采购文件中商务要求及成交人响应文件进行验收。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根据《财政部关于进一步加强政府采购需求和履约验收管理的指导意见》（财库〔2016〕205号）以及《政府采购需求管理办法》（财库〔2021〕22号）的要求进行验收。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根据《财政部关于进一步加强政府采购需求和履约验收管理的指导意见》（财库〔2016〕205号）以及《政府采购需求管理办法》（财库〔2021〕22号）的要求进行验收。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汶川县水务局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四川顺成通达项目管理有限公司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四川顺成通达项目管理有限公司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联系人：陈老师</w:t>
      </w:r>
    </w:p>
    <w:p>
      <w:pPr>
        <w:pStyle w:val="null3"/>
        <w:jc w:val="left"/>
      </w:pPr>
      <w:r>
        <w:rPr>
          <w:rFonts w:ascii="仿宋_GB2312" w:hAnsi="仿宋_GB2312" w:cs="仿宋_GB2312" w:eastAsia="仿宋_GB2312"/>
        </w:rPr>
        <w:t>联系电话：19180657443</w:t>
      </w:r>
    </w:p>
    <w:p>
      <w:pPr>
        <w:pStyle w:val="null3"/>
        <w:jc w:val="left"/>
      </w:pPr>
      <w:r>
        <w:rPr>
          <w:rFonts w:ascii="仿宋_GB2312" w:hAnsi="仿宋_GB2312" w:cs="仿宋_GB2312" w:eastAsia="仿宋_GB2312"/>
        </w:rPr>
        <w:t>地址：四川省成都市都江堰市新发北路1号</w:t>
      </w:r>
    </w:p>
    <w:p>
      <w:pPr>
        <w:pStyle w:val="null3"/>
        <w:jc w:val="left"/>
      </w:pPr>
      <w:r>
        <w:rPr>
          <w:rFonts w:ascii="仿宋_GB2312" w:hAnsi="仿宋_GB2312" w:cs="仿宋_GB2312" w:eastAsia="仿宋_GB2312"/>
        </w:rPr>
        <w:t>邮编：611830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332,900.00</w:t>
      </w:r>
    </w:p>
    <w:p>
      <w:pPr>
        <w:pStyle w:val="null3"/>
        <w:jc w:val="left"/>
      </w:pPr>
      <w:r>
        <w:rPr>
          <w:rFonts w:ascii="仿宋_GB2312" w:hAnsi="仿宋_GB2312" w:cs="仿宋_GB2312" w:eastAsia="仿宋_GB2312"/>
        </w:rPr>
        <w:t>采购包最高限价（元）: 332,900.00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C12010000 防洪管理服务</w:t>
            </w:r>
          </w:p>
        </w:tc>
        <w:tc>
          <w:tcPr>
            <w:tcW w:type="dxa" w:w="821"/>
          </w:tcPr>
          <w:p>
            <w:pPr>
              <w:pStyle w:val="null3"/>
              <w:jc w:val="left"/>
            </w:pPr>
            <w:r>
              <w:rPr>
                <w:rFonts w:ascii="仿宋_GB2312" w:hAnsi="仿宋_GB2312" w:cs="仿宋_GB2312" w:eastAsia="仿宋_GB2312"/>
              </w:rPr>
              <w:t>汶川县2026年山洪灾害防治非工程措施设施维修养护项目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332,900.00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汶川县2026年山洪灾害防治非工程措施设施维修养护项目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332,900.00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标的名称：汶川县2026年山洪灾害防治非工程措施设施维修养护项目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8"/>
              </w:rPr>
              <w:t>★一、运行维护服务清单</w:t>
            </w:r>
          </w:p>
          <w:p>
            <w:pPr>
              <w:pStyle w:val="null3"/>
              <w:ind w:firstLine="560"/>
              <w:jc w:val="left"/>
            </w:pPr>
            <w:r>
              <w:rPr>
                <w:rFonts w:ascii="仿宋_GB2312" w:hAnsi="仿宋_GB2312" w:cs="仿宋_GB2312" w:eastAsia="仿宋_GB2312"/>
                <w:sz w:val="28"/>
              </w:rPr>
              <w:t>（一）服务清单</w:t>
            </w:r>
          </w:p>
          <w:tbl>
            <w:tblPr>
              <w:tblBorders>
                <w:top w:val="none" w:color="000000" w:sz="4"/>
                <w:left w:val="none" w:color="000000" w:sz="4"/>
                <w:bottom w:val="none" w:color="000000" w:sz="4"/>
                <w:right w:val="none" w:color="000000" w:sz="4"/>
                <w:insideH w:val="none"/>
                <w:insideV w:val="none"/>
              </w:tblBorders>
            </w:tblPr>
            <w:tblGrid>
              <w:gridCol w:w="482"/>
              <w:gridCol w:w="902"/>
              <w:gridCol w:w="1183"/>
              <w:gridCol w:w="578"/>
              <w:gridCol w:w="780"/>
              <w:gridCol w:w="1673"/>
            </w:tblGrid>
            <w:tr>
              <w:tc>
                <w:tcPr>
                  <w:tcW w:type="dxa" w:w="4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序号</w:t>
                  </w:r>
                </w:p>
              </w:tc>
              <w:tc>
                <w:tcPr>
                  <w:tcW w:type="dxa" w:w="9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分类</w:t>
                  </w:r>
                </w:p>
              </w:tc>
              <w:tc>
                <w:tcPr>
                  <w:tcW w:type="dxa" w:w="11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服务类别</w:t>
                  </w:r>
                </w:p>
              </w:tc>
              <w:tc>
                <w:tcPr>
                  <w:tcW w:type="dxa" w:w="5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7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16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备注</w:t>
                  </w:r>
                </w:p>
              </w:tc>
            </w:tr>
            <w:tr>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9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运行维护</w:t>
                  </w:r>
                </w:p>
              </w:tc>
              <w:tc>
                <w:tcPr>
                  <w:tcW w:type="dxa" w:w="1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野外自动站</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处</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52</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汇交站点基础信息附后</w:t>
                  </w:r>
                </w:p>
              </w:tc>
            </w:tr>
            <w:tr>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902"/>
                  <w:vMerge/>
                  <w:tcBorders>
                    <w:top w:val="none" w:color="000000" w:sz="4"/>
                    <w:left w:val="none" w:color="000000" w:sz="4"/>
                    <w:bottom w:val="single" w:color="000000" w:sz="4"/>
                    <w:right w:val="single" w:color="000000" w:sz="4"/>
                  </w:tcBorders>
                </w:tcPr>
                <w:p/>
              </w:tc>
              <w:tc>
                <w:tcPr>
                  <w:tcW w:type="dxa" w:w="1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中心机房</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902"/>
                  <w:vMerge/>
                  <w:tcBorders>
                    <w:top w:val="none" w:color="000000" w:sz="4"/>
                    <w:left w:val="none" w:color="000000" w:sz="4"/>
                    <w:bottom w:val="single" w:color="000000" w:sz="4"/>
                    <w:right w:val="single" w:color="000000" w:sz="4"/>
                  </w:tcBorders>
                </w:tcPr>
                <w:p/>
              </w:tc>
              <w:tc>
                <w:tcPr>
                  <w:tcW w:type="dxa" w:w="1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防汛会商中心及视频会议系统</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902"/>
                  <w:vMerge/>
                  <w:tcBorders>
                    <w:top w:val="none" w:color="000000" w:sz="4"/>
                    <w:left w:val="none" w:color="000000" w:sz="4"/>
                    <w:bottom w:val="single" w:color="000000" w:sz="4"/>
                    <w:right w:val="single" w:color="000000" w:sz="4"/>
                  </w:tcBorders>
                </w:tcPr>
                <w:p/>
              </w:tc>
              <w:tc>
                <w:tcPr>
                  <w:tcW w:type="dxa" w:w="1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各镇会商系统运行维护</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902"/>
                  <w:vMerge/>
                  <w:tcBorders>
                    <w:top w:val="none" w:color="000000" w:sz="4"/>
                    <w:left w:val="none" w:color="000000" w:sz="4"/>
                    <w:bottom w:val="single" w:color="000000" w:sz="4"/>
                    <w:right w:val="single" w:color="000000" w:sz="4"/>
                  </w:tcBorders>
                </w:tcPr>
                <w:p/>
              </w:tc>
              <w:tc>
                <w:tcPr>
                  <w:tcW w:type="dxa" w:w="1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运维人员</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汛期期间内</w:t>
                  </w:r>
                  <w:r>
                    <w:rPr>
                      <w:rFonts w:ascii="仿宋_GB2312" w:hAnsi="仿宋_GB2312" w:cs="仿宋_GB2312" w:eastAsia="仿宋_GB2312"/>
                      <w:sz w:val="24"/>
                    </w:rPr>
                    <w:t>,驻水务局专业运维工程师2人（性别要求：男性，</w:t>
                  </w:r>
                  <w:r>
                    <w:rPr>
                      <w:rFonts w:ascii="仿宋_GB2312" w:hAnsi="仿宋_GB2312" w:cs="仿宋_GB2312" w:eastAsia="仿宋_GB2312"/>
                      <w:sz w:val="24"/>
                    </w:rPr>
                    <w:t>主</w:t>
                  </w:r>
                  <w:r>
                    <w:rPr>
                      <w:rFonts w:ascii="仿宋_GB2312" w:hAnsi="仿宋_GB2312" w:cs="仿宋_GB2312" w:eastAsia="仿宋_GB2312"/>
                      <w:sz w:val="24"/>
                    </w:rPr>
                    <w:t>汛期</w:t>
                  </w:r>
                  <w:r>
                    <w:rPr>
                      <w:rFonts w:ascii="仿宋_GB2312" w:hAnsi="仿宋_GB2312" w:cs="仿宋_GB2312" w:eastAsia="仿宋_GB2312"/>
                      <w:sz w:val="24"/>
                    </w:rPr>
                    <w:t>2人</w:t>
                  </w:r>
                  <w:r>
                    <w:rPr>
                      <w:rFonts w:ascii="仿宋_GB2312" w:hAnsi="仿宋_GB2312" w:cs="仿宋_GB2312" w:eastAsia="仿宋_GB2312"/>
                      <w:sz w:val="24"/>
                    </w:rPr>
                    <w:t>24小时驻场；汛期结束后至合同期满，1人驻场)，保障水务局各项信息系统平稳高效运行。</w:t>
                  </w:r>
                </w:p>
              </w:tc>
            </w:tr>
          </w:tbl>
          <w:p>
            <w:pPr>
              <w:pStyle w:val="null3"/>
              <w:ind w:firstLine="560"/>
              <w:jc w:val="left"/>
            </w:pPr>
            <w:r>
              <w:rPr>
                <w:rFonts w:ascii="仿宋_GB2312" w:hAnsi="仿宋_GB2312" w:cs="仿宋_GB2312" w:eastAsia="仿宋_GB2312"/>
                <w:sz w:val="28"/>
              </w:rPr>
              <w:t>1.</w:t>
            </w:r>
            <w:r>
              <w:rPr>
                <w:rFonts w:ascii="仿宋_GB2312" w:hAnsi="仿宋_GB2312" w:cs="仿宋_GB2312" w:eastAsia="仿宋_GB2312"/>
                <w:sz w:val="28"/>
              </w:rPr>
              <w:t>野外监测站点的组成</w:t>
            </w:r>
          </w:p>
          <w:p>
            <w:pPr>
              <w:pStyle w:val="null3"/>
              <w:ind w:firstLine="560"/>
              <w:jc w:val="left"/>
            </w:pPr>
            <w:r>
              <w:rPr>
                <w:rFonts w:ascii="仿宋_GB2312" w:hAnsi="仿宋_GB2312" w:cs="仿宋_GB2312" w:eastAsia="仿宋_GB2312"/>
                <w:sz w:val="28"/>
              </w:rPr>
              <w:t>本</w:t>
            </w:r>
            <w:r>
              <w:rPr>
                <w:rFonts w:ascii="仿宋_GB2312" w:hAnsi="仿宋_GB2312" w:cs="仿宋_GB2312" w:eastAsia="仿宋_GB2312"/>
                <w:sz w:val="28"/>
              </w:rPr>
              <w:t>项目设施设备</w:t>
            </w:r>
            <w:r>
              <w:rPr>
                <w:rFonts w:ascii="仿宋_GB2312" w:hAnsi="仿宋_GB2312" w:cs="仿宋_GB2312" w:eastAsia="仿宋_GB2312"/>
                <w:sz w:val="28"/>
              </w:rPr>
              <w:t>野外监测站点</w:t>
            </w:r>
            <w:r>
              <w:rPr>
                <w:rFonts w:ascii="仿宋_GB2312" w:hAnsi="仿宋_GB2312" w:cs="仿宋_GB2312" w:eastAsia="仿宋_GB2312"/>
                <w:sz w:val="28"/>
              </w:rPr>
              <w:t>运行</w:t>
            </w:r>
            <w:r>
              <w:rPr>
                <w:rFonts w:ascii="仿宋_GB2312" w:hAnsi="仿宋_GB2312" w:cs="仿宋_GB2312" w:eastAsia="仿宋_GB2312"/>
                <w:sz w:val="28"/>
              </w:rPr>
              <w:t>维护</w:t>
            </w:r>
            <w:r>
              <w:rPr>
                <w:rFonts w:ascii="仿宋_GB2312" w:hAnsi="仿宋_GB2312" w:cs="仿宋_GB2312" w:eastAsia="仿宋_GB2312"/>
                <w:sz w:val="28"/>
              </w:rPr>
              <w:t>主要包含</w:t>
            </w:r>
            <w:r>
              <w:rPr>
                <w:rFonts w:ascii="仿宋_GB2312" w:hAnsi="仿宋_GB2312" w:cs="仿宋_GB2312" w:eastAsia="仿宋_GB2312"/>
                <w:sz w:val="28"/>
              </w:rPr>
              <w:t>:</w:t>
            </w:r>
            <w:r>
              <w:rPr>
                <w:rFonts w:ascii="仿宋_GB2312" w:hAnsi="仿宋_GB2312" w:cs="仿宋_GB2312" w:eastAsia="仿宋_GB2312"/>
                <w:sz w:val="28"/>
              </w:rPr>
              <w:t>自动雨量站</w:t>
            </w:r>
            <w:r>
              <w:rPr>
                <w:rFonts w:ascii="仿宋_GB2312" w:hAnsi="仿宋_GB2312" w:cs="仿宋_GB2312" w:eastAsia="仿宋_GB2312"/>
                <w:sz w:val="28"/>
              </w:rPr>
              <w:t>36处</w:t>
            </w:r>
            <w:r>
              <w:rPr>
                <w:rFonts w:ascii="仿宋_GB2312" w:hAnsi="仿宋_GB2312" w:cs="仿宋_GB2312" w:eastAsia="仿宋_GB2312"/>
                <w:sz w:val="28"/>
              </w:rPr>
              <w:t>、自动水位</w:t>
            </w:r>
            <w:r>
              <w:rPr>
                <w:rFonts w:ascii="仿宋_GB2312" w:hAnsi="仿宋_GB2312" w:cs="仿宋_GB2312" w:eastAsia="仿宋_GB2312"/>
                <w:sz w:val="28"/>
              </w:rPr>
              <w:t>1处</w:t>
            </w:r>
            <w:r>
              <w:rPr>
                <w:rFonts w:ascii="仿宋_GB2312" w:hAnsi="仿宋_GB2312" w:cs="仿宋_GB2312" w:eastAsia="仿宋_GB2312"/>
                <w:sz w:val="28"/>
              </w:rPr>
              <w:t>、</w:t>
            </w:r>
            <w:r>
              <w:rPr>
                <w:rFonts w:ascii="仿宋_GB2312" w:hAnsi="仿宋_GB2312" w:cs="仿宋_GB2312" w:eastAsia="仿宋_GB2312"/>
                <w:sz w:val="28"/>
              </w:rPr>
              <w:t>视频</w:t>
            </w:r>
            <w:r>
              <w:rPr>
                <w:rFonts w:ascii="仿宋_GB2312" w:hAnsi="仿宋_GB2312" w:cs="仿宋_GB2312" w:eastAsia="仿宋_GB2312"/>
                <w:sz w:val="28"/>
              </w:rPr>
              <w:t>站</w:t>
            </w:r>
            <w:r>
              <w:rPr>
                <w:rFonts w:ascii="仿宋_GB2312" w:hAnsi="仿宋_GB2312" w:cs="仿宋_GB2312" w:eastAsia="仿宋_GB2312"/>
                <w:sz w:val="28"/>
              </w:rPr>
              <w:t>1处</w:t>
            </w:r>
            <w:r>
              <w:rPr>
                <w:rFonts w:ascii="仿宋_GB2312" w:hAnsi="仿宋_GB2312" w:cs="仿宋_GB2312" w:eastAsia="仿宋_GB2312"/>
                <w:sz w:val="28"/>
              </w:rPr>
              <w:t>、自动</w:t>
            </w:r>
            <w:r>
              <w:rPr>
                <w:rFonts w:ascii="仿宋_GB2312" w:hAnsi="仿宋_GB2312" w:cs="仿宋_GB2312" w:eastAsia="仿宋_GB2312"/>
                <w:sz w:val="28"/>
              </w:rPr>
              <w:t>水位雨量</w:t>
            </w:r>
            <w:r>
              <w:rPr>
                <w:rFonts w:ascii="仿宋_GB2312" w:hAnsi="仿宋_GB2312" w:cs="仿宋_GB2312" w:eastAsia="仿宋_GB2312"/>
                <w:sz w:val="28"/>
              </w:rPr>
              <w:t>站</w:t>
            </w:r>
            <w:r>
              <w:rPr>
                <w:rFonts w:ascii="仿宋_GB2312" w:hAnsi="仿宋_GB2312" w:cs="仿宋_GB2312" w:eastAsia="仿宋_GB2312"/>
                <w:sz w:val="28"/>
              </w:rPr>
              <w:t>14处</w:t>
            </w:r>
            <w:r>
              <w:rPr>
                <w:rFonts w:ascii="仿宋_GB2312" w:hAnsi="仿宋_GB2312" w:cs="仿宋_GB2312" w:eastAsia="仿宋_GB2312"/>
                <w:sz w:val="28"/>
              </w:rPr>
              <w:t>。</w:t>
            </w:r>
            <w:r>
              <w:rPr>
                <w:rFonts w:ascii="仿宋_GB2312" w:hAnsi="仿宋_GB2312" w:cs="仿宋_GB2312" w:eastAsia="仿宋_GB2312"/>
                <w:sz w:val="28"/>
              </w:rPr>
              <w:t>具体明细如下：</w:t>
            </w:r>
          </w:p>
          <w:tbl>
            <w:tblPr>
              <w:tblBorders>
                <w:top w:val="none" w:color="000000" w:sz="4"/>
                <w:left w:val="none" w:color="000000" w:sz="4"/>
                <w:bottom w:val="none" w:color="000000" w:sz="4"/>
                <w:right w:val="none" w:color="000000" w:sz="4"/>
                <w:insideH w:val="none"/>
                <w:insideV w:val="none"/>
              </w:tblBorders>
            </w:tblPr>
            <w:tblGrid>
              <w:gridCol w:w="344"/>
              <w:gridCol w:w="550"/>
              <w:gridCol w:w="611"/>
              <w:gridCol w:w="697"/>
              <w:gridCol w:w="877"/>
              <w:gridCol w:w="800"/>
              <w:gridCol w:w="1195"/>
              <w:gridCol w:w="525"/>
            </w:tblGrid>
            <w:tr>
              <w:tc>
                <w:tcPr>
                  <w:tcW w:type="dxa" w:w="5599"/>
                  <w:gridSpan w:val="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自动雨量站</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序号</w:t>
                  </w:r>
                </w:p>
              </w:tc>
              <w:tc>
                <w:tcPr>
                  <w:tcW w:type="dxa" w:w="5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县</w:t>
                  </w:r>
                  <w:r>
                    <w:rPr>
                      <w:rFonts w:ascii="仿宋_GB2312" w:hAnsi="仿宋_GB2312" w:cs="仿宋_GB2312" w:eastAsia="仿宋_GB2312"/>
                      <w:sz w:val="24"/>
                    </w:rPr>
                    <w:t>(区)</w:t>
                  </w:r>
                </w:p>
              </w:tc>
              <w:tc>
                <w:tcPr>
                  <w:tcW w:type="dxa" w:w="6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站名</w:t>
                  </w:r>
                </w:p>
              </w:tc>
              <w:tc>
                <w:tcPr>
                  <w:tcW w:type="dxa" w:w="6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站码</w:t>
                  </w:r>
                </w:p>
              </w:tc>
              <w:tc>
                <w:tcPr>
                  <w:tcW w:type="dxa" w:w="8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东经</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北纬</w:t>
                  </w:r>
                </w:p>
              </w:tc>
              <w:tc>
                <w:tcPr>
                  <w:tcW w:type="dxa" w:w="11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站址</w:t>
                  </w:r>
                </w:p>
              </w:tc>
              <w:tc>
                <w:tcPr>
                  <w:tcW w:type="dxa" w:w="5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类型</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汶川县</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阿尔沟</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6062UA21</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103.517382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31.685190</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四川省汶川县灞州镇阿尔无人区</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雨量</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汶川县</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布兰村</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6062UA03</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103.534904</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31.555140</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四川省汶川县灞州镇布兰村村委会</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雨量</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汶川县</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登溪沟</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6062UA35</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103.501276</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31.438264</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四川省汶川县绵虒镇登溪沟</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雨量</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4</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汶川县</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龙溪河</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6062UA11</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103.585509</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31.613110</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四川省汶川县灞州镇阿尔村村委会</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雨量</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5</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汶川县</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麦地村</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6062UA02</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103.622088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31.471319</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四川省汶川县威州镇麦通村村委会</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雨量</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汶川县</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七盘沟</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6062UA23</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103.579737</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31.431243</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四川省汶川县威州镇七盘沟村</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雨量</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7</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汶川县</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双河村</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6062UA01</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103.586777</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31.485403</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四川省汶川县威州镇双河村村委会</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雨量</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8</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汶川县</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小茅坪</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6062UA05</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103.529730</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31.406275</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四川省汶川县绵虒镇小茅坪村</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雨量</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9</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汶川县</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雁门沟</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6062UA22</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103.639545</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31.459922</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四川省汶川县雁门乡麦地沟无人区</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雨量</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汶川县</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上西河</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6062UA32</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103.278351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30.881450</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四川省汶川县三江镇席上西河无人区</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雨量</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汶川县</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西河</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6062UA31</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103.283514</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30.890415</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四川省汶川县三江镇西河上游</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雨量</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12</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汶川县</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龙潭沟</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6062UA27</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103.29911994</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31.12373165</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四川省汶川县耿达镇龙潭沟无人区</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雨量</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13</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汶川县</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梯子沟</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6062UA30</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103.00713295</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30.88109581</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四川省汶川县卧龙镇梯子沟</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雨量</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14</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汶川县</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幸福沟</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6062UA28</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103.32432578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31.11835009</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四川省汶川县耿达镇幸福沟无人区</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雨量</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15</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汶川县</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银厂沟</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6062UA29</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103.10938576</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30.97652418</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四川省汶川县卧龙镇银厂沟上游</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雨量</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16</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汶川县</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映秀渔子溪</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6061UA01</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103.48773078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31.06949386</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四川省汶川县映秀镇渔子溪电站下游</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水位雨量</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17</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汶川县</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张家坪村</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6062UA07</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103.27835162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30.88145046</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四川省汶川县映秀镇张家坪村村委会</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雨量</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18</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汶川县</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八角庙</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6062UA18</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103.41850798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30.98612521</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四川省汶川县漩口镇八角庙村</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雨量</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19</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汶川县</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金波无人区</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6062UA26</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103.38099201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31.24952355</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四川省汶川县草坡金波河无人区</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雨量</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20</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汶川县</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龙竹沟</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6062UA34</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103.33061796</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30.83961</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四川省汶川县龙竹沟上游</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雨量</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汶川县</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茅坪子</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6062UA08</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103.42313515</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30.93248979</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四川省汶川县绵虒镇茅坪子村委会</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雨量</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22</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汶川县</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牛塘沟</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6062UA20</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103.40648628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30.95352479</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四川省汶川县水磨镇牛塘沟村委会</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雨量</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23</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汶川县</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沙排</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6062UA25</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103.36938946</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31.31691424</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四川省汶川县沙排村</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雨量</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24</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汶川县</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桃关村</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6062UA06</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103.48686634</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31.25149124</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四川省汶川县映秀镇桃关村村委会</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雨量</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25</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汶川县</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小麻溪</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6062UA19</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103.44316257</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30.99555542</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四川省漩口镇</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雨量</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26</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汶川县</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草坪村</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6062UA33</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103.32924</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31.02171</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四川省三江镇草坪村无人区</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雨量</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27</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汶川县</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长河坝</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6062UA24</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103.37741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31.34367</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四川省汶川县草坡沟沙排电站出水口</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雨量</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28</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汶川县</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水磨垃圾厂</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6062UA55</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103.411966</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30.900878</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汶川县水磨镇高峰村垃圾处理厂</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雨量</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29</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汶川县</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绵虒垃圾厂</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6062UA54</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103.527767</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31.394718</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汶川县绵虒镇半坡村垃圾处理厂</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雨量</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30</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汶川县</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茶园沟</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6062UA50</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103.518546</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31.522398</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汶川县灞州镇下庄村茶园沟</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雨量</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汶川县</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新桥沟</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6062UA52</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103.519709</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31.471356</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汶川县威州镇新桥村新桥沟</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雨量</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32</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汶川县</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足木沟</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6062UA49</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103.198754</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31.044086</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汶川县卧龙镇卧龙关村足木沟</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雨量</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33</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汶川县</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小麻溪沟</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6062UA19</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103.443232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30.995568</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汶川县渡口镇政府住宅楼顶</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雨量</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34</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汶川县</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卧龙关沟</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6062UA48</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103.143019</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31.003438</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汶川县卧龙镇卧龙关村卧龙关沟</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雨量</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35</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汶川县</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簇头沟</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6062UA51</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103.468682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31.350714</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汶川县绵虒镇羌峰村簇头沟</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雨量</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36</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汶川县</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板子沟村</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6062UA16</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103.496194</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31.438560</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绵虒镇板子沟村向前村麻地</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雨量</w:t>
                  </w:r>
                </w:p>
              </w:tc>
            </w:tr>
          </w:tbl>
          <w:p>
            <w:pPr>
              <w:pStyle w:val="null3"/>
              <w:jc w:val="center"/>
            </w:pPr>
            <w:r>
              <w:rPr>
                <w:rFonts w:ascii="仿宋_GB2312" w:hAnsi="仿宋_GB2312" w:cs="仿宋_GB2312" w:eastAsia="仿宋_GB2312"/>
                <w:sz w:val="28"/>
              </w:rPr>
              <w:t>自动水位雨量站</w:t>
            </w:r>
          </w:p>
          <w:tbl>
            <w:tblPr>
              <w:tblBorders>
                <w:top w:val="none" w:color="000000" w:sz="4"/>
                <w:left w:val="none" w:color="000000" w:sz="4"/>
                <w:bottom w:val="none" w:color="000000" w:sz="4"/>
                <w:right w:val="none" w:color="000000" w:sz="4"/>
                <w:insideH w:val="none"/>
                <w:insideV w:val="none"/>
              </w:tblBorders>
            </w:tblPr>
            <w:tblGrid>
              <w:gridCol w:w="317"/>
              <w:gridCol w:w="550"/>
              <w:gridCol w:w="650"/>
              <w:gridCol w:w="709"/>
              <w:gridCol w:w="859"/>
              <w:gridCol w:w="800"/>
              <w:gridCol w:w="976"/>
              <w:gridCol w:w="692"/>
            </w:tblGrid>
            <w:tr>
              <w:tc>
                <w:tcPr>
                  <w:tcW w:type="dxa" w:w="3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序号</w:t>
                  </w:r>
                </w:p>
              </w:tc>
              <w:tc>
                <w:tcPr>
                  <w:tcW w:type="dxa" w:w="5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县</w:t>
                  </w:r>
                  <w:r>
                    <w:rPr>
                      <w:rFonts w:ascii="仿宋_GB2312" w:hAnsi="仿宋_GB2312" w:cs="仿宋_GB2312" w:eastAsia="仿宋_GB2312"/>
                      <w:sz w:val="24"/>
                    </w:rPr>
                    <w:t>(区)</w:t>
                  </w:r>
                </w:p>
              </w:tc>
              <w:tc>
                <w:tcPr>
                  <w:tcW w:type="dxa" w:w="6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站名</w:t>
                  </w:r>
                </w:p>
              </w:tc>
              <w:tc>
                <w:tcPr>
                  <w:tcW w:type="dxa" w:w="7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站码</w:t>
                  </w:r>
                </w:p>
              </w:tc>
              <w:tc>
                <w:tcPr>
                  <w:tcW w:type="dxa" w:w="8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东经</w:t>
                  </w:r>
                </w:p>
              </w:tc>
              <w:tc>
                <w:tcPr>
                  <w:tcW w:type="dxa" w:w="8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北纬</w:t>
                  </w:r>
                </w:p>
              </w:tc>
              <w:tc>
                <w:tcPr>
                  <w:tcW w:type="dxa" w:w="9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站址</w:t>
                  </w:r>
                </w:p>
              </w:tc>
              <w:tc>
                <w:tcPr>
                  <w:tcW w:type="dxa" w:w="6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类型</w:t>
                  </w:r>
                </w:p>
              </w:tc>
            </w:tr>
            <w:tr>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汶川县</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席草村</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6061UA09</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103.294952</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30.898917</w:t>
                  </w:r>
                </w:p>
              </w:tc>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四川省汶川县三江镇席草村</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水位雨量</w:t>
                  </w:r>
                </w:p>
              </w:tc>
            </w:tr>
            <w:tr>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w:t>
                  </w: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汶川县</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中河</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6061UA10</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103.296352</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30.948387</w:t>
                  </w:r>
                </w:p>
              </w:tc>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四川省汶川县三江镇中河无人村</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水位雨量</w:t>
                  </w:r>
                </w:p>
              </w:tc>
            </w:tr>
            <w:tr>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w:t>
                  </w: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汶川县</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卧龙关村</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6061UA03</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103.14629146</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31.00066748</w:t>
                  </w:r>
                </w:p>
              </w:tc>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四川省卧龙镇卧龙关村</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水位雨量</w:t>
                  </w:r>
                </w:p>
              </w:tc>
            </w:tr>
            <w:tr>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4</w:t>
                  </w: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汶川县</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正河大桥</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6061UA02</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103.24748649</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31.12014903</w:t>
                  </w:r>
                </w:p>
              </w:tc>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四川省汶川县耿达镇正河板棚子</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水位雨量</w:t>
                  </w:r>
                </w:p>
              </w:tc>
            </w:tr>
            <w:tr>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5</w:t>
                  </w: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汶川县</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金波克充村</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6061UA04</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103.42611947</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31.30501255</w:t>
                  </w:r>
                </w:p>
              </w:tc>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四川省汶川县草坡克充村</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水位雨量</w:t>
                  </w:r>
                </w:p>
              </w:tc>
            </w:tr>
            <w:tr>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w:t>
                  </w: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汶川县</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桃关水位站</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6061UA07</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103.52441276</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31.27419297</w:t>
                  </w:r>
                </w:p>
              </w:tc>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四川省汶川县映秀镇桃关沟沟口</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水位雨量</w:t>
                  </w:r>
                </w:p>
              </w:tc>
            </w:tr>
            <w:tr>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7</w:t>
                  </w: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汶川县</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金波村</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6061UA12</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103.387117</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31.204362</w:t>
                  </w:r>
                </w:p>
              </w:tc>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绵虒镇金波村金波村谭家地</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水位雨量</w:t>
                  </w:r>
                </w:p>
              </w:tc>
            </w:tr>
            <w:tr>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8</w:t>
                  </w: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汶川县</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红旗村</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6061UA13</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103.398548</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31.327238</w:t>
                  </w:r>
                </w:p>
              </w:tc>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绵虒镇沙排村红旗村黄泥巴坪</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水位雨量</w:t>
                  </w:r>
                </w:p>
              </w:tc>
            </w:tr>
            <w:tr>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9</w:t>
                  </w: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汶川县</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羌丰村</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6061UA14</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103.466508</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31.350904</w:t>
                  </w:r>
                </w:p>
              </w:tc>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绵虒镇羌丰村羌锋村杨柳坪</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水位雨量</w:t>
                  </w:r>
                </w:p>
              </w:tc>
            </w:tr>
            <w:tr>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w:t>
                  </w: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汶川县</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三观庙村</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6061UA15</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103.495521</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31.391744</w:t>
                  </w:r>
                </w:p>
              </w:tc>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绵虒镇三观庙村涂禹山村沙地</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水位雨量</w:t>
                  </w:r>
                </w:p>
              </w:tc>
            </w:tr>
            <w:tr>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11</w:t>
                  </w: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汶川县</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麦通村</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6061UA17</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103.654296</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31.439845</w:t>
                  </w:r>
                </w:p>
              </w:tc>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威州镇麦通村五指山电站</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水位雨量</w:t>
                  </w:r>
                </w:p>
              </w:tc>
            </w:tr>
            <w:tr>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12</w:t>
                  </w: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汶川县</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席草村</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6061UA18</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103.286437</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30.894298</w:t>
                  </w:r>
                </w:p>
              </w:tc>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三江镇席草村张家河坝</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水位雨量</w:t>
                  </w:r>
                </w:p>
              </w:tc>
            </w:tr>
            <w:tr>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13</w:t>
                  </w: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汶川县</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草坪村</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6061UA19</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103.292033</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30.948255</w:t>
                  </w:r>
                </w:p>
              </w:tc>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三江镇草坪村头道桥</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水位雨量</w:t>
                  </w:r>
                </w:p>
              </w:tc>
            </w:tr>
            <w:tr>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14</w:t>
                  </w: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汶川县</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七盘沟口</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6061UA11</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103.567279</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31.441013</w:t>
                  </w:r>
                </w:p>
              </w:tc>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四川省汶川县威州镇七盘沟村</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水位雨量</w:t>
                  </w:r>
                </w:p>
              </w:tc>
            </w:tr>
          </w:tbl>
          <w:p>
            <w:pPr>
              <w:pStyle w:val="null3"/>
              <w:jc w:val="left"/>
            </w:pPr>
            <w:r>
              <w:rPr>
                <w:rFonts w:ascii="仿宋_GB2312" w:hAnsi="仿宋_GB2312" w:cs="仿宋_GB2312" w:eastAsia="仿宋_GB2312"/>
                <w:sz w:val="28"/>
              </w:rPr>
              <w:t>自动水位站</w:t>
            </w:r>
          </w:p>
          <w:tbl>
            <w:tblPr>
              <w:tblBorders>
                <w:top w:val="none" w:color="000000" w:sz="4"/>
                <w:left w:val="none" w:color="000000" w:sz="4"/>
                <w:bottom w:val="none" w:color="000000" w:sz="4"/>
                <w:right w:val="none" w:color="000000" w:sz="4"/>
                <w:insideH w:val="none"/>
                <w:insideV w:val="none"/>
              </w:tblBorders>
            </w:tblPr>
            <w:tblGrid>
              <w:gridCol w:w="338"/>
              <w:gridCol w:w="549"/>
              <w:gridCol w:w="591"/>
              <w:gridCol w:w="811"/>
              <w:gridCol w:w="854"/>
              <w:gridCol w:w="794"/>
              <w:gridCol w:w="964"/>
              <w:gridCol w:w="668"/>
            </w:tblGrid>
            <w:tr>
              <w:tc>
                <w:tcPr>
                  <w:tcW w:type="dxa" w:w="3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序号</w:t>
                  </w:r>
                </w:p>
              </w:tc>
              <w:tc>
                <w:tcPr>
                  <w:tcW w:type="dxa" w:w="5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县</w:t>
                  </w:r>
                  <w:r>
                    <w:rPr>
                      <w:rFonts w:ascii="仿宋_GB2312" w:hAnsi="仿宋_GB2312" w:cs="仿宋_GB2312" w:eastAsia="仿宋_GB2312"/>
                      <w:sz w:val="24"/>
                    </w:rPr>
                    <w:t>(区)</w:t>
                  </w:r>
                </w:p>
              </w:tc>
              <w:tc>
                <w:tcPr>
                  <w:tcW w:type="dxa" w:w="5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站名</w:t>
                  </w:r>
                </w:p>
              </w:tc>
              <w:tc>
                <w:tcPr>
                  <w:tcW w:type="dxa" w:w="8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站码</w:t>
                  </w:r>
                </w:p>
              </w:tc>
              <w:tc>
                <w:tcPr>
                  <w:tcW w:type="dxa" w:w="8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东经</w:t>
                  </w:r>
                </w:p>
              </w:tc>
              <w:tc>
                <w:tcPr>
                  <w:tcW w:type="dxa" w:w="7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北纬</w:t>
                  </w:r>
                </w:p>
              </w:tc>
              <w:tc>
                <w:tcPr>
                  <w:tcW w:type="dxa" w:w="9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站址</w:t>
                  </w:r>
                </w:p>
              </w:tc>
              <w:tc>
                <w:tcPr>
                  <w:tcW w:type="dxa" w:w="6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类型</w:t>
                  </w: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汶川县</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渔子溪</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6061UA05</w:t>
                  </w:r>
                </w:p>
              </w:tc>
              <w:tc>
                <w:tcPr>
                  <w:tcW w:type="dxa" w:w="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103.48406394</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31.06360741</w:t>
                  </w:r>
                </w:p>
              </w:tc>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四川省汶川县映秀镇景区停车场旁</w:t>
                  </w:r>
                </w:p>
              </w:tc>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水位</w:t>
                  </w:r>
                </w:p>
              </w:tc>
            </w:tr>
          </w:tbl>
          <w:p>
            <w:pPr>
              <w:pStyle w:val="null3"/>
              <w:jc w:val="center"/>
            </w:pPr>
            <w:r>
              <w:rPr>
                <w:rFonts w:ascii="仿宋_GB2312" w:hAnsi="仿宋_GB2312" w:cs="仿宋_GB2312" w:eastAsia="仿宋_GB2312"/>
                <w:sz w:val="28"/>
              </w:rPr>
              <w:t>视频站</w:t>
            </w:r>
          </w:p>
          <w:tbl>
            <w:tblPr>
              <w:tblBorders>
                <w:top w:val="none" w:color="000000" w:sz="4"/>
                <w:left w:val="none" w:color="000000" w:sz="4"/>
                <w:bottom w:val="none" w:color="000000" w:sz="4"/>
                <w:right w:val="none" w:color="000000" w:sz="4"/>
                <w:insideH w:val="none"/>
                <w:insideV w:val="none"/>
              </w:tblBorders>
            </w:tblPr>
            <w:tblGrid>
              <w:gridCol w:w="338"/>
              <w:gridCol w:w="549"/>
              <w:gridCol w:w="591"/>
              <w:gridCol w:w="811"/>
              <w:gridCol w:w="854"/>
              <w:gridCol w:w="794"/>
              <w:gridCol w:w="964"/>
              <w:gridCol w:w="668"/>
            </w:tblGrid>
            <w:tr>
              <w:tc>
                <w:tcPr>
                  <w:tcW w:type="dxa" w:w="3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序号</w:t>
                  </w:r>
                </w:p>
              </w:tc>
              <w:tc>
                <w:tcPr>
                  <w:tcW w:type="dxa" w:w="5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县</w:t>
                  </w:r>
                  <w:r>
                    <w:rPr>
                      <w:rFonts w:ascii="仿宋_GB2312" w:hAnsi="仿宋_GB2312" w:cs="仿宋_GB2312" w:eastAsia="仿宋_GB2312"/>
                      <w:sz w:val="24"/>
                    </w:rPr>
                    <w:t>(区)</w:t>
                  </w:r>
                </w:p>
              </w:tc>
              <w:tc>
                <w:tcPr>
                  <w:tcW w:type="dxa" w:w="5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站名</w:t>
                  </w:r>
                </w:p>
              </w:tc>
              <w:tc>
                <w:tcPr>
                  <w:tcW w:type="dxa" w:w="8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站码</w:t>
                  </w:r>
                </w:p>
              </w:tc>
              <w:tc>
                <w:tcPr>
                  <w:tcW w:type="dxa" w:w="8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东经</w:t>
                  </w:r>
                </w:p>
              </w:tc>
              <w:tc>
                <w:tcPr>
                  <w:tcW w:type="dxa" w:w="7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北纬</w:t>
                  </w:r>
                </w:p>
              </w:tc>
              <w:tc>
                <w:tcPr>
                  <w:tcW w:type="dxa" w:w="9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站址</w:t>
                  </w:r>
                </w:p>
              </w:tc>
              <w:tc>
                <w:tcPr>
                  <w:tcW w:type="dxa" w:w="6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类型</w:t>
                  </w: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汶川县</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渔子溪</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103.48406394</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31.06360741</w:t>
                  </w:r>
                </w:p>
              </w:tc>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四川省汶川县映秀镇</w:t>
                  </w:r>
                  <w:r>
                    <w:rPr>
                      <w:rFonts w:ascii="仿宋_GB2312" w:hAnsi="仿宋_GB2312" w:cs="仿宋_GB2312" w:eastAsia="仿宋_GB2312"/>
                      <w:sz w:val="24"/>
                    </w:rPr>
                    <w:t>四川省汶川县南华隧耿达方向出口</w:t>
                  </w:r>
                </w:p>
              </w:tc>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视频</w:t>
                  </w:r>
                </w:p>
              </w:tc>
            </w:tr>
          </w:tbl>
          <w:p>
            <w:pPr>
              <w:pStyle w:val="null3"/>
              <w:ind w:firstLine="560"/>
              <w:jc w:val="left"/>
            </w:pPr>
            <w:r>
              <w:rPr>
                <w:rFonts w:ascii="仿宋_GB2312" w:hAnsi="仿宋_GB2312" w:cs="仿宋_GB2312" w:eastAsia="仿宋_GB2312"/>
                <w:sz w:val="28"/>
              </w:rPr>
              <w:t>2.</w:t>
            </w:r>
            <w:r>
              <w:rPr>
                <w:rFonts w:ascii="仿宋_GB2312" w:hAnsi="仿宋_GB2312" w:cs="仿宋_GB2312" w:eastAsia="仿宋_GB2312"/>
                <w:sz w:val="28"/>
              </w:rPr>
              <w:t>通讯网络保障</w:t>
            </w:r>
          </w:p>
          <w:p>
            <w:pPr>
              <w:pStyle w:val="null3"/>
              <w:ind w:firstLine="560"/>
              <w:jc w:val="left"/>
            </w:pPr>
            <w:r>
              <w:rPr>
                <w:rFonts w:ascii="仿宋_GB2312" w:hAnsi="仿宋_GB2312" w:cs="仿宋_GB2312" w:eastAsia="仿宋_GB2312"/>
                <w:sz w:val="28"/>
              </w:rPr>
              <w:t>全年保障监测预警设施设备的通讯网络。</w:t>
            </w:r>
          </w:p>
          <w:p>
            <w:pPr>
              <w:pStyle w:val="null3"/>
              <w:jc w:val="left"/>
            </w:pPr>
            <w:r>
              <w:rPr>
                <w:rFonts w:ascii="仿宋_GB2312" w:hAnsi="仿宋_GB2312" w:cs="仿宋_GB2312" w:eastAsia="仿宋_GB2312"/>
                <w:sz w:val="28"/>
                <w:b/>
              </w:rPr>
              <w:t>二、服务要求</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（一）技术人员技术保障服务</w:t>
            </w:r>
          </w:p>
          <w:p>
            <w:pPr>
              <w:pStyle w:val="null3"/>
              <w:ind w:firstLine="560"/>
              <w:jc w:val="left"/>
            </w:pPr>
            <w:r>
              <w:rPr>
                <w:rFonts w:ascii="仿宋_GB2312" w:hAnsi="仿宋_GB2312" w:cs="仿宋_GB2312" w:eastAsia="仿宋_GB2312"/>
                <w:sz w:val="28"/>
              </w:rPr>
              <w:t>1.运行维护单位安排2位技术人员在汶川县水务局防汛办提供技术服务，其中一名为全年提供技术服务，另一名为主汛期（4月--10月）提供技术服务，主要工作内容为：</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1）负责整个汶川县山洪灾害防治设施设备的正常运行</w:t>
            </w:r>
            <w:r>
              <w:rPr>
                <w:rFonts w:ascii="仿宋_GB2312" w:hAnsi="仿宋_GB2312" w:cs="仿宋_GB2312" w:eastAsia="仿宋_GB2312"/>
                <w:sz w:val="28"/>
              </w:rPr>
              <w:t>；</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2）汛前、汛中及汛后常规巡检</w:t>
            </w:r>
            <w:r>
              <w:rPr>
                <w:rFonts w:ascii="仿宋_GB2312" w:hAnsi="仿宋_GB2312" w:cs="仿宋_GB2312" w:eastAsia="仿宋_GB2312"/>
                <w:sz w:val="28"/>
              </w:rPr>
              <w:t>至少</w:t>
            </w:r>
            <w:r>
              <w:rPr>
                <w:rFonts w:ascii="仿宋_GB2312" w:hAnsi="仿宋_GB2312" w:cs="仿宋_GB2312" w:eastAsia="仿宋_GB2312"/>
                <w:sz w:val="28"/>
              </w:rPr>
              <w:t>3次</w:t>
            </w:r>
            <w:r>
              <w:rPr>
                <w:rFonts w:ascii="仿宋_GB2312" w:hAnsi="仿宋_GB2312" w:cs="仿宋_GB2312" w:eastAsia="仿宋_GB2312"/>
                <w:sz w:val="28"/>
              </w:rPr>
              <w:t>；</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3）野外监测设备故障的处理（8小时到达现场并处理）</w:t>
            </w:r>
            <w:r>
              <w:rPr>
                <w:rFonts w:ascii="仿宋_GB2312" w:hAnsi="仿宋_GB2312" w:cs="仿宋_GB2312" w:eastAsia="仿宋_GB2312"/>
                <w:sz w:val="28"/>
              </w:rPr>
              <w:t>；</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4）协助防汛办公室处理日常事务，包含早晚平安报送、危险区责任人在职情况抽查、危险区的复核、灾情统计等工作</w:t>
            </w:r>
            <w:r>
              <w:rPr>
                <w:rFonts w:ascii="仿宋_GB2312" w:hAnsi="仿宋_GB2312" w:cs="仿宋_GB2312" w:eastAsia="仿宋_GB2312"/>
                <w:sz w:val="28"/>
              </w:rPr>
              <w:t>；</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5）协助防办处理其他日常事务</w:t>
            </w:r>
            <w:r>
              <w:rPr>
                <w:rFonts w:ascii="仿宋_GB2312" w:hAnsi="仿宋_GB2312" w:cs="仿宋_GB2312" w:eastAsia="仿宋_GB2312"/>
                <w:sz w:val="28"/>
              </w:rPr>
              <w:t>。</w:t>
            </w:r>
          </w:p>
          <w:p>
            <w:pPr>
              <w:pStyle w:val="null3"/>
              <w:ind w:firstLine="560"/>
              <w:jc w:val="left"/>
            </w:pPr>
            <w:r>
              <w:rPr>
                <w:rFonts w:ascii="仿宋_GB2312" w:hAnsi="仿宋_GB2312" w:cs="仿宋_GB2312" w:eastAsia="仿宋_GB2312"/>
                <w:sz w:val="28"/>
              </w:rPr>
              <w:t>2.运行维护单位安排技术人员远程对山洪灾害防治监测预警平台在汛期内提供技术保障服务，及时监控监测预警数据运行情况及记录上报，发现运行异常及时进行处理。</w:t>
            </w:r>
          </w:p>
          <w:p>
            <w:pPr>
              <w:pStyle w:val="null3"/>
              <w:ind w:firstLine="560"/>
              <w:jc w:val="left"/>
            </w:pPr>
            <w:r>
              <w:rPr>
                <w:rFonts w:ascii="仿宋_GB2312" w:hAnsi="仿宋_GB2312" w:cs="仿宋_GB2312" w:eastAsia="仿宋_GB2312"/>
                <w:sz w:val="28"/>
              </w:rPr>
              <w:t>3.</w:t>
            </w:r>
            <w:r>
              <w:rPr>
                <w:rFonts w:ascii="仿宋_GB2312" w:hAnsi="仿宋_GB2312" w:cs="仿宋_GB2312" w:eastAsia="仿宋_GB2312"/>
                <w:sz w:val="28"/>
              </w:rPr>
              <w:t>运行维护单位</w:t>
            </w:r>
            <w:r>
              <w:rPr>
                <w:rFonts w:ascii="仿宋_GB2312" w:hAnsi="仿宋_GB2312" w:cs="仿宋_GB2312" w:eastAsia="仿宋_GB2312"/>
                <w:sz w:val="28"/>
              </w:rPr>
              <w:t>人员的食宿自理。</w:t>
            </w:r>
          </w:p>
          <w:p>
            <w:pPr>
              <w:pStyle w:val="null3"/>
              <w:ind w:firstLine="560"/>
              <w:jc w:val="left"/>
            </w:pPr>
            <w:r>
              <w:rPr>
                <w:rFonts w:ascii="仿宋_GB2312" w:hAnsi="仿宋_GB2312" w:cs="仿宋_GB2312" w:eastAsia="仿宋_GB2312"/>
                <w:sz w:val="28"/>
              </w:rPr>
              <w:t>4.成交单位负责此项目运维工作人员的安全责任事故。</w:t>
            </w:r>
          </w:p>
          <w:p>
            <w:pPr>
              <w:pStyle w:val="null3"/>
              <w:ind w:firstLine="560"/>
              <w:jc w:val="left"/>
            </w:pPr>
            <w:r>
              <w:rPr>
                <w:rFonts w:ascii="仿宋_GB2312" w:hAnsi="仿宋_GB2312" w:cs="仿宋_GB2312" w:eastAsia="仿宋_GB2312"/>
                <w:sz w:val="28"/>
              </w:rPr>
              <w:t>（二）运行维护</w:t>
            </w:r>
          </w:p>
          <w:p>
            <w:pPr>
              <w:pStyle w:val="null3"/>
              <w:ind w:firstLine="560"/>
              <w:jc w:val="left"/>
            </w:pPr>
            <w:r>
              <w:rPr>
                <w:rFonts w:ascii="仿宋_GB2312" w:hAnsi="仿宋_GB2312" w:cs="仿宋_GB2312" w:eastAsia="仿宋_GB2312"/>
                <w:sz w:val="28"/>
              </w:rPr>
              <w:t>1.运行维护单位负责各站点数据的日常监控，设备的运行状态监控，故障处理，补丁升级等内容。硬件维护包括巡检站点、更换设备、设备维修等。</w:t>
            </w:r>
          </w:p>
          <w:p>
            <w:pPr>
              <w:pStyle w:val="null3"/>
              <w:ind w:firstLine="560"/>
              <w:jc w:val="left"/>
            </w:pPr>
            <w:r>
              <w:rPr>
                <w:rFonts w:ascii="仿宋_GB2312" w:hAnsi="仿宋_GB2312" w:cs="仿宋_GB2312" w:eastAsia="仿宋_GB2312"/>
                <w:sz w:val="28"/>
              </w:rPr>
              <w:t>2.运行维护单位负责防汛中心及各镇会商系统设备运行维护。</w:t>
            </w:r>
          </w:p>
          <w:p>
            <w:pPr>
              <w:pStyle w:val="null3"/>
              <w:ind w:firstLine="560"/>
              <w:jc w:val="left"/>
            </w:pPr>
            <w:r>
              <w:rPr>
                <w:rFonts w:ascii="仿宋_GB2312" w:hAnsi="仿宋_GB2312" w:cs="仿宋_GB2312" w:eastAsia="仿宋_GB2312"/>
                <w:sz w:val="28"/>
              </w:rPr>
              <w:t>3.运行维护单位负责对防汛值班人员，镇会商视频操作人员，无线预警广播操作人员进行技术指导工作。</w:t>
            </w:r>
          </w:p>
          <w:p>
            <w:pPr>
              <w:pStyle w:val="null3"/>
              <w:ind w:firstLine="560"/>
              <w:jc w:val="left"/>
            </w:pPr>
            <w:r>
              <w:rPr>
                <w:rFonts w:ascii="仿宋_GB2312" w:hAnsi="仿宋_GB2312" w:cs="仿宋_GB2312" w:eastAsia="仿宋_GB2312"/>
                <w:sz w:val="28"/>
              </w:rPr>
              <w:t>4.运行维护单位根据上级部门工作要求，负责承办组织检查和考核工作。</w:t>
            </w:r>
          </w:p>
          <w:p>
            <w:pPr>
              <w:pStyle w:val="null3"/>
              <w:ind w:firstLine="560"/>
              <w:jc w:val="left"/>
            </w:pPr>
            <w:r>
              <w:rPr>
                <w:rFonts w:ascii="仿宋_GB2312" w:hAnsi="仿宋_GB2312" w:cs="仿宋_GB2312" w:eastAsia="仿宋_GB2312"/>
                <w:sz w:val="28"/>
              </w:rPr>
              <w:t>5.运行维护值班人员在汛期每天上午8：00前和下午16:00前向采购人提供两次当天的雨情、水情、灾情信息。</w:t>
            </w:r>
          </w:p>
          <w:p>
            <w:pPr>
              <w:pStyle w:val="null3"/>
              <w:ind w:firstLine="560"/>
              <w:jc w:val="left"/>
            </w:pPr>
            <w:r>
              <w:rPr>
                <w:rFonts w:ascii="仿宋_GB2312" w:hAnsi="仿宋_GB2312" w:cs="仿宋_GB2312" w:eastAsia="仿宋_GB2312"/>
                <w:sz w:val="28"/>
              </w:rPr>
              <w:t>6.运行维护单位负责收集雨情、水情、灾情信息并提供发布暴雨预警信息依据，及时报请当日值班领导后发布防汛预警信息。</w:t>
            </w:r>
          </w:p>
          <w:p>
            <w:pPr>
              <w:pStyle w:val="null3"/>
              <w:ind w:firstLine="560"/>
              <w:jc w:val="left"/>
            </w:pPr>
            <w:r>
              <w:rPr>
                <w:rFonts w:ascii="仿宋_GB2312" w:hAnsi="仿宋_GB2312" w:cs="仿宋_GB2312" w:eastAsia="仿宋_GB2312"/>
                <w:sz w:val="28"/>
              </w:rPr>
              <w:t>7.运行维护值班人员在汛期负责每天电话抽查防汛成员单位、各镇政府和山洪灾害危险区基层责任人值班值守情况，并做好记录实时将抽查情况报告甲方值班人员。</w:t>
            </w:r>
          </w:p>
          <w:p>
            <w:pPr>
              <w:pStyle w:val="null3"/>
              <w:ind w:firstLine="560"/>
              <w:jc w:val="left"/>
            </w:pPr>
            <w:r>
              <w:rPr>
                <w:rFonts w:ascii="仿宋_GB2312" w:hAnsi="仿宋_GB2312" w:cs="仿宋_GB2312" w:eastAsia="仿宋_GB2312"/>
                <w:sz w:val="28"/>
              </w:rPr>
              <w:t>8.运行维护单位签订运维合同（协议）后，立即安排人员对野外站点及设备进行巡检，根据情况安排1人或多人进行巡检、维护、维修工作。</w:t>
            </w:r>
          </w:p>
          <w:p>
            <w:pPr>
              <w:pStyle w:val="null3"/>
              <w:ind w:firstLine="560"/>
              <w:jc w:val="left"/>
            </w:pPr>
            <w:r>
              <w:rPr>
                <w:rFonts w:ascii="仿宋_GB2312" w:hAnsi="仿宋_GB2312" w:cs="仿宋_GB2312" w:eastAsia="仿宋_GB2312"/>
                <w:sz w:val="28"/>
              </w:rPr>
              <w:t>9.运维服务人员需实时监控野外站点设备、山洪监测预警平台、机房服务器及</w:t>
            </w:r>
            <w:r>
              <w:rPr>
                <w:rFonts w:ascii="仿宋_GB2312" w:hAnsi="仿宋_GB2312" w:cs="仿宋_GB2312" w:eastAsia="仿宋_GB2312"/>
                <w:sz w:val="28"/>
              </w:rPr>
              <w:t>本项目</w:t>
            </w:r>
            <w:r>
              <w:rPr>
                <w:rFonts w:ascii="仿宋_GB2312" w:hAnsi="仿宋_GB2312" w:cs="仿宋_GB2312" w:eastAsia="仿宋_GB2312"/>
                <w:sz w:val="28"/>
              </w:rPr>
              <w:t>全网网络设备的运行状态，设备出现故障或异常时，第一时间向业主相关负责人反馈情况并启动故障处理流程，填写维护报告并及时回复处理进度。</w:t>
            </w:r>
          </w:p>
          <w:p>
            <w:pPr>
              <w:pStyle w:val="null3"/>
              <w:ind w:firstLine="560"/>
              <w:jc w:val="left"/>
            </w:pPr>
            <w:r>
              <w:rPr>
                <w:rFonts w:ascii="仿宋_GB2312" w:hAnsi="仿宋_GB2312" w:cs="仿宋_GB2312" w:eastAsia="仿宋_GB2312"/>
                <w:sz w:val="28"/>
              </w:rPr>
              <w:t>根据故障影响范围、处理难度判定故障等级，按需安排工程师现场服务，排查现场问题并明确故障类型，向相关技术负责人报备后实施故障处理；故障解决后清理现场环境，填写维护、维修技术报告，归档后供业主单位技术人员查阅。</w:t>
            </w:r>
          </w:p>
          <w:p>
            <w:pPr>
              <w:pStyle w:val="null3"/>
              <w:ind w:firstLine="560"/>
              <w:jc w:val="left"/>
            </w:pPr>
            <w:r>
              <w:rPr>
                <w:rFonts w:ascii="仿宋_GB2312" w:hAnsi="仿宋_GB2312" w:cs="仿宋_GB2312" w:eastAsia="仿宋_GB2312"/>
                <w:sz w:val="28"/>
              </w:rPr>
              <w:t>10.结合汶川县水务局的需求与实际运维场景，运维单位提供7×24小时实时响应服务，确保故障得到及时、高效处置。</w:t>
            </w:r>
          </w:p>
          <w:p>
            <w:pPr>
              <w:pStyle w:val="null3"/>
              <w:ind w:firstLine="560"/>
              <w:jc w:val="left"/>
            </w:pPr>
            <w:r>
              <w:rPr>
                <w:rFonts w:ascii="仿宋_GB2312" w:hAnsi="仿宋_GB2312" w:cs="仿宋_GB2312" w:eastAsia="仿宋_GB2312"/>
                <w:sz w:val="28"/>
              </w:rPr>
              <w:t>11.设备汛前及汛后巡检计划</w:t>
            </w:r>
          </w:p>
          <w:p>
            <w:pPr>
              <w:pStyle w:val="null3"/>
              <w:ind w:firstLine="560"/>
              <w:jc w:val="left"/>
            </w:pPr>
            <w:r>
              <w:rPr>
                <w:rFonts w:ascii="仿宋_GB2312" w:hAnsi="仿宋_GB2312" w:cs="仿宋_GB2312" w:eastAsia="仿宋_GB2312"/>
                <w:sz w:val="28"/>
              </w:rPr>
              <w:t>在汛前、汛后开展专项巡检与设备定检工作，覆盖站点设备、服务器、计算机、打印机、路由器、交换机、视频会议设备、网络设备等全部运维资产，全面检查设备使用状况并集中处理排查出的故障。</w:t>
            </w:r>
          </w:p>
          <w:p>
            <w:pPr>
              <w:pStyle w:val="null3"/>
              <w:ind w:firstLine="560"/>
              <w:jc w:val="left"/>
            </w:pPr>
            <w:r>
              <w:rPr>
                <w:rFonts w:ascii="仿宋_GB2312" w:hAnsi="仿宋_GB2312" w:cs="仿宋_GB2312" w:eastAsia="仿宋_GB2312"/>
                <w:sz w:val="28"/>
              </w:rPr>
              <w:t>严格按照运维台账表格记录系统及设备的运行状态：设备运行正常的，在维护检查表中填写测试数据；设备存在异常的，记录测试数据并在备注栏注明故障原因；对遗留问题汇总测试结果，对非测试项目在检修中发现的新问题，在设备记录表中详细填写异常内容并按规定流程处理。</w:t>
            </w:r>
          </w:p>
          <w:p>
            <w:pPr>
              <w:pStyle w:val="null3"/>
              <w:ind w:firstLine="560"/>
              <w:jc w:val="left"/>
            </w:pPr>
            <w:r>
              <w:rPr>
                <w:rFonts w:ascii="仿宋_GB2312" w:hAnsi="仿宋_GB2312" w:cs="仿宋_GB2312" w:eastAsia="仿宋_GB2312"/>
                <w:sz w:val="28"/>
              </w:rPr>
              <w:t>12.设备维修及更换流程</w:t>
            </w:r>
          </w:p>
          <w:p>
            <w:pPr>
              <w:pStyle w:val="null3"/>
              <w:ind w:firstLine="560"/>
              <w:jc w:val="left"/>
            </w:pPr>
            <w:r>
              <w:rPr>
                <w:rFonts w:ascii="仿宋_GB2312" w:hAnsi="仿宋_GB2312" w:cs="仿宋_GB2312" w:eastAsia="仿宋_GB2312"/>
                <w:sz w:val="28"/>
              </w:rPr>
              <w:t>项目业主方与运维单位签订维护合同后，合同范围内的设备若出现损坏需维修，由运维单位全权负责处理，如需更换设备及零部件，采购费用由业主单位承担。设备更换采购前，运维单位需以书面形式向业主方报备，经确认后执行采购流程。</w:t>
            </w:r>
          </w:p>
          <w:p>
            <w:pPr>
              <w:pStyle w:val="null3"/>
              <w:ind w:firstLine="560"/>
              <w:jc w:val="left"/>
            </w:pPr>
            <w:r>
              <w:rPr>
                <w:rFonts w:ascii="仿宋_GB2312" w:hAnsi="仿宋_GB2312" w:cs="仿宋_GB2312" w:eastAsia="仿宋_GB2312"/>
                <w:sz w:val="28"/>
              </w:rPr>
              <w:t>①保修期内返厂维修：对于仍在厂商标准保修期内的故障设备/零部件，由运维单位将故障件返厂维修，并全程跟进返修流程，确保设备修复后正常投入使用。</w:t>
            </w:r>
          </w:p>
          <w:p>
            <w:pPr>
              <w:pStyle w:val="null3"/>
              <w:ind w:firstLine="560"/>
              <w:jc w:val="left"/>
            </w:pPr>
            <w:r>
              <w:rPr>
                <w:rFonts w:ascii="仿宋_GB2312" w:hAnsi="仿宋_GB2312" w:cs="仿宋_GB2312" w:eastAsia="仿宋_GB2312"/>
                <w:sz w:val="28"/>
              </w:rPr>
              <w:t>②保修期外返厂维修：对于超出保修期的故障件，由运维单位联系设备厂商开展返厂维修工作，全程跟进维修进度；维修或更换产生的所有费用，由业主单位承担，直至设备恢复正常运行。</w:t>
            </w:r>
          </w:p>
          <w:p>
            <w:pPr>
              <w:pStyle w:val="null3"/>
              <w:ind w:firstLine="560"/>
              <w:jc w:val="left"/>
            </w:pPr>
            <w:r>
              <w:rPr>
                <w:rFonts w:ascii="仿宋_GB2312" w:hAnsi="仿宋_GB2312" w:cs="仿宋_GB2312" w:eastAsia="仿宋_GB2312"/>
                <w:sz w:val="28"/>
              </w:rPr>
              <w:t>③若运维单位未能在规定时间内对故障系统、设备进行维修，采购人有权自行邀请第三方进行维修，所产生费用由成交单位承担。若成交单位拒绝承担相关费用时，采购人有权自行从合同价款扣除运维单位的款项，并用予支付第三方维修费用。</w:t>
            </w:r>
          </w:p>
          <w:p>
            <w:pPr>
              <w:pStyle w:val="null3"/>
              <w:ind w:firstLine="560"/>
              <w:jc w:val="left"/>
            </w:pPr>
            <w:r>
              <w:rPr>
                <w:rFonts w:ascii="仿宋_GB2312" w:hAnsi="仿宋_GB2312" w:cs="仿宋_GB2312" w:eastAsia="仿宋_GB2312"/>
                <w:sz w:val="28"/>
              </w:rPr>
              <w:t>13.</w:t>
            </w:r>
            <w:r>
              <w:rPr>
                <w:rFonts w:ascii="仿宋_GB2312" w:hAnsi="仿宋_GB2312" w:cs="仿宋_GB2312" w:eastAsia="仿宋_GB2312"/>
                <w:sz w:val="28"/>
              </w:rPr>
              <w:t>对系统和野外站点的每次检查巡检，应做好记录，并提交巡检日志，确保系统能正常运行。</w:t>
            </w:r>
          </w:p>
          <w:p>
            <w:pPr>
              <w:pStyle w:val="null3"/>
              <w:ind w:firstLine="560"/>
              <w:jc w:val="left"/>
            </w:pPr>
            <w:r>
              <w:rPr>
                <w:rFonts w:ascii="仿宋_GB2312" w:hAnsi="仿宋_GB2312" w:cs="仿宋_GB2312" w:eastAsia="仿宋_GB2312"/>
                <w:sz w:val="28"/>
              </w:rPr>
              <w:t>14.负责系统的日常维护，安排专人对系统性能优化提供建议，并建立维护工作报告，向采购人提供详细技术文档等资料。</w:t>
            </w:r>
          </w:p>
          <w:p>
            <w:pPr>
              <w:pStyle w:val="null3"/>
              <w:ind w:firstLine="560"/>
              <w:jc w:val="left"/>
            </w:pPr>
            <w:r>
              <w:rPr>
                <w:rFonts w:ascii="仿宋_GB2312" w:hAnsi="仿宋_GB2312" w:cs="仿宋_GB2312" w:eastAsia="仿宋_GB2312"/>
                <w:sz w:val="28"/>
              </w:rPr>
              <w:t>15.运行维护单位对采购人的系统进行全面检测，确认设备运行状态，检查系统错误记录，排除潜在隐患，以确保系统能正常稳定的运行。</w:t>
            </w:r>
          </w:p>
          <w:p>
            <w:pPr>
              <w:pStyle w:val="null3"/>
              <w:ind w:firstLine="560"/>
              <w:jc w:val="left"/>
            </w:pPr>
            <w:r>
              <w:rPr>
                <w:rFonts w:ascii="仿宋_GB2312" w:hAnsi="仿宋_GB2312" w:cs="仿宋_GB2312" w:eastAsia="仿宋_GB2312"/>
                <w:sz w:val="28"/>
              </w:rPr>
              <w:t>16.投标人可根据情况自行踏勘现场及准备前期相关配套设施设备等。</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365日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根据《财政部关于进一步加强政府采购需求和履约验收管理的指导意见》（财库〔2016〕205号）以及《政府采购需求管理办法》（财库〔2021〕22号）的要求进行验收。</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1、合同签订后，成交单位按照合同签订日期7日内算起，完成第一轮全覆盖巡检并提供巡检报告后，达到付款条件起7日内，支付合同总金额的30.00%</w:t>
            </w:r>
          </w:p>
          <w:p>
            <w:pPr>
              <w:pStyle w:val="null3"/>
              <w:jc w:val="left"/>
            </w:pPr>
            <w:r>
              <w:rPr>
                <w:rFonts w:ascii="仿宋_GB2312" w:hAnsi="仿宋_GB2312" w:cs="仿宋_GB2312" w:eastAsia="仿宋_GB2312"/>
              </w:rPr>
              <w:t>2、汛期结束后 7 日内，按照合同约定提供巡检、运维报告后，达到付款条件起7日内，支付合同总金额的40.00%</w:t>
            </w:r>
          </w:p>
          <w:p>
            <w:pPr>
              <w:pStyle w:val="null3"/>
              <w:jc w:val="left"/>
            </w:pPr>
            <w:r>
              <w:rPr>
                <w:rFonts w:ascii="仿宋_GB2312" w:hAnsi="仿宋_GB2312" w:cs="仿宋_GB2312" w:eastAsia="仿宋_GB2312"/>
              </w:rPr>
              <w:t>3、完成汛后巡检并提供巡检报告后 7 日内，经乙方提供相应票据，甲方向乙方支付合同剩余费用，达到付款条件起7日内，支付合同总金额的30.00%</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a、违约责任条款： ①双方必须遵守本合同并执行合同中的各项规定，保证本合同的合法正常履行。 ②如因中标供应商工作人员在履行职务过程中的疏忽、失职、过错等故意或者过失原因给采购人造成损失或者侵害，包括采购人本身的财产损失、因此而导致的采购人对任何第三方的法律责任等，中标供应商对此均应承担全部的赔偿责任。b、争议管辖： 双方应通过友好协商解决争议，经协商不能达成协议时，向采购人所在地有管辖权的人民法院起诉。诉讼产生的一切费用应由败诉方负担。 在诉讼期间，除涉及正在进行诉讼的部分外，合同其他部分继续执行。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（一）非实质性要求，仅为评审依据，未完全满足仅按评审细则及标准进行扣分，不影响其响应文件有效性。 1.根据供应商针对本项目提供的方案进行评审：1.运维服务方案：①对本项目的总体运维服务方案；②对本项目的值班和现场故障处理方案；③对本项目制定的应急抢修安全方案；④视频会商系统运维方案；⑤本项目的软件维护升级方案；⑥对本项目的汛前、汛中、汛后的巡检体系及制度。2.值班和现场故障处理方案：①值班值守工作制度、交接班制度；②模拟现场故障描述及处理方案。3.管理措施：①项目管理概述；②人员管理制度；③质量管理方案。4.应急方案：①应急人员安排；②应急平台准备；③应急演练作详细阐述。5.履约能力。</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其他实质性要求</w:t>
            </w:r>
          </w:p>
        </w:tc>
        <w:tc>
          <w:tcPr>
            <w:tcW w:type="dxa" w:w="3322"/>
          </w:tcPr>
          <w:p>
            <w:pPr>
              <w:pStyle w:val="null3"/>
              <w:jc w:val="left"/>
            </w:pPr>
            <w:r>
              <w:rPr>
                <w:rFonts w:ascii="仿宋_GB2312" w:hAnsi="仿宋_GB2312" w:cs="仿宋_GB2312" w:eastAsia="仿宋_GB2312"/>
              </w:rPr>
              <w:t>磋商⼩组依据本采购⽂件的实质性要求，对符 合资格的响应⽂件进⾏审查，以确定其是否满 ⾜本采购⽂件的实质性要求。本项⽬的符合性 审查事项必须以本采购⽂件明确规定的实质性 要求为依据。供应商不满⾜本采购⽂件的实质 性要求的，磋商⼩组应当将其投标⽂件作为⽆ 效处理。</w:t>
            </w:r>
          </w:p>
        </w:tc>
        <w:tc>
          <w:tcPr>
            <w:tcW w:type="dxa" w:w="1661"/>
          </w:tcPr>
          <w:p>
            <w:pPr>
              <w:pStyle w:val="null3"/>
              <w:jc w:val="left"/>
            </w:pPr>
            <w:r>
              <w:rPr>
                <w:rFonts w:ascii="仿宋_GB2312" w:hAnsi="仿宋_GB2312" w:cs="仿宋_GB2312" w:eastAsia="仿宋_GB2312"/>
              </w:rPr>
              <w:t>商务要求应答表.docx,供应商应提交的相关证明材料,服务应答表,投标（响应）函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50</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运维服务方案、值班和现场故障处理方案、管理措施、应急方案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详细评审80.00分</w:t>
            </w:r>
          </w:p>
          <w:p>
            <w:pPr>
              <w:pStyle w:val="null3"/>
              <w:jc w:val="left"/>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运维服务方案</w:t>
            </w:r>
          </w:p>
        </w:tc>
        <w:tc>
          <w:tcPr>
            <w:tcW w:type="dxa" w:w="2575"/>
          </w:tcPr>
          <w:p>
            <w:pPr>
              <w:pStyle w:val="null3"/>
              <w:jc w:val="left"/>
            </w:pPr>
            <w:r>
              <w:rPr>
                <w:rFonts w:ascii="仿宋_GB2312" w:hAnsi="仿宋_GB2312" w:cs="仿宋_GB2312" w:eastAsia="仿宋_GB2312"/>
              </w:rPr>
              <w:t>根据供应商针对本项目提供的运维服务方案进行评分，方案内容包含①对本项目的总体运维服务方案；②对本项目的值班和现场故障处理方案；③对本项目制定的应急抢修安全方案；④视频会商系统运维方案；⑤本项目的软件维护升级方案；⑥对本项目的汛前、汛中、汛后的巡检体系及制度。以上6项内容无缺陷，完全满足文件要求的得30分，每缺少一项内容扣5分，每有一处内容存在缺陷的扣2.5分，本项扣完为止（说明：存在缺陷是指以下情形中的任意一项：存在缺陷是指存在项目名称错误、地点区域错误、内容与本项目要求不符、仅有框架或标题、引用或适用的法律法规、标准（方法）或其他规范性文件错误、照搬采购文件内容且未作出进一步描述的任意一种情形）。</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供应商应提交的其他响应材料.docx</w:t>
            </w:r>
          </w:p>
        </w:tc>
      </w:tr>
      <w:tr>
        <w:tc>
          <w:tcPr>
            <w:tcW w:type="dxa" w:w="831"/>
            <w:vMerge/>
          </w:tcPr>
          <w:p/>
        </w:tc>
        <w:tc>
          <w:tcPr>
            <w:tcW w:type="dxa" w:w="1661"/>
          </w:tcPr>
          <w:p>
            <w:pPr>
              <w:pStyle w:val="null3"/>
              <w:jc w:val="left"/>
            </w:pPr>
            <w:r>
              <w:rPr>
                <w:rFonts w:ascii="仿宋_GB2312" w:hAnsi="仿宋_GB2312" w:cs="仿宋_GB2312" w:eastAsia="仿宋_GB2312"/>
              </w:rPr>
              <w:t>值班和现场故障处理方案</w:t>
            </w:r>
          </w:p>
        </w:tc>
        <w:tc>
          <w:tcPr>
            <w:tcW w:type="dxa" w:w="2575"/>
          </w:tcPr>
          <w:p>
            <w:pPr>
              <w:pStyle w:val="null3"/>
              <w:jc w:val="left"/>
            </w:pPr>
            <w:r>
              <w:rPr>
                <w:rFonts w:ascii="仿宋_GB2312" w:hAnsi="仿宋_GB2312" w:cs="仿宋_GB2312" w:eastAsia="仿宋_GB2312"/>
              </w:rPr>
              <w:t>根据供应商针对本项目提供的值班和现场故障处理方案进行评分，方案内容包含①值班值守工作制度、交接班制度；②模拟现场故障描述及处理方案。以上2项内容无缺陷，完全满足文件要求的得14分，每缺少一项内容扣7分，每有一处内容存在缺陷的扣3.5分，本项扣完为止（说明：存在缺陷是指以下情形中的任意一项：存在缺陷是指存在项目名称错误、地点区域错误、内容与本项目要求不符、仅有框架或标题、引用或适用的法律法规、标准（方法）或其他规范性文件错误、照搬采购文件内容且未作出进一步描述的任意一种情形）。</w:t>
            </w:r>
          </w:p>
        </w:tc>
        <w:tc>
          <w:tcPr>
            <w:tcW w:type="dxa" w:w="831"/>
          </w:tcPr>
          <w:p>
            <w:pPr>
              <w:pStyle w:val="null3"/>
              <w:jc w:val="center"/>
            </w:pPr>
            <w:r>
              <w:rPr>
                <w:rFonts w:ascii="仿宋_GB2312" w:hAnsi="仿宋_GB2312" w:cs="仿宋_GB2312" w:eastAsia="仿宋_GB2312"/>
              </w:rPr>
              <w:t>14.0000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供应商应提交的其他响应材料.docx</w:t>
            </w:r>
          </w:p>
        </w:tc>
      </w:tr>
      <w:tr>
        <w:tc>
          <w:tcPr>
            <w:tcW w:type="dxa" w:w="831"/>
            <w:vMerge/>
          </w:tcPr>
          <w:p/>
        </w:tc>
        <w:tc>
          <w:tcPr>
            <w:tcW w:type="dxa" w:w="1661"/>
          </w:tcPr>
          <w:p>
            <w:pPr>
              <w:pStyle w:val="null3"/>
              <w:jc w:val="left"/>
            </w:pPr>
            <w:r>
              <w:rPr>
                <w:rFonts w:ascii="仿宋_GB2312" w:hAnsi="仿宋_GB2312" w:cs="仿宋_GB2312" w:eastAsia="仿宋_GB2312"/>
              </w:rPr>
              <w:t>管理措施</w:t>
            </w:r>
          </w:p>
        </w:tc>
        <w:tc>
          <w:tcPr>
            <w:tcW w:type="dxa" w:w="2575"/>
          </w:tcPr>
          <w:p>
            <w:pPr>
              <w:pStyle w:val="null3"/>
              <w:jc w:val="left"/>
            </w:pPr>
            <w:r>
              <w:rPr>
                <w:rFonts w:ascii="仿宋_GB2312" w:hAnsi="仿宋_GB2312" w:cs="仿宋_GB2312" w:eastAsia="仿宋_GB2312"/>
              </w:rPr>
              <w:t>根据供应商针对本项目提供的管理措施进行评分，管理措施内容包含①项目管理概述；②人员管理制度；③质量管理方案。以上3项内容无缺陷，完全满足文件要求的得9分，每缺少一项内容扣3分，每有一处内容存在缺陷的扣1.5分，本项扣完为止（说明：存在缺陷是指以下情形中的任意一项：存在缺陷是指存在项目名称错误、地点区域错误、内容与本项目要求不符、仅有框架或标题、引用或适用的法律法规、标准（方法）或其他规范性文件错误、照搬采购文件内容且未作出进一步描述的任意一种情形）。</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供应商应提交的其他响应材料.docx</w:t>
            </w:r>
          </w:p>
        </w:tc>
      </w:tr>
      <w:tr>
        <w:tc>
          <w:tcPr>
            <w:tcW w:type="dxa" w:w="831"/>
            <w:vMerge/>
          </w:tcPr>
          <w:p/>
        </w:tc>
        <w:tc>
          <w:tcPr>
            <w:tcW w:type="dxa" w:w="1661"/>
          </w:tcPr>
          <w:p>
            <w:pPr>
              <w:pStyle w:val="null3"/>
              <w:jc w:val="left"/>
            </w:pPr>
            <w:r>
              <w:rPr>
                <w:rFonts w:ascii="仿宋_GB2312" w:hAnsi="仿宋_GB2312" w:cs="仿宋_GB2312" w:eastAsia="仿宋_GB2312"/>
              </w:rPr>
              <w:t>应急方案</w:t>
            </w:r>
          </w:p>
        </w:tc>
        <w:tc>
          <w:tcPr>
            <w:tcW w:type="dxa" w:w="2575"/>
          </w:tcPr>
          <w:p>
            <w:pPr>
              <w:pStyle w:val="null3"/>
              <w:jc w:val="left"/>
            </w:pPr>
            <w:r>
              <w:rPr>
                <w:rFonts w:ascii="仿宋_GB2312" w:hAnsi="仿宋_GB2312" w:cs="仿宋_GB2312" w:eastAsia="仿宋_GB2312"/>
              </w:rPr>
              <w:t>根据供应商针对本项目提供的应急方案进行评分，应急方案内容包含①应急人员安排；②应急平台准备；③应急演练作详细阐述。以上3项内容无缺陷，完全满足文件要求的得18分，每缺少一项内容扣6分，每有一处内容存在缺陷的扣3分，本项扣完为止（说明：存在缺陷是指以下情形中的任意一项：存在缺陷是指存在项目名称错误、地点区域错误、内容与本项目要求不符、仅有框架或标题、引用或适用的法律法规、标准（方法）或其他规范性文件错误、照搬采购文件内容且未作出进一步描述的任意一种情形）。</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供应商应提交的其他响应材料.docx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供应商自 2022 年 1 月 1 日（含）以来每提供1个项目业绩（运维服务类）得3 分，本项最多得9分。 注：提供合同或中标（或成交）通知书复印件加盖供应商公章，以合同签订时间为准。</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供应商应提交的其他响应材料.docx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详见附件：商务要求应答表.docx</w:t>
      </w:r>
    </w:p>
    <w:p>
      <w:pPr>
        <w:pStyle w:val="null3"/>
        <w:ind w:firstLine="960"/>
        <w:jc w:val="left"/>
      </w:pPr>
      <w:r>
        <w:rPr>
          <w:rFonts w:ascii="仿宋_GB2312" w:hAnsi="仿宋_GB2312" w:cs="仿宋_GB2312" w:eastAsia="仿宋_GB2312"/>
        </w:rPr>
        <w:t>详见附件：供应商应提交的其他响应材料.docx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