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版本号：N513424202600002520260420002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德昌县生活垃圾分类收转运设施建设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N5134242026000025</w:t>
      </w:r>
    </w:p>
    <w:p>
      <w:pPr>
        <w:pStyle w:val="null3"/>
        <w:jc w:val="left"/>
        <w:outlineLvl w:val="2"/>
      </w:pPr>
      <w:r>
        <w:rPr>
          <w:rFonts w:ascii="仿宋_GB2312" w:hAnsi="仿宋_GB2312" w:cs="仿宋_GB2312" w:eastAsia="仿宋_GB2312"/>
          <w:sz w:val="28"/>
          <w:b/>
        </w:rPr>
        <w:t>德昌县住房和城乡建设局（德昌县人民防空办公室）</w:t>
      </w:r>
    </w:p>
    <w:p>
      <w:pPr>
        <w:pStyle w:val="null3"/>
        <w:jc w:val="center"/>
        <w:outlineLvl w:val="2"/>
      </w:pPr>
      <w:r>
        <w:rPr>
          <w:rFonts w:ascii="仿宋_GB2312" w:hAnsi="仿宋_GB2312" w:cs="仿宋_GB2312" w:eastAsia="仿宋_GB2312"/>
          <w:sz w:val="28"/>
          <w:b/>
        </w:rPr>
        <w:t>凉山州德源工程项目管理有限责任公司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凉山州德源工程项目管理有限责任公司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德昌县住房和城乡建设局（德昌县人民防空办公室）</w:t>
      </w:r>
      <w:r>
        <w:rPr>
          <w:rFonts w:ascii="仿宋_GB2312" w:hAnsi="仿宋_GB2312" w:cs="仿宋_GB2312" w:eastAsia="仿宋_GB2312"/>
        </w:rPr>
        <w:t xml:space="preserve"> 委托，拟对 </w:t>
      </w:r>
      <w:r>
        <w:rPr>
          <w:rFonts w:ascii="仿宋_GB2312" w:hAnsi="仿宋_GB2312" w:cs="仿宋_GB2312" w:eastAsia="仿宋_GB2312"/>
        </w:rPr>
        <w:t>德昌县生活垃圾分类收转运设施建设</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凉山彝族自治州德昌县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N5134242026000025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德昌县生活垃圾分类收转运设施建设</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德昌县住房和城乡建设局（德昌县人民防空办公室）拟采购一批生活垃圾分类收转运设施，共一个包。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所投“车厢可卸式垃圾车（垃圾转运）、压缩式垃圾车、车厢可卸式垃圾车（钩臂车）、垃圾车、洒水车、三轮垃圾清运车、垃圾转运车皮卡”须列入工业和信息化部发布的《道路机动车辆生产企业及产品公告》（提供公告截图并盖投标人公章扫描件）（描述：投标人所投“车厢可卸式垃圾车（垃圾转运）、压缩式垃圾车、车厢可卸式垃圾车（钩臂车）、垃圾车、洒水车、三轮垃圾清运车、垃圾转运车皮卡”须列入工业和信息化部发布的《道路机动车辆生产企业及产品公告》（提供公告截图并盖投标人公章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德昌县住房和城乡建设局（德昌县人民防空办公室）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四川省德昌县德州街道西宁街东段148号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0834-5289226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凉山州德源工程项目管理有限责任公司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四川省凉山彝族自治州西昌市海滨中路3号海门渔村三区3-1栋（叁鑫超市海滨中路分店2楼）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0834-2178088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采购包1：13,840,000.00元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交款时间：成交人应于中标（成交）通知书发出后5个工作日内缴纳。</w:t>
              <w:br/>
              <w:t xml:space="preserve">履约保证金退还时间：合同期限到期，履约验收通过后，10日内无息退还。 </w:t>
              <w:br/>
              <w:t>履约保证金不予退还情形：在合同期限内成交人存在未履行合同内容，给采购人造成损失的情况。</w:t>
              <w:br/>
              <w:t>收款单位：德昌县住房和城乡建设局（德昌县人民防空办公室）。</w:t>
              <w:br/>
              <w:t>开户行、收款账号：采购人提供。</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代理服务费收费标准：参照《国家计委关于印发〈招标代理服务费收费标准管理暂行办法〉的通知》（计价格〔2002〕1980号）文件所附代理服务费标准下浮20%执行。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德昌县住房和城乡建设局（德昌县人民防空办公室）</w:t>
      </w:r>
      <w:r>
        <w:rPr>
          <w:rFonts w:ascii="仿宋_GB2312" w:hAnsi="仿宋_GB2312" w:cs="仿宋_GB2312" w:eastAsia="仿宋_GB2312"/>
        </w:rPr>
        <w:t xml:space="preserve"> 和 </w:t>
      </w:r>
      <w:r>
        <w:rPr>
          <w:rFonts w:ascii="仿宋_GB2312" w:hAnsi="仿宋_GB2312" w:cs="仿宋_GB2312" w:eastAsia="仿宋_GB2312"/>
        </w:rPr>
        <w:t>凉山州德源工程项目管理有限责任公司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德昌县住房和城乡建设局（德昌县人民防空办公室）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凉山州德源工程项目管理有限责任公司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其他验收事项严格按照政府采购相关法律法规以及《财政部关于进一步加强政府采购需求和履约验收管理的指导意见》（财库〔2016〕205号）的要求执行。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技术履约内容及标准：按照本项目招标文件中“技术要求”及成交人响应文件和双方签订的合同进行验收。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商务履约内容及标准：按照本项目招标文件中“商务要求”及成交人响应文件和双方签订的合同进行验收。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凉山州德源工程项目管理有限责任公司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凉山州德源工程项目管理有限责任公司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凉山州德源工程项目管理有限责任公司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联系电话：0834-5289226</w:t>
      </w:r>
    </w:p>
    <w:p>
      <w:pPr>
        <w:pStyle w:val="null3"/>
        <w:jc w:val="left"/>
      </w:pPr>
      <w:r>
        <w:rPr>
          <w:rFonts w:ascii="仿宋_GB2312" w:hAnsi="仿宋_GB2312" w:cs="仿宋_GB2312" w:eastAsia="仿宋_GB2312"/>
        </w:rPr>
        <w:t>地址：四川省德昌县德州街道西宁街东段148号</w:t>
      </w:r>
    </w:p>
    <w:p>
      <w:pPr>
        <w:pStyle w:val="null3"/>
        <w:jc w:val="left"/>
      </w:pPr>
      <w:r>
        <w:rPr>
          <w:rFonts w:ascii="仿宋_GB2312" w:hAnsi="仿宋_GB2312" w:cs="仿宋_GB2312" w:eastAsia="仿宋_GB2312"/>
        </w:rPr>
        <w:t>邮编：615500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联系电话：0834-2178088</w:t>
      </w:r>
    </w:p>
    <w:p>
      <w:pPr>
        <w:pStyle w:val="null3"/>
        <w:jc w:val="left"/>
      </w:pPr>
      <w:r>
        <w:rPr>
          <w:rFonts w:ascii="仿宋_GB2312" w:hAnsi="仿宋_GB2312" w:cs="仿宋_GB2312" w:eastAsia="仿宋_GB2312"/>
        </w:rPr>
        <w:t>地址：四川省凉山彝族自治州西昌市海滨中路3号海门渔村三区3-1栋（叁鑫超市海滨中路分店2楼）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13,840,000.00</w:t>
      </w:r>
    </w:p>
    <w:p>
      <w:pPr>
        <w:pStyle w:val="null3"/>
        <w:jc w:val="left"/>
      </w:pPr>
      <w:r>
        <w:rPr>
          <w:rFonts w:ascii="仿宋_GB2312" w:hAnsi="仿宋_GB2312" w:cs="仿宋_GB2312" w:eastAsia="仿宋_GB2312"/>
        </w:rPr>
        <w:t>采购包最高限价（元）: 13,840,000.00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车厢可卸式垃圾车（垃圾转运）</w:t>
            </w:r>
          </w:p>
        </w:tc>
        <w:tc>
          <w:tcPr>
            <w:tcW w:type="dxa" w:w="821"/>
          </w:tcPr>
          <w:p>
            <w:pPr>
              <w:pStyle w:val="null3"/>
              <w:jc w:val="right"/>
            </w:pPr>
            <w:r>
              <w:rPr>
                <w:rFonts w:ascii="仿宋_GB2312" w:hAnsi="仿宋_GB2312" w:cs="仿宋_GB2312" w:eastAsia="仿宋_GB2312"/>
              </w:rPr>
              <w:t>7.00（辆）</w:t>
            </w:r>
          </w:p>
        </w:tc>
        <w:tc>
          <w:tcPr>
            <w:tcW w:type="dxa" w:w="821"/>
          </w:tcPr>
          <w:p>
            <w:pPr>
              <w:pStyle w:val="null3"/>
              <w:jc w:val="right"/>
            </w:pPr>
            <w:r>
              <w:rPr>
                <w:rFonts w:ascii="仿宋_GB2312" w:hAnsi="仿宋_GB2312" w:cs="仿宋_GB2312" w:eastAsia="仿宋_GB2312"/>
              </w:rPr>
              <w:t>2,310,000.00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压缩式垃圾车</w:t>
            </w:r>
          </w:p>
        </w:tc>
        <w:tc>
          <w:tcPr>
            <w:tcW w:type="dxa" w:w="821"/>
          </w:tcPr>
          <w:p>
            <w:pPr>
              <w:pStyle w:val="null3"/>
              <w:jc w:val="right"/>
            </w:pPr>
            <w:r>
              <w:rPr>
                <w:rFonts w:ascii="仿宋_GB2312" w:hAnsi="仿宋_GB2312" w:cs="仿宋_GB2312" w:eastAsia="仿宋_GB2312"/>
              </w:rPr>
              <w:t>12.00（辆）</w:t>
            </w:r>
          </w:p>
        </w:tc>
        <w:tc>
          <w:tcPr>
            <w:tcW w:type="dxa" w:w="821"/>
          </w:tcPr>
          <w:p>
            <w:pPr>
              <w:pStyle w:val="null3"/>
              <w:jc w:val="right"/>
            </w:pPr>
            <w:r>
              <w:rPr>
                <w:rFonts w:ascii="仿宋_GB2312" w:hAnsi="仿宋_GB2312" w:cs="仿宋_GB2312" w:eastAsia="仿宋_GB2312"/>
              </w:rPr>
              <w:t>4,200,000.00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车厢可卸式垃圾车（钩臂车）</w:t>
            </w:r>
          </w:p>
        </w:tc>
        <w:tc>
          <w:tcPr>
            <w:tcW w:type="dxa" w:w="821"/>
          </w:tcPr>
          <w:p>
            <w:pPr>
              <w:pStyle w:val="null3"/>
              <w:jc w:val="right"/>
            </w:pPr>
            <w:r>
              <w:rPr>
                <w:rFonts w:ascii="仿宋_GB2312" w:hAnsi="仿宋_GB2312" w:cs="仿宋_GB2312" w:eastAsia="仿宋_GB2312"/>
              </w:rPr>
              <w:t>4.00（辆）</w:t>
            </w:r>
          </w:p>
        </w:tc>
        <w:tc>
          <w:tcPr>
            <w:tcW w:type="dxa" w:w="821"/>
          </w:tcPr>
          <w:p>
            <w:pPr>
              <w:pStyle w:val="null3"/>
              <w:jc w:val="right"/>
            </w:pPr>
            <w:r>
              <w:rPr>
                <w:rFonts w:ascii="仿宋_GB2312" w:hAnsi="仿宋_GB2312" w:cs="仿宋_GB2312" w:eastAsia="仿宋_GB2312"/>
              </w:rPr>
              <w:t>680,000.00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垃圾车</w:t>
            </w:r>
          </w:p>
        </w:tc>
        <w:tc>
          <w:tcPr>
            <w:tcW w:type="dxa" w:w="821"/>
          </w:tcPr>
          <w:p>
            <w:pPr>
              <w:pStyle w:val="null3"/>
              <w:jc w:val="right"/>
            </w:pPr>
            <w:r>
              <w:rPr>
                <w:rFonts w:ascii="仿宋_GB2312" w:hAnsi="仿宋_GB2312" w:cs="仿宋_GB2312" w:eastAsia="仿宋_GB2312"/>
              </w:rPr>
              <w:t>2.00（辆）</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洒水车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三轮垃圾清运车</w:t>
            </w:r>
          </w:p>
        </w:tc>
        <w:tc>
          <w:tcPr>
            <w:tcW w:type="dxa" w:w="821"/>
          </w:tcPr>
          <w:p>
            <w:pPr>
              <w:pStyle w:val="null3"/>
              <w:jc w:val="right"/>
            </w:pPr>
            <w:r>
              <w:rPr>
                <w:rFonts w:ascii="仿宋_GB2312" w:hAnsi="仿宋_GB2312" w:cs="仿宋_GB2312" w:eastAsia="仿宋_GB2312"/>
              </w:rPr>
              <w:t>10.00（辆）</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垃圾转运车皮卡</w:t>
            </w:r>
          </w:p>
        </w:tc>
        <w:tc>
          <w:tcPr>
            <w:tcW w:type="dxa" w:w="821"/>
          </w:tcPr>
          <w:p>
            <w:pPr>
              <w:pStyle w:val="null3"/>
              <w:jc w:val="right"/>
            </w:pPr>
            <w:r>
              <w:rPr>
                <w:rFonts w:ascii="仿宋_GB2312" w:hAnsi="仿宋_GB2312" w:cs="仿宋_GB2312" w:eastAsia="仿宋_GB2312"/>
              </w:rPr>
              <w:t>3.00（辆）</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大型垃圾车配套垃圾箱</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生活垃圾箱勾臂车专用</w:t>
            </w:r>
          </w:p>
        </w:tc>
        <w:tc>
          <w:tcPr>
            <w:tcW w:type="dxa" w:w="821"/>
          </w:tcPr>
          <w:p>
            <w:pPr>
              <w:pStyle w:val="null3"/>
              <w:jc w:val="right"/>
            </w:pPr>
            <w:r>
              <w:rPr>
                <w:rFonts w:ascii="仿宋_GB2312" w:hAnsi="仿宋_GB2312" w:cs="仿宋_GB2312" w:eastAsia="仿宋_GB2312"/>
              </w:rPr>
              <w:t>160.00（个）</w:t>
            </w:r>
          </w:p>
        </w:tc>
        <w:tc>
          <w:tcPr>
            <w:tcW w:type="dxa" w:w="821"/>
          </w:tcPr>
          <w:p>
            <w:pPr>
              <w:pStyle w:val="null3"/>
              <w:jc w:val="right"/>
            </w:pPr>
            <w:r>
              <w:rPr>
                <w:rFonts w:ascii="仿宋_GB2312" w:hAnsi="仿宋_GB2312" w:cs="仿宋_GB2312" w:eastAsia="仿宋_GB2312"/>
              </w:rPr>
              <w:t>1,280,000.00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240升垃圾桶</w:t>
            </w:r>
          </w:p>
        </w:tc>
        <w:tc>
          <w:tcPr>
            <w:tcW w:type="dxa" w:w="821"/>
          </w:tcPr>
          <w:p>
            <w:pPr>
              <w:pStyle w:val="null3"/>
              <w:jc w:val="right"/>
            </w:pPr>
            <w:r>
              <w:rPr>
                <w:rFonts w:ascii="仿宋_GB2312" w:hAnsi="仿宋_GB2312" w:cs="仿宋_GB2312" w:eastAsia="仿宋_GB2312"/>
              </w:rPr>
              <w:t>1,200.00（个）</w:t>
            </w:r>
          </w:p>
        </w:tc>
        <w:tc>
          <w:tcPr>
            <w:tcW w:type="dxa" w:w="821"/>
          </w:tcPr>
          <w:p>
            <w:pPr>
              <w:pStyle w:val="null3"/>
              <w:jc w:val="right"/>
            </w:pPr>
            <w:r>
              <w:rPr>
                <w:rFonts w:ascii="仿宋_GB2312" w:hAnsi="仿宋_GB2312" w:cs="仿宋_GB2312" w:eastAsia="仿宋_GB2312"/>
              </w:rPr>
              <w:t>420,000.00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A02039900 其他车辆</w:t>
            </w:r>
          </w:p>
        </w:tc>
        <w:tc>
          <w:tcPr>
            <w:tcW w:type="dxa" w:w="821"/>
          </w:tcPr>
          <w:p>
            <w:pPr>
              <w:pStyle w:val="null3"/>
              <w:jc w:val="left"/>
            </w:pPr>
            <w:r>
              <w:rPr>
                <w:rFonts w:ascii="仿宋_GB2312" w:hAnsi="仿宋_GB2312" w:cs="仿宋_GB2312" w:eastAsia="仿宋_GB2312"/>
              </w:rPr>
              <w:t>垃圾站</w:t>
            </w:r>
          </w:p>
        </w:tc>
        <w:tc>
          <w:tcPr>
            <w:tcW w:type="dxa" w:w="821"/>
          </w:tcPr>
          <w:p>
            <w:pPr>
              <w:pStyle w:val="null3"/>
              <w:jc w:val="right"/>
            </w:pPr>
            <w:r>
              <w:rPr>
                <w:rFonts w:ascii="仿宋_GB2312" w:hAnsi="仿宋_GB2312" w:cs="仿宋_GB2312" w:eastAsia="仿宋_GB2312"/>
              </w:rPr>
              <w:t>3.00（套）</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车厢可卸式垃圾车（垃圾转运）</w:t>
            </w:r>
          </w:p>
        </w:tc>
        <w:tc>
          <w:tcPr>
            <w:tcW w:type="dxa" w:w="1138"/>
          </w:tcPr>
          <w:p>
            <w:pPr>
              <w:pStyle w:val="null3"/>
              <w:jc w:val="center"/>
            </w:pPr>
            <w:r>
              <w:rPr>
                <w:rFonts w:ascii="仿宋_GB2312" w:hAnsi="仿宋_GB2312" w:cs="仿宋_GB2312" w:eastAsia="仿宋_GB2312"/>
              </w:rPr>
              <w:t>7.00（辆）</w:t>
            </w:r>
          </w:p>
        </w:tc>
        <w:tc>
          <w:tcPr>
            <w:tcW w:type="dxa" w:w="1365"/>
          </w:tcPr>
          <w:p>
            <w:pPr>
              <w:pStyle w:val="null3"/>
              <w:jc w:val="center"/>
            </w:pPr>
            <w:r>
              <w:rPr>
                <w:rFonts w:ascii="仿宋_GB2312" w:hAnsi="仿宋_GB2312" w:cs="仿宋_GB2312" w:eastAsia="仿宋_GB2312"/>
              </w:rPr>
              <w:t>2,310,000.00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压缩式垃圾车</w:t>
            </w:r>
          </w:p>
        </w:tc>
        <w:tc>
          <w:tcPr>
            <w:tcW w:type="dxa" w:w="1138"/>
          </w:tcPr>
          <w:p>
            <w:pPr>
              <w:pStyle w:val="null3"/>
              <w:jc w:val="center"/>
            </w:pPr>
            <w:r>
              <w:rPr>
                <w:rFonts w:ascii="仿宋_GB2312" w:hAnsi="仿宋_GB2312" w:cs="仿宋_GB2312" w:eastAsia="仿宋_GB2312"/>
              </w:rPr>
              <w:t>12.00（辆）</w:t>
            </w:r>
          </w:p>
        </w:tc>
        <w:tc>
          <w:tcPr>
            <w:tcW w:type="dxa" w:w="1365"/>
          </w:tcPr>
          <w:p>
            <w:pPr>
              <w:pStyle w:val="null3"/>
              <w:jc w:val="center"/>
            </w:pPr>
            <w:r>
              <w:rPr>
                <w:rFonts w:ascii="仿宋_GB2312" w:hAnsi="仿宋_GB2312" w:cs="仿宋_GB2312" w:eastAsia="仿宋_GB2312"/>
              </w:rPr>
              <w:t>4,200,000.00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车厢可卸式垃圾车（钩臂车）</w:t>
            </w:r>
          </w:p>
        </w:tc>
        <w:tc>
          <w:tcPr>
            <w:tcW w:type="dxa" w:w="1138"/>
          </w:tcPr>
          <w:p>
            <w:pPr>
              <w:pStyle w:val="null3"/>
              <w:jc w:val="center"/>
            </w:pPr>
            <w:r>
              <w:rPr>
                <w:rFonts w:ascii="仿宋_GB2312" w:hAnsi="仿宋_GB2312" w:cs="仿宋_GB2312" w:eastAsia="仿宋_GB2312"/>
              </w:rPr>
              <w:t>4.00（辆）</w:t>
            </w:r>
          </w:p>
        </w:tc>
        <w:tc>
          <w:tcPr>
            <w:tcW w:type="dxa" w:w="1365"/>
          </w:tcPr>
          <w:p>
            <w:pPr>
              <w:pStyle w:val="null3"/>
              <w:jc w:val="center"/>
            </w:pPr>
            <w:r>
              <w:rPr>
                <w:rFonts w:ascii="仿宋_GB2312" w:hAnsi="仿宋_GB2312" w:cs="仿宋_GB2312" w:eastAsia="仿宋_GB2312"/>
              </w:rPr>
              <w:t>680,000.00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垃圾车</w:t>
            </w:r>
          </w:p>
        </w:tc>
        <w:tc>
          <w:tcPr>
            <w:tcW w:type="dxa" w:w="1138"/>
          </w:tcPr>
          <w:p>
            <w:pPr>
              <w:pStyle w:val="null3"/>
              <w:jc w:val="center"/>
            </w:pPr>
            <w:r>
              <w:rPr>
                <w:rFonts w:ascii="仿宋_GB2312" w:hAnsi="仿宋_GB2312" w:cs="仿宋_GB2312" w:eastAsia="仿宋_GB2312"/>
              </w:rPr>
              <w:t>2.00（辆）</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洒水车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三轮垃圾清运车</w:t>
            </w:r>
          </w:p>
        </w:tc>
        <w:tc>
          <w:tcPr>
            <w:tcW w:type="dxa" w:w="1138"/>
          </w:tcPr>
          <w:p>
            <w:pPr>
              <w:pStyle w:val="null3"/>
              <w:jc w:val="center"/>
            </w:pPr>
            <w:r>
              <w:rPr>
                <w:rFonts w:ascii="仿宋_GB2312" w:hAnsi="仿宋_GB2312" w:cs="仿宋_GB2312" w:eastAsia="仿宋_GB2312"/>
              </w:rPr>
              <w:t>10.00（辆）</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垃圾转运车皮卡</w:t>
            </w:r>
          </w:p>
        </w:tc>
        <w:tc>
          <w:tcPr>
            <w:tcW w:type="dxa" w:w="1138"/>
          </w:tcPr>
          <w:p>
            <w:pPr>
              <w:pStyle w:val="null3"/>
              <w:jc w:val="center"/>
            </w:pPr>
            <w:r>
              <w:rPr>
                <w:rFonts w:ascii="仿宋_GB2312" w:hAnsi="仿宋_GB2312" w:cs="仿宋_GB2312" w:eastAsia="仿宋_GB2312"/>
              </w:rPr>
              <w:t>3.00（辆）</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大型垃圾车配套垃圾箱</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1,800,000.00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生活垃圾箱勾臂车专用</w:t>
            </w:r>
          </w:p>
        </w:tc>
        <w:tc>
          <w:tcPr>
            <w:tcW w:type="dxa" w:w="1138"/>
          </w:tcPr>
          <w:p>
            <w:pPr>
              <w:pStyle w:val="null3"/>
              <w:jc w:val="center"/>
            </w:pPr>
            <w:r>
              <w:rPr>
                <w:rFonts w:ascii="仿宋_GB2312" w:hAnsi="仿宋_GB2312" w:cs="仿宋_GB2312" w:eastAsia="仿宋_GB2312"/>
              </w:rPr>
              <w:t>160.00（个）</w:t>
            </w:r>
          </w:p>
        </w:tc>
        <w:tc>
          <w:tcPr>
            <w:tcW w:type="dxa" w:w="1365"/>
          </w:tcPr>
          <w:p>
            <w:pPr>
              <w:pStyle w:val="null3"/>
              <w:jc w:val="center"/>
            </w:pPr>
            <w:r>
              <w:rPr>
                <w:rFonts w:ascii="仿宋_GB2312" w:hAnsi="仿宋_GB2312" w:cs="仿宋_GB2312" w:eastAsia="仿宋_GB2312"/>
              </w:rPr>
              <w:t>1,280,000.00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240升垃圾桶</w:t>
            </w:r>
          </w:p>
        </w:tc>
        <w:tc>
          <w:tcPr>
            <w:tcW w:type="dxa" w:w="1138"/>
          </w:tcPr>
          <w:p>
            <w:pPr>
              <w:pStyle w:val="null3"/>
              <w:jc w:val="center"/>
            </w:pPr>
            <w:r>
              <w:rPr>
                <w:rFonts w:ascii="仿宋_GB2312" w:hAnsi="仿宋_GB2312" w:cs="仿宋_GB2312" w:eastAsia="仿宋_GB2312"/>
              </w:rPr>
              <w:t>1,200.00（个）</w:t>
            </w:r>
          </w:p>
        </w:tc>
        <w:tc>
          <w:tcPr>
            <w:tcW w:type="dxa" w:w="1365"/>
          </w:tcPr>
          <w:p>
            <w:pPr>
              <w:pStyle w:val="null3"/>
              <w:jc w:val="center"/>
            </w:pPr>
            <w:r>
              <w:rPr>
                <w:rFonts w:ascii="仿宋_GB2312" w:hAnsi="仿宋_GB2312" w:cs="仿宋_GB2312" w:eastAsia="仿宋_GB2312"/>
              </w:rPr>
              <w:t>420,000.00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垃圾站</w:t>
            </w:r>
          </w:p>
        </w:tc>
        <w:tc>
          <w:tcPr>
            <w:tcW w:type="dxa" w:w="1138"/>
          </w:tcPr>
          <w:p>
            <w:pPr>
              <w:pStyle w:val="null3"/>
              <w:jc w:val="center"/>
            </w:pPr>
            <w:r>
              <w:rPr>
                <w:rFonts w:ascii="仿宋_GB2312" w:hAnsi="仿宋_GB2312" w:cs="仿宋_GB2312" w:eastAsia="仿宋_GB2312"/>
              </w:rPr>
              <w:t>3.00（套）</w:t>
            </w:r>
          </w:p>
        </w:tc>
        <w:tc>
          <w:tcPr>
            <w:tcW w:type="dxa" w:w="1365"/>
          </w:tcPr>
          <w:p>
            <w:pPr>
              <w:pStyle w:val="null3"/>
              <w:jc w:val="center"/>
            </w:pPr>
            <w:r>
              <w:rPr>
                <w:rFonts w:ascii="仿宋_GB2312" w:hAnsi="仿宋_GB2312" w:cs="仿宋_GB2312" w:eastAsia="仿宋_GB2312"/>
              </w:rPr>
              <w:t>1,500,000.00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超过最高限价的为无效响应处理 投标人报价为完成本项目所需的一切费用，包括但不限于车辆裸车价、车辆上户、保险（交强险车船税，三者险≥200万，座位险≥30万元每座，医保外用药）、垃圾中转站改造、购置税、运输费、安装调试费、差旅费、售后服务、培训、代理服务费等全部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A02039900 其他车辆</w:t>
            </w:r>
          </w:p>
        </w:tc>
        <w:tc>
          <w:tcPr>
            <w:tcW w:type="dxa" w:w="2492"/>
          </w:tcPr>
          <w:p>
            <w:pPr>
              <w:pStyle w:val="null3"/>
              <w:jc w:val="left"/>
            </w:pPr>
            <w:r>
              <w:rPr>
                <w:rFonts w:ascii="仿宋_GB2312" w:hAnsi="仿宋_GB2312" w:cs="仿宋_GB2312" w:eastAsia="仿宋_GB2312"/>
              </w:rPr>
              <w:t>车厢可卸式垃圾车（钩臂车）</w:t>
            </w:r>
          </w:p>
        </w:tc>
        <w:tc>
          <w:tcPr>
            <w:tcW w:type="dxa" w:w="2492"/>
          </w:tcPr>
          <w:p>
            <w:pPr>
              <w:pStyle w:val="null3"/>
              <w:jc w:val="left"/>
            </w:pPr>
            <w:r>
              <w:rPr>
                <w:rFonts w:ascii="仿宋_GB2312" w:hAnsi="仿宋_GB2312" w:cs="仿宋_GB2312" w:eastAsia="仿宋_GB2312"/>
              </w:rPr>
              <w:t>车厢可卸式垃圾车（钩臂车）</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标的名称：车厢可卸式垃圾车（垃圾转运）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、排放标准</w:t>
            </w:r>
            <w:r>
              <w:rPr>
                <w:rFonts w:ascii="仿宋_GB2312" w:hAnsi="仿宋_GB2312" w:cs="仿宋_GB2312" w:eastAsia="仿宋_GB2312"/>
                <w:sz w:val="21"/>
              </w:rPr>
              <w:t>与燃油类型</w:t>
            </w:r>
            <w:r>
              <w:rPr>
                <w:rFonts w:ascii="仿宋_GB2312" w:hAnsi="仿宋_GB2312" w:cs="仿宋_GB2312" w:eastAsia="仿宋_GB2312"/>
                <w:sz w:val="21"/>
              </w:rPr>
              <w:t>：国</w:t>
            </w:r>
            <w:r>
              <w:rPr>
                <w:rFonts w:ascii="仿宋_GB2312" w:hAnsi="仿宋_GB2312" w:cs="仿宋_GB2312" w:eastAsia="仿宋_GB2312"/>
                <w:sz w:val="21"/>
              </w:rPr>
              <w:t>六</w:t>
            </w:r>
            <w:r>
              <w:rPr>
                <w:rFonts w:ascii="仿宋_GB2312" w:hAnsi="仿宋_GB2312" w:cs="仿宋_GB2312" w:eastAsia="仿宋_GB2312"/>
                <w:sz w:val="21"/>
              </w:rPr>
              <w:t>排放</w:t>
            </w:r>
            <w:r>
              <w:rPr>
                <w:rFonts w:ascii="仿宋_GB2312" w:hAnsi="仿宋_GB2312" w:cs="仿宋_GB2312" w:eastAsia="仿宋_GB2312"/>
                <w:sz w:val="21"/>
              </w:rPr>
              <w:t>、</w:t>
            </w:r>
            <w:r>
              <w:rPr>
                <w:rFonts w:ascii="仿宋_GB2312" w:hAnsi="仿宋_GB2312" w:cs="仿宋_GB2312" w:eastAsia="仿宋_GB2312"/>
                <w:sz w:val="21"/>
              </w:rPr>
              <w:t>柴油。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发动机功率</w:t>
            </w:r>
            <w:r>
              <w:rPr>
                <w:rFonts w:ascii="仿宋_GB2312" w:hAnsi="仿宋_GB2312" w:cs="仿宋_GB2312" w:eastAsia="仿宋_GB2312"/>
                <w:sz w:val="21"/>
              </w:rPr>
              <w:t>(kw)：≥2</w:t>
            </w:r>
            <w:r>
              <w:rPr>
                <w:rFonts w:ascii="仿宋_GB2312" w:hAnsi="仿宋_GB2312" w:cs="仿宋_GB2312" w:eastAsia="仿宋_GB2312"/>
                <w:sz w:val="21"/>
              </w:rPr>
              <w:t>20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mm）：长≤8600，宽≤2550，高≤3300。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、总质量</w:t>
            </w:r>
            <w:r>
              <w:rPr>
                <w:rFonts w:ascii="仿宋_GB2312" w:hAnsi="仿宋_GB2312" w:cs="仿宋_GB2312" w:eastAsia="仿宋_GB2312"/>
                <w:sz w:val="21"/>
              </w:rPr>
              <w:t>(kg)：≥25000</w:t>
            </w:r>
            <w:r>
              <w:rPr>
                <w:rFonts w:ascii="仿宋_GB2312" w:hAnsi="仿宋_GB2312" w:cs="仿宋_GB2312" w:eastAsia="仿宋_GB2312"/>
                <w:sz w:val="21"/>
              </w:rPr>
              <w:t>；</w:t>
            </w:r>
            <w:r>
              <w:rPr>
                <w:rFonts w:ascii="仿宋_GB2312" w:hAnsi="仿宋_GB2312" w:cs="仿宋_GB2312" w:eastAsia="仿宋_GB2312"/>
                <w:sz w:val="21"/>
              </w:rPr>
              <w:t>整备质量</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≤11300；额定载质量</w:t>
            </w:r>
            <w:r>
              <w:rPr>
                <w:rFonts w:ascii="仿宋_GB2312" w:hAnsi="仿宋_GB2312" w:cs="仿宋_GB2312" w:eastAsia="仿宋_GB2312"/>
                <w:sz w:val="21"/>
              </w:rPr>
              <w:t>(kg)：≥</w:t>
            </w:r>
            <w:r>
              <w:rPr>
                <w:rFonts w:ascii="仿宋_GB2312" w:hAnsi="仿宋_GB2312" w:cs="仿宋_GB2312" w:eastAsia="仿宋_GB2312"/>
                <w:sz w:val="21"/>
              </w:rPr>
              <w:t>13700。</w:t>
            </w:r>
          </w:p>
          <w:p>
            <w:pPr>
              <w:pStyle w:val="null3"/>
              <w:jc w:val="left"/>
            </w:pPr>
            <w:r>
              <w:rPr>
                <w:rFonts w:ascii="仿宋_GB2312" w:hAnsi="仿宋_GB2312" w:cs="仿宋_GB2312" w:eastAsia="仿宋_GB2312"/>
                <w:sz w:val="21"/>
              </w:rPr>
              <w:t>★5、前悬/后悬（mm）：≥1510/1260，接近角/离去角（°）：≥16/20。</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、钩臂</w:t>
            </w:r>
            <w:r>
              <w:rPr>
                <w:rFonts w:ascii="仿宋_GB2312" w:hAnsi="仿宋_GB2312" w:cs="仿宋_GB2312" w:eastAsia="仿宋_GB2312"/>
                <w:sz w:val="21"/>
              </w:rPr>
              <w:t>提升</w:t>
            </w:r>
            <w:r>
              <w:rPr>
                <w:rFonts w:ascii="仿宋_GB2312" w:hAnsi="仿宋_GB2312" w:cs="仿宋_GB2312" w:eastAsia="仿宋_GB2312"/>
                <w:sz w:val="21"/>
              </w:rPr>
              <w:t>能力（</w:t>
            </w:r>
            <w:r>
              <w:rPr>
                <w:rFonts w:ascii="仿宋_GB2312" w:hAnsi="仿宋_GB2312" w:cs="仿宋_GB2312" w:eastAsia="仿宋_GB2312"/>
                <w:sz w:val="21"/>
              </w:rPr>
              <w:t>T）：≥20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7、作业性能：拉箱作业时间≤60（s），卸箱作业时间≤60（s），卸料循环作业时间≤110（s），卸料角（°）</w:t>
            </w:r>
            <w:r>
              <w:rPr>
                <w:rFonts w:ascii="仿宋_GB2312" w:hAnsi="仿宋_GB2312" w:cs="仿宋_GB2312" w:eastAsia="仿宋_GB2312"/>
                <w:sz w:val="21"/>
              </w:rPr>
              <w:t>≥</w:t>
            </w:r>
            <w:r>
              <w:rPr>
                <w:rFonts w:ascii="仿宋_GB2312" w:hAnsi="仿宋_GB2312" w:cs="仿宋_GB2312" w:eastAsia="仿宋_GB2312"/>
                <w:sz w:val="21"/>
              </w:rPr>
              <w:t>50。</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功能要求：与垃圾箱配套使用，用于转运生活垃圾，具</w:t>
            </w:r>
            <w:r>
              <w:rPr>
                <w:rFonts w:ascii="仿宋_GB2312" w:hAnsi="仿宋_GB2312" w:cs="仿宋_GB2312" w:eastAsia="仿宋_GB2312"/>
                <w:sz w:val="21"/>
              </w:rPr>
              <w:t>有拉箱、卸箱、垃圾转运、卸料等</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 xml:space="preserve">9、拉臂结构件采用高强度钢板，关键部位采用高强度精铸件，延长使用寿命。 拉臂上装设置有多层电液互锁逻辑控制装置，安全性高。液压系统中设置箱体缓冲回落装置，使箱体能平缓地下降到车辆上，避免刚性冲击。车辆装配有安全支撑装置，车辆因维修需要举升拉臂时，应撑起安全撑杆，保护维修人员安全。车辆尾部安装有后滚轮支撑装置，防止车辆向后倾翻，安全可靠。  </w:t>
            </w:r>
          </w:p>
        </w:tc>
      </w:tr>
    </w:tbl>
    <w:p>
      <w:pPr>
        <w:pStyle w:val="null3"/>
        <w:jc w:val="left"/>
      </w:pPr>
      <w:r>
        <w:rPr>
          <w:rFonts w:ascii="仿宋_GB2312" w:hAnsi="仿宋_GB2312" w:cs="仿宋_GB2312" w:eastAsia="仿宋_GB2312"/>
        </w:rPr>
        <w:t>标的名称：压缩式垃圾车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、排放标准</w:t>
            </w:r>
            <w:r>
              <w:rPr>
                <w:rFonts w:ascii="仿宋_GB2312" w:hAnsi="仿宋_GB2312" w:cs="仿宋_GB2312" w:eastAsia="仿宋_GB2312"/>
                <w:sz w:val="21"/>
              </w:rPr>
              <w:t>与燃油类型</w:t>
            </w:r>
            <w:r>
              <w:rPr>
                <w:rFonts w:ascii="仿宋_GB2312" w:hAnsi="仿宋_GB2312" w:cs="仿宋_GB2312" w:eastAsia="仿宋_GB2312"/>
                <w:sz w:val="21"/>
              </w:rPr>
              <w:t>：国</w:t>
            </w:r>
            <w:r>
              <w:rPr>
                <w:rFonts w:ascii="仿宋_GB2312" w:hAnsi="仿宋_GB2312" w:cs="仿宋_GB2312" w:eastAsia="仿宋_GB2312"/>
                <w:sz w:val="21"/>
              </w:rPr>
              <w:t>六</w:t>
            </w:r>
            <w:r>
              <w:rPr>
                <w:rFonts w:ascii="仿宋_GB2312" w:hAnsi="仿宋_GB2312" w:cs="仿宋_GB2312" w:eastAsia="仿宋_GB2312"/>
                <w:sz w:val="21"/>
              </w:rPr>
              <w:t>排放</w:t>
            </w:r>
            <w:r>
              <w:rPr>
                <w:rFonts w:ascii="仿宋_GB2312" w:hAnsi="仿宋_GB2312" w:cs="仿宋_GB2312" w:eastAsia="仿宋_GB2312"/>
                <w:sz w:val="21"/>
              </w:rPr>
              <w:t>、</w:t>
            </w:r>
            <w:r>
              <w:rPr>
                <w:rFonts w:ascii="仿宋_GB2312" w:hAnsi="仿宋_GB2312" w:cs="仿宋_GB2312" w:eastAsia="仿宋_GB2312"/>
                <w:sz w:val="21"/>
              </w:rPr>
              <w:t>柴油。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发动机功率</w:t>
            </w:r>
            <w:r>
              <w:rPr>
                <w:rFonts w:ascii="仿宋_GB2312" w:hAnsi="仿宋_GB2312" w:cs="仿宋_GB2312" w:eastAsia="仿宋_GB2312"/>
                <w:sz w:val="21"/>
              </w:rPr>
              <w:t>(kw)：≥</w:t>
            </w:r>
            <w:r>
              <w:rPr>
                <w:rFonts w:ascii="仿宋_GB2312" w:hAnsi="仿宋_GB2312" w:cs="仿宋_GB2312" w:eastAsia="仿宋_GB2312"/>
                <w:sz w:val="21"/>
              </w:rPr>
              <w:t>115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mm）：长≤7900，宽≤2450，高≤3000。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、总质量</w:t>
            </w:r>
            <w:r>
              <w:rPr>
                <w:rFonts w:ascii="仿宋_GB2312" w:hAnsi="仿宋_GB2312" w:cs="仿宋_GB2312" w:eastAsia="仿宋_GB2312"/>
                <w:sz w:val="21"/>
              </w:rPr>
              <w:t>(kg)：≥</w:t>
            </w:r>
            <w:r>
              <w:rPr>
                <w:rFonts w:ascii="仿宋_GB2312" w:hAnsi="仿宋_GB2312" w:cs="仿宋_GB2312" w:eastAsia="仿宋_GB2312"/>
                <w:sz w:val="21"/>
              </w:rPr>
              <w:t>119</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整备质量</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≤6300；额定载质量</w:t>
            </w:r>
            <w:r>
              <w:rPr>
                <w:rFonts w:ascii="仿宋_GB2312" w:hAnsi="仿宋_GB2312" w:cs="仿宋_GB2312" w:eastAsia="仿宋_GB2312"/>
                <w:sz w:val="21"/>
              </w:rPr>
              <w:t>(kg)：≥</w:t>
            </w:r>
            <w:r>
              <w:rPr>
                <w:rFonts w:ascii="仿宋_GB2312" w:hAnsi="仿宋_GB2312" w:cs="仿宋_GB2312" w:eastAsia="仿宋_GB2312"/>
                <w:sz w:val="21"/>
              </w:rPr>
              <w:t>5500。</w:t>
            </w:r>
          </w:p>
          <w:p>
            <w:pPr>
              <w:pStyle w:val="null3"/>
              <w:jc w:val="left"/>
            </w:pPr>
            <w:r>
              <w:rPr>
                <w:rFonts w:ascii="仿宋_GB2312" w:hAnsi="仿宋_GB2312" w:cs="仿宋_GB2312" w:eastAsia="仿宋_GB2312"/>
                <w:sz w:val="21"/>
              </w:rPr>
              <w:t>★5、前悬/后悬（mm）：≥1070/2230，接近角/离去角（°）：≥20/13。</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垃圾箱容积（</w:t>
            </w:r>
            <w:r>
              <w:rPr>
                <w:rFonts w:ascii="仿宋_GB2312" w:hAnsi="仿宋_GB2312" w:cs="仿宋_GB2312" w:eastAsia="仿宋_GB2312"/>
                <w:sz w:val="21"/>
              </w:rPr>
              <w:t>m³）：≥9。</w:t>
            </w:r>
          </w:p>
          <w:p>
            <w:pPr>
              <w:pStyle w:val="null3"/>
              <w:jc w:val="left"/>
            </w:pPr>
            <w:r>
              <w:rPr>
                <w:rFonts w:ascii="仿宋_GB2312" w:hAnsi="仿宋_GB2312" w:cs="仿宋_GB2312" w:eastAsia="仿宋_GB2312"/>
                <w:sz w:val="21"/>
              </w:rPr>
              <w:t>▲7、车辆采用“控制器+CAN总线操作面板”的控制模式，各动作一键控制，操作简便。液压系统采用双联油泵，压填循环和上料循环联动互不影响，上料循环≤9（s），压缩循环≤13（s），装载作业效率高。采用独立油缸控制的可调式锁紧机构对填装器进行锁紧，采用马蹄形结构的硅胶密封条，确保填装器与垃圾箱的结合面四周全密封，有效杜绝二次污染。填装器采用了整体式滑块，具有自润滑功能和自排除垃圾能力，可靠耐用。填装器举升油缸设计有安全阀，防止</w:t>
            </w:r>
            <w:r>
              <w:rPr>
                <w:rFonts w:ascii="仿宋_GB2312" w:hAnsi="仿宋_GB2312" w:cs="仿宋_GB2312" w:eastAsia="仿宋_GB2312"/>
                <w:sz w:val="21"/>
              </w:rPr>
              <w:t>油路管</w:t>
            </w:r>
            <w:r>
              <w:rPr>
                <w:rFonts w:ascii="仿宋_GB2312" w:hAnsi="仿宋_GB2312" w:cs="仿宋_GB2312" w:eastAsia="仿宋_GB2312"/>
                <w:sz w:val="21"/>
              </w:rPr>
              <w:t>爆裂导致压填机构突然下降造成恶性事故。</w:t>
            </w:r>
            <w:r>
              <w:rPr>
                <w:rFonts w:ascii="仿宋_GB2312" w:hAnsi="仿宋_GB2312" w:cs="仿宋_GB2312" w:eastAsia="仿宋_GB2312"/>
                <w:sz w:val="21"/>
                <w:b/>
              </w:rPr>
              <w:t>（</w:t>
            </w:r>
            <w:r>
              <w:rPr>
                <w:rFonts w:ascii="仿宋_GB2312" w:hAnsi="仿宋_GB2312" w:cs="仿宋_GB2312" w:eastAsia="仿宋_GB2312"/>
                <w:sz w:val="21"/>
                <w:b/>
              </w:rPr>
              <w:t>投标文件中提供承诺函，格式自拟</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功能要求：</w:t>
            </w:r>
            <w:r>
              <w:rPr>
                <w:rFonts w:ascii="仿宋_GB2312" w:hAnsi="仿宋_GB2312" w:cs="仿宋_GB2312" w:eastAsia="仿宋_GB2312"/>
                <w:sz w:val="21"/>
              </w:rPr>
              <w:t>配</w:t>
            </w:r>
            <w:r>
              <w:rPr>
                <w:rFonts w:ascii="仿宋_GB2312" w:hAnsi="仿宋_GB2312" w:cs="仿宋_GB2312" w:eastAsia="仿宋_GB2312"/>
                <w:sz w:val="21"/>
              </w:rPr>
              <w:t>翻</w:t>
            </w:r>
            <w:r>
              <w:rPr>
                <w:rFonts w:ascii="仿宋_GB2312" w:hAnsi="仿宋_GB2312" w:cs="仿宋_GB2312" w:eastAsia="仿宋_GB2312"/>
                <w:sz w:val="21"/>
              </w:rPr>
              <w:t>240L垃圾桶、660L垃圾桶、330L圆铁桶翻桶提升机构，用于</w:t>
            </w:r>
            <w:r>
              <w:rPr>
                <w:rFonts w:ascii="仿宋_GB2312" w:hAnsi="仿宋_GB2312" w:cs="仿宋_GB2312" w:eastAsia="仿宋_GB2312"/>
                <w:sz w:val="21"/>
              </w:rPr>
              <w:t>翻桶作业</w:t>
            </w:r>
            <w:r>
              <w:rPr>
                <w:rFonts w:ascii="仿宋_GB2312" w:hAnsi="仿宋_GB2312" w:cs="仿宋_GB2312" w:eastAsia="仿宋_GB2312"/>
                <w:sz w:val="21"/>
              </w:rPr>
              <w:t>。</w:t>
            </w:r>
            <w:r>
              <w:rPr>
                <w:rFonts w:ascii="仿宋_GB2312" w:hAnsi="仿宋_GB2312" w:cs="仿宋_GB2312" w:eastAsia="仿宋_GB2312"/>
                <w:sz w:val="21"/>
              </w:rPr>
              <w:t>具有垃圾收集、自动装入压实、转运和卸料等功能。</w:t>
            </w:r>
          </w:p>
        </w:tc>
      </w:tr>
    </w:tbl>
    <w:p>
      <w:pPr>
        <w:pStyle w:val="null3"/>
        <w:jc w:val="left"/>
      </w:pPr>
      <w:r>
        <w:rPr>
          <w:rFonts w:ascii="仿宋_GB2312" w:hAnsi="仿宋_GB2312" w:cs="仿宋_GB2312" w:eastAsia="仿宋_GB2312"/>
        </w:rPr>
        <w:t>标的名称：车厢可卸式垃圾车（钩臂车）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★1、排放标准与燃油类型：国六排放、柴油。</w:t>
            </w:r>
          </w:p>
          <w:p>
            <w:pPr>
              <w:pStyle w:val="null3"/>
              <w:jc w:val="both"/>
            </w:pPr>
            <w:r>
              <w:rPr>
                <w:rFonts w:ascii="仿宋_GB2312" w:hAnsi="仿宋_GB2312" w:cs="仿宋_GB2312" w:eastAsia="仿宋_GB2312"/>
                <w:sz w:val="21"/>
              </w:rPr>
              <w:t>★2、发动机功率(kw)：≥100。</w:t>
            </w:r>
          </w:p>
          <w:p>
            <w:pPr>
              <w:pStyle w:val="null3"/>
              <w:jc w:val="both"/>
            </w:pPr>
            <w:r>
              <w:rPr>
                <w:rFonts w:ascii="仿宋_GB2312" w:hAnsi="仿宋_GB2312" w:cs="仿宋_GB2312" w:eastAsia="仿宋_GB2312"/>
                <w:sz w:val="21"/>
              </w:rPr>
              <w:t>3、外形尺寸（mm）：长≤5350，宽≤2000，高≤2200。</w:t>
            </w:r>
          </w:p>
          <w:p>
            <w:pPr>
              <w:pStyle w:val="null3"/>
              <w:jc w:val="both"/>
            </w:pPr>
            <w:r>
              <w:rPr>
                <w:rFonts w:ascii="仿宋_GB2312" w:hAnsi="仿宋_GB2312" w:cs="仿宋_GB2312" w:eastAsia="仿宋_GB2312"/>
                <w:sz w:val="21"/>
              </w:rPr>
              <w:t>★4、总质量(kg)：≥7300；整备质量(kg)：≤3380；额定载质量(kg)：≥3850。</w:t>
            </w:r>
          </w:p>
          <w:p>
            <w:pPr>
              <w:pStyle w:val="null3"/>
              <w:jc w:val="both"/>
            </w:pPr>
            <w:r>
              <w:rPr>
                <w:rFonts w:ascii="仿宋_GB2312" w:hAnsi="仿宋_GB2312" w:cs="仿宋_GB2312" w:eastAsia="仿宋_GB2312"/>
                <w:sz w:val="21"/>
              </w:rPr>
              <w:t>★5、前悬/后悬（mm）：≥1055/985，接近角/离去角（°）：≥27/16。</w:t>
            </w:r>
          </w:p>
          <w:p>
            <w:pPr>
              <w:pStyle w:val="null3"/>
              <w:jc w:val="both"/>
            </w:pPr>
            <w:r>
              <w:rPr>
                <w:rFonts w:ascii="仿宋_GB2312" w:hAnsi="仿宋_GB2312" w:cs="仿宋_GB2312" w:eastAsia="仿宋_GB2312"/>
                <w:sz w:val="21"/>
              </w:rPr>
              <w:t>★6、钩臂提升能力（T）：≥3。</w:t>
            </w:r>
          </w:p>
          <w:p>
            <w:pPr>
              <w:pStyle w:val="null3"/>
              <w:jc w:val="both"/>
            </w:pPr>
            <w:r>
              <w:rPr>
                <w:rFonts w:ascii="仿宋_GB2312" w:hAnsi="仿宋_GB2312" w:cs="仿宋_GB2312" w:eastAsia="仿宋_GB2312"/>
                <w:sz w:val="21"/>
              </w:rPr>
              <w:t>7、作业性能：拉箱作业时间≤35（s），卸箱作业时间≤35（s），卸料循环作业时间≤30（s），卸料角（°）≥40。</w:t>
            </w:r>
          </w:p>
          <w:p>
            <w:pPr>
              <w:pStyle w:val="null3"/>
              <w:jc w:val="left"/>
            </w:pPr>
            <w:r>
              <w:rPr>
                <w:rFonts w:ascii="仿宋_GB2312" w:hAnsi="仿宋_GB2312" w:cs="仿宋_GB2312" w:eastAsia="仿宋_GB2312"/>
                <w:sz w:val="21"/>
              </w:rPr>
              <w:t>8、功能要求：车厢可卸式垃圾车同时具备货物自卸和箱体自动装卸功能，操作和转换均由液压系统实现。与6m³垃圾箱配套使用，用于转运生活垃圾，具有拉箱、卸箱、垃圾转运、卸料等功能。</w:t>
            </w:r>
          </w:p>
          <w:p>
            <w:pPr>
              <w:pStyle w:val="null3"/>
              <w:jc w:val="left"/>
            </w:pPr>
            <w:r>
              <w:rPr>
                <w:rFonts w:ascii="仿宋_GB2312" w:hAnsi="仿宋_GB2312" w:cs="仿宋_GB2312" w:eastAsia="仿宋_GB2312"/>
                <w:sz w:val="21"/>
              </w:rPr>
              <w:t>9、拉臂结构件采用高强度钢板，关键部位采用高强度精铸件，延长使用寿命。 拉臂上装设置有多层电液互锁逻辑控制装置，安全性高。液压系统中设置箱体缓冲回落装置，使箱体能平缓地下降到车辆上，避免刚性冲击。车辆装配有安全支撑装置，车辆因维修需要举升拉臂时，应撑起安全撑杆，保护维修人员安全。车辆尾部安装有后滚轮支撑装置，防止车辆向后倾翻，安全可靠。</w:t>
            </w:r>
          </w:p>
        </w:tc>
      </w:tr>
    </w:tbl>
    <w:p>
      <w:pPr>
        <w:pStyle w:val="null3"/>
        <w:jc w:val="left"/>
      </w:pPr>
      <w:r>
        <w:rPr>
          <w:rFonts w:ascii="仿宋_GB2312" w:hAnsi="仿宋_GB2312" w:cs="仿宋_GB2312" w:eastAsia="仿宋_GB2312"/>
        </w:rPr>
        <w:t>标的名称：垃圾车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★1、排放标准与燃油类型：国六排放、柴油。</w:t>
            </w:r>
          </w:p>
          <w:p>
            <w:pPr>
              <w:pStyle w:val="null3"/>
              <w:jc w:val="both"/>
            </w:pPr>
            <w:r>
              <w:rPr>
                <w:rFonts w:ascii="仿宋_GB2312" w:hAnsi="仿宋_GB2312" w:cs="仿宋_GB2312" w:eastAsia="仿宋_GB2312"/>
                <w:sz w:val="21"/>
              </w:rPr>
              <w:t>★2、发动机功率(kw)：≥140。</w:t>
            </w:r>
          </w:p>
          <w:p>
            <w:pPr>
              <w:pStyle w:val="null3"/>
              <w:jc w:val="both"/>
            </w:pPr>
            <w:r>
              <w:rPr>
                <w:rFonts w:ascii="仿宋_GB2312" w:hAnsi="仿宋_GB2312" w:cs="仿宋_GB2312" w:eastAsia="仿宋_GB2312"/>
                <w:sz w:val="21"/>
              </w:rPr>
              <w:t>3、外形尺寸（mm）：长≤7200，宽≤2500，高≤3000。</w:t>
            </w:r>
          </w:p>
          <w:p>
            <w:pPr>
              <w:pStyle w:val="null3"/>
              <w:jc w:val="both"/>
            </w:pPr>
            <w:r>
              <w:rPr>
                <w:rFonts w:ascii="仿宋_GB2312" w:hAnsi="仿宋_GB2312" w:cs="仿宋_GB2312" w:eastAsia="仿宋_GB2312"/>
                <w:sz w:val="21"/>
              </w:rPr>
              <w:t>★4、总质量(kg)：≥12000；整备质量(kg)：≤7000；额定载质量(kg)：≥5000。</w:t>
            </w:r>
          </w:p>
          <w:p>
            <w:pPr>
              <w:pStyle w:val="null3"/>
              <w:jc w:val="both"/>
            </w:pPr>
            <w:r>
              <w:rPr>
                <w:rFonts w:ascii="仿宋_GB2312" w:hAnsi="仿宋_GB2312" w:cs="仿宋_GB2312" w:eastAsia="仿宋_GB2312"/>
                <w:sz w:val="21"/>
              </w:rPr>
              <w:t>★5、前悬/后悬（mm）：≥1400/1630，接近角/离去角（°）：≥14/15。</w:t>
            </w:r>
          </w:p>
          <w:p>
            <w:pPr>
              <w:pStyle w:val="null3"/>
              <w:jc w:val="both"/>
            </w:pPr>
            <w:r>
              <w:rPr>
                <w:rFonts w:ascii="仿宋_GB2312" w:hAnsi="仿宋_GB2312" w:cs="仿宋_GB2312" w:eastAsia="仿宋_GB2312"/>
                <w:sz w:val="21"/>
              </w:rPr>
              <w:t>★6、箱体容积（m³）：≥9。</w:t>
            </w:r>
          </w:p>
          <w:p>
            <w:pPr>
              <w:pStyle w:val="null3"/>
              <w:jc w:val="both"/>
            </w:pPr>
            <w:r>
              <w:rPr>
                <w:rFonts w:ascii="仿宋_GB2312" w:hAnsi="仿宋_GB2312" w:cs="仿宋_GB2312" w:eastAsia="仿宋_GB2312"/>
                <w:sz w:val="21"/>
              </w:rPr>
              <w:t>7、作业性能：采用侧上料机构，能够满足120L/240L标准垃圾桶上料，能够驾驶室外操作压缩和上料。</w:t>
            </w:r>
          </w:p>
          <w:p>
            <w:pPr>
              <w:pStyle w:val="null3"/>
              <w:jc w:val="left"/>
            </w:pPr>
            <w:r>
              <w:rPr>
                <w:rFonts w:ascii="仿宋_GB2312" w:hAnsi="仿宋_GB2312" w:cs="仿宋_GB2312" w:eastAsia="仿宋_GB2312"/>
                <w:sz w:val="21"/>
              </w:rPr>
              <w:t>8、功能要求：整车配备冷暖空调。箱体、后门等主体结构采用耐腐蚀的304不锈钢（或优于）。后门采用压缩可调式后门结构，实现后门密封条压缩量可调，在垃圾箱和后门之间采用加强型硅胶条密封，保证餐厨垃圾在收运过程中均处于密闭状态，防止对环境造成二次污染。侧提桶机构采用油缸驱动，通过链条或连杆装置实现翻桶倒料和复位。具有餐厨垃圾投料、推挤排料、收集与转运的功能。</w:t>
            </w:r>
          </w:p>
        </w:tc>
      </w:tr>
    </w:tbl>
    <w:p>
      <w:pPr>
        <w:pStyle w:val="null3"/>
        <w:jc w:val="left"/>
      </w:pPr>
      <w:r>
        <w:rPr>
          <w:rFonts w:ascii="仿宋_GB2312" w:hAnsi="仿宋_GB2312" w:cs="仿宋_GB2312" w:eastAsia="仿宋_GB2312"/>
        </w:rPr>
        <w:t>标的名称：洒水车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、排放标准</w:t>
            </w:r>
            <w:r>
              <w:rPr>
                <w:rFonts w:ascii="仿宋_GB2312" w:hAnsi="仿宋_GB2312" w:cs="仿宋_GB2312" w:eastAsia="仿宋_GB2312"/>
                <w:sz w:val="21"/>
              </w:rPr>
              <w:t>与燃油类型</w:t>
            </w:r>
            <w:r>
              <w:rPr>
                <w:rFonts w:ascii="仿宋_GB2312" w:hAnsi="仿宋_GB2312" w:cs="仿宋_GB2312" w:eastAsia="仿宋_GB2312"/>
                <w:sz w:val="21"/>
              </w:rPr>
              <w:t>：国</w:t>
            </w:r>
            <w:r>
              <w:rPr>
                <w:rFonts w:ascii="仿宋_GB2312" w:hAnsi="仿宋_GB2312" w:cs="仿宋_GB2312" w:eastAsia="仿宋_GB2312"/>
                <w:sz w:val="21"/>
              </w:rPr>
              <w:t>六</w:t>
            </w:r>
            <w:r>
              <w:rPr>
                <w:rFonts w:ascii="仿宋_GB2312" w:hAnsi="仿宋_GB2312" w:cs="仿宋_GB2312" w:eastAsia="仿宋_GB2312"/>
                <w:sz w:val="21"/>
              </w:rPr>
              <w:t>排放</w:t>
            </w:r>
            <w:r>
              <w:rPr>
                <w:rFonts w:ascii="仿宋_GB2312" w:hAnsi="仿宋_GB2312" w:cs="仿宋_GB2312" w:eastAsia="仿宋_GB2312"/>
                <w:sz w:val="21"/>
              </w:rPr>
              <w:t>、</w:t>
            </w:r>
            <w:r>
              <w:rPr>
                <w:rFonts w:ascii="仿宋_GB2312" w:hAnsi="仿宋_GB2312" w:cs="仿宋_GB2312" w:eastAsia="仿宋_GB2312"/>
                <w:sz w:val="21"/>
              </w:rPr>
              <w:t>柴油。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发动机功率</w:t>
            </w:r>
            <w:r>
              <w:rPr>
                <w:rFonts w:ascii="仿宋_GB2312" w:hAnsi="仿宋_GB2312" w:cs="仿宋_GB2312" w:eastAsia="仿宋_GB2312"/>
                <w:sz w:val="21"/>
              </w:rPr>
              <w:t>(kw)：≥</w:t>
            </w:r>
            <w:r>
              <w:rPr>
                <w:rFonts w:ascii="仿宋_GB2312" w:hAnsi="仿宋_GB2312" w:cs="仿宋_GB2312" w:eastAsia="仿宋_GB2312"/>
                <w:sz w:val="21"/>
              </w:rPr>
              <w:t>190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外形尺寸（</w:t>
            </w:r>
            <w:r>
              <w:rPr>
                <w:rFonts w:ascii="仿宋_GB2312" w:hAnsi="仿宋_GB2312" w:cs="仿宋_GB2312" w:eastAsia="仿宋_GB2312"/>
                <w:sz w:val="21"/>
              </w:rPr>
              <w:t>mm）：长≤7800，宽≤2500，高≤3200。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、总质量</w:t>
            </w:r>
            <w:r>
              <w:rPr>
                <w:rFonts w:ascii="仿宋_GB2312" w:hAnsi="仿宋_GB2312" w:cs="仿宋_GB2312" w:eastAsia="仿宋_GB2312"/>
                <w:sz w:val="21"/>
              </w:rPr>
              <w:t>(kg)：≥</w:t>
            </w:r>
            <w:r>
              <w:rPr>
                <w:rFonts w:ascii="仿宋_GB2312" w:hAnsi="仿宋_GB2312" w:cs="仿宋_GB2312" w:eastAsia="仿宋_GB2312"/>
                <w:sz w:val="21"/>
              </w:rPr>
              <w:t>160</w:t>
            </w:r>
            <w:r>
              <w:rPr>
                <w:rFonts w:ascii="仿宋_GB2312" w:hAnsi="仿宋_GB2312" w:cs="仿宋_GB2312" w:eastAsia="仿宋_GB2312"/>
                <w:sz w:val="21"/>
              </w:rPr>
              <w:t>00</w:t>
            </w:r>
            <w:r>
              <w:rPr>
                <w:rFonts w:ascii="仿宋_GB2312" w:hAnsi="仿宋_GB2312" w:cs="仿宋_GB2312" w:eastAsia="仿宋_GB2312"/>
                <w:sz w:val="21"/>
              </w:rPr>
              <w:t>；</w:t>
            </w:r>
            <w:r>
              <w:rPr>
                <w:rFonts w:ascii="仿宋_GB2312" w:hAnsi="仿宋_GB2312" w:cs="仿宋_GB2312" w:eastAsia="仿宋_GB2312"/>
                <w:sz w:val="21"/>
              </w:rPr>
              <w:t>整备质量</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≤6300；额定载质量</w:t>
            </w:r>
            <w:r>
              <w:rPr>
                <w:rFonts w:ascii="仿宋_GB2312" w:hAnsi="仿宋_GB2312" w:cs="仿宋_GB2312" w:eastAsia="仿宋_GB2312"/>
                <w:sz w:val="21"/>
              </w:rPr>
              <w:t>(kg)：≥</w:t>
            </w:r>
            <w:r>
              <w:rPr>
                <w:rFonts w:ascii="仿宋_GB2312" w:hAnsi="仿宋_GB2312" w:cs="仿宋_GB2312" w:eastAsia="仿宋_GB2312"/>
                <w:sz w:val="21"/>
              </w:rPr>
              <w:t>9700。</w:t>
            </w:r>
          </w:p>
          <w:p>
            <w:pPr>
              <w:pStyle w:val="null3"/>
              <w:jc w:val="left"/>
            </w:pPr>
            <w:r>
              <w:rPr>
                <w:rFonts w:ascii="仿宋_GB2312" w:hAnsi="仿宋_GB2312" w:cs="仿宋_GB2312" w:eastAsia="仿宋_GB2312"/>
                <w:sz w:val="21"/>
              </w:rPr>
              <w:t>★5、前悬/后悬（mm）：≥1430/2150，接近角/离去角（°）：≥13/11。</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水罐有效容积（</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低压水泵扬程（</w:t>
            </w:r>
            <w:r>
              <w:rPr>
                <w:rFonts w:ascii="仿宋_GB2312" w:hAnsi="仿宋_GB2312" w:cs="仿宋_GB2312" w:eastAsia="仿宋_GB2312"/>
                <w:sz w:val="21"/>
              </w:rPr>
              <w:t>m）：≥110；鸭嘴冲洗宽度（m）：≥8；对冲冲洗宽度（m）：≥24；洒水宽度（m）：≥14；</w:t>
            </w:r>
            <w:r>
              <w:rPr>
                <w:rFonts w:ascii="仿宋_GB2312" w:hAnsi="仿宋_GB2312" w:cs="仿宋_GB2312" w:eastAsia="仿宋_GB2312"/>
                <w:sz w:val="21"/>
              </w:rPr>
              <w:t>水炮射程</w:t>
            </w:r>
            <w:r>
              <w:rPr>
                <w:rFonts w:ascii="仿宋_GB2312" w:hAnsi="仿宋_GB2312" w:cs="仿宋_GB2312" w:eastAsia="仿宋_GB2312"/>
                <w:sz w:val="21"/>
              </w:rPr>
              <w:t>（</w:t>
            </w:r>
            <w:r>
              <w:rPr>
                <w:rFonts w:ascii="仿宋_GB2312" w:hAnsi="仿宋_GB2312" w:cs="仿宋_GB2312" w:eastAsia="仿宋_GB2312"/>
                <w:sz w:val="21"/>
              </w:rPr>
              <w:t>m）：≥38。</w:t>
            </w:r>
          </w:p>
          <w:p>
            <w:pPr>
              <w:pStyle w:val="null3"/>
              <w:jc w:val="left"/>
            </w:pPr>
            <w:r>
              <w:rPr>
                <w:rFonts w:ascii="仿宋_GB2312" w:hAnsi="仿宋_GB2312" w:cs="仿宋_GB2312" w:eastAsia="仿宋_GB2312"/>
                <w:sz w:val="21"/>
              </w:rPr>
              <w:t>8、功能要求：对路面实现冲洗和洒水降尘，绿化带浇灌等功能，用于道路、广场清洗、洒水和绿化带浇灌作业。动力强劲，爬坡能力强，采用8档变速箱，可在山区道路上行驶，可用于森林防火作业。</w:t>
            </w:r>
          </w:p>
          <w:p>
            <w:pPr>
              <w:pStyle w:val="null3"/>
              <w:jc w:val="left"/>
            </w:pPr>
            <w:r>
              <w:rPr>
                <w:rFonts w:ascii="仿宋_GB2312" w:hAnsi="仿宋_GB2312" w:cs="仿宋_GB2312" w:eastAsia="仿宋_GB2312"/>
                <w:sz w:val="21"/>
              </w:rPr>
              <w:t>9、水罐采用一次性包罐成型技术，不漏水，水罐内部经防腐处理，使用寿命长。车辆配有冷暖空调，具有作业警示功能，提示周围车辆、行人注意避让。</w:t>
            </w:r>
          </w:p>
        </w:tc>
      </w:tr>
    </w:tbl>
    <w:p>
      <w:pPr>
        <w:pStyle w:val="null3"/>
        <w:jc w:val="left"/>
      </w:pPr>
      <w:r>
        <w:rPr>
          <w:rFonts w:ascii="仿宋_GB2312" w:hAnsi="仿宋_GB2312" w:cs="仿宋_GB2312" w:eastAsia="仿宋_GB2312"/>
        </w:rPr>
        <w:t>标的名称：三轮垃圾清运车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燃料种类：汽油</w:t>
            </w:r>
            <w:r>
              <w:rPr>
                <w:rFonts w:ascii="仿宋_GB2312" w:hAnsi="仿宋_GB2312" w:cs="仿宋_GB2312" w:eastAsia="仿宋_GB2312"/>
                <w:sz w:val="21"/>
              </w:rPr>
              <w:t>，</w:t>
            </w:r>
            <w:r>
              <w:rPr>
                <w:rFonts w:ascii="仿宋_GB2312" w:hAnsi="仿宋_GB2312" w:cs="仿宋_GB2312" w:eastAsia="仿宋_GB2312"/>
                <w:sz w:val="21"/>
              </w:rPr>
              <w:t>排放标准：</w:t>
            </w:r>
            <w:r>
              <w:rPr>
                <w:rFonts w:ascii="仿宋_GB2312" w:hAnsi="仿宋_GB2312" w:cs="仿宋_GB2312" w:eastAsia="仿宋_GB2312"/>
                <w:sz w:val="21"/>
              </w:rPr>
              <w:t>GB14622-2016</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发动机功率</w:t>
            </w:r>
            <w:r>
              <w:rPr>
                <w:rFonts w:ascii="仿宋_GB2312" w:hAnsi="仿宋_GB2312" w:cs="仿宋_GB2312" w:eastAsia="仿宋_GB2312"/>
                <w:sz w:val="21"/>
              </w:rPr>
              <w:t>(kw)：≥8</w:t>
            </w:r>
            <w:r>
              <w:rPr>
                <w:rFonts w:ascii="仿宋_GB2312" w:hAnsi="仿宋_GB2312" w:cs="仿宋_GB2312" w:eastAsia="仿宋_GB2312"/>
                <w:sz w:val="21"/>
              </w:rPr>
              <w:t>；</w:t>
            </w:r>
            <w:r>
              <w:rPr>
                <w:rFonts w:ascii="仿宋_GB2312" w:hAnsi="仿宋_GB2312" w:cs="仿宋_GB2312" w:eastAsia="仿宋_GB2312"/>
                <w:sz w:val="21"/>
              </w:rPr>
              <w:t>排量</w:t>
            </w:r>
            <w:r>
              <w:rPr>
                <w:rFonts w:ascii="仿宋_GB2312" w:hAnsi="仿宋_GB2312" w:cs="仿宋_GB2312" w:eastAsia="仿宋_GB2312"/>
                <w:sz w:val="21"/>
              </w:rPr>
              <w:t>（</w:t>
            </w:r>
            <w:r>
              <w:rPr>
                <w:rFonts w:ascii="仿宋_GB2312" w:hAnsi="仿宋_GB2312" w:cs="仿宋_GB2312" w:eastAsia="仿宋_GB2312"/>
                <w:sz w:val="21"/>
              </w:rPr>
              <w:t>ml</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≥145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轴距（</w:t>
            </w:r>
            <w:r>
              <w:rPr>
                <w:rFonts w:ascii="仿宋_GB2312" w:hAnsi="仿宋_GB2312" w:cs="仿宋_GB2312" w:eastAsia="仿宋_GB2312"/>
                <w:sz w:val="21"/>
                <w:color w:val="000000"/>
              </w:rPr>
              <w:t>mm）：≤2460。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总质量</w:t>
            </w:r>
            <w:r>
              <w:rPr>
                <w:rFonts w:ascii="仿宋_GB2312" w:hAnsi="仿宋_GB2312" w:cs="仿宋_GB2312" w:eastAsia="仿宋_GB2312"/>
                <w:sz w:val="21"/>
              </w:rPr>
              <w:t>（</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19</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整备质量</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≤600；额定载质量</w:t>
            </w:r>
            <w:r>
              <w:rPr>
                <w:rFonts w:ascii="仿宋_GB2312" w:hAnsi="仿宋_GB2312" w:cs="仿宋_GB2312" w:eastAsia="仿宋_GB2312"/>
                <w:sz w:val="21"/>
              </w:rPr>
              <w:t>(kg)：≥</w:t>
            </w:r>
            <w:r>
              <w:rPr>
                <w:rFonts w:ascii="仿宋_GB2312" w:hAnsi="仿宋_GB2312" w:cs="仿宋_GB2312" w:eastAsia="仿宋_GB2312"/>
                <w:sz w:val="21"/>
              </w:rPr>
              <w:t>590。</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外形尺寸（</w:t>
            </w:r>
            <w:r>
              <w:rPr>
                <w:rFonts w:ascii="仿宋_GB2312" w:hAnsi="仿宋_GB2312" w:cs="仿宋_GB2312" w:eastAsia="仿宋_GB2312"/>
                <w:sz w:val="21"/>
              </w:rPr>
              <w:t>mm）：长≤3500，宽≤1500，高≤2000，</w:t>
            </w:r>
            <w:r>
              <w:rPr>
                <w:rFonts w:ascii="仿宋_GB2312" w:hAnsi="仿宋_GB2312" w:cs="仿宋_GB2312" w:eastAsia="仿宋_GB2312"/>
                <w:sz w:val="21"/>
              </w:rPr>
              <w:t>箱体尺寸（</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≥2000×1400×1200mm。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、箱体容积</w:t>
            </w:r>
            <w:r>
              <w:rPr>
                <w:rFonts w:ascii="仿宋_GB2312" w:hAnsi="仿宋_GB2312" w:cs="仿宋_GB2312" w:eastAsia="仿宋_GB2312"/>
                <w:sz w:val="21"/>
              </w:rPr>
              <w:t>（</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整体焊接车架，采用冷轧碳钢材质；模具冲压成型一体式半封闭车篷，配备自动雨刮器。车箱底板采用≥2.0mm厚碳钢板，箱门一体冲压，具有良好的密封性，箱体尾部上翘，无泄漏现象。采用4柱4簧专用载重液压前减震。采用220鼓全浮油刹后桥。整车配有LED照明大灯/转向灯/刹车灯/行车灯/警示灯/电喇叭/倒车语音。轮胎规格</w:t>
            </w:r>
            <w:r>
              <w:rPr>
                <w:rFonts w:ascii="仿宋_GB2312" w:hAnsi="仿宋_GB2312" w:cs="仿宋_GB2312" w:eastAsia="仿宋_GB2312"/>
              </w:rPr>
              <w:t>前轮</w:t>
            </w:r>
            <w:r>
              <w:rPr>
                <w:rFonts w:ascii="仿宋_GB2312" w:hAnsi="仿宋_GB2312" w:cs="仿宋_GB2312" w:eastAsia="仿宋_GB2312"/>
              </w:rPr>
              <w:t>≥5.00-12，后轮≥5.00-12</w:t>
            </w:r>
            <w:r>
              <w:rPr>
                <w:rFonts w:ascii="仿宋_GB2312" w:hAnsi="仿宋_GB2312" w:cs="仿宋_GB2312" w:eastAsia="仿宋_GB2312"/>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功能要求：</w:t>
            </w:r>
            <w:r>
              <w:rPr>
                <w:rFonts w:ascii="仿宋_GB2312" w:hAnsi="仿宋_GB2312" w:cs="仿宋_GB2312" w:eastAsia="仿宋_GB2312"/>
                <w:sz w:val="21"/>
              </w:rPr>
              <w:t>采用液压自卸系统</w:t>
            </w:r>
            <w:r>
              <w:rPr>
                <w:rFonts w:ascii="仿宋_GB2312" w:hAnsi="仿宋_GB2312" w:cs="仿宋_GB2312" w:eastAsia="仿宋_GB2312"/>
                <w:sz w:val="21"/>
              </w:rPr>
              <w:t>卸料</w:t>
            </w:r>
            <w:r>
              <w:rPr>
                <w:rFonts w:ascii="仿宋_GB2312" w:hAnsi="仿宋_GB2312" w:cs="仿宋_GB2312" w:eastAsia="仿宋_GB2312"/>
                <w:sz w:val="21"/>
              </w:rPr>
              <w:t>，倾倒角度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用于生活垃圾的收转运</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标的名称：垃圾转运车皮卡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★1、排放标准与燃油类型：国六排放、柴油。</w:t>
            </w:r>
          </w:p>
          <w:p>
            <w:pPr>
              <w:pStyle w:val="null3"/>
              <w:jc w:val="both"/>
            </w:pPr>
            <w:r>
              <w:rPr>
                <w:rFonts w:ascii="仿宋_GB2312" w:hAnsi="仿宋_GB2312" w:cs="仿宋_GB2312" w:eastAsia="仿宋_GB2312"/>
                <w:sz w:val="21"/>
              </w:rPr>
              <w:t>★2、发动机功率(kw)：≥120。</w:t>
            </w:r>
          </w:p>
          <w:p>
            <w:pPr>
              <w:pStyle w:val="null3"/>
              <w:jc w:val="both"/>
            </w:pPr>
            <w:r>
              <w:rPr>
                <w:rFonts w:ascii="仿宋_GB2312" w:hAnsi="仿宋_GB2312" w:cs="仿宋_GB2312" w:eastAsia="仿宋_GB2312"/>
                <w:sz w:val="21"/>
              </w:rPr>
              <w:t>3、外形尺寸（mm）：长≤5700，宽≤1950，高≤2000。</w:t>
            </w:r>
          </w:p>
          <w:p>
            <w:pPr>
              <w:pStyle w:val="null3"/>
              <w:jc w:val="both"/>
            </w:pPr>
            <w:r>
              <w:rPr>
                <w:rFonts w:ascii="仿宋_GB2312" w:hAnsi="仿宋_GB2312" w:cs="仿宋_GB2312" w:eastAsia="仿宋_GB2312"/>
                <w:sz w:val="21"/>
              </w:rPr>
              <w:t>★4、总质量(kg)：≥2900，整备质量(kg)：≤2115，额定载质量(kg)：≥500，驾驶室准乘人数（人）：≥2。</w:t>
            </w:r>
          </w:p>
          <w:p>
            <w:pPr>
              <w:pStyle w:val="null3"/>
              <w:jc w:val="both"/>
            </w:pPr>
            <w:r>
              <w:rPr>
                <w:rFonts w:ascii="仿宋_GB2312" w:hAnsi="仿宋_GB2312" w:cs="仿宋_GB2312" w:eastAsia="仿宋_GB2312"/>
                <w:sz w:val="21"/>
              </w:rPr>
              <w:t>★5、前悬/后悬（mm）：≥915/1220；接近角/离去角（°）：</w:t>
            </w:r>
            <w:r>
              <w:rPr>
                <w:rFonts w:ascii="仿宋_GB2312" w:hAnsi="仿宋_GB2312" w:cs="仿宋_GB2312" w:eastAsia="仿宋_GB2312"/>
                <w:sz w:val="21"/>
              </w:rPr>
              <w:t>≥27/21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6、货箱整体尺寸（mm）：≥1740*1500*500。</w:t>
            </w:r>
          </w:p>
          <w:p>
            <w:pPr>
              <w:pStyle w:val="null3"/>
              <w:jc w:val="left"/>
            </w:pPr>
            <w:r>
              <w:rPr>
                <w:rFonts w:ascii="仿宋_GB2312" w:hAnsi="仿宋_GB2312" w:cs="仿宋_GB2312" w:eastAsia="仿宋_GB2312"/>
                <w:sz w:val="21"/>
              </w:rPr>
              <w:t>7、功能要求：具有ABS防抱死系统、BAS刹车辅助、高压共轨、涡轮增压，8档手自一体，一键启动功能。</w:t>
            </w:r>
          </w:p>
        </w:tc>
      </w:tr>
    </w:tbl>
    <w:p>
      <w:pPr>
        <w:pStyle w:val="null3"/>
        <w:jc w:val="left"/>
      </w:pPr>
      <w:r>
        <w:rPr>
          <w:rFonts w:ascii="仿宋_GB2312" w:hAnsi="仿宋_GB2312" w:cs="仿宋_GB2312" w:eastAsia="仿宋_GB2312"/>
        </w:rPr>
        <w:t>标的名称：大型垃圾车配套垃圾箱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★1、垃圾理论</w:t>
            </w:r>
            <w:r>
              <w:rPr>
                <w:rFonts w:ascii="仿宋_GB2312" w:hAnsi="仿宋_GB2312" w:cs="仿宋_GB2312" w:eastAsia="仿宋_GB2312"/>
                <w:sz w:val="21"/>
              </w:rPr>
              <w:t>生产</w:t>
            </w:r>
            <w:r>
              <w:rPr>
                <w:rFonts w:ascii="仿宋_GB2312" w:hAnsi="仿宋_GB2312" w:cs="仿宋_GB2312" w:eastAsia="仿宋_GB2312"/>
                <w:sz w:val="21"/>
              </w:rPr>
              <w:t>处理量</w:t>
            </w:r>
            <w:r>
              <w:rPr>
                <w:rFonts w:ascii="仿宋_GB2312" w:hAnsi="仿宋_GB2312" w:cs="仿宋_GB2312" w:eastAsia="仿宋_GB2312"/>
                <w:sz w:val="21"/>
              </w:rPr>
              <w:t>(t/h)：≥18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、垃圾箱</w:t>
            </w:r>
            <w:r>
              <w:rPr>
                <w:rFonts w:ascii="仿宋_GB2312" w:hAnsi="仿宋_GB2312" w:cs="仿宋_GB2312" w:eastAsia="仿宋_GB2312"/>
                <w:sz w:val="21"/>
              </w:rPr>
              <w:t>有效</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m³</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3、料斗</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m³</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上料机构最大提升能力（</w:t>
            </w:r>
            <w:r>
              <w:rPr>
                <w:rFonts w:ascii="仿宋_GB2312" w:hAnsi="仿宋_GB2312" w:cs="仿宋_GB2312" w:eastAsia="仿宋_GB2312"/>
                <w:sz w:val="21"/>
              </w:rPr>
              <w:t>KN）：≥20</w:t>
            </w:r>
            <w:r>
              <w:rPr>
                <w:rFonts w:ascii="仿宋_GB2312" w:hAnsi="仿宋_GB2312" w:cs="仿宋_GB2312" w:eastAsia="仿宋_GB2312"/>
                <w:sz w:val="21"/>
              </w:rPr>
              <w:t>；</w:t>
            </w:r>
            <w:r>
              <w:rPr>
                <w:rFonts w:ascii="仿宋_GB2312" w:hAnsi="仿宋_GB2312" w:cs="仿宋_GB2312" w:eastAsia="仿宋_GB2312"/>
                <w:sz w:val="21"/>
              </w:rPr>
              <w:t>压头单行程压缩量（</w:t>
            </w:r>
            <w:r>
              <w:rPr>
                <w:rFonts w:ascii="仿宋_GB2312" w:hAnsi="仿宋_GB2312" w:cs="仿宋_GB2312" w:eastAsia="仿宋_GB2312"/>
                <w:sz w:val="21"/>
              </w:rPr>
              <w:t>m³）：≥1.6</w:t>
            </w:r>
            <w:r>
              <w:rPr>
                <w:rFonts w:ascii="仿宋_GB2312" w:hAnsi="仿宋_GB2312" w:cs="仿宋_GB2312" w:eastAsia="仿宋_GB2312"/>
              </w:rPr>
              <w:t>。</w:t>
            </w:r>
          </w:p>
          <w:p>
            <w:pPr>
              <w:pStyle w:val="null3"/>
              <w:jc w:val="left"/>
            </w:pPr>
            <w:r>
              <w:rPr>
                <w:rFonts w:ascii="仿宋_GB2312" w:hAnsi="仿宋_GB2312" w:cs="仿宋_GB2312" w:eastAsia="仿宋_GB2312"/>
                <w:sz w:val="21"/>
              </w:rPr>
              <w:t>4、最大工作压力（Mpa）：</w:t>
            </w:r>
            <w:r>
              <w:rPr>
                <w:rFonts w:ascii="仿宋_GB2312" w:hAnsi="仿宋_GB2312" w:cs="仿宋_GB2312" w:eastAsia="仿宋_GB2312"/>
                <w:sz w:val="21"/>
              </w:rPr>
              <w:t>≥</w:t>
            </w:r>
            <w:r>
              <w:rPr>
                <w:rFonts w:ascii="仿宋_GB2312" w:hAnsi="仿宋_GB2312" w:cs="仿宋_GB2312" w:eastAsia="仿宋_GB2312"/>
                <w:sz w:val="21"/>
              </w:rPr>
              <w:t>19。</w:t>
            </w:r>
          </w:p>
          <w:p>
            <w:pPr>
              <w:pStyle w:val="null3"/>
              <w:jc w:val="left"/>
            </w:pPr>
            <w:r>
              <w:rPr>
                <w:rFonts w:ascii="仿宋_GB2312" w:hAnsi="仿宋_GB2312" w:cs="仿宋_GB2312" w:eastAsia="仿宋_GB2312"/>
                <w:sz w:val="21"/>
              </w:rPr>
              <w:t>5、最大压缩力(kN)：≥3</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6、垃圾压缩密度（t/ </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rPr>
              <w:t>≥0.7</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电动机功率（</w:t>
            </w:r>
            <w:r>
              <w:rPr>
                <w:rFonts w:ascii="仿宋_GB2312" w:hAnsi="仿宋_GB2312" w:cs="仿宋_GB2312" w:eastAsia="仿宋_GB2312"/>
                <w:sz w:val="21"/>
              </w:rPr>
              <w:t>kW）：</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处理</w:t>
            </w:r>
            <w:r>
              <w:rPr>
                <w:rFonts w:ascii="仿宋_GB2312" w:hAnsi="仿宋_GB2312" w:cs="仿宋_GB2312" w:eastAsia="仿宋_GB2312"/>
                <w:sz w:val="21"/>
              </w:rPr>
              <w:t>1t生活垃圾能耗（kwh）：≤0.3</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投标文件中提供承诺函，格式自拟</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电源：</w:t>
            </w:r>
            <w:r>
              <w:rPr>
                <w:rFonts w:ascii="仿宋_GB2312" w:hAnsi="仿宋_GB2312" w:cs="仿宋_GB2312" w:eastAsia="仿宋_GB2312"/>
                <w:sz w:val="21"/>
              </w:rPr>
              <w:t>380V</w:t>
            </w:r>
            <w:r>
              <w:rPr>
                <w:rFonts w:ascii="仿宋_GB2312" w:hAnsi="仿宋_GB2312" w:cs="仿宋_GB2312" w:eastAsia="仿宋_GB2312"/>
                <w:sz w:val="21"/>
              </w:rPr>
              <w:t>/50Hz/10kw。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压头总成的两侧板、底板</w:t>
            </w:r>
            <w:r>
              <w:rPr>
                <w:rFonts w:ascii="仿宋_GB2312" w:hAnsi="仿宋_GB2312" w:cs="仿宋_GB2312" w:eastAsia="仿宋_GB2312"/>
                <w:sz w:val="21"/>
              </w:rPr>
              <w:t>，</w:t>
            </w:r>
            <w:r>
              <w:rPr>
                <w:rFonts w:ascii="仿宋_GB2312" w:hAnsi="仿宋_GB2312" w:cs="仿宋_GB2312" w:eastAsia="仿宋_GB2312"/>
                <w:sz w:val="21"/>
              </w:rPr>
              <w:t>压缩腔的两侧板、底板采用厚度</w:t>
            </w:r>
            <w:r>
              <w:rPr>
                <w:rFonts w:ascii="仿宋_GB2312" w:hAnsi="仿宋_GB2312" w:cs="仿宋_GB2312" w:eastAsia="仿宋_GB2312"/>
                <w:sz w:val="21"/>
              </w:rPr>
              <w:t>≥8mm的高强钢焊接而成</w:t>
            </w:r>
            <w:r>
              <w:rPr>
                <w:rFonts w:ascii="仿宋_GB2312" w:hAnsi="仿宋_GB2312" w:cs="仿宋_GB2312" w:eastAsia="仿宋_GB2312"/>
                <w:sz w:val="21"/>
              </w:rPr>
              <w:t>，</w:t>
            </w:r>
            <w:r>
              <w:rPr>
                <w:rFonts w:ascii="仿宋_GB2312" w:hAnsi="仿宋_GB2312" w:cs="仿宋_GB2312" w:eastAsia="仿宋_GB2312"/>
                <w:sz w:val="21"/>
              </w:rPr>
              <w:t>垃圾箱</w:t>
            </w:r>
            <w:r>
              <w:rPr>
                <w:rFonts w:ascii="仿宋_GB2312" w:hAnsi="仿宋_GB2312" w:cs="仿宋_GB2312" w:eastAsia="仿宋_GB2312"/>
                <w:sz w:val="21"/>
              </w:rPr>
              <w:t>板材厚度</w:t>
            </w:r>
            <w:r>
              <w:rPr>
                <w:rFonts w:ascii="仿宋_GB2312" w:hAnsi="仿宋_GB2312" w:cs="仿宋_GB2312" w:eastAsia="仿宋_GB2312"/>
                <w:sz w:val="21"/>
              </w:rPr>
              <w:t>≥4mm的高强钢焊接而成</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投标文件中提供承诺函，格式自拟</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10、功能要求：与</w:t>
            </w:r>
            <w:r>
              <w:rPr>
                <w:rFonts w:ascii="仿宋_GB2312" w:hAnsi="仿宋_GB2312" w:cs="仿宋_GB2312" w:eastAsia="仿宋_GB2312"/>
                <w:sz w:val="21"/>
              </w:rPr>
              <w:t>车厢可卸式垃圾车（垃圾转运）</w:t>
            </w:r>
            <w:r>
              <w:rPr>
                <w:rFonts w:ascii="仿宋_GB2312" w:hAnsi="仿宋_GB2312" w:cs="仿宋_GB2312" w:eastAsia="仿宋_GB2312"/>
                <w:sz w:val="21"/>
              </w:rPr>
              <w:t>配套使用，对生活垃圾进行压缩、装运；</w:t>
            </w:r>
            <w:r>
              <w:rPr>
                <w:rFonts w:ascii="仿宋_GB2312" w:hAnsi="仿宋_GB2312" w:cs="仿宋_GB2312" w:eastAsia="仿宋_GB2312"/>
                <w:sz w:val="21"/>
              </w:rPr>
              <w:t>所有外露金属表面均作防锈处理，与垃圾直接接触的钢材均进行了酸洗、磷化、钝化等防腐处理</w:t>
            </w:r>
            <w:r>
              <w:rPr>
                <w:rFonts w:ascii="仿宋_GB2312" w:hAnsi="仿宋_GB2312" w:cs="仿宋_GB2312" w:eastAsia="仿宋_GB2312"/>
                <w:sz w:val="21"/>
              </w:rPr>
              <w:t>；</w:t>
            </w:r>
            <w:r>
              <w:rPr>
                <w:rFonts w:ascii="仿宋_GB2312" w:hAnsi="仿宋_GB2312" w:cs="仿宋_GB2312" w:eastAsia="仿宋_GB2312"/>
                <w:sz w:val="21"/>
              </w:rPr>
              <w:t>具有液晶显示</w:t>
            </w:r>
            <w:r>
              <w:rPr>
                <w:rFonts w:ascii="仿宋_GB2312" w:hAnsi="仿宋_GB2312" w:cs="仿宋_GB2312" w:eastAsia="仿宋_GB2312"/>
                <w:sz w:val="21"/>
              </w:rPr>
              <w:t>、</w:t>
            </w:r>
            <w:r>
              <w:rPr>
                <w:rFonts w:ascii="仿宋_GB2312" w:hAnsi="仿宋_GB2312" w:cs="仿宋_GB2312" w:eastAsia="仿宋_GB2312"/>
                <w:sz w:val="21"/>
              </w:rPr>
              <w:t>压满报警</w:t>
            </w:r>
            <w:r>
              <w:rPr>
                <w:rFonts w:ascii="仿宋_GB2312" w:hAnsi="仿宋_GB2312" w:cs="仿宋_GB2312" w:eastAsia="仿宋_GB2312"/>
                <w:sz w:val="21"/>
              </w:rPr>
              <w:t>、</w:t>
            </w:r>
            <w:r>
              <w:rPr>
                <w:rFonts w:ascii="仿宋_GB2312" w:hAnsi="仿宋_GB2312" w:cs="仿宋_GB2312" w:eastAsia="仿宋_GB2312"/>
                <w:sz w:val="21"/>
              </w:rPr>
              <w:t>液压系统自动散热</w:t>
            </w:r>
            <w:r>
              <w:rPr>
                <w:rFonts w:ascii="仿宋_GB2312" w:hAnsi="仿宋_GB2312" w:cs="仿宋_GB2312" w:eastAsia="仿宋_GB2312"/>
                <w:sz w:val="21"/>
              </w:rPr>
              <w:t>、</w:t>
            </w:r>
            <w:r>
              <w:rPr>
                <w:rFonts w:ascii="仿宋_GB2312" w:hAnsi="仿宋_GB2312" w:cs="仿宋_GB2312" w:eastAsia="仿宋_GB2312"/>
                <w:sz w:val="21"/>
              </w:rPr>
              <w:t>紧急停止</w:t>
            </w:r>
            <w:r>
              <w:rPr>
                <w:rFonts w:ascii="仿宋_GB2312" w:hAnsi="仿宋_GB2312" w:cs="仿宋_GB2312" w:eastAsia="仿宋_GB2312"/>
                <w:sz w:val="21"/>
              </w:rPr>
              <w:t>、</w:t>
            </w:r>
            <w:r>
              <w:rPr>
                <w:rFonts w:ascii="仿宋_GB2312" w:hAnsi="仿宋_GB2312" w:cs="仿宋_GB2312" w:eastAsia="仿宋_GB2312"/>
                <w:sz w:val="21"/>
              </w:rPr>
              <w:t>故障的自动报警</w:t>
            </w:r>
            <w:r>
              <w:rPr>
                <w:rFonts w:ascii="仿宋_GB2312" w:hAnsi="仿宋_GB2312" w:cs="仿宋_GB2312" w:eastAsia="仿宋_GB2312"/>
                <w:sz w:val="21"/>
              </w:rPr>
              <w:t>、</w:t>
            </w:r>
            <w:r>
              <w:rPr>
                <w:rFonts w:ascii="仿宋_GB2312" w:hAnsi="仿宋_GB2312" w:cs="仿宋_GB2312" w:eastAsia="仿宋_GB2312"/>
                <w:sz w:val="21"/>
              </w:rPr>
              <w:t>自动诊断</w:t>
            </w:r>
            <w:r>
              <w:rPr>
                <w:rFonts w:ascii="仿宋_GB2312" w:hAnsi="仿宋_GB2312" w:cs="仿宋_GB2312" w:eastAsia="仿宋_GB2312"/>
                <w:sz w:val="21"/>
              </w:rPr>
              <w:t>等</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可通过</w:t>
            </w:r>
            <w:r>
              <w:rPr>
                <w:rFonts w:ascii="仿宋_GB2312" w:hAnsi="仿宋_GB2312" w:cs="仿宋_GB2312" w:eastAsia="仿宋_GB2312"/>
                <w:sz w:val="21"/>
              </w:rPr>
              <w:t>有线控式和触摸式双重控制</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标的名称：生活垃圾箱勾臂车专用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、箱体容积</w:t>
            </w:r>
            <w:r>
              <w:rPr>
                <w:rFonts w:ascii="仿宋_GB2312" w:hAnsi="仿宋_GB2312" w:cs="仿宋_GB2312" w:eastAsia="仿宋_GB2312"/>
                <w:sz w:val="21"/>
              </w:rPr>
              <w:t>（</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2、箱体材质：Q235A或优于；底板厚度（mm）</w:t>
            </w:r>
            <w:r>
              <w:rPr>
                <w:rFonts w:ascii="仿宋_GB2312" w:hAnsi="仿宋_GB2312" w:cs="仿宋_GB2312" w:eastAsia="仿宋_GB2312"/>
                <w:sz w:val="21"/>
              </w:rPr>
              <w:t>≥</w:t>
            </w:r>
            <w:r>
              <w:rPr>
                <w:rFonts w:ascii="仿宋_GB2312" w:hAnsi="仿宋_GB2312" w:cs="仿宋_GB2312" w:eastAsia="仿宋_GB2312"/>
                <w:sz w:val="21"/>
              </w:rPr>
              <w:t>3；侧板厚度（mm）</w:t>
            </w:r>
            <w:r>
              <w:rPr>
                <w:rFonts w:ascii="仿宋_GB2312" w:hAnsi="仿宋_GB2312" w:cs="仿宋_GB2312" w:eastAsia="仿宋_GB2312"/>
                <w:sz w:val="21"/>
              </w:rPr>
              <w:t>≥</w:t>
            </w:r>
            <w:r>
              <w:rPr>
                <w:rFonts w:ascii="仿宋_GB2312" w:hAnsi="仿宋_GB2312" w:cs="仿宋_GB2312" w:eastAsia="仿宋_GB2312"/>
                <w:sz w:val="21"/>
              </w:rPr>
              <w:t>2；顶板厚度（mm）</w:t>
            </w:r>
            <w:r>
              <w:rPr>
                <w:rFonts w:ascii="仿宋_GB2312" w:hAnsi="仿宋_GB2312" w:cs="仿宋_GB2312" w:eastAsia="仿宋_GB2312"/>
                <w:sz w:val="21"/>
              </w:rPr>
              <w:t>≥</w:t>
            </w:r>
            <w:r>
              <w:rPr>
                <w:rFonts w:ascii="仿宋_GB2312" w:hAnsi="仿宋_GB2312" w:cs="仿宋_GB2312" w:eastAsia="仿宋_GB2312"/>
                <w:sz w:val="21"/>
              </w:rPr>
              <w:t>2；前封板厚度（mm）</w:t>
            </w:r>
            <w:r>
              <w:rPr>
                <w:rFonts w:ascii="仿宋_GB2312" w:hAnsi="仿宋_GB2312" w:cs="仿宋_GB2312" w:eastAsia="仿宋_GB2312"/>
                <w:sz w:val="21"/>
              </w:rPr>
              <w:t>≥</w:t>
            </w:r>
            <w:r>
              <w:rPr>
                <w:rFonts w:ascii="仿宋_GB2312" w:hAnsi="仿宋_GB2312" w:cs="仿宋_GB2312" w:eastAsia="仿宋_GB2312"/>
                <w:sz w:val="21"/>
              </w:rPr>
              <w:t>2；后门板厚度（mm）</w:t>
            </w:r>
            <w:r>
              <w:rPr>
                <w:rFonts w:ascii="仿宋_GB2312" w:hAnsi="仿宋_GB2312" w:cs="仿宋_GB2312" w:eastAsia="仿宋_GB2312"/>
                <w:sz w:val="21"/>
              </w:rPr>
              <w:t>≥</w:t>
            </w:r>
            <w:r>
              <w:rPr>
                <w:rFonts w:ascii="仿宋_GB2312" w:hAnsi="仿宋_GB2312" w:cs="仿宋_GB2312" w:eastAsia="仿宋_GB2312"/>
                <w:sz w:val="21"/>
              </w:rPr>
              <w:t>2。</w:t>
            </w:r>
          </w:p>
          <w:p>
            <w:pPr>
              <w:pStyle w:val="null3"/>
              <w:jc w:val="both"/>
            </w:pPr>
            <w:r>
              <w:rPr>
                <w:rFonts w:ascii="仿宋_GB2312" w:hAnsi="仿宋_GB2312" w:cs="仿宋_GB2312" w:eastAsia="仿宋_GB2312"/>
                <w:sz w:val="21"/>
              </w:rPr>
              <w:t>3、钩心高度（mm）：≥925。</w:t>
            </w:r>
          </w:p>
          <w:p>
            <w:pPr>
              <w:pStyle w:val="null3"/>
              <w:jc w:val="both"/>
            </w:pPr>
            <w:r>
              <w:rPr>
                <w:rFonts w:ascii="仿宋_GB2312" w:hAnsi="仿宋_GB2312" w:cs="仿宋_GB2312" w:eastAsia="仿宋_GB2312"/>
                <w:sz w:val="21"/>
              </w:rPr>
              <w:t>4、导轨外宽度（mm）：≥1050。</w:t>
            </w:r>
          </w:p>
          <w:p>
            <w:pPr>
              <w:pStyle w:val="null3"/>
              <w:jc w:val="left"/>
            </w:pPr>
            <w:r>
              <w:rPr>
                <w:rFonts w:ascii="仿宋_GB2312" w:hAnsi="仿宋_GB2312" w:cs="仿宋_GB2312" w:eastAsia="仿宋_GB2312"/>
                <w:sz w:val="21"/>
              </w:rPr>
              <w:t>5、功能要求：与</w:t>
            </w:r>
            <w:r>
              <w:rPr>
                <w:rFonts w:ascii="仿宋_GB2312" w:hAnsi="仿宋_GB2312" w:cs="仿宋_GB2312" w:eastAsia="仿宋_GB2312"/>
                <w:sz w:val="21"/>
              </w:rPr>
              <w:t>车厢可卸式垃圾车（钩臂车）</w:t>
            </w:r>
            <w:r>
              <w:rPr>
                <w:rFonts w:ascii="仿宋_GB2312" w:hAnsi="仿宋_GB2312" w:cs="仿宋_GB2312" w:eastAsia="仿宋_GB2312"/>
                <w:sz w:val="21"/>
              </w:rPr>
              <w:t>配套使用，用于生活垃圾的收集。垃圾箱采用电泳等防腐技术，箱体底板一次冲压成型，使用加强筋加固，箱体两侧采用电阻焊加二保焊焊接，</w:t>
            </w:r>
            <w:r>
              <w:rPr>
                <w:rFonts w:ascii="仿宋_GB2312" w:hAnsi="仿宋_GB2312" w:cs="仿宋_GB2312" w:eastAsia="仿宋_GB2312"/>
                <w:sz w:val="21"/>
              </w:rPr>
              <w:t>箱体后门安装有</w:t>
            </w:r>
            <w:r>
              <w:rPr>
                <w:rFonts w:ascii="仿宋_GB2312" w:hAnsi="仿宋_GB2312" w:cs="仿宋_GB2312" w:eastAsia="仿宋_GB2312"/>
                <w:sz w:val="21"/>
              </w:rPr>
              <w:t>高弹性</w:t>
            </w:r>
            <w:r>
              <w:rPr>
                <w:rFonts w:ascii="仿宋_GB2312" w:hAnsi="仿宋_GB2312" w:cs="仿宋_GB2312" w:eastAsia="仿宋_GB2312"/>
                <w:sz w:val="21"/>
              </w:rPr>
              <w:t>密封胶条</w:t>
            </w:r>
            <w:r>
              <w:rPr>
                <w:rFonts w:ascii="仿宋_GB2312" w:hAnsi="仿宋_GB2312" w:cs="仿宋_GB2312" w:eastAsia="仿宋_GB2312"/>
                <w:sz w:val="21"/>
              </w:rPr>
              <w:t>防止污水外漏，</w:t>
            </w:r>
            <w:r>
              <w:rPr>
                <w:rFonts w:ascii="仿宋_GB2312" w:hAnsi="仿宋_GB2312" w:cs="仿宋_GB2312" w:eastAsia="仿宋_GB2312"/>
                <w:sz w:val="21"/>
              </w:rPr>
              <w:t>底部采用万向脚轮合定向脚轮确保转向正常。</w:t>
            </w:r>
          </w:p>
        </w:tc>
      </w:tr>
    </w:tbl>
    <w:p>
      <w:pPr>
        <w:pStyle w:val="null3"/>
        <w:jc w:val="left"/>
      </w:pPr>
      <w:r>
        <w:rPr>
          <w:rFonts w:ascii="仿宋_GB2312" w:hAnsi="仿宋_GB2312" w:cs="仿宋_GB2312" w:eastAsia="仿宋_GB2312"/>
        </w:rPr>
        <w:t>标的名称：240升垃圾桶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rPr>
              <w:t>★1、容积</w:t>
            </w:r>
            <w:r>
              <w:rPr>
                <w:rFonts w:ascii="仿宋_GB2312" w:hAnsi="仿宋_GB2312" w:cs="仿宋_GB2312" w:eastAsia="仿宋_GB2312"/>
                <w:sz w:val="21"/>
              </w:rPr>
              <w:t>（</w:t>
            </w:r>
            <w:r>
              <w:rPr>
                <w:rFonts w:ascii="仿宋_GB2312" w:hAnsi="仿宋_GB2312" w:cs="仿宋_GB2312" w:eastAsia="仿宋_GB2312"/>
                <w:sz w:val="21"/>
              </w:rPr>
              <w:t>L</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≥240L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：高密度聚乙烯（</w:t>
            </w:r>
            <w:r>
              <w:rPr>
                <w:rFonts w:ascii="仿宋_GB2312" w:hAnsi="仿宋_GB2312" w:cs="仿宋_GB2312" w:eastAsia="仿宋_GB2312"/>
                <w:sz w:val="21"/>
              </w:rPr>
              <w:t>HDPE）</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、桶体壁厚</w:t>
            </w:r>
            <w:r>
              <w:rPr>
                <w:rFonts w:ascii="仿宋_GB2312" w:hAnsi="仿宋_GB2312" w:cs="仿宋_GB2312" w:eastAsia="仿宋_GB2312"/>
                <w:sz w:val="21"/>
              </w:rPr>
              <w:t>≥5mm，桶盖厚≥3mm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、高温</w:t>
            </w:r>
            <w:r>
              <w:rPr>
                <w:rFonts w:ascii="仿宋_GB2312" w:hAnsi="仿宋_GB2312" w:cs="仿宋_GB2312" w:eastAsia="仿宋_GB2312"/>
                <w:sz w:val="21"/>
              </w:rPr>
              <w:t>65℃、低温-30℃的气温下，不变形，不开裂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轮轴与桶体连接方式：直接插入，桶体底部两侧轮轴插入处轮轴支撑点共计不少于</w:t>
            </w:r>
            <w:r>
              <w:rPr>
                <w:rFonts w:ascii="仿宋_GB2312" w:hAnsi="仿宋_GB2312" w:cs="仿宋_GB2312" w:eastAsia="仿宋_GB2312"/>
                <w:sz w:val="21"/>
              </w:rPr>
              <w:t>5</w:t>
            </w:r>
            <w:r>
              <w:rPr>
                <w:rFonts w:ascii="仿宋_GB2312" w:hAnsi="仿宋_GB2312" w:cs="仿宋_GB2312" w:eastAsia="仿宋_GB2312"/>
                <w:sz w:val="21"/>
              </w:rPr>
              <w:t>个，支撑点厚度</w:t>
            </w:r>
            <w:r>
              <w:rPr>
                <w:rFonts w:ascii="仿宋_GB2312" w:hAnsi="仿宋_GB2312" w:cs="仿宋_GB2312" w:eastAsia="仿宋_GB2312"/>
                <w:sz w:val="21"/>
              </w:rPr>
              <w:t>≥6mm。桶底装有ABS耐磨钉，数量≥38个，增加桶底的耐磨性能。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功能要求：色彩鲜艳，</w:t>
            </w:r>
            <w:r>
              <w:rPr>
                <w:rFonts w:ascii="仿宋_GB2312" w:hAnsi="仿宋_GB2312" w:cs="仿宋_GB2312" w:eastAsia="仿宋_GB2312"/>
                <w:sz w:val="21"/>
              </w:rPr>
              <w:t>适用于不同的环境与垃圾分类收集</w:t>
            </w:r>
            <w:r>
              <w:rPr>
                <w:rFonts w:ascii="仿宋_GB2312" w:hAnsi="仿宋_GB2312" w:cs="仿宋_GB2312" w:eastAsia="仿宋_GB2312"/>
                <w:sz w:val="21"/>
              </w:rPr>
              <w:t>，</w:t>
            </w:r>
            <w:r>
              <w:rPr>
                <w:rFonts w:ascii="仿宋_GB2312" w:hAnsi="仿宋_GB2312" w:cs="仿宋_GB2312" w:eastAsia="仿宋_GB2312"/>
                <w:sz w:val="21"/>
              </w:rPr>
              <w:t>桶身</w:t>
            </w:r>
            <w:r>
              <w:rPr>
                <w:rFonts w:ascii="仿宋_GB2312" w:hAnsi="仿宋_GB2312" w:cs="仿宋_GB2312" w:eastAsia="仿宋_GB2312"/>
                <w:sz w:val="21"/>
              </w:rPr>
              <w:t>耐腐蚀，</w:t>
            </w:r>
            <w:r>
              <w:rPr>
                <w:rFonts w:ascii="仿宋_GB2312" w:hAnsi="仿宋_GB2312" w:cs="仿宋_GB2312" w:eastAsia="仿宋_GB2312"/>
                <w:sz w:val="21"/>
              </w:rPr>
              <w:t>具有</w:t>
            </w:r>
            <w:r>
              <w:rPr>
                <w:rFonts w:ascii="仿宋_GB2312" w:hAnsi="仿宋_GB2312" w:cs="仿宋_GB2312" w:eastAsia="仿宋_GB2312"/>
                <w:sz w:val="21"/>
              </w:rPr>
              <w:t>有</w:t>
            </w:r>
            <w:r>
              <w:rPr>
                <w:rFonts w:ascii="仿宋_GB2312" w:hAnsi="仿宋_GB2312" w:cs="仿宋_GB2312" w:eastAsia="仿宋_GB2312"/>
                <w:sz w:val="21"/>
              </w:rPr>
              <w:t>良好</w:t>
            </w:r>
            <w:r>
              <w:rPr>
                <w:rFonts w:ascii="仿宋_GB2312" w:hAnsi="仿宋_GB2312" w:cs="仿宋_GB2312" w:eastAsia="仿宋_GB2312"/>
                <w:sz w:val="21"/>
              </w:rPr>
              <w:t>的机械强度和冲击韧性</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标的名称：垃圾站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sz w:val="21"/>
              </w:rPr>
              <w:t>★1、垃圾理论</w:t>
            </w:r>
            <w:r>
              <w:rPr>
                <w:rFonts w:ascii="仿宋_GB2312" w:hAnsi="仿宋_GB2312" w:cs="仿宋_GB2312" w:eastAsia="仿宋_GB2312"/>
                <w:sz w:val="21"/>
              </w:rPr>
              <w:t>生产</w:t>
            </w:r>
            <w:r>
              <w:rPr>
                <w:rFonts w:ascii="仿宋_GB2312" w:hAnsi="仿宋_GB2312" w:cs="仿宋_GB2312" w:eastAsia="仿宋_GB2312"/>
                <w:sz w:val="21"/>
              </w:rPr>
              <w:t>处理量</w:t>
            </w:r>
            <w:r>
              <w:rPr>
                <w:rFonts w:ascii="仿宋_GB2312" w:hAnsi="仿宋_GB2312" w:cs="仿宋_GB2312" w:eastAsia="仿宋_GB2312"/>
                <w:sz w:val="21"/>
              </w:rPr>
              <w:t>(t/h)：≥18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、垃圾箱</w:t>
            </w:r>
            <w:r>
              <w:rPr>
                <w:rFonts w:ascii="仿宋_GB2312" w:hAnsi="仿宋_GB2312" w:cs="仿宋_GB2312" w:eastAsia="仿宋_GB2312"/>
                <w:sz w:val="21"/>
              </w:rPr>
              <w:t>有效</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m³</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3、料斗</w:t>
            </w:r>
            <w:r>
              <w:rPr>
                <w:rFonts w:ascii="仿宋_GB2312" w:hAnsi="仿宋_GB2312" w:cs="仿宋_GB2312" w:eastAsia="仿宋_GB2312"/>
                <w:sz w:val="21"/>
              </w:rPr>
              <w:t>容积</w:t>
            </w:r>
            <w:r>
              <w:rPr>
                <w:rFonts w:ascii="仿宋_GB2312" w:hAnsi="仿宋_GB2312" w:cs="仿宋_GB2312" w:eastAsia="仿宋_GB2312"/>
                <w:sz w:val="21"/>
              </w:rPr>
              <w:t>(</w:t>
            </w:r>
            <w:r>
              <w:rPr>
                <w:rFonts w:ascii="仿宋_GB2312" w:hAnsi="仿宋_GB2312" w:cs="仿宋_GB2312" w:eastAsia="仿宋_GB2312"/>
                <w:sz w:val="21"/>
              </w:rPr>
              <w:t>m³</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上料机构最大提升能力（</w:t>
            </w:r>
            <w:r>
              <w:rPr>
                <w:rFonts w:ascii="仿宋_GB2312" w:hAnsi="仿宋_GB2312" w:cs="仿宋_GB2312" w:eastAsia="仿宋_GB2312"/>
                <w:sz w:val="21"/>
              </w:rPr>
              <w:t>KN）：≥20</w:t>
            </w:r>
            <w:r>
              <w:rPr>
                <w:rFonts w:ascii="仿宋_GB2312" w:hAnsi="仿宋_GB2312" w:cs="仿宋_GB2312" w:eastAsia="仿宋_GB2312"/>
                <w:sz w:val="21"/>
              </w:rPr>
              <w:t>；</w:t>
            </w:r>
            <w:r>
              <w:rPr>
                <w:rFonts w:ascii="仿宋_GB2312" w:hAnsi="仿宋_GB2312" w:cs="仿宋_GB2312" w:eastAsia="仿宋_GB2312"/>
                <w:sz w:val="21"/>
              </w:rPr>
              <w:t>压头单行程压缩量（</w:t>
            </w:r>
            <w:r>
              <w:rPr>
                <w:rFonts w:ascii="仿宋_GB2312" w:hAnsi="仿宋_GB2312" w:cs="仿宋_GB2312" w:eastAsia="仿宋_GB2312"/>
                <w:sz w:val="21"/>
              </w:rPr>
              <w:t>m³）：≥1.6</w:t>
            </w:r>
            <w:r>
              <w:rPr>
                <w:rFonts w:ascii="仿宋_GB2312" w:hAnsi="仿宋_GB2312" w:cs="仿宋_GB2312" w:eastAsia="仿宋_GB2312"/>
              </w:rPr>
              <w:t>。</w:t>
            </w:r>
          </w:p>
          <w:p>
            <w:pPr>
              <w:pStyle w:val="null3"/>
              <w:jc w:val="left"/>
            </w:pPr>
            <w:r>
              <w:rPr>
                <w:rFonts w:ascii="仿宋_GB2312" w:hAnsi="仿宋_GB2312" w:cs="仿宋_GB2312" w:eastAsia="仿宋_GB2312"/>
                <w:sz w:val="21"/>
              </w:rPr>
              <w:t>4、最大工作压力（Mpa）：</w:t>
            </w:r>
            <w:r>
              <w:rPr>
                <w:rFonts w:ascii="仿宋_GB2312" w:hAnsi="仿宋_GB2312" w:cs="仿宋_GB2312" w:eastAsia="仿宋_GB2312"/>
                <w:sz w:val="21"/>
              </w:rPr>
              <w:t>≥</w:t>
            </w:r>
            <w:r>
              <w:rPr>
                <w:rFonts w:ascii="仿宋_GB2312" w:hAnsi="仿宋_GB2312" w:cs="仿宋_GB2312" w:eastAsia="仿宋_GB2312"/>
                <w:sz w:val="21"/>
              </w:rPr>
              <w:t>19。</w:t>
            </w:r>
          </w:p>
          <w:p>
            <w:pPr>
              <w:pStyle w:val="null3"/>
              <w:jc w:val="left"/>
            </w:pPr>
            <w:r>
              <w:rPr>
                <w:rFonts w:ascii="仿宋_GB2312" w:hAnsi="仿宋_GB2312" w:cs="仿宋_GB2312" w:eastAsia="仿宋_GB2312"/>
                <w:sz w:val="21"/>
              </w:rPr>
              <w:t>5、最大压缩力(kN)：≥3</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6、垃圾压缩密度（t/ </w:t>
            </w:r>
            <w:r>
              <w:rPr>
                <w:rFonts w:ascii="仿宋_GB2312" w:hAnsi="仿宋_GB2312" w:cs="仿宋_GB2312" w:eastAsia="仿宋_GB2312"/>
                <w:sz w:val="21"/>
              </w:rPr>
              <w:t>m³</w:t>
            </w:r>
            <w:r>
              <w:rPr>
                <w:rFonts w:ascii="仿宋_GB2312" w:hAnsi="仿宋_GB2312" w:cs="仿宋_GB2312" w:eastAsia="仿宋_GB2312"/>
                <w:sz w:val="21"/>
              </w:rPr>
              <w:t>）：</w:t>
            </w:r>
            <w:r>
              <w:rPr>
                <w:rFonts w:ascii="仿宋_GB2312" w:hAnsi="仿宋_GB2312" w:cs="仿宋_GB2312" w:eastAsia="仿宋_GB2312"/>
                <w:sz w:val="21"/>
              </w:rPr>
              <w:t>≥0.7</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电动机功率（</w:t>
            </w:r>
            <w:r>
              <w:rPr>
                <w:rFonts w:ascii="仿宋_GB2312" w:hAnsi="仿宋_GB2312" w:cs="仿宋_GB2312" w:eastAsia="仿宋_GB2312"/>
                <w:sz w:val="21"/>
              </w:rPr>
              <w:t>kW）：</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1"/>
              </w:rPr>
              <w:t>处理</w:t>
            </w:r>
            <w:r>
              <w:rPr>
                <w:rFonts w:ascii="仿宋_GB2312" w:hAnsi="仿宋_GB2312" w:cs="仿宋_GB2312" w:eastAsia="仿宋_GB2312"/>
                <w:sz w:val="21"/>
              </w:rPr>
              <w:t>1t生活垃圾能耗（kwh）：≤0.3</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投标文件中提供承诺函，格式自拟</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电源：</w:t>
            </w:r>
            <w:r>
              <w:rPr>
                <w:rFonts w:ascii="仿宋_GB2312" w:hAnsi="仿宋_GB2312" w:cs="仿宋_GB2312" w:eastAsia="仿宋_GB2312"/>
                <w:sz w:val="21"/>
              </w:rPr>
              <w:t>380V</w:t>
            </w:r>
            <w:r>
              <w:rPr>
                <w:rFonts w:ascii="仿宋_GB2312" w:hAnsi="仿宋_GB2312" w:cs="仿宋_GB2312" w:eastAsia="仿宋_GB2312"/>
                <w:sz w:val="21"/>
              </w:rPr>
              <w:t>/50Hz/10kw。</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压头总成的两侧板、底板</w:t>
            </w:r>
            <w:r>
              <w:rPr>
                <w:rFonts w:ascii="仿宋_GB2312" w:hAnsi="仿宋_GB2312" w:cs="仿宋_GB2312" w:eastAsia="仿宋_GB2312"/>
                <w:sz w:val="21"/>
              </w:rPr>
              <w:t>，</w:t>
            </w:r>
            <w:r>
              <w:rPr>
                <w:rFonts w:ascii="仿宋_GB2312" w:hAnsi="仿宋_GB2312" w:cs="仿宋_GB2312" w:eastAsia="仿宋_GB2312"/>
                <w:sz w:val="21"/>
              </w:rPr>
              <w:t>压缩腔的两侧板、底板采用厚度</w:t>
            </w:r>
            <w:r>
              <w:rPr>
                <w:rFonts w:ascii="仿宋_GB2312" w:hAnsi="仿宋_GB2312" w:cs="仿宋_GB2312" w:eastAsia="仿宋_GB2312"/>
                <w:sz w:val="21"/>
              </w:rPr>
              <w:t>≥8mm的高强钢焊接而成</w:t>
            </w:r>
            <w:r>
              <w:rPr>
                <w:rFonts w:ascii="仿宋_GB2312" w:hAnsi="仿宋_GB2312" w:cs="仿宋_GB2312" w:eastAsia="仿宋_GB2312"/>
                <w:sz w:val="21"/>
              </w:rPr>
              <w:t>，</w:t>
            </w:r>
            <w:r>
              <w:rPr>
                <w:rFonts w:ascii="仿宋_GB2312" w:hAnsi="仿宋_GB2312" w:cs="仿宋_GB2312" w:eastAsia="仿宋_GB2312"/>
                <w:sz w:val="21"/>
              </w:rPr>
              <w:t>垃圾箱</w:t>
            </w:r>
            <w:r>
              <w:rPr>
                <w:rFonts w:ascii="仿宋_GB2312" w:hAnsi="仿宋_GB2312" w:cs="仿宋_GB2312" w:eastAsia="仿宋_GB2312"/>
                <w:sz w:val="21"/>
              </w:rPr>
              <w:t>板材厚度</w:t>
            </w:r>
            <w:r>
              <w:rPr>
                <w:rFonts w:ascii="仿宋_GB2312" w:hAnsi="仿宋_GB2312" w:cs="仿宋_GB2312" w:eastAsia="仿宋_GB2312"/>
                <w:sz w:val="21"/>
              </w:rPr>
              <w:t>≥4mm的高强钢焊接而成</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投标文件中提供承诺函，格式自拟</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10、功能要求：与</w:t>
            </w:r>
            <w:r>
              <w:rPr>
                <w:rFonts w:ascii="仿宋_GB2312" w:hAnsi="仿宋_GB2312" w:cs="仿宋_GB2312" w:eastAsia="仿宋_GB2312"/>
                <w:sz w:val="21"/>
              </w:rPr>
              <w:t>车厢可卸式垃圾车（垃圾转运）</w:t>
            </w:r>
            <w:r>
              <w:rPr>
                <w:rFonts w:ascii="仿宋_GB2312" w:hAnsi="仿宋_GB2312" w:cs="仿宋_GB2312" w:eastAsia="仿宋_GB2312"/>
                <w:sz w:val="21"/>
              </w:rPr>
              <w:t>配套使用，对生活垃圾进行压缩、装运；</w:t>
            </w:r>
            <w:r>
              <w:rPr>
                <w:rFonts w:ascii="仿宋_GB2312" w:hAnsi="仿宋_GB2312" w:cs="仿宋_GB2312" w:eastAsia="仿宋_GB2312"/>
                <w:sz w:val="21"/>
              </w:rPr>
              <w:t>所有外露金属表面均作防锈处理，与垃圾直接接触的钢材均进行了酸洗、磷化、钝化等防腐处理</w:t>
            </w:r>
            <w:r>
              <w:rPr>
                <w:rFonts w:ascii="仿宋_GB2312" w:hAnsi="仿宋_GB2312" w:cs="仿宋_GB2312" w:eastAsia="仿宋_GB2312"/>
                <w:sz w:val="21"/>
              </w:rPr>
              <w:t>；</w:t>
            </w:r>
            <w:r>
              <w:rPr>
                <w:rFonts w:ascii="仿宋_GB2312" w:hAnsi="仿宋_GB2312" w:cs="仿宋_GB2312" w:eastAsia="仿宋_GB2312"/>
                <w:sz w:val="21"/>
              </w:rPr>
              <w:t>具有液晶显示</w:t>
            </w:r>
            <w:r>
              <w:rPr>
                <w:rFonts w:ascii="仿宋_GB2312" w:hAnsi="仿宋_GB2312" w:cs="仿宋_GB2312" w:eastAsia="仿宋_GB2312"/>
                <w:sz w:val="21"/>
              </w:rPr>
              <w:t>、</w:t>
            </w:r>
            <w:r>
              <w:rPr>
                <w:rFonts w:ascii="仿宋_GB2312" w:hAnsi="仿宋_GB2312" w:cs="仿宋_GB2312" w:eastAsia="仿宋_GB2312"/>
                <w:sz w:val="21"/>
              </w:rPr>
              <w:t>压满报警</w:t>
            </w:r>
            <w:r>
              <w:rPr>
                <w:rFonts w:ascii="仿宋_GB2312" w:hAnsi="仿宋_GB2312" w:cs="仿宋_GB2312" w:eastAsia="仿宋_GB2312"/>
                <w:sz w:val="21"/>
              </w:rPr>
              <w:t>、</w:t>
            </w:r>
            <w:r>
              <w:rPr>
                <w:rFonts w:ascii="仿宋_GB2312" w:hAnsi="仿宋_GB2312" w:cs="仿宋_GB2312" w:eastAsia="仿宋_GB2312"/>
                <w:sz w:val="21"/>
              </w:rPr>
              <w:t>液压系统自动散热</w:t>
            </w:r>
            <w:r>
              <w:rPr>
                <w:rFonts w:ascii="仿宋_GB2312" w:hAnsi="仿宋_GB2312" w:cs="仿宋_GB2312" w:eastAsia="仿宋_GB2312"/>
                <w:sz w:val="21"/>
              </w:rPr>
              <w:t>、</w:t>
            </w:r>
            <w:r>
              <w:rPr>
                <w:rFonts w:ascii="仿宋_GB2312" w:hAnsi="仿宋_GB2312" w:cs="仿宋_GB2312" w:eastAsia="仿宋_GB2312"/>
                <w:sz w:val="21"/>
              </w:rPr>
              <w:t>紧急停止</w:t>
            </w:r>
            <w:r>
              <w:rPr>
                <w:rFonts w:ascii="仿宋_GB2312" w:hAnsi="仿宋_GB2312" w:cs="仿宋_GB2312" w:eastAsia="仿宋_GB2312"/>
                <w:sz w:val="21"/>
              </w:rPr>
              <w:t>、</w:t>
            </w:r>
            <w:r>
              <w:rPr>
                <w:rFonts w:ascii="仿宋_GB2312" w:hAnsi="仿宋_GB2312" w:cs="仿宋_GB2312" w:eastAsia="仿宋_GB2312"/>
                <w:sz w:val="21"/>
              </w:rPr>
              <w:t>故障的自动报警</w:t>
            </w:r>
            <w:r>
              <w:rPr>
                <w:rFonts w:ascii="仿宋_GB2312" w:hAnsi="仿宋_GB2312" w:cs="仿宋_GB2312" w:eastAsia="仿宋_GB2312"/>
                <w:sz w:val="21"/>
              </w:rPr>
              <w:t>、</w:t>
            </w:r>
            <w:r>
              <w:rPr>
                <w:rFonts w:ascii="仿宋_GB2312" w:hAnsi="仿宋_GB2312" w:cs="仿宋_GB2312" w:eastAsia="仿宋_GB2312"/>
                <w:sz w:val="21"/>
              </w:rPr>
              <w:t>自动诊断</w:t>
            </w:r>
            <w:r>
              <w:rPr>
                <w:rFonts w:ascii="仿宋_GB2312" w:hAnsi="仿宋_GB2312" w:cs="仿宋_GB2312" w:eastAsia="仿宋_GB2312"/>
                <w:sz w:val="21"/>
              </w:rPr>
              <w:t>等</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可通过</w:t>
            </w:r>
            <w:r>
              <w:rPr>
                <w:rFonts w:ascii="仿宋_GB2312" w:hAnsi="仿宋_GB2312" w:cs="仿宋_GB2312" w:eastAsia="仿宋_GB2312"/>
                <w:sz w:val="21"/>
              </w:rPr>
              <w:t>有线控式和触摸式双重控制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11、拆除现有垃圾压缩设备，进行承重系统和排污系统的改造，根据设备需求完善垃圾站内的电力系统。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rPr>
              <w:t>本项目自</w:t>
            </w:r>
            <w:r>
              <w:rPr>
                <w:rFonts w:ascii="仿宋_GB2312" w:hAnsi="仿宋_GB2312" w:cs="仿宋_GB2312" w:eastAsia="仿宋_GB2312"/>
                <w:sz w:val="24"/>
              </w:rPr>
              <w:t>成交人</w:t>
            </w:r>
            <w:r>
              <w:rPr>
                <w:rFonts w:ascii="仿宋_GB2312" w:hAnsi="仿宋_GB2312" w:cs="仿宋_GB2312" w:eastAsia="仿宋_GB2312"/>
                <w:sz w:val="24"/>
              </w:rPr>
              <w:t>签订合同之日起至验收合格日止，</w:t>
            </w:r>
            <w:r>
              <w:rPr>
                <w:rFonts w:ascii="仿宋_GB2312" w:hAnsi="仿宋_GB2312" w:cs="仿宋_GB2312" w:eastAsia="仿宋_GB2312"/>
                <w:sz w:val="24"/>
              </w:rPr>
              <w:t>成交人</w:t>
            </w:r>
            <w:r>
              <w:rPr>
                <w:rFonts w:ascii="仿宋_GB2312" w:hAnsi="仿宋_GB2312" w:cs="仿宋_GB2312" w:eastAsia="仿宋_GB2312"/>
                <w:sz w:val="24"/>
              </w:rPr>
              <w:t>将负责运输、安装、调试以及维护过程中的</w:t>
            </w:r>
            <w:r>
              <w:rPr>
                <w:rFonts w:ascii="仿宋_GB2312" w:hAnsi="仿宋_GB2312" w:cs="仿宋_GB2312" w:eastAsia="仿宋_GB2312"/>
                <w:sz w:val="24"/>
              </w:rPr>
              <w:t>自身</w:t>
            </w:r>
            <w:r>
              <w:rPr>
                <w:rFonts w:ascii="仿宋_GB2312" w:hAnsi="仿宋_GB2312" w:cs="仿宋_GB2312" w:eastAsia="仿宋_GB2312"/>
                <w:sz w:val="24"/>
              </w:rPr>
              <w:t>人身安全、财产安全、环境安全，因项目实施过程中造成的直接或间接损失，均由成交人自行承担。</w:t>
            </w:r>
            <w:r>
              <w:rPr>
                <w:rFonts w:ascii="仿宋_GB2312" w:hAnsi="仿宋_GB2312" w:cs="仿宋_GB2312" w:eastAsia="仿宋_GB2312"/>
                <w:sz w:val="24"/>
                <w:b/>
              </w:rPr>
              <w:t>（</w:t>
            </w:r>
            <w:r>
              <w:rPr>
                <w:rFonts w:ascii="仿宋_GB2312" w:hAnsi="仿宋_GB2312" w:cs="仿宋_GB2312" w:eastAsia="仿宋_GB2312"/>
                <w:sz w:val="24"/>
                <w:b/>
              </w:rPr>
              <w:t>提供承诺函，格式自拟</w:t>
            </w:r>
            <w:r>
              <w:rPr>
                <w:rFonts w:ascii="仿宋_GB2312" w:hAnsi="仿宋_GB2312" w:cs="仿宋_GB2312" w:eastAsia="仿宋_GB2312"/>
                <w:sz w:val="24"/>
                <w:b/>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质保期内的质量问题，按保修手册要求免费维修；如同一车辆、同一问题经过</w:t>
            </w:r>
            <w:r>
              <w:rPr>
                <w:rFonts w:ascii="仿宋_GB2312" w:hAnsi="仿宋_GB2312" w:cs="仿宋_GB2312" w:eastAsia="仿宋_GB2312"/>
                <w:sz w:val="24"/>
              </w:rPr>
              <w:t>3次维修仍不能达到合同约定的质量标准，中标人必须接受采购方退货或更换同品牌、同型号、同质量的新设备。底盘按随车保修手册国家三包政策执行。车辆的维修和更换实行上门服务，确保维修质量，中标人接到采购人通知后30 分内响应服务需求，到达现场检查时间不超过2个小时；非停机故障维修不隔日，停机故障维修在3天内完成。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质保期外以</w:t>
            </w:r>
            <w:r>
              <w:rPr>
                <w:rFonts w:ascii="仿宋_GB2312" w:hAnsi="仿宋_GB2312" w:cs="仿宋_GB2312" w:eastAsia="仿宋_GB2312"/>
                <w:sz w:val="24"/>
              </w:rPr>
              <w:t>德昌县</w:t>
            </w:r>
            <w:r>
              <w:rPr>
                <w:rFonts w:ascii="仿宋_GB2312" w:hAnsi="仿宋_GB2312" w:cs="仿宋_GB2312" w:eastAsia="仿宋_GB2312"/>
                <w:sz w:val="24"/>
              </w:rPr>
              <w:t>市场价格</w:t>
            </w:r>
            <w:r>
              <w:rPr>
                <w:rFonts w:ascii="仿宋_GB2312" w:hAnsi="仿宋_GB2312" w:cs="仿宋_GB2312" w:eastAsia="仿宋_GB2312"/>
                <w:sz w:val="24"/>
              </w:rPr>
              <w:t>至少</w:t>
            </w:r>
            <w:r>
              <w:rPr>
                <w:rFonts w:ascii="仿宋_GB2312" w:hAnsi="仿宋_GB2312" w:cs="仿宋_GB2312" w:eastAsia="仿宋_GB2312"/>
                <w:sz w:val="24"/>
              </w:rPr>
              <w:t>下浮</w:t>
            </w:r>
            <w:r>
              <w:rPr>
                <w:rFonts w:ascii="仿宋_GB2312" w:hAnsi="仿宋_GB2312" w:cs="仿宋_GB2312" w:eastAsia="仿宋_GB2312"/>
                <w:sz w:val="24"/>
              </w:rPr>
              <w:t>1</w:t>
            </w:r>
            <w:r>
              <w:rPr>
                <w:rFonts w:ascii="仿宋_GB2312" w:hAnsi="仿宋_GB2312" w:cs="仿宋_GB2312" w:eastAsia="仿宋_GB2312"/>
                <w:sz w:val="24"/>
              </w:rPr>
              <w:t>5%提供更换</w:t>
            </w:r>
            <w:r>
              <w:rPr>
                <w:rFonts w:ascii="仿宋_GB2312" w:hAnsi="仿宋_GB2312" w:cs="仿宋_GB2312" w:eastAsia="仿宋_GB2312"/>
                <w:sz w:val="24"/>
              </w:rPr>
              <w:t>零配件、车辆维修服务</w:t>
            </w:r>
            <w:r>
              <w:rPr>
                <w:rFonts w:ascii="仿宋_GB2312" w:hAnsi="仿宋_GB2312" w:cs="仿宋_GB2312" w:eastAsia="仿宋_GB2312"/>
                <w:sz w:val="24"/>
              </w:rPr>
              <w:t>。车辆的维修和更换实行上门服务，确保维修质量，中标人接到采购人通知后</w:t>
            </w:r>
            <w:r>
              <w:rPr>
                <w:rFonts w:ascii="仿宋_GB2312" w:hAnsi="仿宋_GB2312" w:cs="仿宋_GB2312" w:eastAsia="仿宋_GB2312"/>
                <w:sz w:val="24"/>
              </w:rPr>
              <w:t>30 分钟内提供服务响应，到达现场检查时间不超过2个小时；小修不隔日，大修</w:t>
            </w:r>
            <w:r>
              <w:rPr>
                <w:rFonts w:ascii="仿宋_GB2312" w:hAnsi="仿宋_GB2312" w:cs="仿宋_GB2312" w:eastAsia="仿宋_GB2312"/>
                <w:sz w:val="24"/>
              </w:rPr>
              <w:t>3</w:t>
            </w:r>
            <w:r>
              <w:rPr>
                <w:rFonts w:ascii="仿宋_GB2312" w:hAnsi="仿宋_GB2312" w:cs="仿宋_GB2312" w:eastAsia="仿宋_GB2312"/>
                <w:sz w:val="24"/>
              </w:rPr>
              <w:t>天内完成；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3）车</w:t>
            </w:r>
            <w:r>
              <w:rPr>
                <w:rFonts w:ascii="仿宋_GB2312" w:hAnsi="仿宋_GB2312" w:cs="仿宋_GB2312" w:eastAsia="仿宋_GB2312"/>
                <w:sz w:val="24"/>
              </w:rPr>
              <w:t>辆在国家规定的使用年限内，中标人能保证采购人更换到原厂零部件，保证设备安装验收后备件供应不少于</w:t>
            </w:r>
            <w:r>
              <w:rPr>
                <w:rFonts w:ascii="仿宋_GB2312" w:hAnsi="仿宋_GB2312" w:cs="仿宋_GB2312" w:eastAsia="仿宋_GB2312"/>
                <w:sz w:val="24"/>
              </w:rPr>
              <w:t>8</w:t>
            </w:r>
            <w:r>
              <w:rPr>
                <w:rFonts w:ascii="仿宋_GB2312" w:hAnsi="仿宋_GB2312" w:cs="仿宋_GB2312" w:eastAsia="仿宋_GB2312"/>
                <w:sz w:val="24"/>
              </w:rPr>
              <w:t>年，应确保本次投标产品的备品备件充足。</w:t>
            </w:r>
            <w:r>
              <w:rPr>
                <w:rFonts w:ascii="仿宋_GB2312" w:hAnsi="仿宋_GB2312" w:cs="仿宋_GB2312" w:eastAsia="仿宋_GB2312"/>
                <w:sz w:val="24"/>
              </w:rPr>
              <w:t>须提供承诺函，格式自拟。</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4）货物</w:t>
            </w:r>
            <w:r>
              <w:rPr>
                <w:rFonts w:ascii="仿宋_GB2312" w:hAnsi="仿宋_GB2312" w:cs="仿宋_GB2312" w:eastAsia="仿宋_GB2312"/>
                <w:sz w:val="24"/>
              </w:rPr>
              <w:t>在国家规定的使用年限内，中标人须为采购人提供</w:t>
            </w:r>
            <w:r>
              <w:rPr>
                <w:rFonts w:ascii="仿宋_GB2312" w:hAnsi="仿宋_GB2312" w:cs="仿宋_GB2312" w:eastAsia="仿宋_GB2312"/>
                <w:sz w:val="24"/>
              </w:rPr>
              <w:t>不</w:t>
            </w:r>
            <w:r>
              <w:rPr>
                <w:rFonts w:ascii="仿宋_GB2312" w:hAnsi="仿宋_GB2312" w:cs="仿宋_GB2312" w:eastAsia="仿宋_GB2312"/>
                <w:sz w:val="24"/>
              </w:rPr>
              <w:t>少于</w:t>
            </w:r>
            <w:r>
              <w:rPr>
                <w:rFonts w:ascii="仿宋_GB2312" w:hAnsi="仿宋_GB2312" w:cs="仿宋_GB2312" w:eastAsia="仿宋_GB2312"/>
                <w:sz w:val="24"/>
              </w:rPr>
              <w:t>一</w:t>
            </w:r>
            <w:r>
              <w:rPr>
                <w:rFonts w:ascii="仿宋_GB2312" w:hAnsi="仿宋_GB2312" w:cs="仿宋_GB2312" w:eastAsia="仿宋_GB2312"/>
                <w:sz w:val="24"/>
              </w:rPr>
              <w:t>季</w:t>
            </w:r>
            <w:r>
              <w:rPr>
                <w:rFonts w:ascii="仿宋_GB2312" w:hAnsi="仿宋_GB2312" w:cs="仿宋_GB2312" w:eastAsia="仿宋_GB2312"/>
                <w:sz w:val="24"/>
              </w:rPr>
              <w:t>一次巡</w:t>
            </w:r>
            <w:r>
              <w:rPr>
                <w:rFonts w:ascii="仿宋_GB2312" w:hAnsi="仿宋_GB2312" w:cs="仿宋_GB2312" w:eastAsia="仿宋_GB2312"/>
                <w:sz w:val="24"/>
              </w:rPr>
              <w:t>检服务，且不得收取任何费用。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投标人需配备售后服务团队，搭建健全的售后服务体系，设有售后服务维修中心。通过专职技术团队确保售后维修响应及时、处置高效，同时提供全方位技术支持，保障设备规范操作。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售后服务方案：投标人针对本项目提供售后服务方案，包含：1、售后服务承诺及保障措施；2、售后服务响应与售后服务应急保障方案；3、售后服务网点建设（不限制网点地点，可结合供应商实际情况响应现有网点或响应中标后网点建设方案)；4、售后服务方人员配置方案；5、备品备件供应保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车辆统一管理平台：总质量大于</w:t>
            </w:r>
            <w:r>
              <w:rPr>
                <w:rFonts w:ascii="仿宋_GB2312" w:hAnsi="仿宋_GB2312" w:cs="仿宋_GB2312" w:eastAsia="仿宋_GB2312"/>
                <w:sz w:val="24"/>
              </w:rPr>
              <w:t>10000kg的车型因作业距离远、出勤率高、环境复杂，需配置车辆统一管理平台，便于采购人对车辆的管理；平台应具备以下核心功能：①实时查看车辆位置并监控驾驶状态；②车辆能耗数据统计与分析；③车辆维修保养到期智能提醒；④车辆故障自动显示</w:t>
            </w:r>
            <w:r>
              <w:rPr>
                <w:rFonts w:ascii="仿宋_GB2312" w:hAnsi="仿宋_GB2312" w:cs="仿宋_GB2312" w:eastAsia="仿宋_GB2312"/>
                <w:sz w:val="24"/>
              </w:rPr>
              <w:t>与在线报修。本车辆管理平台依托电脑端、移动端</w:t>
            </w:r>
            <w:r>
              <w:rPr>
                <w:rFonts w:ascii="仿宋_GB2312" w:hAnsi="仿宋_GB2312" w:cs="仿宋_GB2312" w:eastAsia="仿宋_GB2312"/>
                <w:sz w:val="24"/>
              </w:rPr>
              <w:t>APP 实现业务管理，对车载关联设备无接入限制，车辆原厂预装设备、后期加装设备均可适配接入。</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货物质量</w:t>
            </w:r>
          </w:p>
        </w:tc>
        <w:tc>
          <w:tcPr>
            <w:tcW w:type="dxa" w:w="5814"/>
          </w:tcPr>
          <w:p>
            <w:pPr>
              <w:pStyle w:val="null3"/>
              <w:jc w:val="left"/>
            </w:pPr>
            <w:r>
              <w:rPr>
                <w:rFonts w:ascii="仿宋_GB2312" w:hAnsi="仿宋_GB2312" w:cs="仿宋_GB2312" w:eastAsia="仿宋_GB2312"/>
                <w:sz w:val="24"/>
              </w:rPr>
              <w:t>所有</w:t>
            </w:r>
            <w:r>
              <w:rPr>
                <w:rFonts w:ascii="仿宋_GB2312" w:hAnsi="仿宋_GB2312" w:cs="仿宋_GB2312" w:eastAsia="仿宋_GB2312"/>
                <w:sz w:val="24"/>
              </w:rPr>
              <w:t>货物</w:t>
            </w:r>
            <w:r>
              <w:rPr>
                <w:rFonts w:ascii="仿宋_GB2312" w:hAnsi="仿宋_GB2312" w:cs="仿宋_GB2312" w:eastAsia="仿宋_GB2312"/>
                <w:sz w:val="24"/>
              </w:rPr>
              <w:t>必须是合法生产厂家生产的合格产品，必须符合国家检测标准以及出厂标准，必须是全新</w:t>
            </w:r>
            <w:r>
              <w:rPr>
                <w:rFonts w:ascii="仿宋_GB2312" w:hAnsi="仿宋_GB2312" w:cs="仿宋_GB2312" w:eastAsia="仿宋_GB2312"/>
                <w:sz w:val="24"/>
              </w:rPr>
              <w:t>货物</w:t>
            </w:r>
            <w:r>
              <w:rPr>
                <w:rFonts w:ascii="仿宋_GB2312" w:hAnsi="仿宋_GB2312" w:cs="仿宋_GB2312" w:eastAsia="仿宋_GB2312"/>
                <w:sz w:val="24"/>
              </w:rPr>
              <w:t>（包括零部件），</w:t>
            </w:r>
            <w:r>
              <w:rPr>
                <w:rFonts w:ascii="仿宋_GB2312" w:hAnsi="仿宋_GB2312" w:cs="仿宋_GB2312" w:eastAsia="仿宋_GB2312"/>
                <w:sz w:val="24"/>
              </w:rPr>
              <w:t>货物</w:t>
            </w:r>
            <w:r>
              <w:rPr>
                <w:rFonts w:ascii="仿宋_GB2312" w:hAnsi="仿宋_GB2312" w:cs="仿宋_GB2312" w:eastAsia="仿宋_GB2312"/>
                <w:sz w:val="24"/>
              </w:rPr>
              <w:t>出厂时间不得</w:t>
            </w:r>
            <w:r>
              <w:rPr>
                <w:rFonts w:ascii="仿宋_GB2312" w:hAnsi="仿宋_GB2312" w:cs="仿宋_GB2312" w:eastAsia="仿宋_GB2312"/>
                <w:sz w:val="24"/>
              </w:rPr>
              <w:t>超过</w:t>
            </w:r>
            <w:r>
              <w:rPr>
                <w:rFonts w:ascii="仿宋_GB2312" w:hAnsi="仿宋_GB2312" w:cs="仿宋_GB2312" w:eastAsia="仿宋_GB2312"/>
                <w:sz w:val="24"/>
              </w:rPr>
              <w:t>6</w:t>
            </w:r>
            <w:r>
              <w:rPr>
                <w:rFonts w:ascii="仿宋_GB2312" w:hAnsi="仿宋_GB2312" w:cs="仿宋_GB2312" w:eastAsia="仿宋_GB2312"/>
                <w:sz w:val="24"/>
              </w:rPr>
              <w:t>个月</w:t>
            </w:r>
            <w:r>
              <w:rPr>
                <w:rFonts w:ascii="仿宋_GB2312" w:hAnsi="仿宋_GB2312" w:cs="仿宋_GB2312" w:eastAsia="仿宋_GB2312"/>
                <w:sz w:val="24"/>
              </w:rPr>
              <w:t>，符合国家及行业相关合格标准。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rPr>
              <w:t>报价是投标人响应采购项目要求的全部工作内容的价格体现，包括但不限于车辆裸车价、车辆上户、保险（交强险车船税，三者险</w:t>
            </w:r>
            <w:r>
              <w:rPr>
                <w:rFonts w:ascii="仿宋_GB2312" w:hAnsi="仿宋_GB2312" w:cs="仿宋_GB2312" w:eastAsia="仿宋_GB2312"/>
                <w:sz w:val="24"/>
              </w:rPr>
              <w:t>≥200万，座位险≥30万元每座，医保外用药）、垃圾中转站改造、购置税、运输费、安装调试费、差旅费、售后服务、培训、代理服务费等全部费用。</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履约经验</w:t>
            </w:r>
          </w:p>
        </w:tc>
        <w:tc>
          <w:tcPr>
            <w:tcW w:type="dxa" w:w="5814"/>
          </w:tcPr>
          <w:p>
            <w:pPr>
              <w:pStyle w:val="null3"/>
              <w:jc w:val="left"/>
            </w:pPr>
            <w:r>
              <w:rPr>
                <w:rFonts w:ascii="仿宋_GB2312" w:hAnsi="仿宋_GB2312" w:cs="仿宋_GB2312" w:eastAsia="仿宋_GB2312"/>
                <w:sz w:val="24"/>
              </w:rPr>
              <w:t>投标人</w:t>
            </w:r>
            <w:r>
              <w:rPr>
                <w:rFonts w:ascii="仿宋_GB2312" w:hAnsi="仿宋_GB2312" w:cs="仿宋_GB2312" w:eastAsia="仿宋_GB2312"/>
                <w:sz w:val="24"/>
              </w:rPr>
              <w:t>自</w:t>
            </w:r>
            <w:r>
              <w:rPr>
                <w:rFonts w:ascii="仿宋_GB2312" w:hAnsi="仿宋_GB2312" w:cs="仿宋_GB2312" w:eastAsia="仿宋_GB2312"/>
                <w:sz w:val="24"/>
              </w:rPr>
              <w:t>202</w:t>
            </w:r>
            <w:r>
              <w:rPr>
                <w:rFonts w:ascii="仿宋_GB2312" w:hAnsi="仿宋_GB2312" w:cs="仿宋_GB2312" w:eastAsia="仿宋_GB2312"/>
                <w:sz w:val="24"/>
              </w:rPr>
              <w:t>3</w:t>
            </w:r>
            <w:r>
              <w:rPr>
                <w:rFonts w:ascii="仿宋_GB2312" w:hAnsi="仿宋_GB2312" w:cs="仿宋_GB2312" w:eastAsia="仿宋_GB2312"/>
                <w:sz w:val="24"/>
              </w:rPr>
              <w:t>年</w:t>
            </w:r>
            <w:r>
              <w:rPr>
                <w:rFonts w:ascii="仿宋_GB2312" w:hAnsi="仿宋_GB2312" w:cs="仿宋_GB2312" w:eastAsia="仿宋_GB2312"/>
                <w:sz w:val="24"/>
              </w:rPr>
              <w:t>1月1日（含）至递交响应文件截止日止，有过类似项目业绩</w:t>
            </w:r>
            <w:r>
              <w:rPr>
                <w:rFonts w:ascii="仿宋_GB2312" w:hAnsi="仿宋_GB2312" w:cs="仿宋_GB2312" w:eastAsia="仿宋_GB2312"/>
                <w:sz w:val="24"/>
              </w:rPr>
              <w:t>（类似项目是指与本次采购范围内任意标的</w:t>
            </w:r>
            <w:r>
              <w:rPr>
                <w:rFonts w:ascii="仿宋_GB2312" w:hAnsi="仿宋_GB2312" w:cs="仿宋_GB2312" w:eastAsia="仿宋_GB2312"/>
                <w:sz w:val="24"/>
              </w:rPr>
              <w:t>相类似</w:t>
            </w:r>
            <w:r>
              <w:rPr>
                <w:rFonts w:ascii="仿宋_GB2312" w:hAnsi="仿宋_GB2312" w:cs="仿宋_GB2312" w:eastAsia="仿宋_GB2312"/>
                <w:sz w:val="24"/>
              </w:rPr>
              <w:t>的销售、供货类项目）。</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sz w:val="24"/>
              </w:rPr>
              <w:t>投标人针对本项目提供项目实施方案，包含：</w:t>
            </w:r>
            <w:r>
              <w:rPr>
                <w:rFonts w:ascii="仿宋_GB2312" w:hAnsi="仿宋_GB2312" w:cs="仿宋_GB2312" w:eastAsia="仿宋_GB2312"/>
                <w:sz w:val="24"/>
              </w:rPr>
              <w:t>1、货源组织及进度安排；2、货物质量控制措施；3、应急保障措施；4、货物验收及培训方案；5、运输配送方案。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 30 日内供货完毕，所有货物均需安装、调试完毕交付使用。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德昌县域内或采购人指定地点。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1、合同签订生效后，达到付款条件起7日内，支付合同总金额的40.00%</w:t>
            </w:r>
          </w:p>
          <w:p>
            <w:pPr>
              <w:pStyle w:val="null3"/>
              <w:jc w:val="left"/>
            </w:pPr>
            <w:r>
              <w:rPr>
                <w:rFonts w:ascii="仿宋_GB2312" w:hAnsi="仿宋_GB2312" w:cs="仿宋_GB2312" w:eastAsia="仿宋_GB2312"/>
              </w:rPr>
              <w:t>2、项目验收完成后，达到付款条件起7日内，支付合同总金额的60.00%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1.严格按照《财政部关于进一步加强政府采购需求和履约验收管理的指导意见》（财库〔2016〕205号）等政府采购相关法律法规的要求进行验收。 2.若现场安装测试核心指标未达到约定标准，采购人有权要求退货，并要求中标人赔偿因此造成的相应损失。</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质保期（非人为损坏）：所有货物质保期为交付使用后不低于12个月。</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1.采购人和中标人双方必须遵守本项目合同并执行合同中的各项规定，保证本项目合同的正常履行。 2.中标人不能按时提供产品（服务）或逾期提供而违约的，应向采购人支付违约金（每有一个产品未按照约定完成交货、安装调试等全部工作的，中标人应按合同金额的百分之五向采购人支付违约金，且采购人不予支付未履行该相关内容的相关经费）。未能按时完成超过5天的，采购人有权立即解除合同，中标人则应按合同金额的百分之五的款额向采购人支付违约金，并须全额退还采购人已经付给中标人的合同款及利息（按全国银行间同业拆借中心公布的贷款市场报价利率计算）。中标人因不可抗力原因无法按时履约的，经采购人书面确认后可不视为违约。 3.中标人有其他违约行为的，项目实施过程中，采购人对实施过程进行监督，如不符合采购人履约要求的，采购人有权要求中标人限期整改，中标人在经过3次限期整改后，仍不符合合同约定及采购人要求的，采购人有权解除合同，中标人则应按合同最高限价的百分之五向采购人支付违约金，并须全额退还采购人已经付给中标人的合同款及利息（按全国银行间同业拆借中心公布的贷款市场报价利率计算）。 4.中标人支付的违约金不足以弥补采购人损失的，还应按采购人损失尚未弥补的部分，支付赔偿金给采购人。（包括但不限于律师费、诉讼费、公证费、差旅费、鉴定费、保全费、保全保险费等）。 5.在执行本合同中发生的或与本合同有关的争端，双方应通过友好协商解决，经协商不能达成协议时，应提交凉山州仲裁委员会仲裁或者向采购人所在地人民法院提起诉讼。 6.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1.说明（本说明无需投标人进行响应）： 1.1.技术参数里引用的产品标准、方法标准和规范以最新有效的标准和规范为准（包括但不限于标准和规范修订、更新等情况，标准和规范出现修订、更新等情况时，以最新有效的标准和规范为准）。 1.2.若标准规范有抵触以更高标准为准。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 提供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具有独立承担民事责任的能力证明材料,投标文件封面,投标（响应）函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应提供健全的财务会计制度的证明材料：①可提供2024或2025年度经审计的财务报告（包含审计报告和审计报告中所涉及的财务报表和报表附注），②也可提供投标人内部的2024或2025年度财务报表（至少包含资产负债表），③也可提供截至投标文件递交截止日一年内银行出具的资信证明，④投标人注册时间截至投标文件递交截止日不足一年的，也可提供加盖工商备案主管部门印章的公司章程。</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所投“车厢可卸式垃圾车（垃圾转运）、压缩式垃圾车、车厢可卸式垃圾车（钩臂车）、垃圾车、洒水车、三轮垃圾清运车、垃圾转运车皮卡”须列入工业和信息化部发布的《道路机动车辆生产企业及产品公告》（提供公告截图并盖投标人公章扫描件）</w:t>
            </w:r>
          </w:p>
        </w:tc>
        <w:tc>
          <w:tcPr>
            <w:tcW w:type="dxa" w:w="3322"/>
          </w:tcPr>
          <w:p>
            <w:pPr>
              <w:pStyle w:val="null3"/>
              <w:jc w:val="left"/>
            </w:pPr>
            <w:r>
              <w:rPr>
                <w:rFonts w:ascii="仿宋_GB2312" w:hAnsi="仿宋_GB2312" w:cs="仿宋_GB2312" w:eastAsia="仿宋_GB2312"/>
              </w:rPr>
              <w:t>投标人所投“车厢可卸式垃圾车（垃圾转运）、压缩式垃圾车、车厢可卸式垃圾车（钩臂车）、垃圾车、洒水车、三轮垃圾清运车、垃圾转运车皮卡”须列入工业和信息化部发布的《道路机动车辆生产企业及产品公告》（提供公告截图并盖投标人公章扫描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需要供应商进行承诺的实质性要求。（以此为准）</w:t>
            </w:r>
          </w:p>
        </w:tc>
        <w:tc>
          <w:tcPr>
            <w:tcW w:type="dxa" w:w="3322"/>
          </w:tcPr>
          <w:p>
            <w:pPr>
              <w:pStyle w:val="null3"/>
              <w:jc w:val="left"/>
            </w:pPr>
            <w:r>
              <w:rPr>
                <w:rFonts w:ascii="仿宋_GB2312" w:hAnsi="仿宋_GB2312" w:cs="仿宋_GB2312" w:eastAsia="仿宋_GB2312"/>
              </w:rPr>
              <w:t>因系统固化原因，“需要投标人进行承诺的实质性要求”的审查具体标准和要求以此为准： 招标文件中明确要求单独提供承诺函的，投标人按照招标文件要求上传承诺函；无明确要求的，只需投标人按照投标（响应）函中承诺严格遵守并执行的相关实质性要求。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投标人认为需要提供的其他证明材料,技术要求响应表,关于符合本国产品标准的声明函,报价表,投标（响应）函,服务要求应答表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投标人按照招标文件要求上传相应材料。</w:t>
            </w:r>
          </w:p>
        </w:tc>
        <w:tc>
          <w:tcPr>
            <w:tcW w:type="dxa" w:w="1661"/>
          </w:tcPr>
          <w:p>
            <w:pPr>
              <w:pStyle w:val="null3"/>
              <w:jc w:val="left"/>
            </w:pPr>
            <w:r>
              <w:rPr>
                <w:rFonts w:ascii="仿宋_GB2312" w:hAnsi="仿宋_GB2312" w:cs="仿宋_GB2312" w:eastAsia="仿宋_GB2312"/>
              </w:rPr>
              <w:t>投标人认为需要提供的其他证明材料,技术要求响应表,关于符合本国产品标准的声明函,报价表,投标（响应）函,服务要求应答表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不属于招标文件规定的无效情形。</w:t>
            </w:r>
          </w:p>
        </w:tc>
        <w:tc>
          <w:tcPr>
            <w:tcW w:type="dxa" w:w="3322"/>
          </w:tcPr>
          <w:p>
            <w:pPr>
              <w:pStyle w:val="null3"/>
              <w:jc w:val="left"/>
            </w:pPr>
            <w:r>
              <w:rPr>
                <w:rFonts w:ascii="仿宋_GB2312" w:hAnsi="仿宋_GB2312" w:cs="仿宋_GB2312" w:eastAsia="仿宋_GB2312"/>
              </w:rPr>
              <w:t>投标人按照招标文件要求上传相关材料。</w:t>
            </w:r>
          </w:p>
        </w:tc>
        <w:tc>
          <w:tcPr>
            <w:tcW w:type="dxa" w:w="1661"/>
          </w:tcPr>
          <w:p>
            <w:pPr>
              <w:pStyle w:val="null3"/>
              <w:jc w:val="left"/>
            </w:pPr>
            <w:r>
              <w:rPr>
                <w:rFonts w:ascii="仿宋_GB2312" w:hAnsi="仿宋_GB2312" w:cs="仿宋_GB2312" w:eastAsia="仿宋_GB2312"/>
              </w:rPr>
              <w:t>投标人认为需要提供的其他证明材料,技术要求响应表,关于符合本国产品标准的声明函,报价表,投标（响应）函,服务要求应答表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投标人认为需要提供的其他证明材料,技术要求响应表,关于符合本国产品标准的声明函,报价表,投标（响应）函,服务要求应答表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1、投标人针对招标文件第三章中“3.2.技术要求”的一般技术参数条款（一般技术参数条款指未标注 “▲”、“★”的条款）的响应得分规则如下： 一般技术参数条款响应得分=（投标人满足一般技术参数条款的数量÷一般技术参数条款的总数量）×18分。 2、投标人针对招标文件第三章中“3.2.技术要求”“▲”技术参数条款的响应得分规则如下：每有一项不满足扣2分，满分6分，扣完为止。 注： （1）如果第三章“技术要求”对“▲”号技术参数条款的技术支撑材料有要求，应按要求提供，若未提供有效证明材料对应技术参数条款将视为不满足；对“▲”号技术参数条款未要求提供证明材料的，响应即可。 （2）针对一般条款的技术响应，如果第三章“技术要求”中技术参数条款对技术支撑材料有要求，应按要求提供，否则对应技术参数条款将视为不满足；对一般条款未要求提供证明材料的，响应即可。 （3）招标文件中标注“★”的条款为本项目的实质性条款，不在本项的评分范围内，如果第三章“技术要求”中技术参数条款对技术支撑材料有要求，应按要求提供，否则对应技术参数条款将视为不满足，将在符合性审查时，按无效响应进行处理。 （4）以“3.2技术要求”中一级序号数字为一项（标题除外，但标题中有具体要求的算作1项）；数字序号下有多级序号的，以最小级数字序号为1项；一般条款数量为 42 项、“▲”号条款数量为 3 项。</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技术要求响应表</w:t>
            </w:r>
          </w:p>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进行评审，该内容应包含：1、货源组织及进度安排；2、货物质量控制措施；3、应急保障措施；4、货物验收及培训方案；5、运输配送方案。完整提供上述5项内容的得25分；每有一项未提供扣5分，扣完为止；每有一处有缺陷或不足扣2.5分，扣完为止。 （缺陷或不足是指存在以下任意一种情形：1. 项目基础信息错误：方案中项目名称与招标项目名称不一致、存在错别字或表述偏差；实施地点与招标要求的区域不符。2. 方案内容不匹配、混乱：方案内容未针对本招标项目的具体需求定制，照搬、挪用其他项目方案，与本项目实际情况严重脱节；各分项方案之间内容交叉冲突，无法形成完整、连贯的实施体系；方案中提及的货物型号、规格、数量与招标要求不符，相关配套措施无法支撑货物正常交付、使用。3. 衔接及响应时效性差：各实施环节衔接不顺畅；未明确各类突发情况的响应时限，或响应时限过长，无法及时解决实施过程中出现的问题。4. 人员设置不合理：方案中明确的项目实施人员，其工作经验与本项目货物类型、实施要求不匹配，无法胜任对应岗位工作。）</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进行评审，该内容应包含：1、售后服务承诺及保障措施；2、售后服务响应与售后服务应急保障方案；3、售后服务网点建设（不限制网点地点，可结合供应商实际情况响应现有网点或响应中标后网点建设方案)；4、售后服务方人员配置方案；5、备品备件供应保障。完整提供上述5项内容的得15分；每有一项未提供扣3分，扣完为止；每有一处有缺陷或不足扣1.5分，扣完为止。 （缺陷或不足是指：1. 项目基础信息错误：方案中项目名称与招标项目名称不一致、存在错别字或表述偏差；实施地点与招标要求的区域不符。2. 售后服务承诺及保障措施缺陷：未明确具体的售后服务承诺，或承诺内容无法落地、与招标文件要求不符；保障措施不完善。3. 售后服务响应与售后服务应急保障方案缺陷：未明确紧急故障、一般故障的响应时限和处理周期，或时限设置过长、不符合招标文件要求。4. 售后服务网点建设缺陷：未明确中标后网点建设方案；拟建设网点的服务范围无法覆盖本项目实施地点，无法保障售后服务及时性。5. 售后服务方人员配置方案缺陷：售后服务方案未结合本项目实际需求定制，照搬、挪用其他项目方案，与本项目货物特性严重脱节；售后人员无法胜任岗位。6. 备品备件供应保障缺陷：无法匹配本项目货物维修更换需求。）</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项目方案</w:t>
            </w:r>
          </w:p>
        </w:tc>
      </w:tr>
      <w:tr>
        <w:tc>
          <w:tcPr>
            <w:tcW w:type="dxa" w:w="831"/>
            <w:vMerge/>
          </w:tcPr>
          <w:p/>
        </w:tc>
        <w:tc>
          <w:tcPr>
            <w:tcW w:type="dxa" w:w="1661"/>
          </w:tcPr>
          <w:p>
            <w:pPr>
              <w:pStyle w:val="null3"/>
              <w:jc w:val="left"/>
            </w:pPr>
            <w:r>
              <w:rPr>
                <w:rFonts w:ascii="仿宋_GB2312" w:hAnsi="仿宋_GB2312" w:cs="仿宋_GB2312" w:eastAsia="仿宋_GB2312"/>
              </w:rPr>
              <w:t>车辆统一管理平台</w:t>
            </w:r>
          </w:p>
        </w:tc>
        <w:tc>
          <w:tcPr>
            <w:tcW w:type="dxa" w:w="2575"/>
          </w:tcPr>
          <w:p>
            <w:pPr>
              <w:pStyle w:val="null3"/>
              <w:jc w:val="left"/>
            </w:pPr>
            <w:r>
              <w:rPr>
                <w:rFonts w:ascii="仿宋_GB2312" w:hAnsi="仿宋_GB2312" w:cs="仿宋_GB2312" w:eastAsia="仿宋_GB2312"/>
              </w:rPr>
              <w:t>投标人需针对总质量大于10000kg的车型提供车辆统一管理平台，平台应具备以下核心功能：①实时查看车辆位置并监控驾驶状态；②车辆能耗数据统计与分析；③车辆维修保养到期智能提醒；④车辆故障自动显示与在线报修。本车辆管理平台依托电脑端、移动端 APP 实现业务管理，对车载关联设备无接入限制，车辆原厂预装设备、后期加装设备均可适配接入。投标人需提供上述全部功能所对应的软件系统实际操作截图；每提供一项功能的有效截图，得 1 分，本项最高得分不超过 4 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投标人自2023年1月1日（含）至递交响应文件截止日止，有过类似项目业绩，每有1个案例得1分，最多得2分，不提供不得分。 注：1.类似项目是指与本次采购范围内任意标的相类似的销售、供货类项目。 2.需提供合同复印件，未提供不得分。业绩时间以合同签订时间为准。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满足招标文件要求且投标价格最低的报价为评标基准价，其价格分为满分。其他投标人的价格分统一按照下列公式计算：投标报价得分=(评标基准价／投标报价)×30×100%。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详见附件：技术要求响应表</w:t>
      </w:r>
    </w:p>
    <w:p>
      <w:pPr>
        <w:pStyle w:val="null3"/>
        <w:ind w:firstLine="960"/>
        <w:jc w:val="left"/>
      </w:pPr>
      <w:r>
        <w:rPr>
          <w:rFonts w:ascii="仿宋_GB2312" w:hAnsi="仿宋_GB2312" w:cs="仿宋_GB2312" w:eastAsia="仿宋_GB2312"/>
        </w:rPr>
        <w:t>详见附件：具有独立承担民事责任的能力证明材料</w:t>
      </w:r>
    </w:p>
    <w:p>
      <w:pPr>
        <w:pStyle w:val="null3"/>
        <w:ind w:firstLine="960"/>
        <w:jc w:val="left"/>
      </w:pPr>
      <w:r>
        <w:rPr>
          <w:rFonts w:ascii="仿宋_GB2312" w:hAnsi="仿宋_GB2312" w:cs="仿宋_GB2312" w:eastAsia="仿宋_GB2312"/>
        </w:rPr>
        <w:t>详见附件：投标人认为需要提供的其他证明材料</w:t>
      </w:r>
    </w:p>
    <w:p>
      <w:pPr>
        <w:pStyle w:val="null3"/>
        <w:ind w:firstLine="960"/>
        <w:jc w:val="left"/>
      </w:pPr>
      <w:r>
        <w:rPr>
          <w:rFonts w:ascii="仿宋_GB2312" w:hAnsi="仿宋_GB2312" w:cs="仿宋_GB2312" w:eastAsia="仿宋_GB2312"/>
        </w:rPr>
        <w:t>详见附件：项目方案</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