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版本号：N510705202600003520260416001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2026年小麦一喷三防</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N5107052026000035</w:t>
      </w:r>
    </w:p>
    <w:p>
      <w:pPr>
        <w:pStyle w:val="null3"/>
        <w:jc w:val="left"/>
        <w:outlineLvl w:val="2"/>
      </w:pPr>
      <w:r>
        <w:rPr>
          <w:rFonts w:ascii="仿宋_GB2312" w:hAnsi="仿宋_GB2312" w:cs="仿宋_GB2312" w:eastAsia="仿宋_GB2312"/>
          <w:sz w:val="28"/>
          <w:b/>
        </w:rPr>
        <w:t>绵阳市安州区农业农村局</w:t>
      </w:r>
    </w:p>
    <w:p>
      <w:pPr>
        <w:pStyle w:val="null3"/>
        <w:jc w:val="center"/>
        <w:outlineLvl w:val="2"/>
      </w:pPr>
      <w:r>
        <w:rPr>
          <w:rFonts w:ascii="仿宋_GB2312" w:hAnsi="仿宋_GB2312" w:cs="仿宋_GB2312" w:eastAsia="仿宋_GB2312"/>
          <w:sz w:val="28"/>
          <w:b/>
        </w:rPr>
        <w:t>四川言心尚远工程管理有限公司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四川言心尚远工程管理有限公司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绵阳市安州区农业农村局</w:t>
      </w:r>
      <w:r>
        <w:rPr>
          <w:rFonts w:ascii="仿宋_GB2312" w:hAnsi="仿宋_GB2312" w:cs="仿宋_GB2312" w:eastAsia="仿宋_GB2312"/>
        </w:rPr>
        <w:t xml:space="preserve"> 委托，拟对 </w:t>
      </w:r>
      <w:r>
        <w:rPr>
          <w:rFonts w:ascii="仿宋_GB2312" w:hAnsi="仿宋_GB2312" w:cs="仿宋_GB2312" w:eastAsia="仿宋_GB2312"/>
        </w:rPr>
        <w:t>2026年小麦一喷三防</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绵阳市安州区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N5107052026000035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2026年小麦一喷三防</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购买小麦一喷三防物资</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1、参加本次政府采购活动前三年内，供应商单位及其现任法定代表人不得具有行贿犯罪记录（描述：参加本次政府采购活动前三年内，供应商单位及其现任法定代表人不得具有行贿犯罪记录）</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绵阳市安州区农业农村局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四川省绵阳市安州区花荄镇白鹤路2号附1号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17396933155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四川言心尚远工程管理有限公司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四川省绵阳市科创园区灵创科技园北京楼6楼606室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18034788347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采购包1：589,999.96元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 xml:space="preserve">收款单位：采购人 </w:t>
              <w:br/>
              <w:t>退还方式：中标（成交）人凭《履约验收表》和《履约保证金收款收据》到采购人处退付交纳的履约保证金。</w:t>
              <w:br/>
              <w:t>退还时间：合同履行完毕，项目验收合格后。</w:t>
              <w:br/>
              <w:t>不予退还情形：在合同签订后，非经双方协商一致中标（成交）人擅自解除合同、终止合同的；或者除法律规定的不可抗力因素外，中标（成交）人签订合同后不能履约、或者拒绝履约、或者部分履约等情形的。</w:t>
              <w:br/>
              <w:t>不予退还的，将按照有关规定上缴国库。逾期退还履约保证金的，将依法承担法律责任，并赔偿供应商损失。</w:t>
              <w:br/>
              <w:t>注：1.成交供应商应在成交通知书发放后，政府采购合同签订前，向采购人交纳规定数额的履约保证金。</w:t>
              <w:br/>
              <w:t>2.出具保函的主体应当是金融机构、保险机构、担保机构等依法成立且具有相关资质和偿付能力的机构，否则将取消成交供应商的成交资格，采购人将重新确定成交供应商，并依法追究法律责任。</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代理服务费收费标准：招标代理服务费最终按中标通知书金额为基准价，参照原国家计委《招标代理服务收费管理暂行办法》（国家计委计价[2002]1980号）规定的收费标准计取招标代理服务费。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绵阳市安州区农业农村局</w:t>
      </w:r>
      <w:r>
        <w:rPr>
          <w:rFonts w:ascii="仿宋_GB2312" w:hAnsi="仿宋_GB2312" w:cs="仿宋_GB2312" w:eastAsia="仿宋_GB2312"/>
        </w:rPr>
        <w:t xml:space="preserve"> 和 </w:t>
      </w:r>
      <w:r>
        <w:rPr>
          <w:rFonts w:ascii="仿宋_GB2312" w:hAnsi="仿宋_GB2312" w:cs="仿宋_GB2312" w:eastAsia="仿宋_GB2312"/>
        </w:rPr>
        <w:t>四川言心尚远工程管理有限公司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绵阳市安州区农业农村局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四川言心尚远工程管理有限公司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供货完成</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完成所有服务内容，向采购人提交成果资料且经采购人验收合格后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绵阳市安州区农业农村局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四川言心尚远工程管理有限公司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四川言心尚远工程管理有限公司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联系人：董老师</w:t>
      </w:r>
    </w:p>
    <w:p>
      <w:pPr>
        <w:pStyle w:val="null3"/>
        <w:jc w:val="left"/>
      </w:pPr>
      <w:r>
        <w:rPr>
          <w:rFonts w:ascii="仿宋_GB2312" w:hAnsi="仿宋_GB2312" w:cs="仿宋_GB2312" w:eastAsia="仿宋_GB2312"/>
        </w:rPr>
        <w:t>联系电话：17396933155</w:t>
      </w:r>
    </w:p>
    <w:p>
      <w:pPr>
        <w:pStyle w:val="null3"/>
        <w:jc w:val="left"/>
      </w:pPr>
      <w:r>
        <w:rPr>
          <w:rFonts w:ascii="仿宋_GB2312" w:hAnsi="仿宋_GB2312" w:cs="仿宋_GB2312" w:eastAsia="仿宋_GB2312"/>
        </w:rPr>
        <w:t>地址：四川省绵阳市安州区花荄镇白鹤路2号附1号</w:t>
      </w:r>
    </w:p>
    <w:p>
      <w:pPr>
        <w:pStyle w:val="null3"/>
        <w:jc w:val="left"/>
      </w:pPr>
      <w:r>
        <w:rPr>
          <w:rFonts w:ascii="仿宋_GB2312" w:hAnsi="仿宋_GB2312" w:cs="仿宋_GB2312" w:eastAsia="仿宋_GB2312"/>
        </w:rPr>
        <w:t>邮编：622650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联系人：叶老师</w:t>
      </w:r>
    </w:p>
    <w:p>
      <w:pPr>
        <w:pStyle w:val="null3"/>
        <w:jc w:val="left"/>
      </w:pPr>
      <w:r>
        <w:rPr>
          <w:rFonts w:ascii="仿宋_GB2312" w:hAnsi="仿宋_GB2312" w:cs="仿宋_GB2312" w:eastAsia="仿宋_GB2312"/>
        </w:rPr>
        <w:t>联系电话：18034788347</w:t>
      </w:r>
    </w:p>
    <w:p>
      <w:pPr>
        <w:pStyle w:val="null3"/>
        <w:jc w:val="left"/>
      </w:pPr>
      <w:r>
        <w:rPr>
          <w:rFonts w:ascii="仿宋_GB2312" w:hAnsi="仿宋_GB2312" w:cs="仿宋_GB2312" w:eastAsia="仿宋_GB2312"/>
        </w:rPr>
        <w:t>地址：四川省绵阳市科创园区灵创科技园北京楼6楼606室</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589,999.96</w:t>
      </w:r>
    </w:p>
    <w:p>
      <w:pPr>
        <w:pStyle w:val="null3"/>
        <w:jc w:val="left"/>
      </w:pPr>
      <w:r>
        <w:rPr>
          <w:rFonts w:ascii="仿宋_GB2312" w:hAnsi="仿宋_GB2312" w:cs="仿宋_GB2312" w:eastAsia="仿宋_GB2312"/>
        </w:rPr>
        <w:t>采购包最高限价（元）: 576,099.98</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A07080106 化学农药</w:t>
            </w:r>
          </w:p>
        </w:tc>
        <w:tc>
          <w:tcPr>
            <w:tcW w:type="dxa" w:w="821"/>
          </w:tcPr>
          <w:p>
            <w:pPr>
              <w:pStyle w:val="null3"/>
              <w:jc w:val="left"/>
            </w:pPr>
            <w:r>
              <w:rPr>
                <w:rFonts w:ascii="仿宋_GB2312" w:hAnsi="仿宋_GB2312" w:cs="仿宋_GB2312" w:eastAsia="仿宋_GB2312"/>
              </w:rPr>
              <w:t>丙硫菌唑·戊唑醇</w:t>
            </w:r>
          </w:p>
        </w:tc>
        <w:tc>
          <w:tcPr>
            <w:tcW w:type="dxa" w:w="821"/>
          </w:tcPr>
          <w:p>
            <w:pPr>
              <w:pStyle w:val="null3"/>
              <w:jc w:val="right"/>
            </w:pPr>
            <w:r>
              <w:rPr>
                <w:rFonts w:ascii="仿宋_GB2312" w:hAnsi="仿宋_GB2312" w:cs="仿宋_GB2312" w:eastAsia="仿宋_GB2312"/>
              </w:rPr>
              <w:t>3.95（吨）</w:t>
            </w:r>
          </w:p>
        </w:tc>
        <w:tc>
          <w:tcPr>
            <w:tcW w:type="dxa" w:w="821"/>
          </w:tcPr>
          <w:p>
            <w:pPr>
              <w:pStyle w:val="null3"/>
              <w:jc w:val="right"/>
            </w:pPr>
            <w:r>
              <w:rPr>
                <w:rFonts w:ascii="仿宋_GB2312" w:hAnsi="仿宋_GB2312" w:cs="仿宋_GB2312" w:eastAsia="仿宋_GB2312"/>
              </w:rPr>
              <w:t>347,500.00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A07080106 化学农药</w:t>
            </w:r>
          </w:p>
        </w:tc>
        <w:tc>
          <w:tcPr>
            <w:tcW w:type="dxa" w:w="821"/>
          </w:tcPr>
          <w:p>
            <w:pPr>
              <w:pStyle w:val="null3"/>
              <w:jc w:val="left"/>
            </w:pPr>
            <w:r>
              <w:rPr>
                <w:rFonts w:ascii="仿宋_GB2312" w:hAnsi="仿宋_GB2312" w:cs="仿宋_GB2312" w:eastAsia="仿宋_GB2312"/>
              </w:rPr>
              <w:t>联苯·噻虫胺</w:t>
            </w:r>
          </w:p>
        </w:tc>
        <w:tc>
          <w:tcPr>
            <w:tcW w:type="dxa" w:w="821"/>
          </w:tcPr>
          <w:p>
            <w:pPr>
              <w:pStyle w:val="null3"/>
              <w:jc w:val="right"/>
            </w:pPr>
            <w:r>
              <w:rPr>
                <w:rFonts w:ascii="仿宋_GB2312" w:hAnsi="仿宋_GB2312" w:cs="仿宋_GB2312" w:eastAsia="仿宋_GB2312"/>
              </w:rPr>
              <w:t>2.88（吨）</w:t>
            </w:r>
          </w:p>
        </w:tc>
        <w:tc>
          <w:tcPr>
            <w:tcW w:type="dxa" w:w="821"/>
          </w:tcPr>
          <w:p>
            <w:pPr>
              <w:pStyle w:val="null3"/>
              <w:jc w:val="right"/>
            </w:pPr>
            <w:r>
              <w:rPr>
                <w:rFonts w:ascii="仿宋_GB2312" w:hAnsi="仿宋_GB2312" w:cs="仿宋_GB2312" w:eastAsia="仿宋_GB2312"/>
              </w:rPr>
              <w:t>79,999.98</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A07080105 有机肥料及微生物肥料</w:t>
            </w:r>
          </w:p>
        </w:tc>
        <w:tc>
          <w:tcPr>
            <w:tcW w:type="dxa" w:w="821"/>
          </w:tcPr>
          <w:p>
            <w:pPr>
              <w:pStyle w:val="null3"/>
              <w:jc w:val="left"/>
            </w:pPr>
            <w:r>
              <w:rPr>
                <w:rFonts w:ascii="仿宋_GB2312" w:hAnsi="仿宋_GB2312" w:cs="仿宋_GB2312" w:eastAsia="仿宋_GB2312"/>
              </w:rPr>
              <w:t>含腐植酸水溶肥料</w:t>
            </w:r>
          </w:p>
        </w:tc>
        <w:tc>
          <w:tcPr>
            <w:tcW w:type="dxa" w:w="821"/>
          </w:tcPr>
          <w:p>
            <w:pPr>
              <w:pStyle w:val="null3"/>
              <w:jc w:val="right"/>
            </w:pPr>
            <w:r>
              <w:rPr>
                <w:rFonts w:ascii="仿宋_GB2312" w:hAnsi="仿宋_GB2312" w:cs="仿宋_GB2312" w:eastAsia="仿宋_GB2312"/>
              </w:rPr>
              <w:t>4.00（吨）</w:t>
            </w:r>
          </w:p>
        </w:tc>
        <w:tc>
          <w:tcPr>
            <w:tcW w:type="dxa" w:w="821"/>
          </w:tcPr>
          <w:p>
            <w:pPr>
              <w:pStyle w:val="null3"/>
              <w:jc w:val="right"/>
            </w:pPr>
            <w:r>
              <w:rPr>
                <w:rFonts w:ascii="仿宋_GB2312" w:hAnsi="仿宋_GB2312" w:cs="仿宋_GB2312" w:eastAsia="仿宋_GB2312"/>
              </w:rPr>
              <w:t>148,600.00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丙硫菌唑·戊唑醇</w:t>
            </w:r>
          </w:p>
        </w:tc>
        <w:tc>
          <w:tcPr>
            <w:tcW w:type="dxa" w:w="1138"/>
          </w:tcPr>
          <w:p>
            <w:pPr>
              <w:pStyle w:val="null3"/>
              <w:jc w:val="center"/>
            </w:pPr>
            <w:r>
              <w:rPr>
                <w:rFonts w:ascii="仿宋_GB2312" w:hAnsi="仿宋_GB2312" w:cs="仿宋_GB2312" w:eastAsia="仿宋_GB2312"/>
              </w:rPr>
              <w:t>3.95（吨）</w:t>
            </w:r>
          </w:p>
        </w:tc>
        <w:tc>
          <w:tcPr>
            <w:tcW w:type="dxa" w:w="1365"/>
          </w:tcPr>
          <w:p>
            <w:pPr>
              <w:pStyle w:val="null3"/>
              <w:jc w:val="center"/>
            </w:pPr>
            <w:r>
              <w:rPr>
                <w:rFonts w:ascii="仿宋_GB2312" w:hAnsi="仿宋_GB2312" w:cs="仿宋_GB2312" w:eastAsia="仿宋_GB2312"/>
              </w:rPr>
              <w:t>347,500.00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联苯·噻虫胺</w:t>
            </w:r>
          </w:p>
        </w:tc>
        <w:tc>
          <w:tcPr>
            <w:tcW w:type="dxa" w:w="1138"/>
          </w:tcPr>
          <w:p>
            <w:pPr>
              <w:pStyle w:val="null3"/>
              <w:jc w:val="center"/>
            </w:pPr>
            <w:r>
              <w:rPr>
                <w:rFonts w:ascii="仿宋_GB2312" w:hAnsi="仿宋_GB2312" w:cs="仿宋_GB2312" w:eastAsia="仿宋_GB2312"/>
              </w:rPr>
              <w:t>2.88（吨）</w:t>
            </w:r>
          </w:p>
        </w:tc>
        <w:tc>
          <w:tcPr>
            <w:tcW w:type="dxa" w:w="1365"/>
          </w:tcPr>
          <w:p>
            <w:pPr>
              <w:pStyle w:val="null3"/>
              <w:jc w:val="center"/>
            </w:pPr>
            <w:r>
              <w:rPr>
                <w:rFonts w:ascii="仿宋_GB2312" w:hAnsi="仿宋_GB2312" w:cs="仿宋_GB2312" w:eastAsia="仿宋_GB2312"/>
              </w:rPr>
              <w:t>79,999.98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含腐植酸水溶肥料</w:t>
            </w:r>
          </w:p>
        </w:tc>
        <w:tc>
          <w:tcPr>
            <w:tcW w:type="dxa" w:w="1138"/>
          </w:tcPr>
          <w:p>
            <w:pPr>
              <w:pStyle w:val="null3"/>
              <w:jc w:val="center"/>
            </w:pPr>
            <w:r>
              <w:rPr>
                <w:rFonts w:ascii="仿宋_GB2312" w:hAnsi="仿宋_GB2312" w:cs="仿宋_GB2312" w:eastAsia="仿宋_GB2312"/>
              </w:rPr>
              <w:t>4.00（吨）</w:t>
            </w:r>
          </w:p>
        </w:tc>
        <w:tc>
          <w:tcPr>
            <w:tcW w:type="dxa" w:w="1365"/>
          </w:tcPr>
          <w:p>
            <w:pPr>
              <w:pStyle w:val="null3"/>
              <w:jc w:val="center"/>
            </w:pPr>
            <w:r>
              <w:rPr>
                <w:rFonts w:ascii="仿宋_GB2312" w:hAnsi="仿宋_GB2312" w:cs="仿宋_GB2312" w:eastAsia="仿宋_GB2312"/>
              </w:rPr>
              <w:t>148,600.00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A07080106 化学农药</w:t>
            </w:r>
          </w:p>
        </w:tc>
        <w:tc>
          <w:tcPr>
            <w:tcW w:type="dxa" w:w="2492"/>
          </w:tcPr>
          <w:p>
            <w:pPr>
              <w:pStyle w:val="null3"/>
              <w:jc w:val="left"/>
            </w:pPr>
            <w:r>
              <w:rPr>
                <w:rFonts w:ascii="仿宋_GB2312" w:hAnsi="仿宋_GB2312" w:cs="仿宋_GB2312" w:eastAsia="仿宋_GB2312"/>
              </w:rPr>
              <w:t>联苯·噻虫胺</w:t>
            </w:r>
          </w:p>
        </w:tc>
        <w:tc>
          <w:tcPr>
            <w:tcW w:type="dxa" w:w="2492"/>
          </w:tcPr>
          <w:p>
            <w:pPr>
              <w:pStyle w:val="null3"/>
              <w:jc w:val="left"/>
            </w:pPr>
            <w:r>
              <w:rPr>
                <w:rFonts w:ascii="仿宋_GB2312" w:hAnsi="仿宋_GB2312" w:cs="仿宋_GB2312" w:eastAsia="仿宋_GB2312"/>
              </w:rPr>
              <w:t>联苯·噻虫胺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标的名称：丙硫菌唑·戊唑醇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丙硫菌唑·戊唑醇</w:t>
            </w:r>
          </w:p>
        </w:tc>
        <w:tc>
          <w:tcPr>
            <w:tcW w:type="dxa" w:w="5814"/>
          </w:tcPr>
          <w:p>
            <w:pPr>
              <w:pStyle w:val="null3"/>
              <w:jc w:val="left"/>
            </w:pPr>
            <w:r>
              <w:rPr>
                <w:rFonts w:ascii="仿宋_GB2312" w:hAnsi="仿宋_GB2312" w:cs="仿宋_GB2312" w:eastAsia="仿宋_GB2312"/>
                <w:sz w:val="24"/>
                <w:color w:val="000000"/>
              </w:rPr>
              <w:t>1.总有效成分含量40% ，有效成分及其含量：丙硫菌唑 20% 、戊唑醇20%</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以农药登记证数据为准</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2.规格：30克/袋(瓶）；</w:t>
            </w:r>
          </w:p>
          <w:p>
            <w:pPr>
              <w:pStyle w:val="null3"/>
              <w:jc w:val="left"/>
            </w:pPr>
            <w:r>
              <w:rPr>
                <w:rFonts w:ascii="仿宋_GB2312" w:hAnsi="仿宋_GB2312" w:cs="仿宋_GB2312" w:eastAsia="仿宋_GB2312"/>
                <w:sz w:val="24"/>
                <w:color w:val="000000"/>
              </w:rPr>
              <w:t xml:space="preserve"> 3.登记对象：小麦，赤霉病</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以农药登记证数据为准</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4.每个小包装上印制“政府采购、免费发放”字样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5.剂型：悬浮剂</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以农药登记证数据为准</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标的名称：联苯·噻虫胺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联苯·噻虫胺</w:t>
            </w:r>
          </w:p>
        </w:tc>
        <w:tc>
          <w:tcPr>
            <w:tcW w:type="dxa" w:w="5814"/>
          </w:tcPr>
          <w:p>
            <w:pPr>
              <w:pStyle w:val="null3"/>
              <w:jc w:val="left"/>
            </w:pPr>
            <w:r>
              <w:rPr>
                <w:rFonts w:ascii="仿宋_GB2312" w:hAnsi="仿宋_GB2312" w:cs="仿宋_GB2312" w:eastAsia="仿宋_GB2312"/>
                <w:sz w:val="24"/>
                <w:color w:val="000000"/>
              </w:rPr>
              <w:t>1.总有效成分含量10% ，有效成分及其含量：联苯菊酯5%、噻虫胺 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以农药登记证数据为准</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2.规格：20克/袋(瓶）； </w:t>
            </w:r>
          </w:p>
          <w:p>
            <w:pPr>
              <w:pStyle w:val="null3"/>
              <w:jc w:val="left"/>
            </w:pPr>
            <w:r>
              <w:rPr>
                <w:rFonts w:ascii="仿宋_GB2312" w:hAnsi="仿宋_GB2312" w:cs="仿宋_GB2312" w:eastAsia="仿宋_GB2312"/>
                <w:sz w:val="24"/>
                <w:color w:val="000000"/>
              </w:rPr>
              <w:t>3.登记对象：小麦，蚜虫</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以农药登记证数据为准</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4.每个小包装上印制“政府采购、免费发放”字样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5.剂型：悬浮剂</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以农药登记证数据为准</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标的名称：含腐植酸水溶肥料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含腐植酸水溶肥料</w:t>
            </w:r>
          </w:p>
        </w:tc>
        <w:tc>
          <w:tcPr>
            <w:tcW w:type="dxa" w:w="5814"/>
          </w:tcPr>
          <w:p>
            <w:pPr>
              <w:pStyle w:val="null3"/>
              <w:jc w:val="left"/>
            </w:pPr>
            <w:r>
              <w:rPr>
                <w:rFonts w:ascii="仿宋_GB2312" w:hAnsi="仿宋_GB2312" w:cs="仿宋_GB2312" w:eastAsia="仿宋_GB2312"/>
                <w:sz w:val="24"/>
                <w:color w:val="000000"/>
              </w:rPr>
              <w:t>1.腐植酸≥30g/L；N+P2O5+K2O≥200g/L</w:t>
            </w:r>
            <w:r>
              <w:rPr>
                <w:rFonts w:ascii="仿宋_GB2312" w:hAnsi="仿宋_GB2312" w:cs="仿宋_GB2312" w:eastAsia="仿宋_GB2312"/>
                <w:sz w:val="24"/>
                <w:color w:val="000000"/>
              </w:rPr>
              <w:t>（</w:t>
            </w:r>
            <w:r>
              <w:rPr>
                <w:rFonts w:ascii="仿宋_GB2312" w:hAnsi="仿宋_GB2312" w:cs="仿宋_GB2312" w:eastAsia="仿宋_GB2312"/>
                <w:sz w:val="24"/>
                <w:color w:val="000000"/>
              </w:rPr>
              <w:t>以肥料登记证数据为准</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2.规格：90g/瓶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3.每个小包装上印制“项目采购、免费发放”字样 </w:t>
            </w:r>
            <w:r>
              <w:rPr>
                <w:rFonts w:ascii="仿宋_GB2312" w:hAnsi="仿宋_GB2312" w:cs="仿宋_GB2312" w:eastAsia="仿宋_GB2312"/>
                <w:sz w:val="24"/>
                <w:color w:val="000000"/>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color w:val="000000"/>
              </w:rPr>
              <w:t>4.剂型：水剂</w:t>
            </w:r>
            <w:r>
              <w:rPr>
                <w:rFonts w:ascii="仿宋_GB2312" w:hAnsi="仿宋_GB2312" w:cs="仿宋_GB2312" w:eastAsia="仿宋_GB2312"/>
                <w:sz w:val="24"/>
                <w:color w:val="000000"/>
              </w:rPr>
              <w:t>（</w:t>
            </w:r>
            <w:r>
              <w:rPr>
                <w:rFonts w:ascii="仿宋_GB2312" w:hAnsi="仿宋_GB2312" w:cs="仿宋_GB2312" w:eastAsia="仿宋_GB2312"/>
                <w:sz w:val="24"/>
                <w:color w:val="000000"/>
              </w:rPr>
              <w:t>以肥料登记证数据为准</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color w:val="000000"/>
              </w:rPr>
              <w:t>5.肥料中有毒有害物质(总镉、总汞、总砷、总铅、总铬、总铊、缩二脲ᵇ、蛔虫卵死亡率、粪大肠菌群数等)的含量符合GB38400-2019国家标准</w:t>
            </w:r>
            <w:r>
              <w:rPr>
                <w:rFonts w:ascii="仿宋_GB2312" w:hAnsi="仿宋_GB2312" w:cs="仿宋_GB2312" w:eastAsia="仿宋_GB2312"/>
                <w:sz w:val="24"/>
                <w:color w:val="000000"/>
              </w:rPr>
              <w:t>（供应商须在响应文件中对此单独承诺中标后签订合同前提供国家认可的第三方检测机构出具的检测报告予以佐证）。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质量标准</w:t>
            </w:r>
          </w:p>
        </w:tc>
        <w:tc>
          <w:tcPr>
            <w:tcW w:type="dxa" w:w="5814"/>
          </w:tcPr>
          <w:p>
            <w:pPr>
              <w:pStyle w:val="null3"/>
              <w:jc w:val="left"/>
            </w:pPr>
            <w:r>
              <w:rPr>
                <w:rFonts w:ascii="仿宋_GB2312" w:hAnsi="仿宋_GB2312" w:cs="仿宋_GB2312" w:eastAsia="仿宋_GB2312"/>
              </w:rPr>
              <w:t>1.供应商应当保证提供的所有货物和服务符合国家现行有关质量标准或者优于国家现行相关行业技术规范（或标准）及国家强制性标准。</w:t>
            </w:r>
            <w:r>
              <w:br/>
            </w:r>
            <w:r>
              <w:rPr>
                <w:rFonts w:ascii="仿宋_GB2312" w:hAnsi="仿宋_GB2312" w:cs="仿宋_GB2312" w:eastAsia="仿宋_GB2312"/>
              </w:rPr>
              <w:t xml:space="preserve"> 2.如果本项目采购需求中引用的相关标准有最新版本的均以最新标准执行，采购活动中已经作废失效的，在评审中和履约中自动不再适用。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其它要求</w:t>
            </w:r>
          </w:p>
        </w:tc>
        <w:tc>
          <w:tcPr>
            <w:tcW w:type="dxa" w:w="5814"/>
          </w:tcPr>
          <w:p>
            <w:pPr>
              <w:pStyle w:val="null3"/>
              <w:ind w:firstLine="464"/>
              <w:jc w:val="both"/>
            </w:pPr>
            <w:r>
              <w:rPr>
                <w:rFonts w:ascii="仿宋_GB2312" w:hAnsi="仿宋_GB2312" w:cs="仿宋_GB2312" w:eastAsia="仿宋_GB2312"/>
                <w:sz w:val="24"/>
                <w:color w:val="000000"/>
              </w:rPr>
              <w:t>(1)成交供应商需提供货物符合规定要求，包装完整，权属清楚，不得侵害他人的知识产权。</w:t>
            </w:r>
          </w:p>
          <w:p>
            <w:pPr>
              <w:pStyle w:val="null3"/>
              <w:ind w:firstLine="464"/>
              <w:jc w:val="both"/>
            </w:pPr>
            <w:r>
              <w:rPr>
                <w:rFonts w:ascii="仿宋_GB2312" w:hAnsi="仿宋_GB2312" w:cs="仿宋_GB2312" w:eastAsia="仿宋_GB2312"/>
                <w:sz w:val="24"/>
                <w:color w:val="000000"/>
              </w:rPr>
              <w:t>(2)质保期内货物出现质量问题，成交供应商应负责三包（包修、包换、包退），费用及由此而产生的一切损失均由成交供应商承担。</w:t>
            </w:r>
          </w:p>
          <w:p>
            <w:pPr>
              <w:pStyle w:val="null3"/>
              <w:ind w:firstLine="464"/>
              <w:jc w:val="both"/>
            </w:pPr>
            <w:r>
              <w:rPr>
                <w:rFonts w:ascii="仿宋_GB2312" w:hAnsi="仿宋_GB2312" w:cs="仿宋_GB2312" w:eastAsia="仿宋_GB2312"/>
                <w:sz w:val="24"/>
                <w:color w:val="000000"/>
              </w:rPr>
              <w:t>(3)货物采购、配送、装卸、分发等活动过程中的安全责任由成交供应商自行负责，采购人不承担任何责任，经交货验收后各自承担安全责任。</w:t>
            </w:r>
          </w:p>
          <w:p>
            <w:pPr>
              <w:pStyle w:val="null3"/>
              <w:ind w:firstLine="464"/>
              <w:jc w:val="both"/>
            </w:pPr>
            <w:r>
              <w:rPr>
                <w:rFonts w:ascii="仿宋_GB2312" w:hAnsi="仿宋_GB2312" w:cs="仿宋_GB2312" w:eastAsia="仿宋_GB2312"/>
                <w:sz w:val="24"/>
                <w:color w:val="000000"/>
              </w:rPr>
              <w:t>(4)中标通知书下达后签订合同前，采购人对成交供应商参评资料的原件（鲜章）逐一进行真实性核实，若成交供应商不配合执行或虚假响应的，则取消中标资格，并按相关规定追究责任。</w:t>
            </w:r>
          </w:p>
          <w:p>
            <w:pPr>
              <w:pStyle w:val="null3"/>
              <w:ind w:firstLine="464"/>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5）中标通知书下达后签订合同前，成交供应商需缴纳成交金额5%的履约保证金，验收完成后无息退还。若成交供应商不在规定时间内缴纳履约保证金的，则取消中标资格，顺延至下一名中标。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1"/>
                <w:b/>
              </w:rPr>
              <w:t>本次采购的投标报价应为人民币含税全包价，农药的运输、质量检测验收、宣传及推广</w:t>
            </w:r>
            <w:r>
              <w:rPr>
                <w:rFonts w:ascii="仿宋_GB2312" w:hAnsi="仿宋_GB2312" w:cs="仿宋_GB2312" w:eastAsia="仿宋_GB2312"/>
                <w:sz w:val="21"/>
                <w:b/>
              </w:rPr>
              <w:t>、</w:t>
            </w:r>
            <w:r>
              <w:rPr>
                <w:rFonts w:ascii="仿宋_GB2312" w:hAnsi="仿宋_GB2312" w:cs="仿宋_GB2312" w:eastAsia="仿宋_GB2312"/>
                <w:sz w:val="21"/>
                <w:b/>
              </w:rPr>
              <w:t>培训等一切费用。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合同签订之日起30天内一次性完成全部供货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四川省绵阳市安州区8个乡镇。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 达到付款条件，达到付款条件起30日内，支付合同总金额的40.00%</w:t>
            </w:r>
          </w:p>
          <w:p>
            <w:pPr>
              <w:pStyle w:val="null3"/>
              <w:jc w:val="left"/>
            </w:pPr>
            <w:r>
              <w:rPr>
                <w:rFonts w:ascii="仿宋_GB2312" w:hAnsi="仿宋_GB2312" w:cs="仿宋_GB2312" w:eastAsia="仿宋_GB2312"/>
              </w:rPr>
              <w:t>2、验收合格后，达到付款条件，达到付款条件起30日内，支付合同总金额的60.00%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甲方组织相关人员组成验收组，根据采购的数量和标准进行抽查验收，并抽取封存样，送有检验资格的权威部门检测，检验出据合格报告后，再进行结算，若不合格，甲方拒付货款。</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农药交货时，其保质期不得低于20个月。若发现供应商私自涂改保质期的，取消中标资格，并按相关规定追究责任。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一、违约责任：1．双方必须遵守合同并执行合同中的各项规定，保证本合同的正常履行。2． 货物出现质量问题或产品质量抽检不合格，采购方拒绝支付货款，一切损失由供应商自行承担。二、解决争议的办法：1．在执行合同中发生的或与合同有关的争端，双方应通过友好协商解决，经协商在15天内不能达成协议时，应提交合同履行地人民法院诉讼解决。2．诉讼裁决应为最终决定，并对双方具有约束力。3．除另有裁决外，诉讼费应由败诉方负担。4．在诉讼期间，除正在进行诉讼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2）1.供应商为企业（包括合伙企业）、个体工商户的,应提供工商营业执照或提供由市场监管部门核发的法人或者其他组织统一社会信用代码的营业执照（按要求上传相应证明材料并进行电子签章。）；2.供应商属于银行、保险、石油石化、电力、电信等有行业特殊情况的，提供企业分支机构营业执照或统一社会信用代码的营业执照（按要求上传相应证明材料并进行电子签章。）；3.供应商为其他组织的，提供事业单位法人证书或执业许可证等证明文件（按要求上传相应证明材料并进行电子签章。）；4.如为自然人的提供《身份证明材料》（按要求上传相应证明材料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是否有健全的财务会计制度（提供以下任意一项均可）：①供应商2023年至2025年中任意一年的经审计的财务报告，至少包括“三表一注”，即资产负债表、利润表、现金流量表及其附注（按要求上传相应证明材料并进行电子签章。）；②属于银行、保险、石油石化、电力、电信等有行业特殊情况的，提供2023年至2025年中任意一年的财务报表（按要求上传相应证明材料并进行电子签章。）；③新成立的公司不足1年或非公司性质的供应商提供银行的资信证明（按要求上传相应证明材料并进行电子签章。）；④供应商须单独提供具有健全的财务会计制度承诺函（按要求上传相应证明材料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参加本次政府采购活动前三年内，供应商单位及其现任法定代表人不得具有行贿犯罪记录</w:t>
            </w:r>
          </w:p>
        </w:tc>
        <w:tc>
          <w:tcPr>
            <w:tcW w:type="dxa" w:w="3322"/>
          </w:tcPr>
          <w:p>
            <w:pPr>
              <w:pStyle w:val="null3"/>
              <w:jc w:val="left"/>
            </w:pPr>
            <w:r>
              <w:rPr>
                <w:rFonts w:ascii="仿宋_GB2312" w:hAnsi="仿宋_GB2312" w:cs="仿宋_GB2312" w:eastAsia="仿宋_GB2312"/>
              </w:rPr>
              <w:t>参加本次政府采购活动前三年内，供应商单位及其现任法定代表人不得具有行贿犯罪记录</w:t>
            </w:r>
          </w:p>
        </w:tc>
        <w:tc>
          <w:tcPr>
            <w:tcW w:type="dxa" w:w="1661"/>
          </w:tcPr>
          <w:p>
            <w:pPr>
              <w:pStyle w:val="null3"/>
              <w:jc w:val="left"/>
            </w:pPr>
            <w:r>
              <w:rPr>
                <w:rFonts w:ascii="仿宋_GB2312" w:hAnsi="仿宋_GB2312" w:cs="仿宋_GB2312" w:eastAsia="仿宋_GB2312"/>
              </w:rPr>
              <w:t>无行贿犯罪记录的承诺函.docx</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响应文件封面,投标（响应）函,供应商应提供的符合性审查证明材料.docx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供应商须对“第三章 技术、服务及其他要求”中带“★”实质性要求进行响应。如未响应或负偏离视为无效投标</w:t>
            </w:r>
          </w:p>
        </w:tc>
        <w:tc>
          <w:tcPr>
            <w:tcW w:type="dxa" w:w="3322"/>
          </w:tcPr>
          <w:p>
            <w:pPr>
              <w:pStyle w:val="null3"/>
              <w:jc w:val="left"/>
            </w:pPr>
            <w:r>
              <w:rPr>
                <w:rFonts w:ascii="仿宋_GB2312" w:hAnsi="仿宋_GB2312" w:cs="仿宋_GB2312" w:eastAsia="仿宋_GB2312"/>
              </w:rPr>
              <w:t>供应商须对“第三章 技术、服务及其他要求”中带“★”实质性要求进行响应。如未响应或负偏离视为无效投标</w:t>
            </w:r>
          </w:p>
        </w:tc>
        <w:tc>
          <w:tcPr>
            <w:tcW w:type="dxa" w:w="1661"/>
          </w:tcPr>
          <w:p>
            <w:pPr>
              <w:pStyle w:val="null3"/>
              <w:jc w:val="left"/>
            </w:pPr>
            <w:r>
              <w:rPr>
                <w:rFonts w:ascii="仿宋_GB2312" w:hAnsi="仿宋_GB2312" w:cs="仿宋_GB2312" w:eastAsia="仿宋_GB2312"/>
              </w:rPr>
              <w:t>产品技术参数响应表,服务应答表,供应商应提供的符合性审查证明材料.docx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详见附件：供应商应提供的符合性审查证明材料.docx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详见附件：无行贿犯罪记录的承诺函.docx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