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版本号：N510001202600053820260416001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后勤保障物资第一批采购项目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N5100012026000538</w:t>
      </w:r>
    </w:p>
    <w:p>
      <w:pPr>
        <w:pStyle w:val="null3"/>
        <w:jc w:val="left"/>
        <w:outlineLvl w:val="2"/>
      </w:pPr>
      <w:r>
        <w:rPr>
          <w:rFonts w:ascii="仿宋_GB2312" w:hAnsi="仿宋_GB2312" w:cs="仿宋_GB2312" w:eastAsia="仿宋_GB2312"/>
          <w:sz w:val="28"/>
          <w:b/>
        </w:rPr>
        <w:t>西南医科大学附属医院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四川国际招标有限责任公司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西南医科大学附属医院</w:t>
      </w:r>
      <w:r>
        <w:rPr>
          <w:rFonts w:ascii="仿宋_GB2312" w:hAnsi="仿宋_GB2312" w:cs="仿宋_GB2312" w:eastAsia="仿宋_GB2312"/>
        </w:rPr>
        <w:t xml:space="preserve"> 委托，拟对 </w:t>
      </w:r>
      <w:r>
        <w:rPr>
          <w:rFonts w:ascii="仿宋_GB2312" w:hAnsi="仿宋_GB2312" w:cs="仿宋_GB2312" w:eastAsia="仿宋_GB2312"/>
        </w:rPr>
        <w:t>后勤保障物资第一批采购项目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N5100012026000538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后勤保障物资第一批采购项目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本项目共一个包，</w:t>
      </w:r>
      <w:r>
        <w:rPr>
          <w:rFonts w:ascii="仿宋_GB2312" w:hAnsi="仿宋_GB2312" w:cs="仿宋_GB2312" w:eastAsia="仿宋_GB2312"/>
        </w:rPr>
        <w:t>采购</w:t>
      </w:r>
      <w:r>
        <w:rPr>
          <w:rFonts w:ascii="仿宋_GB2312" w:hAnsi="仿宋_GB2312" w:cs="仿宋_GB2312" w:eastAsia="仿宋_GB2312"/>
        </w:rPr>
        <w:t>后勤保障物资一批。</w:t>
      </w:r>
    </w:p>
    <w:p>
      <w:pPr>
        <w:pStyle w:val="null3"/>
        <w:ind w:firstLine="480"/>
        <w:jc w:val="left"/>
      </w:pPr>
      <w:r>
        <w:rPr>
          <w:rFonts w:ascii="仿宋_GB2312" w:hAnsi="仿宋_GB2312" w:cs="仿宋_GB2312" w:eastAsia="仿宋_GB2312"/>
        </w:rPr>
        <w:t>采购清单：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95"/>
        <w:gridCol w:w="1485"/>
        <w:gridCol w:w="660"/>
        <w:gridCol w:w="765"/>
        <w:gridCol w:w="765"/>
        <w:gridCol w:w="675"/>
        <w:gridCol w:w="630"/>
        <w:gridCol w:w="915"/>
        <w:gridCol w:w="900"/>
        <w:gridCol w:w="930"/>
      </w:tblGrid>
      <w:tr>
        <w:tc>
          <w:tcPr>
            <w:tcW w:type="dxa" w:w="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序号</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标的名称</w:t>
            </w:r>
          </w:p>
        </w:tc>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最高单价限价（元）</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单位</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所属行业</w:t>
            </w:r>
          </w:p>
        </w:tc>
        <w:tc>
          <w:tcPr>
            <w:tcW w:type="dxa" w:w="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是否为核心产品</w:t>
            </w:r>
          </w:p>
        </w:tc>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是否涉及采购进口产品</w:t>
            </w:r>
          </w:p>
        </w:tc>
        <w:tc>
          <w:tcPr>
            <w:tcW w:type="dxa" w:w="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是否涉及强制采购节能产品</w:t>
            </w:r>
          </w:p>
        </w:tc>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是否涉及优先采购节能产品</w:t>
            </w:r>
          </w:p>
        </w:tc>
        <w:tc>
          <w:tcPr>
            <w:tcW w:type="dxa" w:w="9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是否涉及优先采购环境标志产品</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医用定制更衣柜</w:t>
            </w:r>
            <w:r>
              <w:rPr>
                <w:rFonts w:ascii="仿宋_GB2312" w:hAnsi="仿宋_GB2312" w:cs="仿宋_GB2312" w:eastAsia="仿宋_GB2312"/>
                <w:sz w:val="21"/>
              </w:rPr>
              <w:t>（六门）</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1950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2</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医用定制更衣柜</w:t>
            </w:r>
            <w:r>
              <w:rPr>
                <w:rFonts w:ascii="仿宋_GB2312" w:hAnsi="仿宋_GB2312" w:cs="仿宋_GB2312" w:eastAsia="仿宋_GB2312"/>
                <w:sz w:val="21"/>
              </w:rPr>
              <w:t>（三门）</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1815</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3</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医用定制更衣柜</w:t>
            </w:r>
            <w:r>
              <w:rPr>
                <w:rFonts w:ascii="仿宋_GB2312" w:hAnsi="仿宋_GB2312" w:cs="仿宋_GB2312" w:eastAsia="仿宋_GB2312"/>
                <w:sz w:val="21"/>
              </w:rPr>
              <w:t>（两门）</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1412</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4</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医用储物柜</w:t>
            </w:r>
            <w:r>
              <w:rPr>
                <w:rFonts w:ascii="仿宋_GB2312" w:hAnsi="仿宋_GB2312" w:cs="仿宋_GB2312" w:eastAsia="仿宋_GB2312"/>
                <w:sz w:val="21"/>
              </w:rPr>
              <w:t>（六门）</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1650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5</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医用定制文件柜</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1380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6</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医用定制铁皮四门柜</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1350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7</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五节柜</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1410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8</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危化品储存柜</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7820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9</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高值耗材柜</w:t>
            </w:r>
          </w:p>
        </w:tc>
        <w:tc>
          <w:tcPr>
            <w:tcW w:type="dxa" w:w="6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1900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10</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1"/>
              </w:rPr>
              <w:t>档案防磁柜</w:t>
            </w:r>
            <w:r>
              <w:rPr>
                <w:rFonts w:ascii="仿宋_GB2312" w:hAnsi="仿宋_GB2312" w:cs="仿宋_GB2312" w:eastAsia="仿宋_GB2312"/>
                <w:sz w:val="21"/>
              </w:rPr>
              <w:t>1</w:t>
            </w:r>
          </w:p>
        </w:tc>
        <w:tc>
          <w:tcPr>
            <w:tcW w:type="dxa" w:w="6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3930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11</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1"/>
              </w:rPr>
              <w:t>档案防磁柜</w:t>
            </w:r>
            <w:r>
              <w:rPr>
                <w:rFonts w:ascii="仿宋_GB2312" w:hAnsi="仿宋_GB2312" w:cs="仿宋_GB2312" w:eastAsia="仿宋_GB2312"/>
                <w:sz w:val="21"/>
              </w:rPr>
              <w:t>2</w:t>
            </w:r>
          </w:p>
        </w:tc>
        <w:tc>
          <w:tcPr>
            <w:tcW w:type="dxa" w:w="6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4980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12</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智能档案密集柜</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2500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M</w:t>
            </w:r>
            <w:r>
              <w:rPr>
                <w:rFonts w:ascii="仿宋_GB2312" w:hAnsi="仿宋_GB2312" w:cs="仿宋_GB2312" w:eastAsia="仿宋_GB2312"/>
                <w:sz w:val="21"/>
                <w:vertAlign w:val="superscript"/>
              </w:rPr>
              <w:t>3</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13</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密集架（手动）</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1800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M</w:t>
            </w:r>
            <w:r>
              <w:rPr>
                <w:rFonts w:ascii="仿宋_GB2312" w:hAnsi="仿宋_GB2312" w:cs="仿宋_GB2312" w:eastAsia="仿宋_GB2312"/>
                <w:sz w:val="21"/>
                <w:vertAlign w:val="superscript"/>
              </w:rPr>
              <w:t>3</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14</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药品常温保存柜</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2300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15</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定制柜</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1200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m</w:t>
            </w:r>
            <w:r>
              <w:rPr>
                <w:rFonts w:ascii="仿宋_GB2312" w:hAnsi="仿宋_GB2312" w:cs="仿宋_GB2312" w:eastAsia="仿宋_GB2312"/>
                <w:sz w:val="21"/>
                <w:vertAlign w:val="superscript"/>
              </w:rPr>
              <w:t>2</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16</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9门电子</w:t>
            </w:r>
            <w:r>
              <w:rPr>
                <w:rFonts w:ascii="仿宋_GB2312" w:hAnsi="仿宋_GB2312" w:cs="仿宋_GB2312" w:eastAsia="仿宋_GB2312"/>
                <w:sz w:val="21"/>
              </w:rPr>
              <w:t>医用储物柜</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9880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17</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医用定制衣柜</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1200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m</w:t>
            </w:r>
            <w:r>
              <w:rPr>
                <w:rFonts w:ascii="仿宋_GB2312" w:hAnsi="仿宋_GB2312" w:cs="仿宋_GB2312" w:eastAsia="仿宋_GB2312"/>
                <w:sz w:val="21"/>
                <w:vertAlign w:val="superscript"/>
              </w:rPr>
              <w:t>2</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18</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电视柜</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2800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19</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床头柜</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620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20</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职工置物柜</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1000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m</w:t>
            </w:r>
            <w:r>
              <w:rPr>
                <w:rFonts w:ascii="仿宋_GB2312" w:hAnsi="仿宋_GB2312" w:cs="仿宋_GB2312" w:eastAsia="仿宋_GB2312"/>
                <w:sz w:val="21"/>
                <w:vertAlign w:val="superscript"/>
              </w:rPr>
              <w:t>2</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21</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定制文件柜</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700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m</w:t>
            </w:r>
            <w:r>
              <w:rPr>
                <w:rFonts w:ascii="仿宋_GB2312" w:hAnsi="仿宋_GB2312" w:cs="仿宋_GB2312" w:eastAsia="仿宋_GB2312"/>
                <w:sz w:val="21"/>
                <w:vertAlign w:val="superscript"/>
              </w:rPr>
              <w:t>2</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22</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不锈钢资料柜</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4200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23</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不锈钢</w:t>
            </w:r>
            <w:r>
              <w:rPr>
                <w:rFonts w:ascii="仿宋_GB2312" w:hAnsi="仿宋_GB2312" w:cs="仿宋_GB2312" w:eastAsia="仿宋_GB2312"/>
                <w:sz w:val="21"/>
              </w:rPr>
              <w:t>医用储物柜</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4200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24</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医生工作椅</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660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把</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25</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定制椅</w:t>
            </w:r>
            <w:r>
              <w:rPr>
                <w:rFonts w:ascii="仿宋_GB2312" w:hAnsi="仿宋_GB2312" w:cs="仿宋_GB2312" w:eastAsia="仿宋_GB2312"/>
                <w:sz w:val="21"/>
              </w:rPr>
              <w:t>2</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520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把</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26</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定制椅</w:t>
            </w:r>
            <w:r>
              <w:rPr>
                <w:rFonts w:ascii="仿宋_GB2312" w:hAnsi="仿宋_GB2312" w:cs="仿宋_GB2312" w:eastAsia="仿宋_GB2312"/>
                <w:sz w:val="21"/>
              </w:rPr>
              <w:t>3</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1580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把</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27</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定制椅</w:t>
            </w:r>
            <w:r>
              <w:rPr>
                <w:rFonts w:ascii="仿宋_GB2312" w:hAnsi="仿宋_GB2312" w:cs="仿宋_GB2312" w:eastAsia="仿宋_GB2312"/>
                <w:sz w:val="21"/>
              </w:rPr>
              <w:t>1</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620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把</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28</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医生工作椅（主任</w:t>
            </w:r>
            <w:r>
              <w:rPr>
                <w:rFonts w:ascii="仿宋_GB2312" w:hAnsi="仿宋_GB2312" w:cs="仿宋_GB2312" w:eastAsia="仿宋_GB2312"/>
                <w:sz w:val="21"/>
              </w:rPr>
              <w:t>/护士长办公室）</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824</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把</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29</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b/>
              </w:rPr>
              <w:t>等候椅</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2520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把</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30</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礼堂椅</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980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把</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31</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病员椅</w:t>
            </w:r>
            <w:r>
              <w:rPr>
                <w:rFonts w:ascii="仿宋_GB2312" w:hAnsi="仿宋_GB2312" w:cs="仿宋_GB2312" w:eastAsia="仿宋_GB2312"/>
                <w:sz w:val="21"/>
              </w:rPr>
              <w:t>1</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950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把</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32</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病员椅</w:t>
            </w:r>
            <w:r>
              <w:rPr>
                <w:rFonts w:ascii="仿宋_GB2312" w:hAnsi="仿宋_GB2312" w:cs="仿宋_GB2312" w:eastAsia="仿宋_GB2312"/>
                <w:sz w:val="21"/>
              </w:rPr>
              <w:t>2</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450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把</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33</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病员凳</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150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把</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34</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餐椅</w:t>
            </w:r>
            <w:r>
              <w:rPr>
                <w:rFonts w:ascii="仿宋_GB2312" w:hAnsi="仿宋_GB2312" w:cs="仿宋_GB2312" w:eastAsia="仿宋_GB2312"/>
                <w:sz w:val="21"/>
              </w:rPr>
              <w:t>1</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450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把</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35</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餐椅</w:t>
            </w:r>
            <w:r>
              <w:rPr>
                <w:rFonts w:ascii="仿宋_GB2312" w:hAnsi="仿宋_GB2312" w:cs="仿宋_GB2312" w:eastAsia="仿宋_GB2312"/>
                <w:sz w:val="21"/>
              </w:rPr>
              <w:t>2</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430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把</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36</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中班椅</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2250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把</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37</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定制椅</w:t>
            </w:r>
            <w:r>
              <w:rPr>
                <w:rFonts w:ascii="仿宋_GB2312" w:hAnsi="仿宋_GB2312" w:cs="仿宋_GB2312" w:eastAsia="仿宋_GB2312"/>
                <w:sz w:val="21"/>
              </w:rPr>
              <w:t>4</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595</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把</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38</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定制圆凳</w:t>
            </w:r>
            <w:r>
              <w:rPr>
                <w:rFonts w:ascii="仿宋_GB2312" w:hAnsi="仿宋_GB2312" w:cs="仿宋_GB2312" w:eastAsia="仿宋_GB2312"/>
                <w:sz w:val="21"/>
              </w:rPr>
              <w:t>1</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478</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把</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39</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定制圆凳</w:t>
            </w:r>
            <w:r>
              <w:rPr>
                <w:rFonts w:ascii="仿宋_GB2312" w:hAnsi="仿宋_GB2312" w:cs="仿宋_GB2312" w:eastAsia="仿宋_GB2312"/>
                <w:sz w:val="21"/>
              </w:rPr>
              <w:t>2</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480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把</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40</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实验凳</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458</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把</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41</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采样椅</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840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把</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42</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定制沙发</w:t>
            </w:r>
            <w:r>
              <w:rPr>
                <w:rFonts w:ascii="仿宋_GB2312" w:hAnsi="仿宋_GB2312" w:cs="仿宋_GB2312" w:eastAsia="仿宋_GB2312"/>
                <w:sz w:val="21"/>
              </w:rPr>
              <w:t>椅</w:t>
            </w:r>
            <w:r>
              <w:rPr>
                <w:rFonts w:ascii="仿宋_GB2312" w:hAnsi="仿宋_GB2312" w:cs="仿宋_GB2312" w:eastAsia="仿宋_GB2312"/>
                <w:sz w:val="21"/>
              </w:rPr>
              <w:t>1</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1530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把</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43</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定制凳</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1800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把</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44</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定制沙发</w:t>
            </w:r>
            <w:r>
              <w:rPr>
                <w:rFonts w:ascii="仿宋_GB2312" w:hAnsi="仿宋_GB2312" w:cs="仿宋_GB2312" w:eastAsia="仿宋_GB2312"/>
                <w:sz w:val="21"/>
              </w:rPr>
              <w:t>椅</w:t>
            </w:r>
            <w:r>
              <w:rPr>
                <w:rFonts w:ascii="仿宋_GB2312" w:hAnsi="仿宋_GB2312" w:cs="仿宋_GB2312" w:eastAsia="仿宋_GB2312"/>
                <w:sz w:val="21"/>
              </w:rPr>
              <w:t>2</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2500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把</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45</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医用定制茶几</w:t>
            </w:r>
            <w:r>
              <w:rPr>
                <w:rFonts w:ascii="仿宋_GB2312" w:hAnsi="仿宋_GB2312" w:cs="仿宋_GB2312" w:eastAsia="仿宋_GB2312"/>
                <w:sz w:val="21"/>
              </w:rPr>
              <w:t>1</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880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46</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医用定制茶几</w:t>
            </w:r>
            <w:r>
              <w:rPr>
                <w:rFonts w:ascii="仿宋_GB2312" w:hAnsi="仿宋_GB2312" w:cs="仿宋_GB2312" w:eastAsia="仿宋_GB2312"/>
                <w:sz w:val="21"/>
              </w:rPr>
              <w:t>3</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780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47</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医用定制茶几</w:t>
            </w:r>
            <w:r>
              <w:rPr>
                <w:rFonts w:ascii="仿宋_GB2312" w:hAnsi="仿宋_GB2312" w:cs="仿宋_GB2312" w:eastAsia="仿宋_GB2312"/>
                <w:sz w:val="21"/>
              </w:rPr>
              <w:t>2</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860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48</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屏风工作位</w:t>
            </w:r>
            <w:r>
              <w:rPr>
                <w:rFonts w:ascii="仿宋_GB2312" w:hAnsi="仿宋_GB2312" w:cs="仿宋_GB2312" w:eastAsia="仿宋_GB2312"/>
                <w:sz w:val="21"/>
              </w:rPr>
              <w:t>1</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2200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49</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屏风工作位</w:t>
            </w:r>
            <w:r>
              <w:rPr>
                <w:rFonts w:ascii="仿宋_GB2312" w:hAnsi="仿宋_GB2312" w:cs="仿宋_GB2312" w:eastAsia="仿宋_GB2312"/>
                <w:sz w:val="21"/>
              </w:rPr>
              <w:t>2</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1860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50</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屏风工作位</w:t>
            </w:r>
            <w:r>
              <w:rPr>
                <w:rFonts w:ascii="仿宋_GB2312" w:hAnsi="仿宋_GB2312" w:cs="仿宋_GB2312" w:eastAsia="仿宋_GB2312"/>
                <w:sz w:val="21"/>
              </w:rPr>
              <w:t>3</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1200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51</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屏风工作位</w:t>
            </w:r>
            <w:r>
              <w:rPr>
                <w:rFonts w:ascii="仿宋_GB2312" w:hAnsi="仿宋_GB2312" w:cs="仿宋_GB2312" w:eastAsia="仿宋_GB2312"/>
                <w:sz w:val="21"/>
              </w:rPr>
              <w:t>4</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1100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52</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医用诊查桌</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3850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53</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餐桌</w:t>
            </w:r>
            <w:r>
              <w:rPr>
                <w:rFonts w:ascii="仿宋_GB2312" w:hAnsi="仿宋_GB2312" w:cs="仿宋_GB2312" w:eastAsia="仿宋_GB2312"/>
                <w:sz w:val="21"/>
              </w:rPr>
              <w:t>1</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1550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54</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餐桌</w:t>
            </w:r>
            <w:r>
              <w:rPr>
                <w:rFonts w:ascii="仿宋_GB2312" w:hAnsi="仿宋_GB2312" w:cs="仿宋_GB2312" w:eastAsia="仿宋_GB2312"/>
                <w:sz w:val="21"/>
              </w:rPr>
              <w:t>2</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1350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55</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主任、护士长</w:t>
            </w:r>
            <w:r>
              <w:rPr>
                <w:rFonts w:ascii="仿宋_GB2312" w:hAnsi="仿宋_GB2312" w:cs="仿宋_GB2312" w:eastAsia="仿宋_GB2312"/>
                <w:sz w:val="21"/>
              </w:rPr>
              <w:t>医用工作台</w:t>
            </w:r>
            <w:r>
              <w:rPr>
                <w:rFonts w:ascii="仿宋_GB2312" w:hAnsi="仿宋_GB2312" w:cs="仿宋_GB2312" w:eastAsia="仿宋_GB2312"/>
                <w:sz w:val="21"/>
              </w:rPr>
              <w:t>1</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2820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56</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主任、护士长</w:t>
            </w:r>
            <w:r>
              <w:rPr>
                <w:rFonts w:ascii="仿宋_GB2312" w:hAnsi="仿宋_GB2312" w:cs="仿宋_GB2312" w:eastAsia="仿宋_GB2312"/>
                <w:sz w:val="21"/>
              </w:rPr>
              <w:t>医用工作台</w:t>
            </w:r>
            <w:r>
              <w:rPr>
                <w:rFonts w:ascii="仿宋_GB2312" w:hAnsi="仿宋_GB2312" w:cs="仿宋_GB2312" w:eastAsia="仿宋_GB2312"/>
                <w:sz w:val="21"/>
              </w:rPr>
              <w:t>2</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1400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57</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VIP病房桌</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2230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58</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电脑桌</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1680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59</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医用工作台</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1880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60</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收费桌</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2690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61</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医用定制会议桌</w:t>
            </w:r>
            <w:r>
              <w:rPr>
                <w:rFonts w:ascii="仿宋_GB2312" w:hAnsi="仿宋_GB2312" w:cs="仿宋_GB2312" w:eastAsia="仿宋_GB2312"/>
                <w:sz w:val="21"/>
              </w:rPr>
              <w:t>1</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1600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平方</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62</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医用定制会议桌</w:t>
            </w:r>
            <w:r>
              <w:rPr>
                <w:rFonts w:ascii="仿宋_GB2312" w:hAnsi="仿宋_GB2312" w:cs="仿宋_GB2312" w:eastAsia="仿宋_GB2312"/>
                <w:sz w:val="21"/>
              </w:rPr>
              <w:t>2</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1200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平方</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63</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实验边台（操作台）</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2300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米</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64</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中央实验台</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4600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米</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65</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试剂架</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1100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米</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66</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客户咨询桌</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3300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米</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67</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客户咨询椅</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624</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把</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68</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不锈钢桌</w:t>
            </w:r>
            <w:r>
              <w:rPr>
                <w:rFonts w:ascii="仿宋_GB2312" w:hAnsi="仿宋_GB2312" w:cs="仿宋_GB2312" w:eastAsia="仿宋_GB2312"/>
                <w:sz w:val="21"/>
              </w:rPr>
              <w:t>1</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2300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69</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不锈钢桌</w:t>
            </w:r>
            <w:r>
              <w:rPr>
                <w:rFonts w:ascii="仿宋_GB2312" w:hAnsi="仿宋_GB2312" w:cs="仿宋_GB2312" w:eastAsia="仿宋_GB2312"/>
                <w:sz w:val="21"/>
              </w:rPr>
              <w:t>2</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3080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70</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操作台</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1300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71</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采血台</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1940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72</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书架</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1600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73</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单人座椅</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680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把</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74</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培训条桌</w:t>
            </w:r>
            <w:r>
              <w:rPr>
                <w:rFonts w:ascii="仿宋_GB2312" w:hAnsi="仿宋_GB2312" w:cs="仿宋_GB2312" w:eastAsia="仿宋_GB2312"/>
                <w:sz w:val="21"/>
              </w:rPr>
              <w:t>1</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1350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75</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会客</w:t>
            </w:r>
            <w:r>
              <w:rPr>
                <w:rFonts w:ascii="仿宋_GB2312" w:hAnsi="仿宋_GB2312" w:cs="仿宋_GB2312" w:eastAsia="仿宋_GB2312"/>
                <w:sz w:val="21"/>
              </w:rPr>
              <w:t>定制沙发</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1430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76</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折叠</w:t>
            </w:r>
            <w:r>
              <w:rPr>
                <w:rFonts w:ascii="仿宋_GB2312" w:hAnsi="仿宋_GB2312" w:cs="仿宋_GB2312" w:eastAsia="仿宋_GB2312"/>
                <w:sz w:val="21"/>
              </w:rPr>
              <w:t>定制沙发</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2272</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77</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单人</w:t>
            </w:r>
            <w:r>
              <w:rPr>
                <w:rFonts w:ascii="仿宋_GB2312" w:hAnsi="仿宋_GB2312" w:cs="仿宋_GB2312" w:eastAsia="仿宋_GB2312"/>
                <w:sz w:val="21"/>
              </w:rPr>
              <w:t>定制沙发</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1450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78</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双人</w:t>
            </w:r>
            <w:r>
              <w:rPr>
                <w:rFonts w:ascii="仿宋_GB2312" w:hAnsi="仿宋_GB2312" w:cs="仿宋_GB2312" w:eastAsia="仿宋_GB2312"/>
                <w:sz w:val="21"/>
              </w:rPr>
              <w:t>定制沙发</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2100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79</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三人</w:t>
            </w:r>
            <w:r>
              <w:rPr>
                <w:rFonts w:ascii="仿宋_GB2312" w:hAnsi="仿宋_GB2312" w:cs="仿宋_GB2312" w:eastAsia="仿宋_GB2312"/>
                <w:sz w:val="21"/>
              </w:rPr>
              <w:t>定制沙发</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2850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80</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定制沙发</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1500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米</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81</w:t>
            </w:r>
          </w:p>
        </w:tc>
        <w:tc>
          <w:tcPr>
            <w:tcW w:type="dxa" w:w="1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定制沙发</w:t>
            </w:r>
            <w:r>
              <w:rPr>
                <w:rFonts w:ascii="仿宋_GB2312" w:hAnsi="仿宋_GB2312" w:cs="仿宋_GB2312" w:eastAsia="仿宋_GB2312"/>
                <w:sz w:val="21"/>
              </w:rPr>
              <w:t>凳</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450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82</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货架</w:t>
            </w:r>
            <w:r>
              <w:rPr>
                <w:rFonts w:ascii="仿宋_GB2312" w:hAnsi="仿宋_GB2312" w:cs="仿宋_GB2312" w:eastAsia="仿宋_GB2312"/>
                <w:sz w:val="21"/>
              </w:rPr>
              <w:t>1</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1350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83</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货架</w:t>
            </w:r>
            <w:r>
              <w:rPr>
                <w:rFonts w:ascii="仿宋_GB2312" w:hAnsi="仿宋_GB2312" w:cs="仿宋_GB2312" w:eastAsia="仿宋_GB2312"/>
                <w:sz w:val="21"/>
              </w:rPr>
              <w:t>2</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1500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84</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医用钢芯铝合金货架</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3180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85</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诊断床</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2300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86</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小儿推拿床</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2100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87</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高低床</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1850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88</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单人床</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2500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89</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双人床</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3580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90</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木质屏风</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1200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91</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白板</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500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块</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92</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不锈钢货架（定制）</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1800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米</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93</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衣架</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450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94</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配餐水柜</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1500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工业</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rPr>
              <w:t>是</w:t>
            </w:r>
          </w:p>
        </w:tc>
      </w:tr>
    </w:tbl>
    <w:p>
      <w:pPr>
        <w:pStyle w:val="null3"/>
        <w:ind w:firstLine="480"/>
        <w:jc w:val="both"/>
      </w:pPr>
      <w:r>
        <w:rPr>
          <w:rFonts w:ascii="仿宋_GB2312" w:hAnsi="仿宋_GB2312" w:cs="仿宋_GB2312" w:eastAsia="仿宋_GB2312"/>
          <w:sz w:val="21"/>
        </w:rPr>
        <w:t>注：</w:t>
      </w:r>
      <w:r>
        <w:rPr>
          <w:rFonts w:ascii="仿宋_GB2312" w:hAnsi="仿宋_GB2312" w:cs="仿宋_GB2312" w:eastAsia="仿宋_GB2312"/>
          <w:sz w:val="21"/>
        </w:rPr>
        <w:t>①</w:t>
      </w:r>
      <w:r>
        <w:rPr>
          <w:rFonts w:ascii="仿宋_GB2312" w:hAnsi="仿宋_GB2312" w:cs="仿宋_GB2312" w:eastAsia="仿宋_GB2312"/>
          <w:sz w:val="24"/>
        </w:rPr>
        <w:t>若涉及中小企业申明函填写，标的名称及所属行业以此表为准。</w:t>
      </w:r>
    </w:p>
    <w:p>
      <w:pPr>
        <w:pStyle w:val="null3"/>
        <w:ind w:firstLine="480"/>
        <w:jc w:val="both"/>
      </w:pPr>
      <w:r>
        <w:rPr>
          <w:rFonts w:ascii="仿宋_GB2312" w:hAnsi="仿宋_GB2312" w:cs="仿宋_GB2312" w:eastAsia="仿宋_GB2312"/>
        </w:rPr>
        <w:t>②本项目涉及的优先采购环境标志产品以此表为准。</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西南医科大学附属医院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四川省泸州市江阳区太平街25号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武老师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0830-2606107</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四川国际招标有限责任公司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中国（四川）自由贸易试验区成都市高新区天府四街66号2栋22层1号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13111881792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采购包1：5,114,361.73元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依照成本加合理利润的原则，以中标金额作为计算基数，①中标金额20万元（含）以上：按差额定率累进法进行计算，费率标准为（货物采购项目）下浮10%：中标金额100万元以下，费率1.5%；中标金额100-500万元，费率1.1%；中标金额500-1000万元，费率0.8%；中标金额1000-5000万元，费率0.5%；中标金额5000-10000万元，费率0.25%；中标金额10000-100000万元，费率0.05%；中标金额100000万元以上，费率0.01%，不足5000元的按照5000元收取。 收款单位：四川国际招标有限责任公司 开户行：中国民生银行股份有限公司成都分行营业部 银行账号：9902001849289531。 采购合同签订前向代理机构交纳招标代理服务费。 招标代理服务费交纳完成后，可按照以下温馨提示开具发票：方式①：供应商进入http://sale.scbid.net/home 网站，登录系统（无账号供应商需按照提示注册账号），登录后进入“中标项目”页面，找到需要开票的项目点击“申请/领取中标通知书”，根据提示填写信息并上传支付回单扫描件，提交开票申请。 方式②：供应商发送申请信息至3391588189@qq.com邮箱，发票开具后将直接发送至原申请开票邮箱。（邮件名称：申请开具发票金额XX元；邮件内容需明确：项目名称、付款截图、联系人、联系电话，开票信息注明专票/普票，专票需提供邮寄收件地址、联系人、联系电话）。</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西南医科大学附属医院</w:t>
      </w:r>
      <w:r>
        <w:rPr>
          <w:rFonts w:ascii="仿宋_GB2312" w:hAnsi="仿宋_GB2312" w:cs="仿宋_GB2312" w:eastAsia="仿宋_GB2312"/>
        </w:rPr>
        <w:t xml:space="preserve"> 和 </w:t>
      </w:r>
      <w:r>
        <w:rPr>
          <w:rFonts w:ascii="仿宋_GB2312" w:hAnsi="仿宋_GB2312" w:cs="仿宋_GB2312" w:eastAsia="仿宋_GB2312"/>
        </w:rPr>
        <w:t>四川国际招标有限责任公司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西南医科大学附属医院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四川国际招标有限责任公司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90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因前文履约验收时间的验收条件说明固化，无法调整，验收条件说明以此为准。 验收条件说明：供应商提出验收申请，达到验收条件起30日内，验收当批次金额的100%；</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按照本项目采购文件中“技术要求”及中标人投标文件进行验收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按照本项目采购文件中“服务要求”及中标人投标文件进行验收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验收时如发现所交付的货物有短装、次品、损坏或其它不符合标准及本合同规定之情形者，采购人应做出详尽的现场记录，或由采购人与供应商双方签署备忘录，此现场记录或备忘录可用作补充、缺失和更换损坏部件的有效证据，由此产生的时间延误与有关费用由供应商承担，验收期限相应顺延，但最长不得超过7个工作日，不得影响采购人正常工作的开展； ②如质量终验合格，双方签署验收合格报告； ③供应商应将所提供货物的装箱清单、配件、随机工具、用户使用手册、原厂保修卡等资料交付给采购人；供应商不能完整交付货物及本款规定的单证和工具的，必须负责补齐，否则视为未按合同约定交货； ④项目验收结果合格的，供应商凭验收合格证明书按照进度申请拨付项目款，否则采购方将不予支付采购项目款，还可能上报本项目同级财政部门按照政府采购法律法规等有关规定给予行政处罚或者以失信行为记入诚信档案。</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西南医科大学附属医院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联系人：武老师</w:t>
      </w:r>
    </w:p>
    <w:p>
      <w:pPr>
        <w:pStyle w:val="null3"/>
        <w:jc w:val="left"/>
      </w:pPr>
      <w:r>
        <w:rPr>
          <w:rFonts w:ascii="仿宋_GB2312" w:hAnsi="仿宋_GB2312" w:cs="仿宋_GB2312" w:eastAsia="仿宋_GB2312"/>
        </w:rPr>
        <w:t>联系电话：0830-2606107</w:t>
      </w:r>
    </w:p>
    <w:p>
      <w:pPr>
        <w:pStyle w:val="null3"/>
        <w:jc w:val="left"/>
      </w:pPr>
      <w:r>
        <w:rPr>
          <w:rFonts w:ascii="仿宋_GB2312" w:hAnsi="仿宋_GB2312" w:cs="仿宋_GB2312" w:eastAsia="仿宋_GB2312"/>
        </w:rPr>
        <w:t>地址：泸州市江阳区康城路二段8号</w:t>
      </w:r>
    </w:p>
    <w:p>
      <w:pPr>
        <w:pStyle w:val="null3"/>
        <w:jc w:val="left"/>
      </w:pPr>
      <w:r>
        <w:rPr>
          <w:rFonts w:ascii="仿宋_GB2312" w:hAnsi="仿宋_GB2312" w:cs="仿宋_GB2312" w:eastAsia="仿宋_GB2312"/>
        </w:rPr>
        <w:t>邮编：646000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联系人：技术发展部</w:t>
      </w:r>
    </w:p>
    <w:p>
      <w:pPr>
        <w:pStyle w:val="null3"/>
        <w:jc w:val="left"/>
      </w:pPr>
      <w:r>
        <w:rPr>
          <w:rFonts w:ascii="仿宋_GB2312" w:hAnsi="仿宋_GB2312" w:cs="仿宋_GB2312" w:eastAsia="仿宋_GB2312"/>
        </w:rPr>
        <w:t>联系电话：028-87797776转820/725</w:t>
      </w:r>
    </w:p>
    <w:p>
      <w:pPr>
        <w:pStyle w:val="null3"/>
        <w:jc w:val="left"/>
      </w:pPr>
      <w:r>
        <w:rPr>
          <w:rFonts w:ascii="仿宋_GB2312" w:hAnsi="仿宋_GB2312" w:cs="仿宋_GB2312" w:eastAsia="仿宋_GB2312"/>
        </w:rPr>
        <w:t>地址：中国（四川）自由贸易试验区成都市高新区天府四街66号1栋17层</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5,114,361.73</w:t>
      </w:r>
    </w:p>
    <w:p>
      <w:pPr>
        <w:pStyle w:val="null3"/>
        <w:jc w:val="left"/>
      </w:pPr>
      <w:r>
        <w:rPr>
          <w:rFonts w:ascii="仿宋_GB2312" w:hAnsi="仿宋_GB2312" w:cs="仿宋_GB2312" w:eastAsia="仿宋_GB2312"/>
        </w:rPr>
        <w:t>采购包最高限价（元）: 5,114,361.73</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其他家具</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5,114,361.73</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后勤保障物资第一批</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本项目采用统一百分比的方式进行报价，本项目最高限价为100%，超过最高限价的作无效处理，单价结算价格=单价最高限价×中标统一百分比（例如：某产品的单价最高限价为100元，中标统一百分比为90%，则该产品的单价结算价格为100×90%=90元）</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其他家具</w:t>
            </w:r>
          </w:p>
        </w:tc>
        <w:tc>
          <w:tcPr>
            <w:tcW w:type="dxa" w:w="2492"/>
          </w:tcPr>
          <w:p>
            <w:pPr>
              <w:pStyle w:val="null3"/>
              <w:jc w:val="left"/>
            </w:pPr>
            <w:r>
              <w:rPr>
                <w:rFonts w:ascii="仿宋_GB2312" w:hAnsi="仿宋_GB2312" w:cs="仿宋_GB2312" w:eastAsia="仿宋_GB2312"/>
              </w:rPr>
              <w:t>智能档案密集柜</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其他家具</w:t>
            </w:r>
          </w:p>
        </w:tc>
        <w:tc>
          <w:tcPr>
            <w:tcW w:type="dxa" w:w="2492"/>
          </w:tcPr>
          <w:p>
            <w:pPr>
              <w:pStyle w:val="null3"/>
              <w:jc w:val="left"/>
            </w:pPr>
            <w:r>
              <w:rPr>
                <w:rFonts w:ascii="仿宋_GB2312" w:hAnsi="仿宋_GB2312" w:cs="仿宋_GB2312" w:eastAsia="仿宋_GB2312"/>
              </w:rPr>
              <w:t>详见招标文件第一章 1.3.招标项目简介 “采购清单”。</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标的名称：其他家具</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详见招标文件附件-3.2技术要求</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投标人的合同价格包括但不限于履行合同过程中的所有货物运输、安装、材料、差旅、保险、管理、培训、税费、验收、售后服务、利润、采购代理服务费和采购文件规定的其它费用。如有漏项，视同已包含在其它项目，合同价不作调整，采购人除合同价格以外不再支付任何费用。投标人因自身投标报价估算错误等引起的风险由投标人自行承担采购代理服务费等一切与项目实施相关的费用。</w:t>
            </w:r>
          </w:p>
          <w:p>
            <w:pPr>
              <w:pStyle w:val="null3"/>
              <w:jc w:val="left"/>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中标人对自身派遣的工作人员的安全负责，若工作人员在设备运输、安装、调试过程中发生意外事故、工伤等导致人身财产损害，由中标人自行负责。若工作人员在工作期间违规操作造成人身、财产损失，由中标人承担全部责任，釆购人对此不承担任何的责任和义务。</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本次采购产品的中标供应商，须在中标后</w:t>
            </w:r>
            <w:r>
              <w:rPr>
                <w:rFonts w:ascii="仿宋_GB2312" w:hAnsi="仿宋_GB2312" w:cs="仿宋_GB2312" w:eastAsia="仿宋_GB2312"/>
                <w:sz w:val="21"/>
              </w:rPr>
              <w:t>10</w:t>
            </w:r>
            <w:r>
              <w:rPr>
                <w:rFonts w:ascii="仿宋_GB2312" w:hAnsi="仿宋_GB2312" w:cs="仿宋_GB2312" w:eastAsia="仿宋_GB2312"/>
                <w:sz w:val="21"/>
              </w:rPr>
              <w:t>日内，按现场实际尺寸和招标文件的全部要求设计出详细的方案，方案需要包括详细的安装位置、安装尺寸、符合招标文件技术要求的样式图片等因素，方案通过采购人和使用单位审核通过后方可生产，方案审核通过后</w:t>
            </w:r>
            <w:r>
              <w:rPr>
                <w:rFonts w:ascii="仿宋_GB2312" w:hAnsi="仿宋_GB2312" w:cs="仿宋_GB2312" w:eastAsia="仿宋_GB2312"/>
                <w:sz w:val="21"/>
              </w:rPr>
              <w:t>50</w:t>
            </w:r>
            <w:r>
              <w:rPr>
                <w:rFonts w:ascii="仿宋_GB2312" w:hAnsi="仿宋_GB2312" w:cs="仿宋_GB2312" w:eastAsia="仿宋_GB2312"/>
                <w:sz w:val="21"/>
              </w:rPr>
              <w:t>日内须将所有产品生产安装完毕。</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合同有效期为合同签订后一年。在收到采购人当批次供货通知后，中标人需在50日内将当批次产品配送至采购人指定地点，并完成安装调试。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西南医科大学附属医院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1、合同签订并生效，供应商根据采购的需求分批供货，每次供货配送数量以对应的订单为准 ，按照实际提供验收合格的商品数量×结算单价据实结算，合同年度期满或供货配送达到本项目总预算金额，合同终止。 2.配送货物安装完成并验收合格后，采购人收到成交供应商开具的发票，达到付款条件起30日内，据实结算说明为支付当批次货款的100.00%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详见第二章2.6.6.履约验收方案（以供应商提供的《投标（响应）函》中“我单位完全接受和理解本项目采购文件规定的实质性要求”即视为响应。）</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自验收合格之日起，质保期≥3年。质保期内中标人负责对设备保修和更换损坏的零部件（人为原因造成的损坏除外）。</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1）供应商交付的设备与其投标文件中投标产品技术参数不符或者质量不符合合同规定的，采购人有权单方面解除合同，供应商则应按合同总价的百分之三十的款额向采购人偿付违约金并赔偿损失。 （2）供应商不能交付设备或逾期交付设备而违约的，除应及时交足设备外，应向采购人偿付逾期交货部分货款总额的百分之一/天的违约金；逾期交货超过十天，供应商视为根本性违约，供应商应按合同总价的百分之三十的款额向采购人偿付违约金，且采购人有权要求供应商继续履行或单方面解除合同，合同解除的，供应商须全额退还采购人已经付给供应商的货款及利息。 （3）供应商设备经采购人送交具有法定资格条件的质量技术监督机构检测后，如检测结果认定产品质量不符合合同规定标准的，则视为供应商没有按时交货而违约，供应商须在二十天内无条件更换合格的产品，如逾期不能更换合格的产品，采购人有权单方面解除合同，供应商应另付合同总价的百分之三十的违约金给采购人并承担上述鉴定费用等采购人由此产生的一切损失。 （4）供应商保证合同产品的权利无瑕疵，包括产品所有权及知识产权等权利无瑕疵。如任何第三方经法院（或仲裁机构）裁决有权对上述设备主张权利或国家机关依法对产品进行没收查处的，供应商除应向采购人返还已收款项及利息外，还应另按合同总价的百分之三十的款额向采购人支付违约金并赔偿因此给采购人造成的一切损失。 （5）如供应商违反合同约定擅自变更或解除合同的，应另按合同总价的百分之三十的款额向采购人支付违约金并赔偿因此给采购人造成的一切损失。 （6）供应商违反合同其它约定，采购人有权要求供应商承担违约责任，供应商应按合同总价款百分之三十向采购人支付违约金，供应商承担了违约责任后，合同可以继续履行的，采购人可要求供应商继续履行合同，此外采购人也可单方解除合同。 （7）供应商偿付的违约金不足以弥补采购人损失的，还应按采购人损失尚未弥补的部分，支付赔偿金给采购人，包括但不限于因第三人向采购人主张权利而发生的全部诉讼费、仲裁费、律师费、差旅费、邮件费、公告费、鉴定费、保全费和调查取证的费用，以及来自行政部门的罚款等。 （8）质量保修期内，供应商怠于履行售后服务义务的，每逾期一日，供应商须向采购人支付合同总价百分之一的违约金，逾期达五日的，采购人有权另行聘请第三方服务公司处理相关售后问题，所产生的费用由供应商全部承担。此外，采购人有权单方解除合同，供应商应按合同总价百分之三十的款额向采购人偿付违约金并赔偿损失。 （二）争议解决办法： 1、因产品的质量问题发生争议，由质量技术监督部门或其指定的质量鉴定机构进行质量鉴定。产品符合标准的，鉴定费由采购人承担；设备不符合质量标准的，鉴定费由供应商承担。 2.合同履行期间，若双方发生争议，可协商或由有关部门调解解决，协商或调解不成的，任何一方都应向采购人住所地有管辖权的人民法院提起诉讼。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1.未载明或者载明的标的名称、数量、计量单位及其他政府采购合同实质性内容与采购文件要求不一致，且采购单位无法接受的，属于无效响应。 2、投标人针对本项目提供的项目实施方案（至少包括①原材料质量保障措施、产品监制措施、产品制作工艺流程、成品质量保障制度；②包装、运输、装卸货方案，货物防损措施；③生产安全管理保障措施、运输安全管理保障措施；④货物安装现场保护措施，安装现场用电安全保障措施；⑤成品保护方案。） 3、投标人针对本项目提供的项目售后方案（至少包括①售后服务方案；②技术支持、售后响应保障、退换货流程方案、应急保障措施；③故障响应、故障解决保障；④备品配件保障方案、更换方案；⑤客户投诉处理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专门面向中小企业采购(监狱企业、残疾人福利性单位均视同小微企业，符合中小企业划分标准的个体工商户视同中小企业)，非中小企业参与的将视为无效响应〔中小企业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需要投标人提供材料进行响应的实质性要求</w:t>
            </w:r>
          </w:p>
        </w:tc>
        <w:tc>
          <w:tcPr>
            <w:tcW w:type="dxa" w:w="3322"/>
          </w:tcPr>
          <w:p>
            <w:pPr>
              <w:pStyle w:val="null3"/>
              <w:jc w:val="left"/>
            </w:pPr>
            <w:r>
              <w:rPr>
                <w:rFonts w:ascii="仿宋_GB2312" w:hAnsi="仿宋_GB2312" w:cs="仿宋_GB2312" w:eastAsia="仿宋_GB2312"/>
              </w:rPr>
              <w:t>需要投标人提供材料进行响应，按照招标文件要求提供相应的材料。</w:t>
            </w:r>
          </w:p>
        </w:tc>
        <w:tc>
          <w:tcPr>
            <w:tcW w:type="dxa" w:w="1661"/>
          </w:tcPr>
          <w:p>
            <w:pPr>
              <w:pStyle w:val="null3"/>
              <w:jc w:val="left"/>
            </w:pPr>
            <w:r>
              <w:rPr>
                <w:rFonts w:ascii="仿宋_GB2312" w:hAnsi="仿宋_GB2312" w:cs="仿宋_GB2312" w:eastAsia="仿宋_GB2312"/>
              </w:rPr>
              <w:t>投标人应提交的其他相关证明材料.docx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不存在招标文件规定的“无效”情形</w:t>
            </w:r>
          </w:p>
        </w:tc>
        <w:tc>
          <w:tcPr>
            <w:tcW w:type="dxa" w:w="3322"/>
          </w:tcPr>
          <w:p>
            <w:pPr>
              <w:pStyle w:val="null3"/>
              <w:jc w:val="left"/>
            </w:pPr>
            <w:r>
              <w:rPr>
                <w:rFonts w:ascii="仿宋_GB2312" w:hAnsi="仿宋_GB2312" w:cs="仿宋_GB2312" w:eastAsia="仿宋_GB2312"/>
              </w:rPr>
              <w:t>投标人按照招标文件要求进行响应，评标委员会对相关情形进行认定。</w:t>
            </w:r>
          </w:p>
        </w:tc>
        <w:tc>
          <w:tcPr>
            <w:tcW w:type="dxa" w:w="1661"/>
          </w:tcPr>
          <w:p>
            <w:pPr>
              <w:pStyle w:val="null3"/>
              <w:jc w:val="left"/>
            </w:pPr>
            <w:r>
              <w:rPr>
                <w:rFonts w:ascii="仿宋_GB2312" w:hAnsi="仿宋_GB2312" w:cs="仿宋_GB2312" w:eastAsia="仿宋_GB2312"/>
              </w:rPr>
              <w:t>报价明细表,报价表,投标（响应）函,技术、服务及其他要求应答表.docx,投标人应提交的其他相关证明材料.docx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投标人针对招标文件第三章“3.2技术要求”条款的响应进行综合评分： 1、投标人针对招标文件第三章“3.2技术要求”中的一般技术参数条款的响应得分规则如下：（一般技术参数条款指未标注“★”和“▲”的条款） 一般技术参数条款响应得分=（投标人满足一般技术参数条款的数量÷一般技术参数条款的总数量）×10分。 2、投标人针对招标文件第三章“3.2技术要求”中加注“▲”技术参数条款的响应得分规则如下： “▲”技术参数条款响应得分=（投标人满足“▲”技术参数条款的数量÷“▲”技术参数条款的总数量）×32分。 ①针对“▲”条款的技术响应，如果招标文件第三章“技术参数与性能指标”中的“▲”技术条款对技术支撑材料有要求，应按要求提供，如果没有具体要求的需提供国家认可的第三方检测机构出具的检验检测报告或产品彩页或产品说明书作为佐证材料。不提供，或提供的佐证材料不满足▲号项技术参数检验要求的不得分。 ②针对一般条款的技术响应，如果招标文件第三章“技术参数与性能指标”中技术参数条款对技术支撑材料有要求，应按要求提供，否则对应技术参数条款将视为不满足。 ③标注“★”的条款为本项目实质性要求，不作为本项评审。 ④以单个序号项内容为一项，单个序号项下有更小级序号的，以最小级序号内容为一项。</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技术、服务及其他要求应答表.docx</w:t>
            </w:r>
          </w:p>
          <w:p>
            <w:pPr>
              <w:pStyle w:val="null3"/>
              <w:jc w:val="left"/>
            </w:pPr>
            <w:r>
              <w:rPr>
                <w:rFonts w:ascii="仿宋_GB2312" w:hAnsi="仿宋_GB2312" w:cs="仿宋_GB2312" w:eastAsia="仿宋_GB2312"/>
              </w:rPr>
              <w:t>投标人应提交的其他相关证明材料.docx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投标人针对本项目提供的项目实施方案（至少包括①原材料质量保障措施、产品监制措施、产品制作工艺流程、成品质量保障制度；②包装、运输、装卸货方案，货物防损措施；③生产安全管理保障措施、运输安全管理保障措施；④货物安装现场保护措施；⑤成品保护方案。）内容完整的得14分；方案中每有一项内容要素存在缺失的扣2.8分，方案内容要素中每存在一处缺陷的扣1.4分，单项内容要素扣减分值不超过2.8分。扣完为止。（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投标人应提交的其他相关证明材料.docx</w:t>
            </w:r>
          </w:p>
        </w:tc>
      </w:tr>
      <w:tr>
        <w:tc>
          <w:tcPr>
            <w:tcW w:type="dxa" w:w="831"/>
            <w:vMerge/>
          </w:tcPr>
          <w:p/>
        </w:tc>
        <w:tc>
          <w:tcPr>
            <w:tcW w:type="dxa" w:w="1661"/>
          </w:tcPr>
          <w:p>
            <w:pPr>
              <w:pStyle w:val="null3"/>
              <w:jc w:val="left"/>
            </w:pPr>
            <w:r>
              <w:rPr>
                <w:rFonts w:ascii="仿宋_GB2312" w:hAnsi="仿宋_GB2312" w:cs="仿宋_GB2312" w:eastAsia="仿宋_GB2312"/>
              </w:rPr>
              <w:t>售后方案</w:t>
            </w:r>
          </w:p>
        </w:tc>
        <w:tc>
          <w:tcPr>
            <w:tcW w:type="dxa" w:w="2575"/>
          </w:tcPr>
          <w:p>
            <w:pPr>
              <w:pStyle w:val="null3"/>
              <w:jc w:val="left"/>
            </w:pPr>
            <w:r>
              <w:rPr>
                <w:rFonts w:ascii="仿宋_GB2312" w:hAnsi="仿宋_GB2312" w:cs="仿宋_GB2312" w:eastAsia="仿宋_GB2312"/>
              </w:rPr>
              <w:t>投标人针对本项目提供的项目售后方案（至少包括①售后服务方案；②技术支持、售后响应保障、退换货流程方案、应急保障措施；③故障响应、故障解决保障；④备品配件保障方案、更换方案；⑤客户投诉处理方案。）内容完整的得14分；方案中每有一项内容要素存在缺失的扣2.8分，方案内容要素中每存在一处缺陷的扣1.4分，单项内容要素扣减分值不超过2.8分。扣完为止。（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投标人应提交的其他相关证明材料.docx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满足招标文件要求且投标价格最低的报价为基准价，其价格分为满分。其他供应商的价格分统一按照下列公式计算：报价得分=(基准价／报价)× 30%×100。 注：本项目报价为百分比报价。</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投标人应提交的其他相关证明材料.docx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详见附件：技术、服务及其他要求应答表.docx</w:t>
      </w:r>
    </w:p>
    <w:p>
      <w:pPr>
        <w:pStyle w:val="null3"/>
        <w:ind w:firstLine="960"/>
        <w:jc w:val="left"/>
      </w:pPr>
      <w:r>
        <w:rPr>
          <w:rFonts w:ascii="仿宋_GB2312" w:hAnsi="仿宋_GB2312" w:cs="仿宋_GB2312" w:eastAsia="仿宋_GB2312"/>
        </w:rPr>
        <w:t>详见附件：投标人应提交的其他相关证明材料.docx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详见附件：服务合同模板-后勤-政采，最新11.25.docx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