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版本号：N511083202600005620260410001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2026年隆昌市响石镇环卫保洁服务项目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N5110832026000056</w:t>
      </w:r>
    </w:p>
    <w:p>
      <w:pPr>
        <w:pStyle w:val="null3"/>
        <w:jc w:val="center"/>
        <w:outlineLvl w:val="2"/>
      </w:pPr>
      <w:r>
        <w:rPr>
          <w:rFonts w:ascii="仿宋_GB2312" w:hAnsi="仿宋_GB2312" w:cs="仿宋_GB2312" w:eastAsia="仿宋_GB2312"/>
          <w:sz w:val="28"/>
          <w:b/>
        </w:rPr>
        <w:t>隆昌市响石镇人民政府</w:t>
      </w:r>
    </w:p>
    <w:p>
      <w:pPr>
        <w:pStyle w:val="null3"/>
        <w:jc w:val="center"/>
        <w:outlineLvl w:val="2"/>
      </w:pPr>
      <w:r>
        <w:rPr>
          <w:rFonts w:ascii="仿宋_GB2312" w:hAnsi="仿宋_GB2312" w:cs="仿宋_GB2312" w:eastAsia="仿宋_GB2312"/>
          <w:sz w:val="28"/>
          <w:b/>
        </w:rPr>
        <w:t>四川梦意招标代理有限公司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四川梦意招标代理有限公司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隆昌市响石镇人民政府</w:t>
      </w:r>
      <w:r>
        <w:rPr>
          <w:rFonts w:ascii="仿宋_GB2312" w:hAnsi="仿宋_GB2312" w:cs="仿宋_GB2312" w:eastAsia="仿宋_GB2312"/>
        </w:rPr>
        <w:t xml:space="preserve"> 委托，拟对 </w:t>
      </w:r>
      <w:r>
        <w:rPr>
          <w:rFonts w:ascii="仿宋_GB2312" w:hAnsi="仿宋_GB2312" w:cs="仿宋_GB2312" w:eastAsia="仿宋_GB2312"/>
        </w:rPr>
        <w:t>2026年隆昌市响石镇环卫保洁服务项目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内江市隆昌市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N5110832026000056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2026年隆昌市响石镇环卫保洁服务项目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营造良好的人居环境，现计划将对响石场镇、前锋社区、龙凤村下辖的场镇区域进行日常保洁；对龙井广场周边绿化带及场镇行道树进行修剪并把修剪产生的树枝树叶一并清理干净，确保场镇公共卫生干净整洁，环境优美，达到“六净、六顺”目标要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隆昌市响石镇人民政府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四川省隆昌市响石镇中心街西段44号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陈柯宇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13896051881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四川梦意招标代理有限公司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四川省内江市隆昌市四川省内江市隆昌市金鹅镇环城北路二段81号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18283278039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采购包1：530,000.00元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代理服务费收费标准：按照《四川省政府采购营商环境指标提升专项行动工作方案》中“成本+合理利润”原则，由甲方在结果公告发布后按照相关规定向招标代理机构以转账或现金形式全额支付。 代理机构：四川梦意招标代理有限公司（纳税人识别号：91511028MA64U3RL7R） ； 开户行：中国建设银行股份有限公司隆昌支行； 账号：5105 0168 7608 0000 1051。</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隆昌市响石镇人民政府</w:t>
      </w:r>
      <w:r>
        <w:rPr>
          <w:rFonts w:ascii="仿宋_GB2312" w:hAnsi="仿宋_GB2312" w:cs="仿宋_GB2312" w:eastAsia="仿宋_GB2312"/>
        </w:rPr>
        <w:t xml:space="preserve"> 和 </w:t>
      </w:r>
      <w:r>
        <w:rPr>
          <w:rFonts w:ascii="仿宋_GB2312" w:hAnsi="仿宋_GB2312" w:cs="仿宋_GB2312" w:eastAsia="仿宋_GB2312"/>
        </w:rPr>
        <w:t>四川梦意招标代理有限公司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隆昌市响石镇人民政府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四川梦意招标代理有限公司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完全满足磋商文件要求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完全满足磋商文件要求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按照采购文件和响应文件的要求以及《财政部关于进一步加强政府采购需求和履约验收管理的指导意见》（财库〔2016〕205号）文件执行验收。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隆昌市响石镇人民政府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四川梦意招标代理有限公司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四川梦意招标代理有限公司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联系电话：18283278039</w:t>
      </w:r>
    </w:p>
    <w:p>
      <w:pPr>
        <w:pStyle w:val="null3"/>
        <w:jc w:val="left"/>
      </w:pPr>
      <w:r>
        <w:rPr>
          <w:rFonts w:ascii="仿宋_GB2312" w:hAnsi="仿宋_GB2312" w:cs="仿宋_GB2312" w:eastAsia="仿宋_GB2312"/>
        </w:rPr>
        <w:t>地址：四川省内江市隆昌市金鹅镇环城北路二段81号</w:t>
      </w:r>
    </w:p>
    <w:p>
      <w:pPr>
        <w:pStyle w:val="null3"/>
        <w:jc w:val="left"/>
      </w:pPr>
      <w:r>
        <w:rPr>
          <w:rFonts w:ascii="仿宋_GB2312" w:hAnsi="仿宋_GB2312" w:cs="仿宋_GB2312" w:eastAsia="仿宋_GB2312"/>
        </w:rPr>
        <w:t>邮编：642150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联系电话：13896051881</w:t>
      </w:r>
    </w:p>
    <w:p>
      <w:pPr>
        <w:pStyle w:val="null3"/>
        <w:jc w:val="left"/>
      </w:pPr>
      <w:r>
        <w:rPr>
          <w:rFonts w:ascii="仿宋_GB2312" w:hAnsi="仿宋_GB2312" w:cs="仿宋_GB2312" w:eastAsia="仿宋_GB2312"/>
        </w:rPr>
        <w:t>地址：四川省内江市隆昌市响石镇中心街44号</w:t>
      </w:r>
    </w:p>
    <w:p>
      <w:pPr>
        <w:pStyle w:val="null3"/>
        <w:jc w:val="left"/>
      </w:pPr>
      <w:r>
        <w:rPr>
          <w:rFonts w:ascii="仿宋_GB2312" w:hAnsi="仿宋_GB2312" w:cs="仿宋_GB2312" w:eastAsia="仿宋_GB2312"/>
        </w:rPr>
        <w:t>邮编：642152</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530,000.00</w:t>
      </w:r>
    </w:p>
    <w:p>
      <w:pPr>
        <w:pStyle w:val="null3"/>
        <w:jc w:val="left"/>
      </w:pPr>
      <w:r>
        <w:rPr>
          <w:rFonts w:ascii="仿宋_GB2312" w:hAnsi="仿宋_GB2312" w:cs="仿宋_GB2312" w:eastAsia="仿宋_GB2312"/>
        </w:rPr>
        <w:t>采购包最高限价（元）: 530,000.00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C13059900 其他城镇公共卫生服务</w:t>
            </w:r>
          </w:p>
        </w:tc>
        <w:tc>
          <w:tcPr>
            <w:tcW w:type="dxa" w:w="821"/>
          </w:tcPr>
          <w:p>
            <w:pPr>
              <w:pStyle w:val="null3"/>
              <w:jc w:val="left"/>
            </w:pPr>
            <w:r>
              <w:rPr>
                <w:rFonts w:ascii="仿宋_GB2312" w:hAnsi="仿宋_GB2312" w:cs="仿宋_GB2312" w:eastAsia="仿宋_GB2312"/>
              </w:rPr>
              <w:t>2026年隆昌市响石镇环卫保洁服务项目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530,000.00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2026年隆昌市响石镇环卫保洁服务项目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标的名称：2026年隆昌市响石镇环卫保洁服务项目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（一）项目概况</w:t>
            </w:r>
          </w:p>
        </w:tc>
        <w:tc>
          <w:tcPr>
            <w:tcW w:type="dxa" w:w="5814"/>
          </w:tcPr>
          <w:p>
            <w:pPr>
              <w:pStyle w:val="null3"/>
              <w:ind w:firstLine="560"/>
              <w:jc w:val="both"/>
            </w:pPr>
            <w:r>
              <w:rPr>
                <w:rFonts w:ascii="仿宋_GB2312" w:hAnsi="仿宋_GB2312" w:cs="仿宋_GB2312" w:eastAsia="仿宋_GB2312"/>
                <w:sz w:val="28"/>
              </w:rPr>
              <w:t>本项目共一个包</w:t>
            </w:r>
            <w:r>
              <w:rPr>
                <w:rFonts w:ascii="仿宋_GB2312" w:hAnsi="仿宋_GB2312" w:cs="仿宋_GB2312" w:eastAsia="仿宋_GB2312"/>
                <w:sz w:val="28"/>
              </w:rPr>
              <w:t>，</w:t>
            </w:r>
            <w:r>
              <w:rPr>
                <w:rFonts w:ascii="仿宋_GB2312" w:hAnsi="仿宋_GB2312" w:cs="仿宋_GB2312" w:eastAsia="仿宋_GB2312"/>
                <w:sz w:val="28"/>
              </w:rPr>
              <w:t>为</w:t>
            </w:r>
            <w:r>
              <w:rPr>
                <w:rFonts w:ascii="仿宋_GB2312" w:hAnsi="仿宋_GB2312" w:cs="仿宋_GB2312" w:eastAsia="仿宋_GB2312"/>
                <w:sz w:val="28"/>
              </w:rPr>
              <w:t>营造良好的人居环境</w:t>
            </w:r>
            <w:r>
              <w:rPr>
                <w:rFonts w:ascii="仿宋_GB2312" w:hAnsi="仿宋_GB2312" w:cs="仿宋_GB2312" w:eastAsia="仿宋_GB2312"/>
                <w:sz w:val="28"/>
              </w:rPr>
              <w:t>，现计划将对响石场镇、前锋社区、龙凤村下辖的场镇区域进行日常保洁；对龙井广场周边绿化带及场镇行道树进行修剪并把修剪产生的树枝树叶一并清理干净</w:t>
            </w:r>
            <w:r>
              <w:rPr>
                <w:rFonts w:ascii="仿宋_GB2312" w:hAnsi="仿宋_GB2312" w:cs="仿宋_GB2312" w:eastAsia="仿宋_GB2312"/>
                <w:sz w:val="28"/>
              </w:rPr>
              <w:t>，</w:t>
            </w:r>
            <w:r>
              <w:rPr>
                <w:rFonts w:ascii="仿宋_GB2312" w:hAnsi="仿宋_GB2312" w:cs="仿宋_GB2312" w:eastAsia="仿宋_GB2312"/>
                <w:sz w:val="28"/>
              </w:rPr>
              <w:t>确保场镇公共卫生干净整洁，环境优美，达到</w:t>
            </w:r>
            <w:r>
              <w:rPr>
                <w:rFonts w:ascii="仿宋_GB2312" w:hAnsi="仿宋_GB2312" w:cs="仿宋_GB2312" w:eastAsia="仿宋_GB2312"/>
                <w:sz w:val="28"/>
              </w:rPr>
              <w:t>“</w:t>
            </w:r>
            <w:r>
              <w:rPr>
                <w:rFonts w:ascii="仿宋_GB2312" w:hAnsi="仿宋_GB2312" w:cs="仿宋_GB2312" w:eastAsia="仿宋_GB2312"/>
                <w:sz w:val="28"/>
              </w:rPr>
              <w:t>六净、六顺</w:t>
            </w:r>
            <w:r>
              <w:rPr>
                <w:rFonts w:ascii="仿宋_GB2312" w:hAnsi="仿宋_GB2312" w:cs="仿宋_GB2312" w:eastAsia="仿宋_GB2312"/>
                <w:sz w:val="28"/>
              </w:rPr>
              <w:t>”</w:t>
            </w:r>
            <w:r>
              <w:rPr>
                <w:rFonts w:ascii="仿宋_GB2312" w:hAnsi="仿宋_GB2312" w:cs="仿宋_GB2312" w:eastAsia="仿宋_GB2312"/>
                <w:sz w:val="28"/>
              </w:rPr>
              <w:t>目标要求</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（二）服务内容</w:t>
            </w:r>
          </w:p>
        </w:tc>
        <w:tc>
          <w:tcPr>
            <w:tcW w:type="dxa" w:w="5814"/>
          </w:tcPr>
          <w:p>
            <w:pPr>
              <w:pStyle w:val="null3"/>
              <w:spacing w:after="120"/>
              <w:ind w:left="420" w:firstLine="280"/>
              <w:jc w:val="both"/>
            </w:pPr>
            <w:r>
              <w:rPr>
                <w:rFonts w:ascii="仿宋_GB2312" w:hAnsi="仿宋_GB2312" w:cs="仿宋_GB2312" w:eastAsia="仿宋_GB2312"/>
                <w:sz w:val="28"/>
              </w:rPr>
              <w:t>1</w:t>
            </w:r>
            <w:r>
              <w:rPr>
                <w:rFonts w:ascii="仿宋_GB2312" w:hAnsi="仿宋_GB2312" w:cs="仿宋_GB2312" w:eastAsia="仿宋_GB2312"/>
                <w:sz w:val="28"/>
              </w:rPr>
              <w:t>、服务范围</w:t>
            </w:r>
          </w:p>
          <w:p>
            <w:pPr>
              <w:pStyle w:val="null3"/>
              <w:spacing w:after="120"/>
              <w:ind w:left="420"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）响石场镇清扫保洁考核区域：中心街、响前街、响永街、油房街、杂货街、早街子街、洋房子街、龙井湿地公园及周边范围、外环路、加油站</w:t>
            </w:r>
            <w:r>
              <w:rPr>
                <w:rFonts w:ascii="仿宋_GB2312" w:hAnsi="仿宋_GB2312" w:cs="仿宋_GB2312" w:eastAsia="仿宋_GB2312"/>
                <w:sz w:val="28"/>
              </w:rPr>
              <w:t>-</w:t>
            </w:r>
            <w:r>
              <w:rPr>
                <w:rFonts w:ascii="仿宋_GB2312" w:hAnsi="仿宋_GB2312" w:cs="仿宋_GB2312" w:eastAsia="仿宋_GB2312"/>
                <w:sz w:val="28"/>
              </w:rPr>
              <w:t>红绿灯、所有背街小巷、公厕以及行道树池。</w:t>
            </w:r>
          </w:p>
          <w:p>
            <w:pPr>
              <w:pStyle w:val="null3"/>
              <w:spacing w:after="120"/>
              <w:ind w:left="420"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）前锋社区清扫保洁考核区域：新街、河街、观音桥、罗观巷、公厕、所有行道树池。</w:t>
            </w:r>
          </w:p>
          <w:p>
            <w:pPr>
              <w:pStyle w:val="null3"/>
              <w:spacing w:after="120"/>
              <w:ind w:left="420"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）龙凤村清扫保洁考核区域：南冲聚居点、所有行道树池。</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（三）服务要求</w:t>
            </w:r>
          </w:p>
        </w:tc>
        <w:tc>
          <w:tcPr>
            <w:tcW w:type="dxa" w:w="5814"/>
          </w:tcPr>
          <w:p>
            <w:pPr>
              <w:pStyle w:val="null3"/>
              <w:spacing w:after="120"/>
              <w:ind w:left="420" w:firstLine="280"/>
              <w:jc w:val="both"/>
            </w:pPr>
            <w:r>
              <w:rPr>
                <w:rFonts w:ascii="仿宋_GB2312" w:hAnsi="仿宋_GB2312" w:cs="仿宋_GB2312" w:eastAsia="仿宋_GB2312"/>
                <w:sz w:val="28"/>
              </w:rPr>
              <w:t>1</w:t>
            </w:r>
            <w:r>
              <w:rPr>
                <w:rFonts w:ascii="仿宋_GB2312" w:hAnsi="仿宋_GB2312" w:cs="仿宋_GB2312" w:eastAsia="仿宋_GB2312"/>
                <w:sz w:val="28"/>
              </w:rPr>
              <w:t>、作业工具</w:t>
            </w:r>
          </w:p>
          <w:p>
            <w:pPr>
              <w:pStyle w:val="null3"/>
              <w:spacing w:after="120"/>
              <w:ind w:left="420" w:firstLine="560"/>
              <w:jc w:val="both"/>
            </w:pPr>
            <w:r>
              <w:rPr>
                <w:rFonts w:ascii="仿宋_GB2312" w:hAnsi="仿宋_GB2312" w:cs="仿宋_GB2312" w:eastAsia="仿宋_GB2312"/>
                <w:sz w:val="28"/>
              </w:rPr>
              <w:t>每名工人配备必要的作业工具，如：手推车、毛毛大扫把、叉头大扫把、毛毛小扫把、塑料小扫把、撮箕、火钳、夹子、垃圾袋、工作服、警示肩灯等。</w:t>
            </w:r>
          </w:p>
          <w:p>
            <w:pPr>
              <w:pStyle w:val="null3"/>
              <w:spacing w:after="120"/>
              <w:ind w:left="420" w:firstLine="280"/>
              <w:jc w:val="both"/>
            </w:pPr>
            <w:r>
              <w:rPr>
                <w:rFonts w:ascii="仿宋_GB2312" w:hAnsi="仿宋_GB2312" w:cs="仿宋_GB2312" w:eastAsia="仿宋_GB2312"/>
                <w:sz w:val="28"/>
              </w:rPr>
              <w:t>2</w:t>
            </w:r>
            <w:r>
              <w:rPr>
                <w:rFonts w:ascii="仿宋_GB2312" w:hAnsi="仿宋_GB2312" w:cs="仿宋_GB2312" w:eastAsia="仿宋_GB2312"/>
                <w:sz w:val="28"/>
              </w:rPr>
              <w:t>、作业时间</w:t>
            </w:r>
          </w:p>
          <w:p>
            <w:pPr>
              <w:pStyle w:val="null3"/>
              <w:spacing w:after="120"/>
              <w:ind w:left="420" w:firstLine="280"/>
              <w:jc w:val="both"/>
            </w:pPr>
            <w:r>
              <w:rPr>
                <w:rFonts w:ascii="仿宋_GB2312" w:hAnsi="仿宋_GB2312" w:cs="仿宋_GB2312" w:eastAsia="仿宋_GB2312"/>
                <w:sz w:val="28"/>
              </w:rPr>
              <w:t>每天作业时间为</w:t>
            </w:r>
            <w:r>
              <w:rPr>
                <w:rFonts w:ascii="仿宋_GB2312" w:hAnsi="仿宋_GB2312" w:cs="仿宋_GB2312" w:eastAsia="仿宋_GB2312"/>
                <w:sz w:val="28"/>
              </w:rPr>
              <w:t>7:30-18:00</w:t>
            </w:r>
            <w:r>
              <w:rPr>
                <w:rFonts w:ascii="仿宋_GB2312" w:hAnsi="仿宋_GB2312" w:cs="仿宋_GB2312" w:eastAsia="仿宋_GB2312"/>
                <w:sz w:val="28"/>
              </w:rPr>
              <w:t>，两次普扫（大扫）分别于上午</w:t>
            </w:r>
            <w:r>
              <w:rPr>
                <w:rFonts w:ascii="仿宋_GB2312" w:hAnsi="仿宋_GB2312" w:cs="仿宋_GB2312" w:eastAsia="仿宋_GB2312"/>
                <w:sz w:val="28"/>
              </w:rPr>
              <w:t>8:30</w:t>
            </w:r>
            <w:r>
              <w:rPr>
                <w:rFonts w:ascii="仿宋_GB2312" w:hAnsi="仿宋_GB2312" w:cs="仿宋_GB2312" w:eastAsia="仿宋_GB2312"/>
                <w:sz w:val="28"/>
              </w:rPr>
              <w:t>之前，下午</w:t>
            </w:r>
            <w:r>
              <w:rPr>
                <w:rFonts w:ascii="仿宋_GB2312" w:hAnsi="仿宋_GB2312" w:cs="仿宋_GB2312" w:eastAsia="仿宋_GB2312"/>
                <w:sz w:val="28"/>
              </w:rPr>
              <w:t>14:30</w:t>
            </w:r>
            <w:r>
              <w:rPr>
                <w:rFonts w:ascii="仿宋_GB2312" w:hAnsi="仿宋_GB2312" w:cs="仿宋_GB2312" w:eastAsia="仿宋_GB2312"/>
                <w:sz w:val="28"/>
              </w:rPr>
              <w:t>之前完成，其它时间进行不间断巡回保洁。</w:t>
            </w:r>
          </w:p>
          <w:p>
            <w:pPr>
              <w:pStyle w:val="null3"/>
              <w:spacing w:after="120"/>
              <w:ind w:left="420" w:firstLine="280"/>
              <w:jc w:val="both"/>
            </w:pPr>
            <w:r>
              <w:rPr>
                <w:rFonts w:ascii="仿宋_GB2312" w:hAnsi="仿宋_GB2312" w:cs="仿宋_GB2312" w:eastAsia="仿宋_GB2312"/>
                <w:sz w:val="28"/>
              </w:rPr>
              <w:t>3</w:t>
            </w:r>
            <w:r>
              <w:rPr>
                <w:rFonts w:ascii="仿宋_GB2312" w:hAnsi="仿宋_GB2312" w:cs="仿宋_GB2312" w:eastAsia="仿宋_GB2312"/>
                <w:sz w:val="28"/>
              </w:rPr>
              <w:t>、清扫保洁标准</w:t>
            </w:r>
          </w:p>
          <w:p>
            <w:pPr>
              <w:pStyle w:val="null3"/>
              <w:ind w:firstLine="560"/>
              <w:jc w:val="both"/>
            </w:pPr>
            <w:r>
              <w:rPr>
                <w:rFonts w:ascii="仿宋_GB2312" w:hAnsi="仿宋_GB2312" w:cs="仿宋_GB2312" w:eastAsia="仿宋_GB2312"/>
                <w:sz w:val="28"/>
              </w:rPr>
              <w:t>清扫保洁实现</w:t>
            </w:r>
            <w:r>
              <w:rPr>
                <w:rFonts w:ascii="仿宋_GB2312" w:hAnsi="仿宋_GB2312" w:cs="仿宋_GB2312" w:eastAsia="仿宋_GB2312"/>
                <w:sz w:val="28"/>
              </w:rPr>
              <w:t>“十净、十无、三不准”守则</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）十净</w:t>
            </w:r>
            <w:r>
              <w:rPr>
                <w:rFonts w:ascii="仿宋_GB2312" w:hAnsi="仿宋_GB2312" w:cs="仿宋_GB2312" w:eastAsia="仿宋_GB2312"/>
                <w:sz w:val="28"/>
              </w:rPr>
              <w:t>:</w:t>
            </w:r>
            <w:r>
              <w:rPr>
                <w:rFonts w:ascii="仿宋_GB2312" w:hAnsi="仿宋_GB2312" w:cs="仿宋_GB2312" w:eastAsia="仿宋_GB2312"/>
                <w:sz w:val="28"/>
              </w:rPr>
              <w:t>①路面干净②路牙侧石干净③挡墙隔离桩干净④排水口窨井盖沟槽干净⑤人行道外侧场地干净⑥台阶踏步干净⑦墙角干净⑧绿地树穴干净⑨非机动车停放场地干净⑩垃圾桶、果皮箱、坐凳底及周边干净。</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）十无：①无果皮烟头纸屑、白色垃圾②无杂物堆放③无枯枝落叶④无砖石瓦片⑤无沙石泥土积尘⑥无痰迹污渍⑦无人畜粪便⑧无积水⑨无杂草青苔⑩无污水污染。</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）三不准：不准将垃圾扫入雨（污）水井口或水沟；不准焚烧树枝、树叶；不准焚烧垃圾和废弃物。</w:t>
            </w:r>
          </w:p>
          <w:p>
            <w:pPr>
              <w:pStyle w:val="null3"/>
              <w:spacing w:after="120"/>
              <w:ind w:left="420" w:firstLine="280"/>
              <w:jc w:val="both"/>
            </w:pPr>
            <w:r>
              <w:rPr>
                <w:rFonts w:ascii="仿宋_GB2312" w:hAnsi="仿宋_GB2312" w:cs="仿宋_GB2312" w:eastAsia="仿宋_GB2312"/>
                <w:sz w:val="28"/>
              </w:rPr>
              <w:t>4</w:t>
            </w:r>
            <w:r>
              <w:rPr>
                <w:rFonts w:ascii="仿宋_GB2312" w:hAnsi="仿宋_GB2312" w:cs="仿宋_GB2312" w:eastAsia="仿宋_GB2312"/>
                <w:sz w:val="28"/>
              </w:rPr>
              <w:t>、安全措施标准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）购买相应保险</w:t>
            </w:r>
          </w:p>
          <w:p>
            <w:pPr>
              <w:pStyle w:val="null3"/>
              <w:ind w:firstLine="560"/>
              <w:jc w:val="both"/>
            </w:pPr>
            <w:r>
              <w:rPr>
                <w:rFonts w:ascii="仿宋_GB2312" w:hAnsi="仿宋_GB2312" w:cs="仿宋_GB2312" w:eastAsia="仿宋_GB2312"/>
                <w:sz w:val="28"/>
              </w:rPr>
              <w:t>供应商应严格遵循相应规定，为作业人员购买相关保险事宜，确保作业人员在工作中能够依法享受合法权益，出现伤病后能够获得相应的医疗救治和经济补（赔）偿。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）搞好安全培训</w:t>
            </w:r>
          </w:p>
          <w:p>
            <w:pPr>
              <w:pStyle w:val="null3"/>
              <w:ind w:firstLine="560"/>
              <w:jc w:val="both"/>
            </w:pPr>
            <w:r>
              <w:rPr>
                <w:rFonts w:ascii="仿宋_GB2312" w:hAnsi="仿宋_GB2312" w:cs="仿宋_GB2312" w:eastAsia="仿宋_GB2312"/>
                <w:sz w:val="28"/>
              </w:rPr>
              <w:t>供应商应定期组织作业人员开展安全教育培训和业务技能培训，利用月会或日常巡查监管时机，每月至少进行</w:t>
            </w:r>
            <w:r>
              <w:rPr>
                <w:rFonts w:ascii="仿宋_GB2312" w:hAnsi="仿宋_GB2312" w:cs="仿宋_GB2312" w:eastAsia="仿宋_GB2312"/>
                <w:sz w:val="28"/>
              </w:rPr>
              <w:t>1</w:t>
            </w:r>
            <w:r>
              <w:rPr>
                <w:rFonts w:ascii="仿宋_GB2312" w:hAnsi="仿宋_GB2312" w:cs="仿宋_GB2312" w:eastAsia="仿宋_GB2312"/>
                <w:sz w:val="28"/>
              </w:rPr>
              <w:t>次集中培训，确保作业人员全面了解和掌握各类安全知识与业务技能。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）制定应急机制</w:t>
            </w:r>
          </w:p>
          <w:p>
            <w:pPr>
              <w:pStyle w:val="null3"/>
              <w:ind w:firstLine="560"/>
              <w:jc w:val="both"/>
            </w:pPr>
            <w:r>
              <w:rPr>
                <w:rFonts w:ascii="仿宋_GB2312" w:hAnsi="仿宋_GB2312" w:cs="仿宋_GB2312" w:eastAsia="仿宋_GB2312"/>
                <w:sz w:val="28"/>
              </w:rPr>
              <w:t>供应商应制定完善的安全事故应急预案，明确在发生各类安全事故（如交通事故、工伤事故、突发疾病等）时的应急处置流程。</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考核细则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每天作业路段未进行大扫的，一个段位扣</w:t>
            </w:r>
            <w:r>
              <w:rPr>
                <w:rFonts w:ascii="仿宋_GB2312" w:hAnsi="仿宋_GB2312" w:cs="仿宋_GB2312" w:eastAsia="仿宋_GB2312"/>
                <w:sz w:val="28"/>
              </w:rPr>
              <w:t>0.6</w:t>
            </w:r>
            <w:r>
              <w:rPr>
                <w:rFonts w:ascii="仿宋_GB2312" w:hAnsi="仿宋_GB2312" w:cs="仿宋_GB2312" w:eastAsia="仿宋_GB2312"/>
                <w:sz w:val="28"/>
              </w:rPr>
              <w:t>分，大扫不全面的扣</w:t>
            </w:r>
            <w:r>
              <w:rPr>
                <w:rFonts w:ascii="仿宋_GB2312" w:hAnsi="仿宋_GB2312" w:cs="仿宋_GB2312" w:eastAsia="仿宋_GB2312"/>
                <w:sz w:val="28"/>
              </w:rPr>
              <w:t>0.4</w:t>
            </w:r>
            <w:r>
              <w:rPr>
                <w:rFonts w:ascii="仿宋_GB2312" w:hAnsi="仿宋_GB2312" w:cs="仿宋_GB2312" w:eastAsia="仿宋_GB2312"/>
                <w:sz w:val="28"/>
              </w:rPr>
              <w:t>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保洁人员应保证保洁范围内的果皮箱、垃圾池（箱）周围的卫生情况整洁，凡一处果皮箱不整洁或者是周边有果皮纸屑的扣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街面白垃圾滞留时间超过</w:t>
            </w:r>
            <w:r>
              <w:rPr>
                <w:rFonts w:ascii="仿宋_GB2312" w:hAnsi="仿宋_GB2312" w:cs="仿宋_GB2312" w:eastAsia="仿宋_GB2312"/>
                <w:sz w:val="28"/>
              </w:rPr>
              <w:t>30</w:t>
            </w:r>
            <w:r>
              <w:rPr>
                <w:rFonts w:ascii="仿宋_GB2312" w:hAnsi="仿宋_GB2312" w:cs="仿宋_GB2312" w:eastAsia="仿宋_GB2312"/>
                <w:sz w:val="28"/>
              </w:rPr>
              <w:t>分钟未清理的</w:t>
            </w:r>
            <w:r>
              <w:rPr>
                <w:rFonts w:ascii="仿宋_GB2312" w:hAnsi="仿宋_GB2312" w:cs="仿宋_GB2312" w:eastAsia="仿宋_GB2312"/>
                <w:sz w:val="28"/>
              </w:rPr>
              <w:t>,</w:t>
            </w:r>
            <w:r>
              <w:rPr>
                <w:rFonts w:ascii="仿宋_GB2312" w:hAnsi="仿宋_GB2312" w:cs="仿宋_GB2312" w:eastAsia="仿宋_GB2312"/>
                <w:sz w:val="28"/>
              </w:rPr>
              <w:t>一处扣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街面落叶不及时清扫一处扣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街面清扫不彻底，尘土重的一次扣</w:t>
            </w:r>
            <w:r>
              <w:rPr>
                <w:rFonts w:ascii="仿宋_GB2312" w:hAnsi="仿宋_GB2312" w:cs="仿宋_GB2312" w:eastAsia="仿宋_GB2312"/>
                <w:sz w:val="28"/>
              </w:rPr>
              <w:t>0.3</w:t>
            </w:r>
            <w:r>
              <w:rPr>
                <w:rFonts w:ascii="仿宋_GB2312" w:hAnsi="仿宋_GB2312" w:cs="仿宋_GB2312" w:eastAsia="仿宋_GB2312"/>
                <w:sz w:val="28"/>
              </w:rPr>
              <w:t>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街道两侧下水道口堵塞，未清理的一处扣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保洁人员在作业时必须着环卫工作服，凡是不按照要求着装的一人扣</w:t>
            </w:r>
            <w:r>
              <w:rPr>
                <w:rFonts w:ascii="仿宋_GB2312" w:hAnsi="仿宋_GB2312" w:cs="仿宋_GB2312" w:eastAsia="仿宋_GB2312"/>
                <w:sz w:val="28"/>
              </w:rPr>
              <w:t>0.3</w:t>
            </w:r>
            <w:r>
              <w:rPr>
                <w:rFonts w:ascii="仿宋_GB2312" w:hAnsi="仿宋_GB2312" w:cs="仿宋_GB2312" w:eastAsia="仿宋_GB2312"/>
                <w:sz w:val="28"/>
              </w:rPr>
              <w:t>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保洁人员在清扫保洁产生的垃圾必须按规定倒入垃圾桶中，凡有乱倒清扫保洁垃圾的一次扣</w:t>
            </w:r>
            <w:r>
              <w:rPr>
                <w:rFonts w:ascii="仿宋_GB2312" w:hAnsi="仿宋_GB2312" w:cs="仿宋_GB2312" w:eastAsia="仿宋_GB2312"/>
                <w:sz w:val="28"/>
              </w:rPr>
              <w:t>0.4</w:t>
            </w:r>
            <w:r>
              <w:rPr>
                <w:rFonts w:ascii="仿宋_GB2312" w:hAnsi="仿宋_GB2312" w:cs="仿宋_GB2312" w:eastAsia="仿宋_GB2312"/>
                <w:sz w:val="28"/>
              </w:rPr>
              <w:t>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供应商相关工作人员严禁酒后作业，应严格遵守响石镇人民政府的规章制度及安全守则，违反本条规定，责令开除。</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凡是国家法定节假日期间，路段白垃圾多或被上级通报，在通知有检查的情况下路段白垃圾多，在原有扣分基础上加倍扣分。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保洁人员应在下班前半小时把负责路段清理干净，凡在下班前半小时内发现果皮、纸屑、落叶等垃圾且无保洁人员正在清理的一处扣</w:t>
            </w:r>
            <w:r>
              <w:rPr>
                <w:rFonts w:ascii="仿宋_GB2312" w:hAnsi="仿宋_GB2312" w:cs="仿宋_GB2312" w:eastAsia="仿宋_GB2312"/>
                <w:sz w:val="28"/>
              </w:rPr>
              <w:t>0.2</w:t>
            </w:r>
            <w:r>
              <w:rPr>
                <w:rFonts w:ascii="仿宋_GB2312" w:hAnsi="仿宋_GB2312" w:cs="仿宋_GB2312" w:eastAsia="仿宋_GB2312"/>
                <w:sz w:val="28"/>
              </w:rPr>
              <w:t>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保洁人员不得因落叶较多或者其他原因破坏树木及其它公共设施，一经发现扣</w:t>
            </w:r>
            <w:r>
              <w:rPr>
                <w:rFonts w:ascii="仿宋_GB2312" w:hAnsi="仿宋_GB2312" w:cs="仿宋_GB2312" w:eastAsia="仿宋_GB2312"/>
                <w:sz w:val="28"/>
              </w:rPr>
              <w:t>0.2</w:t>
            </w:r>
            <w:r>
              <w:rPr>
                <w:rFonts w:ascii="仿宋_GB2312" w:hAnsi="仿宋_GB2312" w:cs="仿宋_GB2312" w:eastAsia="仿宋_GB2312"/>
                <w:sz w:val="28"/>
              </w:rPr>
              <w:t>分，并照价赔偿。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13</w:t>
            </w:r>
            <w:r>
              <w:rPr>
                <w:rFonts w:ascii="仿宋_GB2312" w:hAnsi="仿宋_GB2312" w:cs="仿宋_GB2312" w:eastAsia="仿宋_GB2312"/>
                <w:sz w:val="28"/>
              </w:rPr>
              <w:t>）</w:t>
            </w:r>
            <w:r>
              <w:rPr>
                <w:rFonts w:ascii="仿宋_GB2312" w:hAnsi="仿宋_GB2312" w:cs="仿宋_GB2312" w:eastAsia="仿宋_GB2312"/>
                <w:sz w:val="28"/>
              </w:rPr>
              <w:t>因供应商相关人员工作失误被曝光或被上级部门通报批评的，隆昌市综合执法局通报扣</w:t>
            </w:r>
            <w:r>
              <w:rPr>
                <w:rFonts w:ascii="仿宋_GB2312" w:hAnsi="仿宋_GB2312" w:cs="仿宋_GB2312" w:eastAsia="仿宋_GB2312"/>
                <w:sz w:val="28"/>
              </w:rPr>
              <w:t>0.5</w:t>
            </w:r>
            <w:r>
              <w:rPr>
                <w:rFonts w:ascii="仿宋_GB2312" w:hAnsi="仿宋_GB2312" w:cs="仿宋_GB2312" w:eastAsia="仿宋_GB2312"/>
                <w:sz w:val="28"/>
              </w:rPr>
              <w:t>分；隆昌市市委市政府通报扣</w:t>
            </w:r>
            <w:r>
              <w:rPr>
                <w:rFonts w:ascii="仿宋_GB2312" w:hAnsi="仿宋_GB2312" w:cs="仿宋_GB2312" w:eastAsia="仿宋_GB2312"/>
                <w:sz w:val="28"/>
              </w:rPr>
              <w:t>0.8</w:t>
            </w:r>
            <w:r>
              <w:rPr>
                <w:rFonts w:ascii="仿宋_GB2312" w:hAnsi="仿宋_GB2312" w:cs="仿宋_GB2312" w:eastAsia="仿宋_GB2312"/>
                <w:sz w:val="28"/>
              </w:rPr>
              <w:t>分；内江市级部门通报扣</w:t>
            </w:r>
            <w:r>
              <w:rPr>
                <w:rFonts w:ascii="仿宋_GB2312" w:hAnsi="仿宋_GB2312" w:cs="仿宋_GB2312" w:eastAsia="仿宋_GB2312"/>
                <w:sz w:val="28"/>
              </w:rPr>
              <w:t>1</w:t>
            </w:r>
            <w:r>
              <w:rPr>
                <w:rFonts w:ascii="仿宋_GB2312" w:hAnsi="仿宋_GB2312" w:cs="仿宋_GB2312" w:eastAsia="仿宋_GB2312"/>
                <w:sz w:val="28"/>
              </w:rPr>
              <w:t>分；省级通报视情况而定扣</w:t>
            </w:r>
            <w:r>
              <w:rPr>
                <w:rFonts w:ascii="仿宋_GB2312" w:hAnsi="仿宋_GB2312" w:cs="仿宋_GB2312" w:eastAsia="仿宋_GB2312"/>
                <w:sz w:val="28"/>
              </w:rPr>
              <w:t>1-2</w:t>
            </w:r>
            <w:r>
              <w:rPr>
                <w:rFonts w:ascii="仿宋_GB2312" w:hAnsi="仿宋_GB2312" w:cs="仿宋_GB2312" w:eastAsia="仿宋_GB2312"/>
                <w:sz w:val="28"/>
              </w:rPr>
              <w:t>分。</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、考核评定及结果运用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村建中心不定期开展督察，发现问题留存影像、台账，结果向供应商公布，督察结果作为当月考核和扣除服务费的依据。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我镇场镇环卫保洁服务绩效管理考核总分值为</w:t>
            </w:r>
            <w:r>
              <w:rPr>
                <w:rFonts w:ascii="仿宋_GB2312" w:hAnsi="仿宋_GB2312" w:cs="仿宋_GB2312" w:eastAsia="仿宋_GB2312"/>
                <w:sz w:val="28"/>
              </w:rPr>
              <w:t>100</w:t>
            </w:r>
            <w:r>
              <w:rPr>
                <w:rFonts w:ascii="仿宋_GB2312" w:hAnsi="仿宋_GB2312" w:cs="仿宋_GB2312" w:eastAsia="仿宋_GB2312"/>
                <w:sz w:val="28"/>
              </w:rPr>
              <w:t>分，绩效考核按月进行。</w:t>
            </w:r>
          </w:p>
          <w:p>
            <w:pPr>
              <w:pStyle w:val="null3"/>
              <w:ind w:firstLine="560"/>
              <w:jc w:val="both"/>
            </w:pPr>
            <w:r>
              <w:rPr>
                <w:rFonts w:ascii="仿宋_GB2312" w:hAnsi="仿宋_GB2312" w:cs="仿宋_GB2312" w:eastAsia="仿宋_GB2312"/>
                <w:sz w:val="28"/>
              </w:rPr>
              <w:t>考核分值</w:t>
            </w:r>
            <w:r>
              <w:rPr>
                <w:rFonts w:ascii="仿宋_GB2312" w:hAnsi="仿宋_GB2312" w:cs="仿宋_GB2312" w:eastAsia="仿宋_GB2312"/>
                <w:sz w:val="28"/>
              </w:rPr>
              <w:t>≥80</w:t>
            </w:r>
            <w:r>
              <w:rPr>
                <w:rFonts w:ascii="仿宋_GB2312" w:hAnsi="仿宋_GB2312" w:cs="仿宋_GB2312" w:eastAsia="仿宋_GB2312"/>
                <w:sz w:val="28"/>
              </w:rPr>
              <w:t>分为合格，按照督察结果扣除保洁服务费（</w:t>
            </w:r>
            <w:r>
              <w:rPr>
                <w:rFonts w:ascii="仿宋_GB2312" w:hAnsi="仿宋_GB2312" w:cs="仿宋_GB2312" w:eastAsia="仿宋_GB2312"/>
                <w:sz w:val="28"/>
              </w:rPr>
              <w:t>0.1</w:t>
            </w:r>
            <w:r>
              <w:rPr>
                <w:rFonts w:ascii="仿宋_GB2312" w:hAnsi="仿宋_GB2312" w:cs="仿宋_GB2312" w:eastAsia="仿宋_GB2312"/>
                <w:sz w:val="28"/>
              </w:rPr>
              <w:t>分＝</w:t>
            </w:r>
            <w:r>
              <w:rPr>
                <w:rFonts w:ascii="仿宋_GB2312" w:hAnsi="仿宋_GB2312" w:cs="仿宋_GB2312" w:eastAsia="仿宋_GB2312"/>
                <w:sz w:val="28"/>
              </w:rPr>
              <w:t>10</w:t>
            </w:r>
            <w:r>
              <w:rPr>
                <w:rFonts w:ascii="仿宋_GB2312" w:hAnsi="仿宋_GB2312" w:cs="仿宋_GB2312" w:eastAsia="仿宋_GB2312"/>
                <w:sz w:val="28"/>
              </w:rPr>
              <w:t>元）。</w:t>
            </w:r>
          </w:p>
          <w:p>
            <w:pPr>
              <w:pStyle w:val="null3"/>
              <w:ind w:firstLine="560"/>
              <w:jc w:val="both"/>
            </w:pPr>
            <w:r>
              <w:rPr>
                <w:rFonts w:ascii="仿宋_GB2312" w:hAnsi="仿宋_GB2312" w:cs="仿宋_GB2312" w:eastAsia="仿宋_GB2312"/>
                <w:sz w:val="28"/>
              </w:rPr>
              <w:t>考核分值＜</w:t>
            </w:r>
            <w:r>
              <w:rPr>
                <w:rFonts w:ascii="仿宋_GB2312" w:hAnsi="仿宋_GB2312" w:cs="仿宋_GB2312" w:eastAsia="仿宋_GB2312"/>
                <w:sz w:val="28"/>
              </w:rPr>
              <w:t>80</w:t>
            </w:r>
            <w:r>
              <w:rPr>
                <w:rFonts w:ascii="仿宋_GB2312" w:hAnsi="仿宋_GB2312" w:cs="仿宋_GB2312" w:eastAsia="仿宋_GB2312"/>
                <w:sz w:val="28"/>
              </w:rPr>
              <w:t>分为不合格，按照督察结果双倍扣除保洁服务费（</w:t>
            </w:r>
            <w:r>
              <w:rPr>
                <w:rFonts w:ascii="仿宋_GB2312" w:hAnsi="仿宋_GB2312" w:cs="仿宋_GB2312" w:eastAsia="仿宋_GB2312"/>
                <w:sz w:val="28"/>
              </w:rPr>
              <w:t>0.1</w:t>
            </w:r>
            <w:r>
              <w:rPr>
                <w:rFonts w:ascii="仿宋_GB2312" w:hAnsi="仿宋_GB2312" w:cs="仿宋_GB2312" w:eastAsia="仿宋_GB2312"/>
                <w:sz w:val="28"/>
              </w:rPr>
              <w:t>分＝</w:t>
            </w:r>
            <w:r>
              <w:rPr>
                <w:rFonts w:ascii="仿宋_GB2312" w:hAnsi="仿宋_GB2312" w:cs="仿宋_GB2312" w:eastAsia="仿宋_GB2312"/>
                <w:sz w:val="28"/>
              </w:rPr>
              <w:t>20</w:t>
            </w:r>
            <w:r>
              <w:rPr>
                <w:rFonts w:ascii="仿宋_GB2312" w:hAnsi="仿宋_GB2312" w:cs="仿宋_GB2312" w:eastAsia="仿宋_GB2312"/>
                <w:sz w:val="28"/>
              </w:rPr>
              <w:t>元），同时业主单位向承包方出具书面责令整改通知，承包方必须在</w:t>
            </w:r>
            <w:r>
              <w:rPr>
                <w:rFonts w:ascii="仿宋_GB2312" w:hAnsi="仿宋_GB2312" w:cs="仿宋_GB2312" w:eastAsia="仿宋_GB2312"/>
                <w:sz w:val="28"/>
              </w:rPr>
              <w:t>7</w:t>
            </w:r>
            <w:r>
              <w:rPr>
                <w:rFonts w:ascii="仿宋_GB2312" w:hAnsi="仿宋_GB2312" w:cs="仿宋_GB2312" w:eastAsia="仿宋_GB2312"/>
                <w:sz w:val="28"/>
              </w:rPr>
              <w:t>日内整改完毕，并提供书面整改报告（附整改照片）。</w:t>
            </w:r>
          </w:p>
          <w:p>
            <w:pPr>
              <w:pStyle w:val="null3"/>
              <w:ind w:firstLine="560"/>
              <w:jc w:val="both"/>
            </w:pPr>
            <w:r>
              <w:rPr>
                <w:rFonts w:ascii="仿宋_GB2312" w:hAnsi="仿宋_GB2312" w:cs="仿宋_GB2312" w:eastAsia="仿宋_GB2312"/>
                <w:sz w:val="28"/>
              </w:rPr>
              <w:t>在考核过程中，如连续两月为不合格或一年内累计四次不合格，业主单位有权终止合同。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本项目总共服务期限3年，53万元/年，合同一年一签。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按照采购文件和响应文件的要求以及《财政部关于进一步加强政府采购需求和履约验收管理的指导意见》（财库〔2016〕205号）文件执行验收。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1、第一个月保洁服务工作完成后，达到付款条件起15日内，支付合同总金额的8.00%</w:t>
            </w:r>
          </w:p>
          <w:p>
            <w:pPr>
              <w:pStyle w:val="null3"/>
              <w:jc w:val="left"/>
            </w:pPr>
            <w:r>
              <w:rPr>
                <w:rFonts w:ascii="仿宋_GB2312" w:hAnsi="仿宋_GB2312" w:cs="仿宋_GB2312" w:eastAsia="仿宋_GB2312"/>
              </w:rPr>
              <w:t>2、第二个月保洁服务工作完成后，达到付款条件起15日内，支付合同总金额的8.00%</w:t>
            </w:r>
          </w:p>
          <w:p>
            <w:pPr>
              <w:pStyle w:val="null3"/>
              <w:jc w:val="left"/>
            </w:pPr>
            <w:r>
              <w:rPr>
                <w:rFonts w:ascii="仿宋_GB2312" w:hAnsi="仿宋_GB2312" w:cs="仿宋_GB2312" w:eastAsia="仿宋_GB2312"/>
              </w:rPr>
              <w:t>3、第三个月保洁服务工作完成后，达到付款条件起15日内，支付合同总金额的8.00%</w:t>
            </w:r>
          </w:p>
          <w:p>
            <w:pPr>
              <w:pStyle w:val="null3"/>
              <w:jc w:val="left"/>
            </w:pPr>
            <w:r>
              <w:rPr>
                <w:rFonts w:ascii="仿宋_GB2312" w:hAnsi="仿宋_GB2312" w:cs="仿宋_GB2312" w:eastAsia="仿宋_GB2312"/>
              </w:rPr>
              <w:t>4、第四个月保洁服务工作完成后，达到付款条件起15日内，支付合同总金额的8.00%</w:t>
            </w:r>
          </w:p>
          <w:p>
            <w:pPr>
              <w:pStyle w:val="null3"/>
              <w:jc w:val="left"/>
            </w:pPr>
            <w:r>
              <w:rPr>
                <w:rFonts w:ascii="仿宋_GB2312" w:hAnsi="仿宋_GB2312" w:cs="仿宋_GB2312" w:eastAsia="仿宋_GB2312"/>
              </w:rPr>
              <w:t>5、第五个月保洁服务工作完成后，达到付款条件起15日内，支付合同总金额的8.00%</w:t>
            </w:r>
          </w:p>
          <w:p>
            <w:pPr>
              <w:pStyle w:val="null3"/>
              <w:jc w:val="left"/>
            </w:pPr>
            <w:r>
              <w:rPr>
                <w:rFonts w:ascii="仿宋_GB2312" w:hAnsi="仿宋_GB2312" w:cs="仿宋_GB2312" w:eastAsia="仿宋_GB2312"/>
              </w:rPr>
              <w:t>6、第六个月保洁服务工作完成后，达到付款条件起15日内，支付合同总金额的10.00%</w:t>
            </w:r>
          </w:p>
          <w:p>
            <w:pPr>
              <w:pStyle w:val="null3"/>
              <w:jc w:val="left"/>
            </w:pPr>
            <w:r>
              <w:rPr>
                <w:rFonts w:ascii="仿宋_GB2312" w:hAnsi="仿宋_GB2312" w:cs="仿宋_GB2312" w:eastAsia="仿宋_GB2312"/>
              </w:rPr>
              <w:t>7、第七个月保洁服务工作完成后，达到付款条件起15日内，支付合同总金额的8.00%</w:t>
            </w:r>
          </w:p>
          <w:p>
            <w:pPr>
              <w:pStyle w:val="null3"/>
              <w:jc w:val="left"/>
            </w:pPr>
            <w:r>
              <w:rPr>
                <w:rFonts w:ascii="仿宋_GB2312" w:hAnsi="仿宋_GB2312" w:cs="仿宋_GB2312" w:eastAsia="仿宋_GB2312"/>
              </w:rPr>
              <w:t>8、第八个月保洁服务工作完成后，达到付款条件起15日内，支付合同总金额的8.00%</w:t>
            </w:r>
          </w:p>
          <w:p>
            <w:pPr>
              <w:pStyle w:val="null3"/>
              <w:jc w:val="left"/>
            </w:pPr>
            <w:r>
              <w:rPr>
                <w:rFonts w:ascii="仿宋_GB2312" w:hAnsi="仿宋_GB2312" w:cs="仿宋_GB2312" w:eastAsia="仿宋_GB2312"/>
              </w:rPr>
              <w:t>9、第九个月保洁服务工作完成后，达到付款条件起15日内，支付合同总金额的8.00%</w:t>
            </w:r>
          </w:p>
          <w:p>
            <w:pPr>
              <w:pStyle w:val="null3"/>
              <w:jc w:val="left"/>
            </w:pPr>
            <w:r>
              <w:rPr>
                <w:rFonts w:ascii="仿宋_GB2312" w:hAnsi="仿宋_GB2312" w:cs="仿宋_GB2312" w:eastAsia="仿宋_GB2312"/>
              </w:rPr>
              <w:t>10、第十个月保洁服务工作完成后，达到付款条件起15日内，支付合同总金额的8.00%</w:t>
            </w:r>
          </w:p>
          <w:p>
            <w:pPr>
              <w:pStyle w:val="null3"/>
              <w:jc w:val="left"/>
            </w:pPr>
            <w:r>
              <w:rPr>
                <w:rFonts w:ascii="仿宋_GB2312" w:hAnsi="仿宋_GB2312" w:cs="仿宋_GB2312" w:eastAsia="仿宋_GB2312"/>
              </w:rPr>
              <w:t>11、第十一个月保洁服务工作完成后，达到付款条件起15日内，支付合同总金额的8.00%</w:t>
            </w:r>
          </w:p>
          <w:p>
            <w:pPr>
              <w:pStyle w:val="null3"/>
              <w:jc w:val="left"/>
            </w:pPr>
            <w:r>
              <w:rPr>
                <w:rFonts w:ascii="仿宋_GB2312" w:hAnsi="仿宋_GB2312" w:cs="仿宋_GB2312" w:eastAsia="仿宋_GB2312"/>
              </w:rPr>
              <w:t>12、第十二个月保洁服务工作完成后，达到付款条件起15日内，支付合同总金额的10.00%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违约：1.采购人应遵守本合同并执行合同中的各项规定，保证本合同的正常履行；2.如有延期支付合同款项，或因甲方原因导致变更、中止或终止政府采购合同的，应依照合同约定对乙方受到的损失予以赔偿或补偿。供应商违约：1.供应商必须遵守采购合同并执行合同中的各项规定，保证采购合同的正常履行。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★2、在项目实施期间所发生的一切安全责任事故由供应商自行负责。【供应商须单独提供承诺函，格式自拟】。 ★3、如成交，不可因未了解项目现场情况而放弃成交不履行成交人义务。如因供应商不能正常履约，给采购人造成任何损失的，采购人将保留进一步追诉的权利，并要求成交供应商赔偿由此带来的所有损失；如放弃成交，所产生的后果按照政府采购相关法律法规执行。 4、供应商应为本项目提供项目服务方案、人员配置及履约能力。 5、本项目服务期是三年，53万元/年，合同一年一签。 注：标注“★”的条款为本次磋商文件的实质性要求，供应商须全部满足，不响应或不满足作无效响应处理。本项目相关方案要求不作为实质性要求，仅作为评审因素，供应商应当根据实际情况提供真实、客观的证明材料，具体评审标准详见“评审标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 证、组织机构代码证或三证合一的营业执照”；②若为事业法人：提供“统一社会信用代码法人登记 证书”；未换证的提交“事业法人登记证书、组织机构代码证”；③若为其他组织：提供“对应主管 部门颁发的准许执业证明文件或营业执照”；④若为自然人：提供“身份证明材料”。（以上4项材料供应商根据自身情况任选其一即可，均提供复印件或扫描件并进行电子签章。）</w:t>
            </w:r>
          </w:p>
        </w:tc>
        <w:tc>
          <w:tcPr>
            <w:tcW w:type="dxa" w:w="1661"/>
          </w:tcPr>
          <w:p>
            <w:pPr>
              <w:pStyle w:val="null3"/>
              <w:jc w:val="left"/>
            </w:pPr>
            <w:r>
              <w:rPr>
                <w:rFonts w:ascii="仿宋_GB2312" w:hAnsi="仿宋_GB2312" w:cs="仿宋_GB2312" w:eastAsia="仿宋_GB2312"/>
              </w:rPr>
              <w:t>响应文件封面,供应商认为需要提供的其他资料.docx,投标（响应）函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需要供应商提供证明材料的实质性要求。</w:t>
            </w:r>
          </w:p>
        </w:tc>
        <w:tc>
          <w:tcPr>
            <w:tcW w:type="dxa" w:w="3322"/>
          </w:tcPr>
          <w:p>
            <w:pPr>
              <w:pStyle w:val="null3"/>
              <w:jc w:val="left"/>
            </w:pPr>
            <w:r>
              <w:rPr>
                <w:rFonts w:ascii="仿宋_GB2312" w:hAnsi="仿宋_GB2312" w:cs="仿宋_GB2312" w:eastAsia="仿宋_GB2312"/>
              </w:rPr>
              <w:t>采购文件第三章中明确要求供应商在投标（响应）文件中提供证明材料的实质性要求。供应商在投标（响应）文件中，如有证明材料缺失或供应商提供证明材料不能证明满足要求的，视为未响应采购文件的实质性要求。</w:t>
            </w:r>
          </w:p>
        </w:tc>
        <w:tc>
          <w:tcPr>
            <w:tcW w:type="dxa" w:w="1661"/>
          </w:tcPr>
          <w:p>
            <w:pPr>
              <w:pStyle w:val="null3"/>
              <w:jc w:val="left"/>
            </w:pPr>
            <w:r>
              <w:rPr>
                <w:rFonts w:ascii="仿宋_GB2312" w:hAnsi="仿宋_GB2312" w:cs="仿宋_GB2312" w:eastAsia="仿宋_GB2312"/>
              </w:rPr>
              <w:t>供应商认为需要提供的其他资料.docx,技术、服务要求及其他要求偏离表.docx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需要供应商进行响应的实质性要求。</w:t>
            </w:r>
          </w:p>
        </w:tc>
        <w:tc>
          <w:tcPr>
            <w:tcW w:type="dxa" w:w="3322"/>
          </w:tcPr>
          <w:p>
            <w:pPr>
              <w:pStyle w:val="null3"/>
              <w:jc w:val="left"/>
            </w:pPr>
            <w:r>
              <w:rPr>
                <w:rFonts w:ascii="仿宋_GB2312" w:hAnsi="仿宋_GB2312" w:cs="仿宋_GB2312" w:eastAsia="仿宋_GB2312"/>
              </w:rPr>
              <w:t>采购文件第三章未明确要求供应商在投标（响应）文件中提供证明材料的实质性要求。供应商在投标（响应）文件技术(服务)应答表或商务应答表明确表示不响应或负偏离的，视为未响应采购文件的实质性要求。</w:t>
            </w:r>
          </w:p>
        </w:tc>
        <w:tc>
          <w:tcPr>
            <w:tcW w:type="dxa" w:w="1661"/>
          </w:tcPr>
          <w:p>
            <w:pPr>
              <w:pStyle w:val="null3"/>
              <w:jc w:val="left"/>
            </w:pPr>
            <w:r>
              <w:rPr>
                <w:rFonts w:ascii="仿宋_GB2312" w:hAnsi="仿宋_GB2312" w:cs="仿宋_GB2312" w:eastAsia="仿宋_GB2312"/>
              </w:rPr>
              <w:t>技术、服务要求及其他要求偏离表.docx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不需要供应商进行响应的实质性要求。</w:t>
            </w:r>
          </w:p>
        </w:tc>
        <w:tc>
          <w:tcPr>
            <w:tcW w:type="dxa" w:w="3322"/>
          </w:tcPr>
          <w:p>
            <w:pPr>
              <w:pStyle w:val="null3"/>
              <w:jc w:val="left"/>
            </w:pPr>
            <w:r>
              <w:rPr>
                <w:rFonts w:ascii="仿宋_GB2312" w:hAnsi="仿宋_GB2312" w:cs="仿宋_GB2312" w:eastAsia="仿宋_GB2312"/>
              </w:rPr>
              <w:t>采购文件除第三章外的其他实质性要求。供应商在投标（响应）文件除方案部分外的其他部分，明确违反实质性要求的,视为未响应采购文件的实质性要求。</w:t>
            </w:r>
          </w:p>
        </w:tc>
        <w:tc>
          <w:tcPr>
            <w:tcW w:type="dxa" w:w="1661"/>
          </w:tcPr>
          <w:p>
            <w:pPr>
              <w:pStyle w:val="null3"/>
              <w:jc w:val="left"/>
            </w:pPr>
            <w:r>
              <w:rPr>
                <w:rFonts w:ascii="仿宋_GB2312" w:hAnsi="仿宋_GB2312" w:cs="仿宋_GB2312" w:eastAsia="仿宋_GB2312"/>
              </w:rPr>
              <w:t>供应商认为需要提供的其他资料.docx,报价表,投标（响应）函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响应报价（实质性要求）</w:t>
            </w:r>
          </w:p>
        </w:tc>
        <w:tc>
          <w:tcPr>
            <w:tcW w:type="dxa" w:w="3322"/>
          </w:tcPr>
          <w:p>
            <w:pPr>
              <w:pStyle w:val="null3"/>
              <w:jc w:val="left"/>
            </w:pPr>
            <w:r>
              <w:rPr>
                <w:rFonts w:ascii="仿宋_GB2312" w:hAnsi="仿宋_GB2312" w:cs="仿宋_GB2312" w:eastAsia="仿宋_GB2312"/>
              </w:rPr>
              <w:t>1.响应报价唯一（说明：响应文件报价出现前后不一致的，按照采购文件第5章磋商办法规定予以修正，修正后的报价经供应商通过项目电子化交易系统进行确认，并加盖供应商（法定名称）电子印章，供应商未在规定时间内确认的，其响应无效。磋商小组成员不得未经供应商确认，直接将供应商响应文件作无效处理。） 2.响应报价未超过采购文件规定的采购预算价、最高限价；3.供应商的报价是供应商响应采购项目要求的全部工作内容的价格体现，包括供应商完成本项目所需的一切费用；4.供应商每种货物及服务内容只允许有一个报价，并且在合同履行过程中是固定不变的，任何有选择或可调整的报价将不予接受，并按无效响应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5.4.2.评审细则及标准</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技术服务响应</w:t>
            </w:r>
          </w:p>
        </w:tc>
        <w:tc>
          <w:tcPr>
            <w:tcW w:type="dxa" w:w="2575"/>
          </w:tcPr>
          <w:p>
            <w:pPr>
              <w:pStyle w:val="null3"/>
              <w:jc w:val="left"/>
            </w:pPr>
            <w:r>
              <w:rPr>
                <w:rFonts w:ascii="仿宋_GB2312" w:hAnsi="仿宋_GB2312" w:cs="仿宋_GB2312" w:eastAsia="仿宋_GB2312"/>
              </w:rPr>
              <w:t>完全满足磋商文件“技术参数与性能指标”中“服务内容及要求”非实质性条款的得11分；与磋商文件“技术参数与性能指标”中“服务内容及要求”非实质性条款的有负偏离的得分按以下方式计算： 服务内容及要求得分=（满足非实质性条款项数）÷（非实质性条款项总数）×11。 注：本项所述的条款数量按以下原则计算： ①无子项的条款：以每项条款为1项进行计算； ②有子项的条款：以最末级的子项为1项进行计算。 ③文件中要求提供佐证材料的，需按要求提供，不提供视为不满足；未要求提供佐证材料的，响应满足即可。</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技术、服务要求及其他要求偏离表.docx</w:t>
            </w:r>
          </w:p>
          <w:p>
            <w:pPr>
              <w:pStyle w:val="null3"/>
              <w:jc w:val="left"/>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根据供应商针对本项目采购需求制定的项目实施方案进行综合评分，项目实施方案包含但不限于： ①环卫保洁服务总体策划； ②环卫保洁整体服务方案； ③道路保洁方案； ④日常巡检、质量巡查方案。 注：以上内容： 评审小组根据以上4个要素进行独立评审，供应商根据本项目具体实际情况进行分析及编写方案，方案齐全且满足项目需求得32分，以上内容每缺一项扣8分，以上每项内容每有一处缺陷或不足扣4分（每项内容最多扣8分），扣完为止。 注：以上1-4项： 1）符合项目实际需求及项目情况是指：方案针对每一评分项有合乎项目具体实际的方案描述，包含但不限于上述内容的文字、图片、表格一种或多种形式详细呈现方案内容，方案内容符合行业政策要求、满足本项目要求； 2）内容缺陷是指：内容与实际需求不匹配、不符合项目特点；不满足本项目的功能需求；不符合技术规范及政策要求；引用的规范和标准错误；套用其他项目的数据、名称；专业术语表述错误；服务内容及要求、实施地点与本项目要求不一致；方案内容交叉混乱情形； 3）不足是指：与项目不匹配或与本项目需求无关、描述简单（如仅有框架或标题或一两句话概括）、前后矛盾。</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根据供应商针对本项目采购需求制定的应急方案进行综合评分，应急方案包含但不限于： ①特殊天气应急预案； ②道路清扫突发事件应急预案； ③重大活动、专项迎检保障应急预案； ④突发环卫事件应急预案。 注：以上内容： 评审小组根据以上4个要素进行独立评审，供应商根据本项目具体实际情况进行分析及编写方案，方案齐全且满足项目需求得32分，以上内容每缺一项扣8分，以上每项内容每有一处缺陷或不足扣4分（每项内容最多扣8分），扣完为止。 注：以上1-4项： 1）符合项目实际需求及项目情况是指：方案针对每一评分项有合乎项目具体实际的方案描述，包含但不限于上述内容的文字、图片、表格一种或多种形式详细呈现方案内容，方案内容符合行业政策要求、满足本项目要求； 2）内容缺陷是指：内容与实际需求不匹配、不符合项目特点；不满足本项目的功能需求；不符合技术规范及政策要求；引用的规范和标准错误；套用其他项目的数据、名称；专业术语表述错误；服务内容及要求、实施地点与本项目要求不一致；方案内容交叉混乱情形； 3）不足是指：与项目不匹配或与本项目需求无关、描述简单（如仅有框架或标题或一两句话概括）、前后矛盾。</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供应商需提供2022年1月1日以来（以合同签订时间为准）至递交响应文件截止日止具有1个类似本项目业绩的得5分，最多得15分。 注：提供合同扫描件并加盖供应商电子印章，时间以合同签订时间为准。 类似业绩是指保洁服务类。</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以满足磋商文件要求且最后报价最低的供应商价格为磋商基准价，其价格分为满分。其他供应商的价格分按照下列公式计算：磋商报价得分=(磋商基准价／最后磋商报价)×10%×100。（保留小数点后两位数）</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详见附件：供应商认为需要提供的其他资料.docx</w:t>
      </w:r>
    </w:p>
    <w:p>
      <w:pPr>
        <w:pStyle w:val="null3"/>
        <w:ind w:firstLine="960"/>
        <w:jc w:val="left"/>
      </w:pPr>
      <w:r>
        <w:rPr>
          <w:rFonts w:ascii="仿宋_GB2312" w:hAnsi="仿宋_GB2312" w:cs="仿宋_GB2312" w:eastAsia="仿宋_GB2312"/>
        </w:rPr>
        <w:t>详见附件：技术、服务要求及其他要求偏离表.docx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