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版本号：N511101202600010220260423002</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嘉州优秀传统文化保护、传承与利用项目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N5111012026000102</w:t>
      </w:r>
    </w:p>
    <w:p>
      <w:pPr>
        <w:pStyle w:val="null3"/>
        <w:jc w:val="left"/>
        <w:outlineLvl w:val="2"/>
      </w:pPr>
      <w:r>
        <w:rPr>
          <w:rFonts w:ascii="仿宋_GB2312" w:hAnsi="仿宋_GB2312" w:cs="仿宋_GB2312" w:eastAsia="仿宋_GB2312"/>
          <w:sz w:val="28"/>
          <w:b/>
        </w:rPr>
        <w:t>乐山市文化广播电视和旅游局</w:t>
      </w:r>
    </w:p>
    <w:p>
      <w:pPr>
        <w:pStyle w:val="null3"/>
        <w:jc w:val="center"/>
        <w:outlineLvl w:val="2"/>
      </w:pPr>
      <w:r>
        <w:rPr>
          <w:rFonts w:ascii="仿宋_GB2312" w:hAnsi="仿宋_GB2312" w:cs="仿宋_GB2312" w:eastAsia="仿宋_GB2312"/>
          <w:sz w:val="28"/>
          <w:b/>
        </w:rPr>
        <w:t>四川兴众和招标代理有限公司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四川兴众和招标代理有限公司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乐山市文化广播电视和旅游局</w:t>
      </w:r>
      <w:r>
        <w:rPr>
          <w:rFonts w:ascii="仿宋_GB2312" w:hAnsi="仿宋_GB2312" w:cs="仿宋_GB2312" w:eastAsia="仿宋_GB2312"/>
        </w:rPr>
        <w:t xml:space="preserve"> 委托，拟对 </w:t>
      </w:r>
      <w:r>
        <w:rPr>
          <w:rFonts w:ascii="仿宋_GB2312" w:hAnsi="仿宋_GB2312" w:cs="仿宋_GB2312" w:eastAsia="仿宋_GB2312"/>
        </w:rPr>
        <w:t>嘉州优秀传统文化保护、传承与利用项目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乐山市市本级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N5111012026000102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嘉州优秀传统文化保护、传承与利用项目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2026年嘉州优秀传统文化保护传承与利用项目”主要内容为聚合全市人文社科领域优秀人才，深入挖掘整理和传承弘扬乐山地方文化，促进优秀传统文化创造性转化和创新型发展，推动文化强市建设。项目预算经费50万元，主要用于举办公益讲座或培训活动、编辑出版学术刊物及文化专著、开展传统文化体验活动和游学研习活动等。</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乐山市文化广播电视和旅游局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乐山市市中区柏杨东路270号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0833-2272517</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四川兴众和招标代理有限公司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乐山市市中区百禄路193号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廖老师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0833-2307388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采购包1：500,000.00元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代理服务费收费标准：本项目收取代理服务费7000元</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乐山市文化广播电视和旅游局</w:t>
      </w:r>
      <w:r>
        <w:rPr>
          <w:rFonts w:ascii="仿宋_GB2312" w:hAnsi="仿宋_GB2312" w:cs="仿宋_GB2312" w:eastAsia="仿宋_GB2312"/>
        </w:rPr>
        <w:t xml:space="preserve"> 和 </w:t>
      </w:r>
      <w:r>
        <w:rPr>
          <w:rFonts w:ascii="仿宋_GB2312" w:hAnsi="仿宋_GB2312" w:cs="仿宋_GB2312" w:eastAsia="仿宋_GB2312"/>
        </w:rPr>
        <w:t>四川兴众和招标代理有限公司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乐山市文化广播电视和旅游局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四川兴众和招标代理有限公司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项目实施完成</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以合同约定为准</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详见采购文件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按照《乐山市政府采购项目需求论证和履约验收管理实施细则》的要求，采购文件技术参数、响应文件响应内容和行业相关标准验收。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乐山市文化广播电视和旅游局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四川兴众和招标代理有限公司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四川兴众和招标代理有限公司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联系人：周老师</w:t>
      </w:r>
    </w:p>
    <w:p>
      <w:pPr>
        <w:pStyle w:val="null3"/>
        <w:jc w:val="left"/>
      </w:pPr>
      <w:r>
        <w:rPr>
          <w:rFonts w:ascii="仿宋_GB2312" w:hAnsi="仿宋_GB2312" w:cs="仿宋_GB2312" w:eastAsia="仿宋_GB2312"/>
        </w:rPr>
        <w:t>联系电话：0833-2272517</w:t>
      </w:r>
    </w:p>
    <w:p>
      <w:pPr>
        <w:pStyle w:val="null3"/>
        <w:jc w:val="left"/>
      </w:pPr>
      <w:r>
        <w:rPr>
          <w:rFonts w:ascii="仿宋_GB2312" w:hAnsi="仿宋_GB2312" w:cs="仿宋_GB2312" w:eastAsia="仿宋_GB2312"/>
        </w:rPr>
        <w:t>地址：乐山市市中区柏杨东路270号</w:t>
      </w:r>
    </w:p>
    <w:p>
      <w:pPr>
        <w:pStyle w:val="null3"/>
        <w:jc w:val="left"/>
      </w:pPr>
      <w:r>
        <w:rPr>
          <w:rFonts w:ascii="仿宋_GB2312" w:hAnsi="仿宋_GB2312" w:cs="仿宋_GB2312" w:eastAsia="仿宋_GB2312"/>
        </w:rPr>
        <w:t>邮编：614000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联系人：廖老师</w:t>
      </w:r>
    </w:p>
    <w:p>
      <w:pPr>
        <w:pStyle w:val="null3"/>
        <w:jc w:val="left"/>
      </w:pPr>
      <w:r>
        <w:rPr>
          <w:rFonts w:ascii="仿宋_GB2312" w:hAnsi="仿宋_GB2312" w:cs="仿宋_GB2312" w:eastAsia="仿宋_GB2312"/>
        </w:rPr>
        <w:t>联系电话：0833-2307388</w:t>
      </w:r>
    </w:p>
    <w:p>
      <w:pPr>
        <w:pStyle w:val="null3"/>
        <w:jc w:val="left"/>
      </w:pPr>
      <w:r>
        <w:rPr>
          <w:rFonts w:ascii="仿宋_GB2312" w:hAnsi="仿宋_GB2312" w:cs="仿宋_GB2312" w:eastAsia="仿宋_GB2312"/>
        </w:rPr>
        <w:t>地址：乐山市市中区百禄路193号</w:t>
      </w:r>
    </w:p>
    <w:p>
      <w:pPr>
        <w:pStyle w:val="null3"/>
        <w:jc w:val="left"/>
      </w:pPr>
      <w:r>
        <w:rPr>
          <w:rFonts w:ascii="仿宋_GB2312" w:hAnsi="仿宋_GB2312" w:cs="仿宋_GB2312" w:eastAsia="仿宋_GB2312"/>
        </w:rPr>
        <w:t>邮编：614000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500,000.00</w:t>
      </w:r>
    </w:p>
    <w:p>
      <w:pPr>
        <w:pStyle w:val="null3"/>
        <w:jc w:val="left"/>
      </w:pPr>
      <w:r>
        <w:rPr>
          <w:rFonts w:ascii="仿宋_GB2312" w:hAnsi="仿宋_GB2312" w:cs="仿宋_GB2312" w:eastAsia="仿宋_GB2312"/>
        </w:rPr>
        <w:t>采购包最高限价（元）: 500,000.00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2026年嘉州优秀传统文化保护传承与利用项目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2026年嘉州优秀传统文化保护传承与利用项目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标的名称：2026年嘉州优秀传统文化保护传承与利用项目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w:t>
            </w:r>
          </w:p>
        </w:tc>
        <w:tc>
          <w:tcPr>
            <w:tcW w:type="dxa" w:w="5814"/>
          </w:tcPr>
          <w:p>
            <w:pPr>
              <w:pStyle w:val="null3"/>
              <w:jc w:val="left"/>
            </w:pPr>
            <w:r>
              <w:rPr>
                <w:rFonts w:ascii="仿宋_GB2312" w:hAnsi="仿宋_GB2312" w:cs="仿宋_GB2312" w:eastAsia="仿宋_GB2312"/>
              </w:rPr>
              <w:t>/</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798"/>
              <w:gridCol w:w="4800"/>
            </w:tblGrid>
            <w:tr>
              <w:tc>
                <w:tcPr>
                  <w:tcW w:type="dxa" w:w="7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w:t>
                  </w:r>
                  <w:r>
                    <w:rPr>
                      <w:rFonts w:ascii="仿宋_GB2312" w:hAnsi="仿宋_GB2312" w:cs="仿宋_GB2312" w:eastAsia="仿宋_GB2312"/>
                      <w:sz w:val="24"/>
                      <w:b/>
                    </w:rPr>
                    <w:t xml:space="preserve">  </w:t>
                  </w:r>
                  <w:r>
                    <w:rPr>
                      <w:rFonts w:ascii="仿宋_GB2312" w:hAnsi="仿宋_GB2312" w:cs="仿宋_GB2312" w:eastAsia="仿宋_GB2312"/>
                      <w:sz w:val="24"/>
                      <w:b/>
                    </w:rPr>
                    <w:t>称</w:t>
                  </w:r>
                </w:p>
              </w:tc>
              <w:tc>
                <w:tcPr>
                  <w:tcW w:type="dxa" w:w="4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实施内容</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举办公益讲座或培训活动</w:t>
                  </w:r>
                  <w:r>
                    <w:rPr>
                      <w:rFonts w:ascii="仿宋_GB2312" w:hAnsi="仿宋_GB2312" w:cs="仿宋_GB2312" w:eastAsia="仿宋_GB2312"/>
                      <w:sz w:val="24"/>
                      <w:color w:val="000000"/>
                    </w:rPr>
                    <w:t>12场</w:t>
                  </w:r>
                </w:p>
              </w:tc>
              <w:tc>
                <w:tcPr>
                  <w:tcW w:type="dxa" w:w="4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全年共开展公益讲座或培训</w:t>
                  </w:r>
                  <w:r>
                    <w:rPr>
                      <w:rFonts w:ascii="仿宋_GB2312" w:hAnsi="仿宋_GB2312" w:cs="仿宋_GB2312" w:eastAsia="仿宋_GB2312"/>
                      <w:sz w:val="24"/>
                      <w:color w:val="000000"/>
                    </w:rPr>
                    <w:t>12场，每场邀请1名省内外文化名家或乐山本土专家主讲，时长90-120分钟，讲座人数不少于50人/场，培训人数不少于20人/场，内容以传承弘扬中华优秀传统文化和乐山本土文化为主，涵盖国学文化、乐山地方文化、文艺创作等，面向市民免费开放。</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编辑出版学术期刊</w:t>
                  </w:r>
                  <w:r>
                    <w:rPr>
                      <w:rFonts w:ascii="仿宋_GB2312" w:hAnsi="仿宋_GB2312" w:cs="仿宋_GB2312" w:eastAsia="仿宋_GB2312"/>
                      <w:sz w:val="24"/>
                      <w:color w:val="000000"/>
                    </w:rPr>
                    <w:t>4期</w:t>
                  </w:r>
                </w:p>
              </w:tc>
              <w:tc>
                <w:tcPr>
                  <w:tcW w:type="dxa" w:w="4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每季度编发一期学术刊物，作为乐山地方文化挖掘整理和成果展示的主要载体，内容涵盖郭沫若研究、地方文史研究、历史人物、文艺评论等，全年共编发</w:t>
                  </w:r>
                  <w:r>
                    <w:rPr>
                      <w:rFonts w:ascii="仿宋_GB2312" w:hAnsi="仿宋_GB2312" w:cs="仿宋_GB2312" w:eastAsia="仿宋_GB2312"/>
                      <w:sz w:val="24"/>
                      <w:color w:val="000000"/>
                    </w:rPr>
                    <w:t>4期。每期字数约13万字，印刷500册，免费赠阅给全市各机关事业单位及文学艺术爱好者。期刊文章同步在网站、微信等网络平台上进行连续刊载。</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编辑出版文化专著</w:t>
                  </w:r>
                  <w:r>
                    <w:rPr>
                      <w:rFonts w:ascii="仿宋_GB2312" w:hAnsi="仿宋_GB2312" w:cs="仿宋_GB2312" w:eastAsia="仿宋_GB2312"/>
                      <w:sz w:val="24"/>
                      <w:color w:val="000000"/>
                    </w:rPr>
                    <w:t>1部</w:t>
                  </w:r>
                </w:p>
              </w:tc>
              <w:tc>
                <w:tcPr>
                  <w:tcW w:type="dxa" w:w="4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围绕嘉州优秀地方历史文化选题，组织乐山本土文化学者开展系统性挖掘整理和研究创作，形成文化研究专著</w:t>
                  </w:r>
                  <w:r>
                    <w:rPr>
                      <w:rFonts w:ascii="仿宋_GB2312" w:hAnsi="仿宋_GB2312" w:cs="仿宋_GB2312" w:eastAsia="仿宋_GB2312"/>
                      <w:sz w:val="24"/>
                      <w:color w:val="000000"/>
                    </w:rPr>
                    <w:t>1部，约25万字/本，印刷1000册。</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开展传统文化体验活动</w:t>
                  </w:r>
                  <w:r>
                    <w:rPr>
                      <w:rFonts w:ascii="仿宋_GB2312" w:hAnsi="仿宋_GB2312" w:cs="仿宋_GB2312" w:eastAsia="仿宋_GB2312"/>
                      <w:sz w:val="24"/>
                      <w:color w:val="000000"/>
                    </w:rPr>
                    <w:t>8场。</w:t>
                  </w:r>
                </w:p>
              </w:tc>
              <w:tc>
                <w:tcPr>
                  <w:tcW w:type="dxa" w:w="4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开展传统文化体验活动</w:t>
                  </w:r>
                  <w:r>
                    <w:rPr>
                      <w:rFonts w:ascii="仿宋_GB2312" w:hAnsi="仿宋_GB2312" w:cs="仿宋_GB2312" w:eastAsia="仿宋_GB2312"/>
                      <w:sz w:val="24"/>
                      <w:color w:val="000000"/>
                    </w:rPr>
                    <w:t>8场，每场人数不少于20人，时间120分钟，内容涵盖祭祀仪式、民俗文化、茶道文化、香道文化、插花文化、非遗文化等，通过沉浸式体验传统文化及艺术创作过程，使参加人员感知中华优秀传统文化的魅力。</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开展游学研习活动</w:t>
                  </w:r>
                  <w:r>
                    <w:rPr>
                      <w:rFonts w:ascii="仿宋_GB2312" w:hAnsi="仿宋_GB2312" w:cs="仿宋_GB2312" w:eastAsia="仿宋_GB2312"/>
                      <w:sz w:val="24"/>
                      <w:color w:val="000000"/>
                    </w:rPr>
                    <w:t>4场</w:t>
                  </w:r>
                </w:p>
              </w:tc>
              <w:tc>
                <w:tcPr>
                  <w:tcW w:type="dxa" w:w="4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每场人数不少于</w:t>
                  </w:r>
                  <w:r>
                    <w:rPr>
                      <w:rFonts w:ascii="仿宋_GB2312" w:hAnsi="仿宋_GB2312" w:cs="仿宋_GB2312" w:eastAsia="仿宋_GB2312"/>
                      <w:sz w:val="24"/>
                      <w:color w:val="000000"/>
                    </w:rPr>
                    <w:t>20人，邀请地方文史专家带队，与文史研究爱好者深入龙神祠、乌尤寺、犍为文庙、夹江千佛岩等乐山文化遗迹开展实地探访、游学研习并现场指导交流，使参加人员深入了解乐山优秀地方文化。</w:t>
                  </w:r>
                </w:p>
              </w:tc>
            </w:tr>
          </w:tbl>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1年</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乐山市内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按照《乐山市政府采购项目需求论证和履约验收管理实施细则》的要求，采购文件技术参数、响应文件响应内容和行业相关标准验收。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1、签订合同后，达到付款条件起30日内，支付合同总金额的30.00%</w:t>
            </w:r>
          </w:p>
          <w:p>
            <w:pPr>
              <w:pStyle w:val="null3"/>
              <w:jc w:val="left"/>
            </w:pPr>
            <w:r>
              <w:rPr>
                <w:rFonts w:ascii="仿宋_GB2312" w:hAnsi="仿宋_GB2312" w:cs="仿宋_GB2312" w:eastAsia="仿宋_GB2312"/>
              </w:rPr>
              <w:t>2、项目实施完成并通过验收后，达到付款条件起30日内，支付合同总金额的70.00%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以合同约定为准</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供应商所提供的服务价格是包干价，包括项目服务内容实施的各项费用（包括不限于名家或专家讲课费、场地租赁费、编辑印刷出版费、资料购置费、耗材购置费、文化体验及游学研习活动相关费用等）、人员工资、人员培训、税费、保险和其它费用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color w:val="000000"/>
        </w:rPr>
        <w:t>本章中除标注</w:t>
      </w:r>
      <w:r>
        <w:rPr>
          <w:rFonts w:ascii="仿宋_GB2312" w:hAnsi="仿宋_GB2312" w:cs="仿宋_GB2312" w:eastAsia="仿宋_GB2312"/>
          <w:sz w:val="21"/>
          <w:color w:val="000000"/>
        </w:rPr>
        <w:t>“★”的实质性要求以外的内容，根据采购人项目实际需求可进行磋商。</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21"/>
          <w:color w:val="000000"/>
        </w:rPr>
        <w:t>采购文件中除标注</w:t>
      </w:r>
      <w:r>
        <w:rPr>
          <w:rFonts w:ascii="仿宋_GB2312" w:hAnsi="仿宋_GB2312" w:cs="仿宋_GB2312" w:eastAsia="仿宋_GB2312"/>
          <w:sz w:val="21"/>
          <w:color w:val="000000"/>
        </w:rPr>
        <w:t>“★”的实质性要求以外的内容，根据采购人项目实际需求可进行磋商。</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服务要求响应</w:t>
            </w:r>
          </w:p>
        </w:tc>
        <w:tc>
          <w:tcPr>
            <w:tcW w:type="dxa" w:w="3322"/>
          </w:tcPr>
          <w:p>
            <w:pPr>
              <w:pStyle w:val="null3"/>
              <w:jc w:val="left"/>
            </w:pPr>
            <w:r>
              <w:rPr>
                <w:rFonts w:ascii="仿宋_GB2312" w:hAnsi="仿宋_GB2312" w:cs="仿宋_GB2312" w:eastAsia="仿宋_GB2312"/>
              </w:rPr>
              <w:t>供应商须按照磋商文件第三章“3.3.1服务内容要求”对应的全部内容逐条进行响应。标注或提示有“实质性要求"的条款，属于磋商不可变条款，不满足的，符合性审查不通过，作无效处理。响应文件及相关的证明材料须加盖供应商电子印章 。</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商务要求应答</w:t>
            </w:r>
          </w:p>
        </w:tc>
        <w:tc>
          <w:tcPr>
            <w:tcW w:type="dxa" w:w="3322"/>
          </w:tcPr>
          <w:p>
            <w:pPr>
              <w:pStyle w:val="null3"/>
              <w:jc w:val="left"/>
            </w:pPr>
            <w:r>
              <w:rPr>
                <w:rFonts w:ascii="仿宋_GB2312" w:hAnsi="仿宋_GB2312" w:cs="仿宋_GB2312" w:eastAsia="仿宋_GB2312"/>
              </w:rPr>
              <w:t>供应商须按照磋商文件第三章“3.3.2商务要求 、“3.4其他要求"对应的全部内容逐条进行响应 。标注或提示有“实质性要求“的条款，属于磋商不可变条款，不满足的，符合性审查不通过 ，作无效处理。响应文件及相关的证明材料须 加盖供应商电子印章。</w:t>
            </w:r>
          </w:p>
        </w:tc>
        <w:tc>
          <w:tcPr>
            <w:tcW w:type="dxa" w:w="1661"/>
          </w:tcPr>
          <w:p>
            <w:pPr>
              <w:pStyle w:val="null3"/>
              <w:jc w:val="left"/>
            </w:pPr>
            <w:r>
              <w:rPr>
                <w:rFonts w:ascii="仿宋_GB2312" w:hAnsi="仿宋_GB2312" w:cs="仿宋_GB2312" w:eastAsia="仿宋_GB2312"/>
              </w:rPr>
              <w:t>商务应答表.docx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专家资源</w:t>
            </w:r>
          </w:p>
        </w:tc>
        <w:tc>
          <w:tcPr>
            <w:tcW w:type="dxa" w:w="2575"/>
          </w:tcPr>
          <w:p>
            <w:pPr>
              <w:pStyle w:val="null3"/>
              <w:jc w:val="left"/>
            </w:pPr>
            <w:r>
              <w:rPr>
                <w:rFonts w:ascii="仿宋_GB2312" w:hAnsi="仿宋_GB2312" w:cs="仿宋_GB2312" w:eastAsia="仿宋_GB2312"/>
              </w:rPr>
              <w:t>有固定签约或聘用的能够服务本项目的专家资源。 1.供应商每具有1名研究郭沫若文化的专家得1分，最多得10分。本项所指专家须为中国郭沫若研究会或四川省郭沫若研究会会员，须同时提供以下材料：①专家名单、身份证、联系方式及简介、②经民政部门批准的社会团体出具的任命文件复印件或其他能证明该专家是相关研究会或者协会会员的证明材料、③有效的人员签约委托文书或聘用证书证明材料。 2.供应商每具有1名研究乐山历史文化的专家得1分，最多得10分。本项所指专家须独立发表乐山地方文化研究文章4篇共1.2万字以上或专著1部以上，须同时提供以下材料：①专家名单、身份证、联系方式及简介、②经民政部门批准的社会团体出具的任命文件复印件或其他能证明该专家是相关协会会员的证明材料、③有效的人员签约委托文书或聘用证书证明材料、④专家研究成果证明资料。 3.供应商每具有1名研究文学艺术的专家得1分，最多得10分。本项所指专家须为地市级以上作家协会会员或书法家协会会员或美术家协会会员或乐山沫若书院研究员或嘉州画院画师，须同时提供以下材料：①专家名单、身份证、联系方式及简介、②经民政部门批准的社会团体出具的任命文件复印件或其他能证明该专家是相关协会会员的证明材料、③有效的人员签约委托文书或聘用证书证明材料。 注：以上三类人员如果符合以上要求可同时分别得分，本项最多得30分，未提供或者未按照要求提供的得0分。</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针对本项目提供的实施方案内容进行综合评审，内容包括但不限于：1.项目总体目标；2.地方文化公益讲座或培训实施方案；3.地方文化研究刊物编印方案；4.地方文化专著编印方案；5.传统文化体验活动实施方案；6.游学研习活动实施方案；7.项目进度保障措施；8.项目宣传推广思路9.项目应急处理措施等。前述各项内容完整详细得45分，每缺一项内容扣5分，如供应商提供的某项内容存在缺陷，每有一处缺陷扣2.5分，扣完为止。 注：（缺陷是指：项目名称、实施地点、实施要求等描述错误，涉及的规范、标准错误，存在不适用项目实际情况的情形，内容前后不一致、前后逻辑错误等情形。）</w:t>
            </w:r>
          </w:p>
        </w:tc>
        <w:tc>
          <w:tcPr>
            <w:tcW w:type="dxa" w:w="831"/>
          </w:tcPr>
          <w:p>
            <w:pPr>
              <w:pStyle w:val="null3"/>
              <w:jc w:val="center"/>
            </w:pPr>
            <w:r>
              <w:rPr>
                <w:rFonts w:ascii="仿宋_GB2312" w:hAnsi="仿宋_GB2312" w:cs="仿宋_GB2312" w:eastAsia="仿宋_GB2312"/>
              </w:rPr>
              <w:t>45.0000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举办地方文化公益讲座</w:t>
            </w:r>
          </w:p>
        </w:tc>
        <w:tc>
          <w:tcPr>
            <w:tcW w:type="dxa" w:w="2575"/>
          </w:tcPr>
          <w:p>
            <w:pPr>
              <w:pStyle w:val="null3"/>
              <w:jc w:val="left"/>
            </w:pPr>
            <w:r>
              <w:rPr>
                <w:rFonts w:ascii="仿宋_GB2312" w:hAnsi="仿宋_GB2312" w:cs="仿宋_GB2312" w:eastAsia="仿宋_GB2312"/>
              </w:rPr>
              <w:t>全年开展地方文化公益讲座或培训活动至少12场。在此基础上，每增加1场得1分，本项最多得5分。不增加不得分。（以供应商提供的承诺函为准）</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供应商2022年1月1日（以合同签订日期为准）以来每具有一个类似项目业绩的得4分，每增加1个业绩加3分，本项最多得10分，无业绩或者不符合要求的不得分。 注：提供完整合同或中标（成交）通知书复印件并加盖公章。</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供应商认为需要提供的其他证明材料.docx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详见附件：供应商认为需要提供的其他证明材料.docx</w:t>
      </w:r>
    </w:p>
    <w:p>
      <w:pPr>
        <w:pStyle w:val="null3"/>
        <w:ind w:firstLine="960"/>
        <w:jc w:val="left"/>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