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版本号：N513225202600001320260415001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九寨沟县2025年度国土变更调查技术服务项目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N5132252026000013</w:t>
      </w:r>
    </w:p>
    <w:p>
      <w:pPr>
        <w:pStyle w:val="null3"/>
        <w:jc w:val="center"/>
        <w:outlineLvl w:val="2"/>
      </w:pPr>
      <w:r>
        <w:rPr>
          <w:rFonts w:ascii="仿宋_GB2312" w:hAnsi="仿宋_GB2312" w:cs="仿宋_GB2312" w:eastAsia="仿宋_GB2312"/>
          <w:sz w:val="28"/>
          <w:b/>
        </w:rPr>
        <w:t>九寨沟县自然资源局</w:t>
      </w:r>
    </w:p>
    <w:p>
      <w:pPr>
        <w:pStyle w:val="null3"/>
        <w:jc w:val="center"/>
        <w:outlineLvl w:val="2"/>
      </w:pPr>
      <w:r>
        <w:rPr>
          <w:rFonts w:ascii="仿宋_GB2312" w:hAnsi="仿宋_GB2312" w:cs="仿宋_GB2312" w:eastAsia="仿宋_GB2312"/>
          <w:sz w:val="28"/>
          <w:b/>
        </w:rPr>
        <w:t>重庆大正建设工程经济技术有限公司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（以下简称“代理机构”）受 </w:t>
      </w:r>
      <w:r>
        <w:rPr>
          <w:rFonts w:ascii="仿宋_GB2312" w:hAnsi="仿宋_GB2312" w:cs="仿宋_GB2312" w:eastAsia="仿宋_GB2312"/>
        </w:rPr>
        <w:t>九寨沟县自然资源局</w:t>
      </w:r>
      <w:r>
        <w:rPr>
          <w:rFonts w:ascii="仿宋_GB2312" w:hAnsi="仿宋_GB2312" w:cs="仿宋_GB2312" w:eastAsia="仿宋_GB2312"/>
        </w:rPr>
        <w:t xml:space="preserve"> 委托，拟对 </w:t>
      </w:r>
      <w:r>
        <w:rPr>
          <w:rFonts w:ascii="仿宋_GB2312" w:hAnsi="仿宋_GB2312" w:cs="仿宋_GB2312" w:eastAsia="仿宋_GB2312"/>
        </w:rPr>
        <w:t>九寨沟县2025年度国土变更调查技术服务项目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阿坝藏族羌族自治州九寨沟县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N5132252026000013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九寨沟县2025年度国土变更调查技术服务项目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根据相关文件要求，结合本县实际，开展九寨沟县年度自然资源综合动态监测和日常变更调查工作。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测绘地理信息行政主管部门颁发的乙级或以上测绘资质，专业范围须包括“地理信息系统工程”。（描述：供应商须具有测绘地理信息行政主管部门颁发的乙级或以上测绘资质，专业范围须包括“地理信息系统工程”。供应商需在使用投标(响应)客户端编制响应文件时，按要求上传相应资质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九寨沟县自然资源局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四川省阿坝州九寨沟县永乐镇政府路4号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623499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0837-7732022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重庆大正建设工程经济技术有限公司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重庆大正建设工程经济技术有限公司（成都市金牛区蜀西路88号6号门7楼）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028-86669985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代理服务费收费标准：以成交金额为基数，参照《招标代理服务收费管理暂行办法》（计价格〔2002〕1980号）文件规定，按照成本加合理利润的方式计取。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九寨沟县自然资源局</w:t>
      </w:r>
      <w:r>
        <w:rPr>
          <w:rFonts w:ascii="仿宋_GB2312" w:hAnsi="仿宋_GB2312" w:cs="仿宋_GB2312" w:eastAsia="仿宋_GB2312"/>
        </w:rPr>
        <w:t xml:space="preserve"> 和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九寨沟县自然资源局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在成交供应商完成服务并提交验收申请后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及承诺与本合同约定标准进行验收；双方如对质量要求和技术指标的约定标准有相互抵触或异议的事项，由采购人在采购文件和响应文件中按质量要求和技术指标比较优胜的原则确定该项的约定标准进行验收。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按照本项目磋商文件中“商务要求”及成交供应商的响应文件；严格按照《财政部关于进一步加强政府采购需求和履约验收管理的指导意见》（财库〔2016〕205号）等政府采购相关法律法规的要求进行验收。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按照《政府采购需求管理办法》（财库〔2021〕22号）、《财政部关于进一步加强政府采购需求和履约验收管理的指导意见》（财库〔2016〕205号）等政府采购相关法律法规执行，验收内容包含采购文件中的所有技术和商务要求的履约情况，由采购人组织，供应商配合进行，如质量验收合格，双方签署验收报告；验收结果不合格的，采购人不予支付采购资金，还可能会报告本项目同级财政部门按照政府采购法律法规等有关规定给予行政处罚或者以失信行为记入诚信档案。 （2）验收标准：按国家有关规定以及采购文件的质量要求和技术指标、供应商的响应文件及承诺与本合同约定标准进行验收；双方如对质量要求和技术指标的约定标准有相互抵触或异议的事项，由采购人在采购文件和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九寨沟县自然资源局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重庆大正建设工程经济技术有限公司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联系人：丁老师</w:t>
      </w:r>
    </w:p>
    <w:p>
      <w:pPr>
        <w:pStyle w:val="null3"/>
        <w:jc w:val="left"/>
      </w:pPr>
      <w:r>
        <w:rPr>
          <w:rFonts w:ascii="仿宋_GB2312" w:hAnsi="仿宋_GB2312" w:cs="仿宋_GB2312" w:eastAsia="仿宋_GB2312"/>
        </w:rPr>
        <w:t>联系电话：0837-7732022</w:t>
      </w:r>
    </w:p>
    <w:p>
      <w:pPr>
        <w:pStyle w:val="null3"/>
        <w:jc w:val="left"/>
      </w:pPr>
      <w:r>
        <w:rPr>
          <w:rFonts w:ascii="仿宋_GB2312" w:hAnsi="仿宋_GB2312" w:cs="仿宋_GB2312" w:eastAsia="仿宋_GB2312"/>
        </w:rPr>
        <w:t>地址：四川省阿坝州九寨沟县永乐镇政府路4号</w:t>
      </w:r>
    </w:p>
    <w:p>
      <w:pPr>
        <w:pStyle w:val="null3"/>
        <w:jc w:val="left"/>
      </w:pPr>
      <w:r>
        <w:rPr>
          <w:rFonts w:ascii="仿宋_GB2312" w:hAnsi="仿宋_GB2312" w:cs="仿宋_GB2312" w:eastAsia="仿宋_GB2312"/>
        </w:rPr>
        <w:t>邮编：623499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联系人：唐先生</w:t>
      </w:r>
    </w:p>
    <w:p>
      <w:pPr>
        <w:pStyle w:val="null3"/>
        <w:jc w:val="left"/>
      </w:pPr>
      <w:r>
        <w:rPr>
          <w:rFonts w:ascii="仿宋_GB2312" w:hAnsi="仿宋_GB2312" w:cs="仿宋_GB2312" w:eastAsia="仿宋_GB2312"/>
        </w:rPr>
        <w:t>联系电话：028-86669985</w:t>
      </w:r>
    </w:p>
    <w:p>
      <w:pPr>
        <w:pStyle w:val="null3"/>
        <w:jc w:val="left"/>
      </w:pPr>
      <w:r>
        <w:rPr>
          <w:rFonts w:ascii="仿宋_GB2312" w:hAnsi="仿宋_GB2312" w:cs="仿宋_GB2312" w:eastAsia="仿宋_GB2312"/>
        </w:rPr>
        <w:t>地址：成都市金牛区蜀西路88号熙悦时代中心四期（红星美凯龙)6号门7楼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九寨沟县2025年度国土变更调查技术服务项目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九寨沟县2025年度国土变更调查技术服务项目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标的名称：九寨沟县2025年度国土变更调查技术服务项目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技术服务、其他要求</w:t>
            </w:r>
          </w:p>
        </w:tc>
        <w:tc>
          <w:tcPr>
            <w:tcW w:type="dxa" w:w="5814"/>
          </w:tcPr>
          <w:p>
            <w:pPr>
              <w:pStyle w:val="null3"/>
              <w:ind w:firstLine="632"/>
              <w:jc w:val="both"/>
            </w:pPr>
            <w:r>
              <w:rPr>
                <w:rFonts w:ascii="仿宋_GB2312" w:hAnsi="仿宋_GB2312" w:cs="仿宋_GB2312" w:eastAsia="仿宋_GB2312"/>
                <w:sz w:val="32"/>
                <w:b/>
              </w:rPr>
              <w:t>一、</w:t>
            </w:r>
            <w:r>
              <w:rPr>
                <w:rFonts w:ascii="仿宋_GB2312" w:hAnsi="仿宋_GB2312" w:cs="仿宋_GB2312" w:eastAsia="仿宋_GB2312"/>
                <w:sz w:val="32"/>
                <w:b/>
              </w:rPr>
              <w:t>年度变更调查</w:t>
            </w:r>
          </w:p>
          <w:p>
            <w:pPr>
              <w:pStyle w:val="null3"/>
              <w:ind w:firstLine="632"/>
              <w:jc w:val="both"/>
            </w:pPr>
            <w:r>
              <w:rPr>
                <w:rFonts w:ascii="仿宋_GB2312" w:hAnsi="仿宋_GB2312" w:cs="仿宋_GB2312" w:eastAsia="仿宋_GB2312"/>
                <w:sz w:val="32"/>
                <w:b/>
              </w:rPr>
              <w:t>1、</w:t>
            </w:r>
            <w:r>
              <w:rPr>
                <w:rFonts w:ascii="仿宋_GB2312" w:hAnsi="仿宋_GB2312" w:cs="仿宋_GB2312" w:eastAsia="仿宋_GB2312"/>
                <w:sz w:val="32"/>
                <w:b/>
              </w:rPr>
              <w:t>资料收集、数据分析整理</w:t>
            </w:r>
          </w:p>
          <w:p>
            <w:pPr>
              <w:pStyle w:val="null3"/>
              <w:ind w:firstLine="552"/>
              <w:jc w:val="both"/>
            </w:pPr>
            <w:r>
              <w:rPr>
                <w:rFonts w:ascii="仿宋_GB2312" w:hAnsi="仿宋_GB2312" w:cs="仿宋_GB2312" w:eastAsia="仿宋_GB2312"/>
                <w:sz w:val="28"/>
              </w:rPr>
              <w:t>收集相关资料信息，完成各项数据的分析整理</w:t>
            </w:r>
            <w:r>
              <w:rPr>
                <w:rFonts w:ascii="仿宋_GB2312" w:hAnsi="仿宋_GB2312" w:cs="仿宋_GB2312" w:eastAsia="仿宋_GB2312"/>
                <w:sz w:val="28"/>
              </w:rPr>
              <w:t>:</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1）DOM 数据。包括自然资源部统一采集制作下发的DOM 数据以及经省级测绘质检部门检查合格且新于自然资源部下发的遥感影像时相的本区域高分辨率航空遥感DOM 数据。</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2）界线资料。包括县级行政区域界线、乡（镇）级行政区域界线、权属界线的调整数据以及行政区划调整文件、勘界资料等。</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3）年内已有调查成果。收集已有调查成果资料，如耕林园空间治理“一张图”建设、森林草原湿地荒漠化调查监测、国土日常变更成果以及日常各项自然资源监测监管工作中发现的变化图斑等。</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4）基础数据。主要包括基础库地类图斑、推（堆）土区、光伏板区、拆除未尽区、工厂化种植和路面范围单独图层、城镇村等用地图层、恢复属性参考图层、“二调”以来历年耕地参考图层、耕地后备资源调查评价成果等数据。</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5）用地管理信息数据。主要包括临时用地信息系统数据、设施农业用地备案图斑、补充耕地项目数据、省级人民政府批准建设用地备案系统数据、国务院批准城市建设用地实施方案备案系统数据、城乡建设用地增减挂钩在线监管应用数据、全域土地综合整治范围地类变化图斑、历史遗留废弃矿山范围矢量数据、第二轮退耕还林还草落地上图矢量数据等管理数据。</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6）土地权属数据。主要包括不动产登记发证、农村集体土地所有权登记发证、城镇和农村地籍调查，土地权属界线协议书等资料。</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7）其他资料。包括城镇国土空间监测、交通路网、河湖岸线等成果资料。</w:t>
            </w:r>
          </w:p>
          <w:p>
            <w:pPr>
              <w:pStyle w:val="null3"/>
              <w:ind w:left="315"/>
              <w:jc w:val="both"/>
            </w:pPr>
            <w:r>
              <w:rPr>
                <w:rFonts w:ascii="仿宋_GB2312" w:hAnsi="仿宋_GB2312" w:cs="仿宋_GB2312" w:eastAsia="仿宋_GB2312"/>
                <w:sz w:val="32"/>
                <w:b/>
              </w:rPr>
              <w:t>2、</w:t>
            </w:r>
            <w:r>
              <w:rPr>
                <w:rFonts w:ascii="仿宋_GB2312" w:hAnsi="仿宋_GB2312" w:cs="仿宋_GB2312" w:eastAsia="仿宋_GB2312"/>
                <w:sz w:val="32"/>
                <w:b/>
              </w:rPr>
              <w:t>国土利用变化信息提取、调查工作底图制作</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1）结合部下发的最新的年度遥感影像，叠加日常变更等年内涉及自然资源管理成效的变化图斑，以及其他年内发生地类变化的图斑，制作县级调查工作底图，用于开展外业实地调查工作。</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国土利用变化信息提取。根据区域自然地理、地形地貌特征、植被类型及土地利用结构、分布规律与耕作方式等情况，建立调查区典型地类解译标志，辅助变化信息提取。依据全面监测耕地变化和重点提取人类活动导致的变化的信息提取原则，通过比对最新遥感影像与上年度国土调查数据库、日常变更调查成果和单独图层范围，结合自然资源管理信息和数据时相、地域特点、地形地貌、周边环境等综合要素，采用人机交互影像判读的方式，内业判读发现并精确提取国土利用变化信息，分类提取最新遥感影像特征与日常变更调查成果、上年度国土调查数据库、上年度单独图层类型地类明显不一致的变化图斑。</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调查工作底图制作。整合提取的变化图斑、日常变更成果、森林草原湿地荒漠化调查监测成果、部局下发不合理开垦耕地、各类用地管理信息及各类自然资源监测监管成果、耕林园空间治理“一张图”建设试点成果等，形成统一的调查工作底图。依据《国土调查类项目支出标准》（2023年），结合影像分辨率及九寨沟县2024年数据库图斑密度，图斑提取难度按Ⅱ类10.32元/k㎡计算。</w:t>
            </w:r>
          </w:p>
          <w:p>
            <w:pPr>
              <w:pStyle w:val="null3"/>
              <w:ind w:left="630"/>
              <w:jc w:val="both"/>
            </w:pPr>
            <w:r>
              <w:rPr>
                <w:rFonts w:ascii="仿宋_GB2312" w:hAnsi="仿宋_GB2312" w:cs="仿宋_GB2312" w:eastAsia="仿宋_GB2312"/>
                <w:sz w:val="32"/>
                <w:b/>
              </w:rPr>
              <w:t>3、</w:t>
            </w:r>
            <w:r>
              <w:rPr>
                <w:rFonts w:ascii="仿宋_GB2312" w:hAnsi="仿宋_GB2312" w:cs="仿宋_GB2312" w:eastAsia="仿宋_GB2312"/>
                <w:sz w:val="32"/>
                <w:b/>
              </w:rPr>
              <w:t>实地地类调查举证</w:t>
            </w:r>
          </w:p>
          <w:p>
            <w:pPr>
              <w:pStyle w:val="null3"/>
              <w:ind w:firstLine="552"/>
              <w:jc w:val="both"/>
            </w:pPr>
            <w:r>
              <w:rPr>
                <w:rFonts w:ascii="仿宋_GB2312" w:hAnsi="仿宋_GB2312" w:cs="仿宋_GB2312" w:eastAsia="仿宋_GB2312"/>
                <w:sz w:val="28"/>
              </w:rPr>
              <w:t>按照</w:t>
            </w:r>
            <w:r>
              <w:rPr>
                <w:rFonts w:ascii="仿宋_GB2312" w:hAnsi="仿宋_GB2312" w:cs="仿宋_GB2312" w:eastAsia="仿宋_GB2312"/>
                <w:sz w:val="28"/>
              </w:rPr>
              <w:t>2025年度部省级《实施方案》、《技术细则》等要求，以2025年12月31日为标准时点，对工作底图上的图斑开展外业实地调查核实。 主要包括地类调查、 属性变化调查核实、 以及单独图层变化调查核实等内容； 通过询问的方式 ，了解图斑的种植等属性的变化情况。对影像未能反映的新增地物进行补测和调查；对于无法通过遥感影像确定地类的变化地块实地举证，并通过“天府调查云”平台及时在线提交举证照片。依据实际调查成果，结合城乡建设用地增减挂钩及士地综合整治等自然资源管理成果，对城镇村范围、“推(堆)土区”“光伏板区”“拆除未尽区”“工厂化种植”等单独图层范围进行更新调查。截至2025年12月1日，2025年国土变更调查已完成1555个外业图斑举证，按1500个举证图斑进行计算。</w:t>
            </w:r>
          </w:p>
          <w:p>
            <w:pPr>
              <w:pStyle w:val="null3"/>
              <w:ind w:left="630"/>
              <w:jc w:val="both"/>
            </w:pPr>
            <w:r>
              <w:rPr>
                <w:rFonts w:ascii="仿宋_GB2312" w:hAnsi="仿宋_GB2312" w:cs="仿宋_GB2312" w:eastAsia="仿宋_GB2312"/>
                <w:sz w:val="32"/>
                <w:b/>
              </w:rPr>
              <w:t>4、</w:t>
            </w:r>
            <w:r>
              <w:rPr>
                <w:rFonts w:ascii="仿宋_GB2312" w:hAnsi="仿宋_GB2312" w:cs="仿宋_GB2312" w:eastAsia="仿宋_GB2312"/>
                <w:sz w:val="32"/>
                <w:b/>
              </w:rPr>
              <w:t>“摸排”和“已纳入过渡期处置范围”单独图层调查</w:t>
            </w:r>
          </w:p>
          <w:p>
            <w:pPr>
              <w:pStyle w:val="null3"/>
              <w:ind w:firstLine="552"/>
              <w:jc w:val="both"/>
            </w:pPr>
            <w:r>
              <w:rPr>
                <w:rFonts w:ascii="仿宋_GB2312" w:hAnsi="仿宋_GB2312" w:cs="仿宋_GB2312" w:eastAsia="仿宋_GB2312"/>
                <w:sz w:val="28"/>
              </w:rPr>
              <w:t>对全县非耕地农用地中历年以棚架等方式培植食用作物或盆栽花卉，种植中药材、浅根系水果及花卉等，耕作层未破坏的图斑以及</w:t>
            </w:r>
            <w:r>
              <w:rPr>
                <w:rFonts w:ascii="仿宋_GB2312" w:hAnsi="仿宋_GB2312" w:cs="仿宋_GB2312" w:eastAsia="仿宋_GB2312"/>
                <w:sz w:val="28"/>
              </w:rPr>
              <w:t>2024 年数据库非耕地，实地现状为套种间种果树、茶树或其他苗木等农作物，耕作层未破坏的，保证一年可收获一季粮棉油糖菜及饲草饲料等的图斑进行调查，制作“摸排”单独图层。截至2025年12月1日，2025年国土变更调查已完成3550个非耕农用地图斑实地摸排调查，按3500个举证图斑进行计算。</w:t>
            </w:r>
          </w:p>
          <w:p>
            <w:pPr>
              <w:pStyle w:val="null3"/>
              <w:ind w:firstLine="632"/>
              <w:jc w:val="both"/>
            </w:pPr>
            <w:r>
              <w:rPr>
                <w:rFonts w:ascii="仿宋_GB2312" w:hAnsi="仿宋_GB2312" w:cs="仿宋_GB2312" w:eastAsia="仿宋_GB2312"/>
                <w:sz w:val="32"/>
                <w:b/>
              </w:rPr>
              <w:t>5、内业数据处理、涉及林草图斑、新增建设用地合法合规性核实及汇总、权属信息更新、年度国土数据库更新与质量检查（数据库建设）</w:t>
            </w:r>
          </w:p>
          <w:p>
            <w:pPr>
              <w:pStyle w:val="null3"/>
              <w:ind w:firstLine="552"/>
              <w:jc w:val="both"/>
            </w:pPr>
            <w:r>
              <w:rPr>
                <w:rFonts w:ascii="仿宋_GB2312" w:hAnsi="仿宋_GB2312" w:cs="仿宋_GB2312" w:eastAsia="仿宋_GB2312"/>
                <w:sz w:val="28"/>
              </w:rPr>
              <w:t>对实地地类调查图斑采用</w:t>
            </w:r>
            <w:r>
              <w:rPr>
                <w:rFonts w:ascii="仿宋_GB2312" w:hAnsi="仿宋_GB2312" w:cs="仿宋_GB2312" w:eastAsia="仿宋_GB2312"/>
                <w:sz w:val="28"/>
              </w:rPr>
              <w:t>2024年度国土变更调查工作分类和《四川省2025年度国土变更调查技术细则（2025年度适用） 》逐图斑审核并分析处理、地类认定、上报审查等。对国家林草局在2024年度变更调查成果中发现的“疑似不合理开垦耕地图斑 ”和2025年林地、草地、湿地变化中经县级林草主管部门核实属于违法违规开垦的图斑进行合法合规性核实及数据汇总。根据县不动产登记中心提供的登记结果，征地报件批复签，开展年度变更调查成果中的相关权属信息更新工作。根据内外业调查成果开展数据库变更，按照TD/T1083-2023要求，形成国土调查县级增量数据成果。以县级行政区界线和控制面积为基准，汇总本县级行政区域内的各类统计报表。利用国土变更调查县级数据库质量检查软件生成县级更新数据包。采用内、外业相结合的方式，逐地块核实变化图斑地类、属性和单独图层变更的正确性。同时，针对县、市、省逐级核实的疑似问题图斑，及时补充调查核实并修正调查成果。</w:t>
            </w:r>
          </w:p>
          <w:p>
            <w:pPr>
              <w:pStyle w:val="null3"/>
              <w:ind w:left="630"/>
              <w:jc w:val="both"/>
            </w:pPr>
            <w:r>
              <w:rPr>
                <w:rFonts w:ascii="仿宋_GB2312" w:hAnsi="仿宋_GB2312" w:cs="仿宋_GB2312" w:eastAsia="仿宋_GB2312"/>
                <w:sz w:val="32"/>
                <w:b/>
              </w:rPr>
              <w:t>6、变更调查成果统计汇总</w:t>
            </w:r>
          </w:p>
          <w:p>
            <w:pPr>
              <w:pStyle w:val="null3"/>
              <w:ind w:firstLine="552"/>
              <w:jc w:val="both"/>
            </w:pPr>
            <w:r>
              <w:rPr>
                <w:rFonts w:ascii="仿宋_GB2312" w:hAnsi="仿宋_GB2312" w:cs="仿宋_GB2312" w:eastAsia="仿宋_GB2312"/>
                <w:sz w:val="28"/>
              </w:rPr>
              <w:t>根据年度国土变更调查技术要求，统计汇总级编制</w:t>
            </w:r>
            <w:r>
              <w:rPr>
                <w:rFonts w:ascii="仿宋_GB2312" w:hAnsi="仿宋_GB2312" w:cs="仿宋_GB2312" w:eastAsia="仿宋_GB2312"/>
                <w:sz w:val="28"/>
              </w:rPr>
              <w:t>2025 年度国土变更调查成果，包括遥感监测成果、外业调查成果（其中图斑举证数据包为DB 格式）、数据库成果、各类统计汇总表、水旱轮作等情况说明表、农用地变更为未利用地等相关证明材料、土地利用变化情况分析报告等。</w:t>
            </w:r>
          </w:p>
          <w:p>
            <w:pPr>
              <w:pStyle w:val="null3"/>
              <w:ind w:firstLine="632"/>
              <w:jc w:val="both"/>
            </w:pPr>
            <w:r>
              <w:rPr>
                <w:rFonts w:ascii="仿宋_GB2312" w:hAnsi="仿宋_GB2312" w:cs="仿宋_GB2312" w:eastAsia="仿宋_GB2312"/>
                <w:sz w:val="32"/>
                <w:b/>
              </w:rPr>
              <w:t>7、耕地资源分区分类评价更新</w:t>
            </w:r>
          </w:p>
          <w:p>
            <w:pPr>
              <w:pStyle w:val="null3"/>
              <w:ind w:firstLine="552"/>
              <w:jc w:val="both"/>
            </w:pPr>
            <w:r>
              <w:rPr>
                <w:rFonts w:ascii="仿宋_GB2312" w:hAnsi="仿宋_GB2312" w:cs="仿宋_GB2312" w:eastAsia="仿宋_GB2312"/>
                <w:sz w:val="28"/>
              </w:rPr>
              <w:t>以</w:t>
            </w:r>
            <w:r>
              <w:rPr>
                <w:rFonts w:ascii="仿宋_GB2312" w:hAnsi="仿宋_GB2312" w:cs="仿宋_GB2312" w:eastAsia="仿宋_GB2312"/>
                <w:sz w:val="28"/>
              </w:rPr>
              <w:t>2025年度国土变更调查成果为基础，结合2025年度所有土地整治、高标准农田建设等项目竣工验收资料，开展2025年度耕地资源质量分类年度更新与监测工作，全面掌握年度内耕地质量变化情况。</w:t>
            </w:r>
          </w:p>
          <w:p>
            <w:pPr>
              <w:pStyle w:val="null3"/>
              <w:jc w:val="both"/>
            </w:pPr>
            <w:r>
              <w:rPr>
                <w:rFonts w:ascii="仿宋_GB2312" w:hAnsi="仿宋_GB2312" w:cs="仿宋_GB2312" w:eastAsia="仿宋_GB2312"/>
                <w:sz w:val="32"/>
                <w:b/>
              </w:rPr>
              <w:t>二、日常变更调查</w:t>
            </w:r>
          </w:p>
          <w:p>
            <w:pPr>
              <w:pStyle w:val="null3"/>
              <w:ind w:firstLine="552"/>
              <w:jc w:val="both"/>
            </w:pPr>
            <w:r>
              <w:rPr>
                <w:rFonts w:ascii="仿宋_GB2312" w:hAnsi="仿宋_GB2312" w:cs="仿宋_GB2312" w:eastAsia="仿宋_GB2312"/>
                <w:sz w:val="28"/>
              </w:rPr>
              <w:t>协助县局完成州、县自然资源管理工作中涉及的地类变化图斑调查，包括耕地整改恢复、执法巡查、用地审批、临时用地复垦、城乡建设用地增减挂钩、土地整治、高标准农田建设、生态修复、国土绿化、生态退耕、沙漠治理、河湖治理等各类自然资源管理项目涉及的图斑。根据自然资源调查监测、耕地保护、国家自然资源督察和自然资源执法、用途管制、生态修复及林草湿荒调查监测等工作需要，依据部省实施方案、技术细则等，利用</w:t>
            </w:r>
            <w:r>
              <w:rPr>
                <w:rFonts w:ascii="仿宋_GB2312" w:hAnsi="仿宋_GB2312" w:cs="仿宋_GB2312" w:eastAsia="仿宋_GB2312"/>
                <w:sz w:val="28"/>
              </w:rPr>
              <w:t>“天府调查云”平台，开展日常变更调查工作，对年底前稳定的地类变化及时更新。依据2025年截止11月日常变更图斑举证数为2276个。参照2025年图斑数对2026年日常变更按照2000个进行测算。</w:t>
            </w:r>
          </w:p>
          <w:p>
            <w:pPr>
              <w:pStyle w:val="null3"/>
              <w:ind w:firstLine="316"/>
              <w:jc w:val="both"/>
            </w:pPr>
            <w:r>
              <w:rPr>
                <w:rFonts w:ascii="仿宋_GB2312" w:hAnsi="仿宋_GB2312" w:cs="仿宋_GB2312" w:eastAsia="仿宋_GB2312"/>
                <w:sz w:val="32"/>
                <w:b/>
              </w:rPr>
              <w:t>三、卫片执法项目</w:t>
            </w:r>
          </w:p>
          <w:p>
            <w:pPr>
              <w:pStyle w:val="null3"/>
              <w:ind w:firstLine="552"/>
              <w:jc w:val="both"/>
            </w:pPr>
            <w:r>
              <w:rPr>
                <w:rFonts w:ascii="仿宋_GB2312" w:hAnsi="仿宋_GB2312" w:cs="仿宋_GB2312" w:eastAsia="仿宋_GB2312"/>
                <w:sz w:val="28"/>
              </w:rPr>
              <w:t>对</w:t>
            </w:r>
            <w:r>
              <w:rPr>
                <w:rFonts w:ascii="仿宋_GB2312" w:hAnsi="仿宋_GB2312" w:cs="仿宋_GB2312" w:eastAsia="仿宋_GB2312"/>
                <w:sz w:val="28"/>
              </w:rPr>
              <w:t>2026年1-12月涉及的卫片执法图斑进行外业实地核实，收集相关证明材料，数据处理后在执法系统中完成填报并提交上级检查，含乱占耕地建房、督察图斑销号、存量违法图斑销号。</w:t>
            </w:r>
          </w:p>
          <w:p>
            <w:pPr>
              <w:pStyle w:val="null3"/>
              <w:ind w:firstLine="552"/>
              <w:jc w:val="both"/>
            </w:pPr>
            <w:r>
              <w:rPr>
                <w:rFonts w:ascii="仿宋_GB2312" w:hAnsi="仿宋_GB2312" w:cs="仿宋_GB2312" w:eastAsia="仿宋_GB2312"/>
                <w:sz w:val="32"/>
                <w:b/>
              </w:rPr>
              <w:t>四、过渡期方案编制</w:t>
            </w:r>
          </w:p>
          <w:p>
            <w:pPr>
              <w:pStyle w:val="null3"/>
              <w:ind w:firstLine="552"/>
              <w:jc w:val="both"/>
            </w:pPr>
            <w:r>
              <w:rPr>
                <w:rFonts w:ascii="仿宋_GB2312" w:hAnsi="仿宋_GB2312" w:cs="仿宋_GB2312" w:eastAsia="仿宋_GB2312"/>
                <w:sz w:val="28"/>
              </w:rPr>
              <w:t>统筹做好历史流失耕地分类处置工作，对纳入过渡期范围地块编制过渡期方案，按照</w:t>
            </w:r>
            <w:r>
              <w:rPr>
                <w:rFonts w:ascii="仿宋_GB2312" w:hAnsi="仿宋_GB2312" w:cs="仿宋_GB2312" w:eastAsia="仿宋_GB2312"/>
                <w:sz w:val="28"/>
              </w:rPr>
              <w:t>“</w:t>
            </w:r>
            <w:r>
              <w:rPr>
                <w:rFonts w:ascii="仿宋_GB2312" w:hAnsi="仿宋_GB2312" w:cs="仿宋_GB2312" w:eastAsia="仿宋_GB2312"/>
                <w:sz w:val="28"/>
              </w:rPr>
              <w:t>认定一批</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恢复一批</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置换一批</w:t>
            </w:r>
            <w:r>
              <w:rPr>
                <w:rFonts w:ascii="仿宋_GB2312" w:hAnsi="仿宋_GB2312" w:cs="仿宋_GB2312" w:eastAsia="仿宋_GB2312"/>
                <w:sz w:val="28"/>
              </w:rPr>
              <w:t>”</w:t>
            </w:r>
            <w:r>
              <w:rPr>
                <w:rFonts w:ascii="仿宋_GB2312" w:hAnsi="仿宋_GB2312" w:cs="仿宋_GB2312" w:eastAsia="仿宋_GB2312"/>
                <w:sz w:val="28"/>
              </w:rPr>
              <w:t>方式分类处置，形成</w:t>
            </w:r>
            <w:r>
              <w:rPr>
                <w:rFonts w:ascii="仿宋_GB2312" w:hAnsi="仿宋_GB2312" w:cs="仿宋_GB2312" w:eastAsia="仿宋_GB2312"/>
                <w:sz w:val="28"/>
              </w:rPr>
              <w:t>“</w:t>
            </w:r>
            <w:r>
              <w:rPr>
                <w:rFonts w:ascii="仿宋_GB2312" w:hAnsi="仿宋_GB2312" w:cs="仿宋_GB2312" w:eastAsia="仿宋_GB2312"/>
                <w:sz w:val="28"/>
              </w:rPr>
              <w:t>已纳入过渡期处置范围</w:t>
            </w:r>
            <w:r>
              <w:rPr>
                <w:rFonts w:ascii="仿宋_GB2312" w:hAnsi="仿宋_GB2312" w:cs="仿宋_GB2312" w:eastAsia="仿宋_GB2312"/>
                <w:sz w:val="28"/>
              </w:rPr>
              <w:t>”</w:t>
            </w:r>
            <w:r>
              <w:rPr>
                <w:rFonts w:ascii="仿宋_GB2312" w:hAnsi="仿宋_GB2312" w:cs="仿宋_GB2312" w:eastAsia="仿宋_GB2312"/>
                <w:sz w:val="28"/>
              </w:rPr>
              <w:t>单独图层并分别进行标注。</w:t>
            </w:r>
          </w:p>
          <w:p>
            <w:pPr>
              <w:pStyle w:val="null3"/>
              <w:ind w:firstLine="552"/>
              <w:jc w:val="both"/>
            </w:pPr>
            <w:r>
              <w:rPr>
                <w:rFonts w:ascii="仿宋_GB2312" w:hAnsi="仿宋_GB2312" w:cs="仿宋_GB2312" w:eastAsia="仿宋_GB2312"/>
                <w:sz w:val="32"/>
                <w:b/>
              </w:rPr>
              <w:t>五、土壤剥离再利用实施方案</w:t>
            </w:r>
          </w:p>
          <w:p>
            <w:pPr>
              <w:pStyle w:val="null3"/>
              <w:ind w:firstLine="552"/>
              <w:jc w:val="both"/>
            </w:pPr>
            <w:r>
              <w:rPr>
                <w:rFonts w:ascii="仿宋_GB2312" w:hAnsi="仿宋_GB2312" w:cs="仿宋_GB2312" w:eastAsia="仿宋_GB2312"/>
                <w:sz w:val="28"/>
              </w:rPr>
              <w:t>按照《四川省人民政府办公厅关于建设占用耕地耕作层土壤剥离再利用的通知》（川办函〔</w:t>
            </w:r>
            <w:r>
              <w:rPr>
                <w:rFonts w:ascii="仿宋_GB2312" w:hAnsi="仿宋_GB2312" w:cs="仿宋_GB2312" w:eastAsia="仿宋_GB2312"/>
                <w:sz w:val="28"/>
              </w:rPr>
              <w:t>2024〕100号）、《四川省自然资源厅办公室关于明确建设占用耕地耕作层土壤剥离再利用成果资料备案有关事项的通知》（〔2025〕-490）等文件要求，编制土壤剥离再利用方案和数据库，报县政府批复，完成省厅系统备案。</w:t>
            </w:r>
          </w:p>
          <w:p>
            <w:pPr>
              <w:pStyle w:val="null3"/>
              <w:ind w:firstLine="552"/>
              <w:jc w:val="both"/>
            </w:pPr>
            <w:r>
              <w:rPr>
                <w:rFonts w:ascii="仿宋_GB2312" w:hAnsi="仿宋_GB2312" w:cs="仿宋_GB2312" w:eastAsia="仿宋_GB2312"/>
                <w:sz w:val="32"/>
                <w:b/>
              </w:rPr>
              <w:t>六、九寨沟县镇区范围确定</w:t>
            </w:r>
          </w:p>
          <w:p>
            <w:pPr>
              <w:pStyle w:val="null3"/>
              <w:ind w:firstLine="552"/>
              <w:jc w:val="both"/>
            </w:pPr>
            <w:r>
              <w:rPr>
                <w:rFonts w:ascii="仿宋_GB2312" w:hAnsi="仿宋_GB2312" w:cs="仿宋_GB2312" w:eastAsia="仿宋_GB2312"/>
                <w:sz w:val="28"/>
              </w:rPr>
              <w:t>按照《自然资源部办公厅关于深入推进城区和镇区范围确定工作的通知》</w:t>
            </w:r>
            <w:r>
              <w:rPr>
                <w:rFonts w:ascii="仿宋_GB2312" w:hAnsi="仿宋_GB2312" w:cs="仿宋_GB2312" w:eastAsia="仿宋_GB2312"/>
                <w:sz w:val="28"/>
              </w:rPr>
              <w:t>(自然资办发〔2025〕21号)、《镇区范围确定规程》（TD/T 1094-2024）、《四川省自然资源厅 国土空间规划局关于开展城区和镇区范围确定工作的通知》要求，通过资料收集、实地调研、边界核实，比对国土空间规划、最新遥感影像等资料，依次确定2021-2024各年度镇区初始范围、镇区实体地域范围，叠加镇区最小统计单元管辖范围、市政公用设施和公共服务设施统计数据后，最终确定2021-2024各年度九寨沟县镇区范围，形成各年度成果数据库和报告，并逐级汇交至省厅。</w:t>
            </w:r>
          </w:p>
          <w:p>
            <w:pPr>
              <w:pStyle w:val="null3"/>
              <w:ind w:firstLine="552"/>
              <w:jc w:val="both"/>
            </w:pPr>
            <w:r>
              <w:rPr>
                <w:rFonts w:ascii="仿宋_GB2312" w:hAnsi="仿宋_GB2312" w:cs="仿宋_GB2312" w:eastAsia="仿宋_GB2312"/>
                <w:sz w:val="32"/>
                <w:b/>
              </w:rPr>
              <w:t>七、城市国土空间监测</w:t>
            </w:r>
          </w:p>
          <w:p>
            <w:pPr>
              <w:pStyle w:val="null3"/>
              <w:ind w:firstLine="552"/>
              <w:jc w:val="both"/>
            </w:pPr>
            <w:r>
              <w:rPr>
                <w:rFonts w:ascii="仿宋_GB2312" w:hAnsi="仿宋_GB2312" w:cs="仿宋_GB2312" w:eastAsia="仿宋_GB2312"/>
                <w:sz w:val="28"/>
              </w:rPr>
              <w:t>按照《四川省自然资源厅办公室关于做好我省</w:t>
            </w:r>
            <w:r>
              <w:rPr>
                <w:rFonts w:ascii="仿宋_GB2312" w:hAnsi="仿宋_GB2312" w:cs="仿宋_GB2312" w:eastAsia="仿宋_GB2312"/>
                <w:sz w:val="28"/>
              </w:rPr>
              <w:t>2025 年城市国土空间监测工作的通知》（〔2025〕-239）文件要求，以2024年度国土变更调查成果为底图，收集的资料为指引，套合最新遥感影像，利用多种技术手段，结合实地调查，确定相关监测内容的位置、占地范围和相关属性等，形成九寨沟县城市国土空间监测成果数据库，并逐级汇交至省厅。</w:t>
            </w:r>
          </w:p>
          <w:p>
            <w:pPr>
              <w:pStyle w:val="null3"/>
              <w:ind w:firstLine="632"/>
              <w:jc w:val="both"/>
            </w:pPr>
            <w:r>
              <w:rPr>
                <w:rFonts w:ascii="仿宋_GB2312" w:hAnsi="仿宋_GB2312" w:cs="仿宋_GB2312" w:eastAsia="仿宋_GB2312"/>
                <w:sz w:val="32"/>
                <w:b/>
              </w:rPr>
              <w:t>八、</w:t>
            </w:r>
            <w:r>
              <w:rPr>
                <w:rFonts w:ascii="仿宋_GB2312" w:hAnsi="仿宋_GB2312" w:cs="仿宋_GB2312" w:eastAsia="仿宋_GB2312"/>
                <w:sz w:val="32"/>
                <w:b/>
              </w:rPr>
              <w:t>永久基本农田优化调整</w:t>
            </w:r>
          </w:p>
          <w:p>
            <w:pPr>
              <w:pStyle w:val="null3"/>
              <w:ind w:firstLine="552"/>
              <w:jc w:val="both"/>
            </w:pPr>
            <w:r>
              <w:rPr>
                <w:rFonts w:ascii="仿宋_GB2312" w:hAnsi="仿宋_GB2312" w:cs="仿宋_GB2312" w:eastAsia="仿宋_GB2312"/>
                <w:sz w:val="28"/>
              </w:rPr>
              <w:t>按照《永久基本农田保护红线管理办法》规定做好永久基本农田保护红线优化调整及相应的补划工作。</w:t>
            </w:r>
          </w:p>
          <w:p>
            <w:pPr>
              <w:pStyle w:val="null3"/>
              <w:jc w:val="both"/>
            </w:pPr>
            <w:r>
              <w:rPr>
                <w:rFonts w:ascii="仿宋_GB2312" w:hAnsi="仿宋_GB2312" w:cs="仿宋_GB2312" w:eastAsia="仿宋_GB2312"/>
                <w:sz w:val="32"/>
                <w:b/>
              </w:rPr>
              <w:t>九、永久基本农田储备区年度更新</w:t>
            </w:r>
          </w:p>
          <w:p>
            <w:pPr>
              <w:pStyle w:val="null3"/>
              <w:ind w:firstLine="552"/>
              <w:jc w:val="both"/>
            </w:pPr>
            <w:r>
              <w:rPr>
                <w:rFonts w:ascii="仿宋_GB2312" w:hAnsi="仿宋_GB2312" w:cs="仿宋_GB2312" w:eastAsia="仿宋_GB2312"/>
                <w:sz w:val="28"/>
              </w:rPr>
              <w:t>按照《永久基本农田保护红线管理办法》等要求，充分考虑年度内永久基本农田优化调整需求，确定本县储备区更新任务，按照允许划入储备区的情形，更新完善形成储备区数据库成果，并逐级报省厅备案。</w:t>
            </w:r>
          </w:p>
          <w:p>
            <w:pPr>
              <w:pStyle w:val="null3"/>
              <w:ind w:firstLine="552"/>
              <w:jc w:val="both"/>
            </w:pPr>
            <w:r>
              <w:rPr>
                <w:rFonts w:ascii="仿宋_GB2312" w:hAnsi="仿宋_GB2312" w:cs="仿宋_GB2312" w:eastAsia="仿宋_GB2312"/>
                <w:sz w:val="28"/>
                <w:b/>
              </w:rPr>
              <w:t>十、</w:t>
            </w:r>
            <w:r>
              <w:rPr>
                <w:rFonts w:ascii="仿宋_GB2312" w:hAnsi="仿宋_GB2312" w:cs="仿宋_GB2312" w:eastAsia="仿宋_GB2312"/>
                <w:sz w:val="32"/>
                <w:b/>
              </w:rPr>
              <w:t>国土变更调查补充耕地举证</w:t>
            </w:r>
          </w:p>
          <w:p>
            <w:pPr>
              <w:pStyle w:val="null3"/>
              <w:ind w:firstLine="552"/>
              <w:jc w:val="both"/>
            </w:pPr>
            <w:r>
              <w:rPr>
                <w:rFonts w:ascii="仿宋_GB2312" w:hAnsi="仿宋_GB2312" w:cs="仿宋_GB2312" w:eastAsia="仿宋_GB2312"/>
                <w:sz w:val="28"/>
              </w:rPr>
              <w:t>依据耕地流入流出情况配合县局完成补充耕地确定、核实举证并通过省级新增耕地认定核查及后续变更工作。依据近几年耕地变化，无特殊情况，耕地流量应该在</w:t>
            </w:r>
            <w:r>
              <w:rPr>
                <w:rFonts w:ascii="仿宋_GB2312" w:hAnsi="仿宋_GB2312" w:cs="仿宋_GB2312" w:eastAsia="仿宋_GB2312"/>
                <w:sz w:val="28"/>
              </w:rPr>
              <w:t>350亩左右，举证耕地图斑应该在400个左右。但该项工作需全县非耕地类提取疑似图斑，现场核实是否为耕地然后开展外业举证工作，实际核实举证图斑远超400个。</w:t>
            </w:r>
          </w:p>
          <w:p>
            <w:pPr>
              <w:pStyle w:val="null3"/>
              <w:ind w:firstLine="552"/>
              <w:jc w:val="both"/>
            </w:pPr>
            <w:r>
              <w:rPr>
                <w:rFonts w:ascii="仿宋_GB2312" w:hAnsi="仿宋_GB2312" w:cs="仿宋_GB2312" w:eastAsia="仿宋_GB2312"/>
                <w:sz w:val="32"/>
                <w:b/>
              </w:rPr>
              <w:t>十一、技术规范要求</w:t>
            </w:r>
          </w:p>
          <w:p>
            <w:pPr>
              <w:pStyle w:val="null3"/>
              <w:ind w:firstLine="552"/>
              <w:jc w:val="both"/>
            </w:pPr>
            <w:r>
              <w:rPr>
                <w:rFonts w:ascii="仿宋_GB2312" w:hAnsi="仿宋_GB2312" w:cs="仿宋_GB2312" w:eastAsia="仿宋_GB2312"/>
                <w:sz w:val="28"/>
              </w:rPr>
              <w:t>1.《中华人民共和国土地管理法》、《土地调查条例》</w:t>
            </w:r>
          </w:p>
          <w:p>
            <w:pPr>
              <w:pStyle w:val="null3"/>
              <w:ind w:firstLine="552"/>
              <w:jc w:val="both"/>
            </w:pPr>
            <w:r>
              <w:rPr>
                <w:rFonts w:ascii="仿宋_GB2312" w:hAnsi="仿宋_GB2312" w:cs="仿宋_GB2312" w:eastAsia="仿宋_GB2312"/>
                <w:sz w:val="28"/>
              </w:rPr>
              <w:t>2.《中华人民共和国土地管理法实施条例》</w:t>
            </w:r>
          </w:p>
          <w:p>
            <w:pPr>
              <w:pStyle w:val="null3"/>
              <w:ind w:firstLine="552"/>
              <w:jc w:val="both"/>
            </w:pPr>
            <w:r>
              <w:rPr>
                <w:rFonts w:ascii="仿宋_GB2312" w:hAnsi="仿宋_GB2312" w:cs="仿宋_GB2312" w:eastAsia="仿宋_GB2312"/>
                <w:sz w:val="28"/>
              </w:rPr>
              <w:t>3.《土地利用现状分类》</w:t>
            </w:r>
          </w:p>
          <w:p>
            <w:pPr>
              <w:pStyle w:val="null3"/>
              <w:ind w:firstLine="552"/>
              <w:jc w:val="both"/>
            </w:pPr>
            <w:r>
              <w:rPr>
                <w:rFonts w:ascii="仿宋_GB2312" w:hAnsi="仿宋_GB2312" w:cs="仿宋_GB2312" w:eastAsia="仿宋_GB2312"/>
                <w:sz w:val="28"/>
              </w:rPr>
              <w:t>4.《2025年度全国国土变更调查及森林草原湿地荒漠调查监测实施方案》</w:t>
            </w:r>
          </w:p>
          <w:p>
            <w:pPr>
              <w:pStyle w:val="null3"/>
              <w:ind w:firstLine="552"/>
              <w:jc w:val="both"/>
            </w:pPr>
            <w:r>
              <w:rPr>
                <w:rFonts w:ascii="仿宋_GB2312" w:hAnsi="仿宋_GB2312" w:cs="仿宋_GB2312" w:eastAsia="仿宋_GB2312"/>
                <w:sz w:val="28"/>
              </w:rPr>
              <w:t>5.《四川省自然资源厅 四川省林业和草原局关于做好2025年度国土变更调查及森林草原湿地荒漠调查监测工作的通知》（川自然资发〔2025〕23号）</w:t>
            </w:r>
          </w:p>
          <w:p>
            <w:pPr>
              <w:pStyle w:val="null3"/>
              <w:ind w:firstLine="552"/>
              <w:jc w:val="both"/>
            </w:pPr>
            <w:r>
              <w:rPr>
                <w:rFonts w:ascii="仿宋_GB2312" w:hAnsi="仿宋_GB2312" w:cs="仿宋_GB2312" w:eastAsia="仿宋_GB2312"/>
                <w:sz w:val="28"/>
              </w:rPr>
              <w:t>6.《四川省国土变更调查技术细则》（2025年度适用）</w:t>
            </w:r>
          </w:p>
          <w:p>
            <w:pPr>
              <w:pStyle w:val="null3"/>
              <w:ind w:firstLine="552"/>
              <w:jc w:val="both"/>
            </w:pPr>
            <w:r>
              <w:rPr>
                <w:rFonts w:ascii="仿宋_GB2312" w:hAnsi="仿宋_GB2312" w:cs="仿宋_GB2312" w:eastAsia="仿宋_GB2312"/>
                <w:sz w:val="28"/>
              </w:rPr>
              <w:t>7.《自然资源部办公厅 国家林业和草原局办公室关于开展2025年度全国国土变更调查及森林草原湿地荒漠调查监测工作的通知》（自然资办发〔2025〕33号）。</w:t>
            </w:r>
          </w:p>
          <w:p>
            <w:pPr>
              <w:pStyle w:val="null3"/>
              <w:ind w:firstLine="552"/>
              <w:jc w:val="both"/>
            </w:pPr>
            <w:r>
              <w:rPr>
                <w:rFonts w:ascii="仿宋_GB2312" w:hAnsi="仿宋_GB2312" w:cs="仿宋_GB2312" w:eastAsia="仿宋_GB2312"/>
                <w:sz w:val="28"/>
              </w:rPr>
              <w:t>十二、</w:t>
            </w:r>
            <w:r>
              <w:rPr>
                <w:rFonts w:ascii="仿宋_GB2312" w:hAnsi="仿宋_GB2312" w:cs="仿宋_GB2312" w:eastAsia="仿宋_GB2312"/>
                <w:sz w:val="32"/>
                <w:b/>
              </w:rPr>
              <w:t>成果要求</w:t>
            </w:r>
          </w:p>
          <w:p>
            <w:pPr>
              <w:pStyle w:val="null3"/>
              <w:ind w:firstLine="552"/>
              <w:jc w:val="both"/>
            </w:pPr>
            <w:r>
              <w:rPr>
                <w:rFonts w:ascii="仿宋_GB2312" w:hAnsi="仿宋_GB2312" w:cs="仿宋_GB2312" w:eastAsia="仿宋_GB2312"/>
                <w:sz w:val="28"/>
              </w:rPr>
              <w:t>供应商须向采购人提供以下要求的变化图斑数据成果和增量数据库成果电子版</w:t>
            </w:r>
            <w:r>
              <w:rPr>
                <w:rFonts w:ascii="仿宋_GB2312" w:hAnsi="仿宋_GB2312" w:cs="仿宋_GB2312" w:eastAsia="仿宋_GB2312"/>
                <w:sz w:val="28"/>
              </w:rPr>
              <w:t>1份，纸质版1份：</w:t>
            </w:r>
          </w:p>
          <w:p>
            <w:pPr>
              <w:pStyle w:val="null3"/>
              <w:ind w:firstLine="552"/>
              <w:jc w:val="both"/>
            </w:pPr>
            <w:r>
              <w:rPr>
                <w:rFonts w:ascii="仿宋_GB2312" w:hAnsi="仿宋_GB2312" w:cs="仿宋_GB2312" w:eastAsia="仿宋_GB2312"/>
                <w:sz w:val="28"/>
              </w:rPr>
              <w:t>1.变化图斑数据成果</w:t>
            </w:r>
          </w:p>
          <w:p>
            <w:pPr>
              <w:pStyle w:val="null3"/>
              <w:ind w:firstLine="552"/>
              <w:jc w:val="both"/>
            </w:pPr>
            <w:r>
              <w:rPr>
                <w:rFonts w:ascii="仿宋_GB2312" w:hAnsi="仿宋_GB2312" w:cs="仿宋_GB2312" w:eastAsia="仿宋_GB2312"/>
                <w:sz w:val="28"/>
              </w:rPr>
              <w:t>2025年度变更调查参照自然资源综合动态监测成果提交格式采取单图斑建库，先开展变化图斑变更符合性审查。成果包括：</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1）外业调查成果：图斑举证数据包（DB格式）。</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2）数据库成果：更新后的变更矢量数据（gdb格式）。</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3）图斑信息核实各类报表：举证图斑信息表（MDB格式）。</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4）其他资料：九寨沟县情况说明表（水旱轮种，农用地变更为未利用地等）、临时用地扫描件。</w:t>
            </w:r>
          </w:p>
          <w:p>
            <w:pPr>
              <w:pStyle w:val="null3"/>
              <w:ind w:firstLine="552"/>
              <w:jc w:val="both"/>
            </w:pPr>
            <w:r>
              <w:rPr>
                <w:rFonts w:ascii="仿宋_GB2312" w:hAnsi="仿宋_GB2312" w:cs="仿宋_GB2312" w:eastAsia="仿宋_GB2312"/>
                <w:sz w:val="28"/>
              </w:rPr>
              <w:t>2.增量数据库成果</w:t>
            </w:r>
          </w:p>
          <w:p>
            <w:pPr>
              <w:pStyle w:val="null3"/>
              <w:ind w:firstLine="552"/>
              <w:jc w:val="both"/>
            </w:pPr>
            <w:r>
              <w:rPr>
                <w:rFonts w:ascii="仿宋_GB2312" w:hAnsi="仿宋_GB2312" w:cs="仿宋_GB2312" w:eastAsia="仿宋_GB2312"/>
                <w:sz w:val="28"/>
              </w:rPr>
              <w:t>变化图斑审查锁定后，以此为基础开展增量数据库成果提交，省级组织开展增量数据库质检工作。增量数据库成果包括：</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1）外业调查成果：图斑举证数据包DB格式。</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2）数据库成果：国土调查矢量数据包括2025年度变更调查更新数据包（含增量信息与统计报表，由数据库质检软件打包生成）。</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3）图斑信息核实各类报表：举证信息表为MDB格式；水旱轮作等情况说明表、历史批文清理结果上图情况表、历史批文清理结果范围外上图情况表按照要求填写，格式为.xlsx。</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4）文字成果：土地利用变化情况分析报告。</w:t>
            </w:r>
          </w:p>
          <w:p>
            <w:pPr>
              <w:pStyle w:val="null3"/>
              <w:ind w:firstLine="552"/>
              <w:jc w:val="both"/>
            </w:pPr>
            <w:r>
              <w:rPr>
                <w:rFonts w:ascii="仿宋_GB2312" w:hAnsi="仿宋_GB2312" w:cs="仿宋_GB2312" w:eastAsia="仿宋_GB2312"/>
                <w:sz w:val="28"/>
              </w:rPr>
              <w:t>（</w:t>
            </w:r>
            <w:r>
              <w:rPr>
                <w:rFonts w:ascii="仿宋_GB2312" w:hAnsi="仿宋_GB2312" w:cs="仿宋_GB2312" w:eastAsia="仿宋_GB2312"/>
                <w:sz w:val="28"/>
              </w:rPr>
              <w:t>5）九寨沟县2025年度国土变更调查初报成果主要地类变化情况表。</w:t>
            </w:r>
          </w:p>
          <w:p>
            <w:pPr>
              <w:pStyle w:val="null3"/>
              <w:ind w:firstLine="552"/>
              <w:jc w:val="both"/>
            </w:pPr>
            <w:r>
              <w:rPr>
                <w:rFonts w:ascii="仿宋_GB2312" w:hAnsi="仿宋_GB2312" w:cs="仿宋_GB2312" w:eastAsia="仿宋_GB2312"/>
                <w:sz w:val="28"/>
                <w:b/>
              </w:rPr>
              <w:t>十三、其他要求</w:t>
            </w:r>
          </w:p>
          <w:p>
            <w:pPr>
              <w:pStyle w:val="null3"/>
              <w:ind w:firstLine="552"/>
              <w:jc w:val="both"/>
            </w:pPr>
            <w:r>
              <w:rPr>
                <w:rFonts w:ascii="仿宋_GB2312" w:hAnsi="仿宋_GB2312" w:cs="仿宋_GB2312" w:eastAsia="仿宋_GB2312"/>
                <w:sz w:val="28"/>
              </w:rPr>
              <w:t>1、本项目实施过程中，由成交供应商引起的人身安全、财产安全等一切安全责任均由成交供应商自行承担；在项目实施过程中由成交供应商造成的直接或间接损失，均由成交供应商自行承担。</w:t>
            </w:r>
          </w:p>
          <w:p>
            <w:pPr>
              <w:pStyle w:val="null3"/>
              <w:ind w:firstLine="552"/>
              <w:jc w:val="both"/>
            </w:pPr>
            <w:r>
              <w:rPr>
                <w:rFonts w:ascii="仿宋_GB2312" w:hAnsi="仿宋_GB2312" w:cs="仿宋_GB2312" w:eastAsia="仿宋_GB2312"/>
                <w:sz w:val="28"/>
              </w:rPr>
              <w:t>2、配合采购人开展调查成果检查验收</w:t>
            </w:r>
          </w:p>
          <w:p>
            <w:pPr>
              <w:pStyle w:val="null3"/>
              <w:ind w:firstLine="552"/>
              <w:jc w:val="both"/>
            </w:pPr>
            <w:r>
              <w:rPr>
                <w:rFonts w:ascii="仿宋_GB2312" w:hAnsi="仿宋_GB2312" w:cs="仿宋_GB2312" w:eastAsia="仿宋_GB2312"/>
                <w:sz w:val="28"/>
              </w:rPr>
              <w:t>调查成果通过国家级质检入库后，开展成果整理，汇总形成九寨沟县调查成果并由县级进行预检。供应商负责汇总整理形成县级国土变更调查成果。省厅将适时对县级调查成果进行验收。省级国土调查成果报自然资源部接受国家级验收。配合采购人做好国家、省、市（州）调查成果验收工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九寨沟县，采购人指定地点。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政府采购需求管理办法》（财库〔2021〕22号）、《财政部关于进一步加强政府采购需求和履约验收管理的指导意见》（财库〔2016〕205号）等政府采购相关法律法规执行，验收内容包含采购文件中的所有技术和商务要求的履约情况，由采购人组织，供应商配合进行，如质量验收合格，双方签署验收报告；验收结果不合格的，采购人不予支付采购资金，还可能会报告本项目同级财政部门按照政府采购法律法规等有关规定给予行政处罚或者以失信行为记入诚信档案。 （2）验收标准：按国家有关规定以及采购文件的质量要求和技术指标、供应商的响应文件及承诺与本合同约定标准进行验收；双方如对质量要求和技术指标的约定标准有相互抵触或异议的事项，由采购人在采购文件和响应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1、预付款，合同签订后，采购人收到供应商出具的完税发票及凭证资料，达到付款条件起10日内，支付合同总金额的40.00%</w:t>
            </w:r>
          </w:p>
          <w:p>
            <w:pPr>
              <w:pStyle w:val="null3"/>
              <w:jc w:val="left"/>
            </w:pPr>
            <w:r>
              <w:rPr>
                <w:rFonts w:ascii="仿宋_GB2312" w:hAnsi="仿宋_GB2312" w:cs="仿宋_GB2312" w:eastAsia="仿宋_GB2312"/>
              </w:rPr>
              <w:t>2、进度款，提交初步成果后，采购人收到供应商出具的完税发票及凭证资料，达到付款条件起10日内，支付合同总金额的30.00%</w:t>
            </w:r>
          </w:p>
          <w:p>
            <w:pPr>
              <w:pStyle w:val="null3"/>
              <w:jc w:val="left"/>
            </w:pPr>
            <w:r>
              <w:rPr>
                <w:rFonts w:ascii="仿宋_GB2312" w:hAnsi="仿宋_GB2312" w:cs="仿宋_GB2312" w:eastAsia="仿宋_GB2312"/>
              </w:rPr>
              <w:t>3、尾款，服务期满且最终履约验收合格后，采购人收到供应商出具的完税发票及凭证资料，达到付款条件起10日内，支付合同总金额的30.00%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（1）采购人及供应商必须遵守采购合同并执行合同中的各项规定，保证采购合同的正常履行。任何一方违约给对方造成的直接损失均负有赔偿责任，对方均有权视情况要求对方继续履行合同或提出解除合同。 （2）采购人及供应商就采购合同所产生的任何争议都应该进行友好协商，协商解决不成的，任何一方均可向项目所在地人民法院提起诉讼。诉讼费应由败诉方承担。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1、为保障项目顺利开展，供应商应提供类似履约业绩以及具有完成本项目拟投⼊的设备仪器。 2、为保障项目顺利开展，供应商应针对本项目配置项目团队。 3.为保障项目顺利开展，供应商应针对本项目提供下列内容： 3.1项目管理方案：①项目管理机构图及工作职能组织运行图、②内部管理职责分工、③考核办法。 3.2技术方案：①工作程序、②实施方案、③项目成果。 3.3安全保密措施及后续服务方案：①保密制度、安全保密措施，②后续服务人员配置方案、响应时间及保障措施。 3.4质量保证措施：①质量保证体系、②质量控制要求、③质量管控措施。 3.5工期保障措施：①工期进度保障措施、②工期安排计划。 4、质量要求：合格，达到国家以及行业相关标准，满足采购人的要求。 5、本项目采购和执行过程中，如有国家新标准、新政策，则按新标准、新政策执行。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详见本项目采购文件第三章</w:t>
      </w:r>
      <w:r>
        <w:rPr>
          <w:rFonts w:ascii="仿宋_GB2312" w:hAnsi="仿宋_GB2312" w:cs="仿宋_GB2312" w:eastAsia="仿宋_GB2312"/>
          <w:sz w:val="19"/>
          <w:color w:val="000000"/>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详见本项目采购文件第七章拟签订采购合同文本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度或2025年度，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注：供应商根据自身情况任意一种即可。</w:t>
            </w:r>
          </w:p>
        </w:tc>
        <w:tc>
          <w:tcPr>
            <w:tcW w:type="dxa" w:w="1661"/>
          </w:tcPr>
          <w:p>
            <w:pPr>
              <w:pStyle w:val="null3"/>
              <w:jc w:val="left"/>
            </w:pPr>
            <w:r>
              <w:rPr>
                <w:rFonts w:ascii="仿宋_GB2312" w:hAnsi="仿宋_GB2312" w:cs="仿宋_GB2312" w:eastAsia="仿宋_GB2312"/>
              </w:rPr>
              <w:t>具有健全的财务会计制度证明材料.docx,投标（响应）函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供应商须具有测绘地理信息行政主管部门颁发的乙级或以上测绘资质，专业范围须包括“地理信息系统工程”。</w:t>
            </w:r>
          </w:p>
        </w:tc>
        <w:tc>
          <w:tcPr>
            <w:tcW w:type="dxa" w:w="3322"/>
          </w:tcPr>
          <w:p>
            <w:pPr>
              <w:pStyle w:val="null3"/>
              <w:jc w:val="left"/>
            </w:pPr>
            <w:r>
              <w:rPr>
                <w:rFonts w:ascii="仿宋_GB2312" w:hAnsi="仿宋_GB2312" w:cs="仿宋_GB2312" w:eastAsia="仿宋_GB2312"/>
              </w:rPr>
              <w:t>供应商须具有测绘地理信息行政主管部门颁发的乙级或以上测绘资质，专业范围须包括“地理信息系统工程”。供应商需在使用投标(响应)客户端编制响应文件时，按要求上传相应资质证书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响应文件需满足磋商文件其他实质性要求</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技术方案、项目管理方案、质量保证措施、工期保障措施、安全保密措施及后续服务方案、拟投入的设备仪器、项目团队、履约经验</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项目管理方案</w:t>
            </w:r>
          </w:p>
        </w:tc>
        <w:tc>
          <w:tcPr>
            <w:tcW w:type="dxa" w:w="2575"/>
          </w:tcPr>
          <w:p>
            <w:pPr>
              <w:pStyle w:val="null3"/>
              <w:jc w:val="left"/>
            </w:pPr>
            <w:r>
              <w:rPr>
                <w:rFonts w:ascii="仿宋_GB2312" w:hAnsi="仿宋_GB2312" w:cs="仿宋_GB2312" w:eastAsia="仿宋_GB2312"/>
              </w:rPr>
              <w:t>根据供应商针对本项目提供的项目管理方案进行综合评审，方案包括但不限于：①项目管理机构图及工作职能组织运行图、②内部管理职责分工、③考核办法，方案包含以上内容且完全满足项目需求的得12分，每缺一项内容扣4分，每有一项有缺陷扣2分，本项得分扣完为止。 （缺陷为：非专门针对本项目或与实际情况不符、不适用；与对应部分的要求缺少关键节点内容（如仅有框架或标题、单项内容仅有复制招标内容的要求、涉及内容无重点、仅有框架概念无具体细节内容）；项目名称、服务内容及要求、实施地点、时间、涉及的规范与标准（方法）错误，与本项目要求不一致；明显套用其他项目方案；衔接时效无法满足本项目服务时间要求；凭空编造、不可能实现；存在与项目无关的文字内容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拟投入的设备仪器</w:t>
            </w:r>
          </w:p>
        </w:tc>
        <w:tc>
          <w:tcPr>
            <w:tcW w:type="dxa" w:w="2575"/>
          </w:tcPr>
          <w:p>
            <w:pPr>
              <w:pStyle w:val="null3"/>
              <w:jc w:val="left"/>
            </w:pPr>
            <w:r>
              <w:rPr>
                <w:rFonts w:ascii="仿宋_GB2312" w:hAnsi="仿宋_GB2312" w:cs="仿宋_GB2312" w:eastAsia="仿宋_GB2312"/>
              </w:rPr>
              <w:t>1、每多增加一台GNSS接收机，的得0.5分，本项满分2分。 2、每多增加一台全站仪的得0.5分。本项满分2分。 3、每多增加一台无人机的得1分。本项满分1分。 注：任意提供任意一种资料即可：①、自有设备的提供购买发票复印件加盖公章；②、租赁方式的提供租赁合同和发票复印件加盖公章；③、承诺成交后配备上述增加设备的，需提供承诺函原件并加盖公章（承诺函格式自拟）。 以上设备请自行统计汇总。未提供上述材料不得分。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w:t>
            </w:r>
          </w:p>
        </w:tc>
        <w:tc>
          <w:tcPr>
            <w:tcW w:type="dxa" w:w="2575"/>
          </w:tcPr>
          <w:p>
            <w:pPr>
              <w:pStyle w:val="null3"/>
              <w:jc w:val="left"/>
            </w:pPr>
            <w:r>
              <w:rPr>
                <w:rFonts w:ascii="仿宋_GB2312" w:hAnsi="仿宋_GB2312" w:cs="仿宋_GB2312" w:eastAsia="仿宋_GB2312"/>
              </w:rPr>
              <w:t>1、项目负责人：具有注册测绘师资格得3分，同时具有测绘类中级职称加1分，同时具有测绘类高级及以上职称加3分，本项最高得6分。 2、技术负责人：具有注册测绘师资格得3分；同时具有测绘类中级及以上职称加1分，本项最高得4分。 3、质量负责人：有测绘类中级职称得2分，具有测绘类高级及以上职称得3分，本项最高得3分。 4、投入本项目的项目组成员具有国土资源管理专业高级或以上职称得5分，具有国土资源管理专业中级职称得3分，本项最高得5分。 5、投入本项目的作业人员每具有测绘类专业中级职称及以上得1分，本项最高得7分。 注：以上人员均不重复计分，提供人员相关证书复印件及人员在供应商处履职的证明材料加盖供应商公章；不提供或提供不齐全不得分。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以来供应商每具有一个类似业绩（类似业绩指：国土变更调查、林草湿荒普查、耕林园“一张图”等项目业绩）得2分，最多得4分。注：提供中标/成交通知书或合同复印件，以通知书发出时间或合同签订时间为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供应商针对本项目提供的技术方案进行综合评审，方案包括但不限于：①工作程序、②实施方案、③项目成果，方案包含以上内容且完全满足项目需求的得12分，每缺一项内容扣4分，每有一项有缺陷扣2分，本项得分扣完为止。 （缺陷为：非专门针对本项目或与实际情况不符、不适用；与对应部分的要求缺少关键节点内容（如仅有框架或标题、单项内容仅有复制招标内容的要求、涉及内容无重点、仅有框架概念无具体细节内容）；项目名称、服务内容及要求、实施地点、时间、涉及的规范与标准（方法）错误，与本项目要求不一致；明显套用其他项目方案；衔接时效无法满足本项目服务时间要求；凭空编造、不可能实现；存在与项目无关的文字内容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安全保密措施及后续服务方案</w:t>
            </w:r>
          </w:p>
        </w:tc>
        <w:tc>
          <w:tcPr>
            <w:tcW w:type="dxa" w:w="2575"/>
          </w:tcPr>
          <w:p>
            <w:pPr>
              <w:pStyle w:val="null3"/>
              <w:jc w:val="left"/>
            </w:pPr>
            <w:r>
              <w:rPr>
                <w:rFonts w:ascii="仿宋_GB2312" w:hAnsi="仿宋_GB2312" w:cs="仿宋_GB2312" w:eastAsia="仿宋_GB2312"/>
              </w:rPr>
              <w:t>根据供应商针对本项目提供的安全保密措施及后续服务方案进行综合评审，方案包括但不限于：①保密制度、安全保密措施，②后续服务人员配置方案、响应时间及保障措施，方案包含以上内容且完全满足项目需求的得10分，每缺一项内容扣5分，每有一项有缺陷扣2.5分，本项得分扣完为止。 （缺陷为：非专门针对本项目或与实际情况不符、不适用；与对应部分的要求缺少关键节点内容（如仅有框架或标题、单项内容仅有复制招标内容的要求、涉及内容无重点、仅有框架概念无具体细节内容）；项目名称、服务内容及要求、实施地点、时间、涉及的规范与标准（方法）错误，与本项目要求不一致；明显套用其他项目方案；衔接时效无法满足本项目服务时间要求；凭空编造、不可能实现；存在与项目无关的文字内容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质量保证措施</w:t>
            </w:r>
          </w:p>
        </w:tc>
        <w:tc>
          <w:tcPr>
            <w:tcW w:type="dxa" w:w="2575"/>
          </w:tcPr>
          <w:p>
            <w:pPr>
              <w:pStyle w:val="null3"/>
              <w:jc w:val="left"/>
            </w:pPr>
            <w:r>
              <w:rPr>
                <w:rFonts w:ascii="仿宋_GB2312" w:hAnsi="仿宋_GB2312" w:cs="仿宋_GB2312" w:eastAsia="仿宋_GB2312"/>
              </w:rPr>
              <w:t>根据供应商针对本项目提供的质量保证措施进行综合评审，方案包括但不限于：①质量保证体系、②质量控制要求、③质量管控措施，方案包含以上内容且完全满足项目需求的得12分，每缺一项内容扣4分，每有一项有缺陷扣2分，本项得分扣完为止。 （缺陷为：非专门针对本项目或与实际情况不符、不适用；与对应部分的要求缺少关键节点内容（如仅有框架或标题、单项内容仅有复制招标内容的要求、涉及内容无重点、仅有框架概念无具体细节内容）；项目名称、服务内容及要求、实施地点、时间、涉及的规范与标准（方法）错误，与本项目要求不一致；明显套用其他项目方案；衔接时效无法满足本项目服务时间要求；凭空编造、不可能实现；存在与项目无关的文字内容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工期保障措施</w:t>
            </w:r>
          </w:p>
        </w:tc>
        <w:tc>
          <w:tcPr>
            <w:tcW w:type="dxa" w:w="2575"/>
          </w:tcPr>
          <w:p>
            <w:pPr>
              <w:pStyle w:val="null3"/>
              <w:jc w:val="left"/>
            </w:pPr>
            <w:r>
              <w:rPr>
                <w:rFonts w:ascii="仿宋_GB2312" w:hAnsi="仿宋_GB2312" w:cs="仿宋_GB2312" w:eastAsia="仿宋_GB2312"/>
              </w:rPr>
              <w:t>根据供应商针对本项目提供的工期保障措施进行综合评审，方案包括但不限于：①工期进度保障措施、②工期安排计划，方案包含以上内容且完全满足项目需求的得10分，每缺一项内容扣5分，每有一项有缺陷扣2.5分，本项得分扣完为止。 （缺陷为：非专门针对本项目或与实际情况不符、不适用；与对应部分的要求缺少关键节点内容（如仅有框架或标题、单项内容仅有复制招标内容的要求、涉及内容无重点、仅有框架概念无具体细节内容）；项目名称、服务内容及要求、实施地点、时间、涉及的规范与标准（方法）错误，与本项目要求不一致；明显套用其他项目方案；衔接时效无法满足本项目服务时间要求；凭空编造、不可能实现；存在与项目无关的文字内容等。）</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