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版本号：N510525202600008220260429002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金兰街道凤田村二组水边崩塌自动化监测项目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N5105252026000082</w:t>
      </w:r>
    </w:p>
    <w:p>
      <w:pPr>
        <w:pStyle w:val="null3"/>
        <w:jc w:val="center"/>
        <w:outlineLvl w:val="2"/>
      </w:pPr>
      <w:r>
        <w:rPr>
          <w:rFonts w:ascii="仿宋_GB2312" w:hAnsi="仿宋_GB2312" w:cs="仿宋_GB2312" w:eastAsia="仿宋_GB2312"/>
          <w:sz w:val="28"/>
          <w:b/>
        </w:rPr>
        <w:t>古蔺县自然资源和规划局</w:t>
      </w:r>
    </w:p>
    <w:p>
      <w:pPr>
        <w:pStyle w:val="null3"/>
        <w:jc w:val="center"/>
        <w:outlineLvl w:val="2"/>
      </w:pPr>
      <w:r>
        <w:rPr>
          <w:rFonts w:ascii="仿宋_GB2312" w:hAnsi="仿宋_GB2312" w:cs="仿宋_GB2312" w:eastAsia="仿宋_GB2312"/>
          <w:sz w:val="28"/>
          <w:b/>
        </w:rPr>
        <w:t>泸州誉鼎招标有限公司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泸州誉鼎招标有限公司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古蔺县自然资源和规划局</w:t>
      </w:r>
      <w:r>
        <w:rPr>
          <w:rFonts w:ascii="仿宋_GB2312" w:hAnsi="仿宋_GB2312" w:cs="仿宋_GB2312" w:eastAsia="仿宋_GB2312"/>
        </w:rPr>
        <w:t xml:space="preserve"> 委托，拟对 </w:t>
      </w:r>
      <w:r>
        <w:rPr>
          <w:rFonts w:ascii="仿宋_GB2312" w:hAnsi="仿宋_GB2312" w:cs="仿宋_GB2312" w:eastAsia="仿宋_GB2312"/>
        </w:rPr>
        <w:t>金兰街道凤田村二组水边崩塌自动化监测项目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N5105252026000082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金兰街道凤田村二组水边崩塌自动化监测项目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实施金兰街道凤田村二组水边崩塌自动化监测项目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1、供应商须具备自然资源主管部门颁发的地质灾害防治单位资质证书。（描述：具备自然资源主管部门颁发的地质灾害评估和治理工程勘查设计乙级及以上资质证书。提供证书复印件并进行电子签章）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古蔺县自然资源和规划局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四川省泸州市古蔺县彰德街道胜蔺街133号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扶先生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0830-7101864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泸州誉鼎招标有限公司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泸州市江阳区金融中心9号楼2003号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0830-2658086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采购包1：706,700.00元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代理服务费收费标准：本项目招标代理费用标准参照《招标代理服务收费管理暂行办法》（计价格〔2002〕1980号）收费标准计算，按此标准计算不足6000元的按6000元计取，由成交人在领取成交通知书前支付。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古蔺县自然资源和规划局</w:t>
      </w:r>
      <w:r>
        <w:rPr>
          <w:rFonts w:ascii="仿宋_GB2312" w:hAnsi="仿宋_GB2312" w:cs="仿宋_GB2312" w:eastAsia="仿宋_GB2312"/>
        </w:rPr>
        <w:t xml:space="preserve"> 和 </w:t>
      </w:r>
      <w:r>
        <w:rPr>
          <w:rFonts w:ascii="仿宋_GB2312" w:hAnsi="仿宋_GB2312" w:cs="仿宋_GB2312" w:eastAsia="仿宋_GB2312"/>
        </w:rPr>
        <w:t>泸州誉鼎招标有限公司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古蔺县自然资源和规划局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泸州誉鼎招标有限公司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完成合同约定的内容后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按照行业规定执行，合同中约定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商务要求的所有内容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按国家有关规定、磋商文件的要求、成交人的响应文件及承诺进行验收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按照行业规定执行，合同中约定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古蔺县自然资源和规划局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泸州誉鼎招标有限公司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泸州誉鼎招标有限公司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联系人：扶先生</w:t>
      </w:r>
    </w:p>
    <w:p>
      <w:pPr>
        <w:pStyle w:val="null3"/>
        <w:jc w:val="left"/>
      </w:pPr>
      <w:r>
        <w:rPr>
          <w:rFonts w:ascii="仿宋_GB2312" w:hAnsi="仿宋_GB2312" w:cs="仿宋_GB2312" w:eastAsia="仿宋_GB2312"/>
        </w:rPr>
        <w:t>联系电话：0830-7101864</w:t>
      </w:r>
    </w:p>
    <w:p>
      <w:pPr>
        <w:pStyle w:val="null3"/>
        <w:jc w:val="left"/>
      </w:pPr>
      <w:r>
        <w:rPr>
          <w:rFonts w:ascii="仿宋_GB2312" w:hAnsi="仿宋_GB2312" w:cs="仿宋_GB2312" w:eastAsia="仿宋_GB2312"/>
        </w:rPr>
        <w:t>地址：古蔺县彰德街道胜蔺街133号</w:t>
      </w:r>
    </w:p>
    <w:p>
      <w:pPr>
        <w:pStyle w:val="null3"/>
        <w:jc w:val="left"/>
      </w:pPr>
      <w:r>
        <w:rPr>
          <w:rFonts w:ascii="仿宋_GB2312" w:hAnsi="仿宋_GB2312" w:cs="仿宋_GB2312" w:eastAsia="仿宋_GB2312"/>
        </w:rPr>
        <w:t>邮编：646500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706,700.00</w:t>
      </w:r>
    </w:p>
    <w:p>
      <w:pPr>
        <w:pStyle w:val="null3"/>
        <w:jc w:val="left"/>
      </w:pPr>
      <w:r>
        <w:rPr>
          <w:rFonts w:ascii="仿宋_GB2312" w:hAnsi="仿宋_GB2312" w:cs="仿宋_GB2312" w:eastAsia="仿宋_GB2312"/>
        </w:rPr>
        <w:t>采购包最高限价（元）: 706,700.00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金兰街道凤田村二组水边崩塌自动化监测项目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706,700.00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金兰街道凤田村二组水边崩塌自动化监测项目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706,700.00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标的名称：金兰街道凤田村二组水边崩塌自动化监测项目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rPr>
              <w:t>一、服务内容及技术要求</w:t>
            </w:r>
            <w:r>
              <w:br/>
            </w:r>
            <w:r>
              <w:rPr>
                <w:rFonts w:ascii="仿宋_GB2312" w:hAnsi="仿宋_GB2312" w:cs="仿宋_GB2312" w:eastAsia="仿宋_GB2312"/>
              </w:rPr>
              <w:t xml:space="preserve"> 服务内容除包括监测点调查与选定、建设方案编制、设备安装、辖区内监测站点的运行和管护等服务外，还应包括地质灾害监测数据分析处理、预警信息发布、预警参数确定、应急响应处置（含突发灾情险情巡查排查、防灾宣传培训、应急避险技术指导等）及各级自然资源主管部门要求的其它地质灾害防治技术支撑服务事项。</w:t>
            </w:r>
            <w:r>
              <w:br/>
            </w:r>
            <w:r>
              <w:rPr>
                <w:rFonts w:ascii="仿宋_GB2312" w:hAnsi="仿宋_GB2312" w:cs="仿宋_GB2312" w:eastAsia="仿宋_GB2312"/>
              </w:rPr>
              <w:t xml:space="preserve"> 建设服务方案编制总体工作思路部署清楚、相关附图齐全、设备布局合理、安装规范、辖区内监测站点的运行管护措施到位、制度完善。具体如下：</w:t>
            </w:r>
            <w:r>
              <w:br/>
            </w:r>
            <w:r>
              <w:rPr>
                <w:rFonts w:ascii="仿宋_GB2312" w:hAnsi="仿宋_GB2312" w:cs="仿宋_GB2312" w:eastAsia="仿宋_GB2312"/>
              </w:rPr>
              <w:t xml:space="preserve"> 1.新选点位的设备服务内容：服务投标人负责“古蔺县金兰街道凤田村二组水边崩塌”地灾隐患点安装（裂缝计4套、雨量计1套、微震报警器35套、报警情报板2套、爆闪灯+停字牌（小）2套、爆闪灯+停字牌（大）2套、爆闪灯+报警广播2套、激光测距仪4套）自动化实时专业监测设备，并承担为期二年的专业监测服务（安装点位应按采购人需求和现场实地踏勘情况进行相应调整，点位和设备台数以踏勘选定后的方案和合同为准）。具体工作包括设备的采购、安装、站点建设、日常巡检维护，以及设备损坏、遗失后的维护、更换或补装。同时，承诺使用的地质灾害监测预警产品必须是四川省财政投资地质灾害专业监测设备动态名录库内的产品或者满足四川省财政投资地质灾害专业监测设备动态名录库技术要求的创新产品（承诺函格式自拟并加盖公章）。</w:t>
            </w:r>
            <w:r>
              <w:br/>
            </w:r>
            <w:r>
              <w:rPr>
                <w:rFonts w:ascii="仿宋_GB2312" w:hAnsi="仿宋_GB2312" w:cs="仿宋_GB2312" w:eastAsia="仿宋_GB2312"/>
              </w:rPr>
              <w:t xml:space="preserve"> 2. 拟新装设备隐患点的项目方案编制服务内容及要求：根据《地质灾害防治条例》（国务院令第394号）、《四川省地质灾害防治条例》、《四川省地质灾害专群结合监测预警技术规范》（2025.10）、自然资源部《地质灾害自动化仪器监测预警规范》（2024.01）、自然资源部《地质灾害监测数据通信技术要求》（2024.01）、《四川省地质灾害自动化监测预警项目管理工作指引》等有关文件要求，为进一步加强我县地质灾害监测预警预报能力建设，不断提升地质灾害防范科技水平和监测预警水平，实现地质灾害防治工作从“人防到技防”的转变，保障全县经济社会发展和人民群众生命财产安全，强化地质灾害监测预警的科技水平与能力提升是当前尤为迫切的任务，为后期预警水平的提升打基础，为全省地质灾害大数据研究提供基础数据。服务投标人负责开展地质灾害隐患监测点的勘查与选定，并根据已编制完成的《古蔺县金兰街道凤田村二组水边崩塌自动化监测项目监测设计方案》进行实施，项目方案通过古蔺县自然资源和规划局组织的地灾专家库专家审查。</w:t>
            </w:r>
            <w:r>
              <w:br/>
            </w:r>
            <w:r>
              <w:rPr>
                <w:rFonts w:ascii="仿宋_GB2312" w:hAnsi="仿宋_GB2312" w:cs="仿宋_GB2312" w:eastAsia="仿宋_GB2312"/>
              </w:rPr>
              <w:t xml:space="preserve"> 3.提供数据库平台管护及数据监测、预警服务内容：通过数据库平台为1处地灾隐患点（裂缝计4套、雨量计1套）等设备（数量详见表 1）提供数据对接、监测和预警发布。具体工作包含但不仅限于地质灾害专业监测预警与数据库平台的软件升级和硬件维护，确保省、市两级地质环境信息管理系统的互联互通、正常运 行，以及监测信息分析处理、预警信息发布、预警阈值动态设定、应急响应处置（含突发灾情 险情巡查排查、防灾知识宣传培训、避险演练技术指导）及市、县自然资源主管部门要求的其 它地质灾害防灾技术支撑服务事项。</w:t>
            </w:r>
            <w:r>
              <w:br/>
            </w:r>
            <w:r>
              <w:rPr>
                <w:rFonts w:ascii="仿宋_GB2312" w:hAnsi="仿宋_GB2312" w:cs="仿宋_GB2312" w:eastAsia="仿宋_GB2312"/>
              </w:rPr>
              <w:t xml:space="preserve"> 4.设备移机服务服务内容：安装有设备的地灾隐患点如因采取工程措施、避险搬迁等原因需要迁移，中标人负责设备拆除和迁移。</w:t>
            </w:r>
          </w:p>
          <w:p>
            <w:pPr>
              <w:pStyle w:val="null3"/>
              <w:jc w:val="left"/>
            </w:pPr>
            <w:r>
              <w:rPr>
                <w:rFonts w:ascii="仿宋_GB2312" w:hAnsi="仿宋_GB2312" w:cs="仿宋_GB2312" w:eastAsia="仿宋_GB2312"/>
              </w:rPr>
              <w:t>表1   设备技术参数及数量</w:t>
            </w:r>
          </w:p>
          <w:tbl>
            <w:tblPr>
              <w:tblInd w:type="dxa" w:w="105"/>
              <w:tblBorders>
                <w:top w:val="none" w:color="000000" w:sz="4"/>
                <w:left w:val="none" w:color="000000" w:sz="4"/>
                <w:bottom w:val="none" w:color="000000" w:sz="4"/>
                <w:right w:val="none" w:color="000000" w:sz="4"/>
                <w:insideH w:val="none"/>
                <w:insideV w:val="none"/>
              </w:tblBorders>
            </w:tblPr>
            <w:tblGrid>
              <w:gridCol w:w="333"/>
              <w:gridCol w:w="1074"/>
              <w:gridCol w:w="3389"/>
              <w:gridCol w:w="439"/>
              <w:gridCol w:w="363"/>
            </w:tblGrid>
            <w:tr>
              <w:tc>
                <w:tcPr>
                  <w:tcW w:type="dxa" w:w="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10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分类</w:t>
                  </w:r>
                </w:p>
              </w:tc>
              <w:tc>
                <w:tcPr>
                  <w:tcW w:type="dxa" w:w="338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技术要求</w:t>
                  </w:r>
                </w:p>
              </w:tc>
              <w:tc>
                <w:tcPr>
                  <w:tcW w:type="dxa" w:w="4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数量</w:t>
                  </w:r>
                </w:p>
              </w:tc>
              <w:tc>
                <w:tcPr>
                  <w:tcW w:type="dxa" w:w="3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单位</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雨量计</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量程</w:t>
                  </w:r>
                  <w:r>
                    <w:rPr>
                      <w:rFonts w:ascii="仿宋_GB2312" w:hAnsi="仿宋_GB2312" w:cs="仿宋_GB2312" w:eastAsia="仿宋_GB2312"/>
                      <w:sz w:val="20"/>
                    </w:rPr>
                    <w:t>0~4mm/min，</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±0.5mm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网络</w:t>
                  </w:r>
                  <w:r>
                    <w:rPr>
                      <w:rFonts w:ascii="仿宋_GB2312" w:hAnsi="仿宋_GB2312" w:cs="仿宋_GB2312" w:eastAsia="仿宋_GB2312"/>
                      <w:sz w:val="20"/>
                    </w:rPr>
                    <w:t>4G全网通、LORA</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通讯协议</w:t>
                  </w:r>
                  <w:r>
                    <w:rPr>
                      <w:rFonts w:ascii="仿宋_GB2312" w:hAnsi="仿宋_GB2312" w:cs="仿宋_GB2312" w:eastAsia="仿宋_GB2312"/>
                      <w:sz w:val="20"/>
                    </w:rPr>
                    <w:t>支持</w:t>
                  </w:r>
                  <w:r>
                    <w:rPr>
                      <w:rFonts w:ascii="仿宋_GB2312" w:hAnsi="仿宋_GB2312" w:cs="仿宋_GB2312" w:eastAsia="仿宋_GB2312"/>
                      <w:sz w:val="20"/>
                    </w:rPr>
                    <w:t>MQTT、HTTP、TCP、云平台；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数据传输</w:t>
                  </w:r>
                  <w:r>
                    <w:rPr>
                      <w:rFonts w:ascii="仿宋_GB2312" w:hAnsi="仿宋_GB2312" w:cs="仿宋_GB2312" w:eastAsia="仿宋_GB2312"/>
                      <w:sz w:val="20"/>
                    </w:rPr>
                    <w:t>定时上传、自适应上传、手动召测；</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裂缝计</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测量范围</w:t>
                  </w:r>
                  <w:r>
                    <w:rPr>
                      <w:rFonts w:ascii="仿宋_GB2312" w:hAnsi="仿宋_GB2312" w:cs="仿宋_GB2312" w:eastAsia="仿宋_GB2312"/>
                      <w:sz w:val="20"/>
                    </w:rPr>
                    <w:t>0～500cm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测量精度</w:t>
                  </w:r>
                  <w:r>
                    <w:rPr>
                      <w:rFonts w:ascii="仿宋_GB2312" w:hAnsi="仿宋_GB2312" w:cs="仿宋_GB2312" w:eastAsia="仿宋_GB2312"/>
                      <w:sz w:val="20"/>
                    </w:rPr>
                    <w:t>±0.1%F·S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采样间隔</w:t>
                  </w:r>
                  <w:r>
                    <w:rPr>
                      <w:rFonts w:ascii="仿宋_GB2312" w:hAnsi="仿宋_GB2312" w:cs="仿宋_GB2312" w:eastAsia="仿宋_GB2312"/>
                      <w:sz w:val="20"/>
                    </w:rPr>
                    <w:t>0s～72h</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上传间隔</w:t>
                  </w:r>
                  <w:r>
                    <w:rPr>
                      <w:rFonts w:ascii="仿宋_GB2312" w:hAnsi="仿宋_GB2312" w:cs="仿宋_GB2312" w:eastAsia="仿宋_GB2312"/>
                      <w:sz w:val="20"/>
                    </w:rPr>
                    <w:t>0s～72h</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工作温度</w:t>
                  </w:r>
                  <w:r>
                    <w:rPr>
                      <w:rFonts w:ascii="仿宋_GB2312" w:hAnsi="仿宋_GB2312" w:cs="仿宋_GB2312" w:eastAsia="仿宋_GB2312"/>
                      <w:sz w:val="20"/>
                    </w:rPr>
                    <w:t>-20℃~+65℃</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防护等级</w:t>
                  </w:r>
                  <w:r>
                    <w:rPr>
                      <w:rFonts w:ascii="仿宋_GB2312" w:hAnsi="仿宋_GB2312" w:cs="仿宋_GB2312" w:eastAsia="仿宋_GB2312"/>
                      <w:sz w:val="20"/>
                    </w:rPr>
                    <w:t>IP66 及以上</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微震报警器</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微振检测器</w:t>
                  </w:r>
                  <w:r>
                    <w:rPr>
                      <w:rFonts w:ascii="仿宋_GB2312" w:hAnsi="仿宋_GB2312" w:cs="仿宋_GB2312" w:eastAsia="仿宋_GB2312"/>
                      <w:sz w:val="20"/>
                    </w:rPr>
                    <w:t>0~50 mm/s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无线发射器</w:t>
                  </w:r>
                  <w:r>
                    <w:rPr>
                      <w:rFonts w:ascii="仿宋_GB2312" w:hAnsi="仿宋_GB2312" w:cs="仿宋_GB2312" w:eastAsia="仿宋_GB2312"/>
                      <w:sz w:val="20"/>
                    </w:rPr>
                    <w:t>通道数：</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频率：</w:t>
                  </w:r>
                  <w:r>
                    <w:rPr>
                      <w:rFonts w:ascii="仿宋_GB2312" w:hAnsi="仿宋_GB2312" w:cs="仿宋_GB2312" w:eastAsia="仿宋_GB2312"/>
                      <w:sz w:val="20"/>
                    </w:rPr>
                    <w:t>410～435MHz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传输距离：无遮挡大于</w:t>
                  </w:r>
                  <w:r>
                    <w:rPr>
                      <w:rFonts w:ascii="仿宋_GB2312" w:hAnsi="仿宋_GB2312" w:cs="仿宋_GB2312" w:eastAsia="仿宋_GB2312"/>
                      <w:sz w:val="20"/>
                    </w:rPr>
                    <w:t>2km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太阳能板</w:t>
                  </w:r>
                  <w:r>
                    <w:rPr>
                      <w:rFonts w:ascii="仿宋_GB2312" w:hAnsi="仿宋_GB2312" w:cs="仿宋_GB2312" w:eastAsia="仿宋_GB2312"/>
                      <w:sz w:val="20"/>
                    </w:rPr>
                    <w:t>20W 6V单晶硅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电池</w:t>
                  </w:r>
                  <w:r>
                    <w:rPr>
                      <w:rFonts w:ascii="仿宋_GB2312" w:hAnsi="仿宋_GB2312" w:cs="仿宋_GB2312" w:eastAsia="仿宋_GB2312"/>
                      <w:sz w:val="20"/>
                    </w:rPr>
                    <w:t>20AH锂电池</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报警情报板</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语音广播器</w:t>
                  </w:r>
                  <w:r>
                    <w:rPr>
                      <w:rFonts w:ascii="仿宋_GB2312" w:hAnsi="仿宋_GB2312" w:cs="仿宋_GB2312" w:eastAsia="仿宋_GB2312"/>
                      <w:sz w:val="20"/>
                    </w:rPr>
                    <w:t>10通道预置语音，功率&gt;80W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网络：双网络（</w:t>
                  </w:r>
                  <w:r>
                    <w:rPr>
                      <w:rFonts w:ascii="仿宋_GB2312" w:hAnsi="仿宋_GB2312" w:cs="仿宋_GB2312" w:eastAsia="仿宋_GB2312"/>
                      <w:sz w:val="20"/>
                    </w:rPr>
                    <w:t>4G、LORA本地组网）；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传输距离：无遮挡大于</w:t>
                  </w:r>
                  <w:r>
                    <w:rPr>
                      <w:rFonts w:ascii="仿宋_GB2312" w:hAnsi="仿宋_GB2312" w:cs="仿宋_GB2312" w:eastAsia="仿宋_GB2312"/>
                      <w:sz w:val="20"/>
                    </w:rPr>
                    <w:t>2km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可见度：大于</w:t>
                  </w:r>
                  <w:r>
                    <w:rPr>
                      <w:rFonts w:ascii="仿宋_GB2312" w:hAnsi="仿宋_GB2312" w:cs="仿宋_GB2312" w:eastAsia="仿宋_GB2312"/>
                      <w:sz w:val="20"/>
                    </w:rPr>
                    <w:t>300m，500m可见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分</w:t>
                  </w:r>
                  <w:r>
                    <w:rPr>
                      <w:rFonts w:ascii="仿宋_GB2312" w:hAnsi="仿宋_GB2312" w:cs="仿宋_GB2312" w:eastAsia="仿宋_GB2312"/>
                      <w:sz w:val="20"/>
                    </w:rPr>
                    <w:t>贝</w:t>
                  </w:r>
                  <w:r>
                    <w:rPr>
                      <w:rFonts w:ascii="仿宋_GB2312" w:hAnsi="仿宋_GB2312" w:cs="仿宋_GB2312" w:eastAsia="仿宋_GB2312"/>
                      <w:sz w:val="20"/>
                    </w:rPr>
                    <w:t>&gt;120dB</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爆闪灯</w:t>
                  </w:r>
                  <w:r>
                    <w:rPr>
                      <w:rFonts w:ascii="仿宋_GB2312" w:hAnsi="仿宋_GB2312" w:cs="仿宋_GB2312" w:eastAsia="仿宋_GB2312"/>
                      <w:sz w:val="20"/>
                    </w:rPr>
                    <w:t>+停字牌(大)</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灯壳体积</w:t>
                  </w:r>
                  <w:r>
                    <w:rPr>
                      <w:rFonts w:ascii="仿宋_GB2312" w:hAnsi="仿宋_GB2312" w:cs="仿宋_GB2312" w:eastAsia="仿宋_GB2312"/>
                      <w:sz w:val="20"/>
                    </w:rPr>
                    <w:t>75mm×120mm×15mm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太阳能板</w:t>
                  </w:r>
                  <w:r>
                    <w:rPr>
                      <w:rFonts w:ascii="仿宋_GB2312" w:hAnsi="仿宋_GB2312" w:cs="仿宋_GB2312" w:eastAsia="仿宋_GB2312"/>
                      <w:sz w:val="20"/>
                    </w:rPr>
                    <w:t>30W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工作电压</w:t>
                  </w:r>
                  <w:r>
                    <w:rPr>
                      <w:rFonts w:ascii="仿宋_GB2312" w:hAnsi="仿宋_GB2312" w:cs="仿宋_GB2312" w:eastAsia="仿宋_GB2312"/>
                      <w:sz w:val="20"/>
                    </w:rPr>
                    <w:t>12V（可定制220V接入）；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网络</w:t>
                  </w:r>
                  <w:r>
                    <w:rPr>
                      <w:rFonts w:ascii="仿宋_GB2312" w:hAnsi="仿宋_GB2312" w:cs="仿宋_GB2312" w:eastAsia="仿宋_GB2312"/>
                      <w:sz w:val="20"/>
                    </w:rPr>
                    <w:t>LORA（本地组网）；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接收距离</w:t>
                  </w:r>
                  <w:r>
                    <w:rPr>
                      <w:rFonts w:ascii="仿宋_GB2312" w:hAnsi="仿宋_GB2312" w:cs="仿宋_GB2312" w:eastAsia="仿宋_GB2312"/>
                      <w:sz w:val="20"/>
                    </w:rPr>
                    <w:t>无遮挡时</w:t>
                  </w:r>
                  <w:r>
                    <w:rPr>
                      <w:rFonts w:ascii="仿宋_GB2312" w:hAnsi="仿宋_GB2312" w:cs="仿宋_GB2312" w:eastAsia="仿宋_GB2312"/>
                      <w:sz w:val="20"/>
                    </w:rPr>
                    <w:t>&gt;2km；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警示距离</w:t>
                  </w:r>
                  <w:r>
                    <w:rPr>
                      <w:rFonts w:ascii="仿宋_GB2312" w:hAnsi="仿宋_GB2312" w:cs="仿宋_GB2312" w:eastAsia="仿宋_GB2312"/>
                      <w:sz w:val="20"/>
                    </w:rPr>
                    <w:t>＞</w:t>
                  </w:r>
                  <w:r>
                    <w:rPr>
                      <w:rFonts w:ascii="仿宋_GB2312" w:hAnsi="仿宋_GB2312" w:cs="仿宋_GB2312" w:eastAsia="仿宋_GB2312"/>
                      <w:sz w:val="20"/>
                    </w:rPr>
                    <w:t>2000米(夜间)。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预留语音</w:t>
                  </w:r>
                  <w:r>
                    <w:rPr>
                      <w:rFonts w:ascii="仿宋_GB2312" w:hAnsi="仿宋_GB2312" w:cs="仿宋_GB2312" w:eastAsia="仿宋_GB2312"/>
                      <w:sz w:val="20"/>
                    </w:rPr>
                    <w:t>10组语音，单次/循环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喇叭功率</w:t>
                  </w:r>
                  <w:r>
                    <w:rPr>
                      <w:rFonts w:ascii="仿宋_GB2312" w:hAnsi="仿宋_GB2312" w:cs="仿宋_GB2312" w:eastAsia="仿宋_GB2312"/>
                      <w:sz w:val="20"/>
                    </w:rPr>
                    <w:t>100W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分贝</w:t>
                  </w:r>
                  <w:r>
                    <w:rPr>
                      <w:rFonts w:ascii="仿宋_GB2312" w:hAnsi="仿宋_GB2312" w:cs="仿宋_GB2312" w:eastAsia="仿宋_GB2312"/>
                      <w:sz w:val="20"/>
                    </w:rPr>
                    <w:t xml:space="preserve"> </w:t>
                  </w:r>
                  <w:r>
                    <w:rPr>
                      <w:rFonts w:ascii="仿宋_GB2312" w:hAnsi="仿宋_GB2312" w:cs="仿宋_GB2312" w:eastAsia="仿宋_GB2312"/>
                      <w:sz w:val="20"/>
                    </w:rPr>
                    <w:t>&gt;120 dB</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工作温度</w:t>
                  </w:r>
                  <w:r>
                    <w:rPr>
                      <w:rFonts w:ascii="仿宋_GB2312" w:hAnsi="仿宋_GB2312" w:cs="仿宋_GB2312" w:eastAsia="仿宋_GB2312"/>
                      <w:sz w:val="20"/>
                    </w:rPr>
                    <w:t>-40～60℃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工作湿度</w:t>
                  </w:r>
                  <w:r>
                    <w:rPr>
                      <w:rFonts w:ascii="仿宋_GB2312" w:hAnsi="仿宋_GB2312" w:cs="仿宋_GB2312" w:eastAsia="仿宋_GB2312"/>
                      <w:sz w:val="20"/>
                    </w:rPr>
                    <w:t>0～90%</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爆闪灯</w:t>
                  </w:r>
                  <w:r>
                    <w:rPr>
                      <w:rFonts w:ascii="仿宋_GB2312" w:hAnsi="仿宋_GB2312" w:cs="仿宋_GB2312" w:eastAsia="仿宋_GB2312"/>
                      <w:sz w:val="20"/>
                    </w:rPr>
                    <w:t>+停字牌(小)</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）灯壳体积</w:t>
                  </w:r>
                  <w:r>
                    <w:rPr>
                      <w:rFonts w:ascii="仿宋_GB2312" w:hAnsi="仿宋_GB2312" w:cs="仿宋_GB2312" w:eastAsia="仿宋_GB2312"/>
                      <w:sz w:val="20"/>
                    </w:rPr>
                    <w:t>60mm×80mm×15mm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）太阳能板</w:t>
                  </w:r>
                  <w:r>
                    <w:rPr>
                      <w:rFonts w:ascii="仿宋_GB2312" w:hAnsi="仿宋_GB2312" w:cs="仿宋_GB2312" w:eastAsia="仿宋_GB2312"/>
                      <w:sz w:val="20"/>
                    </w:rPr>
                    <w:t>30W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）工作电压</w:t>
                  </w:r>
                  <w:r>
                    <w:rPr>
                      <w:rFonts w:ascii="仿宋_GB2312" w:hAnsi="仿宋_GB2312" w:cs="仿宋_GB2312" w:eastAsia="仿宋_GB2312"/>
                      <w:sz w:val="20"/>
                    </w:rPr>
                    <w:t>12V（可定制220V接入）；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）网络</w:t>
                  </w:r>
                  <w:r>
                    <w:rPr>
                      <w:rFonts w:ascii="仿宋_GB2312" w:hAnsi="仿宋_GB2312" w:cs="仿宋_GB2312" w:eastAsia="仿宋_GB2312"/>
                      <w:sz w:val="20"/>
                    </w:rPr>
                    <w:t>LORA（本地组网）；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）接收距离</w:t>
                  </w:r>
                  <w:r>
                    <w:rPr>
                      <w:rFonts w:ascii="仿宋_GB2312" w:hAnsi="仿宋_GB2312" w:cs="仿宋_GB2312" w:eastAsia="仿宋_GB2312"/>
                      <w:sz w:val="20"/>
                    </w:rPr>
                    <w:t>无遮挡时</w:t>
                  </w:r>
                  <w:r>
                    <w:rPr>
                      <w:rFonts w:ascii="仿宋_GB2312" w:hAnsi="仿宋_GB2312" w:cs="仿宋_GB2312" w:eastAsia="仿宋_GB2312"/>
                      <w:sz w:val="20"/>
                    </w:rPr>
                    <w:t>&gt;2km；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）警示距离</w:t>
                  </w:r>
                  <w:r>
                    <w:rPr>
                      <w:rFonts w:ascii="仿宋_GB2312" w:hAnsi="仿宋_GB2312" w:cs="仿宋_GB2312" w:eastAsia="仿宋_GB2312"/>
                      <w:sz w:val="20"/>
                    </w:rPr>
                    <w:t>＞</w:t>
                  </w:r>
                  <w:r>
                    <w:rPr>
                      <w:rFonts w:ascii="仿宋_GB2312" w:hAnsi="仿宋_GB2312" w:cs="仿宋_GB2312" w:eastAsia="仿宋_GB2312"/>
                      <w:sz w:val="20"/>
                    </w:rPr>
                    <w:t>2000米(夜间)。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）预留语音</w:t>
                  </w:r>
                  <w:r>
                    <w:rPr>
                      <w:rFonts w:ascii="仿宋_GB2312" w:hAnsi="仿宋_GB2312" w:cs="仿宋_GB2312" w:eastAsia="仿宋_GB2312"/>
                      <w:sz w:val="20"/>
                    </w:rPr>
                    <w:t>10组语音，单次/循环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）喇叭功率</w:t>
                  </w:r>
                  <w:r>
                    <w:rPr>
                      <w:rFonts w:ascii="仿宋_GB2312" w:hAnsi="仿宋_GB2312" w:cs="仿宋_GB2312" w:eastAsia="仿宋_GB2312"/>
                      <w:sz w:val="20"/>
                    </w:rPr>
                    <w:t>100W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分贝</w:t>
                  </w:r>
                  <w:r>
                    <w:rPr>
                      <w:rFonts w:ascii="仿宋_GB2312" w:hAnsi="仿宋_GB2312" w:cs="仿宋_GB2312" w:eastAsia="仿宋_GB2312"/>
                      <w:sz w:val="20"/>
                    </w:rPr>
                    <w:t>&gt;120 dB</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）工作温度</w:t>
                  </w:r>
                  <w:r>
                    <w:rPr>
                      <w:rFonts w:ascii="仿宋_GB2312" w:hAnsi="仿宋_GB2312" w:cs="仿宋_GB2312" w:eastAsia="仿宋_GB2312"/>
                      <w:sz w:val="20"/>
                    </w:rPr>
                    <w:t>-40～60℃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）工作湿度</w:t>
                  </w:r>
                  <w:r>
                    <w:rPr>
                      <w:rFonts w:ascii="仿宋_GB2312" w:hAnsi="仿宋_GB2312" w:cs="仿宋_GB2312" w:eastAsia="仿宋_GB2312"/>
                      <w:sz w:val="20"/>
                    </w:rPr>
                    <w:t>0～90%</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爆闪灯</w:t>
                  </w:r>
                  <w:r>
                    <w:rPr>
                      <w:rFonts w:ascii="仿宋_GB2312" w:hAnsi="仿宋_GB2312" w:cs="仿宋_GB2312" w:eastAsia="仿宋_GB2312"/>
                      <w:sz w:val="20"/>
                    </w:rPr>
                    <w:t>+报警广播</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）双向爆闪灯</w:t>
                  </w:r>
                  <w:r>
                    <w:rPr>
                      <w:rFonts w:ascii="仿宋_GB2312" w:hAnsi="仿宋_GB2312" w:cs="仿宋_GB2312" w:eastAsia="仿宋_GB2312"/>
                      <w:sz w:val="20"/>
                    </w:rPr>
                    <w:t>4组 150*190红蓝2色</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）语音广播器</w:t>
                  </w:r>
                  <w:r>
                    <w:rPr>
                      <w:rFonts w:ascii="仿宋_GB2312" w:hAnsi="仿宋_GB2312" w:cs="仿宋_GB2312" w:eastAsia="仿宋_GB2312"/>
                      <w:sz w:val="20"/>
                    </w:rPr>
                    <w:t>通道数：</w:t>
                  </w:r>
                  <w:r>
                    <w:rPr>
                      <w:rFonts w:ascii="仿宋_GB2312" w:hAnsi="仿宋_GB2312" w:cs="仿宋_GB2312" w:eastAsia="仿宋_GB2312"/>
                      <w:sz w:val="20"/>
                    </w:rPr>
                    <w:t>10个预置语音，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）功率：</w:t>
                  </w:r>
                  <w:r>
                    <w:rPr>
                      <w:rFonts w:ascii="仿宋_GB2312" w:hAnsi="仿宋_GB2312" w:cs="仿宋_GB2312" w:eastAsia="仿宋_GB2312"/>
                      <w:sz w:val="20"/>
                    </w:rPr>
                    <w:t>&gt;80W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）无线接收器</w:t>
                  </w:r>
                  <w:r>
                    <w:rPr>
                      <w:rFonts w:ascii="仿宋_GB2312" w:hAnsi="仿宋_GB2312" w:cs="仿宋_GB2312" w:eastAsia="仿宋_GB2312"/>
                      <w:sz w:val="20"/>
                    </w:rPr>
                    <w:t>通道数：</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）频率：</w:t>
                  </w:r>
                  <w:r>
                    <w:rPr>
                      <w:rFonts w:ascii="仿宋_GB2312" w:hAnsi="仿宋_GB2312" w:cs="仿宋_GB2312" w:eastAsia="仿宋_GB2312"/>
                      <w:sz w:val="20"/>
                    </w:rPr>
                    <w:t>415MHz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）传输距离：无遮挡大于</w:t>
                  </w:r>
                  <w:r>
                    <w:rPr>
                      <w:rFonts w:ascii="仿宋_GB2312" w:hAnsi="仿宋_GB2312" w:cs="仿宋_GB2312" w:eastAsia="仿宋_GB2312"/>
                      <w:sz w:val="20"/>
                    </w:rPr>
                    <w:t>2km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）太阳能板</w:t>
                  </w:r>
                  <w:r>
                    <w:rPr>
                      <w:rFonts w:ascii="仿宋_GB2312" w:hAnsi="仿宋_GB2312" w:cs="仿宋_GB2312" w:eastAsia="仿宋_GB2312"/>
                      <w:sz w:val="20"/>
                    </w:rPr>
                    <w:t>18V20W单晶硅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）电池</w:t>
                  </w:r>
                  <w:r>
                    <w:rPr>
                      <w:rFonts w:ascii="仿宋_GB2312" w:hAnsi="仿宋_GB2312" w:cs="仿宋_GB2312" w:eastAsia="仿宋_GB2312"/>
                      <w:sz w:val="20"/>
                    </w:rPr>
                    <w:t>12V-20AH</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r>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10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激光测距仪</w:t>
                  </w:r>
                </w:p>
              </w:tc>
              <w:tc>
                <w:tcPr>
                  <w:tcW w:type="dxa" w:w="33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）测量范围</w:t>
                  </w:r>
                  <w:r>
                    <w:rPr>
                      <w:rFonts w:ascii="仿宋_GB2312" w:hAnsi="仿宋_GB2312" w:cs="仿宋_GB2312" w:eastAsia="仿宋_GB2312"/>
                      <w:sz w:val="20"/>
                    </w:rPr>
                    <w:t>0.2m至20m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）测量精度</w:t>
                  </w:r>
                  <w:r>
                    <w:rPr>
                      <w:rFonts w:ascii="仿宋_GB2312" w:hAnsi="仿宋_GB2312" w:cs="仿宋_GB2312" w:eastAsia="仿宋_GB2312"/>
                      <w:sz w:val="20"/>
                    </w:rPr>
                    <w:t>典型值：</w:t>
                  </w:r>
                  <w:r>
                    <w:rPr>
                      <w:rFonts w:ascii="仿宋_GB2312" w:hAnsi="仿宋_GB2312" w:cs="仿宋_GB2312" w:eastAsia="仿宋_GB2312"/>
                      <w:sz w:val="20"/>
                    </w:rPr>
                    <w:t>±2mm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）最小分辨率</w:t>
                  </w:r>
                  <w:r>
                    <w:rPr>
                      <w:rFonts w:ascii="仿宋_GB2312" w:hAnsi="仿宋_GB2312" w:cs="仿宋_GB2312" w:eastAsia="仿宋_GB2312"/>
                      <w:sz w:val="20"/>
                    </w:rPr>
                    <w:t>1mm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）激光种类</w:t>
                  </w:r>
                  <w:r>
                    <w:rPr>
                      <w:rFonts w:ascii="仿宋_GB2312" w:hAnsi="仿宋_GB2312" w:cs="仿宋_GB2312" w:eastAsia="仿宋_GB2312"/>
                      <w:sz w:val="20"/>
                    </w:rPr>
                    <w:t>635nm，红色激光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）激光等级</w:t>
                  </w:r>
                  <w:r>
                    <w:rPr>
                      <w:rFonts w:ascii="仿宋_GB2312" w:hAnsi="仿宋_GB2312" w:cs="仿宋_GB2312" w:eastAsia="仿宋_GB2312"/>
                      <w:sz w:val="20"/>
                    </w:rPr>
                    <w:t>Ⅱ级，功率&lt;1mW</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）测量方式</w:t>
                  </w:r>
                  <w:r>
                    <w:rPr>
                      <w:rFonts w:ascii="仿宋_GB2312" w:hAnsi="仿宋_GB2312" w:cs="仿宋_GB2312" w:eastAsia="仿宋_GB2312"/>
                      <w:sz w:val="20"/>
                    </w:rPr>
                    <w:t>单次测量、连续测量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）操作方式</w:t>
                  </w:r>
                  <w:r>
                    <w:rPr>
                      <w:rFonts w:ascii="仿宋_GB2312" w:hAnsi="仿宋_GB2312" w:cs="仿宋_GB2312" w:eastAsia="仿宋_GB2312"/>
                      <w:sz w:val="20"/>
                    </w:rPr>
                    <w:t>默认上位机指令控制</w:t>
                  </w:r>
                </w:p>
                <w:p>
                  <w:pPr>
                    <w:pStyle w:val="null3"/>
                    <w:jc w:val="both"/>
                  </w:pPr>
                  <w:r>
                    <w:rPr>
                      <w:rFonts w:ascii="仿宋_GB2312" w:hAnsi="仿宋_GB2312" w:cs="仿宋_GB2312" w:eastAsia="仿宋_GB2312"/>
                      <w:sz w:val="20"/>
                    </w:rPr>
                    <w:t>或上电自动测量（定制）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）电源输入</w:t>
                  </w:r>
                  <w:r>
                    <w:rPr>
                      <w:rFonts w:ascii="仿宋_GB2312" w:hAnsi="仿宋_GB2312" w:cs="仿宋_GB2312" w:eastAsia="仿宋_GB2312"/>
                      <w:sz w:val="20"/>
                    </w:rPr>
                    <w:t>DC 9~24V/1A</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）输出方式</w:t>
                  </w:r>
                  <w:r>
                    <w:rPr>
                      <w:rFonts w:ascii="仿宋_GB2312" w:hAnsi="仿宋_GB2312" w:cs="仿宋_GB2312" w:eastAsia="仿宋_GB2312"/>
                      <w:sz w:val="20"/>
                    </w:rPr>
                    <w:t>RS485、 modbus、 RTU串口输出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）温度范围</w:t>
                  </w:r>
                  <w:r>
                    <w:rPr>
                      <w:rFonts w:ascii="仿宋_GB2312" w:hAnsi="仿宋_GB2312" w:cs="仿宋_GB2312" w:eastAsia="仿宋_GB2312"/>
                      <w:sz w:val="20"/>
                    </w:rPr>
                    <w:t>储存温度：</w:t>
                  </w:r>
                  <w:r>
                    <w:rPr>
                      <w:rFonts w:ascii="仿宋_GB2312" w:hAnsi="仿宋_GB2312" w:cs="仿宋_GB2312" w:eastAsia="仿宋_GB2312"/>
                      <w:sz w:val="20"/>
                    </w:rPr>
                    <w:t>-20℃至70℃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）工作温度：</w:t>
                  </w:r>
                  <w:r>
                    <w:rPr>
                      <w:rFonts w:ascii="仿宋_GB2312" w:hAnsi="仿宋_GB2312" w:cs="仿宋_GB2312" w:eastAsia="仿宋_GB2312"/>
                      <w:sz w:val="20"/>
                    </w:rPr>
                    <w:t>-10℃至50℃</w:t>
                  </w:r>
                </w:p>
              </w:tc>
              <w:tc>
                <w:tcPr>
                  <w:tcW w:type="dxa" w:w="4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自合同签订之日起两年。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采购人应严格按照《财政部关于进一步加强政府采购需求和履约验收管理的指导意见》(财库〔2016〕205 号)、《政府采购需求管理办法》 (财库〔2021〕22 号)的相关要求进行验收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1、完工后，初验合格并整改完善后，经采购人确认后，达到付款条件起30日内，支付合同总金额的80.00%</w:t>
            </w:r>
          </w:p>
          <w:p>
            <w:pPr>
              <w:pStyle w:val="null3"/>
              <w:jc w:val="left"/>
            </w:pPr>
            <w:r>
              <w:rPr>
                <w:rFonts w:ascii="仿宋_GB2312" w:hAnsi="仿宋_GB2312" w:cs="仿宋_GB2312" w:eastAsia="仿宋_GB2312"/>
              </w:rPr>
              <w:t>2、终验合格，经采购人、供应商共同确认后，达到付款条件起30日内，支付合同总金额的20.00%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提供实施方案内容包括：①监测站点的运行管护措施；②监测点选定和站点建设方案；③监测数据互联互通技术措施；④联通效果保障措施；⑤数据分析处理方法；⑥预警信息发布措施；⑦应急响应处置（含突发灾情险情巡查排查、防灾宣传培训、应急避险技术指导）。供应商提供保障措施方案内容包括：①人员组织保障措施；②工作设备保障措施；③质量安全保障措施；④工期保障措施。供应商提供后续服务方案内容包括：①具体的后续服务内容；②后续软件维护升级方案；③服务响应时间；④服务技术力量配置。供应商提供人员配置，包含①项目负责人具有地质类或水工环类中级或以上技术职称、②技术负责人具有地质类或水工环类中级或以上技术职称， ③其他人员配备（驾驶员、施工员、质量员、安全管理人员、资料员）具有相关证书复印件。供应商提供售后服务承诺。供应商具有类似履约经验。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磋商小组可以根据磋商文件和磋商情况实质性变动第七章</w:t>
      </w:r>
      <w:r>
        <w:rPr>
          <w:rFonts w:ascii="仿宋_GB2312" w:hAnsi="仿宋_GB2312" w:cs="仿宋_GB2312" w:eastAsia="仿宋_GB2312"/>
          <w:sz w:val="19"/>
          <w:color w:val="000000"/>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并提供①供应商若为企业法人的，提供统一社会信用代码营业执照，未换证的企业也可同时提供营业执照、税务登记证、组织机构代码证；②供应商若为事业法人，提供统一社会信用代码法人登记证书，未换证的事业法人也可同时提交事业法人登记证书和组织机构代码证；③供应商若为其他组织，提供对应主管部门颁发的准许执业证明文件或登记证书或营业执照；④供应商若为自然人，提供“身份证明材料“以上①--④项提供一项即可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供应商须具备自然资源主管部门颁发的地质灾害防治单位资质证书。</w:t>
            </w:r>
          </w:p>
        </w:tc>
        <w:tc>
          <w:tcPr>
            <w:tcW w:type="dxa" w:w="3322"/>
          </w:tcPr>
          <w:p>
            <w:pPr>
              <w:pStyle w:val="null3"/>
              <w:jc w:val="left"/>
            </w:pPr>
            <w:r>
              <w:rPr>
                <w:rFonts w:ascii="仿宋_GB2312" w:hAnsi="仿宋_GB2312" w:cs="仿宋_GB2312" w:eastAsia="仿宋_GB2312"/>
              </w:rPr>
              <w:t>具备自然资源主管部门颁发的地质灾害评估和治理工程勘查设计乙级及以上资质证书。提供证书复印件并进行电子签章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磋商文件中技术要求</w:t>
            </w:r>
          </w:p>
        </w:tc>
        <w:tc>
          <w:tcPr>
            <w:tcW w:type="dxa" w:w="3322"/>
          </w:tcPr>
          <w:p>
            <w:pPr>
              <w:pStyle w:val="null3"/>
              <w:jc w:val="left"/>
            </w:pPr>
            <w:r>
              <w:rPr>
                <w:rFonts w:ascii="仿宋_GB2312" w:hAnsi="仿宋_GB2312" w:cs="仿宋_GB2312" w:eastAsia="仿宋_GB2312"/>
              </w:rPr>
              <w:t>详见磋商文件第三章 技术、服务及其他要求中3.2.技术要求</w:t>
            </w:r>
          </w:p>
        </w:tc>
        <w:tc>
          <w:tcPr>
            <w:tcW w:type="dxa" w:w="1661"/>
          </w:tcPr>
          <w:p>
            <w:pPr>
              <w:pStyle w:val="null3"/>
              <w:jc w:val="left"/>
            </w:pPr>
            <w:r>
              <w:rPr>
                <w:rFonts w:ascii="仿宋_GB2312" w:hAnsi="仿宋_GB2312" w:cs="仿宋_GB2312" w:eastAsia="仿宋_GB2312"/>
              </w:rPr>
              <w:t>关于符合本国产品标准的声明函,服务应答表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磋商文件中商务要求</w:t>
            </w:r>
          </w:p>
        </w:tc>
        <w:tc>
          <w:tcPr>
            <w:tcW w:type="dxa" w:w="3322"/>
          </w:tcPr>
          <w:p>
            <w:pPr>
              <w:pStyle w:val="null3"/>
              <w:jc w:val="left"/>
            </w:pPr>
            <w:r>
              <w:rPr>
                <w:rFonts w:ascii="仿宋_GB2312" w:hAnsi="仿宋_GB2312" w:cs="仿宋_GB2312" w:eastAsia="仿宋_GB2312"/>
              </w:rPr>
              <w:t>详见磋商文件第三章 技术、服务及其他要求中3.3.服务要求中3.3.2.商务要求</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对本项目提供的实施方案，内容包括：①监测站点的运行管护措施；②监测点选定和站点建设方案；③监测数据互联互通技术措施；④联通效果保障措施；⑤数据分析处理方法；⑥预警信息发布措施；⑦应急响应处置（含突发灾情险情巡查排查、防灾宣传培训、应急避险技术指导）。内容完整，符合本项目实际需求得28分；每缺少一项扣4分；每一项中有一处错误的扣2分，扣完为止。（备注：错误是指项目名称、实施地点（前后不一致）、涉及的规范及标准与本项目要求不一致或不相关，方案内容相互矛盾，方案内容与本项目无关，方案内容不清晰或交叉混乱，措施缺乏有效监督机制，方案内容不规范或与项目情况不符。）</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保障措施</w:t>
            </w:r>
          </w:p>
        </w:tc>
        <w:tc>
          <w:tcPr>
            <w:tcW w:type="dxa" w:w="2575"/>
          </w:tcPr>
          <w:p>
            <w:pPr>
              <w:pStyle w:val="null3"/>
              <w:jc w:val="left"/>
            </w:pPr>
            <w:r>
              <w:rPr>
                <w:rFonts w:ascii="仿宋_GB2312" w:hAnsi="仿宋_GB2312" w:cs="仿宋_GB2312" w:eastAsia="仿宋_GB2312"/>
              </w:rPr>
              <w:t>供应商对本项目提供的保障措施，内容包括：①人员组织保障措施；②工作设备保障措施；③质量安全保障措施；④工期保障措施。内容完整，符合本项目实际需求得16分；每缺少一项扣4分；每一项中有一处错误的扣2分，扣完为止。（备注：错误是指项目名称、实施地点（前后不一致）、涉及的规范及标准与本项目要求不一致或不相关，方案内容相互矛盾，方案内容与本项目无关，方案内容不清晰或交叉混乱，措施缺乏有效监督机制，方案内容不规范或与项目情况不符。）</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供应商对本项目提供的后续服务方案，内容包括：①具体的后续服务内容；②后续软件维护升级方案；③服务响应时间；④服务技术力量配置。内容完整，符合本项目实际需求得16分；每缺少一项扣4分；每一项中有一处错误的扣2分，扣完为止。（备注：错误是指项目名称、实施地点（前后不一致）、涉及的规范及标准与本项目要求不一致或不相关，方案内容相互矛盾，方案内容与本项目无关，方案内容不清晰或交叉混乱，措施缺乏有效监督机制，方案内容不规范或与项目情况不符。）</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项目配备人员</w:t>
            </w:r>
          </w:p>
        </w:tc>
        <w:tc>
          <w:tcPr>
            <w:tcW w:type="dxa" w:w="2575"/>
          </w:tcPr>
          <w:p>
            <w:pPr>
              <w:pStyle w:val="null3"/>
              <w:jc w:val="left"/>
            </w:pPr>
            <w:r>
              <w:rPr>
                <w:rFonts w:ascii="仿宋_GB2312" w:hAnsi="仿宋_GB2312" w:cs="仿宋_GB2312" w:eastAsia="仿宋_GB2312"/>
              </w:rPr>
              <w:t>1、项目经理（负责人）具有地质类或水工环类高级及以上职称得5分，具有地质类或水工环类中级职称得3分，本项最多得5分； 2、技术负责人具有地质类或水工环类高级及以上职称得5分，具有地质类或水工环类中级职称得3分，本项最多得5分； 3、其他人员配备（驾驶员、施工员、质量员、安全管理人员、资料员）全部配备齐全的得5分，少配备 1 人扣 1 分，扣完为止。注：1.以上人员不重复计分。 2.提供有效人员的相关证书复印件及在职证明相关材料并进行电子签章。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售后服务承诺</w:t>
            </w:r>
          </w:p>
        </w:tc>
        <w:tc>
          <w:tcPr>
            <w:tcW w:type="dxa" w:w="2575"/>
          </w:tcPr>
          <w:p>
            <w:pPr>
              <w:pStyle w:val="null3"/>
              <w:jc w:val="left"/>
            </w:pPr>
            <w:r>
              <w:rPr>
                <w:rFonts w:ascii="仿宋_GB2312" w:hAnsi="仿宋_GB2312" w:cs="仿宋_GB2312" w:eastAsia="仿宋_GB2312"/>
              </w:rPr>
              <w:t>供应商承诺常驻现场人员或在接到采购人通知时起3小时内赶到项目实施地（或采购人所在办公地点）的得6分，承诺在4小时内达到项目实施地（或采购人所在办公地点）的得4分，未承诺不得分。本项最多得6分。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供应商自2022年1月1日（以合同签订时间为准）至今具有类似履约经验，每提供一个得3分，本项目最多得9分。注：提供类似项目的中标（成交）通知书或合同复印件等相关证明材料并进行电子签章。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