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版本号：N513225202600001420260415001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九寨沟县保华乡、郭元乡等8个乡（镇）24个村城乡建设用地增减挂钩项目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N5132252026000014</w:t>
      </w:r>
    </w:p>
    <w:p>
      <w:pPr>
        <w:pStyle w:val="null3"/>
        <w:jc w:val="center"/>
        <w:outlineLvl w:val="2"/>
      </w:pPr>
      <w:r>
        <w:rPr>
          <w:rFonts w:ascii="仿宋_GB2312" w:hAnsi="仿宋_GB2312" w:cs="仿宋_GB2312" w:eastAsia="仿宋_GB2312"/>
          <w:sz w:val="28"/>
          <w:b/>
        </w:rPr>
        <w:t>九寨沟县自然资源局</w:t>
      </w:r>
    </w:p>
    <w:p>
      <w:pPr>
        <w:pStyle w:val="null3"/>
        <w:jc w:val="center"/>
        <w:outlineLvl w:val="2"/>
      </w:pPr>
      <w:r>
        <w:rPr>
          <w:rFonts w:ascii="仿宋_GB2312" w:hAnsi="仿宋_GB2312" w:cs="仿宋_GB2312" w:eastAsia="仿宋_GB2312"/>
          <w:sz w:val="28"/>
          <w:b/>
        </w:rPr>
        <w:t>四川致远欣瑞工程咨询有限公司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四川致远欣瑞工程咨询有限公司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九寨沟县自然资源局</w:t>
      </w:r>
      <w:r>
        <w:rPr>
          <w:rFonts w:ascii="仿宋_GB2312" w:hAnsi="仿宋_GB2312" w:cs="仿宋_GB2312" w:eastAsia="仿宋_GB2312"/>
        </w:rPr>
        <w:t xml:space="preserve"> 委托，拟对 </w:t>
      </w:r>
      <w:r>
        <w:rPr>
          <w:rFonts w:ascii="仿宋_GB2312" w:hAnsi="仿宋_GB2312" w:cs="仿宋_GB2312" w:eastAsia="仿宋_GB2312"/>
        </w:rPr>
        <w:t>九寨沟县保华乡、郭元乡等8个乡（镇）24个村城乡建设用地增减挂钩项目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阿坝藏族羌族自治州九寨沟县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N5132252026000014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九寨沟县保华乡、郭元乡等8个乡（镇）24个村城乡建设用地增减挂钩项目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按照《四川省自然资源厅关于进一步改进和优化城乡建设用地增减挂钩项目管理工作的通知》（川自然资发〔2019〕44号）、《四川省自然资源厅关于推进特殊区域城乡建设用地增减挂钩项目规范有序实施的通知》（〔2025〕2460号）规定，为切实做好地质灾害避险搬迁工作，保障受地质灾害威胁群众生命财产安全，优化土地利用结构和布局，提高土地节约集约利用水平。拟在九寨沟县保华乡、郭元乡等8个乡镇开展国债避险搬迁包装城乡建设用地增减挂钩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具有行政主管部门颁发的有效期内的测绘乙级（专业类别须包含：工程测量、地理信息系统工程。）及以上资质证书。（描述：提供具有行政主管部门颁发的有效期内的测绘乙级（专业类别须包含：工程测量、地理信息系统工程。）及以上资质证书扫描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九寨沟县自然资源局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四川省阿坝州九寨沟县永乐镇政府路4号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0837-7732022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四川致远欣瑞工程咨询有限公司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中国（四川）自由贸易试验区成都高新区天府三街 855 号 B 座 512 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13086636553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采购包1：605,911.00元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代理服务费收费标准：供应商支付，以成交金额为基数，参照《招标代理服务收费管理暂行办法》（计价格〔2002〕1980号）文件规定，按照成本加合理利润的方式计取。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九寨沟县自然资源局</w:t>
      </w:r>
      <w:r>
        <w:rPr>
          <w:rFonts w:ascii="仿宋_GB2312" w:hAnsi="仿宋_GB2312" w:cs="仿宋_GB2312" w:eastAsia="仿宋_GB2312"/>
        </w:rPr>
        <w:t xml:space="preserve"> 和 </w:t>
      </w:r>
      <w:r>
        <w:rPr>
          <w:rFonts w:ascii="仿宋_GB2312" w:hAnsi="仿宋_GB2312" w:cs="仿宋_GB2312" w:eastAsia="仿宋_GB2312"/>
        </w:rPr>
        <w:t>四川致远欣瑞工程咨询有限公司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九寨沟县自然资源局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四川致远欣瑞工程咨询有限公司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在成交供应商完成服务并提交验收申请后 ，达到验收条件起 10日内，验收合同总金额的100%；验收标准：本项目采购人将参照政府采购相关法律法规以及《财政部关于进一步加强政府采购需求和履约验收管理的指导意见》（财库〔2016〕205号）的要求进行验收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严格按照竞争性磋商文件“技术要求”进行验收。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严格按照竞争性磋商文件“商务要求”进行验收。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符合国家、行业标准、四川省地方标准规定的验收标准。严格按照《财政部关于进一步加强政府采购需求和履约验收管理的指导意见》 （财库〔2016〕205号）及《政府采购需求管理办法》 （财库〔2021〕22号） 的要求组织验收。验收应以采购合同、采购文件及其补充文件、国家或行业相关标准为验收的主要依据。</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 （财库〔2016〕205号）及《政府采购需求管理办法》 （财库〔2021〕22号） 的要求组织验收。验收应以采购合同、采购文件及其补充文件、国家或行业相关标准为验收的主要依据。</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九寨沟县自然资源局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四川致远欣瑞工程咨询有限公司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四川致远欣瑞工程咨询有限公司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联系人：丁老师</w:t>
      </w:r>
    </w:p>
    <w:p>
      <w:pPr>
        <w:pStyle w:val="null3"/>
        <w:jc w:val="left"/>
      </w:pPr>
      <w:r>
        <w:rPr>
          <w:rFonts w:ascii="仿宋_GB2312" w:hAnsi="仿宋_GB2312" w:cs="仿宋_GB2312" w:eastAsia="仿宋_GB2312"/>
        </w:rPr>
        <w:t>联系电话：0837-7732022</w:t>
      </w:r>
    </w:p>
    <w:p>
      <w:pPr>
        <w:pStyle w:val="null3"/>
        <w:jc w:val="left"/>
      </w:pPr>
      <w:r>
        <w:rPr>
          <w:rFonts w:ascii="仿宋_GB2312" w:hAnsi="仿宋_GB2312" w:cs="仿宋_GB2312" w:eastAsia="仿宋_GB2312"/>
        </w:rPr>
        <w:t>地址：四川省阿坝州九寨沟县永乐镇政府路4号</w:t>
      </w:r>
    </w:p>
    <w:p>
      <w:pPr>
        <w:pStyle w:val="null3"/>
        <w:jc w:val="left"/>
      </w:pPr>
      <w:r>
        <w:rPr>
          <w:rFonts w:ascii="仿宋_GB2312" w:hAnsi="仿宋_GB2312" w:cs="仿宋_GB2312" w:eastAsia="仿宋_GB2312"/>
        </w:rPr>
        <w:t>邮编：623499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联系人：曾先生</w:t>
      </w:r>
    </w:p>
    <w:p>
      <w:pPr>
        <w:pStyle w:val="null3"/>
        <w:jc w:val="left"/>
      </w:pPr>
      <w:r>
        <w:rPr>
          <w:rFonts w:ascii="仿宋_GB2312" w:hAnsi="仿宋_GB2312" w:cs="仿宋_GB2312" w:eastAsia="仿宋_GB2312"/>
        </w:rPr>
        <w:t>联系电话：13086636553</w:t>
      </w:r>
    </w:p>
    <w:p>
      <w:pPr>
        <w:pStyle w:val="null3"/>
        <w:jc w:val="left"/>
      </w:pPr>
      <w:r>
        <w:rPr>
          <w:rFonts w:ascii="仿宋_GB2312" w:hAnsi="仿宋_GB2312" w:cs="仿宋_GB2312" w:eastAsia="仿宋_GB2312"/>
        </w:rPr>
        <w:t>地址：成都市高新区天府大道北段1700号W6区15层21号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605,911.00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C19990000 其他专业技术服务</w:t>
            </w:r>
          </w:p>
        </w:tc>
        <w:tc>
          <w:tcPr>
            <w:tcW w:type="dxa" w:w="821"/>
          </w:tcPr>
          <w:p>
            <w:pPr>
              <w:pStyle w:val="null3"/>
              <w:jc w:val="left"/>
            </w:pPr>
            <w:r>
              <w:rPr>
                <w:rFonts w:ascii="仿宋_GB2312" w:hAnsi="仿宋_GB2312" w:cs="仿宋_GB2312" w:eastAsia="仿宋_GB2312"/>
              </w:rPr>
              <w:t>九寨沟县保华乡、郭元乡等8个乡（镇）24个村城乡建设用地增减挂钩项目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九寨沟县保华乡、郭元乡等8个乡（镇）24个村城乡建设用地增减挂钩项目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标的名称：九寨沟县保华乡、郭元乡等8个乡（镇）24个村城乡建设用地增减挂钩项目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72"/>
              <w:jc w:val="both"/>
            </w:pPr>
            <w:r>
              <w:rPr>
                <w:rFonts w:ascii="仿宋_GB2312" w:hAnsi="仿宋_GB2312" w:cs="仿宋_GB2312" w:eastAsia="仿宋_GB2312"/>
                <w:sz w:val="24"/>
                <w:b/>
              </w:rPr>
              <w:t>一、项目概况</w:t>
            </w:r>
          </w:p>
          <w:p>
            <w:pPr>
              <w:pStyle w:val="null3"/>
              <w:ind w:firstLine="472"/>
              <w:jc w:val="both"/>
            </w:pPr>
            <w:r>
              <w:rPr>
                <w:rFonts w:ascii="仿宋_GB2312" w:hAnsi="仿宋_GB2312" w:cs="仿宋_GB2312" w:eastAsia="仿宋_GB2312"/>
                <w:sz w:val="24"/>
              </w:rPr>
              <w:t>九寨沟县保华乡、郭元乡等8个乡（镇）24个村城乡建设用地增减挂钩项目区位于高山峡谷地区，涉及全县</w:t>
            </w:r>
            <w:r>
              <w:rPr>
                <w:rFonts w:ascii="仿宋_GB2312" w:hAnsi="仿宋_GB2312" w:cs="仿宋_GB2312" w:eastAsia="仿宋_GB2312"/>
                <w:sz w:val="24"/>
              </w:rPr>
              <w:t>8个乡镇24个村，涉及户数约80户（其中：计划修建安置点户数约70户）。初步统计项目区拆旧总面积约70亩。</w:t>
            </w:r>
          </w:p>
          <w:p>
            <w:pPr>
              <w:pStyle w:val="null3"/>
              <w:ind w:firstLine="472"/>
              <w:jc w:val="both"/>
            </w:pPr>
            <w:r>
              <w:rPr>
                <w:rFonts w:ascii="仿宋_GB2312" w:hAnsi="仿宋_GB2312" w:cs="仿宋_GB2312" w:eastAsia="仿宋_GB2312"/>
                <w:sz w:val="24"/>
                <w:b/>
              </w:rPr>
              <w:t>二、主要工作内容及要求</w:t>
            </w:r>
          </w:p>
          <w:p>
            <w:pPr>
              <w:pStyle w:val="null3"/>
              <w:ind w:firstLine="472"/>
              <w:jc w:val="both"/>
            </w:pPr>
            <w:r>
              <w:rPr>
                <w:rFonts w:ascii="仿宋_GB2312" w:hAnsi="仿宋_GB2312" w:cs="仿宋_GB2312" w:eastAsia="仿宋_GB2312"/>
                <w:sz w:val="24"/>
              </w:rPr>
              <w:t>本次项目技术服务为城乡增减挂钩全过程技术服务，主要内容包括：项目实施规划编制、安置点建新区实施方案编制技术服务、项目竣工阶段技术服务。</w:t>
            </w:r>
          </w:p>
          <w:p>
            <w:pPr>
              <w:pStyle w:val="null3"/>
              <w:numPr>
                <w:ilvl w:val="0"/>
                <w:numId w:val="1"/>
              </w:numPr>
              <w:jc w:val="both"/>
            </w:pPr>
            <w:r>
              <w:rPr>
                <w:rFonts w:ascii="仿宋_GB2312" w:hAnsi="仿宋_GB2312" w:cs="仿宋_GB2312" w:eastAsia="仿宋_GB2312"/>
                <w:sz w:val="24"/>
              </w:rPr>
              <w:t>实施规划批准前摸底调查工作，包括：现状摸底调查；农户意愿及资格调查。</w:t>
            </w:r>
          </w:p>
          <w:p>
            <w:pPr>
              <w:pStyle w:val="null3"/>
              <w:numPr>
                <w:ilvl w:val="0"/>
                <w:numId w:val="1"/>
              </w:numPr>
              <w:jc w:val="both"/>
            </w:pPr>
            <w:r>
              <w:rPr>
                <w:rFonts w:ascii="仿宋_GB2312" w:hAnsi="仿宋_GB2312" w:cs="仿宋_GB2312" w:eastAsia="仿宋_GB2312"/>
                <w:sz w:val="24"/>
              </w:rPr>
              <w:t>资料编制及实施规划批准申报，包括：提供实施前</w:t>
            </w:r>
            <w:r>
              <w:rPr>
                <w:rFonts w:ascii="仿宋_GB2312" w:hAnsi="仿宋_GB2312" w:cs="仿宋_GB2312" w:eastAsia="仿宋_GB2312"/>
                <w:sz w:val="24"/>
              </w:rPr>
              <w:t>1:2000数字正射影像图；实施规划编制；实施规划申报；配合完成审查、备案、入库、举证工作；配合取得《立项批复》。</w:t>
            </w:r>
          </w:p>
          <w:p>
            <w:pPr>
              <w:pStyle w:val="null3"/>
              <w:numPr>
                <w:ilvl w:val="0"/>
                <w:numId w:val="1"/>
              </w:numPr>
              <w:jc w:val="both"/>
            </w:pPr>
            <w:r>
              <w:rPr>
                <w:rFonts w:ascii="仿宋_GB2312" w:hAnsi="仿宋_GB2312" w:cs="仿宋_GB2312" w:eastAsia="仿宋_GB2312"/>
                <w:sz w:val="24"/>
              </w:rPr>
              <w:t>项目实施及实施技术服务，包括：实施前摸底调查；指界放线；农户意愿调查及资格审定；建筑物构筑物及青苗林木丈量清点；协助政府开展农户协议签订（农户补赔偿由政府支付）等工作；项目实施复垦质量全流程技术指导。</w:t>
            </w:r>
          </w:p>
          <w:p>
            <w:pPr>
              <w:pStyle w:val="null3"/>
              <w:numPr>
                <w:ilvl w:val="0"/>
                <w:numId w:val="1"/>
              </w:numPr>
              <w:jc w:val="both"/>
            </w:pPr>
            <w:r>
              <w:rPr>
                <w:rFonts w:ascii="仿宋_GB2312" w:hAnsi="仿宋_GB2312" w:cs="仿宋_GB2312" w:eastAsia="仿宋_GB2312"/>
                <w:sz w:val="24"/>
              </w:rPr>
              <w:t>竣工验收及核查举证，包括：提供实施后</w:t>
            </w:r>
            <w:r>
              <w:rPr>
                <w:rFonts w:ascii="仿宋_GB2312" w:hAnsi="仿宋_GB2312" w:cs="仿宋_GB2312" w:eastAsia="仿宋_GB2312"/>
                <w:sz w:val="24"/>
              </w:rPr>
              <w:t>1:2000数字正射影像图制作；复垦耕地质量等别评定；竣工测量及勘测定界报告；竣工资料编制；配合县州省等各级核查验收、整改、备案、入库、举证工作；配合取得《指标确认函》。</w:t>
            </w:r>
          </w:p>
          <w:p>
            <w:pPr>
              <w:pStyle w:val="null3"/>
              <w:numPr>
                <w:ilvl w:val="0"/>
                <w:numId w:val="2"/>
              </w:numPr>
              <w:jc w:val="both"/>
            </w:pPr>
            <w:r>
              <w:rPr>
                <w:rFonts w:ascii="仿宋_GB2312" w:hAnsi="仿宋_GB2312" w:cs="仿宋_GB2312" w:eastAsia="仿宋_GB2312"/>
                <w:sz w:val="24"/>
              </w:rPr>
              <w:t>其他服务要求：</w:t>
            </w:r>
          </w:p>
          <w:p>
            <w:pPr>
              <w:pStyle w:val="null3"/>
              <w:ind w:firstLine="472"/>
              <w:jc w:val="both"/>
            </w:pPr>
            <w:r>
              <w:rPr>
                <w:rFonts w:ascii="仿宋_GB2312" w:hAnsi="仿宋_GB2312" w:cs="仿宋_GB2312" w:eastAsia="仿宋_GB2312"/>
                <w:sz w:val="24"/>
              </w:rPr>
              <w:t>①安全责任：在履行合同过程中，由成交单位自行负责和承担相关安全责任。若发生由于自身安全措施不力造成事故，其责任和因此发生的费用及后果由成交单位承担，  成交单位投入本项目工作人员的人身安全由成交单位负责。成交单位应为本项目工作人员购买人身意外伤害险及与本项目实施有关的一切保险。</w:t>
            </w:r>
            <w:r>
              <w:rPr>
                <w:rFonts w:ascii="仿宋_GB2312" w:hAnsi="仿宋_GB2312" w:cs="仿宋_GB2312" w:eastAsia="仿宋_GB2312"/>
                <w:sz w:val="24"/>
                <w:b/>
              </w:rPr>
              <w:t>（单独提供承诺函，格式自拟并加盖投标人公章）。</w:t>
            </w:r>
          </w:p>
          <w:p>
            <w:pPr>
              <w:pStyle w:val="null3"/>
              <w:ind w:firstLine="472"/>
              <w:jc w:val="both"/>
            </w:pPr>
            <w:r>
              <w:rPr>
                <w:rFonts w:ascii="仿宋_GB2312" w:hAnsi="仿宋_GB2312" w:cs="仿宋_GB2312" w:eastAsia="仿宋_GB2312"/>
                <w:sz w:val="24"/>
              </w:rPr>
              <w:t>②质量要求：符合国家及行业相关标准，符合验收标准。</w:t>
            </w:r>
          </w:p>
          <w:p>
            <w:pPr>
              <w:pStyle w:val="null3"/>
              <w:ind w:firstLine="472"/>
              <w:jc w:val="both"/>
            </w:pPr>
            <w:r>
              <w:rPr>
                <w:rFonts w:ascii="仿宋_GB2312" w:hAnsi="仿宋_GB2312" w:cs="仿宋_GB2312" w:eastAsia="仿宋_GB2312"/>
                <w:sz w:val="24"/>
              </w:rPr>
              <w:t>③报价要求：本项目所报价格包含人工费、差旅费、资料费、税费、利润及招标文件要求的其他费用等项目相关的所有费用，采购人不再另行支付其他费用。</w:t>
            </w:r>
          </w:p>
          <w:p>
            <w:pPr>
              <w:pStyle w:val="null3"/>
              <w:ind w:firstLine="472"/>
              <w:jc w:val="both"/>
            </w:pPr>
            <w:r>
              <w:rPr>
                <w:rFonts w:ascii="仿宋_GB2312" w:hAnsi="仿宋_GB2312" w:cs="仿宋_GB2312" w:eastAsia="仿宋_GB2312"/>
                <w:sz w:val="24"/>
              </w:rPr>
              <w:t>④本项目不组织现场勘察，但供应商应根据工作实际，自行组织现场勘察，综合考虑后进行报价。</w:t>
            </w:r>
          </w:p>
          <w:p>
            <w:pPr>
              <w:pStyle w:val="null3"/>
              <w:ind w:firstLine="472"/>
              <w:jc w:val="both"/>
            </w:pPr>
            <w:r>
              <w:rPr>
                <w:rFonts w:ascii="仿宋_GB2312" w:hAnsi="仿宋_GB2312" w:cs="仿宋_GB2312" w:eastAsia="仿宋_GB2312"/>
                <w:sz w:val="24"/>
              </w:rPr>
              <w:t>⑤本项目自成交单位签订合同之日起至提交全部成果验收合格之日止，成交单位将负责该项目实施过程中的人身安全、财产安全环境安全，因本项目实施过程中造成的相应直接或间接损失，由成交单位自行承担。</w:t>
            </w:r>
          </w:p>
          <w:p>
            <w:pPr>
              <w:pStyle w:val="null3"/>
              <w:ind w:firstLine="472"/>
              <w:jc w:val="both"/>
            </w:pPr>
            <w:r>
              <w:rPr>
                <w:rFonts w:ascii="仿宋_GB2312" w:hAnsi="仿宋_GB2312" w:cs="仿宋_GB2312" w:eastAsia="仿宋_GB2312"/>
                <w:sz w:val="24"/>
              </w:rPr>
              <w:t>⑥为保障项目质量，供应商应为本项目提供相关的项目技术服务方案以及售后服务内容，并为本项目配备相关人员以及设备，具有相关履约经验。</w:t>
            </w:r>
          </w:p>
          <w:p>
            <w:pPr>
              <w:pStyle w:val="null3"/>
              <w:ind w:firstLine="472"/>
              <w:jc w:val="both"/>
            </w:pPr>
            <w:r>
              <w:rPr>
                <w:rFonts w:ascii="仿宋_GB2312" w:hAnsi="仿宋_GB2312" w:cs="仿宋_GB2312" w:eastAsia="仿宋_GB2312"/>
                <w:sz w:val="24"/>
              </w:rPr>
              <w:t>⑦保密要求：成交单位因履行本合同所获得的一切原始资料、信息及相关工作成果属采购人所有，成交单位负有保密义务。未经采购人书面同意，成交单位不得在合同期内或合同履行完毕后以任何方式对外泄露或用于与本项目无关的其他任何事项。如因成交单位过错导致采购人遭受损失的，成交单位应承担全部赔偿责任。采购人提供的所有技术资料和基础资料（文字、图纸、电子数据等）均受版权保护，未经采购人授权，任何人不得将其内容复制、引用、改编、分发、发布、外借、转让。</w:t>
            </w:r>
          </w:p>
          <w:p>
            <w:pPr>
              <w:pStyle w:val="null3"/>
              <w:numPr>
                <w:ilvl w:val="0"/>
                <w:numId w:val="2"/>
              </w:numPr>
              <w:jc w:val="both"/>
            </w:pPr>
            <w:r>
              <w:rPr>
                <w:rFonts w:ascii="仿宋_GB2312" w:hAnsi="仿宋_GB2312" w:cs="仿宋_GB2312" w:eastAsia="仿宋_GB2312"/>
                <w:sz w:val="24"/>
              </w:rPr>
              <w:t>技术标准规程规范</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1）《中华人民共和国土地管理法》；</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2）《中华人民共和国测绘法》；</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3）《工程测量标准》GB50026-2020；</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4）《全球导航卫星系统(GNSS)测量规范》GB/T 18314-2024；</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5）《低空数字航摄与数据处理规范》GB/T 39612-2020；</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6）《全球定位系统实时动态测量（RTK）技术规范》CH/T2009-2010；</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7）《国家基本比例尺地图图式第1部分1:5001:10001：2000地形图图式》GB/T20257.1-2017;</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8）《耕地质量等级》GB/T 33469；</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9）《土地整治项目制图规范》TD/T 1013；</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10）《土地利用现状分类》GB/T21010-2017；</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11）《测绘成果质量检查与验收》GB/T24356-2023；</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12）《四川省国土资源厅关于印发（四川省城乡建设用地增减挂钩试点管理办法）的通知（川国土资发〔2017〕90号）；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13）《四川省国土资源厅关于进一步做好城乡建设用地增减挂钩试点管理工作的通知》（川国土资规〔2018〕4号）；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14）《四川省自然资源厅关于深化城乡建设用地增减挂钩改革助推深度贫困地区脱贫攻坚的通知》（川自然资发〔2019）43号）；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15）《四川省自然资源厅关于进一步改进和优化城乡建设用地增减挂钩管理工作的通知》（川自然资发〔2019〕44号）；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16）《四川省自然资源厅关于印发（四川省城乡建设用地增减挂钩管理工作技术指引（2019试行版））的通知》（川自然资发〔2019〕70号）；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17）《四川省自然资源厅办公室关于调整城乡建设用地增减挂钩实施规划立项审查规则的通知》（川自然资办函〔2024〕102号）；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18）《四川省自然资源厅关于推进特殊区域城乡建设用地增减挂钩项目规范有序实施的通知》（川自然资便函〔2025〕2460 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19）《四川省自然资源厅办公室关于明确城乡建设用地增减挂钩农村建新区备案审查规则的通知》（川自然资办便函〔2025〕334号）；</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20）其他的相关标准及规范。</w:t>
            </w:r>
          </w:p>
          <w:p>
            <w:pPr>
              <w:pStyle w:val="null3"/>
              <w:ind w:firstLine="472"/>
              <w:jc w:val="both"/>
            </w:pPr>
            <w:r>
              <w:rPr>
                <w:rFonts w:ascii="仿宋_GB2312" w:hAnsi="仿宋_GB2312" w:cs="仿宋_GB2312" w:eastAsia="仿宋_GB2312"/>
                <w:sz w:val="24"/>
              </w:rPr>
              <w:t>注：本项目中所列技术标准规范依据如有调整的，按照调整后的最新依据执行。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自合同签订之日起1年。（具体以合同约定为准）。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符合国家、行业标准、四川省地方标准规定的验收标准。严格按照《财政部关于进一步加强政府采购需求和履约验收管理的指导意见》 （财库〔2016〕205号）及《政府采购需求管理办法》 （财库〔2021〕22号） 的要求组织验收。验收应以采购合同、采购文件及其补充文件、国家或行业相关标准为验收的主要依据。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1、预付款，政府采购合同签订生效后收到供应商提供的等额有效发票，达到付款条件起10日内，支付合同总金额的40.00%</w:t>
            </w:r>
          </w:p>
          <w:p>
            <w:pPr>
              <w:pStyle w:val="null3"/>
              <w:jc w:val="left"/>
            </w:pPr>
            <w:r>
              <w:rPr>
                <w:rFonts w:ascii="仿宋_GB2312" w:hAnsi="仿宋_GB2312" w:cs="仿宋_GB2312" w:eastAsia="仿宋_GB2312"/>
              </w:rPr>
              <w:t>2、进度款，完成项目立项资料编制且取得实施规划批复，达到付款条件起10日内，支付合同总金额的30.00%</w:t>
            </w:r>
          </w:p>
          <w:p>
            <w:pPr>
              <w:pStyle w:val="null3"/>
              <w:jc w:val="left"/>
            </w:pPr>
            <w:r>
              <w:rPr>
                <w:rFonts w:ascii="仿宋_GB2312" w:hAnsi="仿宋_GB2312" w:cs="仿宋_GB2312" w:eastAsia="仿宋_GB2312"/>
              </w:rPr>
              <w:t>3、尾款，最终成果经主管部门验收取得《指标确认函》并收到供应商提供的等额有效发票 ，达到付款条件起10日内，支付合同总金额的30.00%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双方必须遵守本合同并执行合同中的各项规定，保证本合同的正常履行。②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为保障项目质量，供应商根据自身情况按采购文件要求提供：履约能力、人员配置、设备配置、项目服务方案、后续服务支持等资料。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color w:val="000000"/>
        </w:rPr>
        <w:t>详见本项目采购文件第三章</w:t>
      </w:r>
      <w:r>
        <w:rPr>
          <w:rFonts w:ascii="仿宋_GB2312" w:hAnsi="仿宋_GB2312" w:cs="仿宋_GB2312" w:eastAsia="仿宋_GB2312"/>
          <w:sz w:val="19"/>
          <w:color w:val="000000"/>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color w:val="000000"/>
        </w:rPr>
        <w:t>详见本项目采购文件第七章拟签订采购合同文本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2024年度或2025年度，经审计的财务报告（包含审计报告和审计报告中所涉及的财务报表和报表附注）或者银行出具的资信证明；未经审计的提供财务报告（包括资产负债表、利润表、现金流量表）；供应商注册时间截至响应文件提交截止之日前不足一年的，也可提供在相关主管部门备案的公司章程等证明材料。供应商需在使用投标(响应)客户端编制响应文件时，按要求上传相应证明材料并进行电子签章。注：供应商根据自身情况任意一种即可。</w:t>
            </w:r>
          </w:p>
        </w:tc>
        <w:tc>
          <w:tcPr>
            <w:tcW w:type="dxa" w:w="1661"/>
          </w:tcPr>
          <w:p>
            <w:pPr>
              <w:pStyle w:val="null3"/>
              <w:jc w:val="left"/>
            </w:pPr>
            <w:r>
              <w:rPr>
                <w:rFonts w:ascii="仿宋_GB2312" w:hAnsi="仿宋_GB2312" w:cs="仿宋_GB2312" w:eastAsia="仿宋_GB2312"/>
              </w:rPr>
              <w:t>具有健全的财务会计制度证明材料.docx,投标（响应）函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供应商须具有行政主管部门颁发的有效期内的测绘乙级（专业类别须包含：工程测量、地理信息系统工程。）及以上资质证书。</w:t>
            </w:r>
          </w:p>
        </w:tc>
        <w:tc>
          <w:tcPr>
            <w:tcW w:type="dxa" w:w="3322"/>
          </w:tcPr>
          <w:p>
            <w:pPr>
              <w:pStyle w:val="null3"/>
              <w:jc w:val="left"/>
            </w:pPr>
            <w:r>
              <w:rPr>
                <w:rFonts w:ascii="仿宋_GB2312" w:hAnsi="仿宋_GB2312" w:cs="仿宋_GB2312" w:eastAsia="仿宋_GB2312"/>
              </w:rPr>
              <w:t>提供具有行政主管部门颁发的有效期内的测绘乙级（专业类别须包含：工程测量、地理信息系统工程。）及以上资质证书扫描件进行电子签章。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响应文件需满足磋商文件其他实质性要求</w:t>
            </w:r>
          </w:p>
        </w:tc>
        <w:tc>
          <w:tcPr>
            <w:tcW w:type="dxa" w:w="1661"/>
          </w:tcPr>
          <w:p>
            <w:pPr>
              <w:pStyle w:val="null3"/>
              <w:jc w:val="left"/>
            </w:pPr>
            <w:r>
              <w:rPr>
                <w:rFonts w:ascii="仿宋_GB2312" w:hAnsi="仿宋_GB2312" w:cs="仿宋_GB2312" w:eastAsia="仿宋_GB2312"/>
              </w:rPr>
              <w:t>供应商应提交的相关证明材料,服务应答表,投标（响应）函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项目服务方案、后续服务支持方案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2022年1月1日以来承担过类似业绩(国土调查或土地变更调查或增减挂钩立项或增减挂钩竣工或增减挂钩市州级核查等)每有1个得4分,本项最多得12分。 注：提供项目合同或成交（中标）通知书复印件加盖供应商鲜章，合同内容应该体现类似业绩相关信息，若不能体现相关信息需要提供业主证明材料，以合同签订时间为准。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1.供应商拟派本项目的项目负责人(1人)：具有测绘类中级职称的得1分，具有测绘类高级及以上职称的得3分；同时具有注册测绘师资格证书得3分，本项最多得6分； 2.供应商拟派本项目的技术负责人(1人)：具有国土资源管理专业中级职称得2分，具有国土资源管理专业高级及以上职称的得3分； 3.供应商拟派本项目技术人员（4人）：每1人具有测绘类中级及以上职称的得1分，同时具有注册测绘师资格证书的加2分；每1人最多得3分，本项最多得8分；4.质量检查人员（2人）:拟投入本项目质量检查人员具有省级测绘主管部门颁发的测绘成果质量检查结业证书的,每有1人得1.5分，本项最多得3分。 注：（1） 以上人员不可重复计分，同一人员按“就高不就低”的原则计一次分；（2）需提供以上人员证书扫描件和在本单位工作的证明材料扫描件并加盖电子公章，不提供不得分。（3）测绘类资质、测绘类专业的认定以《自然资源部办公厅关于印发测绘资质管理办法和测绘资质分类分级标准的通知》（自然资办发〔2021〕43号）中规定的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设备配备</w:t>
            </w:r>
          </w:p>
        </w:tc>
        <w:tc>
          <w:tcPr>
            <w:tcW w:type="dxa" w:w="2575"/>
          </w:tcPr>
          <w:p>
            <w:pPr>
              <w:pStyle w:val="null3"/>
              <w:jc w:val="left"/>
            </w:pPr>
            <w:r>
              <w:rPr>
                <w:rFonts w:ascii="仿宋_GB2312" w:hAnsi="仿宋_GB2312" w:cs="仿宋_GB2312" w:eastAsia="仿宋_GB2312"/>
              </w:rPr>
              <w:t>1、拟投入全站仪数量1-2台的得1分；3-4台的得2分；5台及以上得3分；本项最多3分； 2、拟投入GNSS设备数量1-2台得1分；3-4台得2分；5台及以上得3分；本项最多3分； 3、本项目拟投入无人机1-2（台）套的得 2分，3（台）套以上（含 3（台）套）得4分，本项最多4分；不提供不得分； 注：全站仪及GNSS设备需提供有效的检定证书复印件并加盖供应商公章，无人机提供购买发票复印件并加盖供应商公章。（如为租赁的设备，也可提供租赁的设备检定证书、有效期内的租赁合同复印件加盖供应商鲜章）。</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1、技术设计方案包括（1）基础资料收集与利用（2）工作流程与技术路线，（3）设计实施方案（影像获取与处理、数据采集处理、勘测定界、实施规划编制、竣工资料编制、耕地质量等级评定、质量控制和成果提交内容）。方案齐全且无缺陷得18分，每缺少一项内容扣6分，每项中每有一处缺陷扣3分，每项最多扣6分。 2、实施组织与保证措施包括（1）项目组织管理（组织架构图、资源配置）（2）项目的管理制度，（3）质量保证措施，（4）工期安排和保证措施，（5）数据安全和保密措施，（6）安全生产保证措施（7）文明调查措施，（8）应急预案。方案齐全且无缺陷得24分，每缺少一项内容扣3分，每项中每有一处缺陷扣1.5分，每项最多扣3分。 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后续服务支持</w:t>
            </w:r>
          </w:p>
        </w:tc>
        <w:tc>
          <w:tcPr>
            <w:tcW w:type="dxa" w:w="2575"/>
          </w:tcPr>
          <w:p>
            <w:pPr>
              <w:pStyle w:val="null3"/>
              <w:jc w:val="left"/>
            </w:pPr>
            <w:r>
              <w:rPr>
                <w:rFonts w:ascii="仿宋_GB2312" w:hAnsi="仿宋_GB2312" w:cs="仿宋_GB2312" w:eastAsia="仿宋_GB2312"/>
              </w:rPr>
              <w:t>供应商提供后续服务支持方案，包括（1）后续服务支持保障措施、（2）后续服务机构及服务电话设置、（3）后续服务队伍人员情况。方案齐全且无缺陷得6分，每缺少一项内容扣2分，每项中每有一处缺陷扣1分，每项最多扣2分。注：缺陷指：方案内容与项目实际情况不符或与相对应评分标准不符、套用其他项目方案或存在与本项目无关的内容或表述错误或涉及的法律、法规规范及标准与项目不相关或失效等任意一种情形。</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详见附件：具有健全的财务会计制度证明材料.docx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