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EA91A">
      <w:pPr>
        <w:pStyle w:val="2"/>
        <w:shd w:val="clear" w:color="auto" w:fill="auto"/>
        <w:spacing w:before="0" w:line="579"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政府采购项目采购合同范本（服务类）</w:t>
      </w:r>
    </w:p>
    <w:p w14:paraId="2915070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（主要条款）</w:t>
      </w:r>
    </w:p>
    <w:p w14:paraId="0DDCC62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sz w:val="24"/>
          <w:szCs w:val="24"/>
          <w:highlight w:val="none"/>
        </w:rPr>
        <w:t xml:space="preserve">                                            </w:t>
      </w:r>
      <w:bookmarkStart w:id="0" w:name="_Toc5309"/>
      <w:r>
        <w:rPr>
          <w:rFonts w:hint="eastAsia" w:ascii="仿宋" w:hAnsi="仿宋" w:eastAsia="仿宋" w:cs="仿宋"/>
          <w:color w:val="auto"/>
          <w:kern w:val="2"/>
          <w:sz w:val="21"/>
          <w:szCs w:val="21"/>
          <w:highlight w:val="none"/>
        </w:rPr>
        <w:t>合同编号：</w:t>
      </w:r>
      <w:bookmarkEnd w:id="0"/>
      <w:bookmarkStart w:id="1" w:name="_Toc25571_WPSOffice_Level1"/>
      <w:r>
        <w:rPr>
          <w:rFonts w:hint="eastAsia" w:ascii="仿宋" w:hAnsi="仿宋" w:eastAsia="仿宋" w:cs="仿宋"/>
          <w:color w:val="auto"/>
          <w:kern w:val="2"/>
          <w:sz w:val="21"/>
          <w:szCs w:val="21"/>
          <w:highlight w:val="none"/>
          <w:lang w:val="en-US" w:eastAsia="zh-CN"/>
        </w:rPr>
        <w:t>XXX</w:t>
      </w:r>
    </w:p>
    <w:bookmarkEnd w:id="1"/>
    <w:p w14:paraId="7A1400F8">
      <w:pPr>
        <w:shd w:val="clear" w:color="auto" w:fill="auto"/>
        <w:spacing w:line="400" w:lineRule="exact"/>
        <w:rPr>
          <w:rFonts w:hint="eastAsia" w:ascii="仿宋" w:hAnsi="仿宋" w:eastAsia="仿宋" w:cs="仿宋"/>
          <w:color w:val="auto"/>
          <w:sz w:val="24"/>
          <w:highlight w:val="none"/>
        </w:rPr>
      </w:pPr>
      <w:r>
        <w:rPr>
          <w:rFonts w:hint="eastAsia" w:ascii="仿宋" w:hAnsi="仿宋" w:eastAsia="仿宋" w:cs="仿宋"/>
          <w:b/>
          <w:color w:val="auto"/>
          <w:sz w:val="24"/>
          <w:highlight w:val="none"/>
        </w:rPr>
        <w:t>甲  方：</w:t>
      </w:r>
      <w:r>
        <w:rPr>
          <w:rFonts w:hint="eastAsia" w:ascii="仿宋" w:hAnsi="仿宋" w:eastAsia="仿宋" w:cs="仿宋"/>
          <w:color w:val="auto"/>
          <w:sz w:val="24"/>
          <w:highlight w:val="none"/>
          <w:u w:val="single"/>
          <w:lang w:val="en-US" w:eastAsia="zh-CN"/>
        </w:rPr>
        <w:t>XXX</w:t>
      </w:r>
      <w:r>
        <w:rPr>
          <w:rFonts w:hint="eastAsia" w:ascii="仿宋" w:hAnsi="仿宋" w:eastAsia="仿宋" w:cs="仿宋"/>
          <w:color w:val="auto"/>
          <w:sz w:val="24"/>
          <w:highlight w:val="none"/>
        </w:rPr>
        <w:t>（采购人）</w:t>
      </w:r>
    </w:p>
    <w:p w14:paraId="00BB1A72">
      <w:pPr>
        <w:shd w:val="clear" w:color="auto" w:fill="auto"/>
        <w:spacing w:line="400" w:lineRule="exact"/>
        <w:rPr>
          <w:rFonts w:hint="eastAsia" w:ascii="仿宋" w:hAnsi="仿宋" w:eastAsia="仿宋" w:cs="仿宋"/>
          <w:color w:val="auto"/>
          <w:sz w:val="24"/>
          <w:highlight w:val="none"/>
        </w:rPr>
      </w:pPr>
      <w:bookmarkStart w:id="2" w:name="_Toc24075_WPSOffice_Level1"/>
      <w:r>
        <w:rPr>
          <w:rFonts w:hint="eastAsia" w:ascii="仿宋" w:hAnsi="仿宋" w:eastAsia="仿宋" w:cs="仿宋"/>
          <w:b/>
          <w:color w:val="auto"/>
          <w:sz w:val="24"/>
          <w:highlight w:val="none"/>
        </w:rPr>
        <w:t>乙  方：</w:t>
      </w:r>
      <w:r>
        <w:rPr>
          <w:rFonts w:hint="eastAsia" w:ascii="仿宋" w:hAnsi="仿宋" w:eastAsia="仿宋" w:cs="仿宋"/>
          <w:bCs/>
          <w:color w:val="auto"/>
          <w:sz w:val="24"/>
          <w:highlight w:val="none"/>
          <w:u w:val="single"/>
        </w:rPr>
        <w:t>XXX</w:t>
      </w:r>
      <w:r>
        <w:rPr>
          <w:rFonts w:hint="eastAsia" w:ascii="仿宋" w:hAnsi="仿宋" w:eastAsia="仿宋" w:cs="仿宋"/>
          <w:bCs/>
          <w:color w:val="auto"/>
          <w:sz w:val="24"/>
          <w:highlight w:val="none"/>
        </w:rPr>
        <w:t>（中标人）</w:t>
      </w:r>
      <w:bookmarkEnd w:id="2"/>
    </w:p>
    <w:p w14:paraId="0913D24C">
      <w:pPr>
        <w:shd w:val="clear" w:color="auto" w:fill="auto"/>
        <w:autoSpaceDE w:val="0"/>
        <w:autoSpaceDN w:val="0"/>
        <w:adjustRightInd w:val="0"/>
        <w:spacing w:line="4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甲方委托</w:t>
      </w:r>
      <w:r>
        <w:rPr>
          <w:rFonts w:hint="eastAsia" w:ascii="仿宋" w:hAnsi="仿宋" w:eastAsia="仿宋" w:cs="仿宋"/>
          <w:bCs/>
          <w:color w:val="auto"/>
          <w:sz w:val="24"/>
          <w:szCs w:val="20"/>
          <w:highlight w:val="none"/>
          <w:lang w:val="en-US" w:eastAsia="zh-CN"/>
        </w:rPr>
        <w:t>（代理机构）</w:t>
      </w:r>
      <w:r>
        <w:rPr>
          <w:rFonts w:hint="eastAsia" w:ascii="仿宋" w:hAnsi="仿宋" w:eastAsia="仿宋" w:cs="仿宋"/>
          <w:color w:val="auto"/>
          <w:sz w:val="24"/>
          <w:highlight w:val="none"/>
        </w:rPr>
        <w:t>，对</w:t>
      </w:r>
      <w:r>
        <w:rPr>
          <w:rFonts w:hint="eastAsia" w:ascii="仿宋" w:hAnsi="仿宋" w:eastAsia="仿宋" w:cs="仿宋"/>
          <w:color w:val="auto"/>
          <w:sz w:val="24"/>
          <w:highlight w:val="none"/>
          <w:u w:val="single"/>
          <w:lang w:val="en-US" w:eastAsia="zh-CN"/>
        </w:rPr>
        <w:t>（项目名称）</w:t>
      </w:r>
      <w:r>
        <w:rPr>
          <w:rFonts w:hint="eastAsia" w:ascii="仿宋" w:hAnsi="仿宋" w:eastAsia="仿宋" w:cs="仿宋"/>
          <w:color w:val="auto"/>
          <w:sz w:val="24"/>
          <w:highlight w:val="none"/>
        </w:rPr>
        <w:t>进行采购，于</w:t>
      </w:r>
      <w:r>
        <w:rPr>
          <w:rFonts w:hint="eastAsia" w:ascii="仿宋" w:hAnsi="仿宋" w:eastAsia="仿宋" w:cs="仿宋"/>
          <w:color w:val="auto"/>
          <w:sz w:val="24"/>
          <w:highlight w:val="none"/>
          <w:lang w:eastAsia="zh-CN"/>
        </w:rPr>
        <w:t>202</w:t>
      </w:r>
      <w:r>
        <w:rPr>
          <w:rFonts w:hint="eastAsia" w:ascii="仿宋" w:hAnsi="仿宋" w:eastAsia="仿宋" w:cs="仿宋"/>
          <w:color w:val="auto"/>
          <w:sz w:val="24"/>
          <w:highlight w:val="none"/>
          <w:lang w:val="en-US" w:eastAsia="zh-CN"/>
        </w:rPr>
        <w:t>X</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lang w:val="en-US" w:eastAsia="zh-CN"/>
        </w:rPr>
        <w:t>XX</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XX</w:t>
      </w:r>
      <w:r>
        <w:rPr>
          <w:rFonts w:hint="eastAsia" w:ascii="仿宋" w:hAnsi="仿宋" w:eastAsia="仿宋" w:cs="仿宋"/>
          <w:color w:val="auto"/>
          <w:sz w:val="24"/>
          <w:highlight w:val="none"/>
        </w:rPr>
        <w:t>日通过</w:t>
      </w:r>
      <w:r>
        <w:rPr>
          <w:rFonts w:hint="eastAsia" w:ascii="仿宋" w:hAnsi="仿宋" w:eastAsia="仿宋" w:cs="仿宋"/>
          <w:bCs/>
          <w:color w:val="auto"/>
          <w:sz w:val="24"/>
          <w:highlight w:val="none"/>
          <w:lang w:val="en-US" w:eastAsia="zh-CN"/>
        </w:rPr>
        <w:t>竞争性磋商</w:t>
      </w:r>
      <w:r>
        <w:rPr>
          <w:rFonts w:hint="eastAsia" w:ascii="仿宋" w:hAnsi="仿宋" w:eastAsia="仿宋" w:cs="仿宋"/>
          <w:color w:val="auto"/>
          <w:sz w:val="24"/>
          <w:highlight w:val="none"/>
        </w:rPr>
        <w:t>，确定乙方为</w:t>
      </w:r>
      <w:r>
        <w:rPr>
          <w:rFonts w:hint="eastAsia" w:ascii="仿宋" w:hAnsi="仿宋" w:eastAsia="仿宋" w:cs="仿宋"/>
          <w:color w:val="auto"/>
          <w:sz w:val="24"/>
          <w:highlight w:val="none"/>
          <w:u w:val="single"/>
          <w:lang w:val="en-US" w:eastAsia="zh-CN"/>
        </w:rPr>
        <w:t>（项目名称）</w:t>
      </w:r>
      <w:r>
        <w:rPr>
          <w:rFonts w:hint="eastAsia" w:ascii="仿宋" w:hAnsi="仿宋" w:eastAsia="仿宋" w:cs="仿宋"/>
          <w:color w:val="auto"/>
          <w:sz w:val="24"/>
          <w:highlight w:val="none"/>
        </w:rPr>
        <w:t>中标人。为了保护甲乙双方的合法权益,根据《中华人民共和国政府采购法》、《中华人民共和国民法典》等相关法律、法规的规定，并严格遵循政府采购项目采购文件的相关规定,经甲乙双方协商一致，订立本合同。</w:t>
      </w:r>
    </w:p>
    <w:p w14:paraId="4E4ABDF9">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bookmarkStart w:id="3" w:name="_Toc15379_WPSOffice_Level1"/>
      <w:bookmarkStart w:id="4" w:name="_Toc28842_WPSOffice_Level1"/>
      <w:bookmarkStart w:id="5" w:name="_Toc23522"/>
      <w:bookmarkStart w:id="6" w:name="_Toc10946_WPSOffice_Level1"/>
      <w:bookmarkStart w:id="7" w:name="_Toc8805"/>
      <w:bookmarkStart w:id="8" w:name="_Toc8182_WPSOffice_Level1"/>
      <w:bookmarkStart w:id="9" w:name="_Toc10967_WPSOffice_Level1"/>
      <w:bookmarkStart w:id="10" w:name="_Toc1283_WPSOffice_Level1"/>
      <w:bookmarkStart w:id="11" w:name="_Toc5522"/>
      <w:bookmarkStart w:id="12" w:name="_Toc10245"/>
      <w:bookmarkStart w:id="13" w:name="_Toc383"/>
      <w:r>
        <w:rPr>
          <w:rFonts w:hint="eastAsia" w:ascii="仿宋" w:hAnsi="仿宋" w:eastAsia="仿宋" w:cs="仿宋"/>
          <w:b/>
          <w:color w:val="auto"/>
          <w:sz w:val="24"/>
          <w:highlight w:val="none"/>
        </w:rPr>
        <w:t>一、项目清单及合同金额</w:t>
      </w:r>
      <w:r>
        <w:rPr>
          <w:rFonts w:hint="eastAsia" w:ascii="仿宋" w:hAnsi="仿宋" w:eastAsia="仿宋" w:cs="仿宋"/>
          <w:color w:val="auto"/>
          <w:sz w:val="24"/>
          <w:highlight w:val="none"/>
        </w:rPr>
        <w:t>（详见报价表，附后）</w:t>
      </w:r>
      <w:bookmarkEnd w:id="3"/>
      <w:bookmarkEnd w:id="4"/>
      <w:bookmarkEnd w:id="5"/>
      <w:bookmarkEnd w:id="6"/>
      <w:bookmarkEnd w:id="7"/>
      <w:bookmarkEnd w:id="8"/>
      <w:bookmarkEnd w:id="9"/>
      <w:bookmarkEnd w:id="10"/>
      <w:bookmarkEnd w:id="11"/>
      <w:bookmarkEnd w:id="12"/>
      <w:bookmarkEnd w:id="13"/>
    </w:p>
    <w:p w14:paraId="68F332BF">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Style w:val="9"/>
          <w:rFonts w:hint="eastAsia" w:ascii="仿宋" w:hAnsi="仿宋" w:eastAsia="仿宋" w:cs="仿宋"/>
          <w:color w:val="auto"/>
          <w:sz w:val="24"/>
          <w:szCs w:val="24"/>
          <w:highlight w:val="none"/>
        </w:rPr>
      </w:pPr>
      <w:r>
        <w:rPr>
          <w:rStyle w:val="9"/>
          <w:rFonts w:hint="eastAsia" w:ascii="仿宋" w:hAnsi="仿宋" w:eastAsia="仿宋" w:cs="仿宋"/>
          <w:color w:val="auto"/>
          <w:sz w:val="24"/>
          <w:szCs w:val="24"/>
          <w:highlight w:val="none"/>
        </w:rPr>
        <w:t>1. 项目编号：</w:t>
      </w:r>
      <w:r>
        <w:rPr>
          <w:rStyle w:val="9"/>
          <w:rFonts w:hint="eastAsia" w:ascii="仿宋" w:hAnsi="仿宋" w:eastAsia="仿宋" w:cs="仿宋"/>
          <w:color w:val="auto"/>
          <w:sz w:val="24"/>
          <w:szCs w:val="24"/>
          <w:highlight w:val="none"/>
          <w:u w:val="single"/>
          <w:lang w:val="en-US" w:eastAsia="zh-CN"/>
        </w:rPr>
        <w:t>XXX</w:t>
      </w:r>
      <w:r>
        <w:rPr>
          <w:rStyle w:val="9"/>
          <w:rFonts w:hint="eastAsia" w:ascii="仿宋" w:hAnsi="仿宋" w:eastAsia="仿宋" w:cs="仿宋"/>
          <w:color w:val="auto"/>
          <w:sz w:val="24"/>
          <w:szCs w:val="24"/>
          <w:highlight w:val="none"/>
        </w:rPr>
        <w:t xml:space="preserve">。      </w:t>
      </w:r>
    </w:p>
    <w:p w14:paraId="0930A631">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Style w:val="9"/>
          <w:rFonts w:hint="eastAsia" w:ascii="仿宋" w:hAnsi="仿宋" w:eastAsia="仿宋" w:cs="仿宋"/>
          <w:color w:val="auto"/>
          <w:sz w:val="24"/>
          <w:szCs w:val="24"/>
          <w:highlight w:val="none"/>
        </w:rPr>
      </w:pPr>
      <w:r>
        <w:rPr>
          <w:rStyle w:val="9"/>
          <w:rFonts w:hint="eastAsia" w:ascii="仿宋" w:hAnsi="仿宋" w:eastAsia="仿宋" w:cs="仿宋"/>
          <w:color w:val="auto"/>
          <w:sz w:val="24"/>
          <w:szCs w:val="24"/>
          <w:highlight w:val="none"/>
        </w:rPr>
        <w:t>2. 项目名称：</w:t>
      </w:r>
      <w:r>
        <w:rPr>
          <w:rFonts w:hint="eastAsia" w:ascii="仿宋" w:hAnsi="仿宋" w:eastAsia="仿宋" w:cs="仿宋"/>
          <w:color w:val="auto"/>
          <w:sz w:val="24"/>
          <w:szCs w:val="24"/>
          <w:highlight w:val="none"/>
          <w:u w:val="single"/>
          <w:lang w:val="en-US" w:eastAsia="zh-CN"/>
        </w:rPr>
        <w:t>XXX</w:t>
      </w:r>
      <w:r>
        <w:rPr>
          <w:rStyle w:val="9"/>
          <w:rFonts w:hint="eastAsia" w:ascii="仿宋" w:hAnsi="仿宋" w:eastAsia="仿宋" w:cs="仿宋"/>
          <w:color w:val="auto"/>
          <w:sz w:val="24"/>
          <w:szCs w:val="24"/>
          <w:highlight w:val="none"/>
        </w:rPr>
        <w:t>。</w:t>
      </w:r>
    </w:p>
    <w:p w14:paraId="07FF2E94">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 具体内容：</w:t>
      </w:r>
      <w:r>
        <w:rPr>
          <w:rFonts w:hint="eastAsia" w:ascii="仿宋" w:hAnsi="仿宋" w:eastAsia="仿宋" w:cs="仿宋"/>
          <w:color w:val="auto"/>
          <w:sz w:val="24"/>
          <w:highlight w:val="none"/>
          <w:u w:val="single"/>
        </w:rPr>
        <w:t>XXX</w:t>
      </w:r>
      <w:r>
        <w:rPr>
          <w:rFonts w:hint="eastAsia" w:ascii="仿宋" w:hAnsi="仿宋" w:eastAsia="仿宋" w:cs="仿宋"/>
          <w:color w:val="auto"/>
          <w:sz w:val="24"/>
          <w:highlight w:val="none"/>
        </w:rPr>
        <w:t>。(详见乙方报价表)</w:t>
      </w:r>
    </w:p>
    <w:p w14:paraId="2E498572">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 合同金额：人民币</w:t>
      </w:r>
      <w:r>
        <w:rPr>
          <w:rFonts w:hint="eastAsia" w:ascii="仿宋" w:hAnsi="仿宋" w:eastAsia="仿宋" w:cs="仿宋"/>
          <w:color w:val="auto"/>
          <w:sz w:val="24"/>
          <w:highlight w:val="none"/>
          <w:u w:val="single"/>
        </w:rPr>
        <w:t>XXX</w:t>
      </w:r>
      <w:r>
        <w:rPr>
          <w:rFonts w:hint="eastAsia" w:ascii="仿宋" w:hAnsi="仿宋" w:eastAsia="仿宋" w:cs="仿宋"/>
          <w:color w:val="auto"/>
          <w:sz w:val="24"/>
          <w:highlight w:val="none"/>
        </w:rPr>
        <w:t>元(大写：</w:t>
      </w:r>
      <w:r>
        <w:rPr>
          <w:rFonts w:hint="eastAsia" w:ascii="仿宋" w:hAnsi="仿宋" w:eastAsia="仿宋" w:cs="仿宋"/>
          <w:color w:val="auto"/>
          <w:sz w:val="24"/>
          <w:highlight w:val="none"/>
          <w:u w:val="single"/>
        </w:rPr>
        <w:t>XXX</w:t>
      </w:r>
      <w:r>
        <w:rPr>
          <w:rFonts w:hint="eastAsia" w:ascii="仿宋" w:hAnsi="仿宋" w:eastAsia="仿宋" w:cs="仿宋"/>
          <w:color w:val="auto"/>
          <w:sz w:val="24"/>
          <w:highlight w:val="none"/>
        </w:rPr>
        <w:t>)。</w:t>
      </w:r>
    </w:p>
    <w:p w14:paraId="225EE72B">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bookmarkStart w:id="14" w:name="_Toc7528"/>
      <w:bookmarkStart w:id="15" w:name="_Toc8694_WPSOffice_Level1"/>
      <w:bookmarkStart w:id="16" w:name="_Toc4730_WPSOffice_Level1"/>
      <w:bookmarkStart w:id="17" w:name="_Toc4322"/>
      <w:bookmarkStart w:id="18" w:name="_Toc24012_WPSOffice_Level1"/>
      <w:bookmarkStart w:id="19" w:name="_Toc25840"/>
      <w:bookmarkStart w:id="20" w:name="_Toc23179"/>
      <w:bookmarkStart w:id="21" w:name="_Toc16832_WPSOffice_Level1"/>
      <w:bookmarkStart w:id="22" w:name="_Toc31757_WPSOffice_Level1"/>
      <w:bookmarkStart w:id="23" w:name="_Toc10725"/>
      <w:bookmarkStart w:id="24" w:name="_Toc142_WPSOffice_Level1"/>
      <w:r>
        <w:rPr>
          <w:rFonts w:hint="eastAsia" w:ascii="仿宋" w:hAnsi="仿宋" w:eastAsia="仿宋" w:cs="仿宋"/>
          <w:b/>
          <w:color w:val="auto"/>
          <w:sz w:val="24"/>
          <w:highlight w:val="none"/>
        </w:rPr>
        <w:t>二、付款方式及期限</w:t>
      </w:r>
      <w:bookmarkEnd w:id="14"/>
      <w:bookmarkEnd w:id="15"/>
      <w:bookmarkEnd w:id="16"/>
      <w:bookmarkEnd w:id="17"/>
      <w:bookmarkEnd w:id="18"/>
      <w:bookmarkEnd w:id="19"/>
      <w:bookmarkEnd w:id="20"/>
      <w:bookmarkEnd w:id="21"/>
      <w:bookmarkEnd w:id="22"/>
      <w:bookmarkEnd w:id="23"/>
      <w:bookmarkEnd w:id="24"/>
    </w:p>
    <w:p w14:paraId="20F8649A">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szCs w:val="24"/>
          <w:highlight w:val="none"/>
          <w:lang w:val="en-US" w:eastAsia="zh-CN"/>
        </w:rPr>
      </w:pPr>
      <w:r>
        <w:rPr>
          <w:rStyle w:val="9"/>
          <w:rFonts w:hint="eastAsia" w:ascii="仿宋" w:hAnsi="仿宋" w:eastAsia="仿宋" w:cs="仿宋"/>
          <w:color w:val="auto"/>
          <w:sz w:val="24"/>
          <w:szCs w:val="24"/>
          <w:highlight w:val="none"/>
        </w:rPr>
        <w:t>1. 付款方式：</w:t>
      </w:r>
      <w:r>
        <w:rPr>
          <w:rFonts w:hint="eastAsia" w:ascii="仿宋" w:hAnsi="仿宋" w:eastAsia="仿宋" w:cs="仿宋"/>
          <w:color w:val="auto"/>
          <w:sz w:val="24"/>
          <w:szCs w:val="24"/>
          <w:highlight w:val="none"/>
          <w:lang w:val="en-US" w:eastAsia="zh-CN"/>
        </w:rPr>
        <w:t>XXX；</w:t>
      </w:r>
    </w:p>
    <w:p w14:paraId="2CB1976B">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Style w:val="9"/>
          <w:rFonts w:hint="eastAsia" w:ascii="仿宋" w:hAnsi="仿宋" w:eastAsia="仿宋" w:cs="仿宋"/>
          <w:color w:val="auto"/>
          <w:sz w:val="24"/>
          <w:szCs w:val="24"/>
          <w:highlight w:val="none"/>
          <w:lang w:eastAsia="zh-CN"/>
        </w:rPr>
      </w:pPr>
      <w:r>
        <w:rPr>
          <w:rStyle w:val="9"/>
          <w:rFonts w:hint="eastAsia" w:ascii="仿宋" w:hAnsi="仿宋" w:eastAsia="仿宋" w:cs="仿宋"/>
          <w:color w:val="auto"/>
          <w:sz w:val="24"/>
          <w:szCs w:val="24"/>
          <w:highlight w:val="none"/>
          <w:lang w:val="en-US" w:eastAsia="zh-CN"/>
        </w:rPr>
        <w:t>2</w:t>
      </w:r>
      <w:r>
        <w:rPr>
          <w:rStyle w:val="9"/>
          <w:rFonts w:hint="eastAsia" w:ascii="仿宋" w:hAnsi="仿宋" w:eastAsia="仿宋" w:cs="仿宋"/>
          <w:color w:val="auto"/>
          <w:sz w:val="24"/>
          <w:szCs w:val="24"/>
          <w:highlight w:val="none"/>
          <w:lang w:eastAsia="zh-CN"/>
        </w:rPr>
        <w:t>.</w:t>
      </w:r>
      <w:r>
        <w:rPr>
          <w:rFonts w:hint="eastAsia" w:ascii="仿宋" w:hAnsi="仿宋" w:eastAsia="仿宋" w:cs="仿宋"/>
          <w:color w:val="auto"/>
          <w:kern w:val="2"/>
          <w:sz w:val="24"/>
          <w:szCs w:val="24"/>
          <w:highlight w:val="none"/>
        </w:rPr>
        <w:t>待乙方履约完成并经甲方验收后，由甲方凭政府采购项目验收记录</w:t>
      </w:r>
      <w:r>
        <w:rPr>
          <w:rFonts w:hint="eastAsia" w:ascii="仿宋" w:hAnsi="仿宋" w:eastAsia="仿宋" w:cs="仿宋"/>
          <w:color w:val="auto"/>
          <w:kern w:val="2"/>
          <w:sz w:val="24"/>
          <w:szCs w:val="24"/>
          <w:highlight w:val="none"/>
          <w:lang w:val="en-US" w:eastAsia="zh-CN"/>
        </w:rPr>
        <w:t>按照合同约定支付款项</w:t>
      </w:r>
      <w:r>
        <w:rPr>
          <w:rFonts w:hint="eastAsia" w:ascii="仿宋" w:hAnsi="仿宋" w:eastAsia="仿宋" w:cs="仿宋"/>
          <w:color w:val="auto"/>
          <w:kern w:val="2"/>
          <w:sz w:val="24"/>
          <w:szCs w:val="24"/>
          <w:highlight w:val="none"/>
        </w:rPr>
        <w:t>。</w:t>
      </w:r>
    </w:p>
    <w:p w14:paraId="0E96B8F7">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bookmarkStart w:id="25" w:name="_Toc17920"/>
      <w:bookmarkStart w:id="26" w:name="_Toc6457"/>
      <w:bookmarkStart w:id="27" w:name="_Toc32607"/>
      <w:bookmarkStart w:id="28" w:name="_Toc30159_WPSOffice_Level1"/>
      <w:bookmarkStart w:id="29" w:name="_Toc13023_WPSOffice_Level1"/>
      <w:bookmarkStart w:id="30" w:name="_Toc23717_WPSOffice_Level1"/>
      <w:bookmarkStart w:id="31" w:name="_Toc6309_WPSOffice_Level1"/>
      <w:bookmarkStart w:id="32" w:name="_Toc1386_WPSOffice_Level1"/>
      <w:bookmarkStart w:id="33" w:name="_Toc1162"/>
      <w:bookmarkStart w:id="34" w:name="_Toc20333_WPSOffice_Level1"/>
      <w:r>
        <w:rPr>
          <w:rFonts w:hint="eastAsia" w:ascii="仿宋" w:hAnsi="仿宋" w:eastAsia="仿宋" w:cs="仿宋"/>
          <w:b/>
          <w:color w:val="auto"/>
          <w:sz w:val="24"/>
          <w:highlight w:val="none"/>
        </w:rPr>
        <w:t>三、合同期限/服务时间、服务/安装地点及交付方式</w:t>
      </w:r>
      <w:bookmarkEnd w:id="25"/>
      <w:bookmarkEnd w:id="26"/>
      <w:bookmarkEnd w:id="27"/>
      <w:bookmarkEnd w:id="28"/>
      <w:bookmarkEnd w:id="29"/>
      <w:bookmarkEnd w:id="30"/>
      <w:bookmarkEnd w:id="31"/>
      <w:bookmarkEnd w:id="32"/>
      <w:bookmarkEnd w:id="33"/>
      <w:bookmarkEnd w:id="34"/>
    </w:p>
    <w:p w14:paraId="34660467">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caps/>
          <w:color w:val="auto"/>
          <w:kern w:val="2"/>
          <w:sz w:val="24"/>
          <w:szCs w:val="24"/>
          <w:highlight w:val="none"/>
          <w:lang w:eastAsia="zh-CN"/>
        </w:rPr>
        <w:t>服务时间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XXX</w:t>
      </w:r>
      <w:r>
        <w:rPr>
          <w:rFonts w:hint="eastAsia" w:ascii="仿宋" w:hAnsi="仿宋" w:eastAsia="仿宋" w:cs="仿宋"/>
          <w:color w:val="auto"/>
          <w:sz w:val="24"/>
          <w:highlight w:val="none"/>
        </w:rPr>
        <w:t>；</w:t>
      </w:r>
    </w:p>
    <w:p w14:paraId="0D43532F">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 服务地点：</w:t>
      </w:r>
      <w:r>
        <w:rPr>
          <w:rFonts w:hint="eastAsia" w:ascii="仿宋" w:hAnsi="仿宋" w:eastAsia="仿宋" w:cs="仿宋"/>
          <w:color w:val="auto"/>
          <w:sz w:val="24"/>
          <w:highlight w:val="none"/>
          <w:lang w:val="en-US" w:eastAsia="zh-CN"/>
        </w:rPr>
        <w:t>XXX</w:t>
      </w:r>
      <w:r>
        <w:rPr>
          <w:rFonts w:hint="eastAsia" w:ascii="仿宋" w:hAnsi="仿宋" w:eastAsia="仿宋" w:cs="仿宋"/>
          <w:color w:val="auto"/>
          <w:sz w:val="24"/>
          <w:highlight w:val="none"/>
        </w:rPr>
        <w:t>；</w:t>
      </w:r>
    </w:p>
    <w:p w14:paraId="11341FA7">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3. 交付方式：XXXX</w:t>
      </w:r>
      <w:r>
        <w:rPr>
          <w:rFonts w:hint="eastAsia" w:ascii="仿宋" w:hAnsi="仿宋" w:eastAsia="仿宋" w:cs="仿宋"/>
          <w:color w:val="auto"/>
          <w:sz w:val="24"/>
          <w:szCs w:val="20"/>
          <w:highlight w:val="none"/>
        </w:rPr>
        <w:t>（此条为一般条款，具体以政府采购计划规定为准）</w:t>
      </w:r>
    </w:p>
    <w:p w14:paraId="0710E598">
      <w:pPr>
        <w:keepNext w:val="0"/>
        <w:keepLines w:val="0"/>
        <w:pageBreakBefore w:val="0"/>
        <w:widowControl w:val="0"/>
        <w:shd w:val="clear" w:color="auto" w:fill="auto"/>
        <w:kinsoku/>
        <w:wordWrap/>
        <w:overflowPunct/>
        <w:topLinePunct w:val="0"/>
        <w:bidi w:val="0"/>
        <w:snapToGrid/>
        <w:spacing w:line="400" w:lineRule="exact"/>
        <w:textAlignment w:val="auto"/>
        <w:outlineLvl w:val="9"/>
        <w:rPr>
          <w:rFonts w:hint="eastAsia" w:ascii="仿宋" w:hAnsi="仿宋" w:eastAsia="仿宋" w:cs="仿宋"/>
          <w:b/>
          <w:color w:val="auto"/>
          <w:sz w:val="24"/>
          <w:highlight w:val="none"/>
        </w:rPr>
      </w:pPr>
      <w:bookmarkStart w:id="35" w:name="_Toc28262"/>
      <w:bookmarkStart w:id="36" w:name="_Toc32585_WPSOffice_Level1"/>
      <w:bookmarkStart w:id="37" w:name="_Toc29909_WPSOffice_Level1"/>
      <w:bookmarkStart w:id="38" w:name="_Toc20945"/>
      <w:bookmarkStart w:id="39" w:name="_Toc30580"/>
      <w:bookmarkStart w:id="40" w:name="_Toc2895_WPSOffice_Level1"/>
      <w:bookmarkStart w:id="41" w:name="_Toc7990"/>
      <w:bookmarkStart w:id="42" w:name="_Toc10749_WPSOffice_Level1"/>
      <w:bookmarkStart w:id="43" w:name="_Toc7626_WPSOffice_Level1"/>
      <w:bookmarkStart w:id="44" w:name="_Toc12319_WPSOffice_Level1"/>
      <w:bookmarkStart w:id="45" w:name="_Toc2"/>
      <w:r>
        <w:rPr>
          <w:rFonts w:hint="eastAsia" w:ascii="仿宋" w:hAnsi="仿宋" w:eastAsia="仿宋" w:cs="仿宋"/>
          <w:b/>
          <w:color w:val="auto"/>
          <w:sz w:val="24"/>
          <w:highlight w:val="none"/>
        </w:rPr>
        <w:t>四、服务内容与质量标准（本部分具体条款应来源采购文件、投标文件）</w:t>
      </w:r>
      <w:bookmarkEnd w:id="35"/>
      <w:bookmarkEnd w:id="36"/>
      <w:bookmarkEnd w:id="37"/>
      <w:bookmarkEnd w:id="38"/>
      <w:bookmarkEnd w:id="39"/>
      <w:bookmarkEnd w:id="40"/>
      <w:bookmarkEnd w:id="41"/>
      <w:bookmarkEnd w:id="42"/>
      <w:bookmarkEnd w:id="43"/>
      <w:bookmarkEnd w:id="44"/>
      <w:bookmarkEnd w:id="45"/>
    </w:p>
    <w:p w14:paraId="2306469C">
      <w:pPr>
        <w:keepNext w:val="0"/>
        <w:keepLines w:val="0"/>
        <w:pageBreakBefore w:val="0"/>
        <w:widowControl w:val="0"/>
        <w:shd w:val="clear" w:color="auto" w:fill="auto"/>
        <w:kinsoku/>
        <w:wordWrap/>
        <w:overflowPunct/>
        <w:topLinePunct w:val="0"/>
        <w:bidi w:val="0"/>
        <w:snapToGrid/>
        <w:spacing w:line="400" w:lineRule="exact"/>
        <w:ind w:left="63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p w14:paraId="7318ADF8">
      <w:pPr>
        <w:keepNext w:val="0"/>
        <w:keepLines w:val="0"/>
        <w:pageBreakBefore w:val="0"/>
        <w:widowControl w:val="0"/>
        <w:shd w:val="clear" w:color="auto" w:fill="auto"/>
        <w:kinsoku/>
        <w:wordWrap/>
        <w:overflowPunct/>
        <w:topLinePunct w:val="0"/>
        <w:bidi w:val="0"/>
        <w:snapToGrid/>
        <w:spacing w:line="400" w:lineRule="exact"/>
        <w:ind w:left="63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p w14:paraId="7035774F">
      <w:pPr>
        <w:keepNext w:val="0"/>
        <w:keepLines w:val="0"/>
        <w:pageBreakBefore w:val="0"/>
        <w:widowControl w:val="0"/>
        <w:shd w:val="clear" w:color="auto" w:fill="auto"/>
        <w:kinsoku/>
        <w:wordWrap/>
        <w:overflowPunct/>
        <w:topLinePunct w:val="0"/>
        <w:bidi w:val="0"/>
        <w:snapToGrid/>
        <w:spacing w:line="400" w:lineRule="exact"/>
        <w:ind w:left="63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bookmarkStart w:id="46" w:name="_Toc9770"/>
      <w:bookmarkStart w:id="47" w:name="_Toc31835"/>
      <w:bookmarkStart w:id="48" w:name="_Toc5523"/>
    </w:p>
    <w:p w14:paraId="0DB8FA2E">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bookmarkStart w:id="49" w:name="_Toc14176_WPSOffice_Level1"/>
      <w:bookmarkStart w:id="50" w:name="_Toc21875_WPSOffice_Level1"/>
      <w:bookmarkStart w:id="51" w:name="_Toc17023_WPSOffice_Level1"/>
      <w:bookmarkStart w:id="52" w:name="_Toc24339"/>
      <w:bookmarkStart w:id="53" w:name="_Toc2300"/>
      <w:bookmarkStart w:id="54" w:name="_Toc13260_WPSOffice_Level1"/>
      <w:bookmarkStart w:id="55" w:name="_Toc25174_WPSOffice_Level1"/>
      <w:bookmarkStart w:id="56" w:name="_Toc29360_WPSOffice_Level1"/>
      <w:r>
        <w:rPr>
          <w:rFonts w:hint="eastAsia" w:ascii="仿宋" w:hAnsi="仿宋" w:eastAsia="仿宋" w:cs="仿宋"/>
          <w:b/>
          <w:color w:val="auto"/>
          <w:sz w:val="24"/>
          <w:highlight w:val="none"/>
        </w:rPr>
        <w:t>五、履约验收</w:t>
      </w:r>
      <w:bookmarkEnd w:id="46"/>
      <w:bookmarkEnd w:id="47"/>
      <w:bookmarkEnd w:id="48"/>
      <w:bookmarkEnd w:id="49"/>
      <w:bookmarkEnd w:id="50"/>
      <w:bookmarkEnd w:id="51"/>
      <w:bookmarkEnd w:id="52"/>
      <w:bookmarkEnd w:id="53"/>
      <w:bookmarkEnd w:id="54"/>
      <w:bookmarkEnd w:id="55"/>
      <w:bookmarkEnd w:id="56"/>
    </w:p>
    <w:p w14:paraId="4876EC43">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 乙方保证所提供的服务整体或其任何一部分均不会侵犯任何第三方的专利权、商标权或著作权。</w:t>
      </w:r>
    </w:p>
    <w:p w14:paraId="769E4BC4">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 乙方保证所提供的服务的所有权完全属于乙方且无任何抵押、查封等产权瑕疵。如有产权瑕疵的，视为乙方违约，乙方应负担由此而产生的一切损失。</w:t>
      </w:r>
    </w:p>
    <w:p w14:paraId="3D87C664">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 甲方按国家相关标准和本招标文件的相关要求自行组织有关专业人员验收。</w:t>
      </w:r>
    </w:p>
    <w:p w14:paraId="5F41B5E3">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 验收标准：按国家有关规定以及甲方采购文件的服务质量要求和技术指标、乙方的投标文件及承诺与本合同约定标准进行验收；甲乙双方如对服务质量要求和技术指标的约定标准有相互抵触或异议的事项，由甲方在甲方采购文件与乙方投标文件中按服务质量要求和技术指标比较优胜的原则确定该项的约定标准进行验收；</w:t>
      </w:r>
    </w:p>
    <w:p w14:paraId="5580CB62">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 验收时如发现乙方提供的服务不符合标准及本合同规定之情形者，甲方应做出详尽的现场记录，或由甲乙双方签署备忘录，由此产生的时间延误与有关费用由乙方承担，验收期限相应顺延；</w:t>
      </w:r>
    </w:p>
    <w:p w14:paraId="60DAD3FF">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 如服务质量验收合格，双方应在</w:t>
      </w:r>
      <w:r>
        <w:rPr>
          <w:rFonts w:hint="eastAsia" w:ascii="仿宋" w:hAnsi="仿宋" w:eastAsia="仿宋" w:cs="仿宋"/>
          <w:color w:val="auto"/>
          <w:sz w:val="24"/>
          <w:highlight w:val="none"/>
          <w:lang w:val="en-US" w:eastAsia="zh-CN"/>
        </w:rPr>
        <w:t>验收报告中</w:t>
      </w:r>
      <w:r>
        <w:rPr>
          <w:rFonts w:hint="eastAsia" w:ascii="仿宋" w:hAnsi="仿宋" w:eastAsia="仿宋" w:cs="仿宋"/>
          <w:color w:val="auto"/>
          <w:sz w:val="24"/>
          <w:highlight w:val="none"/>
        </w:rPr>
        <w:t>签署服务质量验收合格意见。</w:t>
      </w:r>
    </w:p>
    <w:p w14:paraId="7762F13A">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 甲方应自乙方履行完合同义务之日起</w:t>
      </w:r>
      <w:r>
        <w:rPr>
          <w:rFonts w:hint="eastAsia" w:ascii="仿宋" w:hAnsi="仿宋" w:eastAsia="仿宋" w:cs="仿宋"/>
          <w:color w:val="auto"/>
          <w:sz w:val="24"/>
          <w:highlight w:val="none"/>
          <w:lang w:val="en-US" w:eastAsia="zh-CN"/>
        </w:rPr>
        <w:t>XX</w:t>
      </w:r>
      <w:r>
        <w:rPr>
          <w:rFonts w:hint="eastAsia" w:ascii="仿宋" w:hAnsi="仿宋" w:eastAsia="仿宋" w:cs="仿宋"/>
          <w:color w:val="auto"/>
          <w:sz w:val="24"/>
          <w:highlight w:val="none"/>
        </w:rPr>
        <w:t>日内组织验收，甲方无故逾期不进行验收工作的，视同验收合格。</w:t>
      </w:r>
    </w:p>
    <w:p w14:paraId="2D7F21A5">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bookmarkStart w:id="57" w:name="_Toc17756_WPSOffice_Level1"/>
      <w:bookmarkStart w:id="58" w:name="_Toc16814"/>
      <w:bookmarkStart w:id="59" w:name="_Toc29503"/>
      <w:bookmarkStart w:id="60" w:name="_Toc7368_WPSOffice_Level1"/>
      <w:bookmarkStart w:id="61" w:name="_Toc9443"/>
      <w:bookmarkStart w:id="62" w:name="_Toc10136_WPSOffice_Level1"/>
      <w:bookmarkStart w:id="63" w:name="_Toc9499_WPSOffice_Level1"/>
      <w:bookmarkStart w:id="64" w:name="_Toc31631"/>
      <w:bookmarkStart w:id="65" w:name="_Toc19571"/>
      <w:bookmarkStart w:id="66" w:name="_Toc9927_WPSOffice_Level1"/>
      <w:bookmarkStart w:id="67" w:name="_Toc1363_WPSOffice_Level1"/>
      <w:r>
        <w:rPr>
          <w:rFonts w:hint="eastAsia" w:ascii="仿宋" w:hAnsi="仿宋" w:eastAsia="仿宋" w:cs="仿宋"/>
          <w:b/>
          <w:color w:val="auto"/>
          <w:sz w:val="24"/>
          <w:highlight w:val="none"/>
        </w:rPr>
        <w:t>六、乙方在投标文件中的其它服务承诺</w:t>
      </w:r>
      <w:bookmarkEnd w:id="57"/>
      <w:bookmarkEnd w:id="58"/>
      <w:bookmarkEnd w:id="59"/>
      <w:bookmarkEnd w:id="60"/>
      <w:bookmarkEnd w:id="61"/>
      <w:bookmarkEnd w:id="62"/>
      <w:bookmarkEnd w:id="63"/>
      <w:bookmarkEnd w:id="64"/>
      <w:bookmarkEnd w:id="65"/>
      <w:bookmarkEnd w:id="66"/>
      <w:bookmarkEnd w:id="67"/>
    </w:p>
    <w:p w14:paraId="428DD181">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w:t>
      </w:r>
    </w:p>
    <w:p w14:paraId="0EAB7842">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w:t>
      </w:r>
    </w:p>
    <w:p w14:paraId="6D984074">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w:t>
      </w:r>
    </w:p>
    <w:p w14:paraId="2A9A7878">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bookmarkStart w:id="68" w:name="_Toc22027"/>
      <w:bookmarkStart w:id="69" w:name="_Toc17619_WPSOffice_Level1"/>
      <w:bookmarkStart w:id="70" w:name="_Toc29229_WPSOffice_Level1"/>
      <w:bookmarkStart w:id="71" w:name="_Toc491_WPSOffice_Level1"/>
      <w:bookmarkStart w:id="72" w:name="_Toc20037_WPSOffice_Level1"/>
      <w:bookmarkStart w:id="73" w:name="_Toc29072"/>
      <w:bookmarkStart w:id="74" w:name="_Toc1406_WPSOffice_Level1"/>
      <w:bookmarkStart w:id="75" w:name="_Toc15492"/>
      <w:bookmarkStart w:id="76" w:name="_Toc32017"/>
      <w:bookmarkStart w:id="77" w:name="_Toc32747"/>
      <w:bookmarkStart w:id="78" w:name="_Toc1286_WPSOffice_Level1"/>
      <w:r>
        <w:rPr>
          <w:rFonts w:hint="eastAsia" w:ascii="仿宋" w:hAnsi="仿宋" w:eastAsia="仿宋" w:cs="仿宋"/>
          <w:b/>
          <w:color w:val="auto"/>
          <w:sz w:val="24"/>
          <w:highlight w:val="none"/>
        </w:rPr>
        <w:t>七、相关权利及义务</w:t>
      </w:r>
      <w:bookmarkEnd w:id="68"/>
      <w:bookmarkEnd w:id="69"/>
      <w:bookmarkEnd w:id="70"/>
      <w:bookmarkEnd w:id="71"/>
      <w:bookmarkEnd w:id="72"/>
      <w:bookmarkEnd w:id="73"/>
      <w:bookmarkEnd w:id="74"/>
      <w:bookmarkEnd w:id="75"/>
      <w:bookmarkEnd w:id="76"/>
      <w:bookmarkEnd w:id="77"/>
      <w:bookmarkEnd w:id="78"/>
    </w:p>
    <w:p w14:paraId="1D2D21C9">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 甲方有权对合同规定范围内乙方的服务行为进行监督和检查，不定期核对乙方提供服务过程中所配备的人员、设备等情况，对不符合规定的部分有权下达整改通知书，并要求乙方限期整改。</w:t>
      </w:r>
    </w:p>
    <w:p w14:paraId="27A437BD">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 甲方有权依据双方签订的考评办法对乙方提供的服务进行不定期考评。当考评结果未达到标准时，有权依据考评办法约定的数额减付应付款项或扣除履约保证金。</w:t>
      </w:r>
    </w:p>
    <w:p w14:paraId="1DB650B4">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 甲方负责检查监督乙方管理工作的实施及制度的执行情况。</w:t>
      </w:r>
    </w:p>
    <w:p w14:paraId="3A603ECF">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甲方应在合同规定期限内履行付款责任。</w:t>
      </w:r>
    </w:p>
    <w:p w14:paraId="28CE5ED8">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 xml:space="preserve">. 乙方有义务按投标文件中的承诺提供良好的服务。 </w:t>
      </w:r>
    </w:p>
    <w:p w14:paraId="071A1455">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 乙方对本合同规定的委托服务范围内的项目享有管理权及服务义务。</w:t>
      </w:r>
    </w:p>
    <w:p w14:paraId="2688FA7A">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 乙方有权按照合同约定要求甲方及时支付相应合同款项。</w:t>
      </w:r>
    </w:p>
    <w:p w14:paraId="00A1CC85">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 乙方应及时向甲方通告本项目服务范围内有关服务的重大事项，及时配合处理投诉。</w:t>
      </w:r>
    </w:p>
    <w:p w14:paraId="04C2D4A8">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 乙方应接受项目行业管理部门及政府有关部门的指导，接受甲方的监督。</w:t>
      </w:r>
    </w:p>
    <w:p w14:paraId="6C2D2CF5">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0</w:t>
      </w:r>
      <w:r>
        <w:rPr>
          <w:rFonts w:hint="eastAsia" w:ascii="仿宋" w:hAnsi="仿宋" w:eastAsia="仿宋" w:cs="仿宋"/>
          <w:color w:val="auto"/>
          <w:sz w:val="24"/>
          <w:highlight w:val="none"/>
        </w:rPr>
        <w:t>. 乙方须指派专人负责与甲方联系服务事宜。</w:t>
      </w:r>
    </w:p>
    <w:p w14:paraId="516616A4">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指派人员：                   电话：</w:t>
      </w:r>
    </w:p>
    <w:p w14:paraId="4C9E1159">
      <w:pPr>
        <w:keepNext w:val="0"/>
        <w:keepLines w:val="0"/>
        <w:pageBreakBefore w:val="0"/>
        <w:widowControl w:val="0"/>
        <w:numPr>
          <w:ilvl w:val="0"/>
          <w:numId w:val="0"/>
        </w:numPr>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甲方、见证方有义务对因本项目而知悉的乙方的技术及商业机密予以保密。</w:t>
      </w:r>
    </w:p>
    <w:p w14:paraId="12EB46F8">
      <w:pPr>
        <w:keepNext w:val="0"/>
        <w:keepLines w:val="0"/>
        <w:pageBreakBefore w:val="0"/>
        <w:widowControl w:val="0"/>
        <w:numPr>
          <w:ilvl w:val="0"/>
          <w:numId w:val="1"/>
        </w:numPr>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国家法律、法规所规定甲、乙各方应承担的其它责任。</w:t>
      </w:r>
    </w:p>
    <w:p w14:paraId="7A61E61A">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bookmarkStart w:id="79" w:name="_Toc17441"/>
      <w:bookmarkStart w:id="80" w:name="_Toc18221"/>
      <w:bookmarkStart w:id="81" w:name="_Toc18119_WPSOffice_Level1"/>
      <w:bookmarkStart w:id="82" w:name="_Toc5679_WPSOffice_Level1"/>
      <w:bookmarkStart w:id="83" w:name="_Toc29214"/>
      <w:bookmarkStart w:id="84" w:name="_Toc29566_WPSOffice_Level1"/>
      <w:bookmarkStart w:id="85" w:name="_Toc18630"/>
      <w:bookmarkStart w:id="86" w:name="_Toc14878"/>
      <w:bookmarkStart w:id="87" w:name="_Toc7857_WPSOffice_Level1"/>
      <w:bookmarkStart w:id="88" w:name="_Toc10259_WPSOffice_Level1"/>
      <w:bookmarkStart w:id="89" w:name="_Toc3104_WPSOffice_Level1"/>
      <w:r>
        <w:rPr>
          <w:rFonts w:hint="eastAsia" w:ascii="仿宋" w:hAnsi="仿宋" w:eastAsia="仿宋" w:cs="仿宋"/>
          <w:b/>
          <w:color w:val="auto"/>
          <w:sz w:val="24"/>
          <w:highlight w:val="none"/>
        </w:rPr>
        <w:t>八、违约责任</w:t>
      </w:r>
      <w:bookmarkEnd w:id="79"/>
      <w:bookmarkEnd w:id="80"/>
      <w:bookmarkEnd w:id="81"/>
      <w:bookmarkEnd w:id="82"/>
      <w:bookmarkEnd w:id="83"/>
      <w:bookmarkEnd w:id="84"/>
      <w:bookmarkEnd w:id="85"/>
      <w:bookmarkEnd w:id="86"/>
      <w:bookmarkEnd w:id="87"/>
      <w:bookmarkEnd w:id="88"/>
      <w:bookmarkEnd w:id="89"/>
    </w:p>
    <w:p w14:paraId="6A860687">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 甲乙双方均应遵守本合同，非因不可抗力而单方面终止执行合同的，将赔偿因违约给对方造成的经济损失，并向对方支付本合同总额10%的违约金；如因乙方原因造成的，除不予退还履约保证金外，并</w:t>
      </w:r>
      <w:r>
        <w:rPr>
          <w:rFonts w:hint="eastAsia" w:ascii="仿宋" w:hAnsi="仿宋" w:eastAsia="仿宋" w:cs="仿宋"/>
          <w:color w:val="auto"/>
          <w:sz w:val="24"/>
          <w:highlight w:val="none"/>
          <w:lang w:val="en-US" w:eastAsia="zh-CN"/>
        </w:rPr>
        <w:t>由</w:t>
      </w:r>
      <w:r>
        <w:rPr>
          <w:rFonts w:hint="eastAsia" w:ascii="仿宋" w:hAnsi="仿宋" w:eastAsia="仿宋" w:cs="仿宋"/>
          <w:color w:val="auto"/>
          <w:sz w:val="24"/>
          <w:highlight w:val="none"/>
        </w:rPr>
        <w:t>甲方提请</w:t>
      </w:r>
      <w:r>
        <w:rPr>
          <w:rFonts w:hint="eastAsia" w:ascii="仿宋" w:hAnsi="仿宋" w:eastAsia="仿宋" w:cs="仿宋"/>
          <w:color w:val="auto"/>
          <w:sz w:val="24"/>
          <w:szCs w:val="20"/>
          <w:highlight w:val="none"/>
        </w:rPr>
        <w:t>项目同级财政部门</w:t>
      </w:r>
      <w:r>
        <w:rPr>
          <w:rFonts w:hint="eastAsia" w:ascii="仿宋" w:hAnsi="仿宋" w:eastAsia="仿宋" w:cs="仿宋"/>
          <w:color w:val="auto"/>
          <w:sz w:val="24"/>
          <w:highlight w:val="none"/>
        </w:rPr>
        <w:t>将其列入不良行为记录。</w:t>
      </w:r>
    </w:p>
    <w:p w14:paraId="7F8524E7">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 若乙方在合同签订后10日内不能开始提供服务，甲方有权解除合同，由乙方按合同总价的10%向甲方支付违约金</w:t>
      </w:r>
      <w:r>
        <w:rPr>
          <w:rFonts w:hint="eastAsia" w:ascii="仿宋" w:hAnsi="仿宋" w:eastAsia="仿宋" w:cs="仿宋"/>
          <w:color w:val="auto"/>
          <w:sz w:val="24"/>
          <w:highlight w:val="none"/>
          <w:lang w:val="en-US" w:eastAsia="zh-CN"/>
        </w:rPr>
        <w:t>，同时履约保证金不予退还</w:t>
      </w:r>
      <w:r>
        <w:rPr>
          <w:rFonts w:hint="eastAsia" w:ascii="仿宋" w:hAnsi="仿宋" w:eastAsia="仿宋" w:cs="仿宋"/>
          <w:color w:val="auto"/>
          <w:sz w:val="24"/>
          <w:highlight w:val="none"/>
        </w:rPr>
        <w:t>。</w:t>
      </w:r>
    </w:p>
    <w:p w14:paraId="2FB2B2E3">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 乙方提供的服务质量不符合合同规定的，甲方限期</w:t>
      </w:r>
      <w:r>
        <w:rPr>
          <w:rFonts w:hint="eastAsia" w:ascii="仿宋" w:hAnsi="仿宋" w:eastAsia="仿宋" w:cs="仿宋"/>
          <w:color w:val="auto"/>
          <w:sz w:val="24"/>
          <w:highlight w:val="none"/>
          <w:u w:val="single"/>
        </w:rPr>
        <w:t xml:space="preserve"> 3 日</w:t>
      </w:r>
      <w:r>
        <w:rPr>
          <w:rFonts w:hint="eastAsia" w:ascii="仿宋" w:hAnsi="仿宋" w:eastAsia="仿宋" w:cs="仿宋"/>
          <w:color w:val="auto"/>
          <w:sz w:val="24"/>
          <w:highlight w:val="none"/>
        </w:rPr>
        <w:t>内整改，如果累计三次未整改或整改不到位的，视作乙方无法提供合格的服务违约，乙方合同总价的1%向甲方支付违约金。</w:t>
      </w:r>
    </w:p>
    <w:p w14:paraId="2C91BEC8">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4. 由于乙方某种行为属根本性违约，导致合同延误或不能继续履约，则甲方有权解除合同，由乙方按合同总价的10%向甲方支付违约金并承担损失赔偿责任</w:t>
      </w:r>
      <w:r>
        <w:rPr>
          <w:rFonts w:hint="eastAsia" w:ascii="仿宋" w:hAnsi="仿宋" w:eastAsia="仿宋" w:cs="仿宋"/>
          <w:color w:val="auto"/>
          <w:sz w:val="24"/>
          <w:highlight w:val="none"/>
          <w:lang w:val="en-US" w:eastAsia="zh-CN"/>
        </w:rPr>
        <w:t>，同时履约保证金不予退还</w:t>
      </w:r>
      <w:r>
        <w:rPr>
          <w:rFonts w:hint="eastAsia" w:ascii="仿宋" w:hAnsi="仿宋" w:eastAsia="仿宋" w:cs="仿宋"/>
          <w:color w:val="auto"/>
          <w:sz w:val="24"/>
          <w:highlight w:val="none"/>
        </w:rPr>
        <w:t>。</w:t>
      </w:r>
    </w:p>
    <w:p w14:paraId="52666C13">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5.乙方保证本合同服务的权利无瑕疵，</w:t>
      </w:r>
      <w:r>
        <w:rPr>
          <w:rFonts w:hint="eastAsia" w:ascii="仿宋" w:hAnsi="仿宋" w:eastAsia="仿宋" w:cs="仿宋"/>
          <w:color w:val="auto"/>
          <w:sz w:val="24"/>
          <w:szCs w:val="20"/>
          <w:highlight w:val="none"/>
        </w:rPr>
        <w:t>保证所提供的服务的所有权完全属于乙方且无任何抵押、查封等产权瑕疵。如有产权瑕疵的，视为乙方违约，</w:t>
      </w:r>
      <w:r>
        <w:rPr>
          <w:rFonts w:hint="eastAsia" w:ascii="仿宋" w:hAnsi="仿宋" w:eastAsia="仿宋" w:cs="仿宋"/>
          <w:color w:val="auto"/>
          <w:sz w:val="24"/>
          <w:highlight w:val="none"/>
        </w:rPr>
        <w:t>除应向甲方返还已收款项外，还应另按合同总价的10%向甲方支付违约金并赔偿因此给甲方造成的一切损失。</w:t>
      </w:r>
    </w:p>
    <w:p w14:paraId="263FEE20">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6. 乙方应严格遵守服务承诺，如有违约，将赔偿因服务违约给甲方造成的经济损失。</w:t>
      </w:r>
      <w:r>
        <w:rPr>
          <w:rFonts w:hint="eastAsia" w:ascii="仿宋" w:hAnsi="仿宋" w:eastAsia="仿宋" w:cs="仿宋"/>
          <w:bCs/>
          <w:color w:val="auto"/>
          <w:sz w:val="24"/>
          <w:szCs w:val="20"/>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r>
        <w:rPr>
          <w:rFonts w:hint="eastAsia" w:ascii="仿宋" w:hAnsi="仿宋" w:eastAsia="仿宋" w:cs="仿宋"/>
          <w:color w:val="auto"/>
          <w:sz w:val="24"/>
          <w:highlight w:val="none"/>
        </w:rPr>
        <w:t>，并按照供应商诚信管理规定进行记分。</w:t>
      </w:r>
    </w:p>
    <w:p w14:paraId="1B8A06D4">
      <w:pPr>
        <w:keepNext w:val="0"/>
        <w:keepLines w:val="0"/>
        <w:pageBreakBefore w:val="0"/>
        <w:widowControl w:val="0"/>
        <w:shd w:val="clear" w:color="auto" w:fill="auto"/>
        <w:kinsoku/>
        <w:wordWrap/>
        <w:overflowPunct/>
        <w:topLinePunct w:val="0"/>
        <w:autoSpaceDE w:val="0"/>
        <w:autoSpaceDN w:val="0"/>
        <w:bidi w:val="0"/>
        <w:adjustRightInd w:val="0"/>
        <w:snapToGrid/>
        <w:spacing w:line="440" w:lineRule="exact"/>
        <w:ind w:firstLine="480"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color w:val="auto"/>
          <w:sz w:val="24"/>
          <w:highlight w:val="none"/>
        </w:rPr>
        <w:t>7．验收合格后，甲方应在合同约定的付款期限内及时支付合同款项，如因甲方原因造成付款延误的，乙方视情况在延迟付款期内每天按合同总额3‰的标准收取违约金。</w:t>
      </w:r>
      <w:bookmarkStart w:id="90" w:name="_Toc31548"/>
      <w:bookmarkStart w:id="91" w:name="_Toc31070"/>
      <w:bookmarkStart w:id="92" w:name="_Toc10859"/>
    </w:p>
    <w:p w14:paraId="39F3F1B1">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bookmarkStart w:id="93" w:name="_Toc16423_WPSOffice_Level1"/>
      <w:bookmarkStart w:id="94" w:name="_Toc29690"/>
      <w:bookmarkStart w:id="95" w:name="_Toc25155_WPSOffice_Level1"/>
      <w:bookmarkStart w:id="96" w:name="_Toc31400"/>
      <w:bookmarkStart w:id="97" w:name="_Toc26429_WPSOffice_Level1"/>
      <w:bookmarkStart w:id="98" w:name="_Toc24574_WPSOffice_Level1"/>
      <w:bookmarkStart w:id="99" w:name="_Toc32273_WPSOffice_Level1"/>
      <w:bookmarkStart w:id="100" w:name="_Toc2758_WPSOffice_Level1"/>
    </w:p>
    <w:p w14:paraId="40A5B647">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九、不可抗力</w:t>
      </w:r>
      <w:bookmarkEnd w:id="90"/>
      <w:bookmarkEnd w:id="91"/>
      <w:bookmarkEnd w:id="92"/>
      <w:bookmarkEnd w:id="93"/>
      <w:bookmarkEnd w:id="94"/>
      <w:bookmarkEnd w:id="95"/>
      <w:bookmarkEnd w:id="96"/>
      <w:bookmarkEnd w:id="97"/>
      <w:bookmarkEnd w:id="98"/>
      <w:bookmarkEnd w:id="99"/>
      <w:bookmarkEnd w:id="100"/>
    </w:p>
    <w:p w14:paraId="229C20A5">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甲方由于不可抗力的原因不能履行合同时，应及时向乙方和见证方、项目同级财政部门通报不能履行或不能完全履行的理由；乙方由于不可抗力的原因不能履行合同时，应在交货时间到期以前及时向甲方和见证方、项目同级财政部门通报不能履行或不能完全履行的理由；在取得有关主管机关证明以后，可以签订延期履行、部分履行补充合同或者不履行合同，并根据情况可部分或全部免予承担违约责任。</w:t>
      </w:r>
    </w:p>
    <w:p w14:paraId="7EDCBE1A">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szCs w:val="20"/>
          <w:highlight w:val="none"/>
        </w:rPr>
      </w:pPr>
      <w:bookmarkStart w:id="101" w:name="_Toc26373_WPSOffice_Level1"/>
      <w:bookmarkStart w:id="102" w:name="_Toc4705"/>
      <w:bookmarkStart w:id="103" w:name="_Toc15235_WPSOffice_Level1"/>
      <w:bookmarkStart w:id="104" w:name="_Toc25502_WPSOffice_Level1"/>
      <w:bookmarkStart w:id="105" w:name="_Toc27763_WPSOffice_Level1"/>
      <w:bookmarkStart w:id="106" w:name="_Toc22667_WPSOffice_Level1"/>
      <w:bookmarkStart w:id="107" w:name="_Toc28307"/>
      <w:bookmarkStart w:id="108" w:name="_Toc22242"/>
      <w:bookmarkStart w:id="109" w:name="_Toc1682"/>
      <w:bookmarkStart w:id="110" w:name="_Toc15386_WPSOffice_Level1"/>
      <w:bookmarkStart w:id="111" w:name="_Toc32710"/>
      <w:r>
        <w:rPr>
          <w:rFonts w:hint="eastAsia" w:ascii="仿宋" w:hAnsi="仿宋" w:eastAsia="仿宋" w:cs="仿宋"/>
          <w:b/>
          <w:color w:val="auto"/>
          <w:sz w:val="24"/>
          <w:szCs w:val="20"/>
          <w:highlight w:val="none"/>
        </w:rPr>
        <w:t>十、争议</w:t>
      </w:r>
      <w:bookmarkEnd w:id="101"/>
      <w:bookmarkEnd w:id="102"/>
      <w:bookmarkEnd w:id="103"/>
      <w:bookmarkEnd w:id="104"/>
      <w:bookmarkEnd w:id="105"/>
      <w:bookmarkEnd w:id="106"/>
      <w:bookmarkEnd w:id="107"/>
      <w:bookmarkEnd w:id="108"/>
      <w:bookmarkEnd w:id="109"/>
      <w:bookmarkEnd w:id="110"/>
      <w:bookmarkEnd w:id="111"/>
    </w:p>
    <w:p w14:paraId="022FAF7F">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因服务的质量问题发生争议，由具有法定资格条件的质量技术监督（检测）机构进行质量鉴定。服务符合标准的，鉴定费由甲方承担；服务不符合质量标准的，鉴定费由乙方承担。</w:t>
      </w:r>
    </w:p>
    <w:p w14:paraId="3EE44C57">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 合同履行期间,若双方发生争议，双方本着友好合作的态度，对合同履行过程中发生的违约行为进行及时的协商解决或由有关部门调解解决，如不能协商解决可向合同签约地法院通过法律诉讼解决。</w:t>
      </w:r>
    </w:p>
    <w:p w14:paraId="1507DC64">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szCs w:val="20"/>
          <w:highlight w:val="none"/>
        </w:rPr>
      </w:pPr>
      <w:bookmarkStart w:id="112" w:name="_Toc18007_WPSOffice_Level1"/>
      <w:bookmarkStart w:id="113" w:name="_Toc28589_WPSOffice_Level1"/>
      <w:bookmarkStart w:id="114" w:name="_Toc32014"/>
      <w:bookmarkStart w:id="115" w:name="_Toc25547_WPSOffice_Level1"/>
      <w:bookmarkStart w:id="116" w:name="_Toc26342"/>
      <w:bookmarkStart w:id="117" w:name="_Toc6295"/>
      <w:bookmarkStart w:id="118" w:name="_Toc163"/>
      <w:bookmarkStart w:id="119" w:name="_Toc32270_WPSOffice_Level1"/>
      <w:bookmarkStart w:id="120" w:name="_Toc4992_WPSOffice_Level1"/>
      <w:bookmarkStart w:id="121" w:name="_Toc27629_WPSOffice_Level1"/>
      <w:bookmarkStart w:id="122" w:name="_Toc31107"/>
      <w:r>
        <w:rPr>
          <w:rFonts w:hint="eastAsia" w:ascii="仿宋" w:hAnsi="仿宋" w:eastAsia="仿宋" w:cs="仿宋"/>
          <w:b/>
          <w:color w:val="auto"/>
          <w:sz w:val="24"/>
          <w:szCs w:val="20"/>
          <w:highlight w:val="none"/>
        </w:rPr>
        <w:t>十一、合同标的减少与追加处理</w:t>
      </w:r>
      <w:bookmarkEnd w:id="112"/>
      <w:bookmarkEnd w:id="113"/>
      <w:bookmarkEnd w:id="114"/>
      <w:bookmarkEnd w:id="115"/>
      <w:bookmarkEnd w:id="116"/>
      <w:bookmarkEnd w:id="117"/>
      <w:bookmarkEnd w:id="118"/>
      <w:bookmarkEnd w:id="119"/>
      <w:bookmarkEnd w:id="120"/>
      <w:bookmarkEnd w:id="121"/>
      <w:bookmarkEnd w:id="122"/>
    </w:p>
    <w:p w14:paraId="3FD9F28B">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 如因在合同履行过程中有变更，存在减少服务的情况，经甲乙双方书面确认，报项目同级财政部门（采购股）审核同意后，按乙方中标时的固定单价对总价进行调减，并按有关规定签订补充合同。</w:t>
      </w:r>
    </w:p>
    <w:p w14:paraId="4813691D">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 如因在合同履行过程中，需追加与本合同标的相同的服务的总价不得超过本合同金额的10%，在不改变合同条款的前提下，经甲乙双方书面确认，报项目同级财政部门（采购股）审核同意后，按乙方中标时的固定单价对总价进行调增，并按有关规定签订补充合同。</w:t>
      </w:r>
    </w:p>
    <w:p w14:paraId="0531A57E">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 如因在合同履行过程中有变更，甲、乙双方其中一方不同意进行变更的，经双方协商无法达成一致，导致合同无法继续履行的，视为提出变更方违约。</w:t>
      </w:r>
    </w:p>
    <w:p w14:paraId="3AE0EAE9">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textAlignment w:val="auto"/>
        <w:outlineLvl w:val="9"/>
        <w:rPr>
          <w:rFonts w:hint="eastAsia" w:ascii="仿宋" w:hAnsi="仿宋" w:eastAsia="仿宋" w:cs="仿宋"/>
          <w:b/>
          <w:color w:val="auto"/>
          <w:sz w:val="24"/>
          <w:szCs w:val="20"/>
          <w:highlight w:val="none"/>
        </w:rPr>
      </w:pPr>
      <w:bookmarkStart w:id="123" w:name="_Toc17401_WPSOffice_Level1"/>
      <w:bookmarkStart w:id="124" w:name="_Toc2960_WPSOffice_Level1"/>
      <w:bookmarkStart w:id="125" w:name="_Toc17113_WPSOffice_Level1"/>
      <w:bookmarkStart w:id="126" w:name="_Toc23908"/>
      <w:bookmarkStart w:id="127" w:name="_Toc31471_WPSOffice_Level1"/>
      <w:bookmarkStart w:id="128" w:name="_Toc10094"/>
      <w:bookmarkStart w:id="129" w:name="_Toc644"/>
      <w:bookmarkStart w:id="130" w:name="_Toc13934_WPSOffice_Level1"/>
      <w:bookmarkStart w:id="131" w:name="_Toc32206"/>
      <w:bookmarkStart w:id="132" w:name="_Toc28344"/>
      <w:bookmarkStart w:id="133" w:name="_Toc14806_WPSOffice_Level1"/>
      <w:r>
        <w:rPr>
          <w:rFonts w:hint="eastAsia" w:ascii="仿宋" w:hAnsi="仿宋" w:eastAsia="仿宋" w:cs="仿宋"/>
          <w:b/>
          <w:color w:val="auto"/>
          <w:sz w:val="24"/>
          <w:szCs w:val="20"/>
          <w:highlight w:val="none"/>
        </w:rPr>
        <w:t>十二、其它事项</w:t>
      </w:r>
      <w:bookmarkEnd w:id="123"/>
      <w:bookmarkEnd w:id="124"/>
      <w:bookmarkEnd w:id="125"/>
      <w:bookmarkEnd w:id="126"/>
      <w:bookmarkEnd w:id="127"/>
      <w:bookmarkEnd w:id="128"/>
      <w:bookmarkEnd w:id="129"/>
      <w:bookmarkEnd w:id="130"/>
      <w:bookmarkEnd w:id="131"/>
      <w:bookmarkEnd w:id="132"/>
      <w:bookmarkEnd w:id="133"/>
    </w:p>
    <w:p w14:paraId="0F977FFC">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 甲、乙双方约定其他事项：</w:t>
      </w:r>
    </w:p>
    <w:p w14:paraId="6E186520">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p w14:paraId="092C7599">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p w14:paraId="60741278">
      <w:pPr>
        <w:keepNext w:val="0"/>
        <w:keepLines w:val="0"/>
        <w:pageBreakBefore w:val="0"/>
        <w:widowControl w:val="0"/>
        <w:shd w:val="clear" w:color="auto" w:fill="auto"/>
        <w:kinsoku/>
        <w:wordWrap/>
        <w:overflowPunct/>
        <w:topLinePunct w:val="0"/>
        <w:bidi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 本合同一式四份，甲方、乙方、见证方各执一份，项目同级财政部门（采购股）执一份。</w:t>
      </w:r>
    </w:p>
    <w:p w14:paraId="7A5314F6">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3. 本合同自签订之日起生效。</w:t>
      </w:r>
    </w:p>
    <w:p w14:paraId="2BD09A0A">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4. 本项目的采购文件、投标文件等是本合同的附件，与合同具有同等的法律效力。 </w:t>
      </w:r>
    </w:p>
    <w:p w14:paraId="61D74A54">
      <w:pPr>
        <w:keepNext w:val="0"/>
        <w:keepLines w:val="0"/>
        <w:pageBreakBefore w:val="0"/>
        <w:widowControl w:val="0"/>
        <w:shd w:val="clear" w:color="auto" w:fill="auto"/>
        <w:kinsoku/>
        <w:wordWrap/>
        <w:overflowPunct/>
        <w:topLinePunct w:val="0"/>
        <w:autoSpaceDE w:val="0"/>
        <w:autoSpaceDN w:val="0"/>
        <w:bidi w:val="0"/>
        <w:adjustRightInd w:val="0"/>
        <w:snapToGrid/>
        <w:spacing w:line="400" w:lineRule="exact"/>
        <w:ind w:firstLine="480" w:firstLineChars="2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5. 其它未尽事宜，由双方友好协商解决，并参照《中华人民共和国民法典》有关条款执行。</w:t>
      </w:r>
    </w:p>
    <w:p w14:paraId="6FD9EB51">
      <w:pPr>
        <w:keepNext w:val="0"/>
        <w:keepLines w:val="0"/>
        <w:pageBreakBefore w:val="0"/>
        <w:widowControl w:val="0"/>
        <w:shd w:val="clear" w:color="auto" w:fill="auto"/>
        <w:kinsoku/>
        <w:wordWrap/>
        <w:overflowPunct/>
        <w:topLinePunct w:val="0"/>
        <w:bidi w:val="0"/>
        <w:snapToGrid/>
        <w:spacing w:line="400" w:lineRule="exact"/>
        <w:textAlignment w:val="auto"/>
        <w:outlineLvl w:val="9"/>
        <w:rPr>
          <w:rFonts w:hint="eastAsia" w:ascii="仿宋" w:hAnsi="仿宋" w:eastAsia="仿宋" w:cs="仿宋"/>
          <w:color w:val="auto"/>
          <w:sz w:val="24"/>
          <w:highlight w:val="none"/>
        </w:rPr>
      </w:pPr>
      <w:r>
        <w:rPr>
          <w:rFonts w:hint="eastAsia" w:ascii="仿宋" w:hAnsi="仿宋" w:eastAsia="仿宋" w:cs="仿宋"/>
          <w:b/>
          <w:color w:val="auto"/>
          <w:sz w:val="24"/>
          <w:highlight w:val="none"/>
        </w:rPr>
        <w:t>附</w:t>
      </w:r>
      <w:r>
        <w:rPr>
          <w:rFonts w:hint="eastAsia" w:ascii="仿宋" w:hAnsi="仿宋" w:eastAsia="仿宋" w:cs="仿宋"/>
          <w:color w:val="auto"/>
          <w:sz w:val="24"/>
          <w:highlight w:val="none"/>
        </w:rPr>
        <w:t>：乙方报价表。</w:t>
      </w:r>
    </w:p>
    <w:p w14:paraId="7A9AB829">
      <w:pPr>
        <w:pStyle w:val="3"/>
        <w:keepNext w:val="0"/>
        <w:keepLines w:val="0"/>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36760E59">
      <w:pPr>
        <w:keepNext w:val="0"/>
        <w:keepLines w:val="0"/>
        <w:pageBreakBefore w:val="0"/>
        <w:widowControl w:val="0"/>
        <w:shd w:val="clear" w:color="auto" w:fill="auto"/>
        <w:kinsoku/>
        <w:wordWrap/>
        <w:overflowPunct/>
        <w:topLinePunct w:val="0"/>
        <w:autoSpaceDE w:val="0"/>
        <w:autoSpaceDN w:val="0"/>
        <w:bidi w:val="0"/>
        <w:adjustRightInd w:val="0"/>
        <w:snapToGrid/>
        <w:spacing w:line="420" w:lineRule="exact"/>
        <w:ind w:firstLine="482"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甲方（印章）：                      乙方（印章）：    </w:t>
      </w:r>
    </w:p>
    <w:p w14:paraId="12424C39">
      <w:pPr>
        <w:keepNext w:val="0"/>
        <w:keepLines w:val="0"/>
        <w:pageBreakBefore w:val="0"/>
        <w:widowControl w:val="0"/>
        <w:shd w:val="clear" w:color="auto" w:fill="auto"/>
        <w:kinsoku/>
        <w:wordWrap/>
        <w:overflowPunct/>
        <w:topLinePunct w:val="0"/>
        <w:autoSpaceDE w:val="0"/>
        <w:autoSpaceDN w:val="0"/>
        <w:bidi w:val="0"/>
        <w:adjustRightInd w:val="0"/>
        <w:snapToGrid/>
        <w:spacing w:line="420" w:lineRule="exact"/>
        <w:ind w:firstLine="482"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甲方代表签字:                       乙方代表签字：</w:t>
      </w:r>
    </w:p>
    <w:p w14:paraId="20DCAE86">
      <w:pPr>
        <w:keepNext w:val="0"/>
        <w:keepLines w:val="0"/>
        <w:pageBreakBefore w:val="0"/>
        <w:widowControl w:val="0"/>
        <w:shd w:val="clear" w:color="auto" w:fill="auto"/>
        <w:kinsoku/>
        <w:wordWrap/>
        <w:overflowPunct/>
        <w:topLinePunct w:val="0"/>
        <w:autoSpaceDE w:val="0"/>
        <w:autoSpaceDN w:val="0"/>
        <w:bidi w:val="0"/>
        <w:adjustRightInd w:val="0"/>
        <w:snapToGrid/>
        <w:spacing w:line="420" w:lineRule="exact"/>
        <w:ind w:firstLine="482"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地址：                              地址：</w:t>
      </w:r>
    </w:p>
    <w:p w14:paraId="229EAD9E">
      <w:pPr>
        <w:keepNext w:val="0"/>
        <w:keepLines w:val="0"/>
        <w:pageBreakBefore w:val="0"/>
        <w:widowControl w:val="0"/>
        <w:shd w:val="clear" w:color="auto" w:fill="auto"/>
        <w:kinsoku/>
        <w:wordWrap/>
        <w:overflowPunct/>
        <w:topLinePunct w:val="0"/>
        <w:autoSpaceDE w:val="0"/>
        <w:autoSpaceDN w:val="0"/>
        <w:bidi w:val="0"/>
        <w:adjustRightInd w:val="0"/>
        <w:snapToGrid/>
        <w:spacing w:line="420" w:lineRule="exact"/>
        <w:ind w:firstLine="482" w:firstLineChars="200"/>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电话：                              电话：     </w:t>
      </w:r>
    </w:p>
    <w:p w14:paraId="6773E784">
      <w:pPr>
        <w:keepNext w:val="0"/>
        <w:keepLines w:val="0"/>
        <w:pageBreakBefore w:val="0"/>
        <w:widowControl w:val="0"/>
        <w:shd w:val="clear" w:color="auto" w:fill="auto"/>
        <w:kinsoku/>
        <w:wordWrap/>
        <w:overflowPunct/>
        <w:topLinePunct w:val="0"/>
        <w:autoSpaceDE w:val="0"/>
        <w:autoSpaceDN w:val="0"/>
        <w:bidi w:val="0"/>
        <w:adjustRightInd w:val="0"/>
        <w:snapToGrid/>
        <w:spacing w:line="420" w:lineRule="exact"/>
        <w:ind w:firstLine="4792" w:firstLineChars="1989"/>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开户银行：</w:t>
      </w:r>
    </w:p>
    <w:p w14:paraId="4CDDEA13">
      <w:pPr>
        <w:keepNext w:val="0"/>
        <w:keepLines w:val="0"/>
        <w:pageBreakBefore w:val="0"/>
        <w:widowControl w:val="0"/>
        <w:shd w:val="clear" w:color="auto" w:fill="auto"/>
        <w:kinsoku/>
        <w:wordWrap/>
        <w:overflowPunct/>
        <w:topLinePunct w:val="0"/>
        <w:autoSpaceDE w:val="0"/>
        <w:autoSpaceDN w:val="0"/>
        <w:bidi w:val="0"/>
        <w:adjustRightInd w:val="0"/>
        <w:snapToGrid/>
        <w:spacing w:line="420" w:lineRule="exact"/>
        <w:ind w:firstLine="4792" w:firstLineChars="1989"/>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开户账号：</w:t>
      </w:r>
    </w:p>
    <w:p w14:paraId="281F20DD">
      <w:pPr>
        <w:keepNext w:val="0"/>
        <w:keepLines w:val="0"/>
        <w:pageBreakBefore w:val="0"/>
        <w:widowControl w:val="0"/>
        <w:shd w:val="clear" w:color="auto" w:fill="auto"/>
        <w:kinsoku/>
        <w:wordWrap/>
        <w:overflowPunct/>
        <w:topLinePunct w:val="0"/>
        <w:autoSpaceDE w:val="0"/>
        <w:autoSpaceDN w:val="0"/>
        <w:bidi w:val="0"/>
        <w:adjustRightInd w:val="0"/>
        <w:snapToGrid/>
        <w:spacing w:line="420" w:lineRule="exact"/>
        <w:ind w:firstLine="4792" w:firstLineChars="1989"/>
        <w:textAlignment w:val="auto"/>
        <w:outlineLvl w:val="9"/>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开户银行行号：</w:t>
      </w:r>
    </w:p>
    <w:p w14:paraId="2CC50E69">
      <w:pPr>
        <w:keepNext w:val="0"/>
        <w:keepLines w:val="0"/>
        <w:pageBreakBefore w:val="0"/>
        <w:widowControl w:val="0"/>
        <w:shd w:val="clear" w:color="auto" w:fill="auto"/>
        <w:kinsoku/>
        <w:wordWrap/>
        <w:overflowPunct/>
        <w:topLinePunct w:val="0"/>
        <w:bidi w:val="0"/>
        <w:snapToGrid/>
        <w:spacing w:line="400" w:lineRule="exact"/>
        <w:ind w:firstLine="482" w:firstLineChars="200"/>
        <w:jc w:val="right"/>
        <w:textAlignment w:val="auto"/>
        <w:outlineLvl w:val="9"/>
        <w:rPr>
          <w:rFonts w:hint="eastAsia" w:ascii="仿宋" w:hAnsi="仿宋" w:eastAsia="仿宋" w:cs="仿宋"/>
          <w:b/>
          <w:color w:val="auto"/>
          <w:sz w:val="24"/>
          <w:highlight w:val="none"/>
        </w:rPr>
      </w:pPr>
    </w:p>
    <w:p w14:paraId="40EF49A2">
      <w:pPr>
        <w:keepNext w:val="0"/>
        <w:keepLines w:val="0"/>
        <w:pageBreakBefore w:val="0"/>
        <w:widowControl w:val="0"/>
        <w:shd w:val="clear" w:color="auto" w:fill="auto"/>
        <w:kinsoku/>
        <w:wordWrap/>
        <w:overflowPunct/>
        <w:topLinePunct w:val="0"/>
        <w:bidi w:val="0"/>
        <w:snapToGrid/>
        <w:spacing w:line="400" w:lineRule="exact"/>
        <w:ind w:firstLine="482" w:firstLineChars="200"/>
        <w:jc w:val="right"/>
        <w:textAlignment w:val="auto"/>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日    期：    年   月   日</w:t>
      </w:r>
    </w:p>
    <w:p w14:paraId="57C53A76">
      <w:pPr>
        <w:pStyle w:val="3"/>
        <w:shd w:val="clear" w:color="auto" w:fill="auto"/>
        <w:rPr>
          <w:rFonts w:hint="eastAsia" w:ascii="仿宋" w:hAnsi="仿宋" w:eastAsia="仿宋" w:cs="仿宋"/>
          <w:color w:val="auto"/>
          <w:highlight w:val="none"/>
        </w:rPr>
      </w:pPr>
    </w:p>
    <w:p w14:paraId="409E38A2">
      <w:pPr>
        <w:rPr>
          <w:rFonts w:hint="eastAsia" w:ascii="仿宋" w:hAnsi="仿宋" w:eastAsia="仿宋" w:cs="仿宋"/>
          <w:color w:val="auto"/>
          <w:highlight w:val="none"/>
        </w:rPr>
      </w:pPr>
    </w:p>
    <w:p w14:paraId="15F9FB7D">
      <w:pPr>
        <w:pStyle w:val="5"/>
        <w:rPr>
          <w:rFonts w:hint="eastAsia" w:ascii="仿宋" w:hAnsi="仿宋" w:eastAsia="仿宋" w:cs="仿宋"/>
          <w:color w:val="auto"/>
          <w:highlight w:val="none"/>
          <w:lang w:val="en-US" w:eastAsia="zh-CN"/>
        </w:rPr>
      </w:pPr>
    </w:p>
    <w:p w14:paraId="50340AFF">
      <w:bookmarkStart w:id="134" w:name="_GoBack"/>
      <w:bookmarkEnd w:id="1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D3E9B"/>
    <w:multiLevelType w:val="singleLevel"/>
    <w:tmpl w:val="037D3E9B"/>
    <w:lvl w:ilvl="0" w:tentative="0">
      <w:start w:val="1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BC288D"/>
    <w:rsid w:val="6CBC2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rPr>
  </w:style>
  <w:style w:type="paragraph" w:styleId="4">
    <w:name w:val="Quote"/>
    <w:basedOn w:val="1"/>
    <w:next w:val="1"/>
    <w:qFormat/>
    <w:uiPriority w:val="0"/>
    <w:pPr>
      <w:wordWrap w:val="0"/>
      <w:spacing w:before="200" w:after="160"/>
      <w:ind w:left="864" w:right="864"/>
      <w:jc w:val="center"/>
    </w:pPr>
    <w:rPr>
      <w:rFonts w:ascii="Calibri" w:hAnsi="Calibri"/>
      <w:i/>
    </w:rPr>
  </w:style>
  <w:style w:type="paragraph" w:styleId="5">
    <w:name w:val="toc 2"/>
    <w:basedOn w:val="1"/>
    <w:next w:val="1"/>
    <w:qFormat/>
    <w:uiPriority w:val="0"/>
    <w:pPr>
      <w:widowControl w:val="0"/>
      <w:autoSpaceDE/>
      <w:autoSpaceDN/>
      <w:spacing w:before="240" w:after="0" w:line="320" w:lineRule="exact"/>
      <w:ind w:left="0" w:firstLine="0"/>
      <w:jc w:val="center"/>
    </w:pPr>
    <w:rPr>
      <w:rFonts w:ascii="宋体" w:eastAsia="宋体"/>
      <w:b/>
      <w:sz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样式 宋体 小四"/>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2026-04-22T02:00:00Z</dcterms:created>
  <dc:creator>Administrator</dc:creator>
  <cp:lastModifiedBy>Administrator</cp:lastModifiedBy>
  <dcterms:modified xsi:type="dcterms:W3CDTF">2026-04-22T02:15:25Z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265E16E03201425FB66B3CFED91B97B7_11</vt:lpwstr>
  </property>
  <property fmtid="{D5CDD505-2E9C-101B-9397-08002B2CF9AE}" pid="4" name="KSOTemplateDocerSaveRecord">
    <vt:lpwstr>eyJoZGlkIjoiZjdlYTQ0NTIyNjg3M2M3ZTk5YTI2ZTAyZjExZmE3NGQiLCJ1c2VySWQiOiI0NTAyNzI5MzAifQ==</vt:lpwstr>
  </property>
</Properties>
</file>