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版本号：N510521202600007120260422001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2026年泸县病媒生物防制服务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N5105212026000071</w:t>
      </w:r>
    </w:p>
    <w:p>
      <w:pPr>
        <w:pStyle w:val="null3"/>
        <w:jc w:val="center"/>
        <w:outlineLvl w:val="2"/>
      </w:pPr>
      <w:r>
        <w:rPr>
          <w:rFonts w:ascii="仿宋_GB2312" w:hAnsi="仿宋_GB2312" w:cs="仿宋_GB2312" w:eastAsia="仿宋_GB2312"/>
          <w:sz w:val="28"/>
          <w:b/>
        </w:rPr>
        <w:t>泸县卫生健康局</w:t>
      </w:r>
    </w:p>
    <w:p>
      <w:pPr>
        <w:pStyle w:val="null3"/>
        <w:jc w:val="center"/>
        <w:outlineLvl w:val="2"/>
      </w:pPr>
      <w:r>
        <w:rPr>
          <w:rFonts w:ascii="仿宋_GB2312" w:hAnsi="仿宋_GB2312" w:cs="仿宋_GB2312" w:eastAsia="仿宋_GB2312"/>
          <w:sz w:val="28"/>
          <w:b/>
        </w:rPr>
        <w:t>四川巨伦工程项目管理有限公司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四川巨伦工程项目管理有限公司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泸县卫生健康局</w:t>
      </w:r>
      <w:r>
        <w:rPr>
          <w:rFonts w:ascii="仿宋_GB2312" w:hAnsi="仿宋_GB2312" w:cs="仿宋_GB2312" w:eastAsia="仿宋_GB2312"/>
        </w:rPr>
        <w:t xml:space="preserve"> 委托，拟对 </w:t>
      </w:r>
      <w:r>
        <w:rPr>
          <w:rFonts w:ascii="仿宋_GB2312" w:hAnsi="仿宋_GB2312" w:cs="仿宋_GB2312" w:eastAsia="仿宋_GB2312"/>
        </w:rPr>
        <w:t>2026年泸县病媒生物防制服务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N5105212026000071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2026年泸县病媒生物防制服务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本项目一个包，需确定一家服务单位，提供2026年泸县病媒生物防制服务，预算金额：33.10万元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授权参加本次采购活动的供应商代表证明材料。（描述：授权参加本次采购活动的供应商代表证明材料。【①法定代表人/负责人授权书原件（法定代表人/负责人亲自参加投标，无需提供法定代表人/负责人授权书；②法定代表人/负责人和授权代表身份证复印件（法定代表人/负责人亲自参加投标，无需提供授权代表人身份证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泸县卫生健康局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四川省泸州市泸县玉蟾街道花园路182号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田女士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0830-8282137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四川巨伦工程项目管理有限公司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四川省泸州市龙马潭区中国（四川）自由贸易试验区川南临港片区春雨路二段35号玉带龙庭134号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0830-6663160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采购包1：331,000.00元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代理服务费收费标准：采购代理费用标准参照《招标代理服务收费管理暂行办法》（计价格〔2002〕1980号）收费标准计算收取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泸县卫生健康局</w:t>
      </w:r>
      <w:r>
        <w:rPr>
          <w:rFonts w:ascii="仿宋_GB2312" w:hAnsi="仿宋_GB2312" w:cs="仿宋_GB2312" w:eastAsia="仿宋_GB2312"/>
        </w:rPr>
        <w:t xml:space="preserve"> 和 </w:t>
      </w:r>
      <w:r>
        <w:rPr>
          <w:rFonts w:ascii="仿宋_GB2312" w:hAnsi="仿宋_GB2312" w:cs="仿宋_GB2312" w:eastAsia="仿宋_GB2312"/>
        </w:rPr>
        <w:t>四川巨伦工程项目管理有限公司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泸县卫生健康局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四川巨伦工程项目管理有限公司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履约完成，供应商提出验收申请后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要求、成交供应商的响应文件及承诺与合同约定标准进行验收；其他未尽事宜将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要求、成交供应商的响应文件及承诺与合同约定标准进行验收；其他未尽事宜将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四川巨伦工程项目管理有限公司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四川巨伦工程项目管理有限公司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四川巨伦工程项目管理有限公司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联系人：罗女士</w:t>
      </w:r>
    </w:p>
    <w:p>
      <w:pPr>
        <w:pStyle w:val="null3"/>
        <w:jc w:val="left"/>
      </w:pPr>
      <w:r>
        <w:rPr>
          <w:rFonts w:ascii="仿宋_GB2312" w:hAnsi="仿宋_GB2312" w:cs="仿宋_GB2312" w:eastAsia="仿宋_GB2312"/>
        </w:rPr>
        <w:t>联系电话：0830-6663160</w:t>
      </w:r>
    </w:p>
    <w:p>
      <w:pPr>
        <w:pStyle w:val="null3"/>
        <w:jc w:val="left"/>
      </w:pPr>
      <w:r>
        <w:rPr>
          <w:rFonts w:ascii="仿宋_GB2312" w:hAnsi="仿宋_GB2312" w:cs="仿宋_GB2312" w:eastAsia="仿宋_GB2312"/>
        </w:rPr>
        <w:t>地址：泸州市龙马潭区陶然路二段337号门市二楼</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331,000.00</w:t>
      </w:r>
    </w:p>
    <w:p>
      <w:pPr>
        <w:pStyle w:val="null3"/>
        <w:jc w:val="left"/>
      </w:pPr>
      <w:r>
        <w:rPr>
          <w:rFonts w:ascii="仿宋_GB2312" w:hAnsi="仿宋_GB2312" w:cs="仿宋_GB2312" w:eastAsia="仿宋_GB2312"/>
        </w:rPr>
        <w:t>采购包最高限价（元）: 331,000.00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C13059900 其他城镇公共卫生服务</w:t>
            </w:r>
          </w:p>
        </w:tc>
        <w:tc>
          <w:tcPr>
            <w:tcW w:type="dxa" w:w="821"/>
          </w:tcPr>
          <w:p>
            <w:pPr>
              <w:pStyle w:val="null3"/>
              <w:jc w:val="left"/>
            </w:pPr>
            <w:r>
              <w:rPr>
                <w:rFonts w:ascii="仿宋_GB2312" w:hAnsi="仿宋_GB2312" w:cs="仿宋_GB2312" w:eastAsia="仿宋_GB2312"/>
              </w:rPr>
              <w:t>2026年泸县病媒生物防制服务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331,000.00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2026年泸县病媒生物防制服务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331,000.00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标的名称：2026年泸县病媒生物防制服务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both"/>
            </w:pPr>
            <w:r>
              <w:rPr>
                <w:rFonts w:ascii="仿宋_GB2312" w:hAnsi="仿宋_GB2312" w:cs="仿宋_GB2312" w:eastAsia="仿宋_GB2312"/>
                <w:sz w:val="24"/>
              </w:rPr>
              <w:t>1、病媒生物防制消杀服务。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1）服务次数：4次。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2）用药要求</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灭鼠毒饵：溴敌隆毒饵（溴敌隆，含量为</w:t>
            </w:r>
            <w:r>
              <w:rPr>
                <w:rFonts w:ascii="仿宋_GB2312" w:hAnsi="仿宋_GB2312" w:cs="仿宋_GB2312" w:eastAsia="仿宋_GB2312"/>
                <w:sz w:val="24"/>
              </w:rPr>
              <w:t>0.005%、校正死亡率达国家级标准）。</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灭蚊蝇药：高效氯氟氰菊酯水乳剂（高效氯氟氰菊酯，含量大于或等于</w:t>
            </w:r>
            <w:r>
              <w:rPr>
                <w:rFonts w:ascii="仿宋_GB2312" w:hAnsi="仿宋_GB2312" w:cs="仿宋_GB2312" w:eastAsia="仿宋_GB2312"/>
                <w:sz w:val="24"/>
              </w:rPr>
              <w:t>5%）, 高氯残杀威悬浮剂（高效氯氰菊酯、残杀威，含量大于或等于8%），针对媒介和环境选用药物，所需药物必须是国家批准使用的卫生杀虫剂。</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杀蟑饵剂：氟虫腈饵剂（氟虫腈，含量大于或等于</w:t>
            </w:r>
            <w:r>
              <w:rPr>
                <w:rFonts w:ascii="仿宋_GB2312" w:hAnsi="仿宋_GB2312" w:cs="仿宋_GB2312" w:eastAsia="仿宋_GB2312"/>
                <w:sz w:val="24"/>
              </w:rPr>
              <w:t>0.05%），国家推荐使用的药物。</w:t>
            </w:r>
          </w:p>
          <w:p>
            <w:pPr>
              <w:pStyle w:val="null3"/>
              <w:ind w:firstLine="480"/>
              <w:jc w:val="both"/>
            </w:pPr>
            <w:r>
              <w:rPr>
                <w:rFonts w:ascii="仿宋_GB2312" w:hAnsi="仿宋_GB2312" w:cs="仿宋_GB2312" w:eastAsia="仿宋_GB2312"/>
                <w:sz w:val="24"/>
              </w:rPr>
              <w:t>④下水道消杀热雾剂：高效氯氰菊酯热雾剂（高效氯氰菊酯，含量大于或等于1%），符合国家使用标准。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服务要求</w:t>
            </w:r>
          </w:p>
          <w:p>
            <w:pPr>
              <w:pStyle w:val="null3"/>
              <w:ind w:firstLine="480"/>
              <w:jc w:val="both"/>
            </w:pPr>
            <w:r>
              <w:rPr>
                <w:rFonts w:ascii="仿宋_GB2312" w:hAnsi="仿宋_GB2312" w:cs="仿宋_GB2312" w:eastAsia="仿宋_GB2312"/>
                <w:sz w:val="24"/>
              </w:rPr>
              <w:t>对采购人指定服务范围内开展病媒生物（老鼠、苍蝇、蚊子、蟑螂）消杀，喷洒消杀药物，投放灭鼠、灭蟑药饵。</w:t>
            </w:r>
          </w:p>
          <w:p>
            <w:pPr>
              <w:pStyle w:val="null3"/>
              <w:ind w:firstLine="480"/>
              <w:jc w:val="both"/>
            </w:pPr>
            <w:r>
              <w:rPr>
                <w:rFonts w:ascii="仿宋_GB2312" w:hAnsi="仿宋_GB2312" w:cs="仿宋_GB2312" w:eastAsia="仿宋_GB2312"/>
                <w:sz w:val="24"/>
              </w:rPr>
              <w:t>县城区</w:t>
            </w:r>
            <w:r>
              <w:rPr>
                <w:rFonts w:ascii="仿宋_GB2312" w:hAnsi="仿宋_GB2312" w:cs="仿宋_GB2312" w:eastAsia="仿宋_GB2312"/>
                <w:sz w:val="24"/>
              </w:rPr>
              <w:t>18.5平方公里，施药面积按三分之一计算，约6.2平方公里。泸县城区全域覆盖，涵盖泸县县城区祥和、清溪、西苑、怡园、康桥、龙桥、清平、建设、朝阳、工矿10个社区“四害”消杀（春、秋季各2次），具体包括：</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公共区域，公园、广场、农贸市场、小区公共绿化带；</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环卫设施，公厕、车站、垃圾中转站、垃圾箱；</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下水道消杀</w:t>
            </w:r>
            <w:r>
              <w:rPr>
                <w:rFonts w:ascii="仿宋_GB2312" w:hAnsi="仿宋_GB2312" w:cs="仿宋_GB2312" w:eastAsia="仿宋_GB2312"/>
                <w:sz w:val="24"/>
              </w:rPr>
              <w:t>2次；</w:t>
            </w:r>
          </w:p>
          <w:p>
            <w:pPr>
              <w:pStyle w:val="null3"/>
              <w:ind w:firstLine="480"/>
              <w:jc w:val="both"/>
            </w:pPr>
            <w:r>
              <w:rPr>
                <w:rFonts w:ascii="仿宋_GB2312" w:hAnsi="仿宋_GB2312" w:cs="仿宋_GB2312" w:eastAsia="仿宋_GB2312"/>
                <w:sz w:val="24"/>
              </w:rPr>
              <w:t>④建城区雨水井、污水井、水篦子。</w:t>
            </w:r>
          </w:p>
          <w:p>
            <w:pPr>
              <w:pStyle w:val="null3"/>
              <w:ind w:firstLine="480"/>
              <w:jc w:val="both"/>
            </w:pPr>
            <w:r>
              <w:rPr>
                <w:rFonts w:ascii="仿宋_GB2312" w:hAnsi="仿宋_GB2312" w:cs="仿宋_GB2312" w:eastAsia="仿宋_GB2312"/>
                <w:sz w:val="24"/>
              </w:rPr>
              <w:t>鼠药每平方公里</w:t>
            </w:r>
            <w:r>
              <w:rPr>
                <w:rFonts w:ascii="仿宋_GB2312" w:hAnsi="仿宋_GB2312" w:cs="仿宋_GB2312" w:eastAsia="仿宋_GB2312"/>
                <w:sz w:val="24"/>
              </w:rPr>
              <w:t>500公斤，灭鼠4次，必须由专业人员对建成区范围内包括绿化带鼠迹、鼠洞进行堵洞抹缝，无明显鼠迹鼠征，并加强安全防护，如发生中毒事故皆由成交供应商负责，成交供应商在投放鼠药前必须完成老鼠的适口性调查，并向采购方提供适口性调查报告，再根据老鼠适口性施放鼠药。使用灭鼠杀虫药物，必须按使用说明规范操作。严禁使用违禁药和伪劣产品；灭蚊蝇药每平方公里100公斤，灭蚊蝇4次；至少开展小餐饮店、小食品加工店、小食品经营店、小美容美发店、小歌舞厅、小洗浴场所、小茶馆（咖啡厅）、小旅馆、小网吧1000家灭蟑，前后两次投药单位必须一致，首次投药后，应在第30天、第60天进行第二次和第三次投药，灭蟑3次。</w:t>
            </w:r>
          </w:p>
          <w:p>
            <w:pPr>
              <w:pStyle w:val="null3"/>
              <w:ind w:firstLine="480"/>
              <w:jc w:val="both"/>
            </w:pPr>
            <w:r>
              <w:rPr>
                <w:rFonts w:ascii="仿宋_GB2312" w:hAnsi="仿宋_GB2312" w:cs="仿宋_GB2312" w:eastAsia="仿宋_GB2312"/>
                <w:sz w:val="24"/>
              </w:rPr>
              <w:t>2、病媒生物防制设备维修</w:t>
            </w:r>
          </w:p>
          <w:p>
            <w:pPr>
              <w:pStyle w:val="null3"/>
              <w:ind w:firstLine="480"/>
              <w:jc w:val="both"/>
            </w:pPr>
            <w:r>
              <w:rPr>
                <w:rFonts w:ascii="仿宋_GB2312" w:hAnsi="仿宋_GB2312" w:cs="仿宋_GB2312" w:eastAsia="仿宋_GB2312"/>
                <w:sz w:val="24"/>
              </w:rPr>
              <w:t>户外灭蚊蝇灯维修：对县城内安装的大型户外灭蚊蝇灯、太阳能灭蚊蝇灯进行检修、维护，确保线路安全、宣传内容和外观完整，能正常使用。因损坏严重，不能维修的，应规范拆除，妥善处理用电线路，杜绝安全隐患。成交供应商须建立具体到小区、公共场所等详细地址的维修台账。</w:t>
            </w:r>
          </w:p>
          <w:p>
            <w:pPr>
              <w:pStyle w:val="null3"/>
              <w:ind w:firstLine="480"/>
              <w:jc w:val="both"/>
            </w:pPr>
            <w:r>
              <w:rPr>
                <w:rFonts w:ascii="仿宋_GB2312" w:hAnsi="仿宋_GB2312" w:cs="仿宋_GB2312" w:eastAsia="仿宋_GB2312"/>
                <w:sz w:val="24"/>
              </w:rPr>
              <w:t>3、应急消杀服务：采购人临时安排的应急消杀。</w:t>
            </w:r>
          </w:p>
          <w:p>
            <w:pPr>
              <w:pStyle w:val="null3"/>
              <w:ind w:firstLine="480"/>
              <w:jc w:val="both"/>
            </w:pPr>
            <w:r>
              <w:rPr>
                <w:rFonts w:ascii="仿宋_GB2312" w:hAnsi="仿宋_GB2312" w:cs="仿宋_GB2312" w:eastAsia="仿宋_GB2312"/>
                <w:sz w:val="24"/>
              </w:rPr>
              <w:t>4、病媒生物防制消杀药品及消杀设备</w:t>
            </w:r>
          </w:p>
          <w:tbl>
            <w:tblPr>
              <w:tblBorders>
                <w:top w:val="none" w:color="000000" w:sz="4"/>
                <w:left w:val="none" w:color="000000" w:sz="4"/>
                <w:bottom w:val="none" w:color="000000" w:sz="4"/>
                <w:right w:val="none" w:color="000000" w:sz="4"/>
                <w:insideH w:val="none"/>
                <w:insideV w:val="none"/>
              </w:tblBorders>
            </w:tblPr>
            <w:tblGrid>
              <w:gridCol w:w="662"/>
              <w:gridCol w:w="1086"/>
              <w:gridCol w:w="681"/>
              <w:gridCol w:w="2962"/>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内容</w:t>
                  </w:r>
                </w:p>
              </w:tc>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参数及要求</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灭鼠毒饵</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100克/袋</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12500</w:t>
                  </w:r>
                  <w:r>
                    <w:rPr>
                      <w:rFonts w:ascii="仿宋_GB2312" w:hAnsi="仿宋_GB2312" w:cs="仿宋_GB2312" w:eastAsia="仿宋_GB2312"/>
                      <w:sz w:val="21"/>
                    </w:rPr>
                    <w:t>袋</w:t>
                  </w:r>
                </w:p>
              </w:tc>
              <w:tc>
                <w:tcPr>
                  <w:tcW w:type="dxa" w:w="2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有效成分为</w:t>
                  </w:r>
                  <w:r>
                    <w:rPr>
                      <w:rFonts w:ascii="仿宋_GB2312" w:hAnsi="仿宋_GB2312" w:cs="仿宋_GB2312" w:eastAsia="仿宋_GB2312"/>
                      <w:sz w:val="21"/>
                    </w:rPr>
                    <w:t>溴敌隆</w:t>
                  </w:r>
                  <w:r>
                    <w:rPr>
                      <w:rFonts w:ascii="仿宋_GB2312" w:hAnsi="仿宋_GB2312" w:cs="仿宋_GB2312" w:eastAsia="仿宋_GB2312"/>
                      <w:sz w:val="21"/>
                    </w:rPr>
                    <w:t>，含量为</w:t>
                  </w:r>
                  <w:r>
                    <w:rPr>
                      <w:rFonts w:ascii="仿宋_GB2312" w:hAnsi="仿宋_GB2312" w:cs="仿宋_GB2312" w:eastAsia="仿宋_GB2312"/>
                      <w:sz w:val="21"/>
                    </w:rPr>
                    <w:t>0.005%，适口性、校正死亡率达国家级标准。</w:t>
                  </w:r>
                </w:p>
                <w:p>
                  <w:pPr>
                    <w:pStyle w:val="null3"/>
                    <w:jc w:val="both"/>
                  </w:pPr>
                  <w:r>
                    <w:rPr>
                      <w:rFonts w:ascii="仿宋_GB2312" w:hAnsi="仿宋_GB2312" w:cs="仿宋_GB2312" w:eastAsia="仿宋_GB2312"/>
                      <w:sz w:val="21"/>
                    </w:rPr>
                    <w:t>成交供应商</w:t>
                  </w:r>
                  <w:r>
                    <w:rPr>
                      <w:rFonts w:ascii="仿宋_GB2312" w:hAnsi="仿宋_GB2312" w:cs="仿宋_GB2312" w:eastAsia="仿宋_GB2312"/>
                      <w:sz w:val="21"/>
                    </w:rPr>
                    <w:t>在</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月前提供到泸县卫生健康局，由泸县卫生健康局发放。</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灭蟑毒饵</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10克/袋</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w:t>
                  </w:r>
                  <w:r>
                    <w:rPr>
                      <w:rFonts w:ascii="仿宋_GB2312" w:hAnsi="仿宋_GB2312" w:cs="仿宋_GB2312" w:eastAsia="仿宋_GB2312"/>
                      <w:sz w:val="21"/>
                    </w:rPr>
                    <w:t>袋</w:t>
                  </w:r>
                </w:p>
              </w:tc>
              <w:tc>
                <w:tcPr>
                  <w:tcW w:type="dxa" w:w="2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有效成份为氟虫腈：含量</w:t>
                  </w:r>
                  <w:r>
                    <w:rPr>
                      <w:rFonts w:ascii="仿宋_GB2312" w:hAnsi="仿宋_GB2312" w:cs="仿宋_GB2312" w:eastAsia="仿宋_GB2312"/>
                      <w:sz w:val="21"/>
                    </w:rPr>
                    <w:t>≥</w:t>
                  </w:r>
                  <w:r>
                    <w:rPr>
                      <w:rFonts w:ascii="仿宋_GB2312" w:hAnsi="仿宋_GB2312" w:cs="仿宋_GB2312" w:eastAsia="仿宋_GB2312"/>
                      <w:sz w:val="21"/>
                    </w:rPr>
                    <w:t>0.05%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成交供应商</w:t>
                  </w:r>
                  <w:r>
                    <w:rPr>
                      <w:rFonts w:ascii="仿宋_GB2312" w:hAnsi="仿宋_GB2312" w:cs="仿宋_GB2312" w:eastAsia="仿宋_GB2312"/>
                      <w:sz w:val="21"/>
                    </w:rPr>
                    <w:t>在</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月前提供到泸县卫生健康局，由泸县卫生健康局发放。</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粘鼠板</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展开面积</w:t>
                  </w:r>
                  <w:r>
                    <w:rPr>
                      <w:rFonts w:ascii="仿宋_GB2312" w:hAnsi="仿宋_GB2312" w:cs="仿宋_GB2312" w:eastAsia="仿宋_GB2312"/>
                      <w:sz w:val="21"/>
                    </w:rPr>
                    <w:t>≥25cm*35cm，40克胶，折叠加厚硬纸板。</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r>
                    <w:rPr>
                      <w:rFonts w:ascii="仿宋_GB2312" w:hAnsi="仿宋_GB2312" w:cs="仿宋_GB2312" w:eastAsia="仿宋_GB2312"/>
                      <w:sz w:val="21"/>
                    </w:rPr>
                    <w:t>张</w:t>
                  </w:r>
                </w:p>
              </w:tc>
              <w:tc>
                <w:tcPr>
                  <w:tcW w:type="dxa" w:w="2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符合国家标准</w:t>
                  </w:r>
                  <w:r>
                    <w:rPr>
                      <w:rFonts w:ascii="仿宋_GB2312" w:hAnsi="仿宋_GB2312" w:cs="仿宋_GB2312" w:eastAsia="仿宋_GB2312"/>
                      <w:sz w:val="21"/>
                    </w:rPr>
                    <w:t>GB/T27780-2011的要求。展开面积≥25cm*35cm，40克胶，折叠加厚硬纸板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成交供应商</w:t>
                  </w:r>
                  <w:r>
                    <w:rPr>
                      <w:rFonts w:ascii="仿宋_GB2312" w:hAnsi="仿宋_GB2312" w:cs="仿宋_GB2312" w:eastAsia="仿宋_GB2312"/>
                      <w:sz w:val="21"/>
                    </w:rPr>
                    <w:t>在</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月前提供到泸县卫生健康局，由泸县卫生健康局发放。</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水泥毒饵站及修建</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r>
                    <w:rPr>
                      <w:rFonts w:ascii="仿宋_GB2312" w:hAnsi="仿宋_GB2312" w:cs="仿宋_GB2312" w:eastAsia="仿宋_GB2312"/>
                      <w:sz w:val="21"/>
                    </w:rPr>
                    <w:t>≥35cm*25cm*20cm</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r>
                    <w:rPr>
                      <w:rFonts w:ascii="仿宋_GB2312" w:hAnsi="仿宋_GB2312" w:cs="仿宋_GB2312" w:eastAsia="仿宋_GB2312"/>
                      <w:sz w:val="21"/>
                    </w:rPr>
                    <w:t>个</w:t>
                  </w:r>
                </w:p>
              </w:tc>
              <w:tc>
                <w:tcPr>
                  <w:tcW w:type="dxa" w:w="2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详见</w:t>
                  </w:r>
                  <w:r>
                    <w:rPr>
                      <w:rFonts w:ascii="仿宋_GB2312" w:hAnsi="仿宋_GB2312" w:cs="仿宋_GB2312" w:eastAsia="仿宋_GB2312"/>
                      <w:sz w:val="21"/>
                    </w:rPr>
                    <w:t>附件一：</w:t>
                  </w:r>
                  <w:r>
                    <w:rPr>
                      <w:rFonts w:ascii="仿宋_GB2312" w:hAnsi="仿宋_GB2312" w:cs="仿宋_GB2312" w:eastAsia="仿宋_GB2312"/>
                      <w:sz w:val="21"/>
                    </w:rPr>
                    <w:t>参数</w:t>
                  </w:r>
                  <w:r>
                    <w:rPr>
                      <w:rFonts w:ascii="仿宋_GB2312" w:hAnsi="仿宋_GB2312" w:cs="仿宋_GB2312" w:eastAsia="仿宋_GB2312"/>
                      <w:sz w:val="21"/>
                    </w:rPr>
                    <w:t>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主要修建在生活小区、农贸市场及食品加工经营店铺，按</w:t>
                  </w:r>
                  <w:r>
                    <w:rPr>
                      <w:rFonts w:ascii="仿宋_GB2312" w:hAnsi="仿宋_GB2312" w:cs="仿宋_GB2312" w:eastAsia="仿宋_GB2312"/>
                      <w:sz w:val="21"/>
                    </w:rPr>
                    <w:t>采购人</w:t>
                  </w:r>
                  <w:r>
                    <w:rPr>
                      <w:rFonts w:ascii="仿宋_GB2312" w:hAnsi="仿宋_GB2312" w:cs="仿宋_GB2312" w:eastAsia="仿宋_GB2312"/>
                      <w:sz w:val="21"/>
                    </w:rPr>
                    <w:t>指定地点修建。</w:t>
                  </w:r>
                </w:p>
                <w:p>
                  <w:pPr>
                    <w:pStyle w:val="null3"/>
                    <w:jc w:val="both"/>
                  </w:pPr>
                  <w:r>
                    <w:rPr>
                      <w:rFonts w:ascii="仿宋_GB2312" w:hAnsi="仿宋_GB2312" w:cs="仿宋_GB2312" w:eastAsia="仿宋_GB2312"/>
                      <w:sz w:val="21"/>
                    </w:rPr>
                    <w:t>成交供应商</w:t>
                  </w:r>
                  <w:r>
                    <w:rPr>
                      <w:rFonts w:ascii="仿宋_GB2312" w:hAnsi="仿宋_GB2312" w:cs="仿宋_GB2312" w:eastAsia="仿宋_GB2312"/>
                      <w:sz w:val="21"/>
                    </w:rPr>
                    <w:t>建立具体到小区、市场、餐饮店等详细地址（含城区及</w:t>
                  </w:r>
                  <w:r>
                    <w:rPr>
                      <w:rFonts w:ascii="仿宋_GB2312" w:hAnsi="仿宋_GB2312" w:cs="仿宋_GB2312" w:eastAsia="仿宋_GB2312"/>
                      <w:sz w:val="21"/>
                    </w:rPr>
                    <w:t>乡镇</w:t>
                  </w:r>
                  <w:r>
                    <w:rPr>
                      <w:rFonts w:ascii="仿宋_GB2312" w:hAnsi="仿宋_GB2312" w:cs="仿宋_GB2312" w:eastAsia="仿宋_GB2312"/>
                      <w:sz w:val="21"/>
                    </w:rPr>
                    <w:t>）的修建台账。</w:t>
                  </w:r>
                </w:p>
              </w:tc>
            </w:tr>
          </w:tbl>
          <w:p>
            <w:pPr>
              <w:pStyle w:val="null3"/>
              <w:ind w:firstLine="482"/>
              <w:jc w:val="both"/>
            </w:pPr>
            <w:r>
              <w:rPr>
                <w:rFonts w:ascii="仿宋_GB2312" w:hAnsi="仿宋_GB2312" w:cs="仿宋_GB2312" w:eastAsia="仿宋_GB2312"/>
                <w:sz w:val="24"/>
                <w:b/>
              </w:rPr>
              <w:t>投标时提供所投农药产品有效期内的农药生产许可证、农药登记证、药品相关标准。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附件一：参数要求</w:t>
            </w:r>
          </w:p>
        </w:tc>
        <w:tc>
          <w:tcPr>
            <w:tcW w:type="dxa" w:w="5814"/>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具体参数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1）长度：水泥式饵站长度</w:t>
            </w:r>
            <w:r>
              <w:rPr>
                <w:rFonts w:ascii="仿宋_GB2312" w:hAnsi="仿宋_GB2312" w:cs="仿宋_GB2312" w:eastAsia="仿宋_GB2312"/>
                <w:sz w:val="21"/>
              </w:rPr>
              <w:t>≥</w:t>
            </w:r>
            <w:r>
              <w:rPr>
                <w:rFonts w:ascii="仿宋_GB2312" w:hAnsi="仿宋_GB2312" w:cs="仿宋_GB2312" w:eastAsia="仿宋_GB2312"/>
                <w:sz w:val="24"/>
              </w:rPr>
              <w:t>35厘米，墙面高度</w:t>
            </w:r>
            <w:r>
              <w:rPr>
                <w:rFonts w:ascii="仿宋_GB2312" w:hAnsi="仿宋_GB2312" w:cs="仿宋_GB2312" w:eastAsia="仿宋_GB2312"/>
                <w:sz w:val="21"/>
              </w:rPr>
              <w:t>≥</w:t>
            </w:r>
            <w:r>
              <w:rPr>
                <w:rFonts w:ascii="仿宋_GB2312" w:hAnsi="仿宋_GB2312" w:cs="仿宋_GB2312" w:eastAsia="仿宋_GB2312"/>
                <w:sz w:val="24"/>
              </w:rPr>
              <w:t>25厘米，地面宽度</w:t>
            </w:r>
            <w:r>
              <w:rPr>
                <w:rFonts w:ascii="仿宋_GB2312" w:hAnsi="仿宋_GB2312" w:cs="仿宋_GB2312" w:eastAsia="仿宋_GB2312"/>
                <w:sz w:val="21"/>
              </w:rPr>
              <w:t>≥</w:t>
            </w:r>
            <w:r>
              <w:rPr>
                <w:rFonts w:ascii="仿宋_GB2312" w:hAnsi="仿宋_GB2312" w:cs="仿宋_GB2312" w:eastAsia="仿宋_GB2312"/>
                <w:sz w:val="24"/>
              </w:rPr>
              <w:t>20厘米。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2）孔径：投饵孔内直径7-9厘米。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3）材质：水泥、砂石比不得低于1:2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4）质保及维护期：2年时间内不得出现水泥脱落或空鼓现象。（单独提供承诺函，承诺2年时间内出现水泥脱落或空鼓现象，免费上门维修，未提供做无效投标处理）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建设要求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建设范围：建设在食品生产加工贮存流通场所、粮库、屠宰场、禽类宰杀点、农贸市场、大中型单位食堂、大中型超市、废品收购站、公共厕所、垃圾收集点、垃圾处理厂、车站、宾馆、医疗卫生机构、公园、公共绿化带、城中村、“三无”院落、居民小区及鼠患长期较为严重的企事业单位或区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建设要求：除饵孔为圆柱形孔洞外，饵站要建成实心水泥体，饵站用水泥等固定，不移动。建在不积水处，建在避雨处，饵孔靠墙，离地大于1.5厘米小于3厘米，离墙不大于3厘米。饵站上应设有明显的有毒警示标识，编印编号和解毒提示，落款必须标示建造年份和泸县爱卫办等字样。（标识建议使用红色。字样均须为陶瓷烧制。标识建议内容：灭鼠毒饵站。1.此物有毒，请勿动。2.解毒药物为维生素K1。NO：202</w:t>
            </w:r>
            <w:r>
              <w:rPr>
                <w:rFonts w:ascii="仿宋_GB2312" w:hAnsi="仿宋_GB2312" w:cs="仿宋_GB2312" w:eastAsia="仿宋_GB2312"/>
                <w:sz w:val="24"/>
              </w:rPr>
              <w:t>6</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数量要求：重点特殊场所每间隔15-20米设置1个，垃圾收集点、公厕等周围至少设置1个，农贸市场、餐饮一条街等加密加倍设置，一般单位可以根据鼠患的实际情况，20-30米设置1个或每幢楼底楼背面靠墙设置1-3个；鼠患严重的地方可酌情增加毒饵站的数量。</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建设效果图</w:t>
            </w:r>
          </w:p>
          <w:p>
            <w:pPr>
              <w:pStyle w:val="null3"/>
              <w:ind w:firstLine="480"/>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泸县范围内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以及采购文件的要求、成交供应商的响应文件及承诺与合同约定标准进行验收；其他未尽事宜将按照《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款，合同期满后，达到付款条件（成交供应商按照合同约定时间、约定要求全面完成2026年约定范围内的病媒生物消杀工作和完善约定服务范围的防制设施，同时经疾病预防控制部门或第三方检测机构“四害”监测全部合格，经采购方检查考核符合合同约定要求），达到付款条件起30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按合同约定办理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仅作为评审要求，无需供应商单独响应)本项目主要服务内容为2026年泸县病媒生物防制服务，需要供应商具有履约能力，并提供服务管理方案【包括实施方案（包括：①灭鼠方案；②灭蚊方案；③灭蝇方案；④灭蟑方案；⑤孳生地设施设置方案；⑥残留药物处理方案；⑦施药作业流程；⑧宣传计划方案）、技术服务方案（包括：①防制方案（项目工期、频次安排等）；②药械准备；③服务规范；④服务制度考核标准及办法）】和后续服务方案（包括：①后续服务人员、电话的配备；②应急预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000000"/>
        </w:rPr>
        <w:t>磋商小组可以根据磋商文件和磋商情况实质性变动第三章</w:t>
      </w:r>
      <w:r>
        <w:rPr>
          <w:rFonts w:ascii="仿宋_GB2312" w:hAnsi="仿宋_GB2312" w:cs="仿宋_GB2312" w:eastAsia="仿宋_GB2312"/>
          <w:sz w:val="19"/>
          <w:color w:val="000000"/>
        </w:rPr>
        <w:t>“技术、服务及其他要求”中“3.2.技术要求”，“3.3.服务要求”。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19"/>
          <w:color w:val="000000"/>
        </w:rPr>
        <w:t>磋商小组可以根据磋商文件和磋商情况实质性变动第七章</w:t>
      </w:r>
      <w:r>
        <w:rPr>
          <w:rFonts w:ascii="仿宋_GB2312" w:hAnsi="仿宋_GB2312" w:cs="仿宋_GB2312" w:eastAsia="仿宋_GB2312"/>
          <w:sz w:val="19"/>
          <w:color w:val="000000"/>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①供应商若为企业法人：提供“统一社会信用代码营业执照”；② 若为事业法人：提供“统一社会信用代码法人登记证书”；③若为其他组织：提供“对应主管部门颁发的准许执业证明文件或营业执照”；④若为自然人：提供“身份证明材料”。（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响应文件封面,供应商需提供相关资格证明材料.docx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度或2025年度的经审计的财务报告复印件（包含审计报告和审计报告中所涉及的财务报表和报表附注）和财务会计制度；②也可提供2024年度或2025年度供应商内部的财务报表复印件（至少包含资产负债表）和财务会计制度；③也可提供截至投标文件递交截止日一年内银行出具的资信证明（复印件）；④投标人注册时间截至响应文件递交截止日不足一年的，也可提供加盖工商备案主管部门印章的公司章程复印件。（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供应商需提供相关资格证明材料.docx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授权参加本次采购活动的供应商代表证明材料。</w:t>
            </w:r>
          </w:p>
        </w:tc>
        <w:tc>
          <w:tcPr>
            <w:tcW w:type="dxa" w:w="3322"/>
          </w:tcPr>
          <w:p>
            <w:pPr>
              <w:pStyle w:val="null3"/>
              <w:jc w:val="left"/>
            </w:pPr>
            <w:r>
              <w:rPr>
                <w:rFonts w:ascii="仿宋_GB2312" w:hAnsi="仿宋_GB2312" w:cs="仿宋_GB2312" w:eastAsia="仿宋_GB2312"/>
              </w:rPr>
              <w:t>授权参加本次采购活动的供应商代表证明材料。【①法定代表人/负责人授权书原件（法定代表人/负责人亲自参加投标，无需提供法定代表人/负责人授权书；②法定代表人/负责人和授权代表身份证复印件（法定代表人/负责人亲自参加投标，无需提供授权代表人身份证复印件）。】</w:t>
            </w:r>
          </w:p>
        </w:tc>
        <w:tc>
          <w:tcPr>
            <w:tcW w:type="dxa" w:w="1661"/>
          </w:tcPr>
          <w:p>
            <w:pPr>
              <w:pStyle w:val="null3"/>
              <w:jc w:val="left"/>
            </w:pPr>
            <w:r>
              <w:rPr>
                <w:rFonts w:ascii="仿宋_GB2312" w:hAnsi="仿宋_GB2312" w:cs="仿宋_GB2312" w:eastAsia="仿宋_GB2312"/>
              </w:rPr>
              <w:t>法定代表人授权书.docx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供应商认为需要提供的其他材料或文件.docx,投标（响应）函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3.2.技术要求</w:t>
            </w:r>
          </w:p>
        </w:tc>
        <w:tc>
          <w:tcPr>
            <w:tcW w:type="dxa" w:w="3322"/>
          </w:tcPr>
          <w:p>
            <w:pPr>
              <w:pStyle w:val="null3"/>
              <w:jc w:val="left"/>
            </w:pPr>
            <w:r>
              <w:rPr>
                <w:rFonts w:ascii="仿宋_GB2312" w:hAnsi="仿宋_GB2312" w:cs="仿宋_GB2312" w:eastAsia="仿宋_GB2312"/>
              </w:rPr>
              <w:t>采购文件第三章3.2.技术要求中标注“★”的要求为实质性要求，不允许负偏离，否则视为无效投标。</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3.3.服务要求</w:t>
            </w:r>
          </w:p>
        </w:tc>
        <w:tc>
          <w:tcPr>
            <w:tcW w:type="dxa" w:w="3322"/>
          </w:tcPr>
          <w:p>
            <w:pPr>
              <w:pStyle w:val="null3"/>
              <w:jc w:val="left"/>
            </w:pPr>
            <w:r>
              <w:rPr>
                <w:rFonts w:ascii="仿宋_GB2312" w:hAnsi="仿宋_GB2312" w:cs="仿宋_GB2312" w:eastAsia="仿宋_GB2312"/>
              </w:rPr>
              <w:t>采购文件第三章3.3.服务要求中标注“★”的要求为实质性要求，不允许负偏离，否则视为无效投标。</w:t>
            </w:r>
          </w:p>
        </w:tc>
        <w:tc>
          <w:tcPr>
            <w:tcW w:type="dxa" w:w="1661"/>
          </w:tcPr>
          <w:p>
            <w:pPr>
              <w:pStyle w:val="null3"/>
              <w:jc w:val="left"/>
            </w:pPr>
            <w:r>
              <w:rPr>
                <w:rFonts w:ascii="仿宋_GB2312" w:hAnsi="仿宋_GB2312" w:cs="仿宋_GB2312" w:eastAsia="仿宋_GB2312"/>
              </w:rPr>
              <w:t>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2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履约能力</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1.车辆要求（4分） 提供防制服务车辆，一辆得2分，最多得4分； 注：公司自有车辆的，提供车辆行驶证、购买发票和照片；租赁车辆的，提供租赁协议。以上佐证材料均需进行电子签章。未提供的不得分。 2.防制器械（6分） 2.1每配备一台车载式喷雾器得2分，本项最高得4分。 2.2每配备一台常量喷雾器得1分，本项最高得2分。 注：自有器械的，提供购货发票；租赁器械的，提供租赁协议。以上佐证材料均需进行电子签章。未提供的不得分。 3.人员要求（18分） 3.1项目负责人（3分）：具有国家或国家认可的第三方机构颁发的《有害生物防制员》（二级/技师及以上）人员资格/等级证书得3分，（三级/高级）资格/等级人员证书得2分，（四级/中级）资格/等级人员证书得1分，（五级/初级）资格/等级人员证书得0.5分。 3.2技术负责人（3分）：具有国家或国家认可的第三方机构颁发的《有害生物防制员》（三级/高级以上）资格/等级人员证书得3分，（四级/中级）资格/等级人员证书得2分，（五级/初级）资格/等级人员证书得1分。 3.3项目现场人员（12分）：每具有1个国家或国家认可的第三方机构颁发的的《有害生物防制员》（四级/中级及以上）资格/等级人员证书得3分，（五级/初级）资格/等级人员证书得1.5分。本项最多得12分。 注：（1）以上人员不重复计分，同一人按照其最高等级计算分值。（2）以上人员需提供证书复印件、身份证复印件、在职证明。（3）以上佐证材料均需进行电子签章。未提供的不得分。 4.业绩（6分） 供应商具有类似项目业绩的，每提供一个得3分，最多得6分。 注：提供合同复印件加盖电子印章。未提供的不得分。</w:t>
            </w:r>
          </w:p>
        </w:tc>
        <w:tc>
          <w:tcPr>
            <w:tcW w:type="dxa" w:w="831"/>
          </w:tcPr>
          <w:p>
            <w:pPr>
              <w:pStyle w:val="null3"/>
              <w:jc w:val="center"/>
            </w:pPr>
            <w:r>
              <w:rPr>
                <w:rFonts w:ascii="仿宋_GB2312" w:hAnsi="仿宋_GB2312" w:cs="仿宋_GB2312" w:eastAsia="仿宋_GB2312"/>
              </w:rPr>
              <w:t>34.0000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服务管理方案</w:t>
            </w:r>
          </w:p>
        </w:tc>
        <w:tc>
          <w:tcPr>
            <w:tcW w:type="dxa" w:w="2575"/>
          </w:tcPr>
          <w:p>
            <w:pPr>
              <w:pStyle w:val="null3"/>
              <w:jc w:val="left"/>
            </w:pPr>
            <w:r>
              <w:rPr>
                <w:rFonts w:ascii="仿宋_GB2312" w:hAnsi="仿宋_GB2312" w:cs="仿宋_GB2312" w:eastAsia="仿宋_GB2312"/>
              </w:rPr>
              <w:t>根据供应商编制的服务管理方案进行评审，服务管理方案包括实施方案、服务方案。 1.实施方案包括：①灭鼠方案；②灭蚊方案；③灭蝇方案；④灭蟑方案；⑤孳生地设施设置方案；⑥残留药物处理方案；⑦施药作业流程；⑧宣传计划方案。以上八项内容完整且符合采购需求的得32分，每有一项内容缺失扣4分，每项内容里每有一处内容存在缺陷的扣2分，每项分值扣完为止。 2.技术服务方案包括：①防制方案（项目工期、频次安排等）；②药械准备；③服务规范；④服务制度考核标准及办法。以上四项内容完整且符合采购需求的得16分，每有一项内容缺失扣4分，每项内容里每有一处内容存在缺陷的扣2分，每项分值扣完为止。 注：（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(3)以评审专家结合项目实际情况和响应文件综合评定为准。</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供应商需提供的服务管理方案.docx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后续服务方案包括：①后续服务人员、电话的配备；②应急预案；以上两项内容完整且符合采购需求的得8分，每有一项内容缺失扣4分，每项内容里每有一处内容存在缺陷的扣2分，每项分值扣完为止。 注：（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(3)以评审专家结合项目实际情况和响应文件综合评定为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供应商需提供的后续服务方案.docx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详见附件：法定代表人授权书.docx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详见附件：供应商认为需要提供的其他材料或文件.docx</w:t>
      </w:r>
    </w:p>
    <w:p>
      <w:pPr>
        <w:pStyle w:val="null3"/>
        <w:ind w:firstLine="960"/>
        <w:jc w:val="left"/>
      </w:pPr>
      <w:r>
        <w:rPr>
          <w:rFonts w:ascii="仿宋_GB2312" w:hAnsi="仿宋_GB2312" w:cs="仿宋_GB2312" w:eastAsia="仿宋_GB2312"/>
        </w:rPr>
        <w:t>详见附件：供应商需提供相关资格证明材料.docx</w:t>
      </w:r>
    </w:p>
    <w:p>
      <w:pPr>
        <w:pStyle w:val="null3"/>
        <w:ind w:firstLine="960"/>
        <w:jc w:val="left"/>
      </w:pPr>
      <w:r>
        <w:rPr>
          <w:rFonts w:ascii="仿宋_GB2312" w:hAnsi="仿宋_GB2312" w:cs="仿宋_GB2312" w:eastAsia="仿宋_GB2312"/>
        </w:rPr>
        <w:t>详见附件：供应商需提供的服务管理方案.docx</w:t>
      </w:r>
    </w:p>
    <w:p>
      <w:pPr>
        <w:pStyle w:val="null3"/>
        <w:ind w:firstLine="960"/>
        <w:jc w:val="left"/>
      </w:pPr>
      <w:r>
        <w:rPr>
          <w:rFonts w:ascii="仿宋_GB2312" w:hAnsi="仿宋_GB2312" w:cs="仿宋_GB2312" w:eastAsia="仿宋_GB2312"/>
        </w:rPr>
        <w:t>详见附件：供应商需提供的后续服务方案.docx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详见附件：政府采购项目采购合同范本.docx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