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版本号：N510113202600003720260413001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2026年-2028年青白江区生活垃圾分类服务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N5101132026000037</w:t>
      </w:r>
    </w:p>
    <w:p>
      <w:pPr>
        <w:pStyle w:val="null3"/>
        <w:jc w:val="center"/>
        <w:outlineLvl w:val="2"/>
      </w:pPr>
      <w:r>
        <w:rPr>
          <w:rFonts w:ascii="仿宋_GB2312" w:hAnsi="仿宋_GB2312" w:cs="仿宋_GB2312" w:eastAsia="仿宋_GB2312"/>
          <w:sz w:val="28"/>
          <w:b/>
        </w:rPr>
        <w:t>成都市青白江区城市管理和综合行政执法局</w:t>
      </w:r>
    </w:p>
    <w:p>
      <w:pPr>
        <w:pStyle w:val="null3"/>
        <w:jc w:val="center"/>
        <w:outlineLvl w:val="2"/>
      </w:pPr>
      <w:r>
        <w:rPr>
          <w:rFonts w:ascii="仿宋_GB2312" w:hAnsi="仿宋_GB2312" w:cs="仿宋_GB2312" w:eastAsia="仿宋_GB2312"/>
          <w:sz w:val="28"/>
          <w:b/>
        </w:rPr>
        <w:t>四川茂泓工程管理咨询有限公司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四川茂泓工程管理咨询有限公司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成都市青白江区城市管理和综合行政执法局</w:t>
      </w:r>
      <w:r>
        <w:rPr>
          <w:rFonts w:ascii="仿宋_GB2312" w:hAnsi="仿宋_GB2312" w:cs="仿宋_GB2312" w:eastAsia="仿宋_GB2312"/>
        </w:rPr>
        <w:t xml:space="preserve"> 委托，拟对 </w:t>
      </w:r>
      <w:r>
        <w:rPr>
          <w:rFonts w:ascii="仿宋_GB2312" w:hAnsi="仿宋_GB2312" w:cs="仿宋_GB2312" w:eastAsia="仿宋_GB2312"/>
        </w:rPr>
        <w:t>2026年-2028年青白江区生活垃圾分类服务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成都市青白江区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N5101132026000037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2026年-2028年青白江区生活垃圾分类服务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全面落实《成都市生态环境保护委员会办公室关于印发成都市2026年度生活垃圾分类工作要点的通知》（成生委办〔2026〕2号）要求，确保2026年至2028年我区生活垃圾分类工作系统推进、目标有效达成，健全分类投放、收集、运输、处理全过程管理体系，提升生活垃圾减量化、资源化、无害化处理水平，现计划依托市场化机制，通过引入具备成熟经验的第三方专业服务机构，开展垃圾分类宣传培训活动、垃圾分类媒体宣传、分布式可回收物投放点运营管理、常态化工作指导与协作等，进一步提升我区垃圾分类管理的精细化、长效化水平，加快形成政府引导、市场运作、社会协同、公众参与的生活垃圾分类治理新格局。</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成都市青白江区城市管理和综合行政执法局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成都市青白江区青运路199号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83306398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四川茂泓工程管理咨询有限公司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四川省成都市金牛区一环路北一段99号环球广场1307室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028-89991235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采购包1：1,682,000.00元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收费的依据为2002年10月15日国家计委印发的《招标代理服务收费管理暂行办法》（计价格[2002]1980号）和2003年9月15日《国家发展改革委办公厅关于招标代理服务收费有关问题的通知》（发改办价格[2003]857号）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成都市青白江区城市管理和综合行政执法局</w:t>
      </w:r>
      <w:r>
        <w:rPr>
          <w:rFonts w:ascii="仿宋_GB2312" w:hAnsi="仿宋_GB2312" w:cs="仿宋_GB2312" w:eastAsia="仿宋_GB2312"/>
        </w:rPr>
        <w:t xml:space="preserve"> 和 </w:t>
      </w:r>
      <w:r>
        <w:rPr>
          <w:rFonts w:ascii="仿宋_GB2312" w:hAnsi="仿宋_GB2312" w:cs="仿宋_GB2312" w:eastAsia="仿宋_GB2312"/>
        </w:rPr>
        <w:t>四川茂泓工程管理咨询有限公司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成都市青白江区城市管理和综合行政执法局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四川茂泓工程管理咨询有限公司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委托代理机构验收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供应商提出验收申请之日起30日内组织验收</w:t>
      </w:r>
      <w:r>
        <w:rPr>
          <w:rFonts w:ascii="仿宋_GB2312" w:hAnsi="仿宋_GB2312" w:cs="仿宋_GB2312" w:eastAsia="仿宋_GB2312"/>
        </w:rPr>
        <w:t xml:space="preserve"> ，达到验收条件起 </w:t>
      </w:r>
      <w:r>
        <w:rPr>
          <w:rFonts w:ascii="仿宋_GB2312" w:hAnsi="仿宋_GB2312" w:cs="仿宋_GB2312" w:eastAsia="仿宋_GB2312"/>
        </w:rPr>
        <w:t>45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供应商提出验收申请之日起30日内组织验收</w:t>
      </w:r>
      <w:r>
        <w:rPr>
          <w:rFonts w:ascii="仿宋_GB2312" w:hAnsi="仿宋_GB2312" w:cs="仿宋_GB2312" w:eastAsia="仿宋_GB2312"/>
        </w:rPr>
        <w:t xml:space="preserve"> ，达到验收条件起 </w:t>
      </w:r>
      <w:r>
        <w:rPr>
          <w:rFonts w:ascii="仿宋_GB2312" w:hAnsi="仿宋_GB2312" w:cs="仿宋_GB2312" w:eastAsia="仿宋_GB2312"/>
        </w:rPr>
        <w:t>45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供应商提出验收申请之日起30日内组织验收</w:t>
      </w:r>
      <w:r>
        <w:rPr>
          <w:rFonts w:ascii="仿宋_GB2312" w:hAnsi="仿宋_GB2312" w:cs="仿宋_GB2312" w:eastAsia="仿宋_GB2312"/>
        </w:rPr>
        <w:t xml:space="preserve"> ，达到验收条件起 </w:t>
      </w:r>
      <w:r>
        <w:rPr>
          <w:rFonts w:ascii="仿宋_GB2312" w:hAnsi="仿宋_GB2312" w:cs="仿宋_GB2312" w:eastAsia="仿宋_GB2312"/>
        </w:rPr>
        <w:t>45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供应商提出验收申请之日起30日内组织验收</w:t>
      </w:r>
      <w:r>
        <w:rPr>
          <w:rFonts w:ascii="仿宋_GB2312" w:hAnsi="仿宋_GB2312" w:cs="仿宋_GB2312" w:eastAsia="仿宋_GB2312"/>
        </w:rPr>
        <w:t xml:space="preserve"> ，达到验收条件起 </w:t>
      </w:r>
      <w:r>
        <w:rPr>
          <w:rFonts w:ascii="仿宋_GB2312" w:hAnsi="仿宋_GB2312" w:cs="仿宋_GB2312" w:eastAsia="仿宋_GB2312"/>
        </w:rPr>
        <w:t>45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包括每一项技术要求的履约情况，按行业相关法律规定、采购文件技术和成交供应商的响应文件、采购合同等进行验收。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包括每一项商务要求的履约情况，按行业相关法律规定、采购文件商务要求和成交供应商的响应文件、采购合同等进行验收。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服务要求、服务内容服务质量和考核制度、供应商的投标文件及承诺与本合同约定标准进行验收；采购人与供应商双方如对服务要求、服务内容和考核制度约定标准有相互抵触或异议的事项，由采购人在招标文件及投标文件中按服务要求、服务内容服务质量和考核制度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其他未尽事宜应严格按照《财政部关于进一步加强政府采购需求和履约验收管理的指导意见》财库〔2016〕205号的要求进行。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成都市青白江区城市管理和综合行政执法局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四川茂泓工程管理咨询有限公司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四川茂泓工程管理咨询有限公司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联系电话：028-83306398</w:t>
      </w:r>
    </w:p>
    <w:p>
      <w:pPr>
        <w:pStyle w:val="null3"/>
        <w:jc w:val="left"/>
      </w:pPr>
      <w:r>
        <w:rPr>
          <w:rFonts w:ascii="仿宋_GB2312" w:hAnsi="仿宋_GB2312" w:cs="仿宋_GB2312" w:eastAsia="仿宋_GB2312"/>
        </w:rPr>
        <w:t>地址：成都市青白江区青运路199号</w:t>
      </w:r>
    </w:p>
    <w:p>
      <w:pPr>
        <w:pStyle w:val="null3"/>
        <w:jc w:val="left"/>
      </w:pPr>
      <w:r>
        <w:rPr>
          <w:rFonts w:ascii="仿宋_GB2312" w:hAnsi="仿宋_GB2312" w:cs="仿宋_GB2312" w:eastAsia="仿宋_GB2312"/>
        </w:rPr>
        <w:t>邮编：610399</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1,682,000.00</w:t>
      </w:r>
    </w:p>
    <w:p>
      <w:pPr>
        <w:pStyle w:val="null3"/>
        <w:jc w:val="left"/>
      </w:pPr>
      <w:r>
        <w:rPr>
          <w:rFonts w:ascii="仿宋_GB2312" w:hAnsi="仿宋_GB2312" w:cs="仿宋_GB2312" w:eastAsia="仿宋_GB2312"/>
        </w:rPr>
        <w:t>采购包最高限价（元）: 1,682,000.00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C23070200 公共公益宣传服务</w:t>
            </w:r>
          </w:p>
        </w:tc>
        <w:tc>
          <w:tcPr>
            <w:tcW w:type="dxa" w:w="821"/>
          </w:tcPr>
          <w:p>
            <w:pPr>
              <w:pStyle w:val="null3"/>
              <w:jc w:val="left"/>
            </w:pPr>
            <w:r>
              <w:rPr>
                <w:rFonts w:ascii="仿宋_GB2312" w:hAnsi="仿宋_GB2312" w:cs="仿宋_GB2312" w:eastAsia="仿宋_GB2312"/>
              </w:rPr>
              <w:t>2026年-2028年青白江区生活垃圾分类服务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1,682,000.00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2026年-2028年青白江区生活垃圾分类服务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1,682,000.00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最高限价：1682000.00元/年</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标的名称：2026年-2028年青白江区生活垃圾分类服务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）垃圾分类宣传培训活动。每月应组织开展</w:t>
            </w:r>
            <w:r>
              <w:rPr>
                <w:rFonts w:ascii="仿宋_GB2312" w:hAnsi="仿宋_GB2312" w:cs="仿宋_GB2312" w:eastAsia="仿宋_GB2312"/>
                <w:sz w:val="24"/>
              </w:rPr>
              <w:t>1</w:t>
            </w:r>
            <w:r>
              <w:rPr>
                <w:rFonts w:ascii="仿宋_GB2312" w:hAnsi="仿宋_GB2312" w:cs="仿宋_GB2312" w:eastAsia="仿宋_GB2312"/>
                <w:sz w:val="24"/>
              </w:rPr>
              <w:t>场垃圾分类志愿服务活动、</w:t>
            </w:r>
            <w:r>
              <w:rPr>
                <w:rFonts w:ascii="仿宋_GB2312" w:hAnsi="仿宋_GB2312" w:cs="仿宋_GB2312" w:eastAsia="仿宋_GB2312"/>
                <w:sz w:val="24"/>
              </w:rPr>
              <w:t>2</w:t>
            </w:r>
            <w:r>
              <w:rPr>
                <w:rFonts w:ascii="仿宋_GB2312" w:hAnsi="仿宋_GB2312" w:cs="仿宋_GB2312" w:eastAsia="仿宋_GB2312"/>
                <w:sz w:val="24"/>
              </w:rPr>
              <w:t>场“四库一线”科普教育活动，每场线下活动参与人数不少于</w:t>
            </w:r>
            <w:r>
              <w:rPr>
                <w:rFonts w:ascii="仿宋_GB2312" w:hAnsi="仿宋_GB2312" w:cs="仿宋_GB2312" w:eastAsia="仿宋_GB2312"/>
                <w:sz w:val="24"/>
              </w:rPr>
              <w:t>30</w:t>
            </w:r>
            <w:r>
              <w:rPr>
                <w:rFonts w:ascii="仿宋_GB2312" w:hAnsi="仿宋_GB2312" w:cs="仿宋_GB2312" w:eastAsia="仿宋_GB2312"/>
                <w:sz w:val="24"/>
              </w:rPr>
              <w:t>人。活动应重点覆盖居住区及公共机构，以宣传《成都市生活垃圾管理条例》为核心，形式需多样化，可包括但不限于主题宣讲、互动游戏、有奖问答、现场回收演示等；每季度应组织开展</w:t>
            </w:r>
            <w:r>
              <w:rPr>
                <w:rFonts w:ascii="仿宋_GB2312" w:hAnsi="仿宋_GB2312" w:cs="仿宋_GB2312" w:eastAsia="仿宋_GB2312"/>
                <w:sz w:val="24"/>
              </w:rPr>
              <w:t>1</w:t>
            </w:r>
            <w:r>
              <w:rPr>
                <w:rFonts w:ascii="仿宋_GB2312" w:hAnsi="仿宋_GB2312" w:cs="仿宋_GB2312" w:eastAsia="仿宋_GB2312"/>
                <w:sz w:val="24"/>
              </w:rPr>
              <w:t>次垃圾分类线上互动活动，单场活动参与人数不少于</w:t>
            </w:r>
            <w:r>
              <w:rPr>
                <w:rFonts w:ascii="仿宋_GB2312" w:hAnsi="仿宋_GB2312" w:cs="仿宋_GB2312" w:eastAsia="仿宋_GB2312"/>
                <w:sz w:val="24"/>
              </w:rPr>
              <w:t>300</w:t>
            </w:r>
            <w:r>
              <w:rPr>
                <w:rFonts w:ascii="仿宋_GB2312" w:hAnsi="仿宋_GB2312" w:cs="仿宋_GB2312" w:eastAsia="仿宋_GB2312"/>
                <w:sz w:val="24"/>
              </w:rPr>
              <w:t>人；全年应组织开展</w:t>
            </w:r>
            <w:r>
              <w:rPr>
                <w:rFonts w:ascii="仿宋_GB2312" w:hAnsi="仿宋_GB2312" w:cs="仿宋_GB2312" w:eastAsia="仿宋_GB2312"/>
                <w:sz w:val="24"/>
              </w:rPr>
              <w:t>2</w:t>
            </w:r>
            <w:r>
              <w:rPr>
                <w:rFonts w:ascii="仿宋_GB2312" w:hAnsi="仿宋_GB2312" w:cs="仿宋_GB2312" w:eastAsia="仿宋_GB2312"/>
                <w:sz w:val="24"/>
              </w:rPr>
              <w:t>场大型垃圾分类主题线下活动、策划实施</w:t>
            </w:r>
            <w:r>
              <w:rPr>
                <w:rFonts w:ascii="仿宋_GB2312" w:hAnsi="仿宋_GB2312" w:cs="仿宋_GB2312" w:eastAsia="仿宋_GB2312"/>
                <w:sz w:val="24"/>
              </w:rPr>
              <w:t>1</w:t>
            </w:r>
            <w:r>
              <w:rPr>
                <w:rFonts w:ascii="仿宋_GB2312" w:hAnsi="仿宋_GB2312" w:cs="仿宋_GB2312" w:eastAsia="仿宋_GB2312"/>
                <w:sz w:val="24"/>
              </w:rPr>
              <w:t>次“垃圾分类宣传周”专项活动。所有活动的场地协调、人员组织、现场管理、签到及问卷收集等工作均由供应商负责。供应商须负责所有活动的氛围营造</w:t>
            </w:r>
            <w:r>
              <w:rPr>
                <w:rFonts w:ascii="仿宋_GB2312" w:hAnsi="仿宋_GB2312" w:cs="仿宋_GB2312" w:eastAsia="仿宋_GB2312"/>
                <w:sz w:val="24"/>
              </w:rPr>
              <w:t>及</w:t>
            </w:r>
            <w:r>
              <w:rPr>
                <w:rFonts w:ascii="仿宋_GB2312" w:hAnsi="仿宋_GB2312" w:cs="仿宋_GB2312" w:eastAsia="仿宋_GB2312"/>
                <w:sz w:val="24"/>
              </w:rPr>
              <w:t>宣传品</w:t>
            </w:r>
            <w:r>
              <w:rPr>
                <w:rFonts w:ascii="仿宋_GB2312" w:hAnsi="仿宋_GB2312" w:cs="仿宋_GB2312" w:eastAsia="仿宋_GB2312"/>
                <w:sz w:val="24"/>
              </w:rPr>
              <w:t>采购</w:t>
            </w:r>
            <w:r>
              <w:rPr>
                <w:rFonts w:ascii="仿宋_GB2312" w:hAnsi="仿宋_GB2312" w:cs="仿宋_GB2312" w:eastAsia="仿宋_GB2312"/>
                <w:sz w:val="24"/>
              </w:rPr>
              <w:t>、</w:t>
            </w:r>
            <w:r>
              <w:rPr>
                <w:rFonts w:ascii="仿宋_GB2312" w:hAnsi="仿宋_GB2312" w:cs="仿宋_GB2312" w:eastAsia="仿宋_GB2312"/>
                <w:sz w:val="24"/>
              </w:rPr>
              <w:t>发放，</w:t>
            </w:r>
            <w:r>
              <w:rPr>
                <w:rFonts w:ascii="仿宋_GB2312" w:hAnsi="仿宋_GB2312" w:cs="仿宋_GB2312" w:eastAsia="仿宋_GB2312"/>
                <w:sz w:val="24"/>
              </w:rPr>
              <w:t>其中：月度活动每场宣传品价值不低于人民币</w:t>
            </w:r>
            <w:r>
              <w:rPr>
                <w:rFonts w:ascii="仿宋_GB2312" w:hAnsi="仿宋_GB2312" w:cs="仿宋_GB2312" w:eastAsia="仿宋_GB2312"/>
                <w:sz w:val="24"/>
              </w:rPr>
              <w:t>500</w:t>
            </w:r>
            <w:r>
              <w:rPr>
                <w:rFonts w:ascii="仿宋_GB2312" w:hAnsi="仿宋_GB2312" w:cs="仿宋_GB2312" w:eastAsia="仿宋_GB2312"/>
                <w:sz w:val="24"/>
              </w:rPr>
              <w:t>元；线上活动及大型线下活动每场宣传品价值均不低于人民币</w:t>
            </w:r>
            <w:r>
              <w:rPr>
                <w:rFonts w:ascii="仿宋_GB2312" w:hAnsi="仿宋_GB2312" w:cs="仿宋_GB2312" w:eastAsia="仿宋_GB2312"/>
                <w:sz w:val="24"/>
              </w:rPr>
              <w:t>8000</w:t>
            </w:r>
            <w:r>
              <w:rPr>
                <w:rFonts w:ascii="仿宋_GB2312" w:hAnsi="仿宋_GB2312" w:cs="仿宋_GB2312" w:eastAsia="仿宋_GB2312"/>
                <w:sz w:val="24"/>
              </w:rPr>
              <w:t>元（投标响应时，应提供单独的承诺函加盖供应商电子签章）。</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垃圾分类媒体宣传。媒体宣传报道：供应商应策划并邀请中央、省、市级主流媒体（如四川日报、成都日报、华西都市报、新浪四川、四川新闻网等）对青白江区垃圾分类创新实践进行专题宣传报道。全年报道不少于</w:t>
            </w:r>
            <w:r>
              <w:rPr>
                <w:rFonts w:ascii="仿宋_GB2312" w:hAnsi="仿宋_GB2312" w:cs="仿宋_GB2312" w:eastAsia="仿宋_GB2312"/>
                <w:sz w:val="24"/>
              </w:rPr>
              <w:t>2</w:t>
            </w:r>
            <w:r>
              <w:rPr>
                <w:rFonts w:ascii="仿宋_GB2312" w:hAnsi="仿宋_GB2312" w:cs="仿宋_GB2312" w:eastAsia="仿宋_GB2312"/>
                <w:sz w:val="24"/>
              </w:rPr>
              <w:t>次，其中应至少包括</w:t>
            </w:r>
            <w:r>
              <w:rPr>
                <w:rFonts w:ascii="仿宋_GB2312" w:hAnsi="仿宋_GB2312" w:cs="仿宋_GB2312" w:eastAsia="仿宋_GB2312"/>
                <w:sz w:val="24"/>
              </w:rPr>
              <w:t>1</w:t>
            </w:r>
            <w:r>
              <w:rPr>
                <w:rFonts w:ascii="仿宋_GB2312" w:hAnsi="仿宋_GB2312" w:cs="仿宋_GB2312" w:eastAsia="仿宋_GB2312"/>
                <w:sz w:val="24"/>
              </w:rPr>
              <w:t>次报纸报刊类报道及</w:t>
            </w:r>
            <w:r>
              <w:rPr>
                <w:rFonts w:ascii="仿宋_GB2312" w:hAnsi="仿宋_GB2312" w:cs="仿宋_GB2312" w:eastAsia="仿宋_GB2312"/>
                <w:sz w:val="24"/>
              </w:rPr>
              <w:t>1</w:t>
            </w:r>
            <w:r>
              <w:rPr>
                <w:rFonts w:ascii="仿宋_GB2312" w:hAnsi="仿宋_GB2312" w:cs="仿宋_GB2312" w:eastAsia="仿宋_GB2312"/>
                <w:sz w:val="24"/>
              </w:rPr>
              <w:t>次新媒体平台报道。每次报道须为专题报道，文字内容不少于</w:t>
            </w:r>
            <w:r>
              <w:rPr>
                <w:rFonts w:ascii="仿宋_GB2312" w:hAnsi="仿宋_GB2312" w:cs="仿宋_GB2312" w:eastAsia="仿宋_GB2312"/>
                <w:sz w:val="24"/>
              </w:rPr>
              <w:t>500</w:t>
            </w:r>
            <w:r>
              <w:rPr>
                <w:rFonts w:ascii="仿宋_GB2312" w:hAnsi="仿宋_GB2312" w:cs="仿宋_GB2312" w:eastAsia="仿宋_GB2312"/>
                <w:sz w:val="24"/>
              </w:rPr>
              <w:t>字，并于当年</w:t>
            </w:r>
            <w:r>
              <w:rPr>
                <w:rFonts w:ascii="仿宋_GB2312" w:hAnsi="仿宋_GB2312" w:cs="仿宋_GB2312" w:eastAsia="仿宋_GB2312"/>
                <w:sz w:val="24"/>
              </w:rPr>
              <w:t>11</w:t>
            </w:r>
            <w:r>
              <w:rPr>
                <w:rFonts w:ascii="仿宋_GB2312" w:hAnsi="仿宋_GB2312" w:cs="仿宋_GB2312" w:eastAsia="仿宋_GB2312"/>
                <w:sz w:val="24"/>
              </w:rPr>
              <w:t>月</w:t>
            </w:r>
            <w:r>
              <w:rPr>
                <w:rFonts w:ascii="仿宋_GB2312" w:hAnsi="仿宋_GB2312" w:cs="仿宋_GB2312" w:eastAsia="仿宋_GB2312"/>
                <w:sz w:val="24"/>
              </w:rPr>
              <w:t>30</w:t>
            </w:r>
            <w:r>
              <w:rPr>
                <w:rFonts w:ascii="仿宋_GB2312" w:hAnsi="仿宋_GB2312" w:cs="仿宋_GB2312" w:eastAsia="仿宋_GB2312"/>
                <w:sz w:val="24"/>
              </w:rPr>
              <w:t>日前完成全部宣传任务。日常信息推送：供应商应及时总结提炼青白江区垃圾分类日常工作的亮点、进展与活动动态，形成工作信息与推文。须配合采购人在社会公众信息平台、政府部门公众号、官方网站等渠道进行推送发布，每月报送并协助推送的信息、推文数量不少于</w:t>
            </w:r>
            <w:r>
              <w:rPr>
                <w:rFonts w:ascii="仿宋_GB2312" w:hAnsi="仿宋_GB2312" w:cs="仿宋_GB2312" w:eastAsia="仿宋_GB2312"/>
                <w:sz w:val="24"/>
              </w:rPr>
              <w:t>2</w:t>
            </w:r>
            <w:r>
              <w:rPr>
                <w:rFonts w:ascii="仿宋_GB2312" w:hAnsi="仿宋_GB2312" w:cs="仿宋_GB2312" w:eastAsia="仿宋_GB2312"/>
                <w:sz w:val="24"/>
              </w:rPr>
              <w:t>篇，以持续扩大垃圾分类工作的社会影响力。</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常态化工作指导与协作。负责对辖区垃圾分类管理责任人进行日常工作的指导与督促。配合采购人开展垃圾分类相关检查、验收、设施巡查及投诉处理等工作，协助采购人完成垃圾分类目标任务及采购人临时交办的其他相关工作。</w:t>
            </w:r>
          </w:p>
          <w:p>
            <w:pPr>
              <w:pStyle w:val="null3"/>
              <w:ind w:firstLine="638"/>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分布式可回收物投放点运营管理。负责分布式可回收物投放点系统的后台运营，包括用户投放审核、清运调度审核、用户提现审核、积分咨询与答疑等。负责分布式可回收物投放点的日常巡检、简单故障排查、系统数据维护与台账管理、设备用电费用结算等工作。负责与投放点物业公司、村（社区）的日常沟通协调，并在投放点周边开展宣传推广活动。负责分布式可回收物投放点积分兑换体系的资金充值与管理。及时处理采购人临时交办的其他相关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管理要求</w:t>
            </w:r>
          </w:p>
        </w:tc>
        <w:tc>
          <w:tcPr>
            <w:tcW w:type="dxa" w:w="5814"/>
          </w:tcPr>
          <w:p>
            <w:pPr>
              <w:pStyle w:val="null3"/>
              <w:ind w:firstLine="638"/>
              <w:jc w:val="both"/>
            </w:pPr>
            <w:r>
              <w:rPr>
                <w:rFonts w:ascii="仿宋_GB2312" w:hAnsi="仿宋_GB2312" w:cs="仿宋_GB2312" w:eastAsia="仿宋_GB2312"/>
                <w:sz w:val="24"/>
              </w:rPr>
              <w:t>1</w:t>
            </w:r>
            <w:r>
              <w:rPr>
                <w:rFonts w:ascii="仿宋_GB2312" w:hAnsi="仿宋_GB2312" w:cs="仿宋_GB2312" w:eastAsia="仿宋_GB2312"/>
                <w:sz w:val="24"/>
              </w:rPr>
              <w:t>、供应商须建立健全项目运营管理制度体系，保障服务全过程规范、有序开展。</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、供应商须制定项目专项安全应急预案，建立应急响应机制，确保突发情况得到及时、有效处置。</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、供应商须确保所有项目服务人员均符合《中华人民共和国劳动法》《中华人民共和国劳动合同法》等相关法律法规的规定，依法签订劳动合同、缴纳社会保险，并具备履行岗位职责所需的身体条件与专业能力。</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、供应商须依法按时足额向项目服务人员支付劳动报酬，保障其合法权益。</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、供应商须在本项目启动前，制定详细的项目实施方案，内容包括但不限于组织架构、岗位职责、人员配置、培训计划、管理制度等，该方案须经采购人书面审核确认后执行。</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、供应商须每月定期组织召开垃圾分类工作推进会，总结当月工作，拟定次月计划，形成会议纪要并提交采购人备案。</w:t>
            </w:r>
          </w:p>
          <w:p>
            <w:pPr>
              <w:pStyle w:val="null3"/>
              <w:ind w:firstLine="638"/>
              <w:jc w:val="both"/>
            </w:pPr>
            <w:r>
              <w:rPr>
                <w:rFonts w:ascii="仿宋_GB2312" w:hAnsi="仿宋_GB2312" w:cs="仿宋_GB2312" w:eastAsia="仿宋_GB2312"/>
                <w:sz w:val="24"/>
              </w:rPr>
              <w:t>7.</w:t>
            </w:r>
            <w:r>
              <w:rPr>
                <w:rFonts w:ascii="仿宋_GB2312" w:hAnsi="仿宋_GB2312" w:cs="仿宋_GB2312" w:eastAsia="仿宋_GB2312"/>
                <w:sz w:val="24"/>
              </w:rPr>
              <w:t>安全要求：在履行合同过程中，由成交供应商自行负责和承担相关安全责任。成交供应商按有关规定采取严格的项目实施安全措施，承担由于自身安全措施不力造成的事故责任和因此发生的费用及后果，成交供应商投入本项目工作人员的人身安全由成交供应商负责。成交供应商应为本项目工作人员购买人身意外伤害险及与项目实施有关的一切保险。凡在项目实施过程中发生安全事故或其他责任事故，均由成交供应商承担（投标</w:t>
            </w:r>
            <w:r>
              <w:rPr>
                <w:rFonts w:ascii="仿宋_GB2312" w:hAnsi="仿宋_GB2312" w:cs="仿宋_GB2312" w:eastAsia="仿宋_GB2312"/>
                <w:sz w:val="24"/>
              </w:rPr>
              <w:t>响应</w:t>
            </w:r>
            <w:r>
              <w:rPr>
                <w:rFonts w:ascii="仿宋_GB2312" w:hAnsi="仿宋_GB2312" w:cs="仿宋_GB2312" w:eastAsia="仿宋_GB2312"/>
                <w:sz w:val="24"/>
              </w:rPr>
              <w:t>时</w:t>
            </w:r>
            <w:r>
              <w:rPr>
                <w:rFonts w:ascii="仿宋_GB2312" w:hAnsi="仿宋_GB2312" w:cs="仿宋_GB2312" w:eastAsia="仿宋_GB2312"/>
                <w:sz w:val="24"/>
              </w:rPr>
              <w:t>，</w:t>
            </w:r>
            <w:r>
              <w:rPr>
                <w:rFonts w:ascii="仿宋_GB2312" w:hAnsi="仿宋_GB2312" w:cs="仿宋_GB2312" w:eastAsia="仿宋_GB2312"/>
                <w:sz w:val="24"/>
              </w:rPr>
              <w:t>在</w:t>
            </w:r>
            <w:r>
              <w:rPr>
                <w:rFonts w:ascii="仿宋_GB2312" w:hAnsi="仿宋_GB2312" w:cs="仿宋_GB2312" w:eastAsia="仿宋_GB2312"/>
                <w:sz w:val="24"/>
              </w:rPr>
              <w:t>响应</w:t>
            </w:r>
            <w:r>
              <w:rPr>
                <w:rFonts w:ascii="仿宋_GB2312" w:hAnsi="仿宋_GB2312" w:cs="仿宋_GB2312" w:eastAsia="仿宋_GB2312"/>
                <w:sz w:val="24"/>
              </w:rPr>
              <w:t>文件中</w:t>
            </w:r>
            <w:r>
              <w:rPr>
                <w:rFonts w:ascii="仿宋_GB2312" w:hAnsi="仿宋_GB2312" w:cs="仿宋_GB2312" w:eastAsia="仿宋_GB2312"/>
                <w:sz w:val="24"/>
              </w:rPr>
              <w:t>单独提供承诺函并加盖供应商电子签章）。</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考核要求</w:t>
            </w:r>
          </w:p>
        </w:tc>
        <w:tc>
          <w:tcPr>
            <w:tcW w:type="dxa" w:w="5814"/>
          </w:tcPr>
          <w:p>
            <w:pPr>
              <w:pStyle w:val="null3"/>
              <w:ind w:firstLine="480"/>
              <w:jc w:val="both"/>
            </w:pPr>
            <w:r>
              <w:rPr>
                <w:rFonts w:ascii="仿宋_GB2312" w:hAnsi="仿宋_GB2312" w:cs="仿宋_GB2312" w:eastAsia="仿宋_GB2312"/>
                <w:sz w:val="24"/>
              </w:rPr>
              <w:t>第一章</w:t>
            </w:r>
            <w:r>
              <w:rPr>
                <w:rFonts w:ascii="仿宋_GB2312" w:hAnsi="仿宋_GB2312" w:cs="仿宋_GB2312" w:eastAsia="仿宋_GB2312"/>
                <w:sz w:val="24"/>
              </w:rPr>
              <w:t>总则</w:t>
            </w:r>
          </w:p>
          <w:p>
            <w:pPr>
              <w:pStyle w:val="null3"/>
              <w:jc w:val="left"/>
            </w:pPr>
            <w:r>
              <w:rPr>
                <w:rFonts w:ascii="仿宋_GB2312" w:hAnsi="仿宋_GB2312" w:cs="仿宋_GB2312" w:eastAsia="仿宋_GB2312"/>
                <w:sz w:val="24"/>
              </w:rPr>
              <w:t>第一条</w:t>
            </w:r>
            <w:r>
              <w:rPr>
                <w:rFonts w:ascii="仿宋_GB2312" w:hAnsi="仿宋_GB2312" w:cs="仿宋_GB2312" w:eastAsia="仿宋_GB2312"/>
                <w:sz w:val="24"/>
              </w:rPr>
              <w:t>目的与依据</w:t>
            </w:r>
          </w:p>
          <w:p>
            <w:pPr>
              <w:pStyle w:val="null3"/>
              <w:jc w:val="left"/>
            </w:pPr>
            <w:r>
              <w:rPr>
                <w:rFonts w:ascii="仿宋_GB2312" w:hAnsi="仿宋_GB2312" w:cs="仿宋_GB2312" w:eastAsia="仿宋_GB2312"/>
                <w:sz w:val="24"/>
              </w:rPr>
              <w:t>为保障青白江区生活垃圾分类服务项目（以下简称：本项目）顺利实施，规范服务供应商履约行为，全面提高服务质量与水平，确保项目目标实现，依据本项目采购文件、服务合同及相关规定，结合工作实际，特制定本办法。</w:t>
            </w:r>
          </w:p>
          <w:p>
            <w:pPr>
              <w:pStyle w:val="null3"/>
              <w:jc w:val="left"/>
            </w:pPr>
            <w:r>
              <w:rPr>
                <w:rFonts w:ascii="仿宋_GB2312" w:hAnsi="仿宋_GB2312" w:cs="仿宋_GB2312" w:eastAsia="仿宋_GB2312"/>
                <w:sz w:val="24"/>
              </w:rPr>
              <w:t>第二条</w:t>
            </w:r>
            <w:r>
              <w:rPr>
                <w:rFonts w:ascii="仿宋_GB2312" w:hAnsi="仿宋_GB2312" w:cs="仿宋_GB2312" w:eastAsia="仿宋_GB2312"/>
                <w:sz w:val="24"/>
              </w:rPr>
              <w:t>考核对象</w:t>
            </w:r>
          </w:p>
          <w:p>
            <w:pPr>
              <w:pStyle w:val="null3"/>
              <w:jc w:val="left"/>
            </w:pPr>
            <w:r>
              <w:rPr>
                <w:rFonts w:ascii="仿宋_GB2312" w:hAnsi="仿宋_GB2312" w:cs="仿宋_GB2312" w:eastAsia="仿宋_GB2312"/>
                <w:sz w:val="24"/>
              </w:rPr>
              <w:t>本办法适用于本项目的服务供应商（以下简称：供应商）。</w:t>
            </w:r>
          </w:p>
          <w:p>
            <w:pPr>
              <w:pStyle w:val="null3"/>
              <w:jc w:val="left"/>
            </w:pPr>
            <w:r>
              <w:rPr>
                <w:rFonts w:ascii="仿宋_GB2312" w:hAnsi="仿宋_GB2312" w:cs="仿宋_GB2312" w:eastAsia="仿宋_GB2312"/>
                <w:sz w:val="24"/>
              </w:rPr>
              <w:t>第三条</w:t>
            </w:r>
            <w:r>
              <w:rPr>
                <w:rFonts w:ascii="仿宋_GB2312" w:hAnsi="仿宋_GB2312" w:cs="仿宋_GB2312" w:eastAsia="仿宋_GB2312"/>
                <w:sz w:val="24"/>
              </w:rPr>
              <w:t>考核原则</w:t>
            </w:r>
          </w:p>
          <w:p>
            <w:pPr>
              <w:pStyle w:val="null3"/>
              <w:jc w:val="left"/>
            </w:pPr>
            <w:r>
              <w:rPr>
                <w:rFonts w:ascii="仿宋_GB2312" w:hAnsi="仿宋_GB2312" w:cs="仿宋_GB2312" w:eastAsia="仿宋_GB2312"/>
                <w:sz w:val="24"/>
              </w:rPr>
              <w:t>考核遵循客观公正、注重实效、量化评价、奖惩结合的原则。</w:t>
            </w:r>
          </w:p>
          <w:p>
            <w:pPr>
              <w:pStyle w:val="null3"/>
              <w:jc w:val="left"/>
            </w:pPr>
            <w:r>
              <w:rPr>
                <w:rFonts w:ascii="仿宋_GB2312" w:hAnsi="仿宋_GB2312" w:cs="仿宋_GB2312" w:eastAsia="仿宋_GB2312"/>
                <w:sz w:val="24"/>
              </w:rPr>
              <w:t>第二章</w:t>
            </w:r>
            <w:r>
              <w:rPr>
                <w:rFonts w:ascii="仿宋_GB2312" w:hAnsi="仿宋_GB2312" w:cs="仿宋_GB2312" w:eastAsia="仿宋_GB2312"/>
                <w:sz w:val="24"/>
              </w:rPr>
              <w:t>考核内容与评分标准</w:t>
            </w:r>
          </w:p>
          <w:p>
            <w:pPr>
              <w:pStyle w:val="null3"/>
              <w:jc w:val="left"/>
            </w:pPr>
            <w:r>
              <w:rPr>
                <w:rFonts w:ascii="仿宋_GB2312" w:hAnsi="仿宋_GB2312" w:cs="仿宋_GB2312" w:eastAsia="仿宋_GB2312"/>
                <w:sz w:val="24"/>
              </w:rPr>
              <w:t>第四条</w:t>
            </w:r>
            <w:r>
              <w:rPr>
                <w:rFonts w:ascii="仿宋_GB2312" w:hAnsi="仿宋_GB2312" w:cs="仿宋_GB2312" w:eastAsia="仿宋_GB2312"/>
                <w:sz w:val="24"/>
              </w:rPr>
              <w:t>考核内容</w:t>
            </w:r>
          </w:p>
          <w:p>
            <w:pPr>
              <w:pStyle w:val="null3"/>
              <w:jc w:val="left"/>
            </w:pPr>
            <w:r>
              <w:rPr>
                <w:rFonts w:ascii="仿宋_GB2312" w:hAnsi="仿宋_GB2312" w:cs="仿宋_GB2312" w:eastAsia="仿宋_GB2312"/>
                <w:sz w:val="24"/>
              </w:rPr>
              <w:t>考核内容涵盖服务团队配置与人员管理、设施设备保障、核心服务内容执行情况、工作成效与协作配合等方面。</w:t>
            </w:r>
          </w:p>
          <w:p>
            <w:pPr>
              <w:pStyle w:val="null3"/>
              <w:jc w:val="left"/>
            </w:pPr>
            <w:r>
              <w:rPr>
                <w:rFonts w:ascii="仿宋_GB2312" w:hAnsi="仿宋_GB2312" w:cs="仿宋_GB2312" w:eastAsia="仿宋_GB2312"/>
                <w:sz w:val="24"/>
              </w:rPr>
              <w:t>第五条</w:t>
            </w:r>
            <w:r>
              <w:rPr>
                <w:rFonts w:ascii="仿宋_GB2312" w:hAnsi="仿宋_GB2312" w:cs="仿宋_GB2312" w:eastAsia="仿宋_GB2312"/>
                <w:sz w:val="24"/>
              </w:rPr>
              <w:t>评分体系</w:t>
            </w:r>
          </w:p>
          <w:p>
            <w:pPr>
              <w:pStyle w:val="null3"/>
              <w:jc w:val="left"/>
            </w:pPr>
            <w:r>
              <w:rPr>
                <w:rFonts w:ascii="仿宋_GB2312" w:hAnsi="仿宋_GB2312" w:cs="仿宋_GB2312" w:eastAsia="仿宋_GB2312"/>
                <w:sz w:val="24"/>
              </w:rPr>
              <w:t>考核采用季度综合评定考核制，基准分为</w:t>
            </w:r>
            <w:r>
              <w:rPr>
                <w:rFonts w:ascii="仿宋_GB2312" w:hAnsi="仿宋_GB2312" w:cs="仿宋_GB2312" w:eastAsia="仿宋_GB2312"/>
                <w:sz w:val="24"/>
              </w:rPr>
              <w:t>100</w:t>
            </w:r>
            <w:r>
              <w:rPr>
                <w:rFonts w:ascii="仿宋_GB2312" w:hAnsi="仿宋_GB2312" w:cs="仿宋_GB2312" w:eastAsia="仿宋_GB2312"/>
                <w:sz w:val="24"/>
              </w:rPr>
              <w:t>分。实行扣分与加分相结合，最终得分作为服务经费结算的依据。</w:t>
            </w:r>
          </w:p>
          <w:p>
            <w:pPr>
              <w:pStyle w:val="null3"/>
              <w:jc w:val="left"/>
            </w:pPr>
            <w:r>
              <w:rPr>
                <w:rFonts w:ascii="仿宋_GB2312" w:hAnsi="仿宋_GB2312" w:cs="仿宋_GB2312" w:eastAsia="仿宋_GB2312"/>
                <w:sz w:val="24"/>
              </w:rPr>
              <w:t>第六条</w:t>
            </w:r>
            <w:r>
              <w:rPr>
                <w:rFonts w:ascii="仿宋_GB2312" w:hAnsi="仿宋_GB2312" w:cs="仿宋_GB2312" w:eastAsia="仿宋_GB2312"/>
                <w:sz w:val="24"/>
              </w:rPr>
              <w:t>扣分细则</w:t>
            </w:r>
          </w:p>
          <w:p>
            <w:pPr>
              <w:pStyle w:val="null3"/>
              <w:jc w:val="left"/>
            </w:pPr>
            <w:r>
              <w:rPr>
                <w:rFonts w:ascii="仿宋_GB2312" w:hAnsi="仿宋_GB2312" w:cs="仿宋_GB2312" w:eastAsia="仿宋_GB2312"/>
                <w:sz w:val="24"/>
              </w:rPr>
              <w:t>供应商在服务过程中出现以下情形，按标准从季度基准分中扣除相应分数：</w:t>
            </w:r>
          </w:p>
          <w:p>
            <w:pPr>
              <w:pStyle w:val="null3"/>
              <w:jc w:val="left"/>
            </w:pPr>
            <w:r>
              <w:rPr>
                <w:rFonts w:ascii="仿宋_GB2312" w:hAnsi="仿宋_GB2312" w:cs="仿宋_GB2312" w:eastAsia="仿宋_GB2312"/>
                <w:sz w:val="24"/>
              </w:rPr>
              <w:t>团队与设施管理：</w:t>
            </w:r>
          </w:p>
          <w:p>
            <w:pPr>
              <w:pStyle w:val="null3"/>
              <w:jc w:val="left"/>
            </w:pPr>
            <w:r>
              <w:rPr>
                <w:rFonts w:ascii="仿宋_GB2312" w:hAnsi="仿宋_GB2312" w:cs="仿宋_GB2312" w:eastAsia="仿宋_GB2312"/>
                <w:sz w:val="24"/>
              </w:rPr>
              <w:t>未按合同要求足额配置专职服务团队人员（项目经理、宣传讲师、信息专员、指导员、客服专员）或未经采购人同意擅自更换人员的，每少</w:t>
            </w:r>
            <w:r>
              <w:rPr>
                <w:rFonts w:ascii="仿宋_GB2312" w:hAnsi="仿宋_GB2312" w:cs="仿宋_GB2312" w:eastAsia="仿宋_GB2312"/>
                <w:sz w:val="24"/>
              </w:rPr>
              <w:t>1</w:t>
            </w:r>
            <w:r>
              <w:rPr>
                <w:rFonts w:ascii="仿宋_GB2312" w:hAnsi="仿宋_GB2312" w:cs="仿宋_GB2312" w:eastAsia="仿宋_GB2312"/>
                <w:sz w:val="24"/>
              </w:rPr>
              <w:t>人，每人每次扣</w:t>
            </w:r>
            <w:r>
              <w:rPr>
                <w:rFonts w:ascii="仿宋_GB2312" w:hAnsi="仿宋_GB2312" w:cs="仿宋_GB2312" w:eastAsia="仿宋_GB2312"/>
                <w:sz w:val="24"/>
              </w:rPr>
              <w:t>5</w:t>
            </w:r>
            <w:r>
              <w:rPr>
                <w:rFonts w:ascii="仿宋_GB2312" w:hAnsi="仿宋_GB2312" w:cs="仿宋_GB2312" w:eastAsia="仿宋_GB2312"/>
                <w:sz w:val="24"/>
              </w:rPr>
              <w:t>分；每违规更换</w:t>
            </w:r>
            <w:r>
              <w:rPr>
                <w:rFonts w:ascii="仿宋_GB2312" w:hAnsi="仿宋_GB2312" w:cs="仿宋_GB2312" w:eastAsia="仿宋_GB2312"/>
                <w:sz w:val="24"/>
              </w:rPr>
              <w:t>1</w:t>
            </w:r>
            <w:r>
              <w:rPr>
                <w:rFonts w:ascii="仿宋_GB2312" w:hAnsi="仿宋_GB2312" w:cs="仿宋_GB2312" w:eastAsia="仿宋_GB2312"/>
                <w:sz w:val="24"/>
              </w:rPr>
              <w:t>人，每人每次扣</w:t>
            </w:r>
            <w:r>
              <w:rPr>
                <w:rFonts w:ascii="仿宋_GB2312" w:hAnsi="仿宋_GB2312" w:cs="仿宋_GB2312" w:eastAsia="仿宋_GB2312"/>
                <w:sz w:val="24"/>
              </w:rPr>
              <w:t>3</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未在指定区域设立符合要求的固定办公场所，或未配备必要办公设施设备的，每月每次扣</w:t>
            </w:r>
            <w:r>
              <w:rPr>
                <w:rFonts w:ascii="仿宋_GB2312" w:hAnsi="仿宋_GB2312" w:cs="仿宋_GB2312" w:eastAsia="仿宋_GB2312"/>
                <w:sz w:val="24"/>
              </w:rPr>
              <w:t>10</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未按承诺配备专用工作车辆的，每月每次扣</w:t>
            </w:r>
            <w:r>
              <w:rPr>
                <w:rFonts w:ascii="仿宋_GB2312" w:hAnsi="仿宋_GB2312" w:cs="仿宋_GB2312" w:eastAsia="仿宋_GB2312"/>
                <w:sz w:val="24"/>
              </w:rPr>
              <w:t>10</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宣传培训活动：</w:t>
            </w:r>
          </w:p>
          <w:p>
            <w:pPr>
              <w:pStyle w:val="null3"/>
              <w:jc w:val="left"/>
            </w:pPr>
            <w:r>
              <w:rPr>
                <w:rFonts w:ascii="仿宋_GB2312" w:hAnsi="仿宋_GB2312" w:cs="仿宋_GB2312" w:eastAsia="仿宋_GB2312"/>
                <w:sz w:val="24"/>
              </w:rPr>
              <w:t>未按月制定并提交宣传活动方案的，每次扣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月度线下志愿服务活动、</w:t>
            </w:r>
            <w:r>
              <w:rPr>
                <w:rFonts w:ascii="仿宋_GB2312" w:hAnsi="仿宋_GB2312" w:cs="仿宋_GB2312" w:eastAsia="仿宋_GB2312"/>
                <w:sz w:val="24"/>
              </w:rPr>
              <w:t>“四库一线”科普教育活动场次、单场参与人数未达要求，每少</w:t>
            </w:r>
            <w:r>
              <w:rPr>
                <w:rFonts w:ascii="仿宋_GB2312" w:hAnsi="仿宋_GB2312" w:cs="仿宋_GB2312" w:eastAsia="仿宋_GB2312"/>
                <w:sz w:val="24"/>
              </w:rPr>
              <w:t>1</w:t>
            </w:r>
            <w:r>
              <w:rPr>
                <w:rFonts w:ascii="仿宋_GB2312" w:hAnsi="仿宋_GB2312" w:cs="仿宋_GB2312" w:eastAsia="仿宋_GB2312"/>
                <w:sz w:val="24"/>
              </w:rPr>
              <w:t>场或每场人数不足扣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季度线上互动活动场次、单场参与人数未达要求，每少</w:t>
            </w:r>
            <w:r>
              <w:rPr>
                <w:rFonts w:ascii="仿宋_GB2312" w:hAnsi="仿宋_GB2312" w:cs="仿宋_GB2312" w:eastAsia="仿宋_GB2312"/>
                <w:sz w:val="24"/>
              </w:rPr>
              <w:t>1</w:t>
            </w:r>
            <w:r>
              <w:rPr>
                <w:rFonts w:ascii="仿宋_GB2312" w:hAnsi="仿宋_GB2312" w:cs="仿宋_GB2312" w:eastAsia="仿宋_GB2312"/>
                <w:sz w:val="24"/>
              </w:rPr>
              <w:t>场扣</w:t>
            </w:r>
            <w:r>
              <w:rPr>
                <w:rFonts w:ascii="仿宋_GB2312" w:hAnsi="仿宋_GB2312" w:cs="仿宋_GB2312" w:eastAsia="仿宋_GB2312"/>
                <w:sz w:val="24"/>
              </w:rPr>
              <w:t>15</w:t>
            </w:r>
            <w:r>
              <w:rPr>
                <w:rFonts w:ascii="仿宋_GB2312" w:hAnsi="仿宋_GB2312" w:cs="仿宋_GB2312" w:eastAsia="仿宋_GB2312"/>
                <w:sz w:val="24"/>
              </w:rPr>
              <w:t>分，人数不足每次扣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年度大型线下主题活动、</w:t>
            </w:r>
            <w:r>
              <w:rPr>
                <w:rFonts w:ascii="仿宋_GB2312" w:hAnsi="仿宋_GB2312" w:cs="仿宋_GB2312" w:eastAsia="仿宋_GB2312"/>
                <w:sz w:val="24"/>
              </w:rPr>
              <w:t>“垃圾分类宣传周”专项活动未完成，每少</w:t>
            </w:r>
            <w:r>
              <w:rPr>
                <w:rFonts w:ascii="仿宋_GB2312" w:hAnsi="仿宋_GB2312" w:cs="仿宋_GB2312" w:eastAsia="仿宋_GB2312"/>
                <w:sz w:val="24"/>
              </w:rPr>
              <w:t>1</w:t>
            </w:r>
            <w:r>
              <w:rPr>
                <w:rFonts w:ascii="仿宋_GB2312" w:hAnsi="仿宋_GB2312" w:cs="仿宋_GB2312" w:eastAsia="仿宋_GB2312"/>
                <w:sz w:val="24"/>
              </w:rPr>
              <w:t>场扣</w:t>
            </w:r>
            <w:r>
              <w:rPr>
                <w:rFonts w:ascii="仿宋_GB2312" w:hAnsi="仿宋_GB2312" w:cs="仿宋_GB2312" w:eastAsia="仿宋_GB2312"/>
                <w:sz w:val="24"/>
              </w:rPr>
              <w:t>50</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活动宣传品价值未达到合同约定标准的，每次扣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活动资料（如活动方案、高清照片、签到表、信息简报）未按时提交或缺失不全的，每次扣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活动形式单一、群众参与度低的，每次扣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媒体宣传与信息报送：</w:t>
            </w:r>
          </w:p>
          <w:p>
            <w:pPr>
              <w:pStyle w:val="null3"/>
              <w:jc w:val="left"/>
            </w:pPr>
            <w:r>
              <w:rPr>
                <w:rFonts w:ascii="仿宋_GB2312" w:hAnsi="仿宋_GB2312" w:cs="仿宋_GB2312" w:eastAsia="仿宋_GB2312"/>
                <w:sz w:val="24"/>
              </w:rPr>
              <w:t>非专题报道的，每次扣</w:t>
            </w:r>
            <w:r>
              <w:rPr>
                <w:rFonts w:ascii="仿宋_GB2312" w:hAnsi="仿宋_GB2312" w:cs="仿宋_GB2312" w:eastAsia="仿宋_GB2312"/>
                <w:sz w:val="24"/>
              </w:rPr>
              <w:t>20</w:t>
            </w:r>
            <w:r>
              <w:rPr>
                <w:rFonts w:ascii="仿宋_GB2312" w:hAnsi="仿宋_GB2312" w:cs="仿宋_GB2312" w:eastAsia="仿宋_GB2312"/>
                <w:sz w:val="24"/>
              </w:rPr>
              <w:t>分；报道字数不达标的，每少</w:t>
            </w:r>
            <w:r>
              <w:rPr>
                <w:rFonts w:ascii="仿宋_GB2312" w:hAnsi="仿宋_GB2312" w:cs="仿宋_GB2312" w:eastAsia="仿宋_GB2312"/>
                <w:sz w:val="24"/>
              </w:rPr>
              <w:t>10</w:t>
            </w:r>
            <w:r>
              <w:rPr>
                <w:rFonts w:ascii="仿宋_GB2312" w:hAnsi="仿宋_GB2312" w:cs="仿宋_GB2312" w:eastAsia="仿宋_GB2312"/>
                <w:sz w:val="24"/>
              </w:rPr>
              <w:t>个字，扣</w:t>
            </w:r>
            <w:r>
              <w:rPr>
                <w:rFonts w:ascii="仿宋_GB2312" w:hAnsi="仿宋_GB2312" w:cs="仿宋_GB2312" w:eastAsia="仿宋_GB2312"/>
                <w:sz w:val="24"/>
              </w:rPr>
              <w:t>2</w:t>
            </w:r>
            <w:r>
              <w:rPr>
                <w:rFonts w:ascii="仿宋_GB2312" w:hAnsi="仿宋_GB2312" w:cs="仿宋_GB2312" w:eastAsia="仿宋_GB2312"/>
                <w:sz w:val="24"/>
              </w:rPr>
              <w:t>分，每次最多扣</w:t>
            </w:r>
            <w:r>
              <w:rPr>
                <w:rFonts w:ascii="仿宋_GB2312" w:hAnsi="仿宋_GB2312" w:cs="仿宋_GB2312" w:eastAsia="仿宋_GB2312"/>
                <w:sz w:val="24"/>
              </w:rPr>
              <w:t>20</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未按时提交主流媒体报道印证材料的，一次性扣</w:t>
            </w:r>
            <w:r>
              <w:rPr>
                <w:rFonts w:ascii="仿宋_GB2312" w:hAnsi="仿宋_GB2312" w:cs="仿宋_GB2312" w:eastAsia="仿宋_GB2312"/>
                <w:sz w:val="24"/>
              </w:rPr>
              <w:t>5</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每月协助采购人推送发布的高质量工作信息或推文少于</w:t>
            </w:r>
            <w:r>
              <w:rPr>
                <w:rFonts w:ascii="仿宋_GB2312" w:hAnsi="仿宋_GB2312" w:cs="仿宋_GB2312" w:eastAsia="仿宋_GB2312"/>
                <w:sz w:val="24"/>
              </w:rPr>
              <w:t>2</w:t>
            </w:r>
            <w:r>
              <w:rPr>
                <w:rFonts w:ascii="仿宋_GB2312" w:hAnsi="仿宋_GB2312" w:cs="仿宋_GB2312" w:eastAsia="仿宋_GB2312"/>
                <w:sz w:val="24"/>
              </w:rPr>
              <w:t>篇，每少</w:t>
            </w:r>
            <w:r>
              <w:rPr>
                <w:rFonts w:ascii="仿宋_GB2312" w:hAnsi="仿宋_GB2312" w:cs="仿宋_GB2312" w:eastAsia="仿宋_GB2312"/>
                <w:sz w:val="24"/>
              </w:rPr>
              <w:t>1</w:t>
            </w:r>
            <w:r>
              <w:rPr>
                <w:rFonts w:ascii="仿宋_GB2312" w:hAnsi="仿宋_GB2312" w:cs="仿宋_GB2312" w:eastAsia="仿宋_GB2312"/>
                <w:sz w:val="24"/>
              </w:rPr>
              <w:t>篇扣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常态化指导与协调：</w:t>
            </w:r>
          </w:p>
          <w:p>
            <w:pPr>
              <w:pStyle w:val="null3"/>
              <w:jc w:val="left"/>
            </w:pPr>
            <w:r>
              <w:rPr>
                <w:rFonts w:ascii="仿宋_GB2312" w:hAnsi="仿宋_GB2312" w:cs="仿宋_GB2312" w:eastAsia="仿宋_GB2312"/>
                <w:sz w:val="24"/>
              </w:rPr>
              <w:t>未按要求对垃圾分类管理责任人进行日常指导督促，或未配合采购人开展检查、巡查、投诉处理等工作的，每次扣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分布式可回收物投放点：</w:t>
            </w:r>
          </w:p>
          <w:p>
            <w:pPr>
              <w:pStyle w:val="null3"/>
              <w:jc w:val="left"/>
            </w:pPr>
            <w:r>
              <w:rPr>
                <w:rFonts w:ascii="仿宋_GB2312" w:hAnsi="仿宋_GB2312" w:cs="仿宋_GB2312" w:eastAsia="仿宋_GB2312"/>
                <w:sz w:val="24"/>
              </w:rPr>
              <w:t>在用户投放审核、清运调度、用户提现及积分咨询等后台服务环节履职不到位的，每次扣</w:t>
            </w:r>
            <w:r>
              <w:rPr>
                <w:rFonts w:ascii="仿宋_GB2312" w:hAnsi="仿宋_GB2312" w:cs="仿宋_GB2312" w:eastAsia="仿宋_GB2312"/>
                <w:sz w:val="24"/>
              </w:rPr>
              <w:t>1</w:t>
            </w:r>
            <w:r>
              <w:rPr>
                <w:rFonts w:ascii="仿宋_GB2312" w:hAnsi="仿宋_GB2312" w:cs="仿宋_GB2312" w:eastAsia="仿宋_GB2312"/>
                <w:sz w:val="24"/>
              </w:rPr>
              <w:t>分；若造成不良影响，每次扣</w:t>
            </w:r>
            <w:r>
              <w:rPr>
                <w:rFonts w:ascii="仿宋_GB2312" w:hAnsi="仿宋_GB2312" w:cs="仿宋_GB2312" w:eastAsia="仿宋_GB2312"/>
                <w:sz w:val="24"/>
              </w:rPr>
              <w:t>2</w:t>
            </w:r>
            <w:r>
              <w:rPr>
                <w:rFonts w:ascii="仿宋_GB2312" w:hAnsi="仿宋_GB2312" w:cs="仿宋_GB2312" w:eastAsia="仿宋_GB2312"/>
                <w:sz w:val="24"/>
              </w:rPr>
              <w:t>分。在日常巡检、故障排查、数据台账维护及设备电费结算等现场运维环节工作不力的，每次扣</w:t>
            </w:r>
            <w:r>
              <w:rPr>
                <w:rFonts w:ascii="仿宋_GB2312" w:hAnsi="仿宋_GB2312" w:cs="仿宋_GB2312" w:eastAsia="仿宋_GB2312"/>
                <w:sz w:val="24"/>
              </w:rPr>
              <w:t>1</w:t>
            </w:r>
            <w:r>
              <w:rPr>
                <w:rFonts w:ascii="仿宋_GB2312" w:hAnsi="仿宋_GB2312" w:cs="仿宋_GB2312" w:eastAsia="仿宋_GB2312"/>
                <w:sz w:val="24"/>
              </w:rPr>
              <w:t>分；若造成后果，每次扣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人员与内部管理：</w:t>
            </w:r>
          </w:p>
          <w:p>
            <w:pPr>
              <w:pStyle w:val="null3"/>
              <w:jc w:val="left"/>
            </w:pPr>
            <w:r>
              <w:rPr>
                <w:rFonts w:ascii="仿宋_GB2312" w:hAnsi="仿宋_GB2312" w:cs="仿宋_GB2312" w:eastAsia="仿宋_GB2312"/>
                <w:sz w:val="24"/>
              </w:rPr>
              <w:t>未提供月度人员培训记录、人员考勤记录的，每月每项扣</w:t>
            </w:r>
            <w:r>
              <w:rPr>
                <w:rFonts w:ascii="仿宋_GB2312" w:hAnsi="仿宋_GB2312" w:cs="仿宋_GB2312" w:eastAsia="仿宋_GB2312"/>
                <w:sz w:val="24"/>
              </w:rPr>
              <w:t>3</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采购人组织的业务能力测评，参考人员成绩低于</w:t>
            </w:r>
            <w:r>
              <w:rPr>
                <w:rFonts w:ascii="仿宋_GB2312" w:hAnsi="仿宋_GB2312" w:cs="仿宋_GB2312" w:eastAsia="仿宋_GB2312"/>
                <w:sz w:val="24"/>
              </w:rPr>
              <w:t>80</w:t>
            </w:r>
            <w:r>
              <w:rPr>
                <w:rFonts w:ascii="仿宋_GB2312" w:hAnsi="仿宋_GB2312" w:cs="仿宋_GB2312" w:eastAsia="仿宋_GB2312"/>
                <w:sz w:val="24"/>
              </w:rPr>
              <w:t>分，每人次扣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工作配合与响应：</w:t>
            </w:r>
          </w:p>
          <w:p>
            <w:pPr>
              <w:pStyle w:val="null3"/>
              <w:jc w:val="left"/>
            </w:pPr>
            <w:r>
              <w:rPr>
                <w:rFonts w:ascii="仿宋_GB2312" w:hAnsi="仿宋_GB2312" w:cs="仿宋_GB2312" w:eastAsia="仿宋_GB2312"/>
                <w:sz w:val="24"/>
              </w:rPr>
              <w:t>对采购人临时交办的工作响应迟缓、执行不力或效果不佳的，每次扣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在迎接上级检查、暗访、测评中，因供应商工作不力导致青白江区被扣分的，每次扣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供应商服务被区级及以上部门、媒体曝光或群众有效投诉，经核实确属供应商责任的，群众有效投诉每次扣</w:t>
            </w:r>
            <w:r>
              <w:rPr>
                <w:rFonts w:ascii="仿宋_GB2312" w:hAnsi="仿宋_GB2312" w:cs="仿宋_GB2312" w:eastAsia="仿宋_GB2312"/>
                <w:sz w:val="24"/>
              </w:rPr>
              <w:t>2</w:t>
            </w:r>
            <w:r>
              <w:rPr>
                <w:rFonts w:ascii="仿宋_GB2312" w:hAnsi="仿宋_GB2312" w:cs="仿宋_GB2312" w:eastAsia="仿宋_GB2312"/>
                <w:sz w:val="24"/>
              </w:rPr>
              <w:t>分；区级部门或媒体曝光的扣</w:t>
            </w:r>
            <w:r>
              <w:rPr>
                <w:rFonts w:ascii="仿宋_GB2312" w:hAnsi="仿宋_GB2312" w:cs="仿宋_GB2312" w:eastAsia="仿宋_GB2312"/>
                <w:sz w:val="24"/>
              </w:rPr>
              <w:t>4</w:t>
            </w:r>
            <w:r>
              <w:rPr>
                <w:rFonts w:ascii="仿宋_GB2312" w:hAnsi="仿宋_GB2312" w:cs="仿宋_GB2312" w:eastAsia="仿宋_GB2312"/>
                <w:sz w:val="24"/>
              </w:rPr>
              <w:t>分；市级部门或媒体曝光的扣</w:t>
            </w:r>
            <w:r>
              <w:rPr>
                <w:rFonts w:ascii="仿宋_GB2312" w:hAnsi="仿宋_GB2312" w:cs="仿宋_GB2312" w:eastAsia="仿宋_GB2312"/>
                <w:sz w:val="24"/>
              </w:rPr>
              <w:t>6</w:t>
            </w:r>
            <w:r>
              <w:rPr>
                <w:rFonts w:ascii="仿宋_GB2312" w:hAnsi="仿宋_GB2312" w:cs="仿宋_GB2312" w:eastAsia="仿宋_GB2312"/>
                <w:sz w:val="24"/>
              </w:rPr>
              <w:t>分；省级部门或媒体曝光的扣</w:t>
            </w:r>
            <w:r>
              <w:rPr>
                <w:rFonts w:ascii="仿宋_GB2312" w:hAnsi="仿宋_GB2312" w:cs="仿宋_GB2312" w:eastAsia="仿宋_GB2312"/>
                <w:sz w:val="24"/>
              </w:rPr>
              <w:t>8</w:t>
            </w:r>
            <w:r>
              <w:rPr>
                <w:rFonts w:ascii="仿宋_GB2312" w:hAnsi="仿宋_GB2312" w:cs="仿宋_GB2312" w:eastAsia="仿宋_GB2312"/>
                <w:sz w:val="24"/>
              </w:rPr>
              <w:t>分；中央级部门或媒体曝光的扣</w:t>
            </w:r>
            <w:r>
              <w:rPr>
                <w:rFonts w:ascii="仿宋_GB2312" w:hAnsi="仿宋_GB2312" w:cs="仿宋_GB2312" w:eastAsia="仿宋_GB2312"/>
                <w:sz w:val="24"/>
              </w:rPr>
              <w:t>10</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第七条</w:t>
            </w:r>
            <w:r>
              <w:rPr>
                <w:rFonts w:ascii="仿宋_GB2312" w:hAnsi="仿宋_GB2312" w:cs="仿宋_GB2312" w:eastAsia="仿宋_GB2312"/>
                <w:sz w:val="24"/>
              </w:rPr>
              <w:t>加分细则</w:t>
            </w:r>
          </w:p>
          <w:p>
            <w:pPr>
              <w:pStyle w:val="null3"/>
              <w:jc w:val="left"/>
            </w:pPr>
            <w:r>
              <w:rPr>
                <w:rFonts w:ascii="仿宋_GB2312" w:hAnsi="仿宋_GB2312" w:cs="仿宋_GB2312" w:eastAsia="仿宋_GB2312"/>
                <w:sz w:val="24"/>
              </w:rPr>
              <w:t>供应商在以下方面表现突出，经采购方审核认定，可给予加分：</w:t>
            </w:r>
          </w:p>
          <w:p>
            <w:pPr>
              <w:pStyle w:val="null3"/>
              <w:jc w:val="left"/>
            </w:pPr>
            <w:r>
              <w:rPr>
                <w:rFonts w:ascii="仿宋_GB2312" w:hAnsi="仿宋_GB2312" w:cs="仿宋_GB2312" w:eastAsia="仿宋_GB2312"/>
                <w:sz w:val="24"/>
              </w:rPr>
              <w:t>在正常工作时间外，有效完成突发事件应急处置任务的，每次加</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青白江区垃圾分类宣传推文或工作成效，被中央、国务院、部委、省委省政府、市委市政府转载或肯定的，经判定，属于供应商促成的，中央级每次加</w:t>
            </w:r>
            <w:r>
              <w:rPr>
                <w:rFonts w:ascii="仿宋_GB2312" w:hAnsi="仿宋_GB2312" w:cs="仿宋_GB2312" w:eastAsia="仿宋_GB2312"/>
                <w:sz w:val="24"/>
              </w:rPr>
              <w:t>15</w:t>
            </w:r>
            <w:r>
              <w:rPr>
                <w:rFonts w:ascii="仿宋_GB2312" w:hAnsi="仿宋_GB2312" w:cs="仿宋_GB2312" w:eastAsia="仿宋_GB2312"/>
                <w:sz w:val="24"/>
              </w:rPr>
              <w:t>分，省级每次加</w:t>
            </w:r>
            <w:r>
              <w:rPr>
                <w:rFonts w:ascii="仿宋_GB2312" w:hAnsi="仿宋_GB2312" w:cs="仿宋_GB2312" w:eastAsia="仿宋_GB2312"/>
                <w:sz w:val="24"/>
              </w:rPr>
              <w:t>10</w:t>
            </w:r>
            <w:r>
              <w:rPr>
                <w:rFonts w:ascii="仿宋_GB2312" w:hAnsi="仿宋_GB2312" w:cs="仿宋_GB2312" w:eastAsia="仿宋_GB2312"/>
                <w:sz w:val="24"/>
              </w:rPr>
              <w:t>分，市级每次加</w:t>
            </w:r>
            <w:r>
              <w:rPr>
                <w:rFonts w:ascii="仿宋_GB2312" w:hAnsi="仿宋_GB2312" w:cs="仿宋_GB2312" w:eastAsia="仿宋_GB2312"/>
                <w:sz w:val="24"/>
              </w:rPr>
              <w:t>5</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在上级各项检查、测评中，主要由供应商承担的工作受到表扬的，每次加</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邀请具备副教授</w:t>
            </w:r>
            <w:r>
              <w:rPr>
                <w:rFonts w:ascii="仿宋_GB2312" w:hAnsi="仿宋_GB2312" w:cs="仿宋_GB2312" w:eastAsia="仿宋_GB2312"/>
                <w:sz w:val="24"/>
              </w:rPr>
              <w:t>/</w:t>
            </w:r>
            <w:r>
              <w:rPr>
                <w:rFonts w:ascii="仿宋_GB2312" w:hAnsi="仿宋_GB2312" w:cs="仿宋_GB2312" w:eastAsia="仿宋_GB2312"/>
                <w:sz w:val="24"/>
              </w:rPr>
              <w:t>副高级职称及以上资质的专家进行垃圾分类专题授课的，每次加</w:t>
            </w:r>
            <w:r>
              <w:rPr>
                <w:rFonts w:ascii="仿宋_GB2312" w:hAnsi="仿宋_GB2312" w:cs="仿宋_GB2312" w:eastAsia="仿宋_GB2312"/>
                <w:sz w:val="24"/>
              </w:rPr>
              <w:t>2</w:t>
            </w:r>
            <w:r>
              <w:rPr>
                <w:rFonts w:ascii="仿宋_GB2312" w:hAnsi="仿宋_GB2312" w:cs="仿宋_GB2312" w:eastAsia="仿宋_GB2312"/>
                <w:sz w:val="24"/>
              </w:rPr>
              <w:t>分（本项每年累计不超过</w:t>
            </w:r>
            <w:r>
              <w:rPr>
                <w:rFonts w:ascii="仿宋_GB2312" w:hAnsi="仿宋_GB2312" w:cs="仿宋_GB2312" w:eastAsia="仿宋_GB2312"/>
                <w:sz w:val="24"/>
              </w:rPr>
              <w:t>4</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（加分事项需由供应商主动申报，并经采购人规定程序审议通过后生效。）</w:t>
            </w:r>
          </w:p>
          <w:p>
            <w:pPr>
              <w:pStyle w:val="null3"/>
              <w:jc w:val="left"/>
            </w:pPr>
            <w:r>
              <w:rPr>
                <w:rFonts w:ascii="仿宋_GB2312" w:hAnsi="仿宋_GB2312" w:cs="仿宋_GB2312" w:eastAsia="仿宋_GB2312"/>
                <w:sz w:val="24"/>
              </w:rPr>
              <w:t>第八条</w:t>
            </w:r>
            <w:r>
              <w:rPr>
                <w:rFonts w:ascii="仿宋_GB2312" w:hAnsi="仿宋_GB2312" w:cs="仿宋_GB2312" w:eastAsia="仿宋_GB2312"/>
                <w:sz w:val="24"/>
              </w:rPr>
              <w:t>重大事项扣分</w:t>
            </w:r>
          </w:p>
          <w:p>
            <w:pPr>
              <w:pStyle w:val="null3"/>
              <w:jc w:val="left"/>
            </w:pPr>
            <w:r>
              <w:rPr>
                <w:rFonts w:ascii="仿宋_GB2312" w:hAnsi="仿宋_GB2312" w:cs="仿宋_GB2312" w:eastAsia="仿宋_GB2312"/>
                <w:sz w:val="24"/>
              </w:rPr>
              <w:t>服务期间，出现服务人员消极怠工、罢工等严重事件，导致服务质量严重不达标或受到上级严肃批评的，一次扣</w:t>
            </w:r>
            <w:r>
              <w:rPr>
                <w:rFonts w:ascii="仿宋_GB2312" w:hAnsi="仿宋_GB2312" w:cs="仿宋_GB2312" w:eastAsia="仿宋_GB2312"/>
                <w:sz w:val="24"/>
              </w:rPr>
              <w:t>10</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第三章</w:t>
            </w:r>
            <w:r>
              <w:rPr>
                <w:rFonts w:ascii="仿宋_GB2312" w:hAnsi="仿宋_GB2312" w:cs="仿宋_GB2312" w:eastAsia="仿宋_GB2312"/>
                <w:sz w:val="24"/>
              </w:rPr>
              <w:t>考核实施与结果运用</w:t>
            </w:r>
          </w:p>
          <w:p>
            <w:pPr>
              <w:pStyle w:val="null3"/>
              <w:jc w:val="left"/>
            </w:pPr>
            <w:r>
              <w:rPr>
                <w:rFonts w:ascii="仿宋_GB2312" w:hAnsi="仿宋_GB2312" w:cs="仿宋_GB2312" w:eastAsia="仿宋_GB2312"/>
                <w:sz w:val="24"/>
              </w:rPr>
              <w:t>第九条</w:t>
            </w:r>
            <w:r>
              <w:rPr>
                <w:rFonts w:ascii="仿宋_GB2312" w:hAnsi="仿宋_GB2312" w:cs="仿宋_GB2312" w:eastAsia="仿宋_GB2312"/>
                <w:sz w:val="24"/>
              </w:rPr>
              <w:t>考核方式</w:t>
            </w:r>
          </w:p>
          <w:p>
            <w:pPr>
              <w:pStyle w:val="null3"/>
              <w:jc w:val="left"/>
            </w:pPr>
            <w:r>
              <w:rPr>
                <w:rFonts w:ascii="仿宋_GB2312" w:hAnsi="仿宋_GB2312" w:cs="仿宋_GB2312" w:eastAsia="仿宋_GB2312"/>
                <w:sz w:val="24"/>
              </w:rPr>
              <w:t>采取定期考核与日常随机考核相结合的方式。定期考核每季度进行一次综合性评定；日常考核由采购人根据工作需要随时进行。</w:t>
            </w:r>
          </w:p>
          <w:p>
            <w:pPr>
              <w:pStyle w:val="null3"/>
              <w:jc w:val="left"/>
            </w:pPr>
            <w:r>
              <w:rPr>
                <w:rFonts w:ascii="仿宋_GB2312" w:hAnsi="仿宋_GB2312" w:cs="仿宋_GB2312" w:eastAsia="仿宋_GB2312"/>
                <w:sz w:val="24"/>
              </w:rPr>
              <w:t>第十条</w:t>
            </w:r>
            <w:r>
              <w:rPr>
                <w:rFonts w:ascii="仿宋_GB2312" w:hAnsi="仿宋_GB2312" w:cs="仿宋_GB2312" w:eastAsia="仿宋_GB2312"/>
                <w:sz w:val="24"/>
              </w:rPr>
              <w:t>考核计分</w:t>
            </w:r>
          </w:p>
          <w:p>
            <w:pPr>
              <w:pStyle w:val="null3"/>
              <w:jc w:val="left"/>
            </w:pPr>
            <w:r>
              <w:rPr>
                <w:rFonts w:ascii="仿宋_GB2312" w:hAnsi="仿宋_GB2312" w:cs="仿宋_GB2312" w:eastAsia="仿宋_GB2312"/>
                <w:sz w:val="24"/>
              </w:rPr>
              <w:t>季度综合评定考核得分计算公式为：</w:t>
            </w:r>
          </w:p>
          <w:p>
            <w:pPr>
              <w:pStyle w:val="null3"/>
              <w:jc w:val="left"/>
            </w:pPr>
            <w:r>
              <w:rPr>
                <w:rFonts w:ascii="仿宋_GB2312" w:hAnsi="仿宋_GB2312" w:cs="仿宋_GB2312" w:eastAsia="仿宋_GB2312"/>
                <w:sz w:val="24"/>
              </w:rPr>
              <w:t>季度综合评定考核得分</w:t>
            </w:r>
            <w:r>
              <w:rPr>
                <w:rFonts w:ascii="仿宋_GB2312" w:hAnsi="仿宋_GB2312" w:cs="仿宋_GB2312" w:eastAsia="仿宋_GB2312"/>
                <w:sz w:val="24"/>
              </w:rPr>
              <w:t>= 100</w:t>
            </w:r>
            <w:r>
              <w:rPr>
                <w:rFonts w:ascii="仿宋_GB2312" w:hAnsi="仿宋_GB2312" w:cs="仿宋_GB2312" w:eastAsia="仿宋_GB2312"/>
                <w:sz w:val="24"/>
              </w:rPr>
              <w:t xml:space="preserve">分 </w:t>
            </w:r>
            <w:r>
              <w:rPr>
                <w:rFonts w:ascii="仿宋_GB2312" w:hAnsi="仿宋_GB2312" w:cs="仿宋_GB2312" w:eastAsia="仿宋_GB2312"/>
                <w:sz w:val="24"/>
              </w:rPr>
              <w:t xml:space="preserve">- </w:t>
            </w:r>
            <w:r>
              <w:rPr>
                <w:rFonts w:ascii="仿宋_GB2312" w:hAnsi="仿宋_GB2312" w:cs="仿宋_GB2312" w:eastAsia="仿宋_GB2312"/>
                <w:sz w:val="24"/>
              </w:rPr>
              <w:t xml:space="preserve">季度累计扣分总值 </w:t>
            </w:r>
            <w:r>
              <w:rPr>
                <w:rFonts w:ascii="仿宋_GB2312" w:hAnsi="仿宋_GB2312" w:cs="仿宋_GB2312" w:eastAsia="仿宋_GB2312"/>
                <w:sz w:val="24"/>
              </w:rPr>
              <w:t xml:space="preserve">+ </w:t>
            </w:r>
            <w:r>
              <w:rPr>
                <w:rFonts w:ascii="仿宋_GB2312" w:hAnsi="仿宋_GB2312" w:cs="仿宋_GB2312" w:eastAsia="仿宋_GB2312"/>
                <w:sz w:val="24"/>
              </w:rPr>
              <w:t>季度累计加分总值</w:t>
            </w:r>
          </w:p>
          <w:p>
            <w:pPr>
              <w:pStyle w:val="null3"/>
              <w:jc w:val="left"/>
            </w:pPr>
            <w:r>
              <w:rPr>
                <w:rFonts w:ascii="仿宋_GB2312" w:hAnsi="仿宋_GB2312" w:cs="仿宋_GB2312" w:eastAsia="仿宋_GB2312"/>
                <w:sz w:val="24"/>
              </w:rPr>
              <w:t>第十一条</w:t>
            </w:r>
            <w:r>
              <w:rPr>
                <w:rFonts w:ascii="仿宋_GB2312" w:hAnsi="仿宋_GB2312" w:cs="仿宋_GB2312" w:eastAsia="仿宋_GB2312"/>
                <w:sz w:val="24"/>
              </w:rPr>
              <w:t>结果运用</w:t>
            </w:r>
          </w:p>
          <w:p>
            <w:pPr>
              <w:pStyle w:val="null3"/>
              <w:jc w:val="left"/>
            </w:pPr>
            <w:r>
              <w:rPr>
                <w:rFonts w:ascii="仿宋_GB2312" w:hAnsi="仿宋_GB2312" w:cs="仿宋_GB2312" w:eastAsia="仿宋_GB2312"/>
                <w:sz w:val="24"/>
              </w:rPr>
              <w:t>考核得分直接与服务经费支付挂钩。每扣减或奖励</w:t>
            </w:r>
            <w:r>
              <w:rPr>
                <w:rFonts w:ascii="仿宋_GB2312" w:hAnsi="仿宋_GB2312" w:cs="仿宋_GB2312" w:eastAsia="仿宋_GB2312"/>
                <w:sz w:val="24"/>
              </w:rPr>
              <w:t>1</w:t>
            </w:r>
            <w:r>
              <w:rPr>
                <w:rFonts w:ascii="仿宋_GB2312" w:hAnsi="仿宋_GB2312" w:cs="仿宋_GB2312" w:eastAsia="仿宋_GB2312"/>
                <w:sz w:val="24"/>
              </w:rPr>
              <w:t>分，对应扣减或奖励服务经费人民币</w:t>
            </w:r>
            <w:r>
              <w:rPr>
                <w:rFonts w:ascii="仿宋_GB2312" w:hAnsi="仿宋_GB2312" w:cs="仿宋_GB2312" w:eastAsia="仿宋_GB2312"/>
                <w:sz w:val="24"/>
              </w:rPr>
              <w:t>1000</w:t>
            </w:r>
            <w:r>
              <w:rPr>
                <w:rFonts w:ascii="仿宋_GB2312" w:hAnsi="仿宋_GB2312" w:cs="仿宋_GB2312" w:eastAsia="仿宋_GB2312"/>
                <w:sz w:val="24"/>
              </w:rPr>
              <w:t>元。</w:t>
            </w:r>
          </w:p>
          <w:p>
            <w:pPr>
              <w:pStyle w:val="null3"/>
              <w:jc w:val="left"/>
            </w:pPr>
            <w:r>
              <w:rPr>
                <w:rFonts w:ascii="仿宋_GB2312" w:hAnsi="仿宋_GB2312" w:cs="仿宋_GB2312" w:eastAsia="仿宋_GB2312"/>
                <w:sz w:val="24"/>
              </w:rPr>
              <w:t>依据季度考核得分计算当季度经费浮动额，在当期服务费结算时予以兑现。</w:t>
            </w:r>
          </w:p>
          <w:p>
            <w:pPr>
              <w:pStyle w:val="null3"/>
              <w:jc w:val="left"/>
            </w:pPr>
            <w:r>
              <w:rPr>
                <w:rFonts w:ascii="仿宋_GB2312" w:hAnsi="仿宋_GB2312" w:cs="仿宋_GB2312" w:eastAsia="仿宋_GB2312"/>
                <w:sz w:val="24"/>
              </w:rPr>
              <w:t>单一年度内，经奖惩调整后的总支付金额不超过该项目年度的采购预算。</w:t>
            </w:r>
          </w:p>
          <w:p>
            <w:pPr>
              <w:pStyle w:val="null3"/>
              <w:jc w:val="left"/>
            </w:pPr>
            <w:r>
              <w:rPr>
                <w:rFonts w:ascii="仿宋_GB2312" w:hAnsi="仿宋_GB2312" w:cs="仿宋_GB2312" w:eastAsia="仿宋_GB2312"/>
                <w:sz w:val="24"/>
              </w:rPr>
              <w:t>连续两个季度考核得分低于</w:t>
            </w:r>
            <w:r>
              <w:rPr>
                <w:rFonts w:ascii="仿宋_GB2312" w:hAnsi="仿宋_GB2312" w:cs="仿宋_GB2312" w:eastAsia="仿宋_GB2312"/>
                <w:sz w:val="24"/>
              </w:rPr>
              <w:t>80</w:t>
            </w:r>
            <w:r>
              <w:rPr>
                <w:rFonts w:ascii="仿宋_GB2312" w:hAnsi="仿宋_GB2312" w:cs="仿宋_GB2312" w:eastAsia="仿宋_GB2312"/>
                <w:sz w:val="24"/>
              </w:rPr>
              <w:t>分，或出现重大责任事故、严重违约行为的，采购人有权依据合同约定追究违约责任，包括但不限于要求整改、扣除相应费用直至终止合同。</w:t>
            </w:r>
          </w:p>
          <w:p>
            <w:pPr>
              <w:pStyle w:val="null3"/>
              <w:jc w:val="left"/>
            </w:pPr>
            <w:r>
              <w:rPr>
                <w:rFonts w:ascii="仿宋_GB2312" w:hAnsi="仿宋_GB2312" w:cs="仿宋_GB2312" w:eastAsia="仿宋_GB2312"/>
                <w:sz w:val="24"/>
              </w:rPr>
              <w:t>第十二条</w:t>
            </w:r>
            <w:r>
              <w:rPr>
                <w:rFonts w:ascii="仿宋_GB2312" w:hAnsi="仿宋_GB2312" w:cs="仿宋_GB2312" w:eastAsia="仿宋_GB2312"/>
                <w:sz w:val="24"/>
              </w:rPr>
              <w:t>复核程序</w:t>
            </w:r>
          </w:p>
          <w:p>
            <w:pPr>
              <w:pStyle w:val="null3"/>
              <w:ind w:firstLine="480"/>
              <w:jc w:val="both"/>
            </w:pPr>
            <w:r>
              <w:rPr>
                <w:rFonts w:ascii="仿宋_GB2312" w:hAnsi="仿宋_GB2312" w:cs="仿宋_GB2312" w:eastAsia="仿宋_GB2312"/>
                <w:sz w:val="24"/>
              </w:rPr>
              <w:t>供应商如对考核结果有异议，可在收到考核结果通知后</w:t>
            </w:r>
            <w:r>
              <w:rPr>
                <w:rFonts w:ascii="仿宋_GB2312" w:hAnsi="仿宋_GB2312" w:cs="仿宋_GB2312" w:eastAsia="仿宋_GB2312"/>
                <w:sz w:val="24"/>
              </w:rPr>
              <w:t>5</w:t>
            </w:r>
            <w:r>
              <w:rPr>
                <w:rFonts w:ascii="仿宋_GB2312" w:hAnsi="仿宋_GB2312" w:cs="仿宋_GB2312" w:eastAsia="仿宋_GB2312"/>
                <w:sz w:val="24"/>
              </w:rPr>
              <w:t>个工作日内向采购人书面提出复核申请，并附相关证明材料。采购人将组织复核，复核结论为最终结论。</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1、本项目最高限价是1682000元/年，供应商报价不得超过最高限价。</w:t>
            </w:r>
          </w:p>
          <w:p>
            <w:pPr>
              <w:pStyle w:val="null3"/>
              <w:jc w:val="left"/>
            </w:pPr>
            <w:r>
              <w:rPr>
                <w:rFonts w:ascii="仿宋_GB2312" w:hAnsi="仿宋_GB2312" w:cs="仿宋_GB2312" w:eastAsia="仿宋_GB2312"/>
                <w:sz w:val="24"/>
              </w:rPr>
              <w:t>2、服务期：三年（计1095日历天），合同一年一签，年度验收合格后方可签订下一年合同。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jc w:val="left"/>
            </w:pPr>
            <w:r>
              <w:rPr>
                <w:rFonts w:ascii="仿宋_GB2312" w:hAnsi="仿宋_GB2312" w:cs="仿宋_GB2312" w:eastAsia="仿宋_GB2312"/>
                <w:sz w:val="24"/>
              </w:rPr>
              <w:t>本项目规划过程中所涉及所有信息资料（包括：采购人提供或成交供应商自行收集的）的所有权归采购人所有，未经采购人书面允许成交供应商不得将信息资料透漏给第三方，否则采购人有权追究其法律责任</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在本磋商文件中没有提及的与本项目履约切实相关的事宜，在采购人与成交供应商订立合同时按明细约定或后续补充约定（约定的内容须符合国家相关法律法规的规定）</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1095日历天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青白江区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国家有关规定以及服务要求、服务内容和考核制度、供应商的投标文件及承诺与本合同约定标准进行验收；采购人与供应商双方如对服务要求、服务内容服务质量和考核制度约定标准有相互抵触或异议的事项，由采购人在招标文件及投标文件中按服务要求、服务内容服务质量和考核制度比较优胜的原则确定该项的约定标准进行验收。 2.其他未尽事宜应严格按照《财政部关于进一步加强政府采购需求和履约验收管理的指导意见》财库〔2016〕205号的要求进行。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1、乙方提供增值税发票后15个工作日内，甲方向乙方支付上一季度费用，达到付款条件起45日内，据实结算说明为:根据考核验收结果</w:t>
            </w:r>
          </w:p>
          <w:p>
            <w:pPr>
              <w:pStyle w:val="null3"/>
              <w:jc w:val="left"/>
            </w:pPr>
            <w:r>
              <w:rPr>
                <w:rFonts w:ascii="仿宋_GB2312" w:hAnsi="仿宋_GB2312" w:cs="仿宋_GB2312" w:eastAsia="仿宋_GB2312"/>
              </w:rPr>
              <w:t>2、乙方提供增值税发票后15个工作日内，甲方向乙方支付上一季度费用，达到付款条件起45日内，据实结算说明为:根据考核验收结果</w:t>
            </w:r>
          </w:p>
          <w:p>
            <w:pPr>
              <w:pStyle w:val="null3"/>
              <w:jc w:val="left"/>
            </w:pPr>
            <w:r>
              <w:rPr>
                <w:rFonts w:ascii="仿宋_GB2312" w:hAnsi="仿宋_GB2312" w:cs="仿宋_GB2312" w:eastAsia="仿宋_GB2312"/>
              </w:rPr>
              <w:t>3、乙方提供增值税发票后15个工作日内，甲方向乙方支付上一季度费用，达到付款条件起45日内，据实结算说明为:根据考核验收结果</w:t>
            </w:r>
          </w:p>
          <w:p>
            <w:pPr>
              <w:pStyle w:val="null3"/>
              <w:jc w:val="left"/>
            </w:pPr>
            <w:r>
              <w:rPr>
                <w:rFonts w:ascii="仿宋_GB2312" w:hAnsi="仿宋_GB2312" w:cs="仿宋_GB2312" w:eastAsia="仿宋_GB2312"/>
              </w:rPr>
              <w:t>4、乙方提供增值税发票后15个工作日内，甲方向乙方支付上一季度费用，达到付款条件起45日内，据实结算说明为:根据考核验收结果</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A、甲乙双方必须遵守本合同并执行合同中的各项规定，保证本合同的正常履行。 B、如因乙方工作人员在履行职务过程中的的疏忽、失职、过错等故意或者过失原因给甲方造成损失或侵害，包括但不限于甲方本身的财产损失、由此而导致的甲方对任何第三方的法律责任等，乙方对此均应承担全部的赔偿责任。不可抗力事件处理： ①在合同有效期内，任何一方因不可抗力事件导致不能履行合同，则合同履行期可延长，其延长期与不可抗力影响期相同。 ②不可抗力事件发生后，应立即通知对方，并寄送有关权威机构出具的证明。 C、不可抗力事件延续10天以上，双方应通过友好协商，确定是否继续履行合同。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1、项目团队：为本项目配备专职服务团队，具体包括：项目经理1名、垃圾分类宣传讲师1名、垃圾分类信息专员2名、垃圾分类指导员5名、客服专员2名。 ★2、办公与设施保障：在采购人指定的项目区域内设立固定办公场所，该场所应满足团队办公、资料存档及会议召开等基本功能，并配备必要的办公设备与设施。 ★3、交通工具配备：须为本项目配备专用工作车辆（汽车）至少1辆，用于日常巡视、应急处理、物料运输等服务活动。 4、服务方案：针对本项目进行现状分析（至少包含项目的现状及特点分析；项目需求、实施重点及难点分析；解决措施），编写项目实施方案（至少包含垃圾分类宣传培训方案；垃圾分类媒体宣传方案；分布式可回收物投放点运营方案；项目进度计划（进度控制目标明确并满足采购人要求、工作安排合理、工作组织程序清晰、便于把握和协调；项目组织机构（管理体系，组织机构，职责和分工）；应急处理方案） 5、具有类似项目的履约能力。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w:t>
      </w:r>
      <w:r>
        <w:rPr>
          <w:rFonts w:ascii="仿宋_GB2312" w:hAnsi="仿宋_GB2312" w:cs="仿宋_GB2312" w:eastAsia="仿宋_GB2312"/>
        </w:rPr>
        <w:t>“技术、服务及其他要求”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第七章</w:t>
      </w: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营业执照”副本扫描件并进行电子签章；未换证的提供“营业执照副本、税务登记证副本、组织机构代码证副本”扫描件并进行电子签章；②若为事业单位或其他组织：提供“对应主管部门颁发的准许执业证明文件或营业执照副本”扫描件并进行电子签章。注：1.以上证明材料应满足此条要求①发证机关有年检要求的，应按规定通过年检；②在有效期内；③扫描件加盖电子签章； 2.根据国务院办公厅关于加快推进“多证合一”改革的指导意见(国办发〔2017〕41号)等政策要求，若资格要求涉及的登记、备案等有关事项和各类证照已实行多证合一的，提供多证合一证照副本扫描件。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2024年度或2025年度经审计的财务报告（包含审计报告和审计报告中所涉及的财务报表和报表附注）或者近一年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供应商对文件中“技术要求”、“服务要求”、“商务要求”、“其他要求”进行响应(要求提供承诺函或相关证明材料的条款，以供应商提供的承诺函或证明材料内容为准)。</w:t>
            </w:r>
          </w:p>
        </w:tc>
        <w:tc>
          <w:tcPr>
            <w:tcW w:type="dxa" w:w="1661"/>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现状分析</w:t>
            </w:r>
          </w:p>
        </w:tc>
        <w:tc>
          <w:tcPr>
            <w:tcW w:type="dxa" w:w="2575"/>
          </w:tcPr>
          <w:p>
            <w:pPr>
              <w:pStyle w:val="null3"/>
              <w:jc w:val="left"/>
            </w:pPr>
            <w:r>
              <w:rPr>
                <w:rFonts w:ascii="仿宋_GB2312" w:hAnsi="仿宋_GB2312" w:cs="仿宋_GB2312" w:eastAsia="仿宋_GB2312"/>
              </w:rPr>
              <w:t>根据投标人（供应商）针对本项目提供现状分析方案进行评审，方案内容至少包括： 1.项目的现状及特点分析； 2.项目需求、实施重点及难点分析； 3.解决措施； 以上内容齐全且方案完全符合需求实际的得21分，每有一项内容缺失的扣7分；每有一处具有缺陷的扣3.5分，直至本项分值扣完为止。一处缺陷是指：存在项目名称错误；地点区域错误；内容与本项目需求无关；仅有框架或标题；适用的标准（方法）错误；明显复制其他项目内容等其他缺陷的任意一种情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供应商针对本项目提供的项目实施方案包括： 1.垃圾分类宣传培训方案； 2.垃圾分类媒体宣传方案； 3.分布式可回收物投放点运营方案； 4.项目进度计划（进度控制目标明确并满足采购人要求、工作安排合理、工作组织程序清晰、便于把握和协调； 5.项目组织机构（管理体系，组织机构，职责和分工）；6.应急处理方案； 上述六项内容无缺项、无缺陷得36分（单项内容分值为6分），每有一项内容缺项扣6分；每项内容每有一处缺陷扣3分，单项内容分值扣完为止。一处缺陷是指：存在项目名称错误、地点区域错误、内容与本项目需求无关、仅有框架或标题、适用的标准（方法）错误、明显复制其他项目内容等其他缺陷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在满足招标文件人员配置要求的情况下： （1）拟投入本项目的项目经理，具有本项目类似工作经验的得4分，本项最高得 4分。 注：提供履历表或承诺函（格式自拟），加盖供应商电子签章。 （2）拟投入本项目的垃圾分类宣传讲师1名及以上得3分；拟投入本项目的垃圾分类信息专员2名及以上得4分；拟投入本项目的垃圾分类指导员5名及以上得6分、拟投入本项目的客服专员2名及以上得4分，本项最高得17分。 注：提供以上人员花名册（含姓名、电话、职务等）及有效身份证扫描件，人员不重复计分，加盖供应商电子签章。</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根据供应商2022年1月1日（含1日）至提交投标文件截止日的类似项目业绩进行评审，每提供1个业绩得4分，最多得12分。 注：提供合同或中标（成交）通知书复印件加盖供应商电子签章。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分项报价表.docx</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