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版本号：N511587202600000620260428001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宜宾高新区2026年土地勘测定界测绘服务项目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N5115872026000006</w:t>
      </w:r>
    </w:p>
    <w:p>
      <w:pPr>
        <w:pStyle w:val="null3"/>
        <w:jc w:val="center"/>
        <w:outlineLvl w:val="2"/>
      </w:pPr>
      <w:r>
        <w:rPr>
          <w:rFonts w:ascii="仿宋_GB2312" w:hAnsi="仿宋_GB2312" w:cs="仿宋_GB2312" w:eastAsia="仿宋_GB2312"/>
          <w:sz w:val="28"/>
          <w:b/>
        </w:rPr>
        <w:t>宜宾市自然资源和规划局高新技术产业园区分局</w:t>
      </w:r>
    </w:p>
    <w:p>
      <w:pPr>
        <w:pStyle w:val="null3"/>
        <w:jc w:val="center"/>
        <w:outlineLvl w:val="2"/>
      </w:pPr>
      <w:r>
        <w:rPr>
          <w:rFonts w:ascii="仿宋_GB2312" w:hAnsi="仿宋_GB2312" w:cs="仿宋_GB2312" w:eastAsia="仿宋_GB2312"/>
          <w:sz w:val="28"/>
          <w:b/>
        </w:rPr>
        <w:t>四川首联建设项目管理有限公司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四川首联建设项目管理有限公司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宜宾市自然资源和规划局高新技术产业园区分局</w:t>
      </w:r>
      <w:r>
        <w:rPr>
          <w:rFonts w:ascii="仿宋_GB2312" w:hAnsi="仿宋_GB2312" w:cs="仿宋_GB2312" w:eastAsia="仿宋_GB2312"/>
        </w:rPr>
        <w:t xml:space="preserve"> 委托，拟对 </w:t>
      </w:r>
      <w:r>
        <w:rPr>
          <w:rFonts w:ascii="仿宋_GB2312" w:hAnsi="仿宋_GB2312" w:cs="仿宋_GB2312" w:eastAsia="仿宋_GB2312"/>
        </w:rPr>
        <w:t>宜宾高新区2026年土地勘测定界测绘服务项目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宜宾市高新区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N5115872026000006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宜宾高新区2026年土地勘测定界测绘服务项目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宜宾市自然资源和规划局高新技术产业园区分局为了完成宜宾高新区2026年土地勘测定界测绘服务项目，现需采购一名供应商完成本项目。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1、供应商需具有行政主管部门颁发的有效的乙级及以上测绘资质（描述：供应商需提供行政主管部门颁发的有效的乙级及以上测绘资质证书复印件）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宜宾市自然资源和规划局高新技术产业园区分局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宜屏快速通道东100米宜宾高新技术产业园内</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644609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左老师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18725129052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四川首联建设项目管理有限公司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四川省宜宾市叙州区金沙江大道双子星3单元</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0831-8082966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成本加合理利润原则，经与采购人协商，招标代理服务费由成交供应商向采购代理机构支付，采购代理服务费以预算金额作为收费的计算基数，按照原国家计委《关于印发招标代理服务收费管理暂行办法的通知》（计价格[2002]1980号）文件规定的收费标准再下浮20%。 采购代理机构：四川首联建设项目管理有限公司 开户银行：中国建设银行股份有限公司宜宾莱茵时代广场支行 账 号：51050172004300000724代理服务费交纳完成后，可按照以下温馨提示开具发票:供应商发送申请信息至18683162840@163.com邮箱，发票开具后将直接发送至原申请开票邮箱。(邮件内容至少包含:申请开具发票金额XX元、项目名称、转账回执、联系人、联系电话，注明专票/普票)。</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宜宾市自然资源和规划局高新技术产业园区分局</w:t>
      </w:r>
      <w:r>
        <w:rPr>
          <w:rFonts w:ascii="仿宋_GB2312" w:hAnsi="仿宋_GB2312" w:cs="仿宋_GB2312" w:eastAsia="仿宋_GB2312"/>
        </w:rPr>
        <w:t xml:space="preserve"> 和 </w:t>
      </w:r>
      <w:r>
        <w:rPr>
          <w:rFonts w:ascii="仿宋_GB2312" w:hAnsi="仿宋_GB2312" w:cs="仿宋_GB2312" w:eastAsia="仿宋_GB2312"/>
        </w:rPr>
        <w:t>四川首联建设项目管理有限公司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宜宾市自然资源和规划局高新技术产业园区分局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四川首联建设项目管理有限公司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成交供应商完成所有工作内容后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按照《财政部关于进一步加强政府采购需求和履约验收管理的指导意见》（财库〔2016〕205号）、《政府采购需求管理办法》（财库〔2021〕22号）等有关要求进行验收。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按照本项目竞争性磋商文件中技术要求及成交供应商的响应文件进行验收。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按照本项目竞争性磋商文件中商务要求及成交供应商的响应文件进行验收。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按照《财政部关于进一步加强政府采购需求和履约验收管理的指导意见》（财库〔2016〕205号）、《政府采购需求管理办法》（财库〔2021〕22号）等有关要求进行验收。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按照《财政部关于进一步加强政府采购需求和履约验收管理的指导意见》（财库〔2016〕205号）、《政府采购需求管理办法》（财库〔2021〕22号）等有关要求进行验收。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宜宾市自然资源和规划局高新技术产业园区分局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四川首联建设项目管理有限公司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四川首联建设项目管理有限公司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联系人：左老师</w:t>
      </w:r>
    </w:p>
    <w:p>
      <w:pPr>
        <w:pStyle w:val="null3"/>
        <w:jc w:val="left"/>
      </w:pPr>
      <w:r>
        <w:rPr>
          <w:rFonts w:ascii="仿宋_GB2312" w:hAnsi="仿宋_GB2312" w:cs="仿宋_GB2312" w:eastAsia="仿宋_GB2312"/>
        </w:rPr>
        <w:t>联系电话：18725129052</w:t>
      </w:r>
    </w:p>
    <w:p>
      <w:pPr>
        <w:pStyle w:val="null3"/>
        <w:jc w:val="left"/>
      </w:pPr>
      <w:r>
        <w:rPr>
          <w:rFonts w:ascii="仿宋_GB2312" w:hAnsi="仿宋_GB2312" w:cs="仿宋_GB2312" w:eastAsia="仿宋_GB2312"/>
        </w:rPr>
        <w:t>地址：宜屏快速通道东100米宜宾高新技术产业园内</w:t>
      </w:r>
    </w:p>
    <w:p>
      <w:pPr>
        <w:pStyle w:val="null3"/>
        <w:jc w:val="left"/>
      </w:pPr>
      <w:r>
        <w:rPr>
          <w:rFonts w:ascii="仿宋_GB2312" w:hAnsi="仿宋_GB2312" w:cs="仿宋_GB2312" w:eastAsia="仿宋_GB2312"/>
        </w:rPr>
        <w:t>邮编：644600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联系人：唐女士</w:t>
      </w:r>
    </w:p>
    <w:p>
      <w:pPr>
        <w:pStyle w:val="null3"/>
        <w:jc w:val="left"/>
      </w:pPr>
      <w:r>
        <w:rPr>
          <w:rFonts w:ascii="仿宋_GB2312" w:hAnsi="仿宋_GB2312" w:cs="仿宋_GB2312" w:eastAsia="仿宋_GB2312"/>
        </w:rPr>
        <w:t>联系电话：0831-8082966</w:t>
      </w:r>
    </w:p>
    <w:p>
      <w:pPr>
        <w:pStyle w:val="null3"/>
        <w:jc w:val="left"/>
      </w:pPr>
      <w:r>
        <w:rPr>
          <w:rFonts w:ascii="仿宋_GB2312" w:hAnsi="仿宋_GB2312" w:cs="仿宋_GB2312" w:eastAsia="仿宋_GB2312"/>
        </w:rPr>
        <w:t>地址：四川省宜宾市叙州区金沙江大道双子星3单元</w:t>
      </w:r>
    </w:p>
    <w:p>
      <w:pPr>
        <w:pStyle w:val="null3"/>
        <w:jc w:val="left"/>
      </w:pPr>
      <w:r>
        <w:rPr>
          <w:rFonts w:ascii="仿宋_GB2312" w:hAnsi="仿宋_GB2312" w:cs="仿宋_GB2312" w:eastAsia="仿宋_GB2312"/>
        </w:rPr>
        <w:t>邮编：644600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1,050,000.00</w:t>
      </w:r>
    </w:p>
    <w:p>
      <w:pPr>
        <w:pStyle w:val="null3"/>
        <w:jc w:val="left"/>
      </w:pPr>
      <w:r>
        <w:rPr>
          <w:rFonts w:ascii="仿宋_GB2312" w:hAnsi="仿宋_GB2312" w:cs="仿宋_GB2312" w:eastAsia="仿宋_GB2312"/>
        </w:rPr>
        <w:t>采购包最高限价（元）: 1,050,000.00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宜宾高新区2026年土地勘测定界测绘服务项目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宜宾高新区2026年土地勘测定界测绘服务项目</w:t>
            </w:r>
          </w:p>
        </w:tc>
        <w:tc>
          <w:tcPr>
            <w:tcW w:type="dxa" w:w="977"/>
          </w:tcPr>
          <w:p>
            <w:pPr>
              <w:pStyle w:val="null3"/>
              <w:jc w:val="center"/>
            </w:pPr>
            <w:r>
              <w:rPr>
                <w:rFonts w:ascii="仿宋_GB2312" w:hAnsi="仿宋_GB2312" w:cs="仿宋_GB2312" w:eastAsia="仿宋_GB2312"/>
              </w:rPr>
              <w:t>㎡</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0.10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本项目暂定测绘范围为10.5平方公里，预算金额:105万元，单价最高限价：0.10元/平方米。</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标的名称：宜宾高新区2026年土地勘测定界测绘服务项目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出具土地分类面积表</w:t>
            </w:r>
            <w:r>
              <w:rPr>
                <w:rFonts w:ascii="仿宋_GB2312" w:hAnsi="仿宋_GB2312" w:cs="仿宋_GB2312" w:eastAsia="仿宋_GB2312"/>
                <w:sz w:val="24"/>
              </w:rPr>
              <w:t>并通过宜宾市自然资源和规划局审查</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完成测区范围地形测绘，出具勘测定界技术报告和勘测定界图</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完成拟供国有土地项目勘测定界（包括权属调查、面积计算、界址点成果、勘测定界图和报告编制等）；宗地图、交地图编制；完成交地施放用地红线等工作</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完成违法用地项目勘测定界测绘工作（包括权属调查、分类面积计算、勘测定界图和报告编制等），并完成项目影像套合图、土地利用现状图、国空图编制工作</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5.完成不动产登记数据库权属调整和补正。</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根据《四川省自然资源厅办公室关于进一步明确建设用地报批及预审地类面积审查规则有关事项的通知》要求，出具土地分类面积表并通过宜宾市自然资源和规划局审查。</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按照《建设项目用地勘测定界技术规程（试行）》规定，完成测区范围地形测绘，出具</w:t>
            </w:r>
            <w:r>
              <w:rPr>
                <w:rFonts w:ascii="仿宋_GB2312" w:hAnsi="仿宋_GB2312" w:cs="仿宋_GB2312" w:eastAsia="仿宋_GB2312"/>
                <w:sz w:val="24"/>
              </w:rPr>
              <w:t>《</w:t>
            </w:r>
            <w:r>
              <w:rPr>
                <w:rFonts w:ascii="仿宋_GB2312" w:hAnsi="仿宋_GB2312" w:cs="仿宋_GB2312" w:eastAsia="仿宋_GB2312"/>
                <w:sz w:val="24"/>
              </w:rPr>
              <w:t>勘测定界技术报告</w:t>
            </w:r>
            <w:r>
              <w:rPr>
                <w:rFonts w:ascii="仿宋_GB2312" w:hAnsi="仿宋_GB2312" w:cs="仿宋_GB2312" w:eastAsia="仿宋_GB2312"/>
                <w:sz w:val="24"/>
              </w:rPr>
              <w:t>》</w:t>
            </w:r>
            <w:r>
              <w:rPr>
                <w:rFonts w:ascii="仿宋_GB2312" w:hAnsi="仿宋_GB2312" w:cs="仿宋_GB2312" w:eastAsia="仿宋_GB2312"/>
                <w:sz w:val="24"/>
              </w:rPr>
              <w:t>和</w:t>
            </w:r>
            <w:r>
              <w:rPr>
                <w:rFonts w:ascii="仿宋_GB2312" w:hAnsi="仿宋_GB2312" w:cs="仿宋_GB2312" w:eastAsia="仿宋_GB2312"/>
                <w:sz w:val="24"/>
              </w:rPr>
              <w:t>《</w:t>
            </w:r>
            <w:r>
              <w:rPr>
                <w:rFonts w:ascii="仿宋_GB2312" w:hAnsi="仿宋_GB2312" w:cs="仿宋_GB2312" w:eastAsia="仿宋_GB2312"/>
                <w:sz w:val="24"/>
              </w:rPr>
              <w:t>勘测定界图</w:t>
            </w:r>
            <w:r>
              <w:rPr>
                <w:rFonts w:ascii="仿宋_GB2312" w:hAnsi="仿宋_GB2312" w:cs="仿宋_GB2312" w:eastAsia="仿宋_GB2312"/>
                <w:sz w:val="24"/>
              </w:rPr>
              <w:t>》</w:t>
            </w:r>
            <w:r>
              <w:rPr>
                <w:rFonts w:ascii="仿宋_GB2312" w:hAnsi="仿宋_GB2312" w:cs="仿宋_GB2312" w:eastAsia="仿宋_GB2312"/>
                <w:sz w:val="24"/>
              </w:rPr>
              <w:t>，本项目暂定</w:t>
            </w:r>
            <w:r>
              <w:rPr>
                <w:rFonts w:ascii="仿宋_GB2312" w:hAnsi="仿宋_GB2312" w:cs="仿宋_GB2312" w:eastAsia="仿宋_GB2312"/>
                <w:sz w:val="24"/>
              </w:rPr>
              <w:t>测绘范围为</w:t>
            </w:r>
            <w:r>
              <w:rPr>
                <w:rFonts w:ascii="仿宋_GB2312" w:hAnsi="仿宋_GB2312" w:cs="仿宋_GB2312" w:eastAsia="仿宋_GB2312"/>
                <w:sz w:val="24"/>
              </w:rPr>
              <w:t>10.5</w:t>
            </w:r>
            <w:r>
              <w:rPr>
                <w:rFonts w:ascii="仿宋_GB2312" w:hAnsi="仿宋_GB2312" w:cs="仿宋_GB2312" w:eastAsia="仿宋_GB2312"/>
                <w:sz w:val="24"/>
              </w:rPr>
              <w:t>平方公里【说明：结算数量以实际测绘范围为准】。</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根据相关规定达到拟供国有土地工作要求，完成拟供国有土地项目勘测定界（包括权属调查、面积计算、界址点成果、勘测定界图和报告编制等）；宗地图、交地图编制；完成交地施放用地红线等工作。</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根据宜宾市自然资源和规划局要求，完成违法用地项目勘测定界测绘工作（包括权属调查、分类面积计算、勘测定界图和报告编制等），并完成项目影像套合图、土地利用现状图、国空图编制工作。</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开展权籍调查、测绘测量、数据处理工作，按法定流程产出符合</w:t>
            </w:r>
            <w:r>
              <w:rPr>
                <w:rFonts w:ascii="仿宋_GB2312" w:hAnsi="仿宋_GB2312" w:cs="仿宋_GB2312" w:eastAsia="仿宋_GB2312"/>
                <w:sz w:val="24"/>
              </w:rPr>
              <w:t>不动产库</w:t>
            </w:r>
            <w:r>
              <w:rPr>
                <w:rFonts w:ascii="仿宋_GB2312" w:hAnsi="仿宋_GB2312" w:cs="仿宋_GB2312" w:eastAsia="仿宋_GB2312"/>
                <w:sz w:val="24"/>
              </w:rPr>
              <w:t>入库标准的权籍成果，配合登记机构完成不动产登记数据库更新。</w:t>
            </w:r>
          </w:p>
          <w:p>
            <w:pPr>
              <w:pStyle w:val="null3"/>
              <w:ind w:firstLine="480"/>
              <w:jc w:val="both"/>
            </w:pPr>
            <w:r>
              <w:rPr>
                <w:rFonts w:ascii="仿宋_GB2312" w:hAnsi="仿宋_GB2312" w:cs="仿宋_GB2312" w:eastAsia="仿宋_GB2312"/>
                <w:sz w:val="24"/>
              </w:rPr>
              <w:t>6.其他服务要求</w:t>
            </w:r>
          </w:p>
          <w:p>
            <w:pPr>
              <w:pStyle w:val="null3"/>
              <w:ind w:firstLine="480"/>
              <w:jc w:val="both"/>
            </w:pPr>
            <w:r>
              <w:rPr>
                <w:rFonts w:ascii="仿宋_GB2312" w:hAnsi="仿宋_GB2312" w:cs="仿宋_GB2312" w:eastAsia="仿宋_GB2312"/>
                <w:sz w:val="24"/>
              </w:rPr>
              <w:t>①安全要求</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在履行合同过程中，由成交供应商自行负责和承担相关安全责任。成交供应商按有关规定采取严格的项目实施安全措施，承担由于自身安全措施不力造成的事故责任和因此发生的费用及后果，成交供应商投入本项目工作人员的人身安全由成交供应商负责。凡在项目实施过程中发生安全事故或其他责任事故，均由成交供应商承担。</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保密要求</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成交供应商承担本项目范围内的所有技术情报和资料的保密义务，不得以任何形式向任意第三方传泄，不论本项目是否变更、解除或终止，本条款均有效；</w:t>
            </w:r>
          </w:p>
          <w:p>
            <w:pPr>
              <w:pStyle w:val="null3"/>
              <w:ind w:firstLine="480"/>
              <w:jc w:val="both"/>
            </w:pPr>
            <w:r>
              <w:rPr>
                <w:rFonts w:ascii="仿宋_GB2312" w:hAnsi="仿宋_GB2312" w:cs="仿宋_GB2312" w:eastAsia="仿宋_GB2312"/>
                <w:sz w:val="24"/>
              </w:rPr>
              <w:t>成交供应商在合同期内或合同终止后，未征得采购人书面同意，不得向任意第三方以任何形式泄露本项目及同业务有关的一切资料。否则造成泄密的，成交供应商需承担采购人由此引起的一切损失，若后果严重且触犯法律的，采购人依法追究其法律责任</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7.报价要求：</w:t>
            </w:r>
          </w:p>
          <w:p>
            <w:pPr>
              <w:pStyle w:val="null3"/>
              <w:ind w:firstLine="480"/>
              <w:jc w:val="both"/>
            </w:pPr>
            <w:r>
              <w:rPr>
                <w:rFonts w:ascii="仿宋_GB2312" w:hAnsi="仿宋_GB2312" w:cs="仿宋_GB2312" w:eastAsia="仿宋_GB2312"/>
                <w:sz w:val="24"/>
              </w:rPr>
              <w:t>供应商所报价格为响应项目要求的全部采购内容的价格体现，本项目外包费用包含但不限于完成所有工作任务必需的人工劳务费、机械设备费、企业管理费、计划利润、招标代理服务费、售后服务以及国家规定的各项税费等一切费用。</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技术标准</w:t>
            </w:r>
          </w:p>
        </w:tc>
        <w:tc>
          <w:tcPr>
            <w:tcW w:type="dxa" w:w="5814"/>
          </w:tcPr>
          <w:p>
            <w:pPr>
              <w:pStyle w:val="null3"/>
              <w:ind w:firstLine="480"/>
              <w:jc w:val="both"/>
            </w:pPr>
            <w:r>
              <w:rPr>
                <w:rFonts w:ascii="仿宋_GB2312" w:hAnsi="仿宋_GB2312" w:cs="仿宋_GB2312" w:eastAsia="仿宋_GB2312"/>
                <w:sz w:val="24"/>
              </w:rPr>
              <w:t>1．地形测绘服务标准：</w:t>
            </w:r>
          </w:p>
          <w:p>
            <w:pPr>
              <w:pStyle w:val="null3"/>
              <w:ind w:firstLine="480"/>
              <w:jc w:val="both"/>
            </w:pPr>
            <w:r>
              <w:rPr>
                <w:rFonts w:ascii="仿宋_GB2312" w:hAnsi="仿宋_GB2312" w:cs="仿宋_GB2312" w:eastAsia="仿宋_GB2312"/>
                <w:sz w:val="24"/>
              </w:rPr>
              <w:t>(1)《城市测量规范》(CJJ/T8-2011)；</w:t>
            </w:r>
          </w:p>
          <w:p>
            <w:pPr>
              <w:pStyle w:val="null3"/>
              <w:ind w:firstLine="480"/>
              <w:jc w:val="both"/>
            </w:pPr>
            <w:r>
              <w:rPr>
                <w:rFonts w:ascii="仿宋_GB2312" w:hAnsi="仿宋_GB2312" w:cs="仿宋_GB2312" w:eastAsia="仿宋_GB2312"/>
                <w:sz w:val="24"/>
              </w:rPr>
              <w:t>(2)《1:500 1:1 000 1:2 000 地形图航空摄影测量外业规范》（GB/T7931-2008）；</w:t>
            </w:r>
          </w:p>
          <w:p>
            <w:pPr>
              <w:pStyle w:val="null3"/>
              <w:ind w:firstLine="480"/>
              <w:jc w:val="both"/>
            </w:pPr>
            <w:r>
              <w:rPr>
                <w:rFonts w:ascii="仿宋_GB2312" w:hAnsi="仿宋_GB2312" w:cs="仿宋_GB2312" w:eastAsia="仿宋_GB2312"/>
                <w:sz w:val="24"/>
              </w:rPr>
              <w:t>(3)《1:500 1:1 000 1:2 000 地形图航空摄影测量内业规范》（GB/T7930-2008）；</w:t>
            </w:r>
          </w:p>
          <w:p>
            <w:pPr>
              <w:pStyle w:val="null3"/>
              <w:ind w:firstLine="480"/>
              <w:jc w:val="both"/>
            </w:pPr>
            <w:r>
              <w:rPr>
                <w:rFonts w:ascii="仿宋_GB2312" w:hAnsi="仿宋_GB2312" w:cs="仿宋_GB2312" w:eastAsia="仿宋_GB2312"/>
                <w:sz w:val="24"/>
              </w:rPr>
              <w:t>(4)《国家基本比例尺地图图式 第1部分：1:500 1:1 000 1:2 000地形图图式》(GB/T 20257.1-2017)；</w:t>
            </w:r>
          </w:p>
          <w:p>
            <w:pPr>
              <w:pStyle w:val="null3"/>
              <w:ind w:firstLine="480"/>
              <w:jc w:val="both"/>
            </w:pPr>
            <w:r>
              <w:rPr>
                <w:rFonts w:ascii="仿宋_GB2312" w:hAnsi="仿宋_GB2312" w:cs="仿宋_GB2312" w:eastAsia="仿宋_GB2312"/>
                <w:sz w:val="24"/>
              </w:rPr>
              <w:t>(5)《1:500 1:1 000 1:2 000地形图数字化规范》（GB</w:t>
            </w:r>
            <w:r>
              <w:rPr>
                <w:rFonts w:ascii="仿宋_GB2312" w:hAnsi="仿宋_GB2312" w:cs="仿宋_GB2312" w:eastAsia="仿宋_GB2312"/>
                <w:sz w:val="24"/>
              </w:rPr>
              <w:t>/</w:t>
            </w:r>
            <w:r>
              <w:rPr>
                <w:rFonts w:ascii="仿宋_GB2312" w:hAnsi="仿宋_GB2312" w:cs="仿宋_GB2312" w:eastAsia="仿宋_GB2312"/>
                <w:sz w:val="24"/>
              </w:rPr>
              <w:t>T 17160-2008）；</w:t>
            </w:r>
          </w:p>
          <w:p>
            <w:pPr>
              <w:pStyle w:val="null3"/>
              <w:ind w:firstLine="480"/>
              <w:jc w:val="both"/>
            </w:pPr>
            <w:r>
              <w:rPr>
                <w:rFonts w:ascii="仿宋_GB2312" w:hAnsi="仿宋_GB2312" w:cs="仿宋_GB2312" w:eastAsia="仿宋_GB2312"/>
                <w:sz w:val="24"/>
              </w:rPr>
              <w:t>2．勘测定界服务标准：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《土地勘测定界规程》（</w:t>
            </w:r>
            <w:r>
              <w:rPr>
                <w:rFonts w:ascii="仿宋_GB2312" w:hAnsi="仿宋_GB2312" w:cs="仿宋_GB2312" w:eastAsia="仿宋_GB2312"/>
                <w:sz w:val="24"/>
              </w:rPr>
              <w:t>TD/T 1008-2007）；</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2）《第三次全国国土调查工作分类》；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3）《土地利用现状分类》（GB/T 21010-2017）</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4）《集体土地所有权调查技术规定》；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5）《确定土地所有权和使用权的若干规定》；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6）《土地利用现状调查技术规程》（GB/T21010-2017）；</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7）《地籍调查规程》（GB/T 42547-2023）</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成果要求</w:t>
            </w:r>
          </w:p>
        </w:tc>
        <w:tc>
          <w:tcPr>
            <w:tcW w:type="dxa" w:w="5814"/>
          </w:tcPr>
          <w:p>
            <w:pPr>
              <w:pStyle w:val="null3"/>
              <w:ind w:firstLine="480"/>
              <w:jc w:val="both"/>
            </w:pPr>
            <w:r>
              <w:rPr>
                <w:rFonts w:ascii="仿宋_GB2312" w:hAnsi="仿宋_GB2312" w:cs="仿宋_GB2312" w:eastAsia="仿宋_GB2312"/>
                <w:sz w:val="24"/>
              </w:rPr>
              <w:t>供应商应按采购人要求交付本项目涉及的相关资料包括纸质档及电子文档资料（供应商不得将与成果有关的相关资料作为他用）。</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供应商根据本项目要求及自身经营情况，编写如下服务方案</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项目需求分析方案</w:t>
            </w:r>
            <w:r>
              <w:rPr>
                <w:rFonts w:ascii="仿宋_GB2312" w:hAnsi="仿宋_GB2312" w:cs="仿宋_GB2312" w:eastAsia="仿宋_GB2312"/>
                <w:sz w:val="24"/>
              </w:rPr>
              <w:t>，内容包括：</w:t>
            </w:r>
            <w:r>
              <w:rPr>
                <w:rFonts w:ascii="仿宋_GB2312" w:hAnsi="仿宋_GB2312" w:cs="仿宋_GB2312" w:eastAsia="仿宋_GB2312"/>
                <w:sz w:val="24"/>
              </w:rPr>
              <w:t>①项目概况、范围及现状；②项目方案编制依据；③项目重点难点分析；④重难点应对措施。</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项目实施方案，内容包括：</w:t>
            </w:r>
            <w:r>
              <w:rPr>
                <w:rFonts w:ascii="仿宋_GB2312" w:hAnsi="仿宋_GB2312" w:cs="仿宋_GB2312" w:eastAsia="仿宋_GB2312"/>
                <w:sz w:val="24"/>
              </w:rPr>
              <w:t>①项目人员配置及分工；②项目执行进度安排；③质量保障措施；④安全保障措施</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项目管理制度</w:t>
            </w:r>
            <w:r>
              <w:rPr>
                <w:rFonts w:ascii="仿宋_GB2312" w:hAnsi="仿宋_GB2312" w:cs="仿宋_GB2312" w:eastAsia="仿宋_GB2312"/>
                <w:sz w:val="24"/>
              </w:rPr>
              <w:t>方案，内容包括：</w:t>
            </w:r>
            <w:r>
              <w:rPr>
                <w:rFonts w:ascii="仿宋_GB2312" w:hAnsi="仿宋_GB2312" w:cs="仿宋_GB2312" w:eastAsia="仿宋_GB2312"/>
                <w:sz w:val="24"/>
              </w:rPr>
              <w:t>①日常管理及本项目管理制度和监督考核办法；②内部控制管理；③风险控制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供应商提供相应人员配置、履约经验、履约能力可相应加分，详见评审细则。</w:t>
            </w:r>
          </w:p>
          <w:p>
            <w:pPr>
              <w:pStyle w:val="null3"/>
              <w:ind w:firstLine="480"/>
              <w:jc w:val="both"/>
            </w:pPr>
            <w:r>
              <w:rPr>
                <w:rFonts w:ascii="仿宋_GB2312" w:hAnsi="仿宋_GB2312" w:cs="仿宋_GB2312" w:eastAsia="仿宋_GB2312"/>
                <w:sz w:val="24"/>
              </w:rPr>
              <w:t>注：</w:t>
            </w:r>
            <w:r>
              <w:rPr>
                <w:rFonts w:ascii="仿宋_GB2312" w:hAnsi="仿宋_GB2312" w:cs="仿宋_GB2312" w:eastAsia="仿宋_GB2312"/>
                <w:sz w:val="24"/>
              </w:rPr>
              <w:t>1.本章带“★”号条款为实质性要求，供应商若未满足的，将被视为无效响应。</w:t>
            </w:r>
          </w:p>
          <w:p>
            <w:pPr>
              <w:pStyle w:val="null3"/>
              <w:ind w:firstLine="480"/>
              <w:jc w:val="both"/>
            </w:pPr>
            <w:r>
              <w:rPr>
                <w:rFonts w:ascii="仿宋_GB2312" w:hAnsi="仿宋_GB2312" w:cs="仿宋_GB2312" w:eastAsia="仿宋_GB2312"/>
                <w:sz w:val="24"/>
              </w:rPr>
              <w:t>2.本项目采购文件中所涉及的所有国家标准、地方标准、行业标准等如有最新的标准以最新标准为准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宜宾市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按照《财政部关于进一步加强政府采购需求和履约验收管理的指导意见》（财库〔2016〕205号）、《政府采购需求管理办法》（财库〔2021〕22号）等有关要求进行验收。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根据供应商完成土地报批板块勘测定界测绘服务完成情况，达到付款条件起10日内，据实结算说明为按单个项目实际面积核算费用，自采购人将红线确定之日起，6个工作日内完成项目勘测定界及权属调查更新工作，且土地报批成果通过市自规局审查的，按对应项目费用的100%支付；11个工作日内完成按对应项目费用的80%支付；16个工作日内完成按对应项目费用的60%支付；20个工作日内完成按对应项目费用的50%支付</w:t>
            </w:r>
          </w:p>
          <w:p>
            <w:pPr>
              <w:pStyle w:val="null3"/>
              <w:jc w:val="left"/>
            </w:pPr>
            <w:r>
              <w:rPr>
                <w:rFonts w:ascii="仿宋_GB2312" w:hAnsi="仿宋_GB2312" w:cs="仿宋_GB2312" w:eastAsia="仿宋_GB2312"/>
              </w:rPr>
              <w:t>2、进度款，根据供应商完成土地供应板块勘测定界测绘服务完成情况，达到付款条件起10日内，据实结算说明为按单个项目实际面积核算费用，自采购人将红线确定之日起，3个自然日内完成项目勘测定界及权属调查更新工作，按对应项目费用的100%支付；5个自然日内完成按对应项目费用的80%支付；7个自然日内完成按对应项目费用的60%支付；9个自然日内完成按对应项目费用的40%支付</w:t>
            </w:r>
          </w:p>
          <w:p>
            <w:pPr>
              <w:pStyle w:val="null3"/>
              <w:jc w:val="left"/>
            </w:pPr>
            <w:r>
              <w:rPr>
                <w:rFonts w:ascii="仿宋_GB2312" w:hAnsi="仿宋_GB2312" w:cs="仿宋_GB2312" w:eastAsia="仿宋_GB2312"/>
              </w:rPr>
              <w:t>3、进度款，根据供应商完成土地违法板块勘测定界测绘服务完成情况，达到付款条件起10日内，据实结算说明为按单个项目实际面积核算费用，自采购人将红线确定之日起，3个自然日内完成项目勘测定界工作，按对应项目费用的100%支付；5个自然日内完成按对应项目费用的80%支付；7个自然日内完成按对应项目费用的60%支付；9个自然日内完成按对应项目费用的40%支付</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①双方必须遵守本合同并执行合同中的各项规定，保证本合同的正常履行。 ②如因供应商人员在履行职务过程中的疏忽、失职、过错等故意或者过失原因给采购人造成损失或侵害，包括但不限于采购人本身的财产损失、由此而导致的采购人对任何第三方的法律责任等，供应商对此均应承担全部的赔偿责任。 ③供应商在服务过程中，若出现成交供应商不按采购合同约定执行合同内容或出现违约的情形。须在合同规定的时间内整改完成，如供应商未在采购人规定的时间内整改的，采购人有权单方解除合同，成交供应商已收的合同款项应退回。 （2）争议解决办法： 在执行本合同过程中发生的或与本合同有关的争端，双方应通过友好协商解决；不能通过协商解决的，任何一方均可向项目所在地人民法院诉讼解决。诉讼费由败诉方承担。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供应商需具有行政主管部门颁发的有效的乙级及以上测绘资质</w:t>
            </w:r>
          </w:p>
        </w:tc>
        <w:tc>
          <w:tcPr>
            <w:tcW w:type="dxa" w:w="3322"/>
          </w:tcPr>
          <w:p>
            <w:pPr>
              <w:pStyle w:val="null3"/>
              <w:jc w:val="left"/>
            </w:pPr>
            <w:r>
              <w:rPr>
                <w:rFonts w:ascii="仿宋_GB2312" w:hAnsi="仿宋_GB2312" w:cs="仿宋_GB2312" w:eastAsia="仿宋_GB2312"/>
              </w:rPr>
              <w:t>供应商需提供行政主管部门颁发的有效的乙级及以上测绘资质证书复印件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包含磋商文件第三章带“★”号在内的其他符合性(实质性)审查内容</w:t>
            </w:r>
          </w:p>
        </w:tc>
        <w:tc>
          <w:tcPr>
            <w:tcW w:type="dxa" w:w="1661"/>
          </w:tcPr>
          <w:p>
            <w:pPr>
              <w:pStyle w:val="null3"/>
              <w:jc w:val="left"/>
            </w:pPr>
            <w:r>
              <w:rPr>
                <w:rFonts w:ascii="仿宋_GB2312" w:hAnsi="仿宋_GB2312" w:cs="仿宋_GB2312" w:eastAsia="仿宋_GB2312"/>
              </w:rPr>
              <w:t>技术、服务应答表,商务应答表,供应商应提交的相关证明材料,实质性要求承诺</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人员配置、履约经验、履约能力、项目需求分析方案、项目实施方案、项目管理制度方案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1.项目负责人【最高得6分】： 具有测绘类专业中级职称得1分； 具有测绘类专业高级职称得3分，同时具有注册测绘师资格加3分。 2.项目技术负责人【最高得6分】： 具有测绘类专业中级职称证书得1分； 具有测绘类专业高级职称证书得3分，同时具备注册测绘师资格加3分。 3.项目质量检查负责人【最高得6分】： 具有测绘类专业中级职称证书得1分； 具有测绘类专业高级职称证书得3分，同时具备注册测绘师资格加3分。 4.项目组人员配置【最高得5分】： 供应商拟派本项目组人员每有一人具有测绘类专业中级及以上职称得1分。 注：1.以上人员不重复计分。 2.以上人员须提供相关证书复印件（或扫描件）、身份证、本单位人员的在职证明。 3.注册人员需提供注册在本单位的证明材料并加盖单位公章。</w:t>
            </w:r>
          </w:p>
        </w:tc>
        <w:tc>
          <w:tcPr>
            <w:tcW w:type="dxa" w:w="831"/>
          </w:tcPr>
          <w:p>
            <w:pPr>
              <w:pStyle w:val="null3"/>
              <w:jc w:val="center"/>
            </w:pPr>
            <w:r>
              <w:rPr>
                <w:rFonts w:ascii="仿宋_GB2312" w:hAnsi="仿宋_GB2312" w:cs="仿宋_GB2312" w:eastAsia="仿宋_GB2312"/>
              </w:rPr>
              <w:t>23.0000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履约能力、履约经验及相关证明</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供应商具有2023年1月1日（含1日）至递交响应文件截止之日类似履约经验（履约经验是指：勘测定界、土地测绘等），每提供一个得3分，最多得9分。 说明：1.提供项目合同（协议）复印件（以合同签订日期为准）。 2.同一项目同一服务期内不同年度签订的合同为一个业绩。 3.以上证明材料的合同乙方主体名称需与供应商名称完全一致。（更名的需提供相应证明材料）。</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履约能力、履约经验及相关证明</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1.供应商拟投入本项目的GNSS仪器每有一台得1分，本项最多得3分。 2.供应商拟投入本项目的无人机每具有1台得1分，本小项最多得3分。 3.供应商拟投入本项目的全站仪每有一台得1分，本小项最多得3分。 注：1.GNSS仪器、全站仪需提供有效期内的设备检定证书复印件。 2.无人机若为自有的，则提供购买合同或发票复印件；若为非自有的，则提供租赁协议复印件。以上资料加盖供应商公章。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履约能力、履约经验及相关证明</w:t>
            </w:r>
          </w:p>
        </w:tc>
      </w:tr>
      <w:tr>
        <w:tc>
          <w:tcPr>
            <w:tcW w:type="dxa" w:w="831"/>
            <w:vMerge/>
          </w:tcPr>
          <w:p/>
        </w:tc>
        <w:tc>
          <w:tcPr>
            <w:tcW w:type="dxa" w:w="1661"/>
          </w:tcPr>
          <w:p>
            <w:pPr>
              <w:pStyle w:val="null3"/>
              <w:jc w:val="left"/>
            </w:pPr>
            <w:r>
              <w:rPr>
                <w:rFonts w:ascii="仿宋_GB2312" w:hAnsi="仿宋_GB2312" w:cs="仿宋_GB2312" w:eastAsia="仿宋_GB2312"/>
              </w:rPr>
              <w:t>项目需求分析方案</w:t>
            </w:r>
          </w:p>
        </w:tc>
        <w:tc>
          <w:tcPr>
            <w:tcW w:type="dxa" w:w="2575"/>
          </w:tcPr>
          <w:p>
            <w:pPr>
              <w:pStyle w:val="null3"/>
              <w:jc w:val="left"/>
            </w:pPr>
            <w:r>
              <w:rPr>
                <w:rFonts w:ascii="仿宋_GB2312" w:hAnsi="仿宋_GB2312" w:cs="仿宋_GB2312" w:eastAsia="仿宋_GB2312"/>
              </w:rPr>
              <w:t>供应商结合项目实际情况，制定详细的项目需求分析方案，内容包括：①项目概况、范围及现状；②项目方案编制依据；③项目重点难点分析；④重难点应对措施。 共4项，每缺一项扣4分。每有一处存在缺陷的扣2分，每项最多扣4分。方案包含以上4项内容且无缺陷的，得16分。 说明：缺陷是指①涉及内容无重点，未能体现出本项目实际需求或与本项目实际需求不完全相符；②语言错误或存在歧义，项目名称、实施地点、政策、规范标准与本项目不相符等情形；③方案中的项目需求分析方案与服务、商务要求不相符（服务、商务表应答正确，但在项目需求分析方案中出现不一致的描述）的。</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供应商结合项目实际情况，制定详细的项目实施方案，内容包括：①项目人员配置及分工；②项目执行进度安排；③质量保障措施；④安全保障措施。 共4项，每缺一项扣6分。每有一处存在缺陷的扣3分，每项最多扣6分。方案包含以上4项内容且无缺陷的，得24分。 说明：缺陷是指①涉及内容无重点，未能体现出本项目实际需求或与本项目实际需求不完全相符；②语言错误或存在歧义，项目名称、实施地点、政策、规范标准与本项目不相符等情形；③方案中的项目实施方案与服务、商务要求不相符（服务、商务表应答正确，但在项目实施方案中出现不一致的描述）的。</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w:t>
            </w:r>
          </w:p>
        </w:tc>
      </w:tr>
      <w:tr>
        <w:tc>
          <w:tcPr>
            <w:tcW w:type="dxa" w:w="831"/>
            <w:vMerge/>
          </w:tcPr>
          <w:p/>
        </w:tc>
        <w:tc>
          <w:tcPr>
            <w:tcW w:type="dxa" w:w="1661"/>
          </w:tcPr>
          <w:p>
            <w:pPr>
              <w:pStyle w:val="null3"/>
              <w:jc w:val="left"/>
            </w:pPr>
            <w:r>
              <w:rPr>
                <w:rFonts w:ascii="仿宋_GB2312" w:hAnsi="仿宋_GB2312" w:cs="仿宋_GB2312" w:eastAsia="仿宋_GB2312"/>
              </w:rPr>
              <w:t>项目管理制度方案</w:t>
            </w:r>
          </w:p>
        </w:tc>
        <w:tc>
          <w:tcPr>
            <w:tcW w:type="dxa" w:w="2575"/>
          </w:tcPr>
          <w:p>
            <w:pPr>
              <w:pStyle w:val="null3"/>
              <w:jc w:val="left"/>
            </w:pPr>
            <w:r>
              <w:rPr>
                <w:rFonts w:ascii="仿宋_GB2312" w:hAnsi="仿宋_GB2312" w:cs="仿宋_GB2312" w:eastAsia="仿宋_GB2312"/>
              </w:rPr>
              <w:t>供应商结合项目实际情况，制定详细的项目管理制度方案，内容包括：①日常管理及本项目管理制度和监督考核办法；②内部控制管理；③风险控制。 共3项，每缺一项扣3分。每有一处存在缺陷的扣1.5分，每项最多扣3分。方案包含以上3项内容且无缺陷的，得9分。 说明：缺陷是指①涉及内容无重点，未能体现出本项目实际需求或与本项目实际需求不完全相符；②语言错误或存在歧义，项目名称、实施地点、政策、规范标准与本项目不相符等情形；③方案中的项目管理制度方案与服务、商务要求不相符（服务、商务表应答正确，但在项目管理制度方案中出现不一致的描述）的。</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详见附件：实质性要求承诺</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详见附件：履约能力、履约经验及相关证明</w:t>
      </w:r>
    </w:p>
    <w:p>
      <w:pPr>
        <w:pStyle w:val="null3"/>
        <w:ind w:firstLine="960"/>
        <w:jc w:val="left"/>
      </w:pPr>
      <w:r>
        <w:rPr>
          <w:rFonts w:ascii="仿宋_GB2312" w:hAnsi="仿宋_GB2312" w:cs="仿宋_GB2312" w:eastAsia="仿宋_GB2312"/>
        </w:rPr>
        <w:t>详见附件：方案</w:t>
      </w:r>
    </w:p>
    <w:p>
      <w:pPr>
        <w:pStyle w:val="null3"/>
        <w:ind w:firstLine="960"/>
        <w:jc w:val="left"/>
      </w:pPr>
      <w:r>
        <w:rPr>
          <w:rFonts w:ascii="仿宋_GB2312" w:hAnsi="仿宋_GB2312" w:cs="仿宋_GB2312" w:eastAsia="仿宋_GB2312"/>
        </w:rPr>
        <w:t>详见附件：技术、服务应答表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