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版本号：N513311202600010420260427001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丹巴县G248线八丹路K1172+506-K1192+506段日常养护项目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N5133112026000104</w:t>
      </w:r>
    </w:p>
    <w:p>
      <w:pPr>
        <w:pStyle w:val="null3"/>
        <w:jc w:val="center"/>
        <w:outlineLvl w:val="2"/>
      </w:pPr>
      <w:r>
        <w:rPr>
          <w:rFonts w:ascii="仿宋_GB2312" w:hAnsi="仿宋_GB2312" w:cs="仿宋_GB2312" w:eastAsia="仿宋_GB2312"/>
          <w:sz w:val="28"/>
          <w:b/>
        </w:rPr>
        <w:t>甘孜藏族自治州公路管理局丹巴分局</w:t>
      </w:r>
    </w:p>
    <w:p>
      <w:pPr>
        <w:pStyle w:val="null3"/>
        <w:jc w:val="center"/>
        <w:outlineLvl w:val="2"/>
      </w:pPr>
      <w:r>
        <w:rPr>
          <w:rFonts w:ascii="仿宋_GB2312" w:hAnsi="仿宋_GB2312" w:cs="仿宋_GB2312" w:eastAsia="仿宋_GB2312"/>
          <w:sz w:val="28"/>
          <w:b/>
        </w:rPr>
        <w:t>四川省广联大工程管理有限公司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四川省广联大工程管理有限公司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甘孜藏族自治州公路管理局丹巴分局</w:t>
      </w:r>
      <w:r>
        <w:rPr>
          <w:rFonts w:ascii="仿宋_GB2312" w:hAnsi="仿宋_GB2312" w:cs="仿宋_GB2312" w:eastAsia="仿宋_GB2312"/>
        </w:rPr>
        <w:t xml:space="preserve"> 委托，拟对 </w:t>
      </w:r>
      <w:r>
        <w:rPr>
          <w:rFonts w:ascii="仿宋_GB2312" w:hAnsi="仿宋_GB2312" w:cs="仿宋_GB2312" w:eastAsia="仿宋_GB2312"/>
        </w:rPr>
        <w:t>丹巴县G248线八丹路K1172+506-K1192+506段日常养护项目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N5133112026000104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丹巴县G248线八丹路K1172+506-K1192+506段日常养护项目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本项目为丹巴县G248线八丹路K1172+506-K1192+506段日常养护项目。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甘孜藏族自治州公路管理局丹巴分局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丹巴县章谷镇三岔河南路132号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626506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0836-3523873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四川省广联大工程管理有限公司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四川省成都金牛高新技术产业园区金周路595号3栋4层407号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028-86679747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采购包1：516,700.00元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代理服务费收费标准：按成本+合理利润原则，定额收取10000元（壹万元整） 收款单位：四川省广联大工程管理有限公司 开户银行：中国建设银行股份有限公司成都青羊支行 银行账户：51050144643600001870 注：缴纳服务费时需备注项目名称或项目编号</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甘孜藏族自治州公路管理局丹巴分局</w:t>
      </w:r>
      <w:r>
        <w:rPr>
          <w:rFonts w:ascii="仿宋_GB2312" w:hAnsi="仿宋_GB2312" w:cs="仿宋_GB2312" w:eastAsia="仿宋_GB2312"/>
        </w:rPr>
        <w:t xml:space="preserve"> 和 </w:t>
      </w:r>
      <w:r>
        <w:rPr>
          <w:rFonts w:ascii="仿宋_GB2312" w:hAnsi="仿宋_GB2312" w:cs="仿宋_GB2312" w:eastAsia="仿宋_GB2312"/>
        </w:rPr>
        <w:t>四川省广联大工程管理有限公司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甘孜藏族自治州公路管理局丹巴分局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四川省广联大工程管理有限公司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自中标供应商提出验收之日起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采购文件技术服务要求及投标文件响应内容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采购文件商务服务要求及投标文件响应内容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其他未尽事宜应严格按照《财政部关于进一步加强政府采购需求和履约验收管理的指导意见》（财库〔2016〕205号）等政府采购相关法律法规的要求进行。《政府采购需求管理办法》（财库〔2021〕22 号）第二十四条。</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四川省广联大工程管理有限公司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四川省广联大工程管理有限公司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四川省广联大工程管理有限公司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联系人：郭女士</w:t>
      </w:r>
    </w:p>
    <w:p>
      <w:pPr>
        <w:pStyle w:val="null3"/>
        <w:jc w:val="left"/>
      </w:pPr>
      <w:r>
        <w:rPr>
          <w:rFonts w:ascii="仿宋_GB2312" w:hAnsi="仿宋_GB2312" w:cs="仿宋_GB2312" w:eastAsia="仿宋_GB2312"/>
        </w:rPr>
        <w:t>联系电话：028-86679747</w:t>
      </w:r>
    </w:p>
    <w:p>
      <w:pPr>
        <w:pStyle w:val="null3"/>
        <w:jc w:val="left"/>
      </w:pPr>
      <w:r>
        <w:rPr>
          <w:rFonts w:ascii="仿宋_GB2312" w:hAnsi="仿宋_GB2312" w:cs="仿宋_GB2312" w:eastAsia="仿宋_GB2312"/>
        </w:rPr>
        <w:t>地址：四川省成都金牛高新技术产业园区金周路595号3栋4层407号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516,700.00</w:t>
      </w:r>
    </w:p>
    <w:p>
      <w:pPr>
        <w:pStyle w:val="null3"/>
        <w:jc w:val="left"/>
      </w:pPr>
      <w:r>
        <w:rPr>
          <w:rFonts w:ascii="仿宋_GB2312" w:hAnsi="仿宋_GB2312" w:cs="仿宋_GB2312" w:eastAsia="仿宋_GB2312"/>
        </w:rPr>
        <w:t>采购包最高限价（元）: 516,700.00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C15020400 公路管理和养护服务</w:t>
            </w:r>
          </w:p>
        </w:tc>
        <w:tc>
          <w:tcPr>
            <w:tcW w:type="dxa" w:w="821"/>
          </w:tcPr>
          <w:p>
            <w:pPr>
              <w:pStyle w:val="null3"/>
              <w:jc w:val="left"/>
            </w:pPr>
            <w:r>
              <w:rPr>
                <w:rFonts w:ascii="仿宋_GB2312" w:hAnsi="仿宋_GB2312" w:cs="仿宋_GB2312" w:eastAsia="仿宋_GB2312"/>
              </w:rPr>
              <w:t>丹巴县G248线八丹路K1172+506-K1192+506段日常养护项目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516,700.00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丹巴县G248线八丹路K1172+506-K1192+506段日常养护项目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516,700.00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标的名称：丹巴县G248线八丹路K1172+506-K1192+506段日常养护项目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b/>
              </w:rPr>
              <w:t>一、</w:t>
            </w:r>
            <w:r>
              <w:rPr>
                <w:rFonts w:ascii="仿宋_GB2312" w:hAnsi="仿宋_GB2312" w:cs="仿宋_GB2312" w:eastAsia="仿宋_GB2312"/>
                <w:sz w:val="24"/>
                <w:b/>
              </w:rPr>
              <w:t>养护范围</w:t>
            </w:r>
          </w:p>
          <w:p>
            <w:pPr>
              <w:pStyle w:val="null3"/>
              <w:ind w:firstLine="464"/>
              <w:jc w:val="both"/>
            </w:pPr>
            <w:r>
              <w:rPr>
                <w:rFonts w:ascii="仿宋_GB2312" w:hAnsi="仿宋_GB2312" w:cs="仿宋_GB2312" w:eastAsia="仿宋_GB2312"/>
                <w:sz w:val="24"/>
              </w:rPr>
              <w:t>丹巴县</w:t>
            </w:r>
            <w:r>
              <w:rPr>
                <w:rFonts w:ascii="仿宋_GB2312" w:hAnsi="仿宋_GB2312" w:cs="仿宋_GB2312" w:eastAsia="仿宋_GB2312"/>
                <w:sz w:val="24"/>
              </w:rPr>
              <w:t>G248线八丹路K1172+506-K1192+506段日常养护。</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b/>
              </w:rPr>
              <w:t>二、</w:t>
            </w:r>
            <w:r>
              <w:rPr>
                <w:rFonts w:ascii="仿宋_GB2312" w:hAnsi="仿宋_GB2312" w:cs="仿宋_GB2312" w:eastAsia="仿宋_GB2312"/>
                <w:sz w:val="24"/>
                <w:b/>
              </w:rPr>
              <w:t>养护内容</w:t>
            </w:r>
          </w:p>
          <w:p>
            <w:pPr>
              <w:pStyle w:val="null3"/>
              <w:ind w:firstLine="464"/>
              <w:jc w:val="both"/>
            </w:pPr>
            <w:r>
              <w:rPr>
                <w:rFonts w:ascii="仿宋_GB2312" w:hAnsi="仿宋_GB2312" w:cs="仿宋_GB2312" w:eastAsia="仿宋_GB2312"/>
                <w:sz w:val="24"/>
              </w:rPr>
              <w:t>日常巡查、清扫路面、路面完好性修复</w:t>
            </w:r>
            <w:r>
              <w:rPr>
                <w:rFonts w:ascii="仿宋_GB2312" w:hAnsi="仿宋_GB2312" w:cs="仿宋_GB2312" w:eastAsia="仿宋_GB2312"/>
                <w:sz w:val="24"/>
              </w:rPr>
              <w:t>(灌缝、路面小面积修补工作)、整理路肩、疏通边沟、疏浚涵洞、桥</w:t>
            </w:r>
            <w:r>
              <w:rPr>
                <w:rFonts w:ascii="仿宋_GB2312" w:hAnsi="仿宋_GB2312" w:cs="仿宋_GB2312" w:eastAsia="仿宋_GB2312"/>
                <w:sz w:val="24"/>
              </w:rPr>
              <w:t>梁</w:t>
            </w:r>
            <w:r>
              <w:rPr>
                <w:rFonts w:ascii="仿宋_GB2312" w:hAnsi="仿宋_GB2312" w:cs="仿宋_GB2312" w:eastAsia="仿宋_GB2312"/>
                <w:sz w:val="24"/>
              </w:rPr>
              <w:t>管养</w:t>
            </w:r>
            <w:r>
              <w:rPr>
                <w:rFonts w:ascii="仿宋_GB2312" w:hAnsi="仿宋_GB2312" w:cs="仿宋_GB2312" w:eastAsia="仿宋_GB2312"/>
                <w:sz w:val="24"/>
              </w:rPr>
              <w:t>(巡查)、清理零星坍方、清除杂草、清洗(修正)标志及公路护栏、清捡沿线公路范围内的白色垃圾及各种杂草、构造物小修、环境综合治理(含绿化) 清理挡墙、护坡 (日常养护) 等工作、公路应急突发事件汇报。</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b/>
              </w:rPr>
              <w:t>三、</w:t>
            </w:r>
            <w:r>
              <w:rPr>
                <w:rFonts w:ascii="仿宋_GB2312" w:hAnsi="仿宋_GB2312" w:cs="仿宋_GB2312" w:eastAsia="仿宋_GB2312"/>
                <w:sz w:val="24"/>
                <w:b/>
              </w:rPr>
              <w:t>养护要求</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1）路面路肩养护：清扫、冲洗路面及路肩上的灰带、抛洒物、尘土、污染物等；及时捡拾白色垃圾、果皮、纸屑等杂物；确保路面整洁干净、排水通畅、路肩无堆积物及杂草。</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2）路基及边沟养护：及时清理边沟、路基堆占等杂物，确保边沟、排水沟等排水设施无淤塞、无杂草、排水通畅，原则上边沟清理每季度不低于1次，汛期根据实际情况增加清理次数。</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3）桥涵养护：桥涵进出水口无堵塞；积极开展日常巡查工作，发现病害及安全隐患及时报告。确保伸缩缝无沉积物，泄水孔通畅，桥涵上无杂草及杂物。清理桥梁范围水域杂物及堵塞物。</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4）公路附属设施养护：包括交通安全设施、公路标志及其他一切公路配套设施等。及时清洗各种公路附属设施，原则上每季度不少于一次的集中清洗，另及时冲洗污染的设施；里程碑、百米桩保持干净整洁，每年年底至少刷漆一次。</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5）绿化养护：灌木修剪原则上每季度不低于 1 次；对遮挡公路附属设施和影响通行安全的乔木 (含行道树) 及时进行修枝，对枯死的及时进行清除；对公路用地范围内的杂草随时进行清除。如遇重要会议、节庆活动或其它特殊情况时，供应商按照采购人相关要求对绿化进行整治，次数不限。</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6）路面坑凼：对管养路段上出现的坑凼，在未落实修补方案之前，供应商应用碎石、砂砾石、水泥稳定碎石等简易材料进行临时处理，同时及时上报到采购人，确保不影响行车安全。</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7）垃圾处理：对边沟、桥涵、坍方及临时堆占物清理产生的建渣、垃圾、杂物等必须按城乡环境综合治理要求由供应商自行妥善处置，不得随意倾倒。</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8）构造物小修：维护各种构造物，及时疏通挡墙及桥梁的泄水孔。</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9）塌方清理：因各类自然灾害及其它特殊原因造成的塌方，每处5m³及以下的属于养护范围，由供应商负责清理；5m³以上的由采购人自行清理。</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10）安全管理：树木倒伏及其他影响交通通行安全的，属于日常管护范围，概由供应商负责处置。</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11）路面除冰、除雪：当发生冰雪自然灾害时，供应商应及时组织人员、机械进行除冰、打冰防滑，铺撒防滑材料，增设临时安全标志、标牌，保障道路畅通，除雪所需材料、机械由供应商承担。</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12）养护站的维护：及时清理养护站的白色垃圾、果皮、纸屑等杂物，确保养护站的整洁；对养护站的设施设备开展日常检修维护。</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公路应急突发事件处理上报：对所管养路段及桥涵要实行跟踪观测，若发现险情或有险情发生的隐患时，应立即进行抢险或清除险情隐患，设置简易醒目警示标志，边处置边向采购人报告；如无力完成抢险或清除险情隐患时，应立即上报采购人。</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）特殊情况：因重要会议、节庆活动需加强道路清扫保洁或对道路周边环境有特别要求的，按采购人及州级相关部门要求执行。</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b/>
              </w:rPr>
              <w:t>四</w:t>
            </w:r>
            <w:r>
              <w:rPr>
                <w:rFonts w:ascii="仿宋_GB2312" w:hAnsi="仿宋_GB2312" w:cs="仿宋_GB2312" w:eastAsia="仿宋_GB2312"/>
                <w:sz w:val="24"/>
                <w:b/>
              </w:rPr>
              <w:t>、管理要求</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1）供应商要建立对职工的考评制度和巡查制度，配合采购人做好巡查、考核工作。</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2）对未经许可，随意破坏公路、侵占公路的行为，以及对乱砍乱伐路树的行为，要及时向采购人报告。</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3）对道路、桥涵上出现的影响行车安全和桥涵结构物出现的安全隐患要及时报告采购人。</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4）供应商对配备的养护机具应进行日常维修保养，以确保人员安全和养护工作的正常有序开展。</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供应商为本项目配备不少于</w:t>
            </w:r>
            <w:r>
              <w:rPr>
                <w:rFonts w:ascii="仿宋_GB2312" w:hAnsi="仿宋_GB2312" w:cs="仿宋_GB2312" w:eastAsia="仿宋_GB2312"/>
                <w:sz w:val="24"/>
              </w:rPr>
              <w:t>8</w:t>
            </w:r>
            <w:r>
              <w:rPr>
                <w:rFonts w:ascii="仿宋_GB2312" w:hAnsi="仿宋_GB2312" w:cs="仿宋_GB2312" w:eastAsia="仿宋_GB2312"/>
                <w:sz w:val="24"/>
              </w:rPr>
              <w:t>人的服务团队，养护与管理人员的配备应满足养护工作的需求，聘用的养护工应身体健康，男性要求在</w:t>
            </w:r>
            <w:r>
              <w:rPr>
                <w:rFonts w:ascii="仿宋_GB2312" w:hAnsi="仿宋_GB2312" w:cs="仿宋_GB2312" w:eastAsia="仿宋_GB2312"/>
                <w:sz w:val="24"/>
              </w:rPr>
              <w:t>18岁-55岁，女性要求在 18 岁-45 岁。</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）因重要保通任务需加强道路清扫保洁或对道路周边环境有特别要求的，按采购人及州级相关部门要求执行。</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）遇恶劣天气、大面积抛洒等突发事件，按应急抢险预案处置。</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）养护工在清扫路面时垃圾必须集中收集，不得向公路沿线及河道倾倒。</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）供应商为本项目配备一名负责人，保证通讯</w:t>
            </w:r>
            <w:r>
              <w:rPr>
                <w:rFonts w:ascii="仿宋_GB2312" w:hAnsi="仿宋_GB2312" w:cs="仿宋_GB2312" w:eastAsia="仿宋_GB2312"/>
                <w:sz w:val="24"/>
              </w:rPr>
              <w:t>24小时畅通，若项目负责人需外出的，应提前向采购人报告并履行相关手续。</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）供应商要按照国省道日常养护内业资料填报标准及要求认真规范填写，做好现场过程记录，及时整理归档备查。每月将相关资料上交，各类报表由采购人提供。</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）因路面发生特殊紧急情况</w:t>
            </w:r>
            <w:r>
              <w:rPr>
                <w:rFonts w:ascii="仿宋_GB2312" w:hAnsi="仿宋_GB2312" w:cs="仿宋_GB2312" w:eastAsia="仿宋_GB2312"/>
                <w:sz w:val="24"/>
              </w:rPr>
              <w:t>(如：交通事故、堵车、自然灾害等，供应商应30分钟内到现场进行道路安全行车隐患排查及道路维修处理) 。值班人员要24小时在岗，值班电话24小时有人接听。确保上请下达的畅通。</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）供应商对日常养护过程中发现的路面病害统计应及时上报，对影响通行安全的要及时进行临时处置。</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）汛期应严格落实三查制度：雨前排查、雨中巡查、雨后核查。</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）具体养护过程中，养护人员应按照相关管理制度要求，结合采购人需求，严格按照相关流程进行作业。</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）严格落实上下班作息制度，夏季上班时间为</w:t>
            </w:r>
            <w:r>
              <w:rPr>
                <w:rFonts w:ascii="仿宋_GB2312" w:hAnsi="仿宋_GB2312" w:cs="仿宋_GB2312" w:eastAsia="仿宋_GB2312"/>
                <w:sz w:val="24"/>
              </w:rPr>
              <w:t>8:30-17:30 ；冬季上班时间为9:00-17:00。如遇突发情况，根据实际情况延长上班时间。</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b/>
              </w:rPr>
              <w:t>五</w:t>
            </w:r>
            <w:r>
              <w:rPr>
                <w:rFonts w:ascii="仿宋_GB2312" w:hAnsi="仿宋_GB2312" w:cs="仿宋_GB2312" w:eastAsia="仿宋_GB2312"/>
                <w:sz w:val="24"/>
                <w:b/>
              </w:rPr>
              <w:t>、安全生产要求</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1）成交供应商应建立完善的安全生产制度，配备专门的安全人员，定期对养护路段开展安全巡查。</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2）在整个服务期内，供应商应对养护作业人员进行安全教育和技能培训，使其熟知并严格遵守各项安全操作规程。</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3）成交供应商在养护作业路段应按《公路养护安全作业规程》要求设置安全标志及设施，做好安全引导工作，确保养护作业在安全的前提下开展。</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4）供应商</w:t>
            </w:r>
            <w:r>
              <w:rPr>
                <w:rFonts w:ascii="仿宋_GB2312" w:hAnsi="仿宋_GB2312" w:cs="仿宋_GB2312" w:eastAsia="仿宋_GB2312"/>
                <w:sz w:val="24"/>
              </w:rPr>
              <w:t>在中标后</w:t>
            </w:r>
            <w:r>
              <w:rPr>
                <w:rFonts w:ascii="仿宋_GB2312" w:hAnsi="仿宋_GB2312" w:cs="仿宋_GB2312" w:eastAsia="仿宋_GB2312"/>
                <w:sz w:val="24"/>
              </w:rPr>
              <w:t>应为养护作业人员每人购买一份人身意外险，保额不得低于</w:t>
            </w:r>
            <w:r>
              <w:rPr>
                <w:rFonts w:ascii="仿宋_GB2312" w:hAnsi="仿宋_GB2312" w:cs="仿宋_GB2312" w:eastAsia="仿宋_GB2312"/>
                <w:sz w:val="24"/>
              </w:rPr>
              <w:t>80 万元。</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供应商应为养护工作人员统一配置养护作业服、作业帽、反光背心和必要的安全防护装备等，路上作业时必须着装规范。</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b/>
              </w:rPr>
              <w:t>六</w:t>
            </w:r>
            <w:r>
              <w:rPr>
                <w:rFonts w:ascii="仿宋_GB2312" w:hAnsi="仿宋_GB2312" w:cs="仿宋_GB2312" w:eastAsia="仿宋_GB2312"/>
                <w:sz w:val="24"/>
                <w:b/>
              </w:rPr>
              <w:t>、考核要求</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1）合同期内，采购人结合日常巡查结果，每季度对供应商进行考核，根据各单项考核打分结果计算出当季度考核评分。当季度考核得分90分 (含) 以上的，按合同约定金额全额向供应商支付；当季度考核得分85(含) 至90分 (不含) 的，在支付当季度服务费时按合同总金额的1%进行罚款；若考核得分为80分（含）至85 分 (不含) 以下，在支付当季度服务费时按合同总金额的2%进行罚款；季度考核低于80分的，在支付当季度服务费时按合同总金额的2.5%进行罚款；季度考核连续两次得分低于80分，采购人有权要求终止采购合同，由供应商承担相关违约责任。</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2）考核标准</w:t>
            </w:r>
            <w:r>
              <w:rPr>
                <w:rFonts w:ascii="仿宋_GB2312" w:hAnsi="仿宋_GB2312" w:cs="仿宋_GB2312" w:eastAsia="仿宋_GB2312"/>
                <w:sz w:val="24"/>
              </w:rPr>
              <w:t>（供应商与采购人可根据工作实际对考核标准进行协商修改。）</w:t>
            </w:r>
          </w:p>
          <w:tbl>
            <w:tblPr>
              <w:tblInd w:type="dxa" w:w="75"/>
              <w:tblBorders>
                <w:top w:val="none" w:color="000000" w:sz="4"/>
                <w:left w:val="none" w:color="000000" w:sz="4"/>
                <w:bottom w:val="none" w:color="000000" w:sz="4"/>
                <w:right w:val="none" w:color="000000" w:sz="4"/>
                <w:insideH w:val="none"/>
                <w:insideV w:val="none"/>
              </w:tblBorders>
            </w:tblPr>
            <w:tblGrid>
              <w:gridCol w:w="933"/>
              <w:gridCol w:w="554"/>
              <w:gridCol w:w="1312"/>
              <w:gridCol w:w="933"/>
              <w:gridCol w:w="933"/>
              <w:gridCol w:w="933"/>
            </w:tblGrid>
            <w:tr>
              <w:tc>
                <w:tcPr>
                  <w:tcW w:type="dxa" w:w="9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基本项目</w:t>
                  </w:r>
                </w:p>
              </w:tc>
              <w:tc>
                <w:tcPr>
                  <w:tcW w:type="dxa" w:w="13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主要考核内容</w:t>
                  </w:r>
                </w:p>
              </w:tc>
              <w:tc>
                <w:tcPr>
                  <w:tcW w:type="dxa" w:w="9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分值</w:t>
                  </w:r>
                </w:p>
              </w:tc>
              <w:tc>
                <w:tcPr>
                  <w:tcW w:type="dxa" w:w="9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0"/>
                    </w:rPr>
                    <w:t>评分细则</w:t>
                  </w:r>
                </w:p>
              </w:tc>
              <w:tc>
                <w:tcPr>
                  <w:tcW w:type="dxa" w:w="9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得分</w:t>
                  </w:r>
                </w:p>
              </w:tc>
            </w:tr>
            <w:tr>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w:t>
                  </w:r>
                </w:p>
                <w:p>
                  <w:pPr>
                    <w:pStyle w:val="null3"/>
                    <w:ind w:firstLine="380"/>
                    <w:jc w:val="center"/>
                  </w:pPr>
                </w:p>
              </w:tc>
              <w:tc>
                <w:tcPr>
                  <w:tcW w:type="dxa" w:w="5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人员配置考核</w:t>
                  </w: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在岗情况</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12分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为确保日常养护工作正常开展，养护与管理人员的配备必须满足养护工作的需求，确保每天不少于</w:t>
                  </w:r>
                  <w:r>
                    <w:rPr>
                      <w:rFonts w:ascii="仿宋_GB2312" w:hAnsi="仿宋_GB2312" w:cs="仿宋_GB2312" w:eastAsia="仿宋_GB2312"/>
                      <w:sz w:val="20"/>
                    </w:rPr>
                    <w:t>8</w:t>
                  </w:r>
                  <w:r>
                    <w:rPr>
                      <w:rFonts w:ascii="仿宋_GB2312" w:hAnsi="仿宋_GB2312" w:cs="仿宋_GB2312" w:eastAsia="仿宋_GB2312"/>
                      <w:sz w:val="20"/>
                    </w:rPr>
                    <w:t>人参与道路养护工作。每发现在岗人员少</w:t>
                  </w:r>
                  <w:r>
                    <w:rPr>
                      <w:rFonts w:ascii="仿宋_GB2312" w:hAnsi="仿宋_GB2312" w:cs="仿宋_GB2312" w:eastAsia="仿宋_GB2312"/>
                      <w:sz w:val="20"/>
                    </w:rPr>
                    <w:t>1人的，一次扣3分</w:t>
                  </w:r>
                  <w:r>
                    <w:rPr>
                      <w:rFonts w:ascii="仿宋_GB2312" w:hAnsi="仿宋_GB2312" w:cs="仿宋_GB2312" w:eastAsia="仿宋_GB2312"/>
                      <w:sz w:val="20"/>
                    </w:rPr>
                    <w:t>，扣完为止</w:t>
                  </w:r>
                  <w:r>
                    <w:rPr>
                      <w:rFonts w:ascii="仿宋_GB2312" w:hAnsi="仿宋_GB2312" w:cs="仿宋_GB2312" w:eastAsia="仿宋_GB2312"/>
                      <w:sz w:val="20"/>
                    </w:rPr>
                    <w:t>。</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r>
              <w:tc>
                <w:tcPr>
                  <w:tcW w:type="dxa" w:w="93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5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日常巡查考核</w:t>
                  </w: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路面、桥面的养护管理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16分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1.在日常巡查路面、桥面时，发现一处不整洁，巡查人员立即通知供应商清理，在两小时内清理完毕，否则每处扣2分</w:t>
                  </w:r>
                  <w:r>
                    <w:rPr>
                      <w:rFonts w:ascii="仿宋_GB2312" w:hAnsi="仿宋_GB2312" w:cs="仿宋_GB2312" w:eastAsia="仿宋_GB2312"/>
                      <w:sz w:val="20"/>
                    </w:rPr>
                    <w:t>，扣完为止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2.养护工向公路沿线及河道倾倒垃圾的每发现1次扣2分</w:t>
                  </w:r>
                  <w:r>
                    <w:rPr>
                      <w:rFonts w:ascii="仿宋_GB2312" w:hAnsi="仿宋_GB2312" w:cs="仿宋_GB2312" w:eastAsia="仿宋_GB2312"/>
                      <w:sz w:val="20"/>
                    </w:rPr>
                    <w:t>，扣完为止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3.养护工在进行养护作业时未按照《公路养护安全作业规程 》要求设置安全标志及设施的每次扣2分</w:t>
                  </w:r>
                  <w:r>
                    <w:rPr>
                      <w:rFonts w:ascii="仿宋_GB2312" w:hAnsi="仿宋_GB2312" w:cs="仿宋_GB2312" w:eastAsia="仿宋_GB2312"/>
                      <w:sz w:val="20"/>
                    </w:rPr>
                    <w:t>，扣完为止</w:t>
                  </w:r>
                  <w:r>
                    <w:rPr>
                      <w:rFonts w:ascii="仿宋_GB2312" w:hAnsi="仿宋_GB2312" w:cs="仿宋_GB2312" w:eastAsia="仿宋_GB2312"/>
                      <w:sz w:val="20"/>
                    </w:rPr>
                    <w:t>。</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r>
              <w:tc>
                <w:tcPr>
                  <w:tcW w:type="dxa" w:w="933"/>
                  <w:vMerge/>
                  <w:tcBorders>
                    <w:top w:val="none" w:color="000000" w:sz="4"/>
                    <w:left w:val="single" w:color="000000" w:sz="4"/>
                    <w:bottom w:val="single" w:color="000000" w:sz="4"/>
                    <w:right w:val="single" w:color="000000" w:sz="4"/>
                  </w:tcBorders>
                </w:tcPr>
                <w:p/>
              </w:tc>
              <w:tc>
                <w:tcPr>
                  <w:tcW w:type="dxa" w:w="554"/>
                  <w:vMerge/>
                  <w:tcBorders>
                    <w:top w:val="none" w:color="000000" w:sz="4"/>
                    <w:left w:val="single" w:color="000000" w:sz="4"/>
                    <w:bottom w:val="single" w:color="000000" w:sz="4"/>
                    <w:right w:val="single" w:color="000000" w:sz="4"/>
                  </w:tcBorders>
                </w:tcP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边沟的养护管理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12分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三面光的边沟，要全部清理干净；边沟阻塞的，采购人发现立即通知供应商，供应商在两天内没有进行清理的，每</w:t>
                  </w:r>
                  <w:r>
                    <w:rPr>
                      <w:rFonts w:ascii="仿宋_GB2312" w:hAnsi="仿宋_GB2312" w:cs="仿宋_GB2312" w:eastAsia="仿宋_GB2312"/>
                      <w:sz w:val="20"/>
                    </w:rPr>
                    <w:t>10米（不足10米按照10米）扣2分/次；临时抛洒的垃圾及杂物，两小时内未清理的每10米（不足10米按照10米）扣1分/次</w:t>
                  </w:r>
                  <w:r>
                    <w:rPr>
                      <w:rFonts w:ascii="仿宋_GB2312" w:hAnsi="仿宋_GB2312" w:cs="仿宋_GB2312" w:eastAsia="仿宋_GB2312"/>
                      <w:sz w:val="20"/>
                    </w:rPr>
                    <w:t>，扣完为止</w:t>
                  </w:r>
                  <w:r>
                    <w:rPr>
                      <w:rFonts w:ascii="仿宋_GB2312" w:hAnsi="仿宋_GB2312" w:cs="仿宋_GB2312" w:eastAsia="仿宋_GB2312"/>
                      <w:sz w:val="20"/>
                    </w:rPr>
                    <w:t>。</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r>
              <w:tc>
                <w:tcPr>
                  <w:tcW w:type="dxa" w:w="933"/>
                  <w:vMerge/>
                  <w:tcBorders>
                    <w:top w:val="none" w:color="000000" w:sz="4"/>
                    <w:left w:val="single" w:color="000000" w:sz="4"/>
                    <w:bottom w:val="single" w:color="000000" w:sz="4"/>
                    <w:right w:val="single" w:color="000000" w:sz="4"/>
                  </w:tcBorders>
                </w:tcPr>
                <w:p/>
              </w:tc>
              <w:tc>
                <w:tcPr>
                  <w:tcW w:type="dxa" w:w="554"/>
                  <w:vMerge/>
                  <w:tcBorders>
                    <w:top w:val="none" w:color="000000" w:sz="4"/>
                    <w:left w:val="single" w:color="000000" w:sz="4"/>
                    <w:bottom w:val="single" w:color="000000" w:sz="4"/>
                    <w:right w:val="single" w:color="000000" w:sz="4"/>
                  </w:tcBorders>
                </w:tcP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绿化带养护管理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12分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1.绿化带上的堆占物通知供应商后未在24个小时内进行清理的，每处扣 2分/次</w:t>
                  </w:r>
                  <w:r>
                    <w:rPr>
                      <w:rFonts w:ascii="仿宋_GB2312" w:hAnsi="仿宋_GB2312" w:cs="仿宋_GB2312" w:eastAsia="仿宋_GB2312"/>
                      <w:sz w:val="20"/>
                    </w:rPr>
                    <w:t>，扣完为止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2.发现倒伏枯树，巡查人员通知供应商后三天内未清除的每棵扣2分/次</w:t>
                  </w:r>
                  <w:r>
                    <w:rPr>
                      <w:rFonts w:ascii="仿宋_GB2312" w:hAnsi="仿宋_GB2312" w:cs="仿宋_GB2312" w:eastAsia="仿宋_GB2312"/>
                      <w:sz w:val="20"/>
                    </w:rPr>
                    <w:t>，扣完为止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3.绿化带草坪连续10米（不足10米按照10米）未修剪的，每10米扣2分/次</w:t>
                  </w:r>
                  <w:r>
                    <w:rPr>
                      <w:rFonts w:ascii="仿宋_GB2312" w:hAnsi="仿宋_GB2312" w:cs="仿宋_GB2312" w:eastAsia="仿宋_GB2312"/>
                      <w:sz w:val="20"/>
                    </w:rPr>
                    <w:t>，扣完为止</w:t>
                  </w:r>
                  <w:r>
                    <w:rPr>
                      <w:rFonts w:ascii="仿宋_GB2312" w:hAnsi="仿宋_GB2312" w:cs="仿宋_GB2312" w:eastAsia="仿宋_GB2312"/>
                      <w:sz w:val="20"/>
                    </w:rPr>
                    <w:t>。</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r>
              <w:tc>
                <w:tcPr>
                  <w:tcW w:type="dxa" w:w="933"/>
                  <w:vMerge/>
                  <w:tcBorders>
                    <w:top w:val="none" w:color="000000" w:sz="4"/>
                    <w:left w:val="single" w:color="000000" w:sz="4"/>
                    <w:bottom w:val="single" w:color="000000" w:sz="4"/>
                    <w:right w:val="single" w:color="000000" w:sz="4"/>
                  </w:tcBorders>
                </w:tcPr>
                <w:p/>
              </w:tc>
              <w:tc>
                <w:tcPr>
                  <w:tcW w:type="dxa" w:w="554"/>
                  <w:vMerge/>
                  <w:tcBorders>
                    <w:top w:val="none" w:color="000000" w:sz="4"/>
                    <w:left w:val="single" w:color="000000" w:sz="4"/>
                    <w:bottom w:val="single" w:color="000000" w:sz="4"/>
                    <w:right w:val="single" w:color="000000" w:sz="4"/>
                  </w:tcBorders>
                </w:tcP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交安设施养护管理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8分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波形护栏、标志标牌等公路附属设施不整洁，供应商未在</w:t>
                  </w:r>
                  <w:r>
                    <w:rPr>
                      <w:rFonts w:ascii="仿宋_GB2312" w:hAnsi="仿宋_GB2312" w:cs="仿宋_GB2312" w:eastAsia="仿宋_GB2312"/>
                      <w:sz w:val="20"/>
                    </w:rPr>
                    <w:t>24小时内进行冲洗的每处扣2分/次</w:t>
                  </w:r>
                  <w:r>
                    <w:rPr>
                      <w:rFonts w:ascii="仿宋_GB2312" w:hAnsi="仿宋_GB2312" w:cs="仿宋_GB2312" w:eastAsia="仿宋_GB2312"/>
                      <w:sz w:val="20"/>
                    </w:rPr>
                    <w:t>，扣完为止</w:t>
                  </w:r>
                  <w:r>
                    <w:rPr>
                      <w:rFonts w:ascii="仿宋_GB2312" w:hAnsi="仿宋_GB2312" w:cs="仿宋_GB2312" w:eastAsia="仿宋_GB2312"/>
                      <w:sz w:val="20"/>
                    </w:rPr>
                    <w:t>。</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r>
              <w:tc>
                <w:tcPr>
                  <w:tcW w:type="dxa" w:w="933"/>
                  <w:vMerge/>
                  <w:tcBorders>
                    <w:top w:val="none" w:color="000000" w:sz="4"/>
                    <w:left w:val="single" w:color="000000" w:sz="4"/>
                    <w:bottom w:val="single" w:color="000000" w:sz="4"/>
                    <w:right w:val="single" w:color="000000" w:sz="4"/>
                  </w:tcBorders>
                </w:tcPr>
                <w:p/>
              </w:tc>
              <w:tc>
                <w:tcPr>
                  <w:tcW w:type="dxa" w:w="554"/>
                  <w:vMerge/>
                  <w:tcBorders>
                    <w:top w:val="none" w:color="000000" w:sz="4"/>
                    <w:left w:val="single" w:color="000000" w:sz="4"/>
                    <w:bottom w:val="single" w:color="000000" w:sz="4"/>
                    <w:right w:val="single" w:color="000000" w:sz="4"/>
                  </w:tcBorders>
                </w:tcP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应急抢险</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10分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由于供应商不能及时完成应急抢险任务的，由采购人另行组织人员处置，所产生费用在供应商养护经费中扣减；并一次扣</w:t>
                  </w:r>
                  <w:r>
                    <w:rPr>
                      <w:rFonts w:ascii="仿宋_GB2312" w:hAnsi="仿宋_GB2312" w:cs="仿宋_GB2312" w:eastAsia="仿宋_GB2312"/>
                      <w:sz w:val="20"/>
                    </w:rPr>
                    <w:t>5分</w:t>
                  </w:r>
                  <w:r>
                    <w:rPr>
                      <w:rFonts w:ascii="仿宋_GB2312" w:hAnsi="仿宋_GB2312" w:cs="仿宋_GB2312" w:eastAsia="仿宋_GB2312"/>
                      <w:sz w:val="20"/>
                    </w:rPr>
                    <w:t>，扣完为止</w:t>
                  </w:r>
                  <w:r>
                    <w:rPr>
                      <w:rFonts w:ascii="仿宋_GB2312" w:hAnsi="仿宋_GB2312" w:cs="仿宋_GB2312" w:eastAsia="仿宋_GB2312"/>
                      <w:sz w:val="20"/>
                    </w:rPr>
                    <w:t>。</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r>
              <w:tc>
                <w:tcPr>
                  <w:tcW w:type="dxa" w:w="93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54"/>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0"/>
                    </w:rPr>
                    <w:t>安全生产要求</w:t>
                  </w: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供应商必须建立完善的安全生产制度，配备专门的安全人员，经常对养护人员进行操作规范培训及安全生产教育，对养护作业随时进行安全检查。</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12分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1、发现没有建立相关安全生产制度的扣2分；</w:t>
                  </w:r>
                </w:p>
                <w:p>
                  <w:pPr>
                    <w:pStyle w:val="null3"/>
                    <w:jc w:val="left"/>
                  </w:pPr>
                  <w:r>
                    <w:rPr>
                      <w:rFonts w:ascii="仿宋_GB2312" w:hAnsi="仿宋_GB2312" w:cs="仿宋_GB2312" w:eastAsia="仿宋_GB2312"/>
                      <w:sz w:val="20"/>
                    </w:rPr>
                    <w:t>2、没有配备专门的安全人员的扣2分；</w:t>
                  </w:r>
                </w:p>
                <w:p>
                  <w:pPr>
                    <w:pStyle w:val="null3"/>
                    <w:jc w:val="left"/>
                  </w:pPr>
                  <w:r>
                    <w:rPr>
                      <w:rFonts w:ascii="仿宋_GB2312" w:hAnsi="仿宋_GB2312" w:cs="仿宋_GB2312" w:eastAsia="仿宋_GB2312"/>
                      <w:sz w:val="20"/>
                    </w:rPr>
                    <w:t>3、定期未对养护人员进行操作规范培训及安全生产教育的扣2分/次。</w:t>
                  </w:r>
                </w:p>
                <w:p>
                  <w:pPr>
                    <w:pStyle w:val="null3"/>
                    <w:jc w:val="left"/>
                  </w:pPr>
                  <w:r>
                    <w:rPr>
                      <w:rFonts w:ascii="仿宋_GB2312" w:hAnsi="仿宋_GB2312" w:cs="仿宋_GB2312" w:eastAsia="仿宋_GB2312"/>
                      <w:sz w:val="20"/>
                    </w:rPr>
                    <w:t>本项共计</w:t>
                  </w:r>
                  <w:r>
                    <w:rPr>
                      <w:rFonts w:ascii="仿宋_GB2312" w:hAnsi="仿宋_GB2312" w:cs="仿宋_GB2312" w:eastAsia="仿宋_GB2312"/>
                      <w:sz w:val="20"/>
                    </w:rPr>
                    <w:t>12分</w:t>
                  </w:r>
                  <w:r>
                    <w:rPr>
                      <w:rFonts w:ascii="仿宋_GB2312" w:hAnsi="仿宋_GB2312" w:cs="仿宋_GB2312" w:eastAsia="仿宋_GB2312"/>
                      <w:sz w:val="20"/>
                    </w:rPr>
                    <w:t>，扣完为止。</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r>
              <w:tc>
                <w:tcPr>
                  <w:tcW w:type="dxa" w:w="933"/>
                  <w:vMerge/>
                  <w:tcBorders>
                    <w:top w:val="none" w:color="000000" w:sz="4"/>
                    <w:left w:val="single" w:color="000000" w:sz="4"/>
                    <w:bottom w:val="single" w:color="000000" w:sz="4"/>
                    <w:right w:val="single" w:color="000000" w:sz="4"/>
                  </w:tcBorders>
                </w:tcPr>
                <w:p/>
              </w:tc>
              <w:tc>
                <w:tcPr>
                  <w:tcW w:type="dxa" w:w="554"/>
                  <w:vMerge/>
                  <w:tcBorders>
                    <w:top w:val="none" w:color="000000" w:sz="4"/>
                    <w:left w:val="single" w:color="000000" w:sz="4"/>
                    <w:bottom w:val="single" w:color="000000" w:sz="4"/>
                    <w:right w:val="single" w:color="000000" w:sz="4"/>
                  </w:tcBorders>
                </w:tcP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供应商必须为养护作业人员每人购买一份人身意外险。</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10分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供应商必须为养护作业人员每人购买一份人身意外险，保额不得低于</w:t>
                  </w:r>
                  <w:r>
                    <w:rPr>
                      <w:rFonts w:ascii="仿宋_GB2312" w:hAnsi="仿宋_GB2312" w:cs="仿宋_GB2312" w:eastAsia="仿宋_GB2312"/>
                      <w:sz w:val="20"/>
                    </w:rPr>
                    <w:t>80 万元，如发现未购买的1人扣5分</w:t>
                  </w:r>
                  <w:r>
                    <w:rPr>
                      <w:rFonts w:ascii="仿宋_GB2312" w:hAnsi="仿宋_GB2312" w:cs="仿宋_GB2312" w:eastAsia="仿宋_GB2312"/>
                      <w:sz w:val="20"/>
                    </w:rPr>
                    <w:t>，扣完为止</w:t>
                  </w:r>
                  <w:r>
                    <w:rPr>
                      <w:rFonts w:ascii="仿宋_GB2312" w:hAnsi="仿宋_GB2312" w:cs="仿宋_GB2312" w:eastAsia="仿宋_GB2312"/>
                      <w:sz w:val="20"/>
                    </w:rPr>
                    <w:t>。</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r>
              <w:tc>
                <w:tcPr>
                  <w:tcW w:type="dxa" w:w="933"/>
                  <w:vMerge/>
                  <w:tcBorders>
                    <w:top w:val="none" w:color="000000" w:sz="4"/>
                    <w:left w:val="single" w:color="000000" w:sz="4"/>
                    <w:bottom w:val="single" w:color="000000" w:sz="4"/>
                    <w:right w:val="single" w:color="000000" w:sz="4"/>
                  </w:tcBorders>
                </w:tcPr>
                <w:p/>
              </w:tc>
              <w:tc>
                <w:tcPr>
                  <w:tcW w:type="dxa" w:w="554"/>
                  <w:vMerge/>
                  <w:tcBorders>
                    <w:top w:val="none" w:color="000000" w:sz="4"/>
                    <w:left w:val="single" w:color="000000" w:sz="4"/>
                    <w:bottom w:val="single" w:color="000000" w:sz="4"/>
                    <w:right w:val="single" w:color="000000" w:sz="4"/>
                  </w:tcBorders>
                </w:tcPr>
                <w:p/>
              </w:tc>
              <w:tc>
                <w:tcPr>
                  <w:tcW w:type="dxa" w:w="1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统一制服</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8分</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统一配置养护作业服、作业帽、反光背心和必要的安全防护装备等，上路作业时必须规范着装，如发现一次不按要求着装的一人扣</w:t>
                  </w:r>
                  <w:r>
                    <w:rPr>
                      <w:rFonts w:ascii="仿宋_GB2312" w:hAnsi="仿宋_GB2312" w:cs="仿宋_GB2312" w:eastAsia="仿宋_GB2312"/>
                      <w:sz w:val="20"/>
                    </w:rPr>
                    <w:t>2分</w:t>
                  </w:r>
                  <w:r>
                    <w:rPr>
                      <w:rFonts w:ascii="仿宋_GB2312" w:hAnsi="仿宋_GB2312" w:cs="仿宋_GB2312" w:eastAsia="仿宋_GB2312"/>
                      <w:sz w:val="20"/>
                    </w:rPr>
                    <w:t>，扣完为止</w:t>
                  </w:r>
                  <w:r>
                    <w:rPr>
                      <w:rFonts w:ascii="仿宋_GB2312" w:hAnsi="仿宋_GB2312" w:cs="仿宋_GB2312" w:eastAsia="仿宋_GB2312"/>
                      <w:sz w:val="20"/>
                    </w:rPr>
                    <w:t>。</w:t>
                  </w:r>
                </w:p>
              </w:tc>
              <w:tc>
                <w:tcPr>
                  <w:tcW w:type="dxa" w:w="9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中标单位与采购单位严格按照《财政部关于进一步加强政府采购需求和履约验收管理的指导意见》（财库〔2016〕205号）的要求进行验收。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1、按照季度付款，第一季度在采购人收到供应商出具有效税务发票后，达到付款条件起7日内，据实结算说明为支付合同总金额的25%（如涉及考核扣款，支付时按扣除后的金额进行支付）</w:t>
            </w:r>
          </w:p>
          <w:p>
            <w:pPr>
              <w:pStyle w:val="null3"/>
              <w:jc w:val="left"/>
            </w:pPr>
            <w:r>
              <w:rPr>
                <w:rFonts w:ascii="仿宋_GB2312" w:hAnsi="仿宋_GB2312" w:cs="仿宋_GB2312" w:eastAsia="仿宋_GB2312"/>
              </w:rPr>
              <w:t>2、按照季度付款，第二季度在采购人收到供应商出具有效税务发票后，达到付款条件起7日内，据实结算说明为支付合同总金额的25%（如涉及考核扣款，支付时按扣除后的金额进行支付）</w:t>
            </w:r>
          </w:p>
          <w:p>
            <w:pPr>
              <w:pStyle w:val="null3"/>
              <w:jc w:val="left"/>
            </w:pPr>
            <w:r>
              <w:rPr>
                <w:rFonts w:ascii="仿宋_GB2312" w:hAnsi="仿宋_GB2312" w:cs="仿宋_GB2312" w:eastAsia="仿宋_GB2312"/>
              </w:rPr>
              <w:t>3、按照季度付款，第三季度在采购人收到供应商出具有效税务发票后，达到付款条件起7日内，据实结算说明为支付合同总金额的25%（如涉及考核扣款，支付时按扣除后的金额进行支付）</w:t>
            </w:r>
          </w:p>
          <w:p>
            <w:pPr>
              <w:pStyle w:val="null3"/>
              <w:jc w:val="left"/>
            </w:pPr>
            <w:r>
              <w:rPr>
                <w:rFonts w:ascii="仿宋_GB2312" w:hAnsi="仿宋_GB2312" w:cs="仿宋_GB2312" w:eastAsia="仿宋_GB2312"/>
              </w:rPr>
              <w:t>4、按照季度付款，第四季度在采购人收到供应商出具有效税务发票后，达到付款条件起7日内，据实结算说明为支付合同总金额的25%（如涉及考核扣款，支付时按扣除后的金额进行支付）</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按采购需求、采购文件及相关政策法规执行。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供应商的报价是供应商完成本项目所有工作、服务内容的最终报价，包括供应商履约过程中的人员劳务、差旅、保险、风险、税金等所有与履约本项目所需要的其他所有费用。采购人在项目结算时不再向成交供应商支付其他任何费用。如出现在投标报价估算错误等引起的损失由供应商自行承担。本项目合同为固定总价合同，中标价即为合同结算价。 ★（2）安全要求：项目实施过程中的安全责任全部由中标供应商自行承担，并提供相关承诺函。（提供承诺函，格式自拟） （3）若评审得分、最后报价、技术指标得分均相同的，成交候选供应商并列的情况下，供应商为少数民族的优先推荐为项目的成交供应商。（少数民族地区的供应商需提供属于少数民族地区企业的相关证明材料，或供应商注册地为少数民族地区的相关证明材料） （4）供应商需根据本项目采购需求内容制定需求分析方案（评审因素）（①现状道路分析；②项目实施的意义；③项目重难点分析)；编制巡查方案（评审因素）（①巡查的内容；②巡查计划安排；③巡查过程中遇到问题的处理；④巡查资料的整理及归档）；应急抢险方案（评审因素）（①路基水毁抢险；②桥梁水毁抢险；③隧道水毁抢险）；养护管理方案（评审因素）（①路面清扫；②整理路肩边沟及疏浚涵洞；③桥梁管养；④清理零星坍方；⑤清洗标志及公路护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磋商小组可以根据磋商文件和磋商情况实质性变动本条所涉及的内容，但不得变动磋商文件中的其他内容。实质性变动的内容，须经采购人代表确认。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响应文件封面,供应商应提交的资格证明材料.docx,投标（响应）函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供应商报价</w:t>
            </w:r>
          </w:p>
        </w:tc>
        <w:tc>
          <w:tcPr>
            <w:tcW w:type="dxa" w:w="3322"/>
          </w:tcPr>
          <w:p>
            <w:pPr>
              <w:pStyle w:val="null3"/>
              <w:jc w:val="left"/>
            </w:pPr>
            <w:r>
              <w:rPr>
                <w:rFonts w:ascii="仿宋_GB2312" w:hAnsi="仿宋_GB2312" w:cs="仿宋_GB2312" w:eastAsia="仿宋_GB2312"/>
              </w:rPr>
              <w:t>评审过程中出现下列情形之一的，磋商小组应当启动异常低价响应审查程序： 1.响应报价低于全部通过符合性审查供应商响应报价平均值 50 %的，即响应报价&lt;全部通过符合性审查供应商响应报价平均值× 50 %； 2.响应报价低于通过符合性审查的次低报价供应商响应报价 50 %的，即响应报价&lt;通过符合性审查的次低报价供应商响应报价× 50 %； 3.响应报价低于采购项目（采购包）最高限价 45 %的，即响应报价&lt;采购项目（采购包）最高限价× 45 %； 4.磋商小组基于专业判断，认为供应商报价过低，有可能影响产品质量或者不能诚信履约的其他情形。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第三章3.2.技术要求、3.3服务要求、3.3.2商务要求、3.4其他要求中的实质性要求进行响应</w:t>
            </w:r>
          </w:p>
        </w:tc>
        <w:tc>
          <w:tcPr>
            <w:tcW w:type="dxa" w:w="3322"/>
          </w:tcPr>
          <w:p>
            <w:pPr>
              <w:pStyle w:val="null3"/>
              <w:jc w:val="left"/>
            </w:pPr>
            <w:r>
              <w:rPr>
                <w:rFonts w:ascii="仿宋_GB2312" w:hAnsi="仿宋_GB2312" w:cs="仿宋_GB2312" w:eastAsia="仿宋_GB2312"/>
              </w:rPr>
              <w:t>根据磋商文件要求进行响应</w:t>
            </w:r>
          </w:p>
        </w:tc>
        <w:tc>
          <w:tcPr>
            <w:tcW w:type="dxa" w:w="1661"/>
          </w:tcPr>
          <w:p>
            <w:pPr>
              <w:pStyle w:val="null3"/>
              <w:jc w:val="left"/>
            </w:pPr>
            <w:r>
              <w:rPr>
                <w:rFonts w:ascii="仿宋_GB2312" w:hAnsi="仿宋_GB2312" w:cs="仿宋_GB2312" w:eastAsia="仿宋_GB2312"/>
              </w:rPr>
              <w:t>技术服务要求应答表.docx,商务要求应答表.docx,其他要求应答表.docx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详见第三章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供应商根据本项目的服务内容及要求编制需求分析方案：包含①现状道路分析；②项目实施的意义；③项目重难点分析。方案内容完全满足以上要求无缺陷的得15分，每有一项缺失的扣5分；每有一处内容存在不足或不能完全符合本项目要求的扣2.5分； 2、供应商根据本项目的服务内容及要求编制巡查方案：包含①巡查的内容；②巡查计划安排；③巡查过程中遇到问题的处理；④巡查资料的整理及归档。方案内容完全满足以上要求无缺陷的得20分，每有一项缺失的扣5分；每有一处内容存在不足或不能完全符合本项目要求的扣2.5分； 注：内容存在不足或不能完全符合本项目要求指：方案内容不契合行业实际；或不符合行业政策；或方案内容生搬硬造；或方案内容过于简略，存在与项目无关的文字内容；或内容不适用项目实际情况；涉及的规范及标准错误；或方案中存在地点区域错误等。</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应急抢险方案</w:t>
            </w:r>
          </w:p>
        </w:tc>
        <w:tc>
          <w:tcPr>
            <w:tcW w:type="dxa" w:w="2575"/>
          </w:tcPr>
          <w:p>
            <w:pPr>
              <w:pStyle w:val="null3"/>
              <w:jc w:val="left"/>
            </w:pPr>
            <w:r>
              <w:rPr>
                <w:rFonts w:ascii="仿宋_GB2312" w:hAnsi="仿宋_GB2312" w:cs="仿宋_GB2312" w:eastAsia="仿宋_GB2312"/>
              </w:rPr>
              <w:t>供应商根据本项目的服务内容及要求编制应急抢险方案：包含：①路基水毁抢险；②桥梁水毁抢险；③隧道水毁抢险；方案内容完全满足以上要求无缺陷的得15分，每有一项缺失的扣5分；每有一处内容存在不足或不能完全符合本项目要求的扣2.5分； 注：内容存在不足或不能完全符合本项目要求指：方案内容不契合行业实际；或不符合行业政策；或方案内容生搬硬造；或方案内容过于简略，存在与项目无关的文字内容；或内容不适用项目实际情况；涉及的规范及标准错误；或方案中存在地点区域错误等。</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养护管理方案</w:t>
            </w:r>
          </w:p>
        </w:tc>
        <w:tc>
          <w:tcPr>
            <w:tcW w:type="dxa" w:w="2575"/>
          </w:tcPr>
          <w:p>
            <w:pPr>
              <w:pStyle w:val="null3"/>
              <w:jc w:val="left"/>
            </w:pPr>
            <w:r>
              <w:rPr>
                <w:rFonts w:ascii="仿宋_GB2312" w:hAnsi="仿宋_GB2312" w:cs="仿宋_GB2312" w:eastAsia="仿宋_GB2312"/>
              </w:rPr>
              <w:t>供应商根据本项目的服务内容及要求编制养护管理方案：包含①路面清扫；②整理路肩边沟及疏浚涵洞；③桥梁管养；④清理零星坍方；⑤清洗标志及公路护栏。方案内容完全满足以上要求无缺陷的得40分，每有一项缺失的扣8分；每有一处内容存在不足或不能完全符合本项目要求的扣4分； 注：内容存在不足或不能完全符合本项目要求指：方案内容不契合行业实际；或不符合行业政策；或方案内容生搬硬造；或方案内容过于简略，存在与项目无关的文字内容；或内容不适用项目实际情况；涉及的规范及标准错误；或方案中存在地点区域错误等。</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详见附件：供应商应提交的其他证明材料.docx</w:t>
      </w:r>
    </w:p>
    <w:p>
      <w:pPr>
        <w:pStyle w:val="null3"/>
        <w:ind w:firstLine="960"/>
        <w:jc w:val="left"/>
      </w:pPr>
      <w:r>
        <w:rPr>
          <w:rFonts w:ascii="仿宋_GB2312" w:hAnsi="仿宋_GB2312" w:cs="仿宋_GB2312" w:eastAsia="仿宋_GB2312"/>
        </w:rPr>
        <w:t>详见附件：供应商应提交的资格证明材料.docx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