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版本号：N513311202600009820260427001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大渡河流域色曲河色达县城至霍西段水生态保护修复项目工程监理服务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N5133112026000098</w:t>
      </w:r>
    </w:p>
    <w:p>
      <w:pPr>
        <w:pStyle w:val="null3"/>
        <w:jc w:val="center"/>
        <w:outlineLvl w:val="2"/>
      </w:pPr>
      <w:r>
        <w:rPr>
          <w:rFonts w:ascii="仿宋_GB2312" w:hAnsi="仿宋_GB2312" w:cs="仿宋_GB2312" w:eastAsia="仿宋_GB2312"/>
          <w:sz w:val="28"/>
          <w:b/>
        </w:rPr>
        <w:t>甘孜州色达生态环境局</w:t>
      </w:r>
    </w:p>
    <w:p>
      <w:pPr>
        <w:pStyle w:val="null3"/>
        <w:jc w:val="center"/>
        <w:outlineLvl w:val="2"/>
      </w:pPr>
      <w:r>
        <w:rPr>
          <w:rFonts w:ascii="仿宋_GB2312" w:hAnsi="仿宋_GB2312" w:cs="仿宋_GB2312" w:eastAsia="仿宋_GB2312"/>
          <w:sz w:val="28"/>
          <w:b/>
        </w:rPr>
        <w:t>四川标凯招标代理有限公司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四川标凯招标代理有限公司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甘孜州色达生态环境局</w:t>
      </w:r>
      <w:r>
        <w:rPr>
          <w:rFonts w:ascii="仿宋_GB2312" w:hAnsi="仿宋_GB2312" w:cs="仿宋_GB2312" w:eastAsia="仿宋_GB2312"/>
        </w:rPr>
        <w:t xml:space="preserve"> 委托，拟对 </w:t>
      </w:r>
      <w:r>
        <w:rPr>
          <w:rFonts w:ascii="仿宋_GB2312" w:hAnsi="仿宋_GB2312" w:cs="仿宋_GB2312" w:eastAsia="仿宋_GB2312"/>
        </w:rPr>
        <w:t>大渡河流域色曲河色达县城至霍西段水生态保护修复项目工程监理服务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N5133112026000098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大渡河流域色曲河色达县城至霍西段水生态保护修复项目工程监理服务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建设内容及规模：开展河岸生态缓冲带建设工程，共计7处，生态缓冲带建设总面积173597平方米，保育围栏3102米。开展水域水生植被恢复，建设面积20000平方米。本项目招标范围为大渡河流域色曲河色达县城至霍西段水生态保护修复项目的全部监理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1、供应商须具备行政主管部门颁发的市政公用工程监理乙级及以上资质。（描述：供应商须具备行政主管部门颁发的市政公用工程监理乙级及以上资质。提供证书复印件。）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甘孜州色达生态环境局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色达县金马大道东段14号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0836-2606366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四川标凯招标代理有限公司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成都高新区天府大道中段530号东方希望天祥广场A栋23楼2308号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冯超</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028-83228173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采购包1：737,800.00元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根据代理协议约定及《四川省政府采购营商环境指标提升专项行动工作方案》中“成本+合理利润”原则，以成交金额作为计算基数，按下列收费标准采用差额定率累进法计算后下浮20%进行收取，费率标准为：100万元以下，费率1.5%；由采购人在成交公告发布后7个工作日内一次性支付给四川标凯招标代理有限公司。收款单位：四川标凯招标代理有限公司 开户银行：中国农业银行股份有限公司成都世纪城支行 账号:22807301040015940</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甘孜州色达生态环境局</w:t>
      </w:r>
      <w:r>
        <w:rPr>
          <w:rFonts w:ascii="仿宋_GB2312" w:hAnsi="仿宋_GB2312" w:cs="仿宋_GB2312" w:eastAsia="仿宋_GB2312"/>
        </w:rPr>
        <w:t xml:space="preserve"> 和 </w:t>
      </w:r>
      <w:r>
        <w:rPr>
          <w:rFonts w:ascii="仿宋_GB2312" w:hAnsi="仿宋_GB2312" w:cs="仿宋_GB2312" w:eastAsia="仿宋_GB2312"/>
        </w:rPr>
        <w:t>四川标凯招标代理有限公司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甘孜州色达生态环境局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四川标凯招标代理有限公司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供应商在服务完成后5日内提出验收申请，采购人在接到供应商验收申请后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按照本项目采购文件、成交供应商的响应文件及承诺、采购合同约定中的技术要求相关内容进行验收。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按照本项目采购文件、成交供应商的响应文件及承诺、采购合同约定中的商务要求相关内容进行验收。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的要求进行验收；双方如对服务要求和服务内容的约定标准有相互抵触或异议的事项，由采购人在采购文件、成交供应商的响应文件中按服务要求和服务内容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甘孜州色达生态环境局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四川标凯招标代理有限公司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四川标凯招标代理有限公司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联系电话：0836-2606366</w:t>
      </w:r>
    </w:p>
    <w:p>
      <w:pPr>
        <w:pStyle w:val="null3"/>
        <w:jc w:val="left"/>
      </w:pPr>
      <w:r>
        <w:rPr>
          <w:rFonts w:ascii="仿宋_GB2312" w:hAnsi="仿宋_GB2312" w:cs="仿宋_GB2312" w:eastAsia="仿宋_GB2312"/>
        </w:rPr>
        <w:t>地址：色达县金马大道东段14号</w:t>
      </w:r>
    </w:p>
    <w:p>
      <w:pPr>
        <w:pStyle w:val="null3"/>
        <w:jc w:val="left"/>
      </w:pPr>
      <w:r>
        <w:rPr>
          <w:rFonts w:ascii="仿宋_GB2312" w:hAnsi="仿宋_GB2312" w:cs="仿宋_GB2312" w:eastAsia="仿宋_GB2312"/>
        </w:rPr>
        <w:t>邮编：626600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联系人：冯超</w:t>
      </w:r>
    </w:p>
    <w:p>
      <w:pPr>
        <w:pStyle w:val="null3"/>
        <w:jc w:val="left"/>
      </w:pPr>
      <w:r>
        <w:rPr>
          <w:rFonts w:ascii="仿宋_GB2312" w:hAnsi="仿宋_GB2312" w:cs="仿宋_GB2312" w:eastAsia="仿宋_GB2312"/>
        </w:rPr>
        <w:t>联系电话：028-83228173</w:t>
      </w:r>
    </w:p>
    <w:p>
      <w:pPr>
        <w:pStyle w:val="null3"/>
        <w:jc w:val="left"/>
      </w:pPr>
      <w:r>
        <w:rPr>
          <w:rFonts w:ascii="仿宋_GB2312" w:hAnsi="仿宋_GB2312" w:cs="仿宋_GB2312" w:eastAsia="仿宋_GB2312"/>
        </w:rPr>
        <w:t>地址：成都高新区天府大道中段530号东方希望天祥广场A栋23楼2308号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737,800.00</w:t>
      </w:r>
    </w:p>
    <w:p>
      <w:pPr>
        <w:pStyle w:val="null3"/>
        <w:jc w:val="left"/>
      </w:pPr>
      <w:r>
        <w:rPr>
          <w:rFonts w:ascii="仿宋_GB2312" w:hAnsi="仿宋_GB2312" w:cs="仿宋_GB2312" w:eastAsia="仿宋_GB2312"/>
        </w:rPr>
        <w:t>采购包最高限价（元）: 616,094.00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C20020600 工程监理服务</w:t>
            </w:r>
          </w:p>
        </w:tc>
        <w:tc>
          <w:tcPr>
            <w:tcW w:type="dxa" w:w="821"/>
          </w:tcPr>
          <w:p>
            <w:pPr>
              <w:pStyle w:val="null3"/>
              <w:jc w:val="left"/>
            </w:pPr>
            <w:r>
              <w:rPr>
                <w:rFonts w:ascii="仿宋_GB2312" w:hAnsi="仿宋_GB2312" w:cs="仿宋_GB2312" w:eastAsia="仿宋_GB2312"/>
              </w:rPr>
              <w:t>大渡河流域色曲河色达县城至霍西段水生态保护修复项目工程监理服务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616,094.00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大渡河流域色曲河色达县城至霍西段水生态保护修复项目工程监理服务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616,094.00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标的名称：大渡河流域色曲河色达县城至霍西段水生态保护修复项目工程监理服务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服务内容及服务要求</w:t>
            </w:r>
          </w:p>
        </w:tc>
        <w:tc>
          <w:tcPr>
            <w:tcW w:type="dxa" w:w="5814"/>
          </w:tcPr>
          <w:p>
            <w:pPr>
              <w:pStyle w:val="null3"/>
              <w:ind w:firstLine="482"/>
              <w:jc w:val="both"/>
            </w:pPr>
            <w:r>
              <w:rPr>
                <w:rFonts w:ascii="仿宋_GB2312" w:hAnsi="仿宋_GB2312" w:cs="仿宋_GB2312" w:eastAsia="仿宋_GB2312"/>
                <w:sz w:val="24"/>
                <w:b/>
              </w:rPr>
              <w:t>（一）监理范围：</w:t>
            </w:r>
          </w:p>
          <w:p>
            <w:pPr>
              <w:pStyle w:val="null3"/>
              <w:ind w:firstLine="480"/>
              <w:jc w:val="both"/>
            </w:pPr>
            <w:r>
              <w:rPr>
                <w:rFonts w:ascii="仿宋_GB2312" w:hAnsi="仿宋_GB2312" w:cs="仿宋_GB2312" w:eastAsia="仿宋_GB2312"/>
                <w:sz w:val="24"/>
              </w:rPr>
              <w:t>监理工作的目标是按照项目设计文件、采购人和施工方签订的合同、《建设工程监理规范》</w:t>
            </w:r>
            <w:r>
              <w:rPr>
                <w:rFonts w:ascii="仿宋_GB2312" w:hAnsi="仿宋_GB2312" w:cs="仿宋_GB2312" w:eastAsia="仿宋_GB2312"/>
                <w:sz w:val="24"/>
              </w:rPr>
              <w:t>GB/T50319-2013以及国家和行业相关的监理标准开展监理工作。监理服务内容为对项目实施和项目验收阶段进行全过程监理，包括质量控制、进度控制、投资控制、合同管理、信息管理、协调等，确保项目按期、高质、高效地完成，并顺利通过验收。</w:t>
            </w:r>
          </w:p>
          <w:p>
            <w:pPr>
              <w:pStyle w:val="null3"/>
              <w:ind w:firstLine="480"/>
              <w:jc w:val="both"/>
            </w:pPr>
            <w:r>
              <w:rPr>
                <w:rFonts w:ascii="仿宋_GB2312" w:hAnsi="仿宋_GB2312" w:cs="仿宋_GB2312" w:eastAsia="仿宋_GB2312"/>
                <w:sz w:val="24"/>
              </w:rPr>
              <w:t>1、质量监理。按相关法律法规及合同要求执行。</w:t>
            </w:r>
          </w:p>
          <w:p>
            <w:pPr>
              <w:pStyle w:val="null3"/>
              <w:ind w:firstLine="480"/>
              <w:jc w:val="both"/>
            </w:pPr>
            <w:r>
              <w:rPr>
                <w:rFonts w:ascii="仿宋_GB2312" w:hAnsi="仿宋_GB2312" w:cs="仿宋_GB2312" w:eastAsia="仿宋_GB2312"/>
                <w:sz w:val="24"/>
              </w:rPr>
              <w:t>2、进度监理。按相关法律法规及合同要求执行。</w:t>
            </w:r>
          </w:p>
          <w:p>
            <w:pPr>
              <w:pStyle w:val="null3"/>
              <w:ind w:firstLine="480"/>
              <w:jc w:val="both"/>
            </w:pPr>
            <w:r>
              <w:rPr>
                <w:rFonts w:ascii="仿宋_GB2312" w:hAnsi="仿宋_GB2312" w:cs="仿宋_GB2312" w:eastAsia="仿宋_GB2312"/>
                <w:sz w:val="24"/>
              </w:rPr>
              <w:t>3、安全监理。按相关法律法规及合同要求执行。</w:t>
            </w:r>
          </w:p>
          <w:p>
            <w:pPr>
              <w:pStyle w:val="null3"/>
              <w:ind w:firstLine="482"/>
              <w:jc w:val="both"/>
            </w:pPr>
            <w:r>
              <w:rPr>
                <w:rFonts w:ascii="仿宋_GB2312" w:hAnsi="仿宋_GB2312" w:cs="仿宋_GB2312" w:eastAsia="仿宋_GB2312"/>
                <w:sz w:val="24"/>
                <w:b/>
              </w:rPr>
              <w:t>（二）监理方式和权限：</w:t>
            </w:r>
          </w:p>
          <w:p>
            <w:pPr>
              <w:pStyle w:val="null3"/>
              <w:ind w:firstLine="480"/>
              <w:jc w:val="both"/>
            </w:pPr>
            <w:r>
              <w:rPr>
                <w:rFonts w:ascii="仿宋_GB2312" w:hAnsi="仿宋_GB2312" w:cs="仿宋_GB2312" w:eastAsia="仿宋_GB2312"/>
                <w:sz w:val="24"/>
              </w:rPr>
              <w:t>采购人与成交供应商签订监理合同。合同中需明确监理范围、监理内容、服务期限、监理费用及双方责权利等条款。</w:t>
            </w:r>
          </w:p>
          <w:p>
            <w:pPr>
              <w:pStyle w:val="null3"/>
              <w:ind w:firstLine="480"/>
              <w:jc w:val="both"/>
            </w:pPr>
            <w:r>
              <w:rPr>
                <w:rFonts w:ascii="仿宋_GB2312" w:hAnsi="仿宋_GB2312" w:cs="仿宋_GB2312" w:eastAsia="仿宋_GB2312"/>
                <w:sz w:val="24"/>
              </w:rPr>
              <w:t>监理机构要根据本项目实际情况，制定监理计划。监理计划应结合当地普查特点、规模、技术复杂程度、环境等因素，确定监理工作方案、内容、程序、方法和措施，明确工作目标，报采购人审定后实施。</w:t>
            </w:r>
          </w:p>
          <w:p>
            <w:pPr>
              <w:pStyle w:val="null3"/>
              <w:ind w:firstLine="480"/>
              <w:jc w:val="both"/>
            </w:pPr>
            <w:r>
              <w:rPr>
                <w:rFonts w:ascii="仿宋_GB2312" w:hAnsi="仿宋_GB2312" w:cs="仿宋_GB2312" w:eastAsia="仿宋_GB2312"/>
                <w:sz w:val="24"/>
              </w:rPr>
              <w:t>监理机构应严格按照监理计划开展工作。监理前应将监理计划、组织形式、人员构成等信息书面通知采购人。按《建设工程监理规范》</w:t>
            </w:r>
            <w:r>
              <w:rPr>
                <w:rFonts w:ascii="仿宋_GB2312" w:hAnsi="仿宋_GB2312" w:cs="仿宋_GB2312" w:eastAsia="仿宋_GB2312"/>
                <w:sz w:val="24"/>
              </w:rPr>
              <w:t>GB/T50319-2013执行合同中的监理工作。</w:t>
            </w:r>
          </w:p>
          <w:p>
            <w:pPr>
              <w:pStyle w:val="null3"/>
              <w:ind w:firstLine="482"/>
              <w:jc w:val="both"/>
            </w:pPr>
            <w:r>
              <w:rPr>
                <w:rFonts w:ascii="仿宋_GB2312" w:hAnsi="仿宋_GB2312" w:cs="仿宋_GB2312" w:eastAsia="仿宋_GB2312"/>
                <w:sz w:val="24"/>
                <w:b/>
              </w:rPr>
              <w:t>（三）监理方式：</w:t>
            </w:r>
          </w:p>
          <w:p>
            <w:pPr>
              <w:pStyle w:val="null3"/>
              <w:ind w:firstLine="480"/>
              <w:jc w:val="both"/>
            </w:pPr>
            <w:r>
              <w:rPr>
                <w:rFonts w:ascii="仿宋_GB2312" w:hAnsi="仿宋_GB2312" w:cs="仿宋_GB2312" w:eastAsia="仿宋_GB2312"/>
                <w:sz w:val="24"/>
              </w:rPr>
              <w:t>1、设计方面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1）核查并签发施工图，发现问题向采购人反映，重大问题向采购人做专题报告。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2）主持或与采购人联合主持设计技术交底会议，编写会议纪要。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3）协助采购人会同设计人对重大技术问题和优化设计进行专题讨论。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4）审核施工方对施工图的意见和建议，协助采购人会同设计人进行研究。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5）其他相关业务。</w:t>
            </w:r>
          </w:p>
          <w:p>
            <w:pPr>
              <w:pStyle w:val="null3"/>
              <w:ind w:firstLine="480"/>
              <w:jc w:val="both"/>
            </w:pPr>
            <w:r>
              <w:rPr>
                <w:rFonts w:ascii="仿宋_GB2312" w:hAnsi="仿宋_GB2312" w:cs="仿宋_GB2312" w:eastAsia="仿宋_GB2312"/>
                <w:sz w:val="24"/>
              </w:rPr>
              <w:t>2、采购方面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1）协助采购人进行采购招标。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2）协助采购人对进场的永久工程设备进行质量检验与到货验收。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3）其他相关业务。</w:t>
            </w:r>
          </w:p>
          <w:p>
            <w:pPr>
              <w:pStyle w:val="null3"/>
              <w:ind w:firstLine="480"/>
              <w:jc w:val="both"/>
            </w:pPr>
            <w:r>
              <w:rPr>
                <w:rFonts w:ascii="仿宋_GB2312" w:hAnsi="仿宋_GB2312" w:cs="仿宋_GB2312" w:eastAsia="仿宋_GB2312"/>
                <w:sz w:val="24"/>
              </w:rPr>
              <w:t>3、施工方面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1）协助管理工程施工合同。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2）督促采购人按工程施工合同的约定，落实必须提供的施工条件；检查施工方的开工准备工作。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3）审核按工程施工合同文件约定应由施工方提交的设计文件。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4）审查施工方提交的施工组织设计、施工进度计划、施工措施计划；审核工艺试验成果等。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进度控制。协助采购人编制控制性总进度计划，审批施工方编制的进度计划；检查实施情况，督促施工方采取措施，实现合同工期目标。当实施进度发生较大偏差时，要求施工方调整进度计划；向采购人提出调整控制性进度计划的措施建议意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施工质量控制。审查施工方的质量保证体系和措施；审查施工方的实验室条件；依据工程施工合同文件、设计文件、技术标准，对施工全过程进行检查，对重要部位、关键工序进行旁站监理；按照有关规定，对施工方进场的工程设备、建筑材料、建筑构配件、中间产品进行跟踪检测和平行检测，复核施工方自评的工程质量等级；审核施工方提出的工程质量缺陷处理方案，参与调查质量事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7）资金控制。协助采购人编制付款计划；审查施工方提交的资金流计划；核定施工方完成的工程量，审核施工方提交的支付申请，签发付款凭证；受理索赔申请，提出处理建议意见；处理工程变更。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8）施工安全控制。审查施工方提出的安全技术措施、专项施工方案，并检查实施情况；检查防洪度汛措施落实情况；参与安全事故调查。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9）协调施工合同各方之间的关系。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10）有关规定参加工程验收，负责完成监理资料的汇总、整理，协助采购人检查施工方的合同执行情况；做好验收的各项准备工作或者配合工作，提供工程监理资料，提交监理工作报告。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11）档案管理。做好施工现场的监理记录与信息反馈，做好监理文档管理工作，合同期限届满时按照档案管理要求整理、归档并移交采购人,配合采购人完成竣工结算审计工作。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12）监督施工方执行保修期工作计划，检查和验收尾工项目，对已移交工程中出现的质量缺陷等调查原因并提出处理意见。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13）其他相关工作。</w:t>
            </w:r>
          </w:p>
          <w:p>
            <w:pPr>
              <w:pStyle w:val="null3"/>
              <w:ind w:firstLine="482"/>
              <w:jc w:val="both"/>
            </w:pPr>
            <w:r>
              <w:rPr>
                <w:rFonts w:ascii="仿宋_GB2312" w:hAnsi="仿宋_GB2312" w:cs="仿宋_GB2312" w:eastAsia="仿宋_GB2312"/>
                <w:sz w:val="24"/>
                <w:b/>
              </w:rPr>
              <w:t>（四）监理职责：</w:t>
            </w:r>
          </w:p>
          <w:p>
            <w:pPr>
              <w:pStyle w:val="null3"/>
              <w:ind w:firstLine="482"/>
              <w:jc w:val="both"/>
            </w:pPr>
            <w:r>
              <w:rPr>
                <w:rFonts w:ascii="仿宋_GB2312" w:hAnsi="仿宋_GB2312" w:cs="仿宋_GB2312" w:eastAsia="仿宋_GB2312"/>
                <w:sz w:val="24"/>
              </w:rPr>
              <w:t>监理机构要整理监理文件、资料、档案，编写监理记录，撰写监理报告，及时、准确、完整地收集、整理、编制监理档案。监理工作完成后，及时向采购人移交监理档案。</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本项目的其他要求</w:t>
            </w:r>
          </w:p>
        </w:tc>
        <w:tc>
          <w:tcPr>
            <w:tcW w:type="dxa" w:w="5814"/>
          </w:tcPr>
          <w:p>
            <w:pPr>
              <w:pStyle w:val="null3"/>
              <w:ind w:firstLine="480"/>
              <w:jc w:val="both"/>
            </w:pPr>
            <w:r>
              <w:rPr>
                <w:rFonts w:ascii="仿宋_GB2312" w:hAnsi="仿宋_GB2312" w:cs="仿宋_GB2312" w:eastAsia="仿宋_GB2312"/>
                <w:sz w:val="24"/>
              </w:rPr>
              <w:t>（一）安全要求</w:t>
            </w:r>
            <w:r>
              <w:rPr>
                <w:rFonts w:ascii="仿宋_GB2312" w:hAnsi="仿宋_GB2312" w:cs="仿宋_GB2312" w:eastAsia="仿宋_GB2312"/>
                <w:sz w:val="24"/>
              </w:rPr>
              <w:t>:本项目自签订合同之日起至服务结束之日止，供应商将负责该项目实施过程中的人身安全、财产安全等相应安全责任。在项目实施过程中造成的直接或间接损失，均由供应商自行承担。</w:t>
            </w:r>
          </w:p>
          <w:p>
            <w:pPr>
              <w:pStyle w:val="null3"/>
              <w:ind w:firstLine="480"/>
              <w:jc w:val="both"/>
            </w:pPr>
            <w:r>
              <w:rPr>
                <w:rFonts w:ascii="仿宋_GB2312" w:hAnsi="仿宋_GB2312" w:cs="仿宋_GB2312" w:eastAsia="仿宋_GB2312"/>
                <w:sz w:val="24"/>
              </w:rPr>
              <w:t>（二）成交供应商对本次服务内容应严格履行保密义务，不得未经采购人允许向第三方提供本项目所有的相关资料。</w:t>
            </w:r>
          </w:p>
          <w:p>
            <w:pPr>
              <w:pStyle w:val="null3"/>
              <w:ind w:firstLine="480"/>
              <w:jc w:val="both"/>
            </w:pPr>
            <w:r>
              <w:rPr>
                <w:rFonts w:ascii="仿宋_GB2312" w:hAnsi="仿宋_GB2312" w:cs="仿宋_GB2312" w:eastAsia="仿宋_GB2312"/>
                <w:sz w:val="24"/>
              </w:rPr>
              <w:t>（三）供应商应保证所提供的服务或其任何一部分均不会侵犯任何第三方的专利权，商标权或著作权。</w:t>
            </w:r>
          </w:p>
          <w:p>
            <w:pPr>
              <w:pStyle w:val="null3"/>
              <w:ind w:firstLine="480"/>
              <w:jc w:val="both"/>
            </w:pPr>
            <w:r>
              <w:rPr>
                <w:rFonts w:ascii="仿宋_GB2312" w:hAnsi="仿宋_GB2312" w:cs="仿宋_GB2312" w:eastAsia="仿宋_GB2312"/>
                <w:sz w:val="24"/>
              </w:rPr>
              <w:t>（四）如成交，不可因未了解项目现场情况而放弃成交不履行成交人义务。如因供应商不能正常履约，给采购人造成任何损失的，采购人将保留进一步追溯的权利，并要求供应商赔偿由此带来的损失；如放弃成交，所产生的后果按照政府采购相关法律法规执行。</w:t>
            </w:r>
          </w:p>
          <w:p>
            <w:pPr>
              <w:pStyle w:val="null3"/>
              <w:ind w:firstLine="480"/>
              <w:jc w:val="both"/>
            </w:pPr>
            <w:r>
              <w:rPr>
                <w:rFonts w:ascii="仿宋_GB2312" w:hAnsi="仿宋_GB2312" w:cs="仿宋_GB2312" w:eastAsia="仿宋_GB2312"/>
                <w:sz w:val="24"/>
              </w:rPr>
              <w:t>（五）本项目的投标报价包括但不限于人员工资、保险费、加班费、交通费、税费、管理费、利润、各种风险等在内的一切费用；供应商需自行考虑所有不确定因素，如出现因投标报价估算错误等引起的损失由供应商自行承担，采购人不承担任何费用。</w:t>
            </w:r>
          </w:p>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1.</w:t>
            </w:r>
            <w:r>
              <w:rPr>
                <w:rFonts w:ascii="仿宋_GB2312" w:hAnsi="仿宋_GB2312" w:cs="仿宋_GB2312" w:eastAsia="仿宋_GB2312"/>
                <w:sz w:val="24"/>
                <w:b/>
              </w:rPr>
              <w:t>本项目所引用的规范</w:t>
            </w:r>
            <w:r>
              <w:rPr>
                <w:rFonts w:ascii="仿宋_GB2312" w:hAnsi="仿宋_GB2312" w:cs="仿宋_GB2312" w:eastAsia="仿宋_GB2312"/>
                <w:sz w:val="24"/>
                <w:b/>
              </w:rPr>
              <w:t>/标准/文件，如有最新版本，依照其最新规定执行；</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本章带</w:t>
            </w:r>
            <w:r>
              <w:rPr>
                <w:rFonts w:ascii="仿宋_GB2312" w:hAnsi="仿宋_GB2312" w:cs="仿宋_GB2312" w:eastAsia="仿宋_GB2312"/>
                <w:sz w:val="24"/>
                <w:b/>
              </w:rPr>
              <w:t>“★”号条款为实质性要求，有具体要求的须按文件要求提供证明材料，无要求的响应即可，格式自拟。</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本项目的服务方案及综合实力</w:t>
            </w:r>
          </w:p>
        </w:tc>
        <w:tc>
          <w:tcPr>
            <w:tcW w:type="dxa" w:w="5814"/>
          </w:tcPr>
          <w:p>
            <w:pPr>
              <w:pStyle w:val="null3"/>
              <w:ind w:firstLine="480"/>
              <w:jc w:val="both"/>
            </w:pPr>
            <w:r>
              <w:rPr>
                <w:rFonts w:ascii="仿宋_GB2312" w:hAnsi="仿宋_GB2312" w:cs="仿宋_GB2312" w:eastAsia="仿宋_GB2312"/>
                <w:sz w:val="24"/>
              </w:rPr>
              <w:t>（一）监理服务方案，包含：</w:t>
            </w:r>
            <w:r>
              <w:rPr>
                <w:rFonts w:ascii="仿宋_GB2312" w:hAnsi="仿宋_GB2312" w:cs="仿宋_GB2312" w:eastAsia="仿宋_GB2312"/>
                <w:sz w:val="24"/>
              </w:rPr>
              <w:t>①质量控制措施；②进度控制措施；③安全文明施工控制措施；④造价控制措施；⑤合同和信息管理措施；⑥组织协调措施；⑦监理工作重点、难点的内容和方法。</w:t>
            </w:r>
          </w:p>
          <w:p>
            <w:pPr>
              <w:pStyle w:val="null3"/>
              <w:ind w:firstLine="480"/>
              <w:jc w:val="both"/>
            </w:pPr>
            <w:r>
              <w:rPr>
                <w:rFonts w:ascii="仿宋_GB2312" w:hAnsi="仿宋_GB2312" w:cs="仿宋_GB2312" w:eastAsia="仿宋_GB2312"/>
                <w:sz w:val="24"/>
              </w:rPr>
              <w:t>（二）后续服务方案，包含：</w:t>
            </w:r>
            <w:r>
              <w:rPr>
                <w:rFonts w:ascii="仿宋_GB2312" w:hAnsi="仿宋_GB2312" w:cs="仿宋_GB2312" w:eastAsia="仿宋_GB2312"/>
                <w:sz w:val="24"/>
              </w:rPr>
              <w:t>①后续服务内容；②应急处理方案；③后续服务人员配置。</w:t>
            </w:r>
          </w:p>
          <w:p>
            <w:pPr>
              <w:pStyle w:val="null3"/>
              <w:ind w:firstLine="480"/>
              <w:jc w:val="both"/>
            </w:pPr>
            <w:r>
              <w:rPr>
                <w:rFonts w:ascii="仿宋_GB2312" w:hAnsi="仿宋_GB2312" w:cs="仿宋_GB2312" w:eastAsia="仿宋_GB2312"/>
                <w:sz w:val="24"/>
              </w:rPr>
              <w:t>（三）综合实力：拟投入的人员（总监理工程师、专业监理工程师、监理员）。</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施工工期730日历天+缺陷责任期24个月（签订合同之日起至工程验收合格并完成移交、工程缺陷责任期满）。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色达县，采购人指定地点。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1、验收主体：履约验收由采购人自行验收，验收方案采购人可根据实际情况自行编写或参照采购合同执行。 2、验收时间、方式及程序：供应商在服务完成后5日内提出验收申请，采购人在接到供应商验收申请后10日内自行组织验收。 3、验收内容：按照本项目采购文件、成交供应商的响应文件及承诺、采购合同约定中的技术要求及商务要求相关内容进行验收。 4、验收标准：严格按照《财政部关于进一步加强政府采购需求和履约验收管理的指导意见》（财库〔2016〕205号）、《政府采购需求管理办法》（财库〔2021〕22号）的要求进行验收；双方如对服务要求和服务内容的约定标准有相互抵触或异议的事项，由采购人在采购文件、成交供应商的响应文件中按服务要求和服务内容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1、合同签订后，达到付款条件起10日内，支付合同总金额的40.00%</w:t>
            </w:r>
          </w:p>
          <w:p>
            <w:pPr>
              <w:pStyle w:val="null3"/>
              <w:jc w:val="left"/>
            </w:pPr>
            <w:r>
              <w:rPr>
                <w:rFonts w:ascii="仿宋_GB2312" w:hAnsi="仿宋_GB2312" w:cs="仿宋_GB2312" w:eastAsia="仿宋_GB2312"/>
              </w:rPr>
              <w:t>2、完成项目建设任务的80%后，达到付款条件起10日内，支付合同总金额的40.00%</w:t>
            </w:r>
          </w:p>
          <w:p>
            <w:pPr>
              <w:pStyle w:val="null3"/>
              <w:jc w:val="left"/>
            </w:pPr>
            <w:r>
              <w:rPr>
                <w:rFonts w:ascii="仿宋_GB2312" w:hAnsi="仿宋_GB2312" w:cs="仿宋_GB2312" w:eastAsia="仿宋_GB2312"/>
              </w:rPr>
              <w:t>3、完成全部服务内容且经验收合格后，达到付款条件起10日内，支付合同总金额的20.00%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1、甲乙双方必须遵守本合同并执行合同中的各项规定，保证本合同的正常履行。 2、因国家政策调整、公共利益需要导致甲方无法履行合同义务的，甲方可书面通知乙方解除或变更合同，双方协商解决后续事宜。 3、如因乙方工作人员在履行职务过程中的疏忽、失职、过错等故意或者过失原因给甲方造成损失或侵害，但不限于甲方本身的财产损失、由此而导致的甲方对任何第三方的法律责任等，乙方对此均应承担全部的赔偿责任。 解决争议的方法： 1、在执行本合同中发生的或与本合同有关的争端，双方应通过友好协商解决，经协商不能达成协议时，可依法向甲方所在地的人民法院提起诉讼。 2、在诉讼期间，除正在进行诉讼部分外，合同其他部分继续执行。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格式“报价表”中的“服务范围”可填写满足本项目的服务范围或据实填写。2.★对磋商文件“5.3.11.推荐成交候选供应商”说明如下：...评审得分且最后报价且技术指标且提供的经评审认定有效的优先采购产品认证证书数量相同的（供应商响应的产品同时具有节能产品认证证书、环境标志产品认证证书的，按认定有效的节能产品认证证书、环境标志产品认证证书数量累计计算），按供应商注册地址是否属于少数民族地区进行认定，注册地址属于少数民族地区的排列在非少数民族地区之前，均为少数民族地区的并列。成交候选供应商并列的，由磋商小组根据磋商文件规定的推荐成交候选供应商数量，在排名并列的成交候选供应商中，采取随机抽取的方式确定成交候选供应商排名顺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w:t>
      </w:r>
      <w:r>
        <w:rPr>
          <w:rFonts w:ascii="仿宋_GB2312" w:hAnsi="仿宋_GB2312" w:cs="仿宋_GB2312" w:eastAsia="仿宋_GB2312"/>
        </w:rPr>
        <w:t>“技术、服务及其他要求"3.2.技术要求、3.3.1服务内容要求"中的实质性要求的内容。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第七章</w:t>
      </w:r>
      <w:r>
        <w:rPr>
          <w:rFonts w:ascii="仿宋_GB2312" w:hAnsi="仿宋_GB2312" w:cs="仿宋_GB2312" w:eastAsia="仿宋_GB2312"/>
          <w:sz w:val="21"/>
        </w:rPr>
        <w:t>"拟签订采购合同文本"中属于3.3.2.商务要求的实质性要求的内容。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 对应主管部门颁发的准许执业证明文件或营业执照”；④若为自然人:提供“身份证明材料”;⑤非独立法人分支机构参加须提供具有独立法人资格的总公司出具的授权书，并提供“统一社会信用代码营业执照”;未换证的提供“营业执照、税务登记证、组织机构代码证”。提供复印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项目专门面向中小企业采购，参与的供应商服务全部由符合政策要求的中小企业承接（监狱企业和残疾人福利性单位视同小微企业，符合中小企业划分标准的个体工商户视同中小企业）。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供应商须具备行政主管部门颁发的市政公用工程监理乙级及以上资质。</w:t>
            </w:r>
          </w:p>
        </w:tc>
        <w:tc>
          <w:tcPr>
            <w:tcW w:type="dxa" w:w="3322"/>
          </w:tcPr>
          <w:p>
            <w:pPr>
              <w:pStyle w:val="null3"/>
              <w:jc w:val="left"/>
            </w:pPr>
            <w:r>
              <w:rPr>
                <w:rFonts w:ascii="仿宋_GB2312" w:hAnsi="仿宋_GB2312" w:cs="仿宋_GB2312" w:eastAsia="仿宋_GB2312"/>
              </w:rPr>
              <w:t>供应商须具备行政主管部门颁发的市政公用工程监理乙级及以上资质。提供证书复印件。</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技术要求、服务要求应答</w:t>
            </w:r>
          </w:p>
        </w:tc>
        <w:tc>
          <w:tcPr>
            <w:tcW w:type="dxa" w:w="3322"/>
          </w:tcPr>
          <w:p>
            <w:pPr>
              <w:pStyle w:val="null3"/>
              <w:jc w:val="left"/>
            </w:pPr>
            <w:r>
              <w:rPr>
                <w:rFonts w:ascii="仿宋_GB2312" w:hAnsi="仿宋_GB2312" w:cs="仿宋_GB2312" w:eastAsia="仿宋_GB2312"/>
              </w:rPr>
              <w:t>完全满足采购文件第三章“3.2.技术要求”、“3.3.服务要求”中带“★”的实质性要求。</w:t>
            </w:r>
          </w:p>
        </w:tc>
        <w:tc>
          <w:tcPr>
            <w:tcW w:type="dxa" w:w="1661"/>
          </w:tcPr>
          <w:p>
            <w:pPr>
              <w:pStyle w:val="null3"/>
              <w:jc w:val="left"/>
            </w:pPr>
            <w:r>
              <w:rPr>
                <w:rFonts w:ascii="仿宋_GB2312" w:hAnsi="仿宋_GB2312" w:cs="仿宋_GB2312" w:eastAsia="仿宋_GB2312"/>
              </w:rPr>
              <w:t>供应商应提供的其他证明材料.docx,服务应答表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响应文件未载明或者载明的标的名称、数量、计量单位及其他政府采购合同实质性内容与采购文件要求不一致，且采购人无法接受的，属于无效响应。</w:t>
            </w:r>
          </w:p>
        </w:tc>
        <w:tc>
          <w:tcPr>
            <w:tcW w:type="dxa" w:w="3322"/>
          </w:tcPr>
          <w:p>
            <w:pPr>
              <w:pStyle w:val="null3"/>
              <w:jc w:val="left"/>
            </w:pPr>
            <w:r>
              <w:rPr>
                <w:rFonts w:ascii="仿宋_GB2312" w:hAnsi="仿宋_GB2312" w:cs="仿宋_GB2312" w:eastAsia="仿宋_GB2312"/>
              </w:rPr>
              <w:t>响应文件未载明或者载明的标的名称、数量、计量单位及其他政府采购合同实质性内容与采购文件要求不一致，且采购人无法接受的，属于无效响应。</w:t>
            </w:r>
          </w:p>
        </w:tc>
        <w:tc>
          <w:tcPr>
            <w:tcW w:type="dxa" w:w="1661"/>
          </w:tcPr>
          <w:p>
            <w:pPr>
              <w:pStyle w:val="null3"/>
              <w:jc w:val="left"/>
            </w:pPr>
            <w:r>
              <w:rPr>
                <w:rFonts w:ascii="仿宋_GB2312" w:hAnsi="仿宋_GB2312" w:cs="仿宋_GB2312" w:eastAsia="仿宋_GB2312"/>
              </w:rPr>
              <w:t>供应商应提供的其他证明材料.docx,服务应答表,报价表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采购文件中除符合性审查内容1-3项外的其他实质性要求。</w:t>
            </w:r>
          </w:p>
        </w:tc>
        <w:tc>
          <w:tcPr>
            <w:tcW w:type="dxa" w:w="3322"/>
          </w:tcPr>
          <w:p>
            <w:pPr>
              <w:pStyle w:val="null3"/>
              <w:jc w:val="left"/>
            </w:pPr>
            <w:r>
              <w:rPr>
                <w:rFonts w:ascii="仿宋_GB2312" w:hAnsi="仿宋_GB2312" w:cs="仿宋_GB2312" w:eastAsia="仿宋_GB2312"/>
              </w:rPr>
              <w:t>完全满足采购文件中除符合性审查内容1-3项外的其他实质性要求。</w:t>
            </w:r>
          </w:p>
        </w:tc>
        <w:tc>
          <w:tcPr>
            <w:tcW w:type="dxa" w:w="1661"/>
          </w:tcPr>
          <w:p>
            <w:pPr>
              <w:pStyle w:val="null3"/>
              <w:jc w:val="left"/>
            </w:pPr>
            <w:r>
              <w:rPr>
                <w:rFonts w:ascii="仿宋_GB2312" w:hAnsi="仿宋_GB2312" w:cs="仿宋_GB2312" w:eastAsia="仿宋_GB2312"/>
              </w:rPr>
              <w:t>供应商应提供的其他证明材料.docx,服务应答表,报价表,投标（响应）函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监理服务方案、后续服务方案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监理服务方案</w:t>
            </w:r>
          </w:p>
        </w:tc>
        <w:tc>
          <w:tcPr>
            <w:tcW w:type="dxa" w:w="2575"/>
          </w:tcPr>
          <w:p>
            <w:pPr>
              <w:pStyle w:val="null3"/>
              <w:jc w:val="left"/>
            </w:pPr>
            <w:r>
              <w:rPr>
                <w:rFonts w:ascii="仿宋_GB2312" w:hAnsi="仿宋_GB2312" w:cs="仿宋_GB2312" w:eastAsia="仿宋_GB2312"/>
              </w:rPr>
              <w:t>根据供应商针对本项目特点制定的监理服务方案进行综合评审，包括：①质量控制措施；②进度控制措施；③安全文明施工控制措施；④造价控制措施；⑤合同和信息管理措施；⑥组织协调措施；⑦监理工作重点、难点的内容和方法。上述7项内容齐全且无缺陷得63分；每缺少一项内容扣9分，扣完为止；单项内容每存在一处缺陷扣4.5分，单项内容分扣完为止。（内容缺陷是指存在项目名称不符、地点区域错误、内容与本项目需求无关、仅有框架或标题、引用或涉及的规范及标准错误或过期、明显复制其他项目内容且未根据本项目内容进行调整等任意一种情形）</w:t>
            </w:r>
          </w:p>
        </w:tc>
        <w:tc>
          <w:tcPr>
            <w:tcW w:type="dxa" w:w="831"/>
          </w:tcPr>
          <w:p>
            <w:pPr>
              <w:pStyle w:val="null3"/>
              <w:jc w:val="center"/>
            </w:pPr>
            <w:r>
              <w:rPr>
                <w:rFonts w:ascii="仿宋_GB2312" w:hAnsi="仿宋_GB2312" w:cs="仿宋_GB2312" w:eastAsia="仿宋_GB2312"/>
              </w:rPr>
              <w:t>63.0000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针对本项目特点制定的后续服务方案进行综合评审，包括：①后续服务内容；②应急处理方案；③后续服务人员配置。上述3项内容齐全且无缺陷得9分；每缺少一项内容扣3分，扣完为止；单项内容每存在一处缺陷扣1.5分，单项内容分扣完为止。（内容缺陷是指存在项目名称不符、地点区域错误、内容与本项目需求无关、仅有框架或标题、引用或涉及的规范及标准错误或过期、明显复制其他项目内容且未根据本项目内容进行调整等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1、总监理工程师（1人）：具有全国注册监理工程师（注册专业：市政公用工程）证书的得6分，本项最多得6分。 2、专业监理工程师（1人）：具有全国注册监理工程师（注册专业：市政公用工程）的得6分，本项最多得6分。 3、监理员：具有监理从业人员业务培训合格证书或全国注册监理工程师（注册专业：市政公用工程）的得6分，本项最多得6分。 注：以上1-3项不重复计分，需提供证书复印件。</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价格评审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满足磋商文件要求且最后报价最低的供应商的价格为磋商基准价，其价格分为满分。其他供应商的价格分统一按照下列公式计算：报价得分=（磋商基准价/最后磋商报价）×10%×100。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