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版本号：N510501202600011020260428001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泸州市中心城区“酒城绿道”提升规划(二次)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N5105012026000110</w:t>
      </w:r>
    </w:p>
    <w:p>
      <w:pPr>
        <w:pStyle w:val="null3"/>
        <w:jc w:val="center"/>
        <w:outlineLvl w:val="2"/>
      </w:pPr>
      <w:r>
        <w:rPr>
          <w:rFonts w:ascii="仿宋_GB2312" w:hAnsi="仿宋_GB2312" w:cs="仿宋_GB2312" w:eastAsia="仿宋_GB2312"/>
          <w:sz w:val="28"/>
          <w:b/>
        </w:rPr>
        <w:t>泸州市自然资源和规划局</w:t>
      </w:r>
    </w:p>
    <w:p>
      <w:pPr>
        <w:pStyle w:val="null3"/>
        <w:jc w:val="center"/>
        <w:outlineLvl w:val="2"/>
      </w:pPr>
      <w:r>
        <w:rPr>
          <w:rFonts w:ascii="仿宋_GB2312" w:hAnsi="仿宋_GB2312" w:cs="仿宋_GB2312" w:eastAsia="仿宋_GB2312"/>
          <w:sz w:val="28"/>
          <w:b/>
        </w:rPr>
        <w:t>泸州发展国际项目咨询有限公司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泸州发展国际项目咨询有限公司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泸州市自然资源和规划局</w:t>
      </w:r>
      <w:r>
        <w:rPr>
          <w:rFonts w:ascii="仿宋_GB2312" w:hAnsi="仿宋_GB2312" w:cs="仿宋_GB2312" w:eastAsia="仿宋_GB2312"/>
        </w:rPr>
        <w:t xml:space="preserve"> 委托，拟对 </w:t>
      </w:r>
      <w:r>
        <w:rPr>
          <w:rFonts w:ascii="仿宋_GB2312" w:hAnsi="仿宋_GB2312" w:cs="仿宋_GB2312" w:eastAsia="仿宋_GB2312"/>
        </w:rPr>
        <w:t>泸州市中心城区“酒城绿道”提升规划(二次)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泸州市市本级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N5105012026000110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泸州市中心城区“酒城绿道”提升规划(二次)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1）规划范围：与《泸州市国土空间总体规划（2021-2035）》所确定的中心城区范围保持一致，面积188.31平方公里；（2）示范段设计范围：示范段绿道总长约22公里；其中近期建设段9公里；（3）服务内容：“酒城绿道”提升规划编制、规划建设导则制定、示范段方案设计及近期建设段初步设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同时具备行政主管部门颁发的有效期内的城乡规划（国土空间规划）编制乙级及以上资质、风景园林工程设计专项乙级及以上资质、测绘乙级及以上资质（专业范围工程测量）（描述：提供行政主管部门颁发的有效期内的城乡规划（国土空间规划）编制乙级及以上资质、风景园林工程设计专项乙级及以上资质、测绘乙级及以上资质（专业范围工程测量）证书扫描件并加盖公章 ）</w:t>
      </w:r>
    </w:p>
    <w:p>
      <w:pPr>
        <w:pStyle w:val="null3"/>
        <w:jc w:val="left"/>
      </w:pPr>
      <w:r>
        <w:rPr>
          <w:rFonts w:ascii="仿宋_GB2312" w:hAnsi="仿宋_GB2312" w:cs="仿宋_GB2312" w:eastAsia="仿宋_GB2312"/>
        </w:rPr>
        <w:t>2、本项目接受联合体参与，若为联合体投标的，联合体成员（含联合体牵头人）家数不超过2家。提供联合体协议书，载明联合体各方承担的工作和义务。（描述：若为联合体投标的，联合体成员（含联合体牵头人）家数不超过2家。提供联合体协议书扫描件，载明联合体各方承担的工作和义务。）</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泸州市自然资源和规划局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四川省泸州市江阳区康城路一段15号顺通大楼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林先生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0830-3119573</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泸州发展国际项目咨询有限公司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四川省泸州市龙马潭区泸州市龙马潭区蜀泸大道三段201号4栋二单元一楼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雍女士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0830-2688760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采购包1：2,200,000.00元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代理服务费收费标准：参照《招标代理服务收费管理暂行办法》（计价格[2002]1980号）下浮20%计算收取。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泸州市自然资源和规划局</w:t>
      </w:r>
      <w:r>
        <w:rPr>
          <w:rFonts w:ascii="仿宋_GB2312" w:hAnsi="仿宋_GB2312" w:cs="仿宋_GB2312" w:eastAsia="仿宋_GB2312"/>
        </w:rPr>
        <w:t xml:space="preserve"> 和 </w:t>
      </w:r>
      <w:r>
        <w:rPr>
          <w:rFonts w:ascii="仿宋_GB2312" w:hAnsi="仿宋_GB2312" w:cs="仿宋_GB2312" w:eastAsia="仿宋_GB2312"/>
        </w:rPr>
        <w:t>泸州发展国际项目咨询有限公司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泸州市自然资源和规划局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泸州发展国际项目咨询有限公司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按采购文件技术、服务要求内容进行验收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按采购文件商务要求进行验收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严格按照《财政部关于进一步加强政府采购需求和履约验收管理的指导意见》（财库﹝2016﹞205号）的要求、采购文件规定的要求和响应文件及合同承诺的内容进行验收。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泸州市自然资源和规划局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泸州发展国际项目咨询有限公司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泸州发展国际项目咨询有限公司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联系人：林先生</w:t>
      </w:r>
    </w:p>
    <w:p>
      <w:pPr>
        <w:pStyle w:val="null3"/>
        <w:jc w:val="left"/>
      </w:pPr>
      <w:r>
        <w:rPr>
          <w:rFonts w:ascii="仿宋_GB2312" w:hAnsi="仿宋_GB2312" w:cs="仿宋_GB2312" w:eastAsia="仿宋_GB2312"/>
        </w:rPr>
        <w:t>联系电话：0830-3119573</w:t>
      </w:r>
    </w:p>
    <w:p>
      <w:pPr>
        <w:pStyle w:val="null3"/>
        <w:jc w:val="left"/>
      </w:pPr>
      <w:r>
        <w:rPr>
          <w:rFonts w:ascii="仿宋_GB2312" w:hAnsi="仿宋_GB2312" w:cs="仿宋_GB2312" w:eastAsia="仿宋_GB2312"/>
        </w:rPr>
        <w:t>地址：四川省泸州市江阳区康城路一段15号顺通大楼</w:t>
      </w:r>
    </w:p>
    <w:p>
      <w:pPr>
        <w:pStyle w:val="null3"/>
        <w:jc w:val="left"/>
      </w:pPr>
      <w:r>
        <w:rPr>
          <w:rFonts w:ascii="仿宋_GB2312" w:hAnsi="仿宋_GB2312" w:cs="仿宋_GB2312" w:eastAsia="仿宋_GB2312"/>
        </w:rPr>
        <w:t>邮编：646000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联系人：雍女士</w:t>
      </w:r>
    </w:p>
    <w:p>
      <w:pPr>
        <w:pStyle w:val="null3"/>
        <w:jc w:val="left"/>
      </w:pPr>
      <w:r>
        <w:rPr>
          <w:rFonts w:ascii="仿宋_GB2312" w:hAnsi="仿宋_GB2312" w:cs="仿宋_GB2312" w:eastAsia="仿宋_GB2312"/>
        </w:rPr>
        <w:t>联系电话：0830-2688760</w:t>
      </w:r>
    </w:p>
    <w:p>
      <w:pPr>
        <w:pStyle w:val="null3"/>
        <w:jc w:val="left"/>
      </w:pPr>
      <w:r>
        <w:rPr>
          <w:rFonts w:ascii="仿宋_GB2312" w:hAnsi="仿宋_GB2312" w:cs="仿宋_GB2312" w:eastAsia="仿宋_GB2312"/>
        </w:rPr>
        <w:t>地址：四川省泸州市龙马潭区泸州市龙马潭区蜀泸大道三段201号4栋二单元一楼</w:t>
      </w:r>
    </w:p>
    <w:p>
      <w:pPr>
        <w:pStyle w:val="null3"/>
        <w:jc w:val="left"/>
      </w:pPr>
      <w:r>
        <w:rPr>
          <w:rFonts w:ascii="仿宋_GB2312" w:hAnsi="仿宋_GB2312" w:cs="仿宋_GB2312" w:eastAsia="仿宋_GB2312"/>
        </w:rPr>
        <w:t>邮编：646000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2,200,000.00</w:t>
      </w:r>
    </w:p>
    <w:p>
      <w:pPr>
        <w:pStyle w:val="null3"/>
        <w:jc w:val="left"/>
      </w:pPr>
      <w:r>
        <w:rPr>
          <w:rFonts w:ascii="仿宋_GB2312" w:hAnsi="仿宋_GB2312" w:cs="仿宋_GB2312" w:eastAsia="仿宋_GB2312"/>
        </w:rPr>
        <w:t>采购包最高限价（元）: 2,200,000.00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C13010000 区域规划和设计服务</w:t>
            </w:r>
          </w:p>
        </w:tc>
        <w:tc>
          <w:tcPr>
            <w:tcW w:type="dxa" w:w="821"/>
          </w:tcPr>
          <w:p>
            <w:pPr>
              <w:pStyle w:val="null3"/>
              <w:jc w:val="left"/>
            </w:pPr>
            <w:r>
              <w:rPr>
                <w:rFonts w:ascii="仿宋_GB2312" w:hAnsi="仿宋_GB2312" w:cs="仿宋_GB2312" w:eastAsia="仿宋_GB2312"/>
              </w:rPr>
              <w:t>泸州市中心城区“酒城绿道”提升规划</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2,200,000.00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泸州市中心城区“酒城绿道”提升规划</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2,200,000.00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标的名称：泸州市中心城区“酒城绿道”提升规划</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工作目标</w:t>
            </w:r>
          </w:p>
        </w:tc>
        <w:tc>
          <w:tcPr>
            <w:tcW w:type="dxa" w:w="5814"/>
          </w:tcPr>
          <w:p>
            <w:pPr>
              <w:pStyle w:val="null3"/>
              <w:ind w:firstLine="440"/>
              <w:jc w:val="both"/>
            </w:pPr>
            <w:r>
              <w:rPr>
                <w:rFonts w:ascii="仿宋_GB2312" w:hAnsi="仿宋_GB2312" w:cs="仿宋_GB2312" w:eastAsia="仿宋_GB2312"/>
                <w:sz w:val="32"/>
              </w:rPr>
              <w:t>实现</w:t>
            </w:r>
            <w:r>
              <w:rPr>
                <w:rFonts w:ascii="仿宋_GB2312" w:hAnsi="仿宋_GB2312" w:cs="仿宋_GB2312" w:eastAsia="仿宋_GB2312"/>
                <w:sz w:val="32"/>
              </w:rPr>
              <w:t>“提升规划</w:t>
            </w:r>
            <w:r>
              <w:rPr>
                <w:rFonts w:ascii="仿宋_GB2312" w:hAnsi="仿宋_GB2312" w:cs="仿宋_GB2312" w:eastAsia="仿宋_GB2312"/>
                <w:sz w:val="32"/>
              </w:rPr>
              <w:t>－</w:t>
            </w:r>
            <w:r>
              <w:rPr>
                <w:rFonts w:ascii="仿宋_GB2312" w:hAnsi="仿宋_GB2312" w:cs="仿宋_GB2312" w:eastAsia="仿宋_GB2312"/>
                <w:sz w:val="32"/>
              </w:rPr>
              <w:t>建设导则</w:t>
            </w:r>
            <w:r>
              <w:rPr>
                <w:rFonts w:ascii="仿宋_GB2312" w:hAnsi="仿宋_GB2312" w:cs="仿宋_GB2312" w:eastAsia="仿宋_GB2312"/>
                <w:sz w:val="32"/>
              </w:rPr>
              <w:t>－</w:t>
            </w:r>
            <w:r>
              <w:rPr>
                <w:rFonts w:ascii="仿宋_GB2312" w:hAnsi="仿宋_GB2312" w:cs="仿宋_GB2312" w:eastAsia="仿宋_GB2312"/>
                <w:sz w:val="32"/>
              </w:rPr>
              <w:t>示范段方</w:t>
            </w:r>
            <w:r>
              <w:rPr>
                <w:rFonts w:ascii="仿宋_GB2312" w:hAnsi="仿宋_GB2312" w:cs="仿宋_GB2312" w:eastAsia="仿宋_GB2312"/>
                <w:sz w:val="32"/>
              </w:rPr>
              <w:t>案设计</w:t>
            </w:r>
            <w:r>
              <w:rPr>
                <w:rFonts w:ascii="仿宋_GB2312" w:hAnsi="仿宋_GB2312" w:cs="仿宋_GB2312" w:eastAsia="仿宋_GB2312"/>
                <w:sz w:val="32"/>
              </w:rPr>
              <w:t>及近期实施初步设计</w:t>
            </w:r>
            <w:r>
              <w:rPr>
                <w:rFonts w:ascii="仿宋_GB2312" w:hAnsi="仿宋_GB2312" w:cs="仿宋_GB2312" w:eastAsia="仿宋_GB2312"/>
                <w:sz w:val="32"/>
              </w:rPr>
              <w:t>”无缝衔接，围绕提升市民幸福感与获得感，满足需求、解决痛点，形成示范。</w:t>
            </w:r>
          </w:p>
          <w:p>
            <w:pPr>
              <w:pStyle w:val="null3"/>
              <w:ind w:firstLine="440"/>
              <w:jc w:val="both"/>
            </w:pPr>
            <w:r>
              <w:rPr>
                <w:rFonts w:ascii="仿宋_GB2312" w:hAnsi="仿宋_GB2312" w:cs="仿宋_GB2312" w:eastAsia="仿宋_GB2312"/>
                <w:sz w:val="32"/>
              </w:rPr>
              <w:t>1.“酒城绿道”提升规划目标：基于现状情况，进行专题研究，优化布局、完善功能、提升品质，符合城市更新、专项提升规划要求，兼具前瞻性和落地性；</w:t>
            </w:r>
          </w:p>
          <w:p>
            <w:pPr>
              <w:pStyle w:val="null3"/>
              <w:ind w:firstLine="440"/>
              <w:jc w:val="both"/>
            </w:pPr>
            <w:r>
              <w:rPr>
                <w:rFonts w:ascii="仿宋_GB2312" w:hAnsi="仿宋_GB2312" w:cs="仿宋_GB2312" w:eastAsia="仿宋_GB2312"/>
                <w:sz w:val="32"/>
              </w:rPr>
              <w:t>2.</w:t>
            </w:r>
            <w:r>
              <w:rPr>
                <w:rFonts w:ascii="仿宋_GB2312" w:hAnsi="仿宋_GB2312" w:cs="仿宋_GB2312" w:eastAsia="仿宋_GB2312"/>
                <w:sz w:val="32"/>
              </w:rPr>
              <w:t>规划</w:t>
            </w:r>
            <w:r>
              <w:rPr>
                <w:rFonts w:ascii="仿宋_GB2312" w:hAnsi="仿宋_GB2312" w:cs="仿宋_GB2312" w:eastAsia="仿宋_GB2312"/>
                <w:sz w:val="32"/>
              </w:rPr>
              <w:t>建设导则目标：制定针对性的建设技术标准等细则，指导工程设计与建设管理，确保规范性、科学性、经济性；</w:t>
            </w:r>
          </w:p>
          <w:p>
            <w:pPr>
              <w:pStyle w:val="null3"/>
              <w:ind w:firstLine="440"/>
              <w:jc w:val="both"/>
            </w:pPr>
            <w:r>
              <w:rPr>
                <w:rFonts w:ascii="仿宋_GB2312" w:hAnsi="仿宋_GB2312" w:cs="仿宋_GB2312" w:eastAsia="仿宋_GB2312"/>
                <w:sz w:val="32"/>
              </w:rPr>
              <w:t>3.示范段</w:t>
            </w:r>
            <w:r>
              <w:rPr>
                <w:rFonts w:ascii="仿宋_GB2312" w:hAnsi="仿宋_GB2312" w:cs="仿宋_GB2312" w:eastAsia="仿宋_GB2312"/>
                <w:sz w:val="32"/>
              </w:rPr>
              <w:t>方案</w:t>
            </w:r>
            <w:r>
              <w:rPr>
                <w:rFonts w:ascii="仿宋_GB2312" w:hAnsi="仿宋_GB2312" w:cs="仿宋_GB2312" w:eastAsia="仿宋_GB2312"/>
                <w:sz w:val="32"/>
              </w:rPr>
              <w:t>设计目标：打造可复制、可推广的设计样板，严格遵循规划及导则要求；近期建设段初步设计深度满足概算审批、招标控制价编制及后续施工图设计衔接要求。</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ind w:firstLine="440"/>
              <w:jc w:val="both"/>
            </w:pPr>
            <w:r>
              <w:rPr>
                <w:rFonts w:ascii="仿宋_GB2312" w:hAnsi="仿宋_GB2312" w:cs="仿宋_GB2312" w:eastAsia="仿宋_GB2312"/>
                <w:sz w:val="32"/>
              </w:rPr>
              <w:t>1.</w:t>
            </w:r>
            <w:r>
              <w:rPr>
                <w:rFonts w:ascii="仿宋_GB2312" w:hAnsi="仿宋_GB2312" w:cs="仿宋_GB2312" w:eastAsia="仿宋_GB2312"/>
                <w:sz w:val="32"/>
                <w:b/>
              </w:rPr>
              <w:t>“酒城绿道”提升规划。</w:t>
            </w:r>
            <w:r>
              <w:rPr>
                <w:rFonts w:ascii="仿宋_GB2312" w:hAnsi="仿宋_GB2312" w:cs="仿宋_GB2312" w:eastAsia="仿宋_GB2312"/>
                <w:sz w:val="32"/>
              </w:rPr>
              <w:t>结合绿道经济发展和绿道建设现状，对泸州市中心城区及周边区域绿道开展整体规划研究，提出“酒城绿道”品牌建设建议、发展目标、规划策略；因地制宜、分级分段制定“酒城绿道”线路规划、功能场景定位、重要节点布局和建设方向指引；结合绿道周边业态，制定绿道经济消费场景营造策略；结合城市建设重点，明确近期重点项目和实施保障机制。规划范围为中心城区规划区（188.31平方公里）。</w:t>
            </w:r>
          </w:p>
          <w:p>
            <w:pPr>
              <w:pStyle w:val="null3"/>
              <w:jc w:val="left"/>
            </w:pPr>
            <w:r>
              <w:rPr>
                <w:rFonts w:ascii="仿宋_GB2312" w:hAnsi="仿宋_GB2312" w:cs="仿宋_GB2312" w:eastAsia="仿宋_GB2312"/>
                <w:sz w:val="32"/>
              </w:rPr>
              <w:t xml:space="preserve">          2.规划建设导则。主要针对绿道游径的类型、宽度、铺装，配套服务设施的类型、等级、规模、数量、建筑风貌，以及园林绿化、大地景观、标识系统、夜景照明、海绵城市等方面进行技术指导。同时，对绿道工程的建设及运营管理提出相应建议。形成泸州城市高质量发展目标下绿道提升规划建设的方向指引和操作指南。</w:t>
            </w:r>
          </w:p>
          <w:p>
            <w:pPr>
              <w:pStyle w:val="null3"/>
              <w:ind w:firstLine="440"/>
              <w:jc w:val="both"/>
            </w:pPr>
            <w:r>
              <w:rPr>
                <w:rFonts w:ascii="仿宋_GB2312" w:hAnsi="仿宋_GB2312" w:cs="仿宋_GB2312" w:eastAsia="仿宋_GB2312"/>
                <w:sz w:val="32"/>
              </w:rPr>
              <w:t>3.</w:t>
            </w:r>
            <w:r>
              <w:rPr>
                <w:rFonts w:ascii="仿宋_GB2312" w:hAnsi="仿宋_GB2312" w:cs="仿宋_GB2312" w:eastAsia="仿宋_GB2312"/>
                <w:sz w:val="32"/>
                <w:b/>
              </w:rPr>
              <w:t>示范段方案设计及近期建设段初步设计</w:t>
            </w:r>
            <w:r>
              <w:rPr>
                <w:rFonts w:ascii="仿宋_GB2312" w:hAnsi="仿宋_GB2312" w:cs="仿宋_GB2312" w:eastAsia="仿宋_GB2312"/>
                <w:sz w:val="32"/>
              </w:rPr>
              <w:t>。选择环中心半岛绿道作为示范段开展方案设计，示范段东起管驿嘴</w:t>
            </w:r>
            <w:r>
              <w:rPr>
                <w:rFonts w:ascii="仿宋_GB2312" w:hAnsi="仿宋_GB2312" w:cs="仿宋_GB2312" w:eastAsia="仿宋_GB2312"/>
                <w:sz w:val="32"/>
              </w:rPr>
              <w:t>，</w:t>
            </w:r>
            <w:r>
              <w:rPr>
                <w:rFonts w:ascii="仿宋_GB2312" w:hAnsi="仿宋_GB2312" w:cs="仿宋_GB2312" w:eastAsia="仿宋_GB2312"/>
                <w:sz w:val="32"/>
              </w:rPr>
              <w:t>沿长沱两江至城西连江公园，形成环线，全长</w:t>
            </w:r>
            <w:r>
              <w:rPr>
                <w:rFonts w:ascii="仿宋_GB2312" w:hAnsi="仿宋_GB2312" w:cs="仿宋_GB2312" w:eastAsia="仿宋_GB2312"/>
                <w:sz w:val="32"/>
              </w:rPr>
              <w:t>22公里（详见附图）。</w:t>
            </w:r>
            <w:r>
              <w:rPr>
                <w:rFonts w:ascii="仿宋_GB2312" w:hAnsi="仿宋_GB2312" w:cs="仿宋_GB2312" w:eastAsia="仿宋_GB2312"/>
                <w:sz w:val="32"/>
              </w:rPr>
              <w:t>方案将明确功能定位、总平面布局、竖向设计、绿道游径组织和建设标准、绿化植物配置、驿站、设施小品布局、投资估算等内容</w:t>
            </w:r>
            <w:r>
              <w:rPr>
                <w:rFonts w:ascii="仿宋_GB2312" w:hAnsi="仿宋_GB2312" w:cs="仿宋_GB2312" w:eastAsia="仿宋_GB2312"/>
                <w:sz w:val="32"/>
              </w:rPr>
              <w:t>。</w:t>
            </w:r>
            <w:r>
              <w:rPr>
                <w:rFonts w:ascii="仿宋_GB2312" w:hAnsi="仿宋_GB2312" w:cs="仿宋_GB2312" w:eastAsia="仿宋_GB2312"/>
                <w:sz w:val="32"/>
              </w:rPr>
              <w:t>根据示范段建设时序，对近期拟建设段同步</w:t>
            </w:r>
            <w:r>
              <w:rPr>
                <w:rFonts w:ascii="仿宋_GB2312" w:hAnsi="仿宋_GB2312" w:cs="仿宋_GB2312" w:eastAsia="仿宋_GB2312"/>
                <w:sz w:val="32"/>
              </w:rPr>
              <w:t>开展</w:t>
            </w:r>
            <w:r>
              <w:rPr>
                <w:rFonts w:ascii="仿宋_GB2312" w:hAnsi="仿宋_GB2312" w:cs="仿宋_GB2312" w:eastAsia="仿宋_GB2312"/>
                <w:sz w:val="32"/>
              </w:rPr>
              <w:t>1:500地形图测绘和</w:t>
            </w:r>
            <w:r>
              <w:rPr>
                <w:rFonts w:ascii="仿宋_GB2312" w:hAnsi="仿宋_GB2312" w:cs="仿宋_GB2312" w:eastAsia="仿宋_GB2312"/>
                <w:sz w:val="32"/>
              </w:rPr>
              <w:t>初步设计</w:t>
            </w:r>
            <w:r>
              <w:rPr>
                <w:rFonts w:ascii="仿宋_GB2312" w:hAnsi="仿宋_GB2312" w:cs="仿宋_GB2312" w:eastAsia="仿宋_GB2312"/>
                <w:sz w:val="32"/>
              </w:rPr>
              <w:t>（</w:t>
            </w:r>
            <w:r>
              <w:rPr>
                <w:rFonts w:ascii="仿宋_GB2312" w:hAnsi="仿宋_GB2312" w:cs="仿宋_GB2312" w:eastAsia="仿宋_GB2312"/>
                <w:sz w:val="32"/>
              </w:rPr>
              <w:t>含概算编制</w:t>
            </w:r>
            <w:r>
              <w:rPr>
                <w:rFonts w:ascii="仿宋_GB2312" w:hAnsi="仿宋_GB2312" w:cs="仿宋_GB2312" w:eastAsia="仿宋_GB2312"/>
                <w:sz w:val="32"/>
              </w:rPr>
              <w:t>）</w:t>
            </w:r>
            <w:r>
              <w:rPr>
                <w:rFonts w:ascii="仿宋_GB2312" w:hAnsi="仿宋_GB2312" w:cs="仿宋_GB2312" w:eastAsia="仿宋_GB2312"/>
                <w:sz w:val="32"/>
              </w:rPr>
              <w:t>，</w:t>
            </w:r>
            <w:r>
              <w:rPr>
                <w:rFonts w:ascii="仿宋_GB2312" w:hAnsi="仿宋_GB2312" w:cs="仿宋_GB2312" w:eastAsia="仿宋_GB2312"/>
                <w:sz w:val="32"/>
              </w:rPr>
              <w:t>在此基础上</w:t>
            </w:r>
            <w:r>
              <w:rPr>
                <w:rFonts w:ascii="仿宋_GB2312" w:hAnsi="仿宋_GB2312" w:cs="仿宋_GB2312" w:eastAsia="仿宋_GB2312"/>
                <w:sz w:val="32"/>
              </w:rPr>
              <w:t>系统构建项目库，科学编制分年度实施计划。</w:t>
            </w:r>
          </w:p>
          <w:p>
            <w:pPr>
              <w:pStyle w:val="null3"/>
              <w:ind w:firstLine="440"/>
              <w:jc w:val="both"/>
            </w:pPr>
            <w:r>
              <w:rPr>
                <w:rFonts w:ascii="仿宋_GB2312" w:hAnsi="仿宋_GB2312" w:cs="仿宋_GB2312" w:eastAsia="仿宋_GB2312"/>
                <w:sz w:val="32"/>
              </w:rPr>
              <w:t>4.配合各类审查。</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440"/>
              <w:jc w:val="both"/>
            </w:pPr>
            <w:r>
              <w:rPr>
                <w:rFonts w:ascii="仿宋_GB2312" w:hAnsi="仿宋_GB2312" w:cs="仿宋_GB2312" w:eastAsia="仿宋_GB2312"/>
                <w:sz w:val="32"/>
                <w:b/>
              </w:rPr>
              <w:t>1.“酒城绿道”提升规划</w:t>
            </w:r>
            <w:r>
              <w:rPr>
                <w:rFonts w:ascii="仿宋_GB2312" w:hAnsi="仿宋_GB2312" w:cs="仿宋_GB2312" w:eastAsia="仿宋_GB2312"/>
                <w:sz w:val="32"/>
                <w:b/>
              </w:rPr>
              <w:t>。</w:t>
            </w:r>
            <w:r>
              <w:rPr>
                <w:rFonts w:ascii="仿宋_GB2312" w:hAnsi="仿宋_GB2312" w:cs="仿宋_GB2312" w:eastAsia="仿宋_GB2312"/>
                <w:sz w:val="32"/>
              </w:rPr>
              <w:t>严格贯彻住建部《绿道规划设计导则》与《四川省城乡绿道规划设计标准》（</w:t>
            </w:r>
            <w:r>
              <w:rPr>
                <w:rFonts w:ascii="仿宋_GB2312" w:hAnsi="仿宋_GB2312" w:cs="仿宋_GB2312" w:eastAsia="仿宋_GB2312"/>
                <w:sz w:val="32"/>
              </w:rPr>
              <w:t>DBJ51/T097-2018），深度衔接《泸州市国土空间总体规划（2021—2035年）》及《泸州城市品质品位提升总体规划》。聚焦中心城区，系统开展整体绿道前期调研，统筹编制规划文本、规划图集及专题研究；</w:t>
            </w:r>
          </w:p>
          <w:p>
            <w:pPr>
              <w:pStyle w:val="null3"/>
              <w:ind w:firstLine="440"/>
              <w:jc w:val="both"/>
            </w:pPr>
            <w:r>
              <w:rPr>
                <w:rFonts w:ascii="仿宋_GB2312" w:hAnsi="仿宋_GB2312" w:cs="仿宋_GB2312" w:eastAsia="仿宋_GB2312"/>
                <w:sz w:val="32"/>
                <w:b/>
              </w:rPr>
              <w:t>2.</w:t>
            </w:r>
            <w:r>
              <w:rPr>
                <w:rFonts w:ascii="仿宋_GB2312" w:hAnsi="仿宋_GB2312" w:cs="仿宋_GB2312" w:eastAsia="仿宋_GB2312"/>
                <w:sz w:val="32"/>
                <w:b/>
              </w:rPr>
              <w:t>规划建设导则</w:t>
            </w:r>
            <w:r>
              <w:rPr>
                <w:rFonts w:ascii="仿宋_GB2312" w:hAnsi="仿宋_GB2312" w:cs="仿宋_GB2312" w:eastAsia="仿宋_GB2312"/>
                <w:sz w:val="32"/>
                <w:b/>
              </w:rPr>
              <w:t>。</w:t>
            </w:r>
            <w:r>
              <w:rPr>
                <w:rFonts w:ascii="仿宋_GB2312" w:hAnsi="仿宋_GB2312" w:cs="仿宋_GB2312" w:eastAsia="仿宋_GB2312"/>
                <w:sz w:val="32"/>
              </w:rPr>
              <w:t>以</w:t>
            </w:r>
            <w:r>
              <w:rPr>
                <w:rFonts w:ascii="仿宋_GB2312" w:hAnsi="仿宋_GB2312" w:cs="仿宋_GB2312" w:eastAsia="仿宋_GB2312"/>
                <w:sz w:val="32"/>
              </w:rPr>
              <w:t>“设计可依据、建设可执行、管理可对照”为目标，系统开展前期调研，高质量编制中心城区整体绿道提升规划建设导则（含文本及图集）</w:t>
            </w:r>
            <w:r>
              <w:rPr>
                <w:rFonts w:ascii="仿宋_GB2312" w:hAnsi="仿宋_GB2312" w:cs="仿宋_GB2312" w:eastAsia="仿宋_GB2312"/>
                <w:sz w:val="32"/>
              </w:rPr>
              <w:t>；</w:t>
            </w:r>
          </w:p>
          <w:p>
            <w:pPr>
              <w:pStyle w:val="null3"/>
              <w:ind w:firstLine="440"/>
              <w:jc w:val="both"/>
            </w:pPr>
            <w:r>
              <w:rPr>
                <w:rFonts w:ascii="仿宋_GB2312" w:hAnsi="仿宋_GB2312" w:cs="仿宋_GB2312" w:eastAsia="仿宋_GB2312"/>
                <w:sz w:val="32"/>
                <w:b/>
              </w:rPr>
              <w:t>3.示范段绿道方案设计、初步设计</w:t>
            </w:r>
            <w:r>
              <w:rPr>
                <w:rFonts w:ascii="仿宋_GB2312" w:hAnsi="仿宋_GB2312" w:cs="仿宋_GB2312" w:eastAsia="仿宋_GB2312"/>
                <w:sz w:val="32"/>
                <w:b/>
              </w:rPr>
              <w:t>。</w:t>
            </w:r>
            <w:r>
              <w:rPr>
                <w:rFonts w:ascii="仿宋_GB2312" w:hAnsi="仿宋_GB2312" w:cs="仿宋_GB2312" w:eastAsia="仿宋_GB2312"/>
                <w:sz w:val="32"/>
              </w:rPr>
              <w:t>立足项目功能定位并衔接上位规划，成果须严格落实国家、行业及四川省相关标准与规范，做到内容完备、兼顾创新与经济，确保全面满足审查要求。</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成果交付要求</w:t>
            </w:r>
          </w:p>
        </w:tc>
        <w:tc>
          <w:tcPr>
            <w:tcW w:type="dxa" w:w="5814"/>
          </w:tcPr>
          <w:p>
            <w:pPr>
              <w:pStyle w:val="null3"/>
              <w:ind w:left="645"/>
              <w:jc w:val="both"/>
            </w:pPr>
            <w:r>
              <w:rPr>
                <w:rFonts w:ascii="仿宋_GB2312" w:hAnsi="仿宋_GB2312" w:cs="仿宋_GB2312" w:eastAsia="仿宋_GB2312"/>
                <w:sz w:val="32"/>
              </w:rPr>
              <w:t>（一）交付形式</w:t>
            </w:r>
            <w:r>
              <w:rPr>
                <w:rFonts w:ascii="仿宋_GB2312" w:hAnsi="仿宋_GB2312" w:cs="仿宋_GB2312" w:eastAsia="仿宋_GB2312"/>
                <w:sz w:val="32"/>
              </w:rPr>
              <w:t>：</w:t>
            </w:r>
            <w:r>
              <w:rPr>
                <w:rFonts w:ascii="仿宋_GB2312" w:hAnsi="仿宋_GB2312" w:cs="仿宋_GB2312" w:eastAsia="仿宋_GB2312"/>
                <w:sz w:val="32"/>
              </w:rPr>
              <w:t>纸质版</w:t>
            </w:r>
            <w:r>
              <w:rPr>
                <w:rFonts w:ascii="仿宋_GB2312" w:hAnsi="仿宋_GB2312" w:cs="仿宋_GB2312" w:eastAsia="仿宋_GB2312"/>
                <w:sz w:val="32"/>
              </w:rPr>
              <w:t>8套，电子光盘2套。</w:t>
            </w:r>
            <w:r>
              <w:br/>
            </w:r>
            <w:r>
              <w:rPr>
                <w:rFonts w:ascii="仿宋_GB2312" w:hAnsi="仿宋_GB2312" w:cs="仿宋_GB2312" w:eastAsia="仿宋_GB2312"/>
                <w:sz w:val="32"/>
              </w:rPr>
              <w:t>（二）格式规范</w:t>
            </w:r>
          </w:p>
          <w:p>
            <w:pPr>
              <w:pStyle w:val="null3"/>
              <w:ind w:firstLine="440"/>
              <w:jc w:val="both"/>
            </w:pPr>
            <w:r>
              <w:rPr>
                <w:rFonts w:ascii="仿宋_GB2312" w:hAnsi="仿宋_GB2312" w:cs="仿宋_GB2312" w:eastAsia="仿宋_GB2312"/>
                <w:sz w:val="32"/>
              </w:rPr>
              <w:t>1.</w:t>
            </w:r>
            <w:r>
              <w:rPr>
                <w:rFonts w:ascii="仿宋_GB2312" w:hAnsi="仿宋_GB2312" w:cs="仿宋_GB2312" w:eastAsia="仿宋_GB2312"/>
                <w:sz w:val="32"/>
              </w:rPr>
              <w:t>文本成果：采用</w:t>
            </w:r>
            <w:r>
              <w:rPr>
                <w:rFonts w:ascii="仿宋_GB2312" w:hAnsi="仿宋_GB2312" w:cs="仿宋_GB2312" w:eastAsia="仿宋_GB2312"/>
                <w:sz w:val="32"/>
              </w:rPr>
              <w:t>*.docx和*.pdf格式；</w:t>
            </w:r>
          </w:p>
          <w:p>
            <w:pPr>
              <w:pStyle w:val="null3"/>
              <w:ind w:firstLine="440"/>
              <w:jc w:val="both"/>
            </w:pPr>
            <w:r>
              <w:rPr>
                <w:rFonts w:ascii="仿宋_GB2312" w:hAnsi="仿宋_GB2312" w:cs="仿宋_GB2312" w:eastAsia="仿宋_GB2312"/>
                <w:sz w:val="32"/>
              </w:rPr>
              <w:t>2.</w:t>
            </w:r>
            <w:r>
              <w:rPr>
                <w:rFonts w:ascii="仿宋_GB2312" w:hAnsi="仿宋_GB2312" w:cs="仿宋_GB2312" w:eastAsia="仿宋_GB2312"/>
                <w:sz w:val="32"/>
              </w:rPr>
              <w:t>图件</w:t>
            </w:r>
            <w:r>
              <w:rPr>
                <w:rFonts w:ascii="仿宋_GB2312" w:hAnsi="仿宋_GB2312" w:cs="仿宋_GB2312" w:eastAsia="仿宋_GB2312"/>
                <w:sz w:val="32"/>
              </w:rPr>
              <w:t>/图纸成果：采用*.jpg和*.dwg格式；</w:t>
            </w:r>
          </w:p>
          <w:p>
            <w:pPr>
              <w:pStyle w:val="null3"/>
              <w:ind w:firstLine="440"/>
              <w:jc w:val="both"/>
            </w:pPr>
            <w:r>
              <w:rPr>
                <w:rFonts w:ascii="仿宋_GB2312" w:hAnsi="仿宋_GB2312" w:cs="仿宋_GB2312" w:eastAsia="仿宋_GB2312"/>
                <w:sz w:val="32"/>
              </w:rPr>
              <w:t>3.</w:t>
            </w:r>
            <w:r>
              <w:rPr>
                <w:rFonts w:ascii="仿宋_GB2312" w:hAnsi="仿宋_GB2312" w:cs="仿宋_GB2312" w:eastAsia="仿宋_GB2312"/>
                <w:sz w:val="32"/>
              </w:rPr>
              <w:t>表格成果：采用</w:t>
            </w:r>
            <w:r>
              <w:rPr>
                <w:rFonts w:ascii="仿宋_GB2312" w:hAnsi="仿宋_GB2312" w:cs="仿宋_GB2312" w:eastAsia="仿宋_GB2312"/>
                <w:sz w:val="32"/>
              </w:rPr>
              <w:t>*.xls格式；</w:t>
            </w:r>
          </w:p>
          <w:p>
            <w:pPr>
              <w:pStyle w:val="null3"/>
              <w:ind w:left="645"/>
              <w:jc w:val="both"/>
            </w:pPr>
            <w:r>
              <w:rPr>
                <w:rFonts w:ascii="仿宋_GB2312" w:hAnsi="仿宋_GB2312" w:cs="仿宋_GB2312" w:eastAsia="仿宋_GB2312"/>
                <w:sz w:val="32"/>
              </w:rPr>
              <w:t>4.</w:t>
            </w:r>
            <w:r>
              <w:rPr>
                <w:rFonts w:ascii="仿宋_GB2312" w:hAnsi="仿宋_GB2312" w:cs="仿宋_GB2312" w:eastAsia="仿宋_GB2312"/>
                <w:sz w:val="32"/>
              </w:rPr>
              <w:t>矢量数据成果：采用</w:t>
            </w:r>
            <w:r>
              <w:rPr>
                <w:rFonts w:ascii="仿宋_GB2312" w:hAnsi="仿宋_GB2312" w:cs="仿宋_GB2312" w:eastAsia="仿宋_GB2312"/>
                <w:sz w:val="32"/>
              </w:rPr>
              <w:t>*.gdb和*.dwg格式。</w:t>
            </w:r>
            <w:r>
              <w:br/>
            </w:r>
            <w:r>
              <w:rPr>
                <w:rFonts w:ascii="仿宋_GB2312" w:hAnsi="仿宋_GB2312" w:cs="仿宋_GB2312" w:eastAsia="仿宋_GB2312"/>
                <w:sz w:val="32"/>
              </w:rPr>
              <w:t>（三）成果构成</w:t>
            </w:r>
          </w:p>
          <w:p>
            <w:pPr>
              <w:pStyle w:val="null3"/>
              <w:ind w:firstLine="440"/>
              <w:jc w:val="both"/>
            </w:pPr>
            <w:r>
              <w:rPr>
                <w:rFonts w:ascii="仿宋_GB2312" w:hAnsi="仿宋_GB2312" w:cs="仿宋_GB2312" w:eastAsia="仿宋_GB2312"/>
                <w:sz w:val="32"/>
              </w:rPr>
              <w:t>1.</w:t>
            </w:r>
            <w:r>
              <w:rPr>
                <w:rFonts w:ascii="仿宋_GB2312" w:hAnsi="仿宋_GB2312" w:cs="仿宋_GB2312" w:eastAsia="仿宋_GB2312"/>
                <w:sz w:val="32"/>
              </w:rPr>
              <w:t>“酒城绿道”提升规划：包含文本、图件及附件（含专题研究）；</w:t>
            </w:r>
          </w:p>
          <w:p>
            <w:pPr>
              <w:pStyle w:val="null3"/>
              <w:ind w:firstLine="440"/>
              <w:jc w:val="both"/>
            </w:pPr>
            <w:r>
              <w:rPr>
                <w:rFonts w:ascii="仿宋_GB2312" w:hAnsi="仿宋_GB2312" w:cs="仿宋_GB2312" w:eastAsia="仿宋_GB2312"/>
                <w:sz w:val="32"/>
              </w:rPr>
              <w:t>2.</w:t>
            </w:r>
            <w:r>
              <w:rPr>
                <w:rFonts w:ascii="仿宋_GB2312" w:hAnsi="仿宋_GB2312" w:cs="仿宋_GB2312" w:eastAsia="仿宋_GB2312"/>
                <w:sz w:val="32"/>
              </w:rPr>
              <w:t>规划建设导则：包含文本、图件及附件；</w:t>
            </w:r>
          </w:p>
          <w:p>
            <w:pPr>
              <w:pStyle w:val="null3"/>
              <w:ind w:firstLine="440"/>
              <w:jc w:val="both"/>
            </w:pPr>
            <w:r>
              <w:rPr>
                <w:rFonts w:ascii="仿宋_GB2312" w:hAnsi="仿宋_GB2312" w:cs="仿宋_GB2312" w:eastAsia="仿宋_GB2312"/>
                <w:sz w:val="32"/>
              </w:rPr>
              <w:t>3.</w:t>
            </w:r>
            <w:r>
              <w:rPr>
                <w:rFonts w:ascii="仿宋_GB2312" w:hAnsi="仿宋_GB2312" w:cs="仿宋_GB2312" w:eastAsia="仿宋_GB2312"/>
                <w:sz w:val="32"/>
              </w:rPr>
              <w:t>示范段方案设计：包含文本、图件及附件；</w:t>
            </w:r>
          </w:p>
          <w:p>
            <w:pPr>
              <w:pStyle w:val="null3"/>
              <w:ind w:firstLine="440"/>
              <w:jc w:val="both"/>
            </w:pPr>
            <w:r>
              <w:rPr>
                <w:rFonts w:ascii="仿宋_GB2312" w:hAnsi="仿宋_GB2312" w:cs="仿宋_GB2312" w:eastAsia="仿宋_GB2312"/>
                <w:sz w:val="32"/>
              </w:rPr>
              <w:t>4.</w:t>
            </w:r>
            <w:r>
              <w:rPr>
                <w:rFonts w:ascii="仿宋_GB2312" w:hAnsi="仿宋_GB2312" w:cs="仿宋_GB2312" w:eastAsia="仿宋_GB2312"/>
                <w:sz w:val="32"/>
              </w:rPr>
              <w:t>近期建设段初步设计：包含文本、图纸及附件。</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人员配置要求</w:t>
            </w:r>
          </w:p>
        </w:tc>
        <w:tc>
          <w:tcPr>
            <w:tcW w:type="dxa" w:w="5814"/>
          </w:tcPr>
          <w:p>
            <w:pPr>
              <w:pStyle w:val="null3"/>
              <w:ind w:firstLine="440"/>
              <w:jc w:val="both"/>
            </w:pPr>
            <w:r>
              <w:rPr>
                <w:rFonts w:ascii="仿宋_GB2312" w:hAnsi="仿宋_GB2312" w:cs="仿宋_GB2312" w:eastAsia="仿宋_GB2312"/>
                <w:sz w:val="32"/>
              </w:rPr>
              <w:t>1. 项目负责人：配备1名，须同时具备城市（城乡、国土空间）规划专业高级工程师及以上职称和注册城乡规划师</w:t>
            </w:r>
            <w:r>
              <w:rPr>
                <w:rFonts w:ascii="仿宋_GB2312" w:hAnsi="仿宋_GB2312" w:cs="仿宋_GB2312" w:eastAsia="仿宋_GB2312"/>
                <w:sz w:val="32"/>
              </w:rPr>
              <w:t>注册</w:t>
            </w:r>
            <w:r>
              <w:rPr>
                <w:rFonts w:ascii="仿宋_GB2312" w:hAnsi="仿宋_GB2312" w:cs="仿宋_GB2312" w:eastAsia="仿宋_GB2312"/>
                <w:sz w:val="32"/>
              </w:rPr>
              <w:t>证书</w:t>
            </w:r>
            <w:r>
              <w:rPr>
                <w:rFonts w:ascii="仿宋_GB2312" w:hAnsi="仿宋_GB2312" w:cs="仿宋_GB2312" w:eastAsia="仿宋_GB2312"/>
                <w:sz w:val="32"/>
              </w:rPr>
              <w:t>（注：提供相关证书扫描件）</w:t>
            </w:r>
            <w:r>
              <w:rPr>
                <w:rFonts w:ascii="仿宋_GB2312" w:hAnsi="仿宋_GB2312" w:cs="仿宋_GB2312" w:eastAsia="仿宋_GB2312"/>
                <w:sz w:val="32"/>
              </w:rPr>
              <w:t>。</w:t>
            </w:r>
          </w:p>
          <w:p>
            <w:pPr>
              <w:pStyle w:val="null3"/>
              <w:ind w:firstLine="440"/>
              <w:jc w:val="both"/>
            </w:pPr>
            <w:r>
              <w:rPr>
                <w:rFonts w:ascii="仿宋_GB2312" w:hAnsi="仿宋_GB2312" w:cs="仿宋_GB2312" w:eastAsia="仿宋_GB2312"/>
                <w:sz w:val="32"/>
              </w:rPr>
              <w:t>2. 专业团队人员：配备</w:t>
            </w:r>
            <w:r>
              <w:rPr>
                <w:rFonts w:ascii="仿宋_GB2312" w:hAnsi="仿宋_GB2312" w:cs="仿宋_GB2312" w:eastAsia="仿宋_GB2312"/>
                <w:sz w:val="28"/>
              </w:rPr>
              <w:t>城市（城乡、国土空间）规划</w:t>
            </w:r>
            <w:r>
              <w:rPr>
                <w:rFonts w:ascii="仿宋_GB2312" w:hAnsi="仿宋_GB2312" w:cs="仿宋_GB2312" w:eastAsia="仿宋_GB2312"/>
                <w:sz w:val="28"/>
              </w:rPr>
              <w:t>、</w:t>
            </w:r>
            <w:r>
              <w:rPr>
                <w:rFonts w:ascii="仿宋_GB2312" w:hAnsi="仿宋_GB2312" w:cs="仿宋_GB2312" w:eastAsia="仿宋_GB2312"/>
                <w:sz w:val="32"/>
              </w:rPr>
              <w:t>风景园林、</w:t>
            </w:r>
            <w:r>
              <w:rPr>
                <w:rFonts w:ascii="仿宋_GB2312" w:hAnsi="仿宋_GB2312" w:cs="仿宋_GB2312" w:eastAsia="仿宋_GB2312"/>
                <w:sz w:val="32"/>
              </w:rPr>
              <w:t>市政工程、</w:t>
            </w:r>
            <w:r>
              <w:rPr>
                <w:rFonts w:ascii="仿宋_GB2312" w:hAnsi="仿宋_GB2312" w:cs="仿宋_GB2312" w:eastAsia="仿宋_GB2312"/>
                <w:sz w:val="32"/>
              </w:rPr>
              <w:t>给排水、建筑设计</w:t>
            </w:r>
            <w:r>
              <w:rPr>
                <w:rFonts w:ascii="仿宋_GB2312" w:hAnsi="仿宋_GB2312" w:cs="仿宋_GB2312" w:eastAsia="仿宋_GB2312"/>
                <w:sz w:val="32"/>
              </w:rPr>
              <w:t>、</w:t>
            </w:r>
            <w:r>
              <w:rPr>
                <w:rFonts w:ascii="仿宋_GB2312" w:hAnsi="仿宋_GB2312" w:cs="仿宋_GB2312" w:eastAsia="仿宋_GB2312"/>
                <w:sz w:val="28"/>
              </w:rPr>
              <w:t>测绘工程</w:t>
            </w:r>
            <w:r>
              <w:rPr>
                <w:rFonts w:ascii="仿宋_GB2312" w:hAnsi="仿宋_GB2312" w:cs="仿宋_GB2312" w:eastAsia="仿宋_GB2312"/>
                <w:sz w:val="28"/>
              </w:rPr>
              <w:t>专业技术</w:t>
            </w:r>
            <w:r>
              <w:rPr>
                <w:rFonts w:ascii="仿宋_GB2312" w:hAnsi="仿宋_GB2312" w:cs="仿宋_GB2312" w:eastAsia="仿宋_GB2312"/>
                <w:sz w:val="32"/>
              </w:rPr>
              <w:t>人员各至少</w:t>
            </w:r>
            <w:r>
              <w:rPr>
                <w:rFonts w:ascii="仿宋_GB2312" w:hAnsi="仿宋_GB2312" w:cs="仿宋_GB2312" w:eastAsia="仿宋_GB2312"/>
                <w:sz w:val="32"/>
              </w:rPr>
              <w:t>1名。</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合同签订后60日内</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泸州市（采购人指定地点）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严格按照《财政部关于进一步加强政府采购需求和履约验收管理的指导意见》（财库﹝2016﹞205号）的要求、采购文件规定的要求和响应文件及合同承诺的内容进行验收。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1、合同签订后，中标人提供有效发票，达到付款条件起30日内，支付合同总金额的30.00%</w:t>
            </w:r>
          </w:p>
          <w:p>
            <w:pPr>
              <w:pStyle w:val="null3"/>
              <w:jc w:val="left"/>
            </w:pPr>
            <w:r>
              <w:rPr>
                <w:rFonts w:ascii="仿宋_GB2312" w:hAnsi="仿宋_GB2312" w:cs="仿宋_GB2312" w:eastAsia="仿宋_GB2312"/>
              </w:rPr>
              <w:t>2、规划、导则及设计方案通过市自然资源和规划局组织的审查后，中标人提供有效发票，达到付款条件起30日内，支付合同总金额的40.00%</w:t>
            </w:r>
          </w:p>
          <w:p>
            <w:pPr>
              <w:pStyle w:val="null3"/>
              <w:jc w:val="left"/>
            </w:pPr>
            <w:r>
              <w:rPr>
                <w:rFonts w:ascii="仿宋_GB2312" w:hAnsi="仿宋_GB2312" w:cs="仿宋_GB2312" w:eastAsia="仿宋_GB2312"/>
              </w:rPr>
              <w:t>3、中标人根据评审意见修改完善，最终成果通过验收并提交后，中标人提供有效发票，达到付款条件起30日内，支付合同总金额的30.00%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以签订合同内容为准。</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1.供应商需具有拟为本项目服务的人员团队。 2.供应商需具有类似项目业绩。 3.供应商需提供提升规划方案、建设导则内容、示范段方案设计、项目服务方案内容。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19"/>
        </w:rPr>
        <w:t>第三章</w:t>
      </w:r>
      <w:r>
        <w:rPr>
          <w:rFonts w:ascii="仿宋_GB2312" w:hAnsi="仿宋_GB2312" w:cs="仿宋_GB2312" w:eastAsia="仿宋_GB2312"/>
          <w:sz w:val="19"/>
        </w:rPr>
        <w:t>“</w:t>
      </w:r>
      <w:r>
        <w:rPr>
          <w:rFonts w:ascii="仿宋_GB2312" w:hAnsi="仿宋_GB2312" w:cs="仿宋_GB2312" w:eastAsia="仿宋_GB2312"/>
          <w:sz w:val="19"/>
        </w:rPr>
        <w:t>技术、服务及其他要求</w:t>
      </w:r>
      <w:r>
        <w:rPr>
          <w:rFonts w:ascii="仿宋_GB2312" w:hAnsi="仿宋_GB2312" w:cs="仿宋_GB2312" w:eastAsia="仿宋_GB2312"/>
          <w:sz w:val="19"/>
        </w:rPr>
        <w:t>“</w:t>
      </w:r>
      <w:r>
        <w:rPr>
          <w:rFonts w:ascii="仿宋_GB2312" w:hAnsi="仿宋_GB2312" w:cs="仿宋_GB2312" w:eastAsia="仿宋_GB2312"/>
        </w:rPr>
        <w:t xml:space="preserve"> </w:t>
      </w:r>
      <w:r>
        <w:rPr>
          <w:rFonts w:ascii="仿宋_GB2312" w:hAnsi="仿宋_GB2312" w:cs="仿宋_GB2312" w:eastAsia="仿宋_GB2312"/>
          <w:sz w:val="19"/>
        </w:rPr>
        <w:t>中</w:t>
      </w:r>
      <w:r>
        <w:rPr>
          <w:rFonts w:ascii="仿宋_GB2312" w:hAnsi="仿宋_GB2312" w:cs="仿宋_GB2312" w:eastAsia="仿宋_GB2312"/>
          <w:sz w:val="19"/>
        </w:rPr>
        <w:t>“</w:t>
      </w:r>
      <w:r>
        <w:rPr>
          <w:rFonts w:ascii="仿宋_GB2312" w:hAnsi="仿宋_GB2312" w:cs="仿宋_GB2312" w:eastAsia="仿宋_GB2312"/>
        </w:rPr>
        <w:t xml:space="preserve"> </w:t>
      </w:r>
      <w:r>
        <w:rPr>
          <w:rFonts w:ascii="仿宋_GB2312" w:hAnsi="仿宋_GB2312" w:cs="仿宋_GB2312" w:eastAsia="仿宋_GB2312"/>
          <w:sz w:val="19"/>
        </w:rPr>
        <w:t>3.2.</w:t>
      </w:r>
      <w:r>
        <w:rPr>
          <w:rFonts w:ascii="仿宋_GB2312" w:hAnsi="仿宋_GB2312" w:cs="仿宋_GB2312" w:eastAsia="仿宋_GB2312"/>
          <w:sz w:val="19"/>
        </w:rPr>
        <w:t>技术要求</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rPr>
        <w:t xml:space="preserve"> </w:t>
      </w:r>
      <w:r>
        <w:rPr>
          <w:rFonts w:ascii="仿宋_GB2312" w:hAnsi="仿宋_GB2312" w:cs="仿宋_GB2312" w:eastAsia="仿宋_GB2312"/>
          <w:sz w:val="19"/>
        </w:rPr>
        <w:t>3.3.</w:t>
      </w:r>
      <w:r>
        <w:rPr>
          <w:rFonts w:ascii="仿宋_GB2312" w:hAnsi="仿宋_GB2312" w:cs="仿宋_GB2312" w:eastAsia="仿宋_GB2312"/>
          <w:sz w:val="19"/>
        </w:rPr>
        <w:t>服务要求</w:t>
      </w:r>
      <w:r>
        <w:rPr>
          <w:rFonts w:ascii="仿宋_GB2312" w:hAnsi="仿宋_GB2312" w:cs="仿宋_GB2312" w:eastAsia="仿宋_GB2312"/>
          <w:sz w:val="19"/>
        </w:rPr>
        <w:t>"</w:t>
      </w:r>
      <w:r>
        <w:rPr>
          <w:rFonts w:ascii="仿宋_GB2312" w:hAnsi="仿宋_GB2312" w:cs="仿宋_GB2312" w:eastAsia="仿宋_GB2312"/>
          <w:sz w:val="19"/>
        </w:rPr>
        <w:t>的所有内容。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19"/>
        </w:rPr>
        <w:t>第七章</w:t>
      </w:r>
      <w:r>
        <w:rPr>
          <w:rFonts w:ascii="仿宋_GB2312" w:hAnsi="仿宋_GB2312" w:cs="仿宋_GB2312" w:eastAsia="仿宋_GB2312"/>
          <w:sz w:val="19"/>
        </w:rPr>
        <w:t>“</w:t>
      </w:r>
      <w:r>
        <w:rPr>
          <w:rFonts w:ascii="仿宋_GB2312" w:hAnsi="仿宋_GB2312" w:cs="仿宋_GB2312" w:eastAsia="仿宋_GB2312"/>
          <w:sz w:val="19"/>
        </w:rPr>
        <w:t>拟签订采购合同文本</w:t>
      </w:r>
      <w:r>
        <w:rPr>
          <w:rFonts w:ascii="仿宋_GB2312" w:hAnsi="仿宋_GB2312" w:cs="仿宋_GB2312" w:eastAsia="仿宋_GB2312"/>
          <w:sz w:val="19"/>
        </w:rPr>
        <w:t>”</w:t>
      </w:r>
      <w:r>
        <w:rPr>
          <w:rFonts w:ascii="仿宋_GB2312" w:hAnsi="仿宋_GB2312" w:cs="仿宋_GB2312" w:eastAsia="仿宋_GB2312"/>
          <w:sz w:val="19"/>
        </w:rPr>
        <w:t>所有内容。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扫描件加盖公章。</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同时具备行政主管部门颁发的有效期内的城乡规划（国土空间规划）编制乙级及以上资质、风景园林工程设计专项乙级及以上资质、测绘乙级及以上资质（专业范围工程测量）</w:t>
            </w:r>
          </w:p>
        </w:tc>
        <w:tc>
          <w:tcPr>
            <w:tcW w:type="dxa" w:w="3322"/>
          </w:tcPr>
          <w:p>
            <w:pPr>
              <w:pStyle w:val="null3"/>
              <w:jc w:val="left"/>
            </w:pPr>
            <w:r>
              <w:rPr>
                <w:rFonts w:ascii="仿宋_GB2312" w:hAnsi="仿宋_GB2312" w:cs="仿宋_GB2312" w:eastAsia="仿宋_GB2312"/>
              </w:rPr>
              <w:t>提供行政主管部门颁发的有效期内的城乡规划（国土空间规划）编制乙级及以上资质、风景园林工程设计专项乙级及以上资质、测绘乙级及以上资质（专业范围工程测量）证书扫描件并加盖公章</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本项目接受联合体参与，若为联合体投标的，联合体成员（含联合体牵头人）家数不超过2家。提供联合体协议书，载明联合体各方承担的工作和义务。</w:t>
            </w:r>
          </w:p>
        </w:tc>
        <w:tc>
          <w:tcPr>
            <w:tcW w:type="dxa" w:w="3322"/>
          </w:tcPr>
          <w:p>
            <w:pPr>
              <w:pStyle w:val="null3"/>
              <w:jc w:val="left"/>
            </w:pPr>
            <w:r>
              <w:rPr>
                <w:rFonts w:ascii="仿宋_GB2312" w:hAnsi="仿宋_GB2312" w:cs="仿宋_GB2312" w:eastAsia="仿宋_GB2312"/>
              </w:rPr>
              <w:t>若为联合体投标的，联合体成员（含联合体牵头人）家数不超过2家。提供联合体协议书扫描件，载明联合体各方承担的工作和义务。</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本项目技术要求</w:t>
            </w:r>
          </w:p>
        </w:tc>
        <w:tc>
          <w:tcPr>
            <w:tcW w:type="dxa" w:w="3322"/>
          </w:tcPr>
          <w:p>
            <w:pPr>
              <w:pStyle w:val="null3"/>
              <w:jc w:val="left"/>
            </w:pPr>
            <w:r>
              <w:rPr>
                <w:rFonts w:ascii="仿宋_GB2312" w:hAnsi="仿宋_GB2312" w:cs="仿宋_GB2312" w:eastAsia="仿宋_GB2312"/>
              </w:rPr>
              <w:t>供应商需按要求填写《服务应答表》，服务应答表须对磋商文件3.2技术要求中所有实质性要求的内容进行响应。</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本项目商务要求</w:t>
            </w:r>
          </w:p>
        </w:tc>
        <w:tc>
          <w:tcPr>
            <w:tcW w:type="dxa" w:w="3322"/>
          </w:tcPr>
          <w:p>
            <w:pPr>
              <w:pStyle w:val="null3"/>
              <w:jc w:val="left"/>
            </w:pPr>
            <w:r>
              <w:rPr>
                <w:rFonts w:ascii="仿宋_GB2312" w:hAnsi="仿宋_GB2312" w:cs="仿宋_GB2312" w:eastAsia="仿宋_GB2312"/>
              </w:rPr>
              <w:t>供应商需按要求填写《商务应答表》，按磋商文件第三章3.3.2.商务要求进行响应。</w:t>
            </w:r>
          </w:p>
        </w:tc>
        <w:tc>
          <w:tcPr>
            <w:tcW w:type="dxa" w:w="1661"/>
          </w:tcPr>
          <w:p>
            <w:pPr>
              <w:pStyle w:val="null3"/>
              <w:jc w:val="left"/>
            </w:pPr>
            <w:r>
              <w:rPr>
                <w:rFonts w:ascii="仿宋_GB2312" w:hAnsi="仿宋_GB2312" w:cs="仿宋_GB2312" w:eastAsia="仿宋_GB2312"/>
              </w:rPr>
              <w:t>商务应答表.docx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提升规划方案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1.规划专业负责人（1名）：具有城市（城乡、国土空间）规划专业中级工程师职称证的得1分、具有高级及以上工程师职称证的得2分；在此基础上，具有注册城乡规划师注册证书每人加2分；本项最高得4分。 2.园林专业负责人（1名）：具有园林类中级工程师职称证的得1分、具有高级及以上工程师职称证的得2分；本项最高得2分。 3.市政专业负责人（1名）：具有市政工程中级工程师职称证的得1分、具有高级及以上工程师职称证的得2分；本项最高得2分。 4.给排水专业负责人（1人）：具有给排水设计专业中级工程师职称证的得1分，具有高级及以上工程师职称证的得2分；在此基础上，具有注册公用设备工程师（给水排水）资格证书加2分；本项最高得4分。 5.建筑专业负责人（1名）：具有建筑设计中级工程师职称证的得1分、具有高级及以上工程师职称证的得2分；在此基础上，具有二级及以上注册建筑师资格证书加2分；本项最高得4分。 6.测绘专业负责人（1名）：具有测绘工程中级 及以上工程师职称证的得2分，在此基础上，具有注册测绘师注册证的加2分；本项最高得4分。 7.设计人员：每提供一个具有中级及以上园林或城市（城乡、国土空间）规划专业工程师职称证的得1分、具有高级及以上园林或城市（城乡、国土空间）规划专业工程师职称证的得2分；本项最高得10分。 注：①以上人员不重复计分，按照最高等级计分；②提供以上人员相应证书扫描件并加盖供应商公章，不提供或未按要求提供的不得分。</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1.供应商自2016年1月1日至今每具有一个绿道或绿地类或风景园林类的规划业绩得2分，本项最多得6分。 2.供应商自2016年1月1日至今每具有一个绿道或绿地类或风景园林类的导则、指引、标准业绩得2分，本项最多得6分。 注：1.提供中标/成交通知书或者合同复印件，并加盖供应商公章。</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提升规划方案</w:t>
            </w:r>
          </w:p>
        </w:tc>
        <w:tc>
          <w:tcPr>
            <w:tcW w:type="dxa" w:w="2575"/>
          </w:tcPr>
          <w:p>
            <w:pPr>
              <w:pStyle w:val="null3"/>
              <w:jc w:val="left"/>
            </w:pPr>
            <w:r>
              <w:rPr>
                <w:rFonts w:ascii="仿宋_GB2312" w:hAnsi="仿宋_GB2312" w:cs="仿宋_GB2312" w:eastAsia="仿宋_GB2312"/>
              </w:rPr>
              <w:t>根据供应商提供的提升规划方案进行评审，至少包括：①专题研究；②规划总则；③线路规划；④近期建设规划。以上方案内容完整、符合采购需求且无缺陷的得12分；每缺少一项内容扣3分；每项内容中每有1处缺陷扣1.5分，该项扣完为止。 缺陷具体是指以下情形中任意一种：①方案内容简略（仅有框架或标题）；②方案内容仅有复制采购文件内容的要求；③方案中出现套用其他无关项目方案或内容；④方案内容中出现前后描述不一致现象或语言描述出现错误；⑤方案内容引用的规范及标准（方法）出现错误；⑥项目名称错误；⑦实施地点区域错误。</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建设导则内容</w:t>
            </w:r>
          </w:p>
        </w:tc>
        <w:tc>
          <w:tcPr>
            <w:tcW w:type="dxa" w:w="2575"/>
          </w:tcPr>
          <w:p>
            <w:pPr>
              <w:pStyle w:val="null3"/>
              <w:jc w:val="left"/>
            </w:pPr>
            <w:r>
              <w:rPr>
                <w:rFonts w:ascii="仿宋_GB2312" w:hAnsi="仿宋_GB2312" w:cs="仿宋_GB2312" w:eastAsia="仿宋_GB2312"/>
              </w:rPr>
              <w:t>根据供应商提供的建设导则内容进行评审，至少包括：①分级指引；②分类指引；③建设要求指引；④其他相关专项指引。以上方案内容完整、符合采购需求且无缺陷的得12分；每缺少一项内容扣3分；每项内容中每有1处缺陷扣1.5分，该项扣完为止。 缺陷具体是指以下情形中任意一种：①方案内容简略（仅有框架或标题）；②方案内容仅有复制采购文件内容的要求；③方案中出现套用其他无关项目方案或内容；④方案内容中出现前后描述不一致现象或语言描述出现错误；⑤方案内容引用的规范及标准（方法）出现错误；⑥项目名称错误；⑦实施地点区域错误。</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示范段方案设计</w:t>
            </w:r>
          </w:p>
        </w:tc>
        <w:tc>
          <w:tcPr>
            <w:tcW w:type="dxa" w:w="2575"/>
          </w:tcPr>
          <w:p>
            <w:pPr>
              <w:pStyle w:val="null3"/>
              <w:jc w:val="left"/>
            </w:pPr>
            <w:r>
              <w:rPr>
                <w:rFonts w:ascii="仿宋_GB2312" w:hAnsi="仿宋_GB2312" w:cs="仿宋_GB2312" w:eastAsia="仿宋_GB2312"/>
              </w:rPr>
              <w:t>根据供应商提供的示范段方案设计进行评审，至少包括①总体构思；②总体设计；③分段或重要节点设计；④专项设计。以上方案内容完整、符合采购需求且无缺陷的得16分；每缺少一项内容扣4分；每项内容中每有1处缺陷扣2分，该项扣完为止。 缺陷具体是指以下情形中任意一种：①方案内容简略（仅有框架或标题）；②方案内容仅有复制采购文件内容的要求；③方案中出现套用其他无关项目方案或内容；④方案内容中出现前后描述不一致现象或语言描述出现错误；⑤方案内容引用的规范及标准（方法）出现错误；⑥项目名称错误；⑦实施地点区域错误。</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项目服务方案</w:t>
            </w:r>
          </w:p>
        </w:tc>
        <w:tc>
          <w:tcPr>
            <w:tcW w:type="dxa" w:w="2575"/>
          </w:tcPr>
          <w:p>
            <w:pPr>
              <w:pStyle w:val="null3"/>
              <w:jc w:val="left"/>
            </w:pPr>
            <w:r>
              <w:rPr>
                <w:rFonts w:ascii="仿宋_GB2312" w:hAnsi="仿宋_GB2312" w:cs="仿宋_GB2312" w:eastAsia="仿宋_GB2312"/>
              </w:rPr>
              <w:t>根据供应商提供的项目服务方案进行评审，至少包括：①工作程序步骤；②质量保证措施方面内容。以上方案内容完整、符合采购需求且无缺陷的得8分；每缺少一项内容扣4分；每项内容中每有1处缺陷扣2分，该项扣完为止。 缺陷具体是指以下情形中任意一种：①方案内容简略（仅有框架或标题）；②方案内容仅有复制采购文件内容的要求；③方案中出现套用其他无关项目方案或内容；④方案内容中出现前后描述不一致现象或语言描述出现错误；⑤方案内容引用的规范及标准（方法）出现错误；⑥项目名称错误；⑦实施地点区域错误。</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采购包接受大中型企业与小微企业组成联合体的采购项目，对联合协议约定小微企业的合同份额占到合同总金额30%以上的，对联合体的报价给予扣除，用扣除后的价格参加评审。组成联合体的小微企业与联合体内其他企业之间存在直接控股、管理关系的，不享受价格扣除优惠政策。</w:t>
            </w:r>
          </w:p>
        </w:tc>
        <w:tc>
          <w:tcPr>
            <w:tcW w:type="dxa" w:w="831"/>
          </w:tcPr>
          <w:p>
            <w:pPr>
              <w:pStyle w:val="null3"/>
              <w:jc w:val="right"/>
            </w:pPr>
            <w:r>
              <w:rPr>
                <w:rFonts w:ascii="仿宋_GB2312" w:hAnsi="仿宋_GB2312" w:cs="仿宋_GB2312" w:eastAsia="仿宋_GB2312"/>
              </w:rPr>
              <w:t>6.00%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