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版本号：N510301202600000120260422001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自贡市惠民惠农财政补贴资金“一卡通”信息系统运维服务(四次)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N5103012026000001</w:t>
      </w:r>
    </w:p>
    <w:p>
      <w:pPr>
        <w:pStyle w:val="null3"/>
        <w:jc w:val="center"/>
        <w:outlineLvl w:val="2"/>
      </w:pPr>
      <w:r>
        <w:rPr>
          <w:rFonts w:ascii="仿宋_GB2312" w:hAnsi="仿宋_GB2312" w:cs="仿宋_GB2312" w:eastAsia="仿宋_GB2312"/>
          <w:sz w:val="28"/>
          <w:b/>
        </w:rPr>
        <w:t>自贡市人力资源社会保障信息管理中心</w:t>
      </w:r>
    </w:p>
    <w:p>
      <w:pPr>
        <w:pStyle w:val="null3"/>
        <w:jc w:val="center"/>
        <w:outlineLvl w:val="2"/>
      </w:pPr>
      <w:r>
        <w:rPr>
          <w:rFonts w:ascii="仿宋_GB2312" w:hAnsi="仿宋_GB2312" w:cs="仿宋_GB2312" w:eastAsia="仿宋_GB2312"/>
          <w:sz w:val="28"/>
          <w:b/>
        </w:rPr>
        <w:t>融汇项目管理有限公司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融汇项目管理有限公司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自贡市人力资源社会保障信息管理中心</w:t>
      </w:r>
      <w:r>
        <w:rPr>
          <w:rFonts w:ascii="仿宋_GB2312" w:hAnsi="仿宋_GB2312" w:cs="仿宋_GB2312" w:eastAsia="仿宋_GB2312"/>
        </w:rPr>
        <w:t xml:space="preserve"> 委托，拟对 </w:t>
      </w:r>
      <w:r>
        <w:rPr>
          <w:rFonts w:ascii="仿宋_GB2312" w:hAnsi="仿宋_GB2312" w:cs="仿宋_GB2312" w:eastAsia="仿宋_GB2312"/>
        </w:rPr>
        <w:t>自贡市惠民惠农财政补贴资金“一卡通”信息系统运维服务(四次)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自贡市市本级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N5103012026000001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自贡市惠民惠农财政补贴资金“一卡通”信息系统运维服务(四次)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为保障自贡市惠民惠农财政补贴资金“一卡通”信息系统正常运行，自贡市人力资源社会保障信息管理中心拟选择一家合格的供应商实施自贡市惠民惠农财政补贴资金“一卡通”信息系统运维服务。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自贡市人力资源社会保障信息管理中心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四川省自贡市自流井区汇东路428号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0813-8105506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融汇项目管理有限公司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四川省自贡市沿滩区富川路29号2栋</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戚星月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0813-5358802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采购包1：859,000.00元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代理服务费收费标准：向成交供应商以现金或者转账方式定额收取人民币9000.00元（大写：玖仟元整）。</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自贡市人力资源社会保障信息管理中心</w:t>
      </w:r>
      <w:r>
        <w:rPr>
          <w:rFonts w:ascii="仿宋_GB2312" w:hAnsi="仿宋_GB2312" w:cs="仿宋_GB2312" w:eastAsia="仿宋_GB2312"/>
        </w:rPr>
        <w:t xml:space="preserve"> 和 </w:t>
      </w:r>
      <w:r>
        <w:rPr>
          <w:rFonts w:ascii="仿宋_GB2312" w:hAnsi="仿宋_GB2312" w:cs="仿宋_GB2312" w:eastAsia="仿宋_GB2312"/>
        </w:rPr>
        <w:t>融汇项目管理有限公司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自贡市人力资源社会保障信息管理中心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融汇项目管理有限公司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11</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①审核服务内容是否与响应文件内容一致。 ②审核项目中服务是否达到规定要求。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①审核提供验收的各类资料的正确性、完整性。 ②审核提供验收的各类资料是否齐全、合理。 ③审核实施进度情况是否符合磋商文件要求。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强政府采购需求和履约验收管理的指导意见》财库〔2016〕205号、《自贡市政府采购履约验收管理办法》自财规〔2023〕2号等相关法律法规的要求、磋商文件规定的要求和供应商响应文件及合同约定的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自贡市人力资源社会保障信息管理中心</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融汇项目管理有限公司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融汇项目管理有限公司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联系人：胡老师</w:t>
      </w:r>
    </w:p>
    <w:p>
      <w:pPr>
        <w:pStyle w:val="null3"/>
        <w:jc w:val="left"/>
      </w:pPr>
      <w:r>
        <w:rPr>
          <w:rFonts w:ascii="仿宋_GB2312" w:hAnsi="仿宋_GB2312" w:cs="仿宋_GB2312" w:eastAsia="仿宋_GB2312"/>
        </w:rPr>
        <w:t>联系电话：0813-8105506</w:t>
      </w:r>
    </w:p>
    <w:p>
      <w:pPr>
        <w:pStyle w:val="null3"/>
        <w:jc w:val="left"/>
      </w:pPr>
      <w:r>
        <w:rPr>
          <w:rFonts w:ascii="仿宋_GB2312" w:hAnsi="仿宋_GB2312" w:cs="仿宋_GB2312" w:eastAsia="仿宋_GB2312"/>
        </w:rPr>
        <w:t>地址：四川省自贡市自流井区汇东路428号</w:t>
      </w:r>
    </w:p>
    <w:p>
      <w:pPr>
        <w:pStyle w:val="null3"/>
        <w:jc w:val="left"/>
      </w:pPr>
      <w:r>
        <w:rPr>
          <w:rFonts w:ascii="仿宋_GB2312" w:hAnsi="仿宋_GB2312" w:cs="仿宋_GB2312" w:eastAsia="仿宋_GB2312"/>
        </w:rPr>
        <w:t>邮编：643000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联系人：戚星月</w:t>
      </w:r>
    </w:p>
    <w:p>
      <w:pPr>
        <w:pStyle w:val="null3"/>
        <w:jc w:val="left"/>
      </w:pPr>
      <w:r>
        <w:rPr>
          <w:rFonts w:ascii="仿宋_GB2312" w:hAnsi="仿宋_GB2312" w:cs="仿宋_GB2312" w:eastAsia="仿宋_GB2312"/>
        </w:rPr>
        <w:t>联系电话：0813-5358802</w:t>
      </w:r>
    </w:p>
    <w:p>
      <w:pPr>
        <w:pStyle w:val="null3"/>
        <w:jc w:val="left"/>
      </w:pPr>
      <w:r>
        <w:rPr>
          <w:rFonts w:ascii="仿宋_GB2312" w:hAnsi="仿宋_GB2312" w:cs="仿宋_GB2312" w:eastAsia="仿宋_GB2312"/>
        </w:rPr>
        <w:t>地址：四川省自贡市沿滩区富川路29号2栋</w:t>
      </w:r>
    </w:p>
    <w:p>
      <w:pPr>
        <w:pStyle w:val="null3"/>
        <w:jc w:val="left"/>
      </w:pPr>
      <w:r>
        <w:rPr>
          <w:rFonts w:ascii="仿宋_GB2312" w:hAnsi="仿宋_GB2312" w:cs="仿宋_GB2312" w:eastAsia="仿宋_GB2312"/>
        </w:rPr>
        <w:t>邮编：643000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859,000.00</w:t>
      </w:r>
    </w:p>
    <w:p>
      <w:pPr>
        <w:pStyle w:val="null3"/>
        <w:jc w:val="left"/>
      </w:pPr>
      <w:r>
        <w:rPr>
          <w:rFonts w:ascii="仿宋_GB2312" w:hAnsi="仿宋_GB2312" w:cs="仿宋_GB2312" w:eastAsia="仿宋_GB2312"/>
        </w:rPr>
        <w:t>采购包最高限价（元）: 859,000.00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C16070300 软件运维服务</w:t>
            </w:r>
          </w:p>
        </w:tc>
        <w:tc>
          <w:tcPr>
            <w:tcW w:type="dxa" w:w="821"/>
          </w:tcPr>
          <w:p>
            <w:pPr>
              <w:pStyle w:val="null3"/>
              <w:jc w:val="left"/>
            </w:pPr>
            <w:r>
              <w:rPr>
                <w:rFonts w:ascii="仿宋_GB2312" w:hAnsi="仿宋_GB2312" w:cs="仿宋_GB2312" w:eastAsia="仿宋_GB2312"/>
              </w:rPr>
              <w:t>自贡市惠民惠农财政补贴资金“一卡通”信息系统运维服务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859,000.00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自贡市惠民惠农财政补贴资金“一卡通”信息系统运维服务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859,000.00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本项目为固定总价报价方式，供应商所报价格须包含人工、硬件设备维修维护、配件、税费、社保等完成本项目所需的一切费用，采购人不再另行支付其他任何费用。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标的名称：自贡市惠民惠农财政补贴资金“一卡通”信息系统运维服务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自贡市惠民惠农财政补贴资金“一卡通”信息系统运维服务</w:t>
            </w:r>
          </w:p>
        </w:tc>
        <w:tc>
          <w:tcPr>
            <w:tcW w:type="dxa" w:w="5814"/>
          </w:tcPr>
          <w:p>
            <w:pPr>
              <w:pStyle w:val="null3"/>
              <w:ind w:firstLine="482"/>
              <w:jc w:val="both"/>
            </w:pPr>
            <w:r>
              <w:rPr>
                <w:rFonts w:ascii="仿宋_GB2312" w:hAnsi="仿宋_GB2312" w:cs="仿宋_GB2312" w:eastAsia="仿宋_GB2312"/>
                <w:sz w:val="24"/>
                <w:b/>
                <w:shd w:fill="FFFFFF" w:val="clear"/>
              </w:rPr>
              <w:t>（一）项目背景</w:t>
            </w:r>
          </w:p>
          <w:p>
            <w:pPr>
              <w:pStyle w:val="null3"/>
              <w:ind w:firstLine="480"/>
              <w:jc w:val="both"/>
            </w:pPr>
            <w:r>
              <w:rPr>
                <w:rFonts w:ascii="仿宋_GB2312" w:hAnsi="仿宋_GB2312" w:cs="仿宋_GB2312" w:eastAsia="仿宋_GB2312"/>
                <w:sz w:val="24"/>
              </w:rPr>
              <w:t>为贯彻落实纪委、财政提出的</w:t>
            </w:r>
            <w:r>
              <w:rPr>
                <w:rFonts w:ascii="仿宋_GB2312" w:hAnsi="仿宋_GB2312" w:cs="仿宋_GB2312" w:eastAsia="仿宋_GB2312"/>
                <w:sz w:val="24"/>
              </w:rPr>
              <w:t>“阳光发放、阳光审批、阳光公示”监管要求，2019年自贡市启动相关工作，已分期建成自贡市惠民惠农财政补贴资金社会保障卡“一卡通”发放监管信息系统、自贡市惠民惠农财政补贴资金“一卡通”阳光审批系统（以下统称：自贡市“一卡通”信息系统），实现项目主管部门对补贴人员资格受理、审核、公示、发放等操作的全链路管理，对重复享受补贴人员比对核实，对违规领取补贴情况查处登记。截至2025年12月，自贡市“一卡通”信息系统已平稳运行6年，系统进入常态化运行维护阶段。</w:t>
            </w:r>
          </w:p>
          <w:p>
            <w:pPr>
              <w:pStyle w:val="null3"/>
              <w:ind w:firstLine="482"/>
              <w:jc w:val="both"/>
            </w:pPr>
            <w:r>
              <w:rPr>
                <w:rFonts w:ascii="仿宋_GB2312" w:hAnsi="仿宋_GB2312" w:cs="仿宋_GB2312" w:eastAsia="仿宋_GB2312"/>
                <w:sz w:val="24"/>
                <w:b/>
                <w:shd w:fill="FFFFFF" w:val="clear"/>
              </w:rPr>
              <w:t>（二）技术服务目标</w:t>
            </w:r>
          </w:p>
          <w:p>
            <w:pPr>
              <w:pStyle w:val="null3"/>
              <w:ind w:firstLine="480"/>
              <w:jc w:val="both"/>
            </w:pPr>
            <w:r>
              <w:rPr>
                <w:rFonts w:ascii="仿宋_GB2312" w:hAnsi="仿宋_GB2312" w:cs="仿宋_GB2312" w:eastAsia="仿宋_GB2312"/>
                <w:sz w:val="24"/>
              </w:rPr>
              <w:t>自贡市</w:t>
            </w:r>
            <w:r>
              <w:rPr>
                <w:rFonts w:ascii="仿宋_GB2312" w:hAnsi="仿宋_GB2312" w:cs="仿宋_GB2312" w:eastAsia="仿宋_GB2312"/>
                <w:sz w:val="24"/>
              </w:rPr>
              <w:t>“一卡通”信息系统的技术服务工作，采用流程化、标准化、规范化的技术服务管理模式，提供完善、统一的技术管理服务。具体目标如下：</w:t>
            </w:r>
          </w:p>
          <w:p>
            <w:pPr>
              <w:pStyle w:val="null3"/>
              <w:ind w:firstLine="480"/>
              <w:jc w:val="both"/>
            </w:pPr>
            <w:r>
              <w:rPr>
                <w:rFonts w:ascii="仿宋_GB2312" w:hAnsi="仿宋_GB2312" w:cs="仿宋_GB2312" w:eastAsia="仿宋_GB2312"/>
                <w:sz w:val="24"/>
              </w:rPr>
              <w:t>1.通过编制统一的技术服务基础制度、过程管理制度等管理标准，规范和指导技术服务管理相关工作，确保自贡市“一卡通”信息系统平稳运行。</w:t>
            </w:r>
          </w:p>
          <w:p>
            <w:pPr>
              <w:pStyle w:val="null3"/>
              <w:ind w:firstLine="480"/>
              <w:jc w:val="both"/>
            </w:pPr>
            <w:r>
              <w:rPr>
                <w:rFonts w:ascii="仿宋_GB2312" w:hAnsi="仿宋_GB2312" w:cs="仿宋_GB2312" w:eastAsia="仿宋_GB2312"/>
                <w:sz w:val="24"/>
              </w:rPr>
              <w:t>2.按照四川省惠民惠农财政补贴资金“一卡通”发放监管平台的升级内容同步维护自贡市“一卡通”信息系统，升级相关系统功能，确保四川省惠民惠农财政补贴资金发放监管的最新政策要求在自贡市同步执行落地。</w:t>
            </w:r>
          </w:p>
          <w:p>
            <w:pPr>
              <w:pStyle w:val="null3"/>
              <w:ind w:firstLine="480"/>
              <w:jc w:val="both"/>
            </w:pPr>
            <w:r>
              <w:rPr>
                <w:rFonts w:ascii="仿宋_GB2312" w:hAnsi="仿宋_GB2312" w:cs="仿宋_GB2312" w:eastAsia="仿宋_GB2312"/>
                <w:sz w:val="24"/>
              </w:rPr>
              <w:t>3.构建满足自贡市“一卡通”信息系统要求的技术服务管理体系，将技术服务组织架构、管理流程、管控制度、绩效考核、运维技术平台等贯穿融合，解决技术服务过程中容易出现的“沟通不畅、效率低下、服务质量无法保障、被动救火”等问题，增强服务的意识。开展技术服务全过程跟踪，主动监控和预防故障发生，提升技术服务质量和服务感知。</w:t>
            </w:r>
          </w:p>
          <w:p>
            <w:pPr>
              <w:pStyle w:val="null3"/>
              <w:ind w:firstLine="482"/>
              <w:jc w:val="both"/>
            </w:pPr>
            <w:r>
              <w:rPr>
                <w:rFonts w:ascii="仿宋_GB2312" w:hAnsi="仿宋_GB2312" w:cs="仿宋_GB2312" w:eastAsia="仿宋_GB2312"/>
                <w:sz w:val="24"/>
                <w:b/>
                <w:shd w:fill="FFFFFF" w:val="clear"/>
              </w:rPr>
              <w:t>（三）技术服务原则</w:t>
            </w:r>
          </w:p>
          <w:p>
            <w:pPr>
              <w:pStyle w:val="null3"/>
              <w:jc w:val="left"/>
            </w:pPr>
            <w:r>
              <w:rPr>
                <w:rFonts w:ascii="仿宋_GB2312" w:hAnsi="仿宋_GB2312" w:cs="仿宋_GB2312" w:eastAsia="仿宋_GB2312"/>
                <w:sz w:val="24"/>
                <w:b/>
                <w:shd w:fill="FFFFFF" w:val="clear"/>
              </w:rPr>
              <w:t>1.统一的原则</w:t>
            </w:r>
          </w:p>
          <w:p>
            <w:pPr>
              <w:pStyle w:val="null3"/>
              <w:ind w:firstLine="480"/>
              <w:jc w:val="both"/>
            </w:pPr>
            <w:r>
              <w:rPr>
                <w:rFonts w:ascii="仿宋_GB2312" w:hAnsi="仿宋_GB2312" w:cs="仿宋_GB2312" w:eastAsia="仿宋_GB2312"/>
                <w:sz w:val="24"/>
                <w:shd w:fill="FFFFFF" w:val="clear"/>
              </w:rPr>
              <w:t>系统技术服务工作遵循国家及四川省财政厅惠民惠农财政补贴资金管理的相关规范和标准，实现信息资源整合、管理和访问控制。统一顶层标准体系设计工作，避免各部门间标准不一致的问题；采用信息安全交换和数据安全控制的策略，应满足国家信息安全和保密的相关要求。</w:t>
            </w:r>
          </w:p>
          <w:p>
            <w:pPr>
              <w:pStyle w:val="null3"/>
              <w:jc w:val="left"/>
            </w:pPr>
            <w:r>
              <w:rPr>
                <w:rFonts w:ascii="仿宋_GB2312" w:hAnsi="仿宋_GB2312" w:cs="仿宋_GB2312" w:eastAsia="仿宋_GB2312"/>
                <w:sz w:val="24"/>
                <w:b/>
                <w:shd w:fill="FFFFFF" w:val="clear"/>
              </w:rPr>
              <w:t>2.安全的原则</w:t>
            </w:r>
          </w:p>
          <w:p>
            <w:pPr>
              <w:pStyle w:val="null3"/>
              <w:ind w:firstLine="480"/>
              <w:jc w:val="both"/>
            </w:pPr>
            <w:r>
              <w:rPr>
                <w:rFonts w:ascii="仿宋_GB2312" w:hAnsi="仿宋_GB2312" w:cs="仿宋_GB2312" w:eastAsia="仿宋_GB2312"/>
                <w:sz w:val="24"/>
              </w:rPr>
              <w:t>系统技术服务工作需强化数据安全，避免产生系统安全风险。保障系统访问、数据查看、传输和使用过程中的安全，确保系统稳定、高效、安全运行。</w:t>
            </w:r>
          </w:p>
          <w:p>
            <w:pPr>
              <w:pStyle w:val="null3"/>
              <w:jc w:val="left"/>
            </w:pPr>
            <w:r>
              <w:rPr>
                <w:rFonts w:ascii="仿宋_GB2312" w:hAnsi="仿宋_GB2312" w:cs="仿宋_GB2312" w:eastAsia="仿宋_GB2312"/>
                <w:sz w:val="24"/>
                <w:b/>
                <w:shd w:fill="FFFFFF" w:val="clear"/>
              </w:rPr>
              <w:t>3.可靠的原则</w:t>
            </w:r>
          </w:p>
          <w:p>
            <w:pPr>
              <w:pStyle w:val="null3"/>
              <w:ind w:firstLine="480"/>
              <w:jc w:val="both"/>
            </w:pPr>
            <w:r>
              <w:rPr>
                <w:rFonts w:ascii="仿宋_GB2312" w:hAnsi="仿宋_GB2312" w:cs="仿宋_GB2312" w:eastAsia="仿宋_GB2312"/>
                <w:sz w:val="24"/>
                <w:shd w:fill="FFFFFF" w:val="clear"/>
              </w:rPr>
              <w:t>系统技术服务工作确保应用系统长期稳定运行。采用模块化设计，遵循模块之间松耦合原则，单个模块出现问题不影响整体系统运行。</w:t>
            </w:r>
          </w:p>
          <w:p>
            <w:pPr>
              <w:pStyle w:val="null3"/>
              <w:jc w:val="left"/>
            </w:pPr>
            <w:r>
              <w:rPr>
                <w:rFonts w:ascii="仿宋_GB2312" w:hAnsi="仿宋_GB2312" w:cs="仿宋_GB2312" w:eastAsia="仿宋_GB2312"/>
                <w:sz w:val="24"/>
                <w:b/>
                <w:shd w:fill="FFFFFF" w:val="clear"/>
              </w:rPr>
              <w:t>4.可扩展性原则</w:t>
            </w:r>
          </w:p>
          <w:p>
            <w:pPr>
              <w:pStyle w:val="null3"/>
              <w:ind w:firstLine="480"/>
              <w:jc w:val="left"/>
            </w:pPr>
            <w:r>
              <w:rPr>
                <w:rFonts w:ascii="仿宋_GB2312" w:hAnsi="仿宋_GB2312" w:cs="仿宋_GB2312" w:eastAsia="仿宋_GB2312"/>
                <w:sz w:val="24"/>
                <w:shd w:fill="FFFFFF" w:val="clear"/>
              </w:rPr>
              <w:t>系统技术服务工作采用先进技术，在保证系统稳定运行的同时充分预见未来技术发展趋势，最大可能地延长系统的整体生命周期，确保系统在未来较长时间充分发挥功能。系统扩展和升级应简便，预留接口，以满足系统升级改造需求。</w:t>
            </w:r>
          </w:p>
          <w:p>
            <w:pPr>
              <w:pStyle w:val="null3"/>
              <w:ind w:firstLine="482"/>
              <w:jc w:val="both"/>
            </w:pPr>
            <w:r>
              <w:rPr>
                <w:rFonts w:ascii="仿宋_GB2312" w:hAnsi="仿宋_GB2312" w:cs="仿宋_GB2312" w:eastAsia="仿宋_GB2312"/>
                <w:sz w:val="24"/>
                <w:b/>
                <w:shd w:fill="FFFFFF" w:val="clear"/>
              </w:rPr>
              <w:t>（四）技术服务内容</w:t>
            </w:r>
          </w:p>
          <w:p>
            <w:pPr>
              <w:pStyle w:val="null3"/>
              <w:ind w:firstLine="480"/>
              <w:jc w:val="left"/>
            </w:pPr>
            <w:r>
              <w:rPr>
                <w:rFonts w:ascii="仿宋_GB2312" w:hAnsi="仿宋_GB2312" w:cs="仿宋_GB2312" w:eastAsia="仿宋_GB2312"/>
                <w:sz w:val="24"/>
              </w:rPr>
              <w:t>围绕自贡市</w:t>
            </w:r>
            <w:r>
              <w:rPr>
                <w:rFonts w:ascii="仿宋_GB2312" w:hAnsi="仿宋_GB2312" w:cs="仿宋_GB2312" w:eastAsia="仿宋_GB2312"/>
                <w:sz w:val="24"/>
              </w:rPr>
              <w:t>“一卡通”信息系统（包含：自贡市惠民惠农财政补贴资金社会保障卡“一卡通”发放监管信息系统和自贡市惠民惠农财政补贴资金“一卡通”阳光审批系统及相关关联业务平台）的“一体化技术服务管理”目标，具体的技术服务内容如下：</w:t>
            </w:r>
          </w:p>
          <w:p>
            <w:pPr>
              <w:pStyle w:val="null3"/>
              <w:jc w:val="left"/>
            </w:pPr>
            <w:r>
              <w:rPr>
                <w:rFonts w:ascii="仿宋_GB2312" w:hAnsi="仿宋_GB2312" w:cs="仿宋_GB2312" w:eastAsia="仿宋_GB2312"/>
                <w:sz w:val="24"/>
                <w:b/>
                <w:shd w:fill="FFFFFF" w:val="clear"/>
              </w:rPr>
              <w:t>1.驻场运维实施服务</w:t>
            </w:r>
          </w:p>
          <w:p>
            <w:pPr>
              <w:pStyle w:val="null3"/>
              <w:ind w:firstLine="480"/>
              <w:jc w:val="left"/>
            </w:pPr>
            <w:r>
              <w:rPr>
                <w:rFonts w:ascii="仿宋_GB2312" w:hAnsi="仿宋_GB2312" w:cs="仿宋_GB2312" w:eastAsia="仿宋_GB2312"/>
                <w:sz w:val="24"/>
              </w:rPr>
              <w:t>驻场服务由供应商实施团队中的驻场技术人员提供（不少于</w:t>
            </w:r>
            <w:r>
              <w:rPr>
                <w:rFonts w:ascii="仿宋_GB2312" w:hAnsi="仿宋_GB2312" w:cs="仿宋_GB2312" w:eastAsia="仿宋_GB2312"/>
                <w:sz w:val="24"/>
              </w:rPr>
              <w:t>2人），具体服务内容包括但不限于以下内容：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政策功能性调整。针对全市相关惠民惠农财政补贴主管部门的最新政策要求，及时、准确得对在运行的惠民惠农财政补贴发放和审批项目开展系统功能、模块适应调整，确保惠民惠农财政补贴政策有效执行，资金及时发放。</w:t>
            </w:r>
            <w:r>
              <w:rPr>
                <w:rFonts w:ascii="仿宋_GB2312" w:hAnsi="仿宋_GB2312" w:cs="仿宋_GB2312" w:eastAsia="仿宋_GB2312"/>
                <w:sz w:val="24"/>
              </w:rPr>
              <w:t>2025年全年对于政策功能性调整的工作量约为</w:t>
            </w:r>
            <w:r>
              <w:rPr>
                <w:rFonts w:ascii="仿宋_GB2312" w:hAnsi="仿宋_GB2312" w:cs="仿宋_GB2312" w:eastAsia="仿宋_GB2312"/>
                <w:sz w:val="24"/>
              </w:rPr>
              <w:t>120</w:t>
            </w:r>
            <w:r>
              <w:rPr>
                <w:rFonts w:ascii="仿宋_GB2312" w:hAnsi="仿宋_GB2312" w:cs="仿宋_GB2312" w:eastAsia="仿宋_GB2312"/>
                <w:sz w:val="24"/>
              </w:rPr>
              <w:t>天</w:t>
            </w:r>
            <w:r>
              <w:rPr>
                <w:rFonts w:ascii="仿宋_GB2312" w:hAnsi="仿宋_GB2312" w:cs="仿宋_GB2312" w:eastAsia="仿宋_GB2312"/>
                <w:sz w:val="24"/>
              </w:rPr>
              <w:t>/人，以上工作量可为供应商作报价参考，本项目实际对于政策功能性调整的工作量以采购人需求为准。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2）软件功能优化。定期对现有系统功能、模块向系统用户收集优化建议，及时对可行建议进行系统优化升级，提升系统用户使用部门效率及体验感。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3）培训与指导。编制自贡市“一卡通”信息系统操作手册和视频，为用户组织系统操作培训，提供培训技术支撑，保障系统用户可熟练掌握系统全流程操作。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4）专项统计。按照我市纪委、财政部门、审计部门、业务部门等单位的具体数据统计需求，开展非常规性业务数据指标提取、汇总工作。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实现系统顺利接入外部共享数据并实现应用，保障系统与各大银行代发系统、省级财政补贴基础支撑平台的数据及时、准确交互，及时排除处置银行异常数据、经办异常数据。开展系统安全排查，及时整改系统风险隐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6）对全市各级财政补贴业务管理部门、乡镇（街道）、社区（村）系统用户，通过线上和电话等方式开展经办业务咨询指导和常见问题解答工作。</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7）测试工作。向上配合省级惠民惠农财政补贴项目主管部门进行省、市系统业务数据联动测试，向下协同市级惠民惠农财政补贴主管部门开展系统功能性、政策性、安全性的系统测试工作，确保系统的高效、稳定、安全性。</w:t>
            </w:r>
          </w:p>
          <w:p>
            <w:pPr>
              <w:pStyle w:val="null3"/>
              <w:jc w:val="left"/>
            </w:pPr>
            <w:r>
              <w:rPr>
                <w:rFonts w:ascii="仿宋_GB2312" w:hAnsi="仿宋_GB2312" w:cs="仿宋_GB2312" w:eastAsia="仿宋_GB2312"/>
                <w:sz w:val="24"/>
                <w:b/>
                <w:shd w:fill="FFFFFF" w:val="clear"/>
              </w:rPr>
              <w:t>2.远程开发服务</w:t>
            </w:r>
          </w:p>
          <w:p>
            <w:pPr>
              <w:pStyle w:val="null3"/>
              <w:ind w:firstLine="480"/>
              <w:jc w:val="left"/>
            </w:pPr>
            <w:r>
              <w:rPr>
                <w:rFonts w:ascii="仿宋_GB2312" w:hAnsi="仿宋_GB2312" w:cs="仿宋_GB2312" w:eastAsia="仿宋_GB2312"/>
                <w:sz w:val="24"/>
                <w:shd w:fill="FFFFFF" w:val="clear"/>
              </w:rPr>
              <w:t>远程开发服务</w:t>
            </w:r>
            <w:r>
              <w:rPr>
                <w:rFonts w:ascii="仿宋_GB2312" w:hAnsi="仿宋_GB2312" w:cs="仿宋_GB2312" w:eastAsia="仿宋_GB2312"/>
                <w:sz w:val="24"/>
                <w:shd w:fill="FFFFFF" w:val="clear"/>
              </w:rPr>
              <w:t>由供应商实施团队中的远程技术支撑人员提供（不少于</w:t>
            </w:r>
            <w:r>
              <w:rPr>
                <w:rFonts w:ascii="仿宋_GB2312" w:hAnsi="仿宋_GB2312" w:cs="仿宋_GB2312" w:eastAsia="仿宋_GB2312"/>
                <w:sz w:val="24"/>
                <w:shd w:fill="FFFFFF" w:val="clear"/>
              </w:rPr>
              <w:t>2人），具体服务内容包括但不限于以下内容：</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1）根据惠民惠农财政补贴的政策要求，对新增补贴事项完成系统开发、参数以及相关校验器配置工作，确保新增补贴按时上线运行。</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2）公共服务运行保障服务。开展公共服务渠道外网安全扫描、功能性优化调整、日常技术服务支撑，确保公共服务安全、稳定运行。</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w:t>
            </w:r>
            <w:r>
              <w:rPr>
                <w:rFonts w:ascii="仿宋_GB2312" w:hAnsi="仿宋_GB2312" w:cs="仿宋_GB2312" w:eastAsia="仿宋_GB2312"/>
                <w:sz w:val="24"/>
              </w:rPr>
              <w:t>对自贡市</w:t>
            </w:r>
            <w:r>
              <w:rPr>
                <w:rFonts w:ascii="仿宋_GB2312" w:hAnsi="仿宋_GB2312" w:cs="仿宋_GB2312" w:eastAsia="仿宋_GB2312"/>
                <w:sz w:val="24"/>
              </w:rPr>
              <w:t>“一卡通”信息系统与省财政监管平台数据同步进行指标适应化改造、分析</w:t>
            </w:r>
            <w:r>
              <w:rPr>
                <w:rFonts w:ascii="仿宋_GB2312" w:hAnsi="仿宋_GB2312" w:cs="仿宋_GB2312" w:eastAsia="仿宋_GB2312"/>
                <w:sz w:val="24"/>
                <w:shd w:fill="FFFFFF" w:val="clear"/>
              </w:rPr>
              <w:t>。</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4）数据上报跟踪。每日例行数据检查，按照省财政监管平台要求，确保每日我市业务数据能够完整、有效、及时完成数据上报任务，同时配合省财政监管进行异常问题排查。</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5）资金监控跟踪。每日跟踪补贴资金发放情况，对异常发放数据及时反馈，确保补贴资金能按时、准确发放。</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6）</w:t>
            </w:r>
            <w:r>
              <w:rPr>
                <w:rFonts w:ascii="仿宋_GB2312" w:hAnsi="仿宋_GB2312" w:cs="仿宋_GB2312" w:eastAsia="仿宋_GB2312"/>
                <w:sz w:val="24"/>
              </w:rPr>
              <w:t>按照市纪委监委、财政等相关部门要求，对自贡市</w:t>
            </w:r>
            <w:r>
              <w:rPr>
                <w:rFonts w:ascii="仿宋_GB2312" w:hAnsi="仿宋_GB2312" w:cs="仿宋_GB2312" w:eastAsia="仿宋_GB2312"/>
                <w:sz w:val="24"/>
              </w:rPr>
              <w:t>“一卡通”信息系统做本地化适应性功能调整</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b/>
                <w:shd w:fill="FFFFFF" w:val="clear"/>
              </w:rPr>
              <w:t>3.集成支撑服务</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对承载自贡市惠民惠农财政补贴资金“一卡通”信息系统相关的基础软硬件设备运行情况进行巡检维护。对支撑系统运行相关的操作系统、数据库、中间件等基础软件、支撑软件进行日常维护、安全设备升级维护，规范自贡市惠民惠农财政补贴资金“一卡通”信息系统数据。对相关硬件设备问题故障及时进行排查、修复、更换等应急处置。负责系统运行相关设施设备的安装集成调试，保障系统安全、正常运行。</w:t>
            </w:r>
          </w:p>
          <w:p>
            <w:pPr>
              <w:pStyle w:val="null3"/>
              <w:ind w:firstLine="56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2）具体硬件维护对象如下：</w:t>
            </w:r>
          </w:p>
          <w:tbl>
            <w:tblPr>
              <w:tblInd w:type="dxa" w:w="240"/>
              <w:tblBorders>
                <w:top w:val="none" w:color="000000" w:sz="4"/>
                <w:left w:val="none" w:color="000000" w:sz="4"/>
                <w:bottom w:val="none" w:color="000000" w:sz="4"/>
                <w:right w:val="none" w:color="000000" w:sz="4"/>
                <w:insideH w:val="none"/>
                <w:insideV w:val="none"/>
              </w:tblBorders>
            </w:tblPr>
            <w:tblGrid>
              <w:gridCol w:w="2490"/>
              <w:gridCol w:w="615"/>
              <w:gridCol w:w="810"/>
              <w:gridCol w:w="840"/>
              <w:gridCol w:w="705"/>
            </w:tblGrid>
            <w:tr>
              <w:tc>
                <w:tcPr>
                  <w:tcW w:type="dxa" w:w="2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设备名称</w:t>
                  </w:r>
                </w:p>
              </w:tc>
              <w:tc>
                <w:tcPr>
                  <w:tcW w:type="dxa" w:w="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设备类型</w:t>
                  </w:r>
                </w:p>
              </w:tc>
              <w:tc>
                <w:tcPr>
                  <w:tcW w:type="dxa" w:w="8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r>
                    <w:rPr>
                      <w:rFonts w:ascii="仿宋_GB2312" w:hAnsi="仿宋_GB2312" w:cs="仿宋_GB2312" w:eastAsia="仿宋_GB2312"/>
                      <w:sz w:val="24"/>
                    </w:rPr>
                    <w:t>(台）</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维护范围</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支撑系统</w:t>
                  </w:r>
                </w:p>
              </w:tc>
            </w:tr>
            <w:tr>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迪普</w:t>
                  </w:r>
                  <w:r>
                    <w:rPr>
                      <w:rFonts w:ascii="仿宋_GB2312" w:hAnsi="仿宋_GB2312" w:cs="仿宋_GB2312" w:eastAsia="仿宋_GB2312"/>
                      <w:sz w:val="24"/>
                    </w:rPr>
                    <w:t>LSP1000-MS</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日志审计</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4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供应商所提供的所有系统升级及配件更换服务须满足采购人使用需求及系统运行需求</w:t>
                  </w:r>
                  <w:r>
                    <w:rPr>
                      <w:rFonts w:ascii="仿宋_GB2312" w:hAnsi="仿宋_GB2312" w:cs="仿宋_GB2312" w:eastAsia="仿宋_GB2312"/>
                      <w:sz w:val="24"/>
                      <w:shd w:fill="FFFFFF" w:val="clear"/>
                    </w:rPr>
                    <w:t>。</w:t>
                  </w:r>
                </w:p>
                <w:p>
                  <w:pPr>
                    <w:pStyle w:val="null3"/>
                    <w:ind w:firstLine="480"/>
                    <w:jc w:val="both"/>
                  </w:pPr>
                </w:p>
              </w:tc>
              <w:tc>
                <w:tcPr>
                  <w:tcW w:type="dxa" w:w="70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自贡市</w:t>
                  </w:r>
                  <w:r>
                    <w:rPr>
                      <w:rFonts w:ascii="仿宋_GB2312" w:hAnsi="仿宋_GB2312" w:cs="仿宋_GB2312" w:eastAsia="仿宋_GB2312"/>
                      <w:sz w:val="24"/>
                    </w:rPr>
                    <w:t>“一卡通”信息系统</w:t>
                  </w:r>
                </w:p>
              </w:tc>
            </w:tr>
            <w:tr>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迪普</w:t>
                  </w:r>
                  <w:r>
                    <w:rPr>
                      <w:rFonts w:ascii="仿宋_GB2312" w:hAnsi="仿宋_GB2312" w:cs="仿宋_GB2312" w:eastAsia="仿宋_GB2312"/>
                      <w:sz w:val="24"/>
                    </w:rPr>
                    <w:t>DPX8000-A5-X-SEC-AC</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下一代防火墙</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40"/>
                  <w:vMerge/>
                  <w:tcBorders>
                    <w:top w:val="none" w:color="000000" w:sz="4"/>
                    <w:left w:val="none" w:color="000000" w:sz="4"/>
                    <w:bottom w:val="none" w:color="000000" w:sz="4"/>
                    <w:right w:val="single" w:color="000000" w:sz="4"/>
                  </w:tcBorders>
                </w:tcPr>
                <w:p/>
              </w:tc>
              <w:tc>
                <w:tcPr>
                  <w:tcW w:type="dxa" w:w="705"/>
                  <w:vMerge/>
                  <w:tcBorders>
                    <w:top w:val="none" w:color="000000" w:sz="4"/>
                    <w:left w:val="none" w:color="000000" w:sz="4"/>
                    <w:bottom w:val="none" w:color="000000" w:sz="4"/>
                    <w:right w:val="single" w:color="000000" w:sz="4"/>
                  </w:tcBorders>
                </w:tcPr>
                <w:p/>
              </w:tc>
            </w:tr>
            <w:tr>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迪普</w:t>
                  </w:r>
                  <w:r>
                    <w:rPr>
                      <w:rFonts w:ascii="仿宋_GB2312" w:hAnsi="仿宋_GB2312" w:cs="仿宋_GB2312" w:eastAsia="仿宋_GB2312"/>
                      <w:sz w:val="24"/>
                    </w:rPr>
                    <w:t>DSP1000-MS</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数据库审计</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40"/>
                  <w:vMerge/>
                  <w:tcBorders>
                    <w:top w:val="none" w:color="000000" w:sz="4"/>
                    <w:left w:val="none" w:color="000000" w:sz="4"/>
                    <w:bottom w:val="none" w:color="000000" w:sz="4"/>
                    <w:right w:val="single" w:color="000000" w:sz="4"/>
                  </w:tcBorders>
                </w:tcPr>
                <w:p/>
              </w:tc>
              <w:tc>
                <w:tcPr>
                  <w:tcW w:type="dxa" w:w="705"/>
                  <w:vMerge/>
                  <w:tcBorders>
                    <w:top w:val="none" w:color="000000" w:sz="4"/>
                    <w:left w:val="none" w:color="000000" w:sz="4"/>
                    <w:bottom w:val="none" w:color="000000" w:sz="4"/>
                    <w:right w:val="single" w:color="000000" w:sz="4"/>
                  </w:tcBorders>
                </w:tcPr>
                <w:p/>
              </w:tc>
            </w:tr>
            <w:tr>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宏杉</w:t>
                  </w:r>
                  <w:r>
                    <w:rPr>
                      <w:rFonts w:ascii="仿宋_GB2312" w:hAnsi="仿宋_GB2312" w:cs="仿宋_GB2312" w:eastAsia="仿宋_GB2312"/>
                      <w:sz w:val="24"/>
                    </w:rPr>
                    <w:t>MS2000</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存储</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40"/>
                  <w:vMerge/>
                  <w:tcBorders>
                    <w:top w:val="none" w:color="000000" w:sz="4"/>
                    <w:left w:val="none" w:color="000000" w:sz="4"/>
                    <w:bottom w:val="none" w:color="000000" w:sz="4"/>
                    <w:right w:val="single" w:color="000000" w:sz="4"/>
                  </w:tcBorders>
                </w:tcPr>
                <w:p/>
              </w:tc>
              <w:tc>
                <w:tcPr>
                  <w:tcW w:type="dxa" w:w="705"/>
                  <w:vMerge/>
                  <w:tcBorders>
                    <w:top w:val="none" w:color="000000" w:sz="4"/>
                    <w:left w:val="none" w:color="000000" w:sz="4"/>
                    <w:bottom w:val="none" w:color="000000" w:sz="4"/>
                    <w:right w:val="single" w:color="000000" w:sz="4"/>
                  </w:tcBorders>
                </w:tcPr>
                <w:p/>
              </w:tc>
            </w:tr>
            <w:tr>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联想</w:t>
                  </w:r>
                  <w:r>
                    <w:rPr>
                      <w:rFonts w:ascii="仿宋_GB2312" w:hAnsi="仿宋_GB2312" w:cs="仿宋_GB2312" w:eastAsia="仿宋_GB2312"/>
                      <w:sz w:val="24"/>
                    </w:rPr>
                    <w:t>SR590</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服务器</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40"/>
                  <w:vMerge/>
                  <w:tcBorders>
                    <w:top w:val="none" w:color="000000" w:sz="4"/>
                    <w:left w:val="none" w:color="000000" w:sz="4"/>
                    <w:bottom w:val="none" w:color="000000" w:sz="4"/>
                    <w:right w:val="single" w:color="000000" w:sz="4"/>
                  </w:tcBorders>
                </w:tcPr>
                <w:p/>
              </w:tc>
              <w:tc>
                <w:tcPr>
                  <w:tcW w:type="dxa" w:w="705"/>
                  <w:vMerge/>
                  <w:tcBorders>
                    <w:top w:val="none" w:color="000000" w:sz="4"/>
                    <w:left w:val="none" w:color="000000" w:sz="4"/>
                    <w:bottom w:val="none" w:color="000000" w:sz="4"/>
                    <w:right w:val="single" w:color="000000" w:sz="4"/>
                  </w:tcBorders>
                </w:tcPr>
                <w:p/>
              </w:tc>
            </w:tr>
            <w:tr>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联想</w:t>
                  </w:r>
                  <w:r>
                    <w:rPr>
                      <w:rFonts w:ascii="仿宋_GB2312" w:hAnsi="仿宋_GB2312" w:cs="仿宋_GB2312" w:eastAsia="仿宋_GB2312"/>
                      <w:sz w:val="24"/>
                    </w:rPr>
                    <w:t>X3850X6</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服务器</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840"/>
                  <w:vMerge/>
                  <w:tcBorders>
                    <w:top w:val="none" w:color="000000" w:sz="4"/>
                    <w:left w:val="none" w:color="000000" w:sz="4"/>
                    <w:bottom w:val="none" w:color="000000" w:sz="4"/>
                    <w:right w:val="single" w:color="000000" w:sz="4"/>
                  </w:tcBorders>
                </w:tcPr>
                <w:p/>
              </w:tc>
              <w:tc>
                <w:tcPr>
                  <w:tcW w:type="dxa" w:w="705"/>
                  <w:vMerge/>
                  <w:tcBorders>
                    <w:top w:val="none" w:color="000000" w:sz="4"/>
                    <w:left w:val="none" w:color="000000" w:sz="4"/>
                    <w:bottom w:val="none" w:color="000000" w:sz="4"/>
                    <w:right w:val="single" w:color="000000" w:sz="4"/>
                  </w:tcBorders>
                </w:tcPr>
                <w:p/>
              </w:tc>
            </w:tr>
            <w:tr>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曙光</w:t>
                  </w:r>
                  <w:r>
                    <w:rPr>
                      <w:rFonts w:ascii="仿宋_GB2312" w:hAnsi="仿宋_GB2312" w:cs="仿宋_GB2312" w:eastAsia="仿宋_GB2312"/>
                      <w:sz w:val="24"/>
                    </w:rPr>
                    <w:t>A420r-G</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服务器</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40"/>
                  <w:vMerge/>
                  <w:tcBorders>
                    <w:top w:val="none" w:color="000000" w:sz="4"/>
                    <w:left w:val="none" w:color="000000" w:sz="4"/>
                    <w:bottom w:val="none" w:color="000000" w:sz="4"/>
                    <w:right w:val="single" w:color="000000" w:sz="4"/>
                  </w:tcBorders>
                </w:tcPr>
                <w:p/>
              </w:tc>
              <w:tc>
                <w:tcPr>
                  <w:tcW w:type="dxa" w:w="705"/>
                  <w:vMerge/>
                  <w:tcBorders>
                    <w:top w:val="none" w:color="000000" w:sz="4"/>
                    <w:left w:val="none" w:color="000000" w:sz="4"/>
                    <w:bottom w:val="none" w:color="000000" w:sz="4"/>
                    <w:right w:val="single" w:color="000000" w:sz="4"/>
                  </w:tcBorders>
                </w:tcPr>
                <w:p/>
              </w:tc>
            </w:tr>
            <w:tr>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华三</w:t>
                  </w:r>
                  <w:r>
                    <w:rPr>
                      <w:rFonts w:ascii="仿宋_GB2312" w:hAnsi="仿宋_GB2312" w:cs="仿宋_GB2312" w:eastAsia="仿宋_GB2312"/>
                      <w:sz w:val="24"/>
                    </w:rPr>
                    <w:t>S6800-2C</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SAN交换机</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40"/>
                  <w:vMerge/>
                  <w:tcBorders>
                    <w:top w:val="none" w:color="000000" w:sz="4"/>
                    <w:left w:val="none" w:color="000000" w:sz="4"/>
                    <w:bottom w:val="none" w:color="000000" w:sz="4"/>
                    <w:right w:val="single" w:color="000000" w:sz="4"/>
                  </w:tcBorders>
                </w:tcPr>
                <w:p/>
              </w:tc>
              <w:tc>
                <w:tcPr>
                  <w:tcW w:type="dxa" w:w="705"/>
                  <w:vMerge/>
                  <w:tcBorders>
                    <w:top w:val="none" w:color="000000" w:sz="4"/>
                    <w:left w:val="none" w:color="000000" w:sz="4"/>
                    <w:bottom w:val="none" w:color="000000" w:sz="4"/>
                    <w:right w:val="single" w:color="000000" w:sz="4"/>
                  </w:tcBorders>
                </w:tcPr>
                <w:p/>
              </w:tc>
            </w:tr>
            <w:tr>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华三</w:t>
                  </w:r>
                  <w:r>
                    <w:rPr>
                      <w:rFonts w:ascii="仿宋_GB2312" w:hAnsi="仿宋_GB2312" w:cs="仿宋_GB2312" w:eastAsia="仿宋_GB2312"/>
                      <w:sz w:val="24"/>
                    </w:rPr>
                    <w:t>S5110</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接入交换机</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40"/>
                  <w:vMerge/>
                  <w:tcBorders>
                    <w:top w:val="none" w:color="000000" w:sz="4"/>
                    <w:left w:val="none" w:color="000000" w:sz="4"/>
                    <w:bottom w:val="none" w:color="000000" w:sz="4"/>
                    <w:right w:val="single" w:color="000000" w:sz="4"/>
                  </w:tcBorders>
                </w:tcPr>
                <w:p/>
              </w:tc>
              <w:tc>
                <w:tcPr>
                  <w:tcW w:type="dxa" w:w="705"/>
                  <w:vMerge/>
                  <w:tcBorders>
                    <w:top w:val="none" w:color="000000" w:sz="4"/>
                    <w:left w:val="none" w:color="000000" w:sz="4"/>
                    <w:bottom w:val="none" w:color="000000" w:sz="4"/>
                    <w:right w:val="single" w:color="000000" w:sz="4"/>
                  </w:tcBorders>
                </w:tcPr>
                <w:p/>
              </w:tc>
            </w:tr>
            <w:tr>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华三</w:t>
                  </w:r>
                  <w:r>
                    <w:rPr>
                      <w:rFonts w:ascii="仿宋_GB2312" w:hAnsi="仿宋_GB2312" w:cs="仿宋_GB2312" w:eastAsia="仿宋_GB2312"/>
                      <w:sz w:val="24"/>
                    </w:rPr>
                    <w:t>SR6608</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核心路由器</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40"/>
                  <w:vMerge/>
                  <w:tcBorders>
                    <w:top w:val="none" w:color="000000" w:sz="4"/>
                    <w:left w:val="none" w:color="000000" w:sz="4"/>
                    <w:bottom w:val="none" w:color="000000" w:sz="4"/>
                    <w:right w:val="single" w:color="000000" w:sz="4"/>
                  </w:tcBorders>
                </w:tcPr>
                <w:p/>
              </w:tc>
              <w:tc>
                <w:tcPr>
                  <w:tcW w:type="dxa" w:w="705"/>
                  <w:vMerge/>
                  <w:tcBorders>
                    <w:top w:val="none" w:color="000000" w:sz="4"/>
                    <w:left w:val="none" w:color="000000" w:sz="4"/>
                    <w:bottom w:val="none" w:color="000000" w:sz="4"/>
                    <w:right w:val="single" w:color="000000" w:sz="4"/>
                  </w:tcBorders>
                </w:tcPr>
                <w:p/>
              </w:tc>
            </w:tr>
            <w:tr>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华三</w:t>
                  </w:r>
                  <w:r>
                    <w:rPr>
                      <w:rFonts w:ascii="仿宋_GB2312" w:hAnsi="仿宋_GB2312" w:cs="仿宋_GB2312" w:eastAsia="仿宋_GB2312"/>
                      <w:sz w:val="24"/>
                    </w:rPr>
                    <w:t>S10508</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核心交换机</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40"/>
                  <w:vMerge/>
                  <w:tcBorders>
                    <w:top w:val="none" w:color="000000" w:sz="4"/>
                    <w:left w:val="none" w:color="000000" w:sz="4"/>
                    <w:bottom w:val="none" w:color="000000" w:sz="4"/>
                    <w:right w:val="single" w:color="000000" w:sz="4"/>
                  </w:tcBorders>
                </w:tcPr>
                <w:p/>
              </w:tc>
              <w:tc>
                <w:tcPr>
                  <w:tcW w:type="dxa" w:w="705"/>
                  <w:vMerge/>
                  <w:tcBorders>
                    <w:top w:val="none" w:color="000000" w:sz="4"/>
                    <w:left w:val="none" w:color="000000" w:sz="4"/>
                    <w:bottom w:val="none" w:color="000000" w:sz="4"/>
                    <w:right w:val="single" w:color="000000" w:sz="4"/>
                  </w:tcBorders>
                </w:tcPr>
                <w:p/>
              </w:tc>
            </w:tr>
          </w:tbl>
          <w:p>
            <w:pPr>
              <w:pStyle w:val="null3"/>
              <w:ind w:firstLine="56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3）维护任务</w:t>
            </w:r>
          </w:p>
          <w:p>
            <w:pPr>
              <w:pStyle w:val="null3"/>
              <w:ind w:firstLine="560"/>
              <w:jc w:val="both"/>
            </w:pPr>
            <w:r>
              <w:rPr>
                <w:rFonts w:ascii="仿宋_GB2312" w:hAnsi="仿宋_GB2312" w:cs="仿宋_GB2312" w:eastAsia="仿宋_GB2312"/>
                <w:sz w:val="24"/>
                <w:shd w:fill="FFFFFF" w:val="clear"/>
              </w:rPr>
              <w:t>1）巡检服务：对进行维护的基础硬件设备定期进行现场巡检（服务期内四次，每季度一次），根据巡检设备的系统运行状况提出书面建议意见并提交具体巡检报告。包括如下：</w:t>
            </w:r>
          </w:p>
          <w:p>
            <w:pPr>
              <w:pStyle w:val="null3"/>
              <w:ind w:firstLine="560"/>
              <w:jc w:val="both"/>
            </w:pPr>
            <w:r>
              <w:rPr>
                <w:rFonts w:ascii="仿宋_GB2312" w:hAnsi="仿宋_GB2312" w:cs="仿宋_GB2312" w:eastAsia="仿宋_GB2312"/>
                <w:sz w:val="24"/>
                <w:shd w:fill="FFFFFF" w:val="clear"/>
              </w:rPr>
              <w:t>①评估分析服务：收集设备、系统运行阶段的关键指标、性能参数等数据，并结合设备、系统的策略定义和配置信息进行深入分析，达到准确评估设备、系统运行现状和预测未来运行变化趋势（可靠性趋势、性能趋势）的目的。并依据分析结果提出防范风险、配置调整和性能优化的具体实施方案并实施。</w:t>
            </w:r>
          </w:p>
          <w:p>
            <w:pPr>
              <w:pStyle w:val="null3"/>
              <w:ind w:firstLine="560"/>
              <w:jc w:val="both"/>
            </w:pPr>
            <w:r>
              <w:rPr>
                <w:rFonts w:ascii="仿宋_GB2312" w:hAnsi="仿宋_GB2312" w:cs="仿宋_GB2312" w:eastAsia="仿宋_GB2312"/>
                <w:sz w:val="24"/>
                <w:shd w:fill="FFFFFF" w:val="clear"/>
              </w:rPr>
              <w:t>②监控服务：提供相应的主机监控系统软件对设备、系统的资源开销、策略定义、告警提示、链路连通性、安全事件、变更操作、稳定性及可靠性等方面进行实时的监控，以达到准确了解设备、系统运行状态的目的。</w:t>
            </w:r>
          </w:p>
          <w:p>
            <w:pPr>
              <w:pStyle w:val="null3"/>
              <w:ind w:firstLine="560"/>
              <w:jc w:val="both"/>
            </w:pPr>
            <w:r>
              <w:rPr>
                <w:rFonts w:ascii="仿宋_GB2312" w:hAnsi="仿宋_GB2312" w:cs="仿宋_GB2312" w:eastAsia="仿宋_GB2312"/>
                <w:sz w:val="24"/>
                <w:shd w:fill="FFFFFF" w:val="clear"/>
              </w:rPr>
              <w:t>③性能检查服务：收集设备、系统的各项资源（CPU使用率、内存使用率、存储使用率、读写速率、传输时延、吞吐率、错误率、缓冲区信息）的使用率数据，以了解设备、系统的运行状况及系统瓶颈所在。依据收集的数据和性能分析结果，提供优化设备、系统性能的可行性方案并实施。</w:t>
            </w:r>
          </w:p>
          <w:p>
            <w:pPr>
              <w:pStyle w:val="null3"/>
              <w:ind w:firstLine="560"/>
              <w:jc w:val="both"/>
            </w:pPr>
            <w:r>
              <w:rPr>
                <w:rFonts w:ascii="仿宋_GB2312" w:hAnsi="仿宋_GB2312" w:cs="仿宋_GB2312" w:eastAsia="仿宋_GB2312"/>
                <w:sz w:val="24"/>
                <w:shd w:fill="FFFFFF" w:val="clear"/>
              </w:rPr>
              <w:t>④安全检查服务：检查设备、系统的冗余度配置、备份机制、安全防护、防病毒、操作系统补丁和代码升级等安全环节，及时了解设备、系统的安全状况及修复存在的安全漏洞，并针对可能存在的安全隐患提供可行的修复方案并实施。</w:t>
            </w:r>
          </w:p>
          <w:p>
            <w:pPr>
              <w:pStyle w:val="null3"/>
              <w:ind w:firstLine="560"/>
              <w:jc w:val="both"/>
            </w:pPr>
            <w:r>
              <w:rPr>
                <w:rFonts w:ascii="仿宋_GB2312" w:hAnsi="仿宋_GB2312" w:cs="仿宋_GB2312" w:eastAsia="仿宋_GB2312"/>
                <w:sz w:val="24"/>
                <w:shd w:fill="FFFFFF" w:val="clear"/>
              </w:rPr>
              <w:t>⑤常规维护服务：包括设备、系统的功能性和连通性日常检查、各类日志维护、留存6个月以上、配置信息维护与清理、修复和优化方案实施等服务。</w:t>
            </w:r>
          </w:p>
          <w:p>
            <w:pPr>
              <w:pStyle w:val="null3"/>
              <w:ind w:firstLine="560"/>
              <w:jc w:val="both"/>
            </w:pPr>
            <w:r>
              <w:rPr>
                <w:rFonts w:ascii="仿宋_GB2312" w:hAnsi="仿宋_GB2312" w:cs="仿宋_GB2312" w:eastAsia="仿宋_GB2312"/>
                <w:sz w:val="24"/>
                <w:shd w:fill="FFFFFF" w:val="clear"/>
              </w:rPr>
              <w:t>2）故障（事件）处理服务：对设备、系统在运行中出现的设备硬件故障、系统程序故障及数据和配置错误等故障，能够迅速、准确定位问题，并提出相应的应急和修复措施并对其可能带来的风险做出评估。对应急、修复操作或者脚本进行必要的测试，经同意之后立即实施。具体维护如下：</w:t>
            </w:r>
          </w:p>
          <w:p>
            <w:pPr>
              <w:pStyle w:val="null3"/>
              <w:ind w:firstLine="560"/>
              <w:jc w:val="both"/>
            </w:pPr>
            <w:r>
              <w:rPr>
                <w:rFonts w:ascii="仿宋_GB2312" w:hAnsi="仿宋_GB2312" w:cs="仿宋_GB2312" w:eastAsia="仿宋_GB2312"/>
                <w:sz w:val="24"/>
                <w:shd w:fill="FFFFFF" w:val="clear"/>
              </w:rPr>
              <w:t>①在服务期内，设备出现故障时，及时赶到现场并对故障原因作出判断及采取可行的解决措施排除故障。</w:t>
            </w:r>
          </w:p>
          <w:p>
            <w:pPr>
              <w:pStyle w:val="null3"/>
              <w:ind w:firstLine="560"/>
              <w:jc w:val="both"/>
            </w:pPr>
            <w:r>
              <w:rPr>
                <w:rFonts w:ascii="仿宋_GB2312" w:hAnsi="仿宋_GB2312" w:cs="仿宋_GB2312" w:eastAsia="仿宋_GB2312"/>
                <w:sz w:val="24"/>
                <w:shd w:fill="FFFFFF" w:val="clear"/>
              </w:rPr>
              <w:t>②因硬件故障需更换备件，在判明设备故障后，对在维护范围内的配件进行及时更换，并确保其能正常工作。</w:t>
            </w:r>
          </w:p>
          <w:p>
            <w:pPr>
              <w:pStyle w:val="null3"/>
              <w:ind w:firstLine="560"/>
              <w:jc w:val="both"/>
            </w:pPr>
            <w:r>
              <w:rPr>
                <w:rFonts w:ascii="仿宋_GB2312" w:hAnsi="仿宋_GB2312" w:cs="仿宋_GB2312" w:eastAsia="仿宋_GB2312"/>
                <w:sz w:val="24"/>
                <w:shd w:fill="FFFFFF" w:val="clear"/>
              </w:rPr>
              <w:t>3）系统应急服务：对《具体硬件维护对象》里的所有设备，根据不同问题级别，分为情况处置：</w:t>
            </w:r>
          </w:p>
          <w:p>
            <w:pPr>
              <w:pStyle w:val="null3"/>
              <w:ind w:firstLine="560"/>
              <w:jc w:val="both"/>
            </w:pPr>
            <w:r>
              <w:rPr>
                <w:rFonts w:ascii="仿宋_GB2312" w:hAnsi="仿宋_GB2312" w:cs="仿宋_GB2312" w:eastAsia="仿宋_GB2312"/>
                <w:sz w:val="24"/>
                <w:shd w:fill="FFFFFF" w:val="clear"/>
              </w:rPr>
              <w:t>①1级：系统宕机，业务停止。</w:t>
            </w:r>
          </w:p>
          <w:p>
            <w:pPr>
              <w:pStyle w:val="null3"/>
              <w:ind w:firstLine="560"/>
              <w:jc w:val="both"/>
            </w:pPr>
            <w:r>
              <w:rPr>
                <w:rFonts w:ascii="仿宋_GB2312" w:hAnsi="仿宋_GB2312" w:cs="仿宋_GB2312" w:eastAsia="仿宋_GB2312"/>
                <w:sz w:val="24"/>
                <w:shd w:fill="FFFFFF" w:val="clear"/>
              </w:rPr>
              <w:t>处理方式：半小时响应，</w:t>
            </w:r>
            <w:r>
              <w:rPr>
                <w:rFonts w:ascii="仿宋_GB2312" w:hAnsi="仿宋_GB2312" w:cs="仿宋_GB2312" w:eastAsia="仿宋_GB2312"/>
                <w:sz w:val="24"/>
                <w:shd w:fill="FFFFFF" w:val="clear"/>
              </w:rPr>
              <w:t>4小时内前往设备使用现场，到达现场后4小时内解决故障。硬件设备出现故障时，应进行紧急备件更换，保证设备及业务的正常运行。</w:t>
            </w:r>
          </w:p>
          <w:p>
            <w:pPr>
              <w:pStyle w:val="null3"/>
              <w:ind w:firstLine="560"/>
              <w:jc w:val="both"/>
            </w:pPr>
            <w:r>
              <w:rPr>
                <w:rFonts w:ascii="仿宋_GB2312" w:hAnsi="仿宋_GB2312" w:cs="仿宋_GB2312" w:eastAsia="仿宋_GB2312"/>
                <w:sz w:val="24"/>
                <w:shd w:fill="FFFFFF" w:val="clear"/>
              </w:rPr>
              <w:t>②2级：系统能够工作，但部分功能失效。性能下降，但不至中断业务。</w:t>
            </w:r>
          </w:p>
          <w:p>
            <w:pPr>
              <w:pStyle w:val="null3"/>
              <w:ind w:firstLine="560"/>
              <w:jc w:val="both"/>
            </w:pPr>
            <w:r>
              <w:rPr>
                <w:rFonts w:ascii="仿宋_GB2312" w:hAnsi="仿宋_GB2312" w:cs="仿宋_GB2312" w:eastAsia="仿宋_GB2312"/>
                <w:sz w:val="24"/>
                <w:shd w:fill="FFFFFF" w:val="clear"/>
              </w:rPr>
              <w:t>处理方式：</w:t>
            </w:r>
            <w:r>
              <w:rPr>
                <w:rFonts w:ascii="仿宋_GB2312" w:hAnsi="仿宋_GB2312" w:cs="仿宋_GB2312" w:eastAsia="仿宋_GB2312"/>
                <w:sz w:val="24"/>
                <w:shd w:fill="FFFFFF" w:val="clear"/>
              </w:rPr>
              <w:t>1小时响应，12小时内前往现场，在24小时内解决故障。</w:t>
            </w:r>
          </w:p>
          <w:p>
            <w:pPr>
              <w:pStyle w:val="null3"/>
              <w:ind w:firstLine="560"/>
              <w:jc w:val="both"/>
            </w:pPr>
            <w:r>
              <w:rPr>
                <w:rFonts w:ascii="仿宋_GB2312" w:hAnsi="仿宋_GB2312" w:cs="仿宋_GB2312" w:eastAsia="仿宋_GB2312"/>
                <w:sz w:val="24"/>
                <w:shd w:fill="FFFFFF" w:val="clear"/>
              </w:rPr>
              <w:t>③3级：系统可以运行，但出现系统报错或出现问题。</w:t>
            </w:r>
          </w:p>
          <w:p>
            <w:pPr>
              <w:pStyle w:val="null3"/>
              <w:ind w:firstLine="560"/>
              <w:jc w:val="both"/>
            </w:pPr>
            <w:r>
              <w:rPr>
                <w:rFonts w:ascii="仿宋_GB2312" w:hAnsi="仿宋_GB2312" w:cs="仿宋_GB2312" w:eastAsia="仿宋_GB2312"/>
                <w:sz w:val="24"/>
                <w:shd w:fill="FFFFFF" w:val="clear"/>
              </w:rPr>
              <w:t>处理方式：</w:t>
            </w:r>
            <w:r>
              <w:rPr>
                <w:rFonts w:ascii="仿宋_GB2312" w:hAnsi="仿宋_GB2312" w:cs="仿宋_GB2312" w:eastAsia="仿宋_GB2312"/>
                <w:sz w:val="24"/>
                <w:shd w:fill="FFFFFF" w:val="clear"/>
              </w:rPr>
              <w:t>2小时响应，2个工作日内解决故障。</w:t>
            </w:r>
          </w:p>
          <w:p>
            <w:pPr>
              <w:pStyle w:val="null3"/>
              <w:ind w:firstLine="560"/>
              <w:jc w:val="both"/>
            </w:pPr>
            <w:r>
              <w:rPr>
                <w:rFonts w:ascii="仿宋_GB2312" w:hAnsi="仿宋_GB2312" w:cs="仿宋_GB2312" w:eastAsia="仿宋_GB2312"/>
                <w:sz w:val="24"/>
                <w:b/>
                <w:shd w:fill="FFFFFF" w:val="clear"/>
              </w:rPr>
              <w:t>四、技术服务要求</w:t>
            </w:r>
          </w:p>
          <w:p>
            <w:pPr>
              <w:pStyle w:val="null3"/>
              <w:ind w:firstLine="560"/>
              <w:jc w:val="both"/>
            </w:pPr>
            <w:r>
              <w:rPr>
                <w:rFonts w:ascii="仿宋_GB2312" w:hAnsi="仿宋_GB2312" w:cs="仿宋_GB2312" w:eastAsia="仿宋_GB2312"/>
                <w:sz w:val="24"/>
                <w:shd w:fill="FFFFFF" w:val="clear"/>
              </w:rPr>
              <w:t>供应商应建立相应的维护保障体系，提供标准化的维护解决方案，保障能及时有效解决系统日常运行中所出现的问题。主要要求如下：</w:t>
            </w:r>
          </w:p>
          <w:p>
            <w:pPr>
              <w:pStyle w:val="null3"/>
              <w:ind w:firstLine="560"/>
              <w:jc w:val="both"/>
            </w:pPr>
            <w:r>
              <w:rPr>
                <w:rFonts w:ascii="仿宋_GB2312" w:hAnsi="仿宋_GB2312" w:cs="仿宋_GB2312" w:eastAsia="仿宋_GB2312"/>
                <w:sz w:val="24"/>
                <w:shd w:fill="FFFFFF" w:val="clear"/>
              </w:rPr>
              <w:t>（一）系统有关维护代码所有权归采购人。</w:t>
            </w:r>
          </w:p>
          <w:p>
            <w:pPr>
              <w:pStyle w:val="null3"/>
              <w:ind w:firstLine="560"/>
              <w:jc w:val="both"/>
            </w:pPr>
            <w:r>
              <w:rPr>
                <w:rFonts w:ascii="仿宋_GB2312" w:hAnsi="仿宋_GB2312" w:cs="仿宋_GB2312" w:eastAsia="仿宋_GB2312"/>
                <w:sz w:val="24"/>
                <w:shd w:fill="FFFFFF" w:val="clear"/>
              </w:rPr>
              <w:t>（二）系统有关技术资料应根据软件计划，做相应修正。实施团队应进行代码优化及安全审计等。</w:t>
            </w:r>
          </w:p>
          <w:p>
            <w:pPr>
              <w:pStyle w:val="null3"/>
              <w:ind w:firstLine="560"/>
              <w:jc w:val="both"/>
            </w:pPr>
            <w:r>
              <w:rPr>
                <w:rFonts w:ascii="仿宋_GB2312" w:hAnsi="仿宋_GB2312" w:cs="仿宋_GB2312" w:eastAsia="仿宋_GB2312"/>
                <w:sz w:val="24"/>
                <w:shd w:fill="FFFFFF" w:val="clear"/>
              </w:rPr>
              <w:t>（三）本项目需配备项目经理</w:t>
            </w:r>
            <w:r>
              <w:rPr>
                <w:rFonts w:ascii="仿宋_GB2312" w:hAnsi="仿宋_GB2312" w:cs="仿宋_GB2312" w:eastAsia="仿宋_GB2312"/>
                <w:sz w:val="24"/>
                <w:shd w:fill="FFFFFF" w:val="clear"/>
              </w:rPr>
              <w:t>1名。维护工作实行项目经理负责制，所有维护项目的协调工作都由项目经理来完成。供应商为项目拟派的项目经理应具备项目整体管理能力，具有信息系统规划、应用系统规划专业技术能力，熟悉信息系统有关的法律法规、标准和规范，工作内容包括对项目进度的统筹管控、项目整体规划、项目资源的合理调配、项目风险的识别与应对，以及与采购人良好沟通的能力。</w:t>
            </w:r>
          </w:p>
          <w:p>
            <w:pPr>
              <w:pStyle w:val="null3"/>
              <w:ind w:firstLine="560"/>
              <w:jc w:val="both"/>
            </w:pPr>
            <w:r>
              <w:rPr>
                <w:rFonts w:ascii="仿宋_GB2312" w:hAnsi="仿宋_GB2312" w:cs="仿宋_GB2312" w:eastAsia="仿宋_GB2312"/>
                <w:sz w:val="24"/>
                <w:shd w:fill="FFFFFF" w:val="clear"/>
              </w:rPr>
              <w:t>（四）本项目需配备技术负责人</w:t>
            </w:r>
            <w:r>
              <w:rPr>
                <w:rFonts w:ascii="仿宋_GB2312" w:hAnsi="仿宋_GB2312" w:cs="仿宋_GB2312" w:eastAsia="仿宋_GB2312"/>
                <w:sz w:val="24"/>
                <w:shd w:fill="FFFFFF" w:val="clear"/>
              </w:rPr>
              <w:t>1名。供应商为项目拟派的技术负责人应具备项目技术方向的总体把控和管理能力，熟练掌握信息系统开发过程和方法，掌握信息安全的相关知识与技术，工作内容包括关键技术决策、项目整体架构设计、技术方案可行性评估及技术难题攻克的能力，同时，为保障本项目的顺利实施与安全运维服务的专业质量，须具备扎实的信息安全专业能力与实践经验。</w:t>
            </w:r>
          </w:p>
          <w:p>
            <w:pPr>
              <w:pStyle w:val="null3"/>
              <w:ind w:firstLine="560"/>
              <w:jc w:val="both"/>
            </w:pPr>
            <w:r>
              <w:rPr>
                <w:rFonts w:ascii="仿宋_GB2312" w:hAnsi="仿宋_GB2312" w:cs="仿宋_GB2312" w:eastAsia="仿宋_GB2312"/>
                <w:sz w:val="24"/>
                <w:shd w:fill="FFFFFF" w:val="clear"/>
              </w:rPr>
              <w:t>（五）供应商应提供充足的实施团队人员，保证系统各项维护需求能及时响应。为保障现有软、硬件系统、接口的正常维护，驻场技术人员不能少于</w:t>
            </w:r>
            <w:r>
              <w:rPr>
                <w:rFonts w:ascii="仿宋_GB2312" w:hAnsi="仿宋_GB2312" w:cs="仿宋_GB2312" w:eastAsia="仿宋_GB2312"/>
                <w:sz w:val="24"/>
                <w:shd w:fill="FFFFFF" w:val="clear"/>
              </w:rPr>
              <w:t>2人，</w:t>
            </w:r>
            <w:r>
              <w:rPr>
                <w:rFonts w:ascii="仿宋_GB2312" w:hAnsi="仿宋_GB2312" w:cs="仿宋_GB2312" w:eastAsia="仿宋_GB2312"/>
                <w:sz w:val="24"/>
                <w:shd w:fill="FFFFFF" w:val="clear"/>
              </w:rPr>
              <w:t>远程技术支撑人员</w:t>
            </w:r>
            <w:r>
              <w:rPr>
                <w:rFonts w:ascii="仿宋_GB2312" w:hAnsi="仿宋_GB2312" w:cs="仿宋_GB2312" w:eastAsia="仿宋_GB2312"/>
                <w:sz w:val="24"/>
                <w:shd w:fill="FFFFFF" w:val="clear"/>
              </w:rPr>
              <w:t>不能少于</w:t>
            </w:r>
            <w:r>
              <w:rPr>
                <w:rFonts w:ascii="仿宋_GB2312" w:hAnsi="仿宋_GB2312" w:cs="仿宋_GB2312" w:eastAsia="仿宋_GB2312"/>
                <w:sz w:val="24"/>
                <w:shd w:fill="FFFFFF" w:val="clear"/>
              </w:rPr>
              <w:t>2人</w:t>
            </w:r>
            <w:r>
              <w:rPr>
                <w:rFonts w:ascii="仿宋_GB2312" w:hAnsi="仿宋_GB2312" w:cs="仿宋_GB2312" w:eastAsia="仿宋_GB2312"/>
                <w:sz w:val="24"/>
                <w:shd w:fill="FFFFFF" w:val="clear"/>
              </w:rPr>
              <w:t>。如遇系统重大问题，驻场人员无法解决，需派更高级别工程师现场进行问题排查处理。供应商为项目拟派的实施团队人员应具备包括但不限于以下能力：测试计划制定、测试用例设计、测试执行与缺陷管理、测试团队协调、安全测试，以及测试结果分析与优化建议输出能力；能熟练掌握系统分析能力、具备数据库操作与维护、精通网络工程技术、能够开展软件评测工作、掌握系统集成技能、具备数据统计分析能力，且了解信息安全相关规范与操作。</w:t>
            </w:r>
          </w:p>
          <w:p>
            <w:pPr>
              <w:pStyle w:val="null3"/>
              <w:ind w:firstLine="560"/>
              <w:jc w:val="both"/>
            </w:pPr>
            <w:r>
              <w:rPr>
                <w:rFonts w:ascii="仿宋_GB2312" w:hAnsi="仿宋_GB2312" w:cs="仿宋_GB2312" w:eastAsia="仿宋_GB2312"/>
                <w:sz w:val="24"/>
                <w:shd w:fill="FFFFFF" w:val="clear"/>
              </w:rPr>
              <w:t>（六）采购人和系统使用部门有权对供应商技术服务质量进行评定、考核。若供应商的人员工作水平、项目实施质量等方面不能达到有关要求的，采购人有权按照不同比例扣除相应项目费用，并要求更换人员。</w:t>
            </w:r>
          </w:p>
          <w:p>
            <w:pPr>
              <w:pStyle w:val="null3"/>
              <w:ind w:firstLine="560"/>
              <w:jc w:val="both"/>
            </w:pPr>
            <w:r>
              <w:rPr>
                <w:rFonts w:ascii="仿宋_GB2312" w:hAnsi="仿宋_GB2312" w:cs="仿宋_GB2312" w:eastAsia="仿宋_GB2312"/>
                <w:sz w:val="24"/>
                <w:shd w:fill="FFFFFF" w:val="clear"/>
              </w:rPr>
              <w:t>（七）供应商在项目运维过程中，若出现对业务数据、程序源代码误操作、故意篡改、删除、拷贝、抄袭等侵犯知识产权行为或因操作不当、故意行为，造成系统运行故障、设备损毁等情况，供应商应赔偿经济损失和承担法律责任。</w:t>
            </w:r>
          </w:p>
          <w:p>
            <w:pPr>
              <w:pStyle w:val="null3"/>
              <w:ind w:firstLine="560"/>
              <w:jc w:val="both"/>
            </w:pPr>
            <w:r>
              <w:rPr>
                <w:rFonts w:ascii="仿宋_GB2312" w:hAnsi="仿宋_GB2312" w:cs="仿宋_GB2312" w:eastAsia="仿宋_GB2312"/>
                <w:sz w:val="24"/>
                <w:shd w:fill="FFFFFF" w:val="clear"/>
              </w:rPr>
              <w:t>（八）供应商对所维护系统内数据安全（包括财政补贴资格申报、资金审核、发放等数据）负有全部责任，对维护工作中所接触的用户口令、敏感数据负有保密义务，若泄露，将依法追究相关法律责任。</w:t>
            </w:r>
          </w:p>
          <w:p>
            <w:pPr>
              <w:pStyle w:val="null3"/>
              <w:jc w:val="both"/>
            </w:pP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九）供应商应在成交后制定切实可行的具体技术服务实施方案。实施方案在坚持统一、安全、可靠、可扩展的原则下包含但不限于：技术服务需求分析、技术服务总体方案设计、技术服务流程设计、应急服务方案等内容。</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left"/>
            </w:pPr>
            <w:r>
              <w:rPr>
                <w:rFonts w:ascii="仿宋_GB2312" w:hAnsi="仿宋_GB2312" w:cs="仿宋_GB2312" w:eastAsia="仿宋_GB2312"/>
                <w:sz w:val="24"/>
                <w:shd w:fill="FFFFFF" w:val="clear"/>
              </w:rPr>
              <w:t>一、</w:t>
            </w:r>
            <w:r>
              <w:rPr>
                <w:rFonts w:ascii="仿宋_GB2312" w:hAnsi="仿宋_GB2312" w:cs="仿宋_GB2312" w:eastAsia="仿宋_GB2312"/>
                <w:sz w:val="24"/>
              </w:rPr>
              <w:t>项目背景及现状分析要求：要求紧扣国家与地方惠民惠农政策主线，系统阐述</w:t>
            </w:r>
            <w:r>
              <w:rPr>
                <w:rFonts w:ascii="仿宋_GB2312" w:hAnsi="仿宋_GB2312" w:cs="仿宋_GB2312" w:eastAsia="仿宋_GB2312"/>
                <w:sz w:val="24"/>
              </w:rPr>
              <w:t>“一卡通”系统作为民生资金“安全网”和“高速路”的战略价值。分析需客观、全面地反映系统自建设以来的发展历程、当前一体化平台的运行与技术现状。</w:t>
            </w:r>
          </w:p>
          <w:p>
            <w:pPr>
              <w:pStyle w:val="null3"/>
              <w:ind w:firstLine="480"/>
              <w:jc w:val="left"/>
            </w:pPr>
            <w:r>
              <w:rPr>
                <w:rFonts w:ascii="仿宋_GB2312" w:hAnsi="仿宋_GB2312" w:cs="仿宋_GB2312" w:eastAsia="仿宋_GB2312"/>
                <w:sz w:val="24"/>
                <w:shd w:fill="FFFFFF" w:val="clear"/>
              </w:rPr>
              <w:t>二、</w:t>
            </w:r>
            <w:r>
              <w:rPr>
                <w:rFonts w:ascii="仿宋_GB2312" w:hAnsi="仿宋_GB2312" w:cs="仿宋_GB2312" w:eastAsia="仿宋_GB2312"/>
                <w:sz w:val="24"/>
              </w:rPr>
              <w:t>重难点分析及解决办法：</w:t>
            </w:r>
            <w:r>
              <w:rPr>
                <w:rFonts w:ascii="仿宋_GB2312" w:hAnsi="仿宋_GB2312" w:cs="仿宋_GB2312" w:eastAsia="仿宋_GB2312"/>
                <w:sz w:val="24"/>
                <w:shd w:fill="FFFFFF" w:val="clear"/>
              </w:rPr>
              <w:t>供应商应结合项目背景、技术服务目标、原则、服务内容和维护对象，进行项目背景与运行现状分析与项目实施过程中可能发生的重难点问题分析并给出相应解决方案。</w:t>
            </w:r>
          </w:p>
          <w:p>
            <w:pPr>
              <w:pStyle w:val="null3"/>
              <w:ind w:firstLine="480"/>
              <w:jc w:val="left"/>
            </w:pPr>
            <w:r>
              <w:rPr>
                <w:rFonts w:ascii="仿宋_GB2312" w:hAnsi="仿宋_GB2312" w:cs="仿宋_GB2312" w:eastAsia="仿宋_GB2312"/>
                <w:sz w:val="24"/>
                <w:shd w:fill="FFFFFF" w:val="clear"/>
              </w:rPr>
              <w:t>三、针对采购人提出的功能要求及维护要求进行系统业务结构及技术架构分析与系统经办流程分析。通过对系统的深度分析与持续优化，构建一个</w:t>
            </w:r>
            <w:r>
              <w:rPr>
                <w:rFonts w:ascii="仿宋_GB2312" w:hAnsi="仿宋_GB2312" w:cs="仿宋_GB2312" w:eastAsia="仿宋_GB2312"/>
                <w:sz w:val="24"/>
                <w:shd w:fill="FFFFFF" w:val="clear"/>
              </w:rPr>
              <w:t>“安全可靠、精准高效、弹性可扩展、服务可持续”的“一卡通”系统运维保障体系，确保国家惠民惠农政策在自贡市不折不扣地精准落地，财政补贴资金安全、及时、足额发放到每一位群众手中，并有效支撑未来业务创新与监管要求。</w:t>
            </w:r>
          </w:p>
          <w:p>
            <w:pPr>
              <w:pStyle w:val="null3"/>
              <w:ind w:firstLine="480"/>
              <w:jc w:val="left"/>
            </w:pPr>
            <w:r>
              <w:rPr>
                <w:rFonts w:ascii="仿宋_GB2312" w:hAnsi="仿宋_GB2312" w:cs="仿宋_GB2312" w:eastAsia="仿宋_GB2312"/>
                <w:sz w:val="24"/>
                <w:shd w:fill="FFFFFF" w:val="clear"/>
              </w:rPr>
              <w:t>四、系统风险控制要求：须以保障民生资金安全为核心，建立覆盖全周期、多层级的主动防御体系。识别并针对性应对技术安全、业务逻辑、数据质量等核心风险，确保</w:t>
            </w:r>
            <w:r>
              <w:rPr>
                <w:rFonts w:ascii="仿宋_GB2312" w:hAnsi="仿宋_GB2312" w:cs="仿宋_GB2312" w:eastAsia="仿宋_GB2312"/>
                <w:sz w:val="24"/>
                <w:shd w:fill="FFFFFF" w:val="clear"/>
              </w:rPr>
              <w:t>“一卡通”系统持续稳定、可信赖运行。</w:t>
            </w:r>
          </w:p>
          <w:p>
            <w:pPr>
              <w:pStyle w:val="null3"/>
              <w:ind w:firstLine="480"/>
              <w:jc w:val="left"/>
            </w:pPr>
            <w:r>
              <w:rPr>
                <w:rFonts w:ascii="仿宋_GB2312" w:hAnsi="仿宋_GB2312" w:cs="仿宋_GB2312" w:eastAsia="仿宋_GB2312"/>
                <w:sz w:val="24"/>
                <w:shd w:fill="FFFFFF" w:val="clear"/>
              </w:rPr>
              <w:t>五、供应商应结合政策背景与项目需求，对省级</w:t>
            </w:r>
            <w:r>
              <w:rPr>
                <w:rFonts w:ascii="仿宋_GB2312" w:hAnsi="仿宋_GB2312" w:cs="仿宋_GB2312" w:eastAsia="仿宋_GB2312"/>
                <w:sz w:val="24"/>
                <w:shd w:fill="FFFFFF" w:val="clear"/>
              </w:rPr>
              <w:t>各</w:t>
            </w:r>
            <w:r>
              <w:rPr>
                <w:rFonts w:ascii="仿宋_GB2312" w:hAnsi="仿宋_GB2312" w:cs="仿宋_GB2312" w:eastAsia="仿宋_GB2312"/>
                <w:sz w:val="24"/>
                <w:shd w:fill="FFFFFF" w:val="clear"/>
              </w:rPr>
              <w:t>业务部门要</w:t>
            </w:r>
            <w:r>
              <w:rPr>
                <w:rFonts w:ascii="仿宋_GB2312" w:hAnsi="仿宋_GB2312" w:cs="仿宋_GB2312" w:eastAsia="仿宋_GB2312"/>
                <w:sz w:val="24"/>
                <w:shd w:fill="FFFFFF" w:val="clear"/>
              </w:rPr>
              <w:t>求的数据对接、数据字段、指标变更等工作任务进行分析，数据交互流程</w:t>
            </w:r>
            <w:r>
              <w:rPr>
                <w:rFonts w:ascii="仿宋_GB2312" w:hAnsi="仿宋_GB2312" w:cs="仿宋_GB2312" w:eastAsia="仿宋_GB2312"/>
                <w:sz w:val="24"/>
                <w:shd w:fill="FFFFFF" w:val="clear"/>
              </w:rPr>
              <w:t>为</w:t>
            </w:r>
            <w:r>
              <w:rPr>
                <w:rFonts w:ascii="仿宋_GB2312" w:hAnsi="仿宋_GB2312" w:cs="仿宋_GB2312" w:eastAsia="仿宋_GB2312"/>
                <w:sz w:val="24"/>
                <w:shd w:fill="FFFFFF" w:val="clear"/>
              </w:rPr>
              <w:t>省级监管平台提供数据交换库，自贡市根据</w:t>
            </w:r>
            <w:r>
              <w:rPr>
                <w:rFonts w:ascii="仿宋_GB2312" w:hAnsi="仿宋_GB2312" w:cs="仿宋_GB2312" w:eastAsia="仿宋_GB2312"/>
                <w:sz w:val="24"/>
                <w:shd w:fill="FFFFFF" w:val="clear"/>
              </w:rPr>
              <w:t>“标准与规范”，将市“一卡通”平台产生的相关增量数据和变更数据定时同步到数据交换库中，省级监管平台定时对数据交换库中的数据进行抽取、校验、清洗和使用。任务分析要求：能够按省级各业务主管部门要求开展项目新增、发放数据对接、数据字段映射、数据字段动态变更、行政区划转码处置、发放结果反馈等6类任务分析，提供完整的6类任务清单及各任务的完整处置流程。</w:t>
            </w:r>
          </w:p>
          <w:p>
            <w:pPr>
              <w:pStyle w:val="null3"/>
              <w:ind w:firstLine="480"/>
              <w:jc w:val="left"/>
            </w:pPr>
            <w:r>
              <w:rPr>
                <w:rFonts w:ascii="仿宋_GB2312" w:hAnsi="仿宋_GB2312" w:cs="仿宋_GB2312" w:eastAsia="仿宋_GB2312"/>
                <w:sz w:val="24"/>
                <w:shd w:fill="FFFFFF" w:val="clear"/>
              </w:rPr>
              <w:t>六、</w:t>
            </w:r>
            <w:r>
              <w:rPr>
                <w:rFonts w:ascii="仿宋_GB2312" w:hAnsi="仿宋_GB2312" w:cs="仿宋_GB2312" w:eastAsia="仿宋_GB2312"/>
                <w:sz w:val="24"/>
                <w:shd w:fill="FFFFFF" w:val="clear"/>
              </w:rPr>
              <w:t>数据传输保障</w:t>
            </w:r>
            <w:r>
              <w:rPr>
                <w:rFonts w:ascii="仿宋_GB2312" w:hAnsi="仿宋_GB2312" w:cs="仿宋_GB2312" w:eastAsia="仿宋_GB2312"/>
                <w:sz w:val="24"/>
                <w:shd w:fill="FFFFFF" w:val="clear"/>
              </w:rPr>
              <w:t>要求</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供应商需</w:t>
            </w:r>
            <w:r>
              <w:rPr>
                <w:rFonts w:ascii="仿宋_GB2312" w:hAnsi="仿宋_GB2312" w:cs="仿宋_GB2312" w:eastAsia="仿宋_GB2312"/>
                <w:sz w:val="24"/>
                <w:shd w:fill="FFFFFF" w:val="clear"/>
              </w:rPr>
              <w:t>按照省厅监管部门数据传输模式，</w:t>
            </w:r>
            <w:r>
              <w:rPr>
                <w:rFonts w:ascii="仿宋_GB2312" w:hAnsi="仿宋_GB2312" w:cs="仿宋_GB2312" w:eastAsia="仿宋_GB2312"/>
                <w:sz w:val="24"/>
                <w:shd w:fill="FFFFFF" w:val="clear"/>
              </w:rPr>
              <w:t>进行</w:t>
            </w:r>
            <w:r>
              <w:rPr>
                <w:rFonts w:ascii="仿宋_GB2312" w:hAnsi="仿宋_GB2312" w:cs="仿宋_GB2312" w:eastAsia="仿宋_GB2312"/>
                <w:sz w:val="24"/>
                <w:shd w:fill="FFFFFF" w:val="clear"/>
              </w:rPr>
              <w:t>数据动态更新上传的专项保障，明确数据指标动态变更的响应与验证时限、数据周期性同步的频率与重试机制、数据完整性校验与补传机制、数据安全性管控措施与日志留存要求。</w:t>
            </w:r>
          </w:p>
          <w:p>
            <w:pPr>
              <w:pStyle w:val="null3"/>
              <w:ind w:firstLine="480"/>
              <w:jc w:val="left"/>
            </w:pPr>
            <w:r>
              <w:rPr>
                <w:rFonts w:ascii="仿宋_GB2312" w:hAnsi="仿宋_GB2312" w:cs="仿宋_GB2312" w:eastAsia="仿宋_GB2312"/>
                <w:sz w:val="24"/>
                <w:shd w:fill="FFFFFF" w:val="clear"/>
              </w:rPr>
              <w:t>七、</w:t>
            </w:r>
            <w:r>
              <w:rPr>
                <w:rFonts w:ascii="仿宋_GB2312" w:hAnsi="仿宋_GB2312" w:cs="仿宋_GB2312" w:eastAsia="仿宋_GB2312"/>
                <w:sz w:val="24"/>
                <w:shd w:fill="FFFFFF" w:val="clear"/>
              </w:rPr>
              <w:t>系统衔接保障方案：</w:t>
            </w:r>
            <w:r>
              <w:rPr>
                <w:rFonts w:ascii="仿宋_GB2312" w:hAnsi="仿宋_GB2312" w:cs="仿宋_GB2312" w:eastAsia="仿宋_GB2312"/>
                <w:sz w:val="24"/>
                <w:shd w:fill="FFFFFF" w:val="clear"/>
              </w:rPr>
              <w:t>供应商需</w:t>
            </w:r>
            <w:r>
              <w:rPr>
                <w:rFonts w:ascii="仿宋_GB2312" w:hAnsi="仿宋_GB2312" w:cs="仿宋_GB2312" w:eastAsia="仿宋_GB2312"/>
                <w:sz w:val="24"/>
                <w:shd w:fill="FFFFFF" w:val="clear"/>
              </w:rPr>
              <w:t>针对地市审批系统与发放监管系统衔接</w:t>
            </w:r>
            <w:r>
              <w:rPr>
                <w:rFonts w:ascii="仿宋_GB2312" w:hAnsi="仿宋_GB2312" w:cs="仿宋_GB2312" w:eastAsia="仿宋_GB2312"/>
                <w:sz w:val="24"/>
                <w:shd w:fill="FFFFFF" w:val="clear"/>
              </w:rPr>
              <w:t>进行</w:t>
            </w:r>
            <w:r>
              <w:rPr>
                <w:rFonts w:ascii="仿宋_GB2312" w:hAnsi="仿宋_GB2312" w:cs="仿宋_GB2312" w:eastAsia="仿宋_GB2312"/>
                <w:sz w:val="24"/>
                <w:shd w:fill="FFFFFF" w:val="clear"/>
              </w:rPr>
              <w:t>专项保障，确保完成补贴发放，明确发放计划对接规则、补贴编码转换规则、数据字段映射与校验规则、发放结果反馈的时限与闭环机制、跨银行代发异常的处置流程。</w:t>
            </w:r>
          </w:p>
          <w:p>
            <w:pPr>
              <w:pStyle w:val="null3"/>
              <w:ind w:firstLine="480"/>
              <w:jc w:val="both"/>
            </w:pPr>
            <w:r>
              <w:rPr>
                <w:rFonts w:ascii="仿宋_GB2312" w:hAnsi="仿宋_GB2312" w:cs="仿宋_GB2312" w:eastAsia="仿宋_GB2312"/>
                <w:sz w:val="24"/>
                <w:shd w:fill="FFFFFF" w:val="clear"/>
              </w:rPr>
              <w:t>八</w:t>
            </w:r>
            <w:r>
              <w:rPr>
                <w:rFonts w:ascii="仿宋_GB2312" w:hAnsi="仿宋_GB2312" w:cs="仿宋_GB2312" w:eastAsia="仿宋_GB2312"/>
                <w:sz w:val="24"/>
                <w:shd w:fill="FFFFFF" w:val="clear"/>
              </w:rPr>
              <w:t>、供应商拟派的人员需具有相关专业技能和证书。</w:t>
            </w:r>
          </w:p>
          <w:p>
            <w:pPr>
              <w:pStyle w:val="null3"/>
              <w:ind w:firstLine="480"/>
              <w:jc w:val="both"/>
            </w:pPr>
            <w:r>
              <w:rPr>
                <w:rFonts w:ascii="仿宋_GB2312" w:hAnsi="仿宋_GB2312" w:cs="仿宋_GB2312" w:eastAsia="仿宋_GB2312"/>
                <w:sz w:val="24"/>
                <w:shd w:fill="FFFFFF" w:val="clear"/>
              </w:rPr>
              <w:t>九</w:t>
            </w:r>
            <w:r>
              <w:rPr>
                <w:rFonts w:ascii="仿宋_GB2312" w:hAnsi="仿宋_GB2312" w:cs="仿宋_GB2312" w:eastAsia="仿宋_GB2312"/>
                <w:sz w:val="24"/>
                <w:shd w:fill="FFFFFF" w:val="clear"/>
              </w:rPr>
              <w:t>、供应商应具有类似项目经验。</w:t>
            </w:r>
          </w:p>
          <w:p>
            <w:pPr>
              <w:pStyle w:val="null3"/>
              <w:jc w:val="both"/>
            </w:pPr>
            <w:r>
              <w:rPr>
                <w:rFonts w:ascii="仿宋_GB2312" w:hAnsi="仿宋_GB2312" w:cs="仿宋_GB2312" w:eastAsia="仿宋_GB2312"/>
                <w:sz w:val="24"/>
                <w:shd w:fill="FFFFFF" w:val="clear"/>
              </w:rPr>
              <w:t>十</w:t>
            </w:r>
            <w:r>
              <w:rPr>
                <w:rFonts w:ascii="仿宋_GB2312" w:hAnsi="仿宋_GB2312" w:cs="仿宋_GB2312" w:eastAsia="仿宋_GB2312"/>
                <w:sz w:val="24"/>
                <w:shd w:fill="FFFFFF" w:val="clear"/>
              </w:rPr>
              <w:t>、若服务期满后，由本次项目成交供应商开发的系统功能需升级或者修复，供应商是否收取费用，若收取费用，是否能提供收费标准。（上述内容属于不能确定具体内容的服务要求，磋商环节就上述内容进行磋商，供应商应根据自身情况在磋商过程中予以响应）</w:t>
            </w:r>
          </w:p>
          <w:p>
            <w:pPr>
              <w:pStyle w:val="null3"/>
              <w:ind w:firstLine="400"/>
              <w:jc w:val="left"/>
            </w:pPr>
            <w:r>
              <w:rPr>
                <w:rFonts w:ascii="仿宋_GB2312" w:hAnsi="仿宋_GB2312" w:cs="仿宋_GB2312" w:eastAsia="仿宋_GB2312"/>
                <w:sz w:val="24"/>
              </w:rPr>
              <w:t>★</w:t>
            </w:r>
            <w:r>
              <w:rPr>
                <w:rFonts w:ascii="仿宋_GB2312" w:hAnsi="仿宋_GB2312" w:cs="仿宋_GB2312" w:eastAsia="仿宋_GB2312"/>
                <w:sz w:val="24"/>
              </w:rPr>
              <w:t>十一、</w:t>
            </w:r>
            <w:r>
              <w:rPr>
                <w:rFonts w:ascii="仿宋_GB2312" w:hAnsi="仿宋_GB2312" w:cs="仿宋_GB2312" w:eastAsia="仿宋_GB2312"/>
                <w:sz w:val="24"/>
              </w:rPr>
              <w:t>在发出</w:t>
            </w:r>
            <w:r>
              <w:rPr>
                <w:rFonts w:ascii="仿宋_GB2312" w:hAnsi="仿宋_GB2312" w:cs="仿宋_GB2312" w:eastAsia="仿宋_GB2312"/>
                <w:sz w:val="24"/>
              </w:rPr>
              <w:t>成交</w:t>
            </w:r>
            <w:r>
              <w:rPr>
                <w:rFonts w:ascii="仿宋_GB2312" w:hAnsi="仿宋_GB2312" w:cs="仿宋_GB2312" w:eastAsia="仿宋_GB2312"/>
                <w:sz w:val="24"/>
              </w:rPr>
              <w:t>通知书</w:t>
            </w:r>
            <w:r>
              <w:rPr>
                <w:rFonts w:ascii="仿宋_GB2312" w:hAnsi="仿宋_GB2312" w:cs="仿宋_GB2312" w:eastAsia="仿宋_GB2312"/>
                <w:sz w:val="24"/>
              </w:rPr>
              <w:t>15天内成交供应商须完成项目团队的组建,并将人员名单、联系方式、相关人员证书影印件交采购人备案。（单独提供针对本项内容的承诺函，格式自拟）</w:t>
            </w:r>
          </w:p>
          <w:p>
            <w:pPr>
              <w:pStyle w:val="null3"/>
              <w:ind w:firstLine="400"/>
              <w:jc w:val="left"/>
            </w:pPr>
            <w:r>
              <w:rPr>
                <w:rFonts w:ascii="仿宋_GB2312" w:hAnsi="仿宋_GB2312" w:cs="仿宋_GB2312" w:eastAsia="仿宋_GB2312"/>
                <w:sz w:val="24"/>
              </w:rPr>
              <w:t>★</w:t>
            </w:r>
            <w:r>
              <w:rPr>
                <w:rFonts w:ascii="仿宋_GB2312" w:hAnsi="仿宋_GB2312" w:cs="仿宋_GB2312" w:eastAsia="仿宋_GB2312"/>
                <w:sz w:val="24"/>
              </w:rPr>
              <w:t>十二、</w:t>
            </w:r>
            <w:r>
              <w:rPr>
                <w:rFonts w:ascii="仿宋_GB2312" w:hAnsi="仿宋_GB2312" w:cs="仿宋_GB2312" w:eastAsia="仿宋_GB2312"/>
                <w:sz w:val="24"/>
              </w:rPr>
              <w:t>如采购人认为供应商拟派本项目的人员不适应岗位要求的，可要求供应商进行调换。拟派本项目的驻场人员不得在其他项目兼职。（单独提供针对本项内容的承诺函，格式自拟）</w:t>
            </w:r>
          </w:p>
          <w:p>
            <w:pPr>
              <w:pStyle w:val="null3"/>
              <w:ind w:firstLine="400"/>
              <w:jc w:val="left"/>
            </w:pPr>
            <w:r>
              <w:rPr>
                <w:rFonts w:ascii="仿宋_GB2312" w:hAnsi="仿宋_GB2312" w:cs="仿宋_GB2312" w:eastAsia="仿宋_GB2312"/>
                <w:sz w:val="24"/>
              </w:rPr>
              <w:t>★</w:t>
            </w:r>
            <w:r>
              <w:rPr>
                <w:rFonts w:ascii="仿宋_GB2312" w:hAnsi="仿宋_GB2312" w:cs="仿宋_GB2312" w:eastAsia="仿宋_GB2312"/>
                <w:sz w:val="24"/>
              </w:rPr>
              <w:t>十三、</w:t>
            </w:r>
            <w:r>
              <w:rPr>
                <w:rFonts w:ascii="仿宋_GB2312" w:hAnsi="仿宋_GB2312" w:cs="仿宋_GB2312" w:eastAsia="仿宋_GB2312"/>
                <w:sz w:val="24"/>
              </w:rPr>
              <w:t>若供应商在成交后不按磋商文件和相关法律法规要求签订合同或不按要求履行合同的，采购人有权按照《中华人民共和国政府采购法》、《中华人民共和国政府采购法实施条例》、《政府采购非招标采购方式管理办法》等相关法律法规和磋商文件、合同条款要求解除合同，并按照相关规定上报同级财政部门。供应商应在收到合同解除通知后</w:t>
            </w:r>
            <w:r>
              <w:rPr>
                <w:rFonts w:ascii="仿宋_GB2312" w:hAnsi="仿宋_GB2312" w:cs="仿宋_GB2312" w:eastAsia="仿宋_GB2312"/>
                <w:sz w:val="24"/>
              </w:rPr>
              <w:t>7日内向采购人支付合同金额30%的违约金，违约金不足以弥补采购人损失的，应当赔偿给采购人造成的实际损失。</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十四、</w:t>
            </w:r>
            <w:r>
              <w:rPr>
                <w:rFonts w:ascii="仿宋_GB2312" w:hAnsi="仿宋_GB2312" w:cs="仿宋_GB2312" w:eastAsia="仿宋_GB2312"/>
                <w:sz w:val="24"/>
              </w:rPr>
              <w:t>因自贡市惠民惠农财政补贴资金</w:t>
            </w:r>
            <w:r>
              <w:rPr>
                <w:rFonts w:ascii="仿宋_GB2312" w:hAnsi="仿宋_GB2312" w:cs="仿宋_GB2312" w:eastAsia="仿宋_GB2312"/>
                <w:sz w:val="24"/>
              </w:rPr>
              <w:t>“一卡通”信息系统特殊性的原因，对于本项目采购需求中涉及源代码、接口、架构等核心技术内容，潜在供应商可以与采购人咨询（联系电话：0813-8105506），若需要现场踏勘的，由供应商与采购人自行确定踏勘时间，本项目不组织统一踏勘。供应商踏勘所涉及的费用由供应商自行承担。踏勘过程中的安全责任由供应商自行负责。若因供应商了解不充分等自身原因导致成交后提供的服务无法满足采购人需求的，由此产生的损失由供应商自行承担。</w:t>
            </w:r>
          </w:p>
          <w:p>
            <w:pPr>
              <w:pStyle w:val="null3"/>
              <w:jc w:val="both"/>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政府采购相关法律法规以及《财政部关于进一步加强政府采购需求和履约验收管理的指导意见》财库〔2016〕205号、《自贡市政府采购履约验收管理办法》自财规〔2023〕2号等相关法律法规的要求、磋商文件规定的要求和供应商响应文件及合同约定的内容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1、预付款，合同签订后，供应商提供有效票据和付款申请后，达到付款条件起14日内，支付合同总金额的30.00%</w:t>
            </w:r>
          </w:p>
          <w:p>
            <w:pPr>
              <w:pStyle w:val="null3"/>
              <w:jc w:val="left"/>
            </w:pPr>
            <w:r>
              <w:rPr>
                <w:rFonts w:ascii="仿宋_GB2312" w:hAnsi="仿宋_GB2312" w:cs="仿宋_GB2312" w:eastAsia="仿宋_GB2312"/>
              </w:rPr>
              <w:t>2、尾款，服务期满、验收合格，供应商提供有效票据和付款申请后，达到付款条件起14日内，支付合同总金额的70.00%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①双方必须遵守合同中的各项规定，保证合同的正常履行。 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②合同履行期间，若双方发生争议，可协商或由有关部门调解解决，协商或调解不成的，由当事人依法维护其合法权益，并在合同履行地提起诉讼。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“3.2.技术要求”，“3.3.服务要求”中的所有内容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“拟签订采购合同文本”中的所有内容。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投标（响应）函,(磋商)需要供应商进行承诺的实质性要求的承诺函.docx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其他符合性审查（实质性要求）</w:t>
            </w:r>
          </w:p>
        </w:tc>
        <w:tc>
          <w:tcPr>
            <w:tcW w:type="dxa" w:w="3322"/>
          </w:tcPr>
          <w:p>
            <w:pPr>
              <w:pStyle w:val="null3"/>
              <w:jc w:val="left"/>
            </w:pPr>
            <w:r>
              <w:rPr>
                <w:rFonts w:ascii="仿宋_GB2312" w:hAnsi="仿宋_GB2312" w:cs="仿宋_GB2312" w:eastAsia="仿宋_GB2312"/>
              </w:rPr>
              <w:t>1.响应文件的语言、计量单位、知识产权、响应有效期、响应报价等不符合采购文件的规定，影响评审小组评判的。 2.未在应答表中对技术要求、服务要求、其他要求中的实质性要求逐项进行完整应答的，或应答内容与采购文件要求不符的，或未按要求提供相应的证明材料或单独承诺函等支撑材料的。 3.未载明或者载明的采购项目履约时间、方式、数量及其他政府采购合同实质性内容与本采购文件要求不一致，且采购单位无法接的。 4. 属于采购文件中无效响应情形的。</w:t>
            </w:r>
          </w:p>
        </w:tc>
        <w:tc>
          <w:tcPr>
            <w:tcW w:type="dxa" w:w="1661"/>
          </w:tcPr>
          <w:p>
            <w:pPr>
              <w:pStyle w:val="null3"/>
              <w:jc w:val="left"/>
            </w:pPr>
            <w:r>
              <w:rPr>
                <w:rFonts w:ascii="仿宋_GB2312" w:hAnsi="仿宋_GB2312" w:cs="仿宋_GB2312" w:eastAsia="仿宋_GB2312"/>
              </w:rPr>
              <w:t>服务要求应答表(磋商).docx,报价表,投标（响应）函,(磋商)需要供应商进行承诺的实质性要求的承诺函.docx,技术要求应答表(磋商).docx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5.4.2.评审细则及标准中的“运维服务方案”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项目理解</w:t>
            </w:r>
          </w:p>
        </w:tc>
        <w:tc>
          <w:tcPr>
            <w:tcW w:type="dxa" w:w="2575"/>
          </w:tcPr>
          <w:p>
            <w:pPr>
              <w:pStyle w:val="null3"/>
              <w:jc w:val="left"/>
            </w:pPr>
            <w:r>
              <w:rPr>
                <w:rFonts w:ascii="仿宋_GB2312" w:hAnsi="仿宋_GB2312" w:cs="仿宋_GB2312" w:eastAsia="仿宋_GB2312"/>
              </w:rPr>
              <w:t>根据供应商提供的对本项目的理解进行综合评分，包括以下内容： ①项目背景及现状分析； ②重难点分析及解决办法； ③系统业务结构及技术架构分析； ④系统经办流程分析； 1.供应商每提供一项以上内容的得2分，最多得8分。 2.以上单项内容符合本次采购项目的采购需求，且方案内容不存在缺陷的，每有一项内容符合加4分，最多加16分。（符合本次采购项目的采购需求，且方案内容不存在缺陷的是指不存在以下任何一种情形或多种情形：（1）本项目提供的方案中引用法律、规范、标准存在失效或错误；（2）非专门针对本项目编制或方案内容与本项目采购需求无关或方案未与采购需求对应或方案未与采购需求完全对应或不满足采购需求；（3）方案内容未结合本项目的具体需求，直接照搬采购文件中的文字表述，缺乏二次理解、深化阐述与实施转化。（4）方案过于简略，仅有标题或框架或内容停留在概念层面，缺乏量化指标或具体实施标准或操作细则）（共同评审因素）</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评分标准需提供的相关资料(磋商).docx</w:t>
            </w:r>
          </w:p>
        </w:tc>
      </w:tr>
      <w:tr>
        <w:tc>
          <w:tcPr>
            <w:tcW w:type="dxa" w:w="831"/>
            <w:vMerge/>
          </w:tcPr>
          <w:p/>
        </w:tc>
        <w:tc>
          <w:tcPr>
            <w:tcW w:type="dxa" w:w="1661"/>
          </w:tcPr>
          <w:p>
            <w:pPr>
              <w:pStyle w:val="null3"/>
              <w:jc w:val="left"/>
            </w:pPr>
            <w:r>
              <w:rPr>
                <w:rFonts w:ascii="仿宋_GB2312" w:hAnsi="仿宋_GB2312" w:cs="仿宋_GB2312" w:eastAsia="仿宋_GB2312"/>
              </w:rPr>
              <w:t>运维服务方案</w:t>
            </w:r>
          </w:p>
        </w:tc>
        <w:tc>
          <w:tcPr>
            <w:tcW w:type="dxa" w:w="2575"/>
          </w:tcPr>
          <w:p>
            <w:pPr>
              <w:pStyle w:val="null3"/>
              <w:jc w:val="left"/>
            </w:pPr>
            <w:r>
              <w:rPr>
                <w:rFonts w:ascii="仿宋_GB2312" w:hAnsi="仿宋_GB2312" w:cs="仿宋_GB2312" w:eastAsia="仿宋_GB2312"/>
              </w:rPr>
              <w:t>根据供应商提供的运维服务方案进行综合评分，包括以下内容： ①运维实施方案； ②系统风险控制方案； ③系统应急预案； ④系统安全方案； ⑤系统培训方案； ⑥能够按省级各业务主管部门要求的数据对接、数据字段、指标变更等工作任务的分析； ⑦能够按照省厅监管部门数据传输模式，实施数据动态更新上传的保障方案； ⑧能够实施地市审批系统和发放监管系统衔接，完成补贴发放的保障方案。 1.供应商每提供一项以上内容的得1分，最多得8分。 2.以上单项内容符合本次采购项目的采购需求，且方案内容不存在缺陷的，每有一项内容符合加3.5分，最多加28分。（符合本次采购项目的采购需求，且方案内容不存在缺陷的是指不存在以下任何一种情形或多种情形：（1）本项目提供的方案中引用法律、规范、标准存在失效或错误；（2）非专门针对本项目编制或方案内容与本项目采购需求无关或方案未与采购需求对应或方案未与采购需求完全对应或不满足采购需求；（3）方案内容未结合本项目的具体需求，直接照搬采购文件中的文字表述，缺乏二次理解、深化阐述与实施转化。（4）方案过于简略，仅有标题或框架或内容停留在概念层面，缺乏量化指标或具体实施标准或操作细则）（共同评审因素）</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评分标准需提供的相关资料(磋商).docx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1、项目经理：供应商拟派驻本项目的项目经理1人，若具有信息系统项目管理师（高级）证书或系统规划与管理师（高级）证书，每具有1个证书得3分，本项最高得6分，未提供不得分。 2、技术负责人：供应商拟派驻本项目的技术负责人1人，若具有信息系统项目管理师（高级）证书或系统规划与管理师（高级）证书。每具有1个证书得3分，本项最高得6分，未提供不得分。 3、其他团队人员（除项目经理、技术负责人）：供应商拟派本项目的其他团队人员每有一人若具有（1）系统集成项目管理工程师（中级）证书；（2）网络工程师（中级）证书；（3）信息安全工程师（中级）证书；（4）数据库系统工程师（中级）证书。团队人员每具有1个以上证书的得3分，未提供不得分；本项最多得12分，每类证书仅计分一次，多个人持有同一类证书的不重复计分。 注：（1）所有人员不得重复计分。（2）提供人员证书复印件并加盖供应商电子签章。（3）以上证书需提供由国家人力资源和社会保障部与工业和信息化部联合颁发的计算机技术与软件专业技术资格（水平）考试证书（共同评审因素）</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评分标准需提供的相关资料(磋商).docx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供应商提供2023年1月1日（以合同签订时间为准）至今，每提供1个类似已完成业绩（信息系统运维服务类似项目）的得2分，本项最多得6分。 注：提供完整的合同影印件、合同约定的任意一次收款时开具的发票影印件、提供的发票对应的银行收款凭证影印及验收合格的相关资料。（共同评审因素）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评分标准需提供的相关资料(磋商).docx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磋商报价得分=（磋商基准价/最后磋商报价）×10分。 注：保留小数点后两位。（共同评审因素）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本项目服务全部属于小型或微型企业提供的，供应商的响应报价给予相应百分比的扣除，用扣除后的价格参与评审。残疾人福利性单位、监狱企业视同小型、微型企业，享受同等价格扣除，但同时属于残疾人福利性单位、监狱企业和小微企业的，不重复价格扣除。（共同评审因素）</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详见附件：(磋商)需要供应商进行承诺的实质性要求的承诺函.docx</w:t>
      </w:r>
    </w:p>
    <w:p>
      <w:pPr>
        <w:pStyle w:val="null3"/>
        <w:ind w:firstLine="960"/>
        <w:jc w:val="left"/>
      </w:pPr>
      <w:r>
        <w:rPr>
          <w:rFonts w:ascii="仿宋_GB2312" w:hAnsi="仿宋_GB2312" w:cs="仿宋_GB2312" w:eastAsia="仿宋_GB2312"/>
        </w:rPr>
        <w:t>详见附件：服务要求应答表(磋商).docx</w:t>
      </w:r>
    </w:p>
    <w:p>
      <w:pPr>
        <w:pStyle w:val="null3"/>
        <w:ind w:firstLine="960"/>
        <w:jc w:val="left"/>
      </w:pPr>
      <w:r>
        <w:rPr>
          <w:rFonts w:ascii="仿宋_GB2312" w:hAnsi="仿宋_GB2312" w:cs="仿宋_GB2312" w:eastAsia="仿宋_GB2312"/>
        </w:rPr>
        <w:t>详见附件：技术要求应答表(磋商).docx</w:t>
      </w:r>
    </w:p>
    <w:p>
      <w:pPr>
        <w:pStyle w:val="null3"/>
        <w:ind w:firstLine="960"/>
        <w:jc w:val="left"/>
      </w:pPr>
      <w:r>
        <w:rPr>
          <w:rFonts w:ascii="仿宋_GB2312" w:hAnsi="仿宋_GB2312" w:cs="仿宋_GB2312" w:eastAsia="仿宋_GB2312"/>
        </w:rPr>
        <w:t>详见附件：评分标准需提供的相关资料(磋商).docx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