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版本号：N510001202600049720260413001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2026年馆藏民国档案著录质检项目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N5100012026000497</w:t>
      </w:r>
    </w:p>
    <w:p>
      <w:pPr>
        <w:pStyle w:val="null3"/>
        <w:jc w:val="left"/>
        <w:outlineLvl w:val="2"/>
      </w:pPr>
      <w:r>
        <w:rPr>
          <w:rFonts w:ascii="仿宋_GB2312" w:hAnsi="仿宋_GB2312" w:cs="仿宋_GB2312" w:eastAsia="仿宋_GB2312"/>
          <w:sz w:val="28"/>
          <w:b/>
        </w:rPr>
        <w:t>四川省档案馆</w:t>
      </w:r>
    </w:p>
    <w:p>
      <w:pPr>
        <w:pStyle w:val="null3"/>
        <w:jc w:val="center"/>
        <w:outlineLvl w:val="2"/>
      </w:pPr>
      <w:r>
        <w:rPr>
          <w:rFonts w:ascii="仿宋_GB2312" w:hAnsi="仿宋_GB2312" w:cs="仿宋_GB2312" w:eastAsia="仿宋_GB2312"/>
          <w:sz w:val="28"/>
          <w:b/>
        </w:rPr>
        <w:t>四川省兴华工程项目管理有限公司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四川省兴华工程项目管理有限公司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四川省档案馆</w:t>
      </w:r>
      <w:r>
        <w:rPr>
          <w:rFonts w:ascii="仿宋_GB2312" w:hAnsi="仿宋_GB2312" w:cs="仿宋_GB2312" w:eastAsia="仿宋_GB2312"/>
        </w:rPr>
        <w:t xml:space="preserve"> 委托，拟对 </w:t>
      </w:r>
      <w:r>
        <w:rPr>
          <w:rFonts w:ascii="仿宋_GB2312" w:hAnsi="仿宋_GB2312" w:cs="仿宋_GB2312" w:eastAsia="仿宋_GB2312"/>
        </w:rPr>
        <w:t>2026年馆藏民国档案著录质检项目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N5100012026000497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2026年馆藏民国档案著录质检项目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对2026年完成的206万件民国档案目录著录成果的数据格式进行100%检查；对形成的目录内容进行质检，质检数量不少于34.48万件（其中：2026年馆藏民国档案数字化与著录项目中的96万件著录成果，质检比例不低于13%；2025年国家重点档案基础建设任务项目形成的110万件著录成果，质检比例不低于20%）。</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在近5年内（2021年服务工作中以来）从事档案服务工作中无安全责任事故及其它违反国家法律法规的行为。（描述：投标人应在近5年内（2021年以来）从事档案无安全责任事故及其它违反国家法律法规的行为，需提供承诺函。）</w:t>
      </w:r>
    </w:p>
    <w:p>
      <w:pPr>
        <w:pStyle w:val="null3"/>
        <w:jc w:val="left"/>
      </w:pPr>
      <w:r>
        <w:rPr>
          <w:rFonts w:ascii="仿宋_GB2312" w:hAnsi="仿宋_GB2312" w:cs="仿宋_GB2312" w:eastAsia="仿宋_GB2312"/>
        </w:rPr>
        <w:t>2、投标人应具有国家保密局颁发的国家秘密载体印制乙级及以上资质证书（涉密档案数字化加工类）（描述：投标人应提供在有效期内的国家保密局颁发的国家秘密载体印制乙级及以上资质证书复印件（涉密档案数字化加工类）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四川省成都市金牛区花牌坊街191号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87661974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四川省兴华工程项目管理有限公司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成都市青羊区大石西路80号禾嘉商务楼4楼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028-86118826转8012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验收合格后一年内无质量问题退回</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代理服务费收费标准：采购代理服务费由中标（成交）人支付，参照原《招标代理服务收费管理暂行办法》（计价格〔2002〕1980号）规定的收费标准下浮20%执行，即按该标准计算金额的80%收取。 约定由中标、成交供应商支付代理服务费，乙方应当在采购文件中明确告知供应商。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四川省档案馆</w:t>
      </w:r>
      <w:r>
        <w:rPr>
          <w:rFonts w:ascii="仿宋_GB2312" w:hAnsi="仿宋_GB2312" w:cs="仿宋_GB2312" w:eastAsia="仿宋_GB2312"/>
        </w:rPr>
        <w:t xml:space="preserve"> 和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财政部关于进一步加强政府采购需求和履约验收管理的指导意见》（财库〔2016〕205号）以及《政府采购需求管理办法》（财库〔2021〕22号）、采购文件规定的要求和响应文件、合同承诺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财政部关于进一步加强政府采购需求和履约验收管理的指导意见》（财库〔2016〕205号）以及《政府采购需求管理办法》（财库〔2021〕22号）、采购文件规定的要求和响应文件、合同承诺等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四川省档案馆</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联系电话：028-87661974</w:t>
      </w:r>
    </w:p>
    <w:p>
      <w:pPr>
        <w:pStyle w:val="null3"/>
        <w:jc w:val="left"/>
      </w:pPr>
      <w:r>
        <w:rPr>
          <w:rFonts w:ascii="仿宋_GB2312" w:hAnsi="仿宋_GB2312" w:cs="仿宋_GB2312" w:eastAsia="仿宋_GB2312"/>
        </w:rPr>
        <w:t>地址：四川省成都市金牛区花牌坊街191号</w:t>
      </w:r>
    </w:p>
    <w:p>
      <w:pPr>
        <w:pStyle w:val="null3"/>
        <w:jc w:val="left"/>
      </w:pPr>
      <w:r>
        <w:rPr>
          <w:rFonts w:ascii="仿宋_GB2312" w:hAnsi="仿宋_GB2312" w:cs="仿宋_GB2312" w:eastAsia="仿宋_GB2312"/>
        </w:rPr>
        <w:t>邮编：610031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联系电话：028-86118826</w:t>
      </w:r>
    </w:p>
    <w:p>
      <w:pPr>
        <w:pStyle w:val="null3"/>
        <w:jc w:val="left"/>
      </w:pPr>
      <w:r>
        <w:rPr>
          <w:rFonts w:ascii="仿宋_GB2312" w:hAnsi="仿宋_GB2312" w:cs="仿宋_GB2312" w:eastAsia="仿宋_GB2312"/>
        </w:rPr>
        <w:t>地址：成都市青羊区大石西路80号禾嘉商务楼4楼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336,000.00</w:t>
      </w:r>
    </w:p>
    <w:p>
      <w:pPr>
        <w:pStyle w:val="null3"/>
        <w:jc w:val="left"/>
      </w:pPr>
      <w:r>
        <w:rPr>
          <w:rFonts w:ascii="仿宋_GB2312" w:hAnsi="仿宋_GB2312" w:cs="仿宋_GB2312" w:eastAsia="仿宋_GB2312"/>
        </w:rPr>
        <w:t>采购包最高限价（元）: 336,000.00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馆藏民国档案目录著录质检</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馆藏民国档案目录著录质检</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标的名称：馆藏民国档案目录著录质检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项目主要任务</w:t>
            </w:r>
          </w:p>
        </w:tc>
        <w:tc>
          <w:tcPr>
            <w:tcW w:type="dxa" w:w="5814"/>
          </w:tcPr>
          <w:p>
            <w:pPr>
              <w:pStyle w:val="null3"/>
              <w:spacing w:after="120"/>
              <w:ind w:right="195" w:firstLine="566"/>
              <w:jc w:val="both"/>
            </w:pPr>
            <w:r>
              <w:rPr>
                <w:rFonts w:ascii="仿宋_GB2312" w:hAnsi="仿宋_GB2312" w:cs="仿宋_GB2312" w:eastAsia="仿宋_GB2312"/>
              </w:rPr>
              <w:t>对2026年完成的206万件民国档案目录著录成果的数据格式进行100%检查；对形成的目录内容进行质检，质检数量不少于34.48万件（其中：2026年馆藏民国档案数字化与著录项目中的96万件著录成果，质检比例不低于13%；2025年国家重点档案基础建设任务项目形成的110万件著录成果，质检比例不低于20%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项目总体要求</w:t>
            </w:r>
          </w:p>
        </w:tc>
        <w:tc>
          <w:tcPr>
            <w:tcW w:type="dxa" w:w="5814"/>
          </w:tcPr>
          <w:p>
            <w:pPr>
              <w:pStyle w:val="null3"/>
              <w:ind w:firstLine="480"/>
              <w:jc w:val="both"/>
            </w:pPr>
            <w:r>
              <w:rPr>
                <w:rFonts w:ascii="仿宋_GB2312" w:hAnsi="仿宋_GB2312" w:cs="仿宋_GB2312" w:eastAsia="仿宋_GB2312"/>
              </w:rPr>
              <w:t>1.对2026年完成的206万件民国档案目录著录成果的数据格式进行100%检查；对形成的目录内容进行质检，质检数量不少于34.48万件。</w:t>
            </w:r>
          </w:p>
          <w:p>
            <w:pPr>
              <w:pStyle w:val="null3"/>
              <w:jc w:val="left"/>
            </w:pPr>
            <w:r>
              <w:rPr>
                <w:rFonts w:ascii="仿宋_GB2312" w:hAnsi="仿宋_GB2312" w:cs="仿宋_GB2312" w:eastAsia="仿宋_GB2312"/>
              </w:rPr>
              <w:t>2.本项目不得转包、分包，如有不符，采购人有权立即终止合同。</w:t>
            </w:r>
          </w:p>
          <w:p>
            <w:pPr>
              <w:pStyle w:val="null3"/>
              <w:jc w:val="left"/>
            </w:pPr>
            <w:r>
              <w:rPr>
                <w:rFonts w:ascii="仿宋_GB2312" w:hAnsi="仿宋_GB2312" w:cs="仿宋_GB2312" w:eastAsia="仿宋_GB2312"/>
              </w:rPr>
              <w:t>3.投标人在签订合同后如需要更换项目经理或项目操作人员，替换人员也应当具备相同的任职资格或培训证书，并且经采购人同意后才能更换，否则采购人有权终止合同。</w:t>
            </w:r>
          </w:p>
          <w:p>
            <w:pPr>
              <w:pStyle w:val="null3"/>
              <w:jc w:val="left"/>
            </w:pPr>
            <w:r>
              <w:rPr>
                <w:rFonts w:ascii="仿宋_GB2312" w:hAnsi="仿宋_GB2312" w:cs="仿宋_GB2312" w:eastAsia="仿宋_GB2312"/>
              </w:rPr>
              <w:t>4.投标人需拥有能熟练掌握档案著录的员工参与本项目；中标人所有参与本项目工作人员必须接受采购人档案著录专业人员岗前测试，以决定其是否能从事本项目任务；如档案工作人员与投标时的承诺不符，并且测试合格率未达到95%以上，采购人有权终止合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ind w:firstLine="602"/>
              <w:jc w:val="both"/>
            </w:pPr>
            <w:r>
              <w:rPr>
                <w:rFonts w:ascii="仿宋_GB2312" w:hAnsi="仿宋_GB2312" w:cs="仿宋_GB2312" w:eastAsia="仿宋_GB2312"/>
              </w:rPr>
              <w:t>1.目录数据格式检查</w:t>
            </w:r>
          </w:p>
          <w:p>
            <w:pPr>
              <w:pStyle w:val="null3"/>
              <w:jc w:val="left"/>
            </w:pPr>
            <w:r>
              <w:rPr>
                <w:rFonts w:ascii="仿宋_GB2312" w:hAnsi="仿宋_GB2312" w:cs="仿宋_GB2312" w:eastAsia="仿宋_GB2312"/>
              </w:rPr>
              <w:t>数据格式是否规范、齐全、完整。重点检查目录格式是否规范；必要著录项是否填写；著录项目填写格式是否准确；档号、文件题名是否重复等。</w:t>
            </w:r>
          </w:p>
          <w:p>
            <w:pPr>
              <w:pStyle w:val="null3"/>
              <w:jc w:val="left"/>
            </w:pPr>
            <w:r>
              <w:rPr>
                <w:rFonts w:ascii="仿宋_GB2312" w:hAnsi="仿宋_GB2312" w:cs="仿宋_GB2312" w:eastAsia="仿宋_GB2312"/>
              </w:rPr>
              <w:t>2.目录内容准确性检查</w:t>
            </w:r>
          </w:p>
          <w:p>
            <w:pPr>
              <w:pStyle w:val="null3"/>
              <w:jc w:val="left"/>
            </w:pPr>
            <w:r>
              <w:rPr>
                <w:rFonts w:ascii="仿宋_GB2312" w:hAnsi="仿宋_GB2312" w:cs="仿宋_GB2312" w:eastAsia="仿宋_GB2312"/>
              </w:rPr>
              <w:t>（1）目录数据所有必要著录项目是否已按要求进行著录，有无错项和漏项。检查全宗号、目录号、案卷号、档号、题名、起始时间、终止时间、责任者、页数等著录信息与档案内容是否一致。</w:t>
            </w:r>
          </w:p>
          <w:p>
            <w:pPr>
              <w:pStyle w:val="null3"/>
              <w:jc w:val="left"/>
            </w:pPr>
            <w:r>
              <w:rPr>
                <w:rFonts w:ascii="仿宋_GB2312" w:hAnsi="仿宋_GB2312" w:cs="仿宋_GB2312" w:eastAsia="仿宋_GB2312"/>
              </w:rPr>
              <w:t>（2）档案分件是否准确，分件起止页码与数字化档案的页码是否对应。</w:t>
            </w:r>
          </w:p>
          <w:p>
            <w:pPr>
              <w:pStyle w:val="null3"/>
              <w:jc w:val="left"/>
            </w:pPr>
            <w:r>
              <w:rPr>
                <w:rFonts w:ascii="仿宋_GB2312" w:hAnsi="仿宋_GB2312" w:cs="仿宋_GB2312" w:eastAsia="仿宋_GB2312"/>
              </w:rPr>
              <w:t>（3）题名是否符合著录要求。检查案卷和文件题名是否清晰，要素是否完整，是否准确揭示档案内容。</w:t>
            </w:r>
          </w:p>
          <w:p>
            <w:pPr>
              <w:pStyle w:val="null3"/>
              <w:jc w:val="left"/>
            </w:pPr>
            <w:r>
              <w:rPr>
                <w:rFonts w:ascii="仿宋_GB2312" w:hAnsi="仿宋_GB2312" w:cs="仿宋_GB2312" w:eastAsia="仿宋_GB2312"/>
              </w:rPr>
              <w:t>（4）著录项内容是否规范。检查著录内容是否有错漏字，时间格式、数字格式、机构简称等是否符合要求。</w:t>
            </w:r>
          </w:p>
          <w:p>
            <w:pPr>
              <w:pStyle w:val="null3"/>
              <w:jc w:val="left"/>
            </w:pPr>
            <w:r>
              <w:rPr>
                <w:rFonts w:ascii="仿宋_GB2312" w:hAnsi="仿宋_GB2312" w:cs="仿宋_GB2312" w:eastAsia="仿宋_GB2312"/>
              </w:rPr>
              <w:t>（5）控制使用标识填写是否正确。检查应控制使用档案是否已按要求标注控制使用标识，以及非控制使用档案是否存在按控制使用档案进行标注的问题。</w:t>
            </w:r>
          </w:p>
          <w:p>
            <w:pPr>
              <w:pStyle w:val="null3"/>
              <w:jc w:val="left"/>
            </w:pPr>
            <w:r>
              <w:rPr>
                <w:rFonts w:ascii="仿宋_GB2312" w:hAnsi="仿宋_GB2312" w:cs="仿宋_GB2312" w:eastAsia="仿宋_GB2312"/>
              </w:rPr>
              <w:t>3.质检结果反馈</w:t>
            </w:r>
          </w:p>
          <w:p>
            <w:pPr>
              <w:pStyle w:val="null3"/>
              <w:jc w:val="left"/>
            </w:pPr>
            <w:r>
              <w:rPr>
                <w:rFonts w:ascii="仿宋_GB2312" w:hAnsi="仿宋_GB2312" w:cs="仿宋_GB2312" w:eastAsia="仿宋_GB2312"/>
              </w:rPr>
              <w:t>（1）记录质检详情，包含质检目录信息、错误信息等，认真整理并妥善保存项目工作中形成的有关材料和记录。</w:t>
            </w:r>
          </w:p>
          <w:p>
            <w:pPr>
              <w:pStyle w:val="null3"/>
              <w:jc w:val="left"/>
            </w:pPr>
            <w:r>
              <w:rPr>
                <w:rFonts w:ascii="仿宋_GB2312" w:hAnsi="仿宋_GB2312" w:cs="仿宋_GB2312" w:eastAsia="仿宋_GB2312"/>
              </w:rPr>
              <w:t>（2）对于目录数据的质检结果，需定期反馈招标方。</w:t>
            </w:r>
          </w:p>
          <w:p>
            <w:pPr>
              <w:pStyle w:val="null3"/>
              <w:jc w:val="left"/>
            </w:pPr>
            <w:r>
              <w:rPr>
                <w:rFonts w:ascii="仿宋_GB2312" w:hAnsi="仿宋_GB2312" w:cs="仿宋_GB2312" w:eastAsia="仿宋_GB2312"/>
              </w:rPr>
              <w:t>（3）质检工作完成后，出具项目报告。</w:t>
            </w:r>
          </w:p>
          <w:p>
            <w:pPr>
              <w:pStyle w:val="null3"/>
              <w:jc w:val="left"/>
            </w:pPr>
            <w:r>
              <w:rPr>
                <w:rFonts w:ascii="仿宋_GB2312" w:hAnsi="仿宋_GB2312" w:cs="仿宋_GB2312" w:eastAsia="仿宋_GB2312"/>
              </w:rPr>
              <w:t>4.其他</w:t>
            </w:r>
          </w:p>
          <w:p>
            <w:pPr>
              <w:pStyle w:val="null3"/>
              <w:jc w:val="left"/>
            </w:pPr>
            <w:r>
              <w:rPr>
                <w:rFonts w:ascii="仿宋_GB2312" w:hAnsi="仿宋_GB2312" w:cs="仿宋_GB2312" w:eastAsia="仿宋_GB2312"/>
              </w:rPr>
              <w:t>（1）供应商应对质检数据的安全负责，定期做好数据备份。</w:t>
            </w:r>
          </w:p>
          <w:p>
            <w:pPr>
              <w:pStyle w:val="null3"/>
              <w:jc w:val="left"/>
            </w:pPr>
            <w:r>
              <w:rPr>
                <w:rFonts w:ascii="仿宋_GB2312" w:hAnsi="仿宋_GB2312" w:cs="仿宋_GB2312" w:eastAsia="仿宋_GB2312"/>
              </w:rPr>
              <w:t>（2）采购方分阶段、分批次接收供应商完成质检的数据，并对其进行抽检，若正确率达不到99.7%，需进行返工，且对不合格条目再次检查时，该条目不计入质检工作量，直至达到相关标准要求为止。</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完成质量要求</w:t>
            </w:r>
          </w:p>
        </w:tc>
        <w:tc>
          <w:tcPr>
            <w:tcW w:type="dxa" w:w="5814"/>
          </w:tcPr>
          <w:p>
            <w:pPr>
              <w:pStyle w:val="null3"/>
              <w:ind w:firstLine="602"/>
              <w:jc w:val="both"/>
            </w:pPr>
            <w:r>
              <w:rPr>
                <w:rFonts w:ascii="仿宋_GB2312" w:hAnsi="仿宋_GB2312" w:cs="仿宋_GB2312" w:eastAsia="仿宋_GB2312"/>
              </w:rPr>
              <w:t>1.总体要求民国档案著录必须符合国家档案著录技术规范及四川省档案馆档案著录相关技术标准。</w:t>
            </w:r>
          </w:p>
          <w:p>
            <w:pPr>
              <w:pStyle w:val="null3"/>
              <w:jc w:val="left"/>
            </w:pPr>
            <w:r>
              <w:rPr>
                <w:rFonts w:ascii="仿宋_GB2312" w:hAnsi="仿宋_GB2312" w:cs="仿宋_GB2312" w:eastAsia="仿宋_GB2312"/>
              </w:rPr>
              <w:t>2.目录条目内容数据抽检数量不能低于34.48万件。</w:t>
            </w:r>
          </w:p>
          <w:p>
            <w:pPr>
              <w:pStyle w:val="null3"/>
              <w:jc w:val="left"/>
            </w:pPr>
            <w:r>
              <w:rPr>
                <w:rFonts w:ascii="仿宋_GB2312" w:hAnsi="仿宋_GB2312" w:cs="仿宋_GB2312" w:eastAsia="仿宋_GB2312"/>
              </w:rPr>
              <w:t>3.完成质检的数据，经采购方对其进行抽检，正确率达到99.7%。</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安全保障要求</w:t>
            </w:r>
          </w:p>
        </w:tc>
        <w:tc>
          <w:tcPr>
            <w:tcW w:type="dxa" w:w="5814"/>
          </w:tcPr>
          <w:p>
            <w:pPr>
              <w:pStyle w:val="null3"/>
              <w:ind w:firstLine="602"/>
              <w:jc w:val="both"/>
            </w:pPr>
            <w:r>
              <w:rPr>
                <w:rFonts w:ascii="仿宋_GB2312" w:hAnsi="仿宋_GB2312" w:cs="仿宋_GB2312" w:eastAsia="仿宋_GB2312"/>
              </w:rPr>
              <w:t>1.供应商须严格遵守《中华人民共和国档案法》、国家档案管理相关规定，本项目相关工作必须在采购方指定的场所内进行，并确保场所正常秩序和安全。</w:t>
            </w:r>
          </w:p>
          <w:p>
            <w:pPr>
              <w:pStyle w:val="null3"/>
              <w:jc w:val="left"/>
            </w:pPr>
            <w:r>
              <w:rPr>
                <w:rFonts w:ascii="仿宋_GB2312" w:hAnsi="仿宋_GB2312" w:cs="仿宋_GB2312" w:eastAsia="仿宋_GB2312"/>
              </w:rPr>
              <w:t>2.供应商应加强信息安全管理，确保项目实施过程中系统的绝对安全，若因供应商原因，造成采购方数据遭受破坏，采购方将视情节轻重给予处理：轻者经济赔偿，重者将追究供应商的法律责任，同时采购方有权立即终止合同。</w:t>
            </w:r>
          </w:p>
          <w:p>
            <w:pPr>
              <w:pStyle w:val="null3"/>
              <w:jc w:val="left"/>
            </w:pPr>
            <w:r>
              <w:rPr>
                <w:rFonts w:ascii="仿宋_GB2312" w:hAnsi="仿宋_GB2312" w:cs="仿宋_GB2312" w:eastAsia="仿宋_GB2312"/>
              </w:rPr>
              <w:t>3.供应商应与采购方签订安全承诺书，并在进场前对所有工作人员开展安全培训。</w:t>
            </w:r>
          </w:p>
          <w:p>
            <w:pPr>
              <w:pStyle w:val="null3"/>
              <w:jc w:val="left"/>
            </w:pPr>
            <w:r>
              <w:rPr>
                <w:rFonts w:ascii="仿宋_GB2312" w:hAnsi="仿宋_GB2312" w:cs="仿宋_GB2312" w:eastAsia="仿宋_GB2312"/>
              </w:rPr>
              <w:t>4.供应商应与采购方签订保密协议，同时应做到：</w:t>
            </w:r>
          </w:p>
          <w:p>
            <w:pPr>
              <w:pStyle w:val="null3"/>
              <w:jc w:val="left"/>
            </w:pPr>
            <w:r>
              <w:rPr>
                <w:rFonts w:ascii="仿宋_GB2312" w:hAnsi="仿宋_GB2312" w:cs="仿宋_GB2312" w:eastAsia="仿宋_GB2312"/>
              </w:rPr>
              <w:t>（1）与项目工作人员签订保密协议，加强对工作人员的保密教育。</w:t>
            </w:r>
          </w:p>
          <w:p>
            <w:pPr>
              <w:pStyle w:val="null3"/>
              <w:jc w:val="left"/>
            </w:pPr>
            <w:r>
              <w:rPr>
                <w:rFonts w:ascii="仿宋_GB2312" w:hAnsi="仿宋_GB2312" w:cs="仿宋_GB2312" w:eastAsia="仿宋_GB2312"/>
              </w:rPr>
              <w:t>（2）建立严格的保密制度，加强管理，杜绝工作人员对档案数据的私自复制、传播等行为。</w:t>
            </w:r>
          </w:p>
          <w:p>
            <w:pPr>
              <w:pStyle w:val="null3"/>
              <w:jc w:val="left"/>
            </w:pPr>
            <w:r>
              <w:rPr>
                <w:rFonts w:ascii="仿宋_GB2312" w:hAnsi="仿宋_GB2312" w:cs="仿宋_GB2312" w:eastAsia="仿宋_GB2312"/>
              </w:rPr>
              <w:t>（3）杜绝泄密事故的发生。在质检工作过程中，供应商不能删除、损毁档案数据。由于供应商导致档案数据损毁或泄密的，供应商承担一切责任。</w:t>
            </w:r>
          </w:p>
          <w:p>
            <w:pPr>
              <w:pStyle w:val="null3"/>
              <w:jc w:val="left"/>
            </w:pPr>
            <w:r>
              <w:rPr>
                <w:rFonts w:ascii="仿宋_GB2312" w:hAnsi="仿宋_GB2312" w:cs="仿宋_GB2312" w:eastAsia="仿宋_GB2312"/>
              </w:rPr>
              <w:t>（4）供应商对质检工作的各个环节均应进行详细的登记，在质检工作完成的同时建立起完整、规范的记录，项目验收时应提交工作记录等资料。</w:t>
            </w:r>
          </w:p>
          <w:p>
            <w:pPr>
              <w:pStyle w:val="null3"/>
              <w:jc w:val="left"/>
            </w:pPr>
            <w:r>
              <w:rPr>
                <w:rFonts w:ascii="仿宋_GB2312" w:hAnsi="仿宋_GB2312" w:cs="仿宋_GB2312" w:eastAsia="仿宋_GB2312"/>
              </w:rPr>
              <w:t>（5）不得在工作场所使用与工作无关的任何电器设备，如笔记本电脑、手机、平板、照相机、摄像机、MP3、MP4及移动存储介质等。</w:t>
            </w:r>
          </w:p>
          <w:p>
            <w:pPr>
              <w:pStyle w:val="null3"/>
              <w:jc w:val="left"/>
            </w:pPr>
            <w:r>
              <w:rPr>
                <w:rFonts w:ascii="仿宋_GB2312" w:hAnsi="仿宋_GB2312" w:cs="仿宋_GB2312" w:eastAsia="仿宋_GB2312"/>
              </w:rPr>
              <w:t>（6）本项目实施过程中，如违反上述“（2）～（5）”要求规定两人次(含)，扣除履约保证金的10%。</w:t>
            </w:r>
          </w:p>
          <w:p>
            <w:pPr>
              <w:pStyle w:val="null3"/>
              <w:jc w:val="left"/>
            </w:pPr>
            <w:r>
              <w:rPr>
                <w:rFonts w:ascii="仿宋_GB2312" w:hAnsi="仿宋_GB2312" w:cs="仿宋_GB2312" w:eastAsia="仿宋_GB2312"/>
              </w:rPr>
              <w:t>（7）项目完成后，双方对本项目的数据资料均须承担保密责任。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301"/>
              <w:jc w:val="both"/>
            </w:pPr>
            <w:r>
              <w:rPr>
                <w:rFonts w:ascii="仿宋_GB2312" w:hAnsi="仿宋_GB2312" w:cs="仿宋_GB2312" w:eastAsia="仿宋_GB2312"/>
              </w:rPr>
              <w:t>1.严禁泄露档案内容，采购方与供应商签订保密协议，供应商不能保存或带走任何档案数字化图像和目录数据。</w:t>
            </w:r>
          </w:p>
          <w:p>
            <w:pPr>
              <w:pStyle w:val="null3"/>
              <w:jc w:val="left"/>
            </w:pPr>
            <w:r>
              <w:rPr>
                <w:rFonts w:ascii="仿宋_GB2312" w:hAnsi="仿宋_GB2312" w:cs="仿宋_GB2312" w:eastAsia="仿宋_GB2312"/>
              </w:rPr>
              <w:t>2.供应商要确保档案数据的绝对安全，进场前所有工作人员要签订保密协议，进场后接受保密教育，严禁将笔记本电脑、手机、平板、照相机、MP3、MP4及移动存储介质及打印输出设备带入工作场所。采购方提供个人物品寄存箱等设施，严禁将烟火、茶水饮料、食物等物品带入工作场所。如造成档案数据损坏、损毁、外泄、档案信息泄密事件，采购方将依法追究民事、刑事责任。</w:t>
            </w:r>
          </w:p>
          <w:p>
            <w:pPr>
              <w:pStyle w:val="null3"/>
              <w:jc w:val="left"/>
            </w:pPr>
            <w:r>
              <w:rPr>
                <w:rFonts w:ascii="仿宋_GB2312" w:hAnsi="仿宋_GB2312" w:cs="仿宋_GB2312" w:eastAsia="仿宋_GB2312"/>
              </w:rPr>
              <w:t>3.质检工作现场要布置协调、整齐，供应商名称、工作区域均标识清楚，管理有序，工作人员要求统一着装，挂牌上岗，并遵守采购方各项规章制度。</w:t>
            </w:r>
          </w:p>
          <w:p>
            <w:pPr>
              <w:pStyle w:val="null3"/>
              <w:jc w:val="left"/>
            </w:pPr>
            <w:r>
              <w:rPr>
                <w:rFonts w:ascii="仿宋_GB2312" w:hAnsi="仿宋_GB2312" w:cs="仿宋_GB2312" w:eastAsia="仿宋_GB2312"/>
              </w:rPr>
              <w:t>4.现场工作人员要求</w:t>
            </w:r>
          </w:p>
          <w:p>
            <w:pPr>
              <w:pStyle w:val="null3"/>
              <w:jc w:val="left"/>
            </w:pPr>
            <w:r>
              <w:rPr>
                <w:rFonts w:ascii="仿宋_GB2312" w:hAnsi="仿宋_GB2312" w:cs="仿宋_GB2312" w:eastAsia="仿宋_GB2312"/>
              </w:rPr>
              <w:t>（1）加强信息安全管理，自觉维护档案数据的安全。</w:t>
            </w:r>
          </w:p>
          <w:p>
            <w:pPr>
              <w:pStyle w:val="null3"/>
              <w:jc w:val="left"/>
            </w:pPr>
            <w:r>
              <w:rPr>
                <w:rFonts w:ascii="仿宋_GB2312" w:hAnsi="仿宋_GB2312" w:cs="仿宋_GB2312" w:eastAsia="仿宋_GB2312"/>
              </w:rPr>
              <w:t>（2）不得对外传播档案内容，员工之间不得谈论档案内容。</w:t>
            </w:r>
          </w:p>
          <w:p>
            <w:pPr>
              <w:pStyle w:val="null3"/>
              <w:jc w:val="left"/>
            </w:pPr>
            <w:r>
              <w:rPr>
                <w:rFonts w:ascii="仿宋_GB2312" w:hAnsi="仿宋_GB2312" w:cs="仿宋_GB2312" w:eastAsia="仿宋_GB2312"/>
              </w:rPr>
              <w:t>（3）严禁将烟火、茶水饮料、食物等带入工作现场。</w:t>
            </w:r>
          </w:p>
          <w:p>
            <w:pPr>
              <w:pStyle w:val="null3"/>
              <w:jc w:val="left"/>
            </w:pPr>
            <w:r>
              <w:rPr>
                <w:rFonts w:ascii="仿宋_GB2312" w:hAnsi="仿宋_GB2312" w:cs="仿宋_GB2312" w:eastAsia="仿宋_GB2312"/>
              </w:rPr>
              <w:t>（4）严格遵守劳动纪律，工作时不能传播、打探与工作无关的信息。</w:t>
            </w:r>
          </w:p>
          <w:p>
            <w:pPr>
              <w:pStyle w:val="null3"/>
              <w:jc w:val="left"/>
            </w:pPr>
            <w:r>
              <w:rPr>
                <w:rFonts w:ascii="仿宋_GB2312" w:hAnsi="仿宋_GB2312" w:cs="仿宋_GB2312" w:eastAsia="仿宋_GB2312"/>
              </w:rPr>
              <w:t>（5）自觉维持良好的工作环境，保持工作区清洁整齐，用具、设备摆放有序。定期打扫卫生，定期清理垃圾。</w:t>
            </w:r>
          </w:p>
          <w:p>
            <w:pPr>
              <w:pStyle w:val="null3"/>
              <w:jc w:val="left"/>
            </w:pPr>
            <w:r>
              <w:rPr>
                <w:rFonts w:ascii="仿宋_GB2312" w:hAnsi="仿宋_GB2312" w:cs="仿宋_GB2312" w:eastAsia="仿宋_GB2312"/>
              </w:rPr>
              <w:t>5.供应商进场后，采购方提供的设施设备移交给供应商使用，供应商只有使用权，供应商要做好设施设备的安全使用和维护保养工作。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项目技术标准</w:t>
            </w:r>
          </w:p>
        </w:tc>
        <w:tc>
          <w:tcPr>
            <w:tcW w:type="dxa" w:w="5814"/>
          </w:tcPr>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left"/>
                  </w:pPr>
                  <w:r>
                    <w:rPr>
                      <w:rFonts w:ascii="仿宋_GB2312" w:hAnsi="仿宋_GB2312" w:cs="仿宋_GB2312" w:eastAsia="仿宋_GB2312"/>
                    </w:rPr>
                    <w:t>序号</w:t>
                  </w:r>
                </w:p>
              </w:tc>
              <w:tc>
                <w:tcPr>
                  <w:tcW w:type="dxa" w:w="1866"/>
                </w:tcPr>
                <w:p>
                  <w:pPr>
                    <w:pStyle w:val="null3"/>
                    <w:jc w:val="left"/>
                  </w:pPr>
                  <w:r>
                    <w:rPr>
                      <w:rFonts w:ascii="仿宋_GB2312" w:hAnsi="仿宋_GB2312" w:cs="仿宋_GB2312" w:eastAsia="仿宋_GB2312"/>
                    </w:rPr>
                    <w:t>标准名称</w:t>
                  </w:r>
                </w:p>
              </w:tc>
              <w:tc>
                <w:tcPr>
                  <w:tcW w:type="dxa" w:w="1866"/>
                </w:tcPr>
                <w:p>
                  <w:pPr>
                    <w:pStyle w:val="null3"/>
                    <w:jc w:val="left"/>
                  </w:pPr>
                  <w:r>
                    <w:rPr>
                      <w:rFonts w:ascii="仿宋_GB2312" w:hAnsi="仿宋_GB2312" w:cs="仿宋_GB2312" w:eastAsia="仿宋_GB2312"/>
                    </w:rPr>
                    <w:t>标准代号</w:t>
                  </w:r>
                </w:p>
              </w:tc>
            </w:tr>
            <w:tr>
              <w:tc>
                <w:tcPr>
                  <w:tcW w:type="dxa" w:w="1866"/>
                </w:tcPr>
                <w:p>
                  <w:pPr>
                    <w:pStyle w:val="null3"/>
                    <w:jc w:val="left"/>
                  </w:pPr>
                  <w:r>
                    <w:rPr>
                      <w:rFonts w:ascii="仿宋_GB2312" w:hAnsi="仿宋_GB2312" w:cs="仿宋_GB2312" w:eastAsia="仿宋_GB2312"/>
                    </w:rPr>
                    <w:t>1</w:t>
                  </w:r>
                </w:p>
              </w:tc>
              <w:tc>
                <w:tcPr>
                  <w:tcW w:type="dxa" w:w="1866"/>
                </w:tcPr>
                <w:p>
                  <w:pPr>
                    <w:pStyle w:val="null3"/>
                    <w:jc w:val="left"/>
                  </w:pPr>
                  <w:r>
                    <w:rPr>
                      <w:rFonts w:ascii="仿宋_GB2312" w:hAnsi="仿宋_GB2312" w:cs="仿宋_GB2312" w:eastAsia="仿宋_GB2312"/>
                    </w:rPr>
                    <w:t>文献著录总则</w:t>
                  </w:r>
                </w:p>
              </w:tc>
              <w:tc>
                <w:tcPr>
                  <w:tcW w:type="dxa" w:w="1866"/>
                </w:tcPr>
                <w:p>
                  <w:pPr>
                    <w:pStyle w:val="null3"/>
                    <w:jc w:val="left"/>
                  </w:pPr>
                  <w:r>
                    <w:rPr>
                      <w:rFonts w:ascii="仿宋_GB2312" w:hAnsi="仿宋_GB2312" w:cs="仿宋_GB2312" w:eastAsia="仿宋_GB2312"/>
                    </w:rPr>
                    <w:t>GB/ T3792.1-2009</w:t>
                  </w:r>
                </w:p>
              </w:tc>
            </w:tr>
            <w:tr>
              <w:tc>
                <w:tcPr>
                  <w:tcW w:type="dxa" w:w="1866"/>
                </w:tcPr>
                <w:p>
                  <w:pPr>
                    <w:pStyle w:val="null3"/>
                    <w:jc w:val="left"/>
                  </w:pPr>
                  <w:r>
                    <w:rPr>
                      <w:rFonts w:ascii="仿宋_GB2312" w:hAnsi="仿宋_GB2312" w:cs="仿宋_GB2312" w:eastAsia="仿宋_GB2312"/>
                    </w:rPr>
                    <w:t>2</w:t>
                  </w:r>
                </w:p>
              </w:tc>
              <w:tc>
                <w:tcPr>
                  <w:tcW w:type="dxa" w:w="1866"/>
                </w:tcPr>
                <w:p>
                  <w:pPr>
                    <w:pStyle w:val="null3"/>
                    <w:jc w:val="left"/>
                  </w:pPr>
                  <w:r>
                    <w:rPr>
                      <w:rFonts w:ascii="仿宋_GB2312" w:hAnsi="仿宋_GB2312" w:cs="仿宋_GB2312" w:eastAsia="仿宋_GB2312"/>
                    </w:rPr>
                    <w:t>档案著录规则</w:t>
                  </w:r>
                </w:p>
              </w:tc>
              <w:tc>
                <w:tcPr>
                  <w:tcW w:type="dxa" w:w="1866"/>
                </w:tcPr>
                <w:p>
                  <w:pPr>
                    <w:pStyle w:val="null3"/>
                    <w:jc w:val="left"/>
                  </w:pPr>
                  <w:r>
                    <w:rPr>
                      <w:rFonts w:ascii="仿宋_GB2312" w:hAnsi="仿宋_GB2312" w:cs="仿宋_GB2312" w:eastAsia="仿宋_GB2312"/>
                    </w:rPr>
                    <w:t>DA/T18-2022</w:t>
                  </w:r>
                </w:p>
              </w:tc>
            </w:tr>
            <w:tr>
              <w:tc>
                <w:tcPr>
                  <w:tcW w:type="dxa" w:w="1866"/>
                </w:tcPr>
                <w:p>
                  <w:pPr>
                    <w:pStyle w:val="null3"/>
                    <w:jc w:val="left"/>
                  </w:pPr>
                  <w:r>
                    <w:rPr>
                      <w:rFonts w:ascii="仿宋_GB2312" w:hAnsi="仿宋_GB2312" w:cs="仿宋_GB2312" w:eastAsia="仿宋_GB2312"/>
                    </w:rPr>
                    <w:t>3</w:t>
                  </w:r>
                </w:p>
              </w:tc>
              <w:tc>
                <w:tcPr>
                  <w:tcW w:type="dxa" w:w="1866"/>
                </w:tcPr>
                <w:p>
                  <w:pPr>
                    <w:pStyle w:val="null3"/>
                    <w:jc w:val="left"/>
                  </w:pPr>
                  <w:r>
                    <w:rPr>
                      <w:rFonts w:ascii="仿宋_GB2312" w:hAnsi="仿宋_GB2312" w:cs="仿宋_GB2312" w:eastAsia="仿宋_GB2312"/>
                    </w:rPr>
                    <w:t>民国档案目录中心数据采集标准民国档案著录细则</w:t>
                  </w:r>
                </w:p>
              </w:tc>
              <w:tc>
                <w:tcPr>
                  <w:tcW w:type="dxa" w:w="1866"/>
                </w:tcPr>
                <w:p>
                  <w:pPr>
                    <w:pStyle w:val="null3"/>
                    <w:jc w:val="left"/>
                  </w:pPr>
                  <w:r>
                    <w:rPr>
                      <w:rFonts w:ascii="仿宋_GB2312" w:hAnsi="仿宋_GB2312" w:cs="仿宋_GB2312" w:eastAsia="仿宋_GB2312"/>
                    </w:rPr>
                    <w:t>DA/T 20.1- 1999</w:t>
                  </w:r>
                </w:p>
              </w:tc>
            </w:tr>
            <w:tr>
              <w:tc>
                <w:tcPr>
                  <w:tcW w:type="dxa" w:w="1866"/>
                </w:tcPr>
                <w:p>
                  <w:pPr>
                    <w:pStyle w:val="null3"/>
                    <w:jc w:val="left"/>
                  </w:pPr>
                  <w:r>
                    <w:rPr>
                      <w:rFonts w:ascii="仿宋_GB2312" w:hAnsi="仿宋_GB2312" w:cs="仿宋_GB2312" w:eastAsia="仿宋_GB2312"/>
                    </w:rPr>
                    <w:t>4</w:t>
                  </w:r>
                </w:p>
              </w:tc>
              <w:tc>
                <w:tcPr>
                  <w:tcW w:type="dxa" w:w="1866"/>
                </w:tcPr>
                <w:p>
                  <w:pPr>
                    <w:pStyle w:val="null3"/>
                    <w:jc w:val="left"/>
                  </w:pPr>
                  <w:r>
                    <w:rPr>
                      <w:rFonts w:ascii="仿宋_GB2312" w:hAnsi="仿宋_GB2312" w:cs="仿宋_GB2312" w:eastAsia="仿宋_GB2312"/>
                    </w:rPr>
                    <w:t>民国档案目录中心民国档案文件级目录数据采集操作办法</w:t>
                  </w:r>
                </w:p>
              </w:tc>
              <w:tc>
                <w:tcPr>
                  <w:tcW w:type="dxa" w:w="1866"/>
                </w:tcPr>
                <w:p>
                  <w:pPr>
                    <w:pStyle w:val="null3"/>
                    <w:jc w:val="left"/>
                  </w:pPr>
                  <w:r>
                    <w:rPr>
                      <w:rFonts w:ascii="仿宋_GB2312" w:hAnsi="仿宋_GB2312" w:cs="仿宋_GB2312" w:eastAsia="仿宋_GB2312"/>
                    </w:rPr>
                    <w:t xml:space="preserve"> </w:t>
                  </w:r>
                </w:p>
              </w:tc>
            </w:tr>
            <w:tr>
              <w:tc>
                <w:tcPr>
                  <w:tcW w:type="dxa" w:w="1866"/>
                </w:tcPr>
                <w:p>
                  <w:pPr>
                    <w:pStyle w:val="null3"/>
                    <w:jc w:val="left"/>
                  </w:pPr>
                  <w:r>
                    <w:rPr>
                      <w:rFonts w:ascii="仿宋_GB2312" w:hAnsi="仿宋_GB2312" w:cs="仿宋_GB2312" w:eastAsia="仿宋_GB2312"/>
                    </w:rPr>
                    <w:t>5</w:t>
                  </w:r>
                </w:p>
              </w:tc>
              <w:tc>
                <w:tcPr>
                  <w:tcW w:type="dxa" w:w="1866"/>
                </w:tcPr>
                <w:p>
                  <w:pPr>
                    <w:pStyle w:val="null3"/>
                    <w:jc w:val="left"/>
                  </w:pPr>
                  <w:r>
                    <w:rPr>
                      <w:rFonts w:ascii="仿宋_GB2312" w:hAnsi="仿宋_GB2312" w:cs="仿宋_GB2312" w:eastAsia="仿宋_GB2312"/>
                    </w:rPr>
                    <w:t>档案服务外包工作规范</w:t>
                  </w:r>
                </w:p>
              </w:tc>
              <w:tc>
                <w:tcPr>
                  <w:tcW w:type="dxa" w:w="1866"/>
                </w:tcPr>
                <w:p>
                  <w:pPr>
                    <w:pStyle w:val="null3"/>
                    <w:jc w:val="left"/>
                  </w:pPr>
                  <w:r>
                    <w:rPr>
                      <w:rFonts w:ascii="仿宋_GB2312" w:hAnsi="仿宋_GB2312" w:cs="仿宋_GB2312" w:eastAsia="仿宋_GB2312"/>
                    </w:rPr>
                    <w:t>DA/T 68-2020</w:t>
                  </w:r>
                </w:p>
              </w:tc>
            </w:tr>
            <w:tr>
              <w:tc>
                <w:tcPr>
                  <w:tcW w:type="dxa" w:w="1866"/>
                </w:tcPr>
                <w:p>
                  <w:pPr>
                    <w:pStyle w:val="null3"/>
                    <w:jc w:val="left"/>
                  </w:pPr>
                  <w:r>
                    <w:rPr>
                      <w:rFonts w:ascii="仿宋_GB2312" w:hAnsi="仿宋_GB2312" w:cs="仿宋_GB2312" w:eastAsia="仿宋_GB2312"/>
                    </w:rPr>
                    <w:t>6</w:t>
                  </w:r>
                </w:p>
              </w:tc>
              <w:tc>
                <w:tcPr>
                  <w:tcW w:type="dxa" w:w="1866"/>
                </w:tcPr>
                <w:p>
                  <w:pPr>
                    <w:pStyle w:val="null3"/>
                    <w:jc w:val="left"/>
                  </w:pPr>
                  <w:r>
                    <w:rPr>
                      <w:rFonts w:ascii="仿宋_GB2312" w:hAnsi="仿宋_GB2312" w:cs="仿宋_GB2312" w:eastAsia="仿宋_GB2312"/>
                    </w:rPr>
                    <w:t>归档文件整理规则</w:t>
                  </w:r>
                </w:p>
              </w:tc>
              <w:tc>
                <w:tcPr>
                  <w:tcW w:type="dxa" w:w="1866"/>
                </w:tcPr>
                <w:p>
                  <w:pPr>
                    <w:pStyle w:val="null3"/>
                    <w:jc w:val="left"/>
                  </w:pPr>
                  <w:r>
                    <w:rPr>
                      <w:rFonts w:ascii="仿宋_GB2312" w:hAnsi="仿宋_GB2312" w:cs="仿宋_GB2312" w:eastAsia="仿宋_GB2312"/>
                    </w:rPr>
                    <w:t>DA/T22-2015</w:t>
                  </w:r>
                </w:p>
              </w:tc>
            </w:tr>
            <w:tr>
              <w:tc>
                <w:tcPr>
                  <w:tcW w:type="dxa" w:w="1866"/>
                </w:tcPr>
                <w:p>
                  <w:pPr>
                    <w:pStyle w:val="null3"/>
                    <w:jc w:val="left"/>
                  </w:pPr>
                  <w:r>
                    <w:rPr>
                      <w:rFonts w:ascii="仿宋_GB2312" w:hAnsi="仿宋_GB2312" w:cs="仿宋_GB2312" w:eastAsia="仿宋_GB2312"/>
                    </w:rPr>
                    <w:t>7</w:t>
                  </w:r>
                </w:p>
              </w:tc>
              <w:tc>
                <w:tcPr>
                  <w:tcW w:type="dxa" w:w="1866"/>
                </w:tcPr>
                <w:p>
                  <w:pPr>
                    <w:pStyle w:val="null3"/>
                    <w:jc w:val="left"/>
                  </w:pPr>
                  <w:r>
                    <w:rPr>
                      <w:rFonts w:ascii="仿宋_GB2312" w:hAnsi="仿宋_GB2312" w:cs="仿宋_GB2312" w:eastAsia="仿宋_GB2312"/>
                    </w:rPr>
                    <w:t>四川省档案馆民国档案目录数据采集规范 (试行)</w:t>
                  </w:r>
                </w:p>
              </w:tc>
              <w:tc>
                <w:tcPr>
                  <w:tcW w:type="dxa" w:w="1866"/>
                </w:tcPr>
                <w:p>
                  <w:pPr>
                    <w:pStyle w:val="null3"/>
                    <w:jc w:val="left"/>
                  </w:pPr>
                  <w:r>
                    <w:rPr>
                      <w:rFonts w:ascii="仿宋_GB2312" w:hAnsi="仿宋_GB2312" w:cs="仿宋_GB2312" w:eastAsia="仿宋_GB2312"/>
                    </w:rPr>
                    <w:t xml:space="preserve"> </w:t>
                  </w:r>
                </w:p>
              </w:tc>
            </w:tr>
            <w:tr>
              <w:tc>
                <w:tcPr>
                  <w:tcW w:type="dxa" w:w="1866"/>
                </w:tcPr>
                <w:p>
                  <w:pPr>
                    <w:pStyle w:val="null3"/>
                    <w:jc w:val="left"/>
                  </w:pPr>
                  <w:r>
                    <w:rPr>
                      <w:rFonts w:ascii="仿宋_GB2312" w:hAnsi="仿宋_GB2312" w:cs="仿宋_GB2312" w:eastAsia="仿宋_GB2312"/>
                    </w:rPr>
                    <w:t>8</w:t>
                  </w:r>
                </w:p>
              </w:tc>
              <w:tc>
                <w:tcPr>
                  <w:tcW w:type="dxa" w:w="1866"/>
                </w:tcPr>
                <w:p>
                  <w:pPr>
                    <w:pStyle w:val="null3"/>
                    <w:jc w:val="left"/>
                  </w:pPr>
                  <w:r>
                    <w:rPr>
                      <w:rFonts w:ascii="仿宋_GB2312" w:hAnsi="仿宋_GB2312" w:cs="仿宋_GB2312" w:eastAsia="仿宋_GB2312"/>
                    </w:rPr>
                    <w:t>四川省文书档案著录细则与机读目录数据交换格式</w:t>
                  </w:r>
                </w:p>
              </w:tc>
              <w:tc>
                <w:tcPr>
                  <w:tcW w:type="dxa" w:w="1866"/>
                </w:tcPr>
                <w:p>
                  <w:pPr>
                    <w:pStyle w:val="null3"/>
                    <w:jc w:val="left"/>
                  </w:pPr>
                  <w:r>
                    <w:rPr>
                      <w:rFonts w:ascii="仿宋_GB2312" w:hAnsi="仿宋_GB2312" w:cs="仿宋_GB2312" w:eastAsia="仿宋_GB2312"/>
                    </w:rPr>
                    <w:t xml:space="preserve"> </w:t>
                  </w:r>
                </w:p>
              </w:tc>
            </w:tr>
          </w:tbl>
          <w:tbl>
            <w:tblPr>
              <w:tblInd w:type="dxa" w:w="120"/>
              <w:tblBorders>
                <w:top w:val="none" w:color="000000" w:sz="4"/>
                <w:left w:val="none" w:color="000000" w:sz="4"/>
                <w:bottom w:val="none" w:color="000000" w:sz="4"/>
                <w:right w:val="none" w:color="000000" w:sz="4"/>
                <w:insideH w:val="none"/>
                <w:insideV w:val="none"/>
              </w:tblBorders>
            </w:tblPr>
            <w:tblGrid/>
          </w:tbl>
          <w:p>
            <w:pPr>
              <w:pStyle w:val="null3"/>
              <w:jc w:val="left"/>
            </w:pPr>
            <w:r>
              <w:rPr>
                <w:rFonts w:ascii="仿宋_GB2312" w:hAnsi="仿宋_GB2312" w:cs="仿宋_GB2312" w:eastAsia="仿宋_GB2312"/>
              </w:rPr>
              <w:t>注:若以上标准与现行政策有出入，按最新标准执行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四川省档案馆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 严格按照《财政部关于进一步加强政府采购需求和履约验收管理的指导意见》(财库〔2016〕205号)等相关制度的要求进行验收。具体要求详见本章技术部分。 2.验收方式该项目采取阶段抽检与总验收相结合的方式对项目所有加工服务进行验收，双方签字确认。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1、双方签订合同后，乙方缴纳10%履约保证金，达到付款条件起10日内，支付合同总金额的50.00%</w:t>
            </w:r>
          </w:p>
          <w:p>
            <w:pPr>
              <w:pStyle w:val="null3"/>
              <w:jc w:val="left"/>
            </w:pPr>
            <w:r>
              <w:rPr>
                <w:rFonts w:ascii="仿宋_GB2312" w:hAnsi="仿宋_GB2312" w:cs="仿宋_GB2312" w:eastAsia="仿宋_GB2312"/>
              </w:rPr>
              <w:t>2、乙方完成工作量的50%，经甲方确认工作量且乙方开具等额合法增值税发票后，达到付款条件起10日内，支付合同总金额的20.00%</w:t>
            </w:r>
          </w:p>
          <w:p>
            <w:pPr>
              <w:pStyle w:val="null3"/>
              <w:jc w:val="left"/>
            </w:pPr>
            <w:r>
              <w:rPr>
                <w:rFonts w:ascii="仿宋_GB2312" w:hAnsi="仿宋_GB2312" w:cs="仿宋_GB2312" w:eastAsia="仿宋_GB2312"/>
              </w:rPr>
              <w:t>3、项目全部完成并通过验收后，根据合同单价和实际完成数据进行尾款结算，支付金额不超过合同总价的30%；总结算金额不超过合同总金额。，达到付款条件起10日内，支付合同总金额的30.00%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1.在执行本合同中发生的或与本合同有关的争端，双方应通过友好协商解决，经协商在30天内不能达成协议时，应提交成都仲裁委员会仲裁。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（一）服务方案：1、需求分析：内容包含①工作目标分析；②工作重难点分析及重难点应对措施； 2、实施方案：内容包含①技术标准及现场管理制度；②人员组织方案及工作计划；③实施流程；④质检要求及质量控制；⑤进度控制及安全保障和项目验收方案； 3、项目保密方案：内容包含①人员保密管理及场所保密管理；②项目成果保密管理及保密技术及保密制度； 4、后续服务方案：内容包含①服务期及后续服务计划及后续服务内容；②响应方式及响应时间； （二）投标人根据自身情况提供有利于本项目实施的人员配置及履约经验。 （三）（实质性要求）本项目采用总价报价，总价报价不超过336000元，结算价不超过预算金额。投标人的最终报价是投标人响应采购项目要求的全部工作内容的价格体现，包括投标人完成本项目所需的一切费用。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供应商需根据自身情况按要求任选其一提供并进行电子签章：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②也可提供2024年度或2025年度投标人内部的财务报表复印件（至少包含资产负债表），③投标人注册时间截至提交投标文件截止之日前不足一年的，也可提供相关主管部门备案的公司章程等证明材料。④也可提供具备健全的财务会计制度的承诺函。注：第①-④项具有同等的投标效力，投标人可根据自身实际情况选择提供其中任意一项。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投标人应在近5年内（2021年服务工作中以来）从事档案服务工作中无安全责任事故及其它违反国家法律法规的行为。</w:t>
            </w:r>
          </w:p>
        </w:tc>
        <w:tc>
          <w:tcPr>
            <w:tcW w:type="dxa" w:w="3322"/>
          </w:tcPr>
          <w:p>
            <w:pPr>
              <w:pStyle w:val="null3"/>
              <w:jc w:val="left"/>
            </w:pPr>
            <w:r>
              <w:rPr>
                <w:rFonts w:ascii="仿宋_GB2312" w:hAnsi="仿宋_GB2312" w:cs="仿宋_GB2312" w:eastAsia="仿宋_GB2312"/>
              </w:rPr>
              <w:t>投标人应在近5年内（2021年以来）从事档案无安全责任事故及其它违反国家法律法规的行为，需提供承诺函。</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投标人应具有国家保密局颁发的国家秘密载体印制乙级及以上资质证书（涉密档案数字化加工类）</w:t>
            </w:r>
          </w:p>
        </w:tc>
        <w:tc>
          <w:tcPr>
            <w:tcW w:type="dxa" w:w="3322"/>
          </w:tcPr>
          <w:p>
            <w:pPr>
              <w:pStyle w:val="null3"/>
              <w:jc w:val="left"/>
            </w:pPr>
            <w:r>
              <w:rPr>
                <w:rFonts w:ascii="仿宋_GB2312" w:hAnsi="仿宋_GB2312" w:cs="仿宋_GB2312" w:eastAsia="仿宋_GB2312"/>
              </w:rPr>
              <w:t>投标人应提供在有效期内的国家保密局颁发的国家秘密载体印制乙级及以上资质证书复印件（涉密档案数字化加工类）</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招标文件第三章3.3.2.商务要求</w:t>
            </w:r>
          </w:p>
        </w:tc>
        <w:tc>
          <w:tcPr>
            <w:tcW w:type="dxa" w:w="3322"/>
          </w:tcPr>
          <w:p>
            <w:pPr>
              <w:pStyle w:val="null3"/>
              <w:jc w:val="left"/>
            </w:pPr>
            <w:r>
              <w:rPr>
                <w:rFonts w:ascii="仿宋_GB2312" w:hAnsi="仿宋_GB2312" w:cs="仿宋_GB2312" w:eastAsia="仿宋_GB2312"/>
              </w:rPr>
              <w:t>招标文件第三章商务要求中的实质性要求，投标人应提供响应，响应内容满足招标文件要求</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招标文件第三章3.2.技术要求</w:t>
            </w:r>
          </w:p>
        </w:tc>
        <w:tc>
          <w:tcPr>
            <w:tcW w:type="dxa" w:w="3322"/>
          </w:tcPr>
          <w:p>
            <w:pPr>
              <w:pStyle w:val="null3"/>
              <w:jc w:val="left"/>
            </w:pPr>
            <w:r>
              <w:rPr>
                <w:rFonts w:ascii="仿宋_GB2312" w:hAnsi="仿宋_GB2312" w:cs="仿宋_GB2312" w:eastAsia="仿宋_GB2312"/>
              </w:rPr>
              <w:t>招标文件第三章技术要求中的实质性要求，投标人应提供响应，响应内容满足招标文件要求</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 应当加盖投标人公章，在评标委员会要求的时间内通过项目电子化交易系统进行提交，否则视为不能证明其投标报价合理性。投标人不能 证明其投标报价合理性的，评标委员会应当将 其投标文件作为无效投标处理。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投标文件封面符合招标文件要求</w:t>
            </w:r>
          </w:p>
        </w:tc>
        <w:tc>
          <w:tcPr>
            <w:tcW w:type="dxa" w:w="3322"/>
          </w:tcPr>
          <w:p>
            <w:pPr>
              <w:pStyle w:val="null3"/>
              <w:jc w:val="left"/>
            </w:pPr>
            <w:r>
              <w:rPr>
                <w:rFonts w:ascii="仿宋_GB2312" w:hAnsi="仿宋_GB2312" w:cs="仿宋_GB2312" w:eastAsia="仿宋_GB2312"/>
              </w:rPr>
              <w:t>按要求填写项目名称、项目编号、包号、投标人名称等</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1.需求分析(10分) 根据投标人针对本项目提供需求分析进行综合评分，包含①工作目标分析；②工作重难点分析及重难点应对措施；满分10分，每缺少一项内容扣5分，每有一处内容错误或缺陷(内容错误或缺陷是指投标人提供的内容出现与项目无关或与项目要求不匹配或脱离项目实际情况或项目名称、实施地点、涉及的规范、技术服务要求与本项目不一致，与需求无关或套用其他项目方案等情况。)的扣2.5分，本项分扣完为止。 2.实施方案(20分) 根据投标人针对本项目提供实施方案进行综合评分，包含：①技术标准及现场管理制度；②人员组织方案及工作计划；③实施流程；④质检要求及质量控制；⑤进度控制及安全保障和项目验收方案；满分20分，每缺一项内容扣4分，每有一处内容错误或缺陷(内容错误或缺陷是指投标人提供的内容出现与项目无关或与项目要求不匹配或脱离项目实际情况或项目名称、实施地点、涉及的规范、技术服务要求与本项目不一致，与需求无关或套用其他项目方案等情况。)扣2分,扣完为止。 3.项目保密方案（5分） 根据投标人提供的项目保密方案进行综合评分。包含：①人员保密管理及场所保密管理；②项目成果保密管理及保密技术及保密制度。满分 5 分，每缺一项内容扣2.5分，每有一处内容错误或缺陷(内容错误或缺陷是指投标人提供的内容出现与项目无关或与项目要求不匹配或脱离项目实际情况或项目名称、实施地点、涉及的规范、技术服务要求与本项目不一致，与需求无关或套用其他项目方案等情况。)扣1.25 分,扣完为止。 4.后续服务方案（5分） 根据投标人提供的后续服务方案进行综合评分，包含：①服务期及后续服务计划及后续服务内容；②响应方式及响应时间。满分5分，每缺一项内容扣2.5 分，每有一处内容错误或缺陷(内容错误或缺陷是指投标人提供的内容出现与项目无关或与项目要求不匹配或脱离项目实际情况或项目名称、实施地点、涉及的规范、技术服务要求与本项目不一致，与需求无关或套用其他项目方案等情况。)扣 1.25分,扣完为止。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拟派的项目经理同时具有保密教育培训证书和档案类副高级及以上（档案专业高级讲师或档案专业副教授或档案专业副研究员或档案专业副研究馆员等）专业技术职称证书的得5分；拟派的项目经理同时具有保密教育培训证书和档案类中级（档案专业讲师或档案馆员）职称得3分。本项满分5分。 2.拟派的数据管理专员具有保密教育培训证书和档案初级（管理员或助理馆员等）及以上的专业技术职称证书并具有计算机初级以上职业资格证书的得5分。本项满分5分。 3.投标人拟派本项目的人员需同时具有保密教育培训证书及档案初级（管理员或助理馆员等）及以上专业技术职称证书的，每人得4分，本项满分20分。 注：以上人员不重复得分，拟派的各类人员应提供有效的身份证、相应证书复印件并加盖公章。同时提供上述相关人员在职证明材料。</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项目人员情况表.docx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2020年1月1日以来，投标人独立承担类似项目业绩的（项目内容包括档案目录著录或档案目录质检），每提供一个得4分，最多得20分。不提供不得分。 注：提供合同复印件，以合同签订时间为准。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详见附件：项目人员情况表.docx</w:t>
      </w:r>
    </w:p>
    <w:p>
      <w:pPr>
        <w:pStyle w:val="null3"/>
        <w:ind w:firstLine="960"/>
        <w:jc w:val="left"/>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