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版本号：N510001202600063120260424001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中医药文化弘扬工程-百市千县中医药文化惠民活动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N5100012026000631</w:t>
      </w:r>
    </w:p>
    <w:p>
      <w:pPr>
        <w:pStyle w:val="null3"/>
        <w:jc w:val="center"/>
        <w:outlineLvl w:val="2"/>
      </w:pPr>
      <w:r>
        <w:rPr>
          <w:rFonts w:ascii="仿宋_GB2312" w:hAnsi="仿宋_GB2312" w:cs="仿宋_GB2312" w:eastAsia="仿宋_GB2312"/>
          <w:sz w:val="28"/>
          <w:b/>
        </w:rPr>
        <w:t>四川省中医药发展服务中心</w:t>
      </w:r>
    </w:p>
    <w:p>
      <w:pPr>
        <w:pStyle w:val="null3"/>
        <w:jc w:val="center"/>
        <w:outlineLvl w:val="2"/>
      </w:pPr>
      <w:r>
        <w:rPr>
          <w:rFonts w:ascii="仿宋_GB2312" w:hAnsi="仿宋_GB2312" w:cs="仿宋_GB2312" w:eastAsia="仿宋_GB2312"/>
          <w:sz w:val="28"/>
          <w:b/>
        </w:rPr>
        <w:t>四川轩辕招标代理有限公司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四川轩辕招标代理有限公司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四川省中医药发展服务中心</w:t>
      </w:r>
      <w:r>
        <w:rPr>
          <w:rFonts w:ascii="仿宋_GB2312" w:hAnsi="仿宋_GB2312" w:cs="仿宋_GB2312" w:eastAsia="仿宋_GB2312"/>
        </w:rPr>
        <w:t xml:space="preserve"> 委托，拟对 </w:t>
      </w:r>
      <w:r>
        <w:rPr>
          <w:rFonts w:ascii="仿宋_GB2312" w:hAnsi="仿宋_GB2312" w:cs="仿宋_GB2312" w:eastAsia="仿宋_GB2312"/>
        </w:rPr>
        <w:t>中医药文化弘扬工程-百市千县中医药文化惠民活动</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N5100012026000631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中医药文化弘扬工程-百市千县中医药文化惠民活动</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拟选择一家供应商，在30个县(市、区)开展一系列中医药文化惠民活动，包括中医药推广、主题宣传、展览展示、互动体验、专家讲座、健康咨询等形式，普及中医药健康养生知识，推动优质中医药文化资源直达基层。本项目预算项目名称为：中医药文化弘扬工程。</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四川省中医药发展服务中心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成都市锦江区太升南路155号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028-86203243</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四川轩辕招标代理有限公司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成都市武侯区吉泰五路118号天合凯旋广场2幢4楼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610095</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张梦、谭周菊</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028-65731881/86661810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60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代理服务费收费标准：本项目以成交金额作为收费的计算基数采用差额定率累进法（服务类项目金额100万以下费率为1.5%）计算并下浮40%。</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四川省中医药发展服务中心</w:t>
      </w:r>
      <w:r>
        <w:rPr>
          <w:rFonts w:ascii="仿宋_GB2312" w:hAnsi="仿宋_GB2312" w:cs="仿宋_GB2312" w:eastAsia="仿宋_GB2312"/>
        </w:rPr>
        <w:t xml:space="preserve"> 和 </w:t>
      </w:r>
      <w:r>
        <w:rPr>
          <w:rFonts w:ascii="仿宋_GB2312" w:hAnsi="仿宋_GB2312" w:cs="仿宋_GB2312" w:eastAsia="仿宋_GB2312"/>
        </w:rPr>
        <w:t>四川轩辕招标代理有限公司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四川省中医药发展服务中心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四川轩辕招标代理有限公司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按照本项目采购文件中技术要求及供应商响应文件进行验收。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按照本项目采购文件中商务要求及供应商响应文件进行验收。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 号)、《政府采购需求管理办法》(财库〔2021〕22 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四川轩辕招标代理有限公司</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四川轩辕招标代理有限公司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四川轩辕招标代理有限公司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联系人：张梦、谭周菊</w:t>
      </w:r>
    </w:p>
    <w:p>
      <w:pPr>
        <w:pStyle w:val="null3"/>
        <w:jc w:val="left"/>
      </w:pPr>
      <w:r>
        <w:rPr>
          <w:rFonts w:ascii="仿宋_GB2312" w:hAnsi="仿宋_GB2312" w:cs="仿宋_GB2312" w:eastAsia="仿宋_GB2312"/>
        </w:rPr>
        <w:t>联系电话：028-65731881</w:t>
      </w:r>
    </w:p>
    <w:p>
      <w:pPr>
        <w:pStyle w:val="null3"/>
        <w:jc w:val="left"/>
      </w:pPr>
      <w:r>
        <w:rPr>
          <w:rFonts w:ascii="仿宋_GB2312" w:hAnsi="仿宋_GB2312" w:cs="仿宋_GB2312" w:eastAsia="仿宋_GB2312"/>
        </w:rPr>
        <w:t>地址：成都市武侯区吉泰五路118号天合凯旋广场2幢4楼</w:t>
      </w:r>
    </w:p>
    <w:p>
      <w:pPr>
        <w:pStyle w:val="null3"/>
        <w:jc w:val="left"/>
      </w:pPr>
      <w:r>
        <w:rPr>
          <w:rFonts w:ascii="仿宋_GB2312" w:hAnsi="仿宋_GB2312" w:cs="仿宋_GB2312" w:eastAsia="仿宋_GB2312"/>
        </w:rPr>
        <w:t>邮编：610095</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600,000.00</w:t>
      </w:r>
    </w:p>
    <w:p>
      <w:pPr>
        <w:pStyle w:val="null3"/>
        <w:jc w:val="left"/>
      </w:pPr>
      <w:r>
        <w:rPr>
          <w:rFonts w:ascii="仿宋_GB2312" w:hAnsi="仿宋_GB2312" w:cs="仿宋_GB2312" w:eastAsia="仿宋_GB2312"/>
        </w:rPr>
        <w:t>采购包最高限价（元）: 600,000.00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C22990000 其他会议、展览、住宿和餐饮服务</w:t>
            </w:r>
          </w:p>
        </w:tc>
        <w:tc>
          <w:tcPr>
            <w:tcW w:type="dxa" w:w="821"/>
          </w:tcPr>
          <w:p>
            <w:pPr>
              <w:pStyle w:val="null3"/>
              <w:jc w:val="left"/>
            </w:pPr>
            <w:r>
              <w:rPr>
                <w:rFonts w:ascii="仿宋_GB2312" w:hAnsi="仿宋_GB2312" w:cs="仿宋_GB2312" w:eastAsia="仿宋_GB2312"/>
              </w:rPr>
              <w:t>中医药文化弘扬工程-百市千县中医药文化惠民活动</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中医药文化弘扬工程-百市千县中医药文化惠民活动</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标的名称：中医药文化弘扬工程-百市千县中医药文化惠民活动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w:t>
            </w:r>
          </w:p>
        </w:tc>
        <w:tc>
          <w:tcPr>
            <w:tcW w:type="dxa" w:w="5814"/>
          </w:tcPr>
          <w:p>
            <w:pPr>
              <w:pStyle w:val="null3"/>
              <w:ind w:firstLine="480"/>
              <w:jc w:val="both"/>
            </w:pPr>
            <w:r>
              <w:rPr>
                <w:rFonts w:ascii="仿宋_GB2312" w:hAnsi="仿宋_GB2312" w:cs="仿宋_GB2312" w:eastAsia="仿宋_GB2312"/>
                <w:sz w:val="24"/>
              </w:rPr>
              <w:t>本项目所组织活动包括中医药推广、主题宣传、展览展示、互动体验、专家讲座、健康咨询等形式，运用市民喜闻乐见的传播手段和具有广泛参与度的实践路径，在四川省内</w:t>
            </w:r>
            <w:r>
              <w:rPr>
                <w:rFonts w:ascii="仿宋_GB2312" w:hAnsi="仿宋_GB2312" w:cs="仿宋_GB2312" w:eastAsia="仿宋_GB2312"/>
                <w:sz w:val="24"/>
              </w:rPr>
              <w:t>30个县（市、区）举办不少于30场中医药文化惠民活动，每场活动1天，普及中医药健康养生知识、方法，传播中医药文化理念</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1）中医药</w:t>
            </w:r>
            <w:r>
              <w:rPr>
                <w:rFonts w:ascii="仿宋_GB2312" w:hAnsi="仿宋_GB2312" w:cs="仿宋_GB2312" w:eastAsia="仿宋_GB2312"/>
                <w:sz w:val="24"/>
              </w:rPr>
              <w:t>推广</w:t>
            </w:r>
            <w:r>
              <w:rPr>
                <w:rFonts w:ascii="仿宋_GB2312" w:hAnsi="仿宋_GB2312" w:cs="仿宋_GB2312" w:eastAsia="仿宋_GB2312"/>
                <w:sz w:val="24"/>
              </w:rPr>
              <w:t>：设置中医药大健康产品展示区</w:t>
            </w:r>
            <w:r>
              <w:rPr>
                <w:rFonts w:ascii="仿宋_GB2312" w:hAnsi="仿宋_GB2312" w:cs="仿宋_GB2312" w:eastAsia="仿宋_GB2312"/>
                <w:sz w:val="24"/>
              </w:rPr>
              <w:t>（面积不小于</w:t>
            </w:r>
            <w:r>
              <w:rPr>
                <w:rFonts w:ascii="仿宋_GB2312" w:hAnsi="仿宋_GB2312" w:cs="仿宋_GB2312" w:eastAsia="仿宋_GB2312"/>
                <w:sz w:val="24"/>
              </w:rPr>
              <w:t>20㎡）</w:t>
            </w:r>
            <w:r>
              <w:rPr>
                <w:rFonts w:ascii="仿宋_GB2312" w:hAnsi="仿宋_GB2312" w:cs="仿宋_GB2312" w:eastAsia="仿宋_GB2312"/>
                <w:sz w:val="24"/>
              </w:rPr>
              <w:t>，展示四川道地中药材、中医药特色产品、文创产品等，让市民直观感受中医药的魅力。</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2）主题宣传</w:t>
            </w:r>
          </w:p>
          <w:p>
            <w:pPr>
              <w:pStyle w:val="null3"/>
              <w:ind w:firstLine="480"/>
              <w:jc w:val="both"/>
            </w:pPr>
            <w:r>
              <w:rPr>
                <w:rFonts w:ascii="仿宋_GB2312" w:hAnsi="仿宋_GB2312" w:cs="仿宋_GB2312" w:eastAsia="仿宋_GB2312"/>
                <w:sz w:val="24"/>
              </w:rPr>
              <w:t>线上宣传：利用微信公众号、微博、抖音、快手等新媒体平台，发布活动信息、中医药知识科普视频</w:t>
            </w:r>
            <w:r>
              <w:rPr>
                <w:rFonts w:ascii="仿宋_GB2312" w:hAnsi="仿宋_GB2312" w:cs="仿宋_GB2312" w:eastAsia="仿宋_GB2312"/>
                <w:sz w:val="24"/>
              </w:rPr>
              <w:t>（不少于</w:t>
            </w:r>
            <w:r>
              <w:rPr>
                <w:rFonts w:ascii="仿宋_GB2312" w:hAnsi="仿宋_GB2312" w:cs="仿宋_GB2312" w:eastAsia="仿宋_GB2312"/>
                <w:sz w:val="24"/>
              </w:rPr>
              <w:t>5条）</w:t>
            </w:r>
            <w:r>
              <w:rPr>
                <w:rFonts w:ascii="仿宋_GB2312" w:hAnsi="仿宋_GB2312" w:cs="仿宋_GB2312" w:eastAsia="仿宋_GB2312"/>
                <w:sz w:val="24"/>
              </w:rPr>
              <w:t>、养生小贴士</w:t>
            </w:r>
            <w:r>
              <w:rPr>
                <w:rFonts w:ascii="仿宋_GB2312" w:hAnsi="仿宋_GB2312" w:cs="仿宋_GB2312" w:eastAsia="仿宋_GB2312"/>
                <w:sz w:val="24"/>
              </w:rPr>
              <w:t>（不少于</w:t>
            </w:r>
            <w:r>
              <w:rPr>
                <w:rFonts w:ascii="仿宋_GB2312" w:hAnsi="仿宋_GB2312" w:cs="仿宋_GB2312" w:eastAsia="仿宋_GB2312"/>
                <w:sz w:val="24"/>
              </w:rPr>
              <w:t>10条）</w:t>
            </w:r>
            <w:r>
              <w:rPr>
                <w:rFonts w:ascii="仿宋_GB2312" w:hAnsi="仿宋_GB2312" w:cs="仿宋_GB2312" w:eastAsia="仿宋_GB2312"/>
                <w:sz w:val="24"/>
              </w:rPr>
              <w:t>等，吸引市民关注</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线下宣传：在活动场地内张贴活动海报、悬挂横幅、发放宣传手册，宣传活动内容和中医药文化知识；组织志愿者深入基层，向市民介绍活动情况，解答疑问，提高市民的知晓率和参与度。</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3）展览展示</w:t>
            </w:r>
          </w:p>
          <w:p>
            <w:pPr>
              <w:pStyle w:val="null3"/>
              <w:ind w:firstLine="480"/>
              <w:jc w:val="both"/>
            </w:pPr>
            <w:r>
              <w:rPr>
                <w:rFonts w:ascii="仿宋_GB2312" w:hAnsi="仿宋_GB2312" w:cs="仿宋_GB2312" w:eastAsia="仿宋_GB2312"/>
                <w:sz w:val="24"/>
              </w:rPr>
              <w:t>中医药历史文化展：通过图片、文字、实物、模型等形式，展示中医药的起源、发展历程、重要典籍、著名医家及其贡献，让市民了解中医药的悠久历史和深厚文化底蕴。</w:t>
            </w:r>
          </w:p>
          <w:p>
            <w:pPr>
              <w:pStyle w:val="null3"/>
              <w:ind w:firstLine="480"/>
              <w:jc w:val="both"/>
            </w:pPr>
            <w:r>
              <w:rPr>
                <w:rFonts w:ascii="仿宋_GB2312" w:hAnsi="仿宋_GB2312" w:cs="仿宋_GB2312" w:eastAsia="仿宋_GB2312"/>
                <w:sz w:val="24"/>
              </w:rPr>
              <w:t>中医药发展成就展：展示近年来中医药在医疗、保健、科研、产业等方面的发展成就，如中医药防治重大疾病的成果、中药新药的研发、中医药标准化建设等，增强市民对中医药的信心。</w:t>
            </w:r>
          </w:p>
          <w:p>
            <w:pPr>
              <w:pStyle w:val="null3"/>
              <w:ind w:firstLine="480"/>
              <w:jc w:val="both"/>
            </w:pPr>
            <w:r>
              <w:rPr>
                <w:rFonts w:ascii="仿宋_GB2312" w:hAnsi="仿宋_GB2312" w:cs="仿宋_GB2312" w:eastAsia="仿宋_GB2312"/>
                <w:sz w:val="24"/>
              </w:rPr>
              <w:t>中医药特色疗法展：展示针灸、推拿、艾灸、中药外敷、刮痧等中医药特色疗法的原理、操作方法和临床应用案例，让市民了解中医药在疾病防治和养生保健中的独特优势。</w:t>
            </w:r>
          </w:p>
          <w:p>
            <w:pPr>
              <w:pStyle w:val="null3"/>
              <w:ind w:firstLine="480"/>
              <w:jc w:val="both"/>
            </w:pPr>
            <w:r>
              <w:rPr>
                <w:rFonts w:ascii="仿宋_GB2312" w:hAnsi="仿宋_GB2312" w:cs="仿宋_GB2312" w:eastAsia="仿宋_GB2312"/>
                <w:sz w:val="24"/>
              </w:rPr>
              <w:t>以上展览展示面积不小于</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根据开展活动的实际场地确定</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4）互动体验</w:t>
            </w:r>
          </w:p>
          <w:p>
            <w:pPr>
              <w:pStyle w:val="null3"/>
              <w:ind w:firstLine="480"/>
              <w:jc w:val="both"/>
            </w:pPr>
            <w:r>
              <w:rPr>
                <w:rFonts w:ascii="仿宋_GB2312" w:hAnsi="仿宋_GB2312" w:cs="仿宋_GB2312" w:eastAsia="仿宋_GB2312"/>
                <w:sz w:val="24"/>
              </w:rPr>
              <w:t>中药香囊制作：提供中药材、香囊袋等材料，指导市民制作中药香囊，讲解香囊中中药材的功效，如驱蚊、提神、醒脑等，让市民感受中医药在日常生活中的应用。</w:t>
            </w:r>
          </w:p>
          <w:p>
            <w:pPr>
              <w:pStyle w:val="null3"/>
              <w:ind w:firstLine="480"/>
              <w:jc w:val="both"/>
            </w:pPr>
            <w:r>
              <w:rPr>
                <w:rFonts w:ascii="仿宋_GB2312" w:hAnsi="仿宋_GB2312" w:cs="仿宋_GB2312" w:eastAsia="仿宋_GB2312"/>
                <w:sz w:val="24"/>
              </w:rPr>
              <w:t>中医适宜技术体验：设置针灸、推拿、艾灸、拔罐等中医适宜技术体验区，由专业医师为市民提供免费体验服务，让市民亲身感受中医药的疗效。</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专家讲座</w:t>
            </w:r>
          </w:p>
          <w:p>
            <w:pPr>
              <w:pStyle w:val="null3"/>
              <w:ind w:firstLine="480"/>
              <w:jc w:val="both"/>
            </w:pPr>
            <w:r>
              <w:rPr>
                <w:rFonts w:ascii="仿宋_GB2312" w:hAnsi="仿宋_GB2312" w:cs="仿宋_GB2312" w:eastAsia="仿宋_GB2312"/>
                <w:sz w:val="24"/>
              </w:rPr>
              <w:t>专家</w:t>
            </w:r>
            <w:r>
              <w:rPr>
                <w:rFonts w:ascii="仿宋_GB2312" w:hAnsi="仿宋_GB2312" w:cs="仿宋_GB2312" w:eastAsia="仿宋_GB2312"/>
                <w:sz w:val="24"/>
              </w:rPr>
              <w:t>讲座</w:t>
            </w:r>
            <w:r>
              <w:rPr>
                <w:rFonts w:ascii="仿宋_GB2312" w:hAnsi="仿宋_GB2312" w:cs="仿宋_GB2312" w:eastAsia="仿宋_GB2312"/>
                <w:sz w:val="24"/>
              </w:rPr>
              <w:t>：邀请中医药领域副高级以上职称专家、学者、临床医师等，</w:t>
            </w:r>
            <w:r>
              <w:rPr>
                <w:rFonts w:ascii="仿宋_GB2312" w:hAnsi="仿宋_GB2312" w:cs="仿宋_GB2312" w:eastAsia="仿宋_GB2312"/>
                <w:sz w:val="24"/>
              </w:rPr>
              <w:t>根据当场次实际情况确定专家数量，每场活动至少配备</w:t>
            </w:r>
            <w:r>
              <w:rPr>
                <w:rFonts w:ascii="仿宋_GB2312" w:hAnsi="仿宋_GB2312" w:cs="仿宋_GB2312" w:eastAsia="仿宋_GB2312"/>
                <w:sz w:val="24"/>
              </w:rPr>
              <w:t>1名，</w:t>
            </w:r>
            <w:r>
              <w:rPr>
                <w:rFonts w:ascii="仿宋_GB2312" w:hAnsi="仿宋_GB2312" w:cs="仿宋_GB2312" w:eastAsia="仿宋_GB2312"/>
                <w:sz w:val="24"/>
              </w:rPr>
              <w:t>深</w:t>
            </w:r>
            <w:r>
              <w:rPr>
                <w:rFonts w:ascii="仿宋_GB2312" w:hAnsi="仿宋_GB2312" w:cs="仿宋_GB2312" w:eastAsia="仿宋_GB2312"/>
                <w:sz w:val="24"/>
              </w:rPr>
              <w:t>入各活动举办地，开展中医药知识讲座，内容包括中医养生保健、常见疾病防治、中医药文化传承等，为市民提供专业的中医药知识和健康指导。</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健康咨询</w:t>
            </w:r>
          </w:p>
          <w:p>
            <w:pPr>
              <w:pStyle w:val="null3"/>
              <w:ind w:firstLine="480"/>
              <w:jc w:val="both"/>
            </w:pPr>
            <w:r>
              <w:rPr>
                <w:rFonts w:ascii="仿宋_GB2312" w:hAnsi="仿宋_GB2312" w:cs="仿宋_GB2312" w:eastAsia="仿宋_GB2312"/>
                <w:sz w:val="24"/>
              </w:rPr>
              <w:t>现场咨询：在活动现场设置健康咨询台，邀请中医师、中药师、营养师等为市民提供免费健康咨询服务，解答市民关于疾病防治、养生保健、用药指导等方面的问题，提供个性化的健康建议。</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1）负责活动氛围营造、宣传物料及活动资料设计制作，围绕每期不同主题对活动场地进行布置；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2）文创产品定制，包括不限于：纸杯、手提袋、中医药精油、中医药香囊、艾草等中医药大健康产品，数量每场不少于50套；</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3）负责活动全程记录拍摄。</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本项目</w:t>
            </w:r>
            <w:r>
              <w:rPr>
                <w:rFonts w:ascii="仿宋_GB2312" w:hAnsi="仿宋_GB2312" w:cs="仿宋_GB2312" w:eastAsia="仿宋_GB2312"/>
                <w:sz w:val="24"/>
              </w:rPr>
              <w:t>区域面积与数量指标为暂定要求，合同履约过程中采购人有权根据实际需要与供应商协商调整。</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供应商服务人员在服务期间发生伤亡事故，或在服务过程中造成第三</w:t>
            </w:r>
            <w:r>
              <w:rPr>
                <w:rFonts w:ascii="仿宋_GB2312" w:hAnsi="仿宋_GB2312" w:cs="仿宋_GB2312" w:eastAsia="仿宋_GB2312"/>
                <w:sz w:val="24"/>
              </w:rPr>
              <w:t>方</w:t>
            </w:r>
            <w:r>
              <w:rPr>
                <w:rFonts w:ascii="仿宋_GB2312" w:hAnsi="仿宋_GB2312" w:cs="仿宋_GB2312" w:eastAsia="仿宋_GB2312"/>
                <w:sz w:val="24"/>
              </w:rPr>
              <w:t>伤亡的，责任由供应商承担。</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供应商对在履行项目中所知晓的任何信息及资料均应当严格保密，不得在未获得采购人书面认可的情况下将此类信息及资料直接或间接透露给任何第三方知悉；否则，视为违反保密义务，供应商应当赔偿由此给采购人带来的全部损失。</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供应商在履行项目中制作的成品无抄袭，无著作权争议，最终版权归采购人所有，未经采购人书面许可，不得供他人使用；供应商所有引用资料在使用时已取得版权和使用权，如由此发生的版权纠纷均与采购人无关。</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供应商的报价是供应商响应采购项目要求的全部工作内容的价格体现，是供应商完成本项目所需的一切费用，是最终采购人验收合格后的总价，包括场地费用、展示品及其他道具费用、人员费用、税费等。除本次报价费用外，合同履行过程中，采购人不再另行支付其他费用。</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自合同签订之日起至2026年12月31日。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严格按照《财政部关于进一步加强政府采购需求和履约验收管理的指导意见》（财库〔2016〕205号）、《政府采购需求管理办法》（财库〔2021〕22号）的要求进行验收。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1、合同签订生效，达到付款条件起30日内，支付合同总金额的70.00%</w:t>
            </w:r>
          </w:p>
          <w:p>
            <w:pPr>
              <w:pStyle w:val="null3"/>
              <w:jc w:val="left"/>
            </w:pPr>
            <w:r>
              <w:rPr>
                <w:rFonts w:ascii="仿宋_GB2312" w:hAnsi="仿宋_GB2312" w:cs="仿宋_GB2312" w:eastAsia="仿宋_GB2312"/>
              </w:rPr>
              <w:t>2、项目完成，达到付款条件起30日内，支付合同总金额的30.00%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 1、采购人及成交供应商必须遵守本项目合同并执行合同中的各项规定，保证本项目合同的正常履行。 2、如因成交供应商工作人员在履行职务过程中的疏忽、失职、过错等故意或者过失原因给采购人造成损失或侵害，包括但不限于采购人本身的财产损失、由此而导致的采购人对任何第三方的法律责任等，成交供应商对此均应承担全部的赔偿责任。 解决争议的办法： 在本项目合同执行期间，若发生任何争议或者未尽事宜，采购人及成交供应商应友好协商解决，若友好协商不能解决，采购人及成交供应商任何一方均可向采购人所在地的有管辖权的人民法院起诉。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1.供应商自2023年1月1日（含）起至递交响应文件截止日（以合同签订时间为准）具有类似项目业绩。 2.供应商拟为本项目配置的项目负责人（1 人） 具有策划或设计相关履约经验；供应商为本项目配备的其他团队人员（项目负责人除外）具有设计类或营销类或策划类或摄影技术类相关履约经验。 3.供应商根据本项目需求提供活动打造方案，包含：①项目背景分析；②项目目标分析；③项目人群分析；④活动内容方案；⑤活动执行方案。 4.供应商根据本项目需求提供保障方案，包含：①项目人员管理方案；②项目质量保障措施；③项目进度保障措施；④项目执行保证措施；⑤项目沟通及安全保障措施；⑥售后服务保障方案；⑦应急保障措施。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详见</w:t>
      </w:r>
      <w:r>
        <w:rPr>
          <w:rFonts w:ascii="仿宋_GB2312" w:hAnsi="仿宋_GB2312" w:cs="仿宋_GB2312" w:eastAsia="仿宋_GB2312"/>
          <w:sz w:val="21"/>
        </w:rPr>
        <w:t>“3.2.技术要求”，“3.3.服务要求”包含的所有内容。</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1"/>
        </w:rPr>
        <w:t>详见</w:t>
      </w:r>
      <w:r>
        <w:rPr>
          <w:rFonts w:ascii="仿宋_GB2312" w:hAnsi="仿宋_GB2312" w:cs="仿宋_GB2312" w:eastAsia="仿宋_GB2312"/>
          <w:sz w:val="21"/>
        </w:rPr>
        <w:t>“拟签订采购合同文本”。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供应商根据自身情况选择提供其中任意一项： ①供应商若为企业法人：提供“统一社会信用代码营业执照”；未换证的提供“营业执照、税务登记证、组织机构代码证或三证合一的营业执照”； ②若为事业法人：提供“统一社会信用代码法人登记证书”；未换证的提交“事业法人登记证书、组织机构代码证”； ③若为其他组织：提供“对应主管部门颁发的准许执业证明文件或营业执照”； ④若为个体工商户：提供“统一社会信用代码营业执照副本”或“营业执照、税务登记证”； ⑤若为自然人：提供“身份证明材料”。 以上提供相应证明材料并进行电子签章。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供应商根据自身情况选择提供其中任意一项： ①可提供2023年（含）至今任意年度经审计的财务报告扫描件（包含审计报告和审计报告中所涉及的财务报表和报表附注）； ②也可提供供应商内部2023年（含）至今任意年度的财务报表扫描件（至少包含资产负债表）； ③也可提供截至提交响应文件截止日一年内银行出具的资信证明（扫描件）； ④供应商注册时间截至提交响应文件截止日不足一年的，也可提供工商管理部门备案的公司章程（扫描件）； ⑤供应商为个体工商户或自然人时，可提供承诺函。 以上提供相应证明材料并进行电子签章。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其他符合性审查</w:t>
            </w:r>
          </w:p>
        </w:tc>
        <w:tc>
          <w:tcPr>
            <w:tcW w:type="dxa" w:w="3322"/>
          </w:tcPr>
          <w:p>
            <w:pPr>
              <w:pStyle w:val="null3"/>
              <w:jc w:val="left"/>
            </w:pPr>
            <w:r>
              <w:rPr>
                <w:rFonts w:ascii="仿宋_GB2312" w:hAnsi="仿宋_GB2312" w:cs="仿宋_GB2312" w:eastAsia="仿宋_GB2312"/>
              </w:rPr>
              <w:t>1、采购文件中没有要求供应商需要提供承诺函或证明资料进行响应的实质性条款，供应商根据系统给定的格式文件“投标（响应）函、技术要求应答表、商务应答表”默认响应即可。2、采购文件如要求供应商需要提供承诺函或证明资料进行响应的实质性条款，则以供应商提供的承诺函或证明资料为准（如：“投标（响应）函、实质性要求承诺”中已经载明了相关承诺的，供应商可以不用重复提供承诺）。</w:t>
            </w:r>
          </w:p>
        </w:tc>
        <w:tc>
          <w:tcPr>
            <w:tcW w:type="dxa" w:w="1661"/>
          </w:tcPr>
          <w:p>
            <w:pPr>
              <w:pStyle w:val="null3"/>
              <w:jc w:val="left"/>
            </w:pPr>
            <w:r>
              <w:rPr>
                <w:rFonts w:ascii="仿宋_GB2312" w:hAnsi="仿宋_GB2312" w:cs="仿宋_GB2312" w:eastAsia="仿宋_GB2312"/>
              </w:rPr>
              <w:t>响应文件封面,供应商应提交的相关证明材料,商务应答表.docx,投标（响应）函,技术要求应答表.docx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团队人员</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供应商自2023年1月1日（含）起至递交响应文件截止日（以合同签订时间为准），具有类似项目业绩的，每提供1个得3分，最多得12分。 注：提供合同扫描件并进行电子签章。</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团队人员</w:t>
            </w:r>
          </w:p>
        </w:tc>
        <w:tc>
          <w:tcPr>
            <w:tcW w:type="dxa" w:w="2575"/>
          </w:tcPr>
          <w:p>
            <w:pPr>
              <w:pStyle w:val="null3"/>
              <w:jc w:val="left"/>
            </w:pPr>
            <w:r>
              <w:rPr>
                <w:rFonts w:ascii="仿宋_GB2312" w:hAnsi="仿宋_GB2312" w:cs="仿宋_GB2312" w:eastAsia="仿宋_GB2312"/>
              </w:rPr>
              <w:t>1、供应商拟为本项目配置的项目负责人（1 人）： 具有策划或设计相关履约经验得4分，本项最多得4分。 2、供应商为本项目配备的其他团队人员（项目负责人除外）：具有设计类或营销类或策划类或摄影技术类相关履约经验，每提供1人得2分，本项最多得8分。 注：提供人员清单（至少包含人员姓名、身份证号码、联系方式）及人员具有相关履约经验的承诺函并进行电子签章。</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活动打造方案</w:t>
            </w:r>
          </w:p>
        </w:tc>
        <w:tc>
          <w:tcPr>
            <w:tcW w:type="dxa" w:w="2575"/>
          </w:tcPr>
          <w:p>
            <w:pPr>
              <w:pStyle w:val="null3"/>
              <w:jc w:val="left"/>
            </w:pPr>
            <w:r>
              <w:rPr>
                <w:rFonts w:ascii="仿宋_GB2312" w:hAnsi="仿宋_GB2312" w:cs="仿宋_GB2312" w:eastAsia="仿宋_GB2312"/>
              </w:rPr>
              <w:t>供应商根据本项目需求提供活动打造方案，包含：①项目背景分析；②项目目标分析；③项目人群分析；④活动内容方案；⑤活动执行方案。以上5项内容完全符合采购文件要求的得45分，每有一项内容缺项的扣9分，每有一项内容存在一处缺陷的扣4.5分，直至该项内容分值扣完为止。 注：以上缺陷是指①项目名称错误或实施地点区域错误；②方案内容仅有框架或标题或与项目需求不符；③套用其他项目方案或不适用本项目实际需求；④引用或适用的法律法规、标准（方法）或其他规范性文件错误或存在与本项目需求无关的内容；⑤工作流程或人员安排不符合采购需求等情形中的任一种情形。</w:t>
            </w:r>
          </w:p>
        </w:tc>
        <w:tc>
          <w:tcPr>
            <w:tcW w:type="dxa" w:w="831"/>
          </w:tcPr>
          <w:p>
            <w:pPr>
              <w:pStyle w:val="null3"/>
              <w:jc w:val="center"/>
            </w:pPr>
            <w:r>
              <w:rPr>
                <w:rFonts w:ascii="仿宋_GB2312" w:hAnsi="仿宋_GB2312" w:cs="仿宋_GB2312" w:eastAsia="仿宋_GB2312"/>
              </w:rPr>
              <w:t>45.0000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保障方案</w:t>
            </w:r>
          </w:p>
        </w:tc>
        <w:tc>
          <w:tcPr>
            <w:tcW w:type="dxa" w:w="2575"/>
          </w:tcPr>
          <w:p>
            <w:pPr>
              <w:pStyle w:val="null3"/>
              <w:jc w:val="left"/>
            </w:pPr>
            <w:r>
              <w:rPr>
                <w:rFonts w:ascii="仿宋_GB2312" w:hAnsi="仿宋_GB2312" w:cs="仿宋_GB2312" w:eastAsia="仿宋_GB2312"/>
              </w:rPr>
              <w:t>供应商根据本项目需求提供保障方案，包含：①项目人员管理方案；②项目质量保障措施；③项目进度保障措施；④项目执行保证措施；⑤项目沟通及安全保障措施；⑥售后服务保障方案；⑦应急保障措施。以上7项内容完全符合采购文件要求的得21分，每有一项内容缺项的扣3分，每有一项内容存在一处缺陷的扣1.5分，直至该项内容分值扣完为止。 注：以上缺陷是指①项目名称错误或实施地点区域错误；②方案内容仅有框架或标题或与项目需求不符；③套用其他项目方案或不适用本项目实际需求；④引用或适用的法律法规、标准（方法）或其他规范性文件错误或存在与本项目需求无关的内容；⑤工作流程或人员安排不符合采购需求等情形中的任一种情形。</w:t>
            </w:r>
          </w:p>
        </w:tc>
        <w:tc>
          <w:tcPr>
            <w:tcW w:type="dxa" w:w="831"/>
          </w:tcPr>
          <w:p>
            <w:pPr>
              <w:pStyle w:val="null3"/>
              <w:jc w:val="center"/>
            </w:pPr>
            <w:r>
              <w:rPr>
                <w:rFonts w:ascii="仿宋_GB2312" w:hAnsi="仿宋_GB2312" w:cs="仿宋_GB2312" w:eastAsia="仿宋_GB2312"/>
              </w:rPr>
              <w:t>21.0000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磋商报价得分=(磋商基准价/最后磋商报价)×10。</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