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5454">
      <w:pPr>
        <w:jc w:val="center"/>
        <w:outlineLvl w:val="1"/>
        <w:rPr>
          <w:rFonts w:hint="eastAsia" w:ascii="Calibri" w:hAnsi="Calibri" w:eastAsia="宋体" w:cs="Times New Roman"/>
          <w:lang w:val="en-US" w:eastAsia="zh-Hans"/>
        </w:rPr>
      </w:pPr>
      <w:bookmarkStart w:id="0" w:name="_GoBack"/>
      <w:bookmarkEnd w:id="0"/>
      <w:r>
        <w:rPr>
          <w:rFonts w:hint="eastAsia" w:ascii="仿宋_GB2312" w:hAnsi="仿宋_GB2312" w:eastAsia="仿宋_GB2312" w:cs="仿宋_GB2312"/>
          <w:b/>
          <w:sz w:val="36"/>
          <w:lang w:val="en-US" w:eastAsia="zh-CN"/>
        </w:rPr>
        <w:t>采购需</w:t>
      </w:r>
      <w:r>
        <w:rPr>
          <w:rFonts w:hint="eastAsia" w:ascii="仿宋_GB2312" w:hAnsi="仿宋_GB2312" w:eastAsia="仿宋_GB2312" w:cs="仿宋_GB2312"/>
          <w:b/>
          <w:sz w:val="36"/>
          <w:lang w:val="en-US" w:eastAsia="zh-Hans"/>
        </w:rPr>
        <w:t>求</w:t>
      </w:r>
    </w:p>
    <w:p w14:paraId="4012BF9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62902E7B">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46F64E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48F30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290,000.00</w:t>
      </w:r>
    </w:p>
    <w:p w14:paraId="3AE410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290,000.00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51"/>
        <w:gridCol w:w="786"/>
        <w:gridCol w:w="1216"/>
        <w:gridCol w:w="751"/>
        <w:gridCol w:w="751"/>
        <w:gridCol w:w="751"/>
        <w:gridCol w:w="751"/>
        <w:gridCol w:w="600"/>
        <w:gridCol w:w="600"/>
      </w:tblGrid>
      <w:tr w14:paraId="576BE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2D5F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635521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71F02A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0986FF8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354304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2C15E2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199AF3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0F62AA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39E190B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6AAC5F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0F6A61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3DFEF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8A5D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04E0F8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821" w:type="dxa"/>
          </w:tcPr>
          <w:p w14:paraId="30A596D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灭菌器</w:t>
            </w:r>
          </w:p>
        </w:tc>
        <w:tc>
          <w:tcPr>
            <w:tcW w:w="821" w:type="dxa"/>
          </w:tcPr>
          <w:p w14:paraId="344E680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1.00（套/台）</w:t>
            </w:r>
          </w:p>
        </w:tc>
        <w:tc>
          <w:tcPr>
            <w:tcW w:w="821" w:type="dxa"/>
          </w:tcPr>
          <w:p w14:paraId="2309708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80,000.00</w:t>
            </w:r>
          </w:p>
        </w:tc>
        <w:tc>
          <w:tcPr>
            <w:tcW w:w="821" w:type="dxa"/>
          </w:tcPr>
          <w:p w14:paraId="3C44A7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03572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5573E6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BE36E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4F9E6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95968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6FB5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56F8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511DF4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821" w:type="dxa"/>
          </w:tcPr>
          <w:p w14:paraId="54B06C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高频电刀</w:t>
            </w:r>
          </w:p>
        </w:tc>
        <w:tc>
          <w:tcPr>
            <w:tcW w:w="821" w:type="dxa"/>
          </w:tcPr>
          <w:p w14:paraId="17D5570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2.00（套/台）</w:t>
            </w:r>
          </w:p>
        </w:tc>
        <w:tc>
          <w:tcPr>
            <w:tcW w:w="821" w:type="dxa"/>
          </w:tcPr>
          <w:p w14:paraId="0270429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90,000.00</w:t>
            </w:r>
          </w:p>
        </w:tc>
        <w:tc>
          <w:tcPr>
            <w:tcW w:w="821" w:type="dxa"/>
          </w:tcPr>
          <w:p w14:paraId="1003B7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4D2C47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28BEA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69677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2A85E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8899F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2229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2763B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7E9D38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821" w:type="dxa"/>
          </w:tcPr>
          <w:p w14:paraId="691C39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医用输血输液加温器</w:t>
            </w:r>
          </w:p>
        </w:tc>
        <w:tc>
          <w:tcPr>
            <w:tcW w:w="821" w:type="dxa"/>
          </w:tcPr>
          <w:p w14:paraId="081910D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8.00（套/台）</w:t>
            </w:r>
          </w:p>
        </w:tc>
        <w:tc>
          <w:tcPr>
            <w:tcW w:w="821" w:type="dxa"/>
          </w:tcPr>
          <w:p w14:paraId="31C7E8F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120,000.00</w:t>
            </w:r>
          </w:p>
        </w:tc>
        <w:tc>
          <w:tcPr>
            <w:tcW w:w="821" w:type="dxa"/>
          </w:tcPr>
          <w:p w14:paraId="2949FE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1E82B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F16C7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96E8A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06A52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0AB00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5F1DEC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7E82BD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3D45C1E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4F45A93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C422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7BF9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7BD4E7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4C9215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34504DF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7A57FE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3D944C9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70F8B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681DBC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50D6A0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灭菌器</w:t>
            </w:r>
          </w:p>
        </w:tc>
        <w:tc>
          <w:tcPr>
            <w:tcW w:w="1138" w:type="dxa"/>
          </w:tcPr>
          <w:p w14:paraId="4D630A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 套/台）</w:t>
            </w:r>
          </w:p>
        </w:tc>
        <w:tc>
          <w:tcPr>
            <w:tcW w:w="1365" w:type="dxa"/>
          </w:tcPr>
          <w:p w14:paraId="2E5E014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80,000.00</w:t>
            </w:r>
          </w:p>
        </w:tc>
        <w:tc>
          <w:tcPr>
            <w:tcW w:w="1138" w:type="dxa"/>
          </w:tcPr>
          <w:p w14:paraId="381137A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41533F3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B754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83EC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75E9E6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高频电刀</w:t>
            </w:r>
          </w:p>
        </w:tc>
        <w:tc>
          <w:tcPr>
            <w:tcW w:w="1138" w:type="dxa"/>
          </w:tcPr>
          <w:p w14:paraId="2D5613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2.00（ 套/台）</w:t>
            </w:r>
          </w:p>
        </w:tc>
        <w:tc>
          <w:tcPr>
            <w:tcW w:w="1365" w:type="dxa"/>
          </w:tcPr>
          <w:p w14:paraId="756396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90,000.00</w:t>
            </w:r>
          </w:p>
        </w:tc>
        <w:tc>
          <w:tcPr>
            <w:tcW w:w="1138" w:type="dxa"/>
          </w:tcPr>
          <w:p w14:paraId="7829AE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3FDBA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72DAD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41EB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5ACF1F3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医用输血输液加温器</w:t>
            </w:r>
          </w:p>
        </w:tc>
        <w:tc>
          <w:tcPr>
            <w:tcW w:w="1138" w:type="dxa"/>
          </w:tcPr>
          <w:p w14:paraId="79A9AC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8.00（ 套/台）</w:t>
            </w:r>
          </w:p>
        </w:tc>
        <w:tc>
          <w:tcPr>
            <w:tcW w:w="1365" w:type="dxa"/>
          </w:tcPr>
          <w:p w14:paraId="39D38D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120,000.00</w:t>
            </w:r>
          </w:p>
        </w:tc>
        <w:tc>
          <w:tcPr>
            <w:tcW w:w="1138" w:type="dxa"/>
          </w:tcPr>
          <w:p w14:paraId="730A7B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9B915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6F88AB8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2099FDE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32B80F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8FD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CACD6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067C0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8849C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094690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9B62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9FE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1EF4FA4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A02322400 手术室设备及附件</w:t>
            </w:r>
          </w:p>
        </w:tc>
        <w:tc>
          <w:tcPr>
            <w:tcW w:w="2492" w:type="dxa"/>
          </w:tcPr>
          <w:p w14:paraId="278158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灭菌器</w:t>
            </w:r>
          </w:p>
        </w:tc>
        <w:tc>
          <w:tcPr>
            <w:tcW w:w="2492" w:type="dxa"/>
          </w:tcPr>
          <w:p w14:paraId="5EDE666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灭菌器</w:t>
            </w:r>
          </w:p>
        </w:tc>
      </w:tr>
    </w:tbl>
    <w:p w14:paraId="05386E5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1866E5B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328C53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34D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620C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4A0EF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25B38E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1F46B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1D5E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828C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5942EA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7B1301C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078ADBE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C41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5366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52F55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EF5C2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6AD5FA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FFA3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695DD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28BE61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767549A">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402F4C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5B5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BFB5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21396D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2CD0D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38F4A8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D77E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75D61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72A3BD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CD4375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74A0F0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CA8A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301C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E2B4E6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85446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DC4BD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86BF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29F25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20326B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A9E0DE5">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4235E6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5FFAC0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标的名称：灭菌器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3CB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962A2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8209C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2CDFB3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5363B0A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2185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0391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500035B">
            <w:pPr>
              <w:rPr>
                <w:rFonts w:ascii="Calibri" w:hAnsi="Calibri" w:eastAsia="宋体" w:cs="Times New Roman"/>
              </w:rPr>
            </w:pPr>
          </w:p>
        </w:tc>
        <w:tc>
          <w:tcPr>
            <w:tcW w:w="1495" w:type="dxa"/>
          </w:tcPr>
          <w:p w14:paraId="724E77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主要技术参数要求：</w:t>
            </w:r>
          </w:p>
        </w:tc>
        <w:tc>
          <w:tcPr>
            <w:tcW w:w="5814" w:type="dxa"/>
          </w:tcPr>
          <w:p w14:paraId="02225D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1、采用微电脑自动控制技术，触摸屏操作。</w:t>
            </w:r>
          </w:p>
          <w:p w14:paraId="0840B4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2、至少支持温度、时间、压力灭菌信息动态显示，行程结束时系统自动蜂鸣提示；</w:t>
            </w:r>
          </w:p>
          <w:p w14:paraId="60754E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3、内置至少9套程序，5套灭菌类程序，4套辅助类程序；</w:t>
            </w:r>
          </w:p>
          <w:p w14:paraId="55449F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4、内置真空泵，三次脉动真空，真空度高达-0.090MPa；</w:t>
            </w:r>
          </w:p>
          <w:p w14:paraId="421650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5、内置储能蒸发器；</w:t>
            </w:r>
          </w:p>
          <w:p w14:paraId="66CB98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6、内置打印机，至少支持对灭菌过程的记录和检测；</w:t>
            </w:r>
          </w:p>
          <w:p w14:paraId="258541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7、具有自检功能，故障自动报警并显示错误代码；</w:t>
            </w:r>
          </w:p>
          <w:p w14:paraId="0DADF9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8、有≥3种安全保护措施：液位和防干烧保护、超压自动泄压、超温自动切断加热电源；</w:t>
            </w:r>
          </w:p>
          <w:p w14:paraId="7142A56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9、设计压力：≥0.3MPa;</w:t>
            </w:r>
          </w:p>
          <w:p w14:paraId="60F4DE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10、工作温度：≥134℃；</w:t>
            </w:r>
          </w:p>
          <w:p w14:paraId="3B0BF7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11、舱体材料：304不锈钢；</w:t>
            </w:r>
          </w:p>
          <w:p w14:paraId="23FB08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12、容积：≥90L；</w:t>
            </w:r>
          </w:p>
          <w:p w14:paraId="0299AC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13、0.22μm细菌空气过滤器，保证进入的空气为无菌空气；</w:t>
            </w:r>
          </w:p>
          <w:p w14:paraId="3C34A5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14、设备配备2个压力表，分别指示内室压力和蒸发器压力；</w:t>
            </w:r>
          </w:p>
          <w:p w14:paraId="2F130C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15、内室电解抛光处理，表面光洁，防止生锈、腐蚀；</w:t>
            </w:r>
          </w:p>
          <w:p w14:paraId="57914D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16、设备配有安全联锁结构，确保操作过程的安全。</w:t>
            </w:r>
          </w:p>
          <w:p w14:paraId="7436FE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17、★质保期：≥3年</w:t>
            </w:r>
          </w:p>
        </w:tc>
      </w:tr>
    </w:tbl>
    <w:p w14:paraId="035602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标的名称：高频电刀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614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0BF1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74A28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44A38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7F1E3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0FA5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697D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8257350">
            <w:pPr>
              <w:rPr>
                <w:rFonts w:ascii="Calibri" w:hAnsi="Calibri" w:eastAsia="宋体" w:cs="Times New Roman"/>
              </w:rPr>
            </w:pPr>
          </w:p>
        </w:tc>
        <w:tc>
          <w:tcPr>
            <w:tcW w:w="1495" w:type="dxa"/>
          </w:tcPr>
          <w:p w14:paraId="1E610FC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主要技术参数要求：</w:t>
            </w:r>
          </w:p>
        </w:tc>
        <w:tc>
          <w:tcPr>
            <w:tcW w:w="5814" w:type="dxa"/>
          </w:tcPr>
          <w:p w14:paraId="61996BCF">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1、用途：适用于各种外科开放及腔镜下手术中组织的切割。</w:t>
            </w:r>
          </w:p>
          <w:p w14:paraId="570966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2、工作模式：</w:t>
            </w:r>
          </w:p>
          <w:p w14:paraId="14FF26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2.1、至少具备三个单极电切模式：纯切、混切1、混切2；电切最大输出功率≥300W。</w:t>
            </w:r>
          </w:p>
          <w:p w14:paraId="3799A9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2.2、至少具备两个单极电凝模式：喷射凝、强力凝；单极电凝最大输出功率≥120W。</w:t>
            </w:r>
          </w:p>
          <w:p w14:paraId="6B6236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2.3、至少具备两个双极模式：标准双极电凝、双极强力电凝；双极最大功率≥120W。</w:t>
            </w:r>
          </w:p>
          <w:p w14:paraId="3C3684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3、▲具备手控、脚控输出功能。具有≥2个脚踏连接口，可独立脚踏控制每个切割、凝血功能区域。</w:t>
            </w:r>
          </w:p>
          <w:p w14:paraId="175DF36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4、主机采用医用液晶触摸屏显示，液晶屏≥5英寸，分辨率≥1280*800 。</w:t>
            </w:r>
          </w:p>
          <w:p w14:paraId="4A625D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5、具备中性电极面积检测功能，具有中性电极检测电路软件。</w:t>
            </w:r>
          </w:p>
          <w:p w14:paraId="50E124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6、具有功率补偿软件，可及时检测组织阻抗大小的变化，输出功率大小自动调节以维持功率的恒定。</w:t>
            </w:r>
          </w:p>
          <w:p w14:paraId="549EC1D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7、▲采用微电脑控制，具有记忆存储功能。可预设≥10组常用手术数据。</w:t>
            </w:r>
          </w:p>
          <w:p w14:paraId="021071B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8、具有刀笔遥控调节输出功率大小功能。</w:t>
            </w:r>
          </w:p>
          <w:p w14:paraId="4EA971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9、具备额定功率过压保护功能，即实际输出功率高于设定值时停止输出。</w:t>
            </w:r>
          </w:p>
          <w:p w14:paraId="05E822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10、具备高频漏电流保护功能和闭环回路功率校准电路。</w:t>
            </w:r>
          </w:p>
          <w:p w14:paraId="786884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11、具有双极电凝阻抗识别功能，超过设定的阻抗值，设备自动停止输出。</w:t>
            </w:r>
          </w:p>
          <w:p w14:paraId="21A85B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12、▲具有开机自检功能，错误代码报警提示≥5条。</w:t>
            </w:r>
          </w:p>
          <w:p w14:paraId="2C411E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13、防电击保护类型I类 ,防电击保护程度CF型，除颤型。</w:t>
            </w:r>
          </w:p>
          <w:p w14:paraId="5F8D75C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14、工作频率：400KHz-480KHZ。</w:t>
            </w:r>
          </w:p>
          <w:p w14:paraId="4A2575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15、★配置清单：</w:t>
            </w:r>
          </w:p>
          <w:p w14:paraId="23607B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15.1、高频电刀主机1台；</w:t>
            </w:r>
          </w:p>
          <w:p w14:paraId="1AE4F1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15.2、电刀笔5把；</w:t>
            </w:r>
          </w:p>
          <w:p w14:paraId="0FCFC8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15.3、中性电极10片；</w:t>
            </w:r>
          </w:p>
          <w:p w14:paraId="68BED7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15.4、中性电极电缆线1条；</w:t>
            </w:r>
          </w:p>
          <w:p w14:paraId="6EA92A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15.5、单极脚踏开关1个；</w:t>
            </w:r>
          </w:p>
          <w:p w14:paraId="0D5B1D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15.6、双极脚踏开关1个；</w:t>
            </w:r>
          </w:p>
          <w:p w14:paraId="5C41033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15.7、高频转接线1条；</w:t>
            </w:r>
          </w:p>
          <w:p w14:paraId="18A8C9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15.8、双极电凝镊1把；</w:t>
            </w:r>
          </w:p>
          <w:p w14:paraId="09A04A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15.9、双极镊连线1条；</w:t>
            </w:r>
          </w:p>
          <w:p w14:paraId="416B0C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16、★质保期：≥3年</w:t>
            </w:r>
          </w:p>
        </w:tc>
      </w:tr>
    </w:tbl>
    <w:p w14:paraId="30513E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标的名称：医用输血输液加温器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27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2E64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0C8BC8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BB6C16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6EE33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A8DA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FA9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B3E5D51">
            <w:pPr>
              <w:rPr>
                <w:rFonts w:ascii="Calibri" w:hAnsi="Calibri" w:eastAsia="宋体" w:cs="Times New Roman"/>
              </w:rPr>
            </w:pPr>
          </w:p>
        </w:tc>
        <w:tc>
          <w:tcPr>
            <w:tcW w:w="1495" w:type="dxa"/>
          </w:tcPr>
          <w:p w14:paraId="643B092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主要技术参数要求：</w:t>
            </w:r>
          </w:p>
        </w:tc>
        <w:tc>
          <w:tcPr>
            <w:tcW w:w="5814" w:type="dxa"/>
          </w:tcPr>
          <w:p w14:paraId="7C839792">
            <w:pPr>
              <w:jc w:val="both"/>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1、主机结构：一体化支架提手，支持移动仪器和固定加热管；</w:t>
            </w:r>
          </w:p>
          <w:p w14:paraId="034BDF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2、加热模式：全程包裹式加温，液体管路无裸露部分，加温后液体直接输入人</w:t>
            </w:r>
          </w:p>
          <w:p w14:paraId="638AEE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体，热量不流失，适合寒冷环境使用；</w:t>
            </w:r>
          </w:p>
          <w:p w14:paraId="34968E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3、▲温度可调范围： 33℃-41℃，连续可调，增率0.1℃，控温精度为0.1℃；</w:t>
            </w:r>
          </w:p>
          <w:p w14:paraId="38A7A3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4、显示屏：微电脑PID闭环温控系统，配置彩色显示屏，尺寸≥80*90mm；</w:t>
            </w:r>
          </w:p>
          <w:p w14:paraId="7F0F5D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5、按键：非触摸屏，支持消毒；</w:t>
            </w:r>
          </w:p>
          <w:p w14:paraId="74CF8C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6、机器运行时屏幕可同时显示参数包括：加热时间，设定温度，加热温度，高温报警，低温报警，传感器故障；</w:t>
            </w:r>
          </w:p>
          <w:p w14:paraId="232DAA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7、耗材：直接加温常规输血输液管路，无需特殊耗材；</w:t>
            </w:r>
          </w:p>
          <w:p w14:paraId="106C6A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8、安全控制：系统内置报警测试功能，在面板操作即可测试报警功能是否正常；</w:t>
            </w:r>
          </w:p>
          <w:p w14:paraId="712D5C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9、具备超温断电保护功能：超过42℃系统声光报警自动停止加热；</w:t>
            </w:r>
          </w:p>
          <w:p w14:paraId="3AF64A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10、低温报警：低于32℃系统声光报警提示低温；</w:t>
            </w:r>
          </w:p>
          <w:p w14:paraId="308295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11、加热系统：可同时连接两条加热管，可单独设定每条加热管的温度并恒温控制；</w:t>
            </w:r>
          </w:p>
          <w:p w14:paraId="45F7B2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12、预热时间：从20℃-36℃小于2分钟；</w:t>
            </w:r>
          </w:p>
          <w:p w14:paraId="6452E2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13、加热管结构：三腔硅胶柔性加热套管，集成4组发热丝，二组独立温度传感器，发热均匀；</w:t>
            </w:r>
          </w:p>
          <w:p w14:paraId="2A4C4A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14、▲加温管尾部开口≥45°，扩口设计；</w:t>
            </w:r>
          </w:p>
          <w:p w14:paraId="6FC0A90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15、两条加热管串联使用可满足大流量加温需要；</w:t>
            </w:r>
          </w:p>
          <w:p w14:paraId="1DC24D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16、▲加热管可选长度≥10种，包括0.5米，0.6米，0.9米，1.0米，1.2米，1.4米，1.5米，1.8米，2.4米，2.8米；</w:t>
            </w:r>
          </w:p>
          <w:p w14:paraId="38BDE55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17、加热管可选内径≥3种，包括3.5mm，6.5mm和14.5mm；</w:t>
            </w:r>
          </w:p>
          <w:p w14:paraId="6C80D3D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18、电气安全保护类别：I类；</w:t>
            </w:r>
          </w:p>
          <w:p w14:paraId="31B32C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19、电气安全保护级别：BF型，防除颤保护；</w:t>
            </w:r>
          </w:p>
          <w:p w14:paraId="294215C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20、防潮保护级别：≥IPX2；</w:t>
            </w:r>
          </w:p>
          <w:p w14:paraId="38F81B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21、工作方式：连续运行；</w:t>
            </w:r>
          </w:p>
          <w:p w14:paraId="148A167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22、★配置清单：</w:t>
            </w:r>
          </w:p>
          <w:p w14:paraId="7DB6F9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22.1、加温器主机1台</w:t>
            </w:r>
          </w:p>
          <w:p w14:paraId="340FE8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22.2、插拔式加热管1条</w:t>
            </w:r>
          </w:p>
          <w:p w14:paraId="191F12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22.3、加热管夹子1套</w:t>
            </w:r>
          </w:p>
          <w:p w14:paraId="7C0424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23、★质保期：≥3年</w:t>
            </w:r>
          </w:p>
        </w:tc>
      </w:tr>
    </w:tbl>
    <w:p w14:paraId="382F1C1C">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37739EE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74C026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5FD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7FE8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170233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3741FA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6D018E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0AF8F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4B17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630836F">
            <w:pPr>
              <w:rPr>
                <w:rFonts w:ascii="Calibri" w:hAnsi="Calibri" w:eastAsia="宋体" w:cs="Times New Roman"/>
              </w:rPr>
            </w:pPr>
          </w:p>
        </w:tc>
        <w:tc>
          <w:tcPr>
            <w:tcW w:w="1495" w:type="dxa"/>
          </w:tcPr>
          <w:p w14:paraId="6469A5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售后服务（单个设备有售后服务标准或质保的以技术要求中单个设备的要求为准）</w:t>
            </w:r>
          </w:p>
        </w:tc>
        <w:tc>
          <w:tcPr>
            <w:tcW w:w="5814" w:type="dxa"/>
          </w:tcPr>
          <w:p w14:paraId="513D9B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1.1.售后服务中心：供应商已有或中标后配备售后服务中心。</w:t>
            </w:r>
          </w:p>
          <w:p w14:paraId="6E5E25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1.2.维修工程师：中标后为本项目配备专职的维修工程师。</w:t>
            </w:r>
          </w:p>
          <w:p w14:paraId="300D45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1.3.维修响应速度：2小时内作出响应，如4小时内无法电话解决问题，中标人维修工程师需在接到故障报告后24小时内到达采购人现场修理和更换零件，配件15日内到场（含节假日）。</w:t>
            </w:r>
          </w:p>
          <w:p w14:paraId="651176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1.4.技术培训：中标人需派专业技术人员到采购人指定的地点对采购人的技术人员进行使用操作、设备维修、保养等技术现场培训，直至采购人学会为止。</w:t>
            </w:r>
          </w:p>
          <w:p w14:paraId="07FA003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1.5.质保期内设备年开机率大于95％（按365天/年计算），即每年故障停机天数至多19天，停机天数每增加1天，延长质保期10天。</w:t>
            </w:r>
          </w:p>
          <w:p w14:paraId="621808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1.6.质保期内中标人应负责设备维修及抢修，确保设备正常运行，费用包含在此次报价中。</w:t>
            </w:r>
          </w:p>
          <w:p w14:paraId="660087B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1.7.质保期后维修实行先修后付款。</w:t>
            </w:r>
          </w:p>
          <w:p w14:paraId="542625E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1.8.设备停产后的备件供应：不低于十年零配件供应，其价格不超过本次投标的零备件报价（提供零备件报价清单），且保证在以后市场价下降时相应下调。</w:t>
            </w:r>
          </w:p>
          <w:p w14:paraId="421E45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1.9.任何时候远程软件提供终身维修服务和硬件支持下的软件升级。</w:t>
            </w:r>
          </w:p>
        </w:tc>
      </w:tr>
      <w:tr w14:paraId="1A991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2F59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30954C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27B1C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1FA3561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若所投产品为强制管理的器具，所投产品应具有计量器具型式批准证书，投标人在交货前应完成其型式评价，经相应的型式评价的技术机构评价合格后，方可交付采购人，相关检测费用由投标人支付。且应符合《市场监管总局关于调整实施强制管理的计量器具目录的公告》及《中华人民共和国强制检定工作计量器具检定管理办法》等法规要求。</w:t>
            </w:r>
          </w:p>
          <w:p w14:paraId="2A2912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2.若投标产品属于强制性产品认证目录内，则投标人须满足《强制性认证管理规定》。并在交货时向采购人出具有效的强制性认证证书或标志。</w:t>
            </w:r>
          </w:p>
          <w:p w14:paraId="286705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3.若投标产品为消毒产品的，投标产品须具备有效的《消毒产品卫生安全评价报告》，投标产品若为新消毒产品须具备有效的卫生许可批件；并在交货时向采购人出具有效的证明材料。</w:t>
            </w:r>
          </w:p>
          <w:p w14:paraId="34F0D26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4.付款要求：</w:t>
            </w:r>
          </w:p>
          <w:p w14:paraId="03E525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4.1中标人申领货款前，应向采购人提供应付货款(合同总价)的税务发票。</w:t>
            </w:r>
          </w:p>
          <w:p w14:paraId="7E218F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4.2中标人必须严格遵照相关税收法规和文件，开具合法有效的发票。若因中标人延迟提供发票或提供的发票不合格的，采购人有权延迟付款，且不承担逾期付款的违约责任。因中标人开具的发票不符合税收法规或税务机关相关规定而给采购人造成经济损失的，中标人负责赔偿，且中标人应按发票票面金额20%向采购人支付违约金，采购人有权向有关机关报案。</w:t>
            </w:r>
          </w:p>
          <w:p w14:paraId="209477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4.3中标人开具的发票在送达采购人前如发生丢失、灭失或被盗等情况，导致相应票据未顺利送达采购人的，中标人应负责按相关税收法律法规的规定向采购人提供相应资料，否则，采购人有权拒绝支付合同款项，且不承担违约责任，该种情况下中标人仍应履行合同义务；中标人开具的发票送达并经采购人签收后，若发生丢失，中标人应积极协助采购人，按照相关税收法规和文件的规定提供相应资料。</w:t>
            </w:r>
          </w:p>
        </w:tc>
      </w:tr>
    </w:tbl>
    <w:p w14:paraId="5D0588F7">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35BE7E2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174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D72E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761686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D03A5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330C89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0492F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A7E7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ABAA6B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5D7D5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2CC3D2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合同签订后45天内送达采购人指定地点，所有货物为全新设备，所交货物生产日期距验收日期不超过1年。</w:t>
            </w:r>
          </w:p>
        </w:tc>
      </w:tr>
      <w:tr w14:paraId="2081E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F406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25B7B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A2AAC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547A66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西南医科大学附属中医医院</w:t>
            </w:r>
          </w:p>
        </w:tc>
      </w:tr>
      <w:tr w14:paraId="25F6F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91F5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48DAB53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B0D70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12427F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一次付清</w:t>
            </w:r>
          </w:p>
        </w:tc>
      </w:tr>
      <w:tr w14:paraId="2E61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CE00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55232B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AD100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1A1B500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1、签订合同后，货物到达采购人指定地点，经采购人验收合格后，达到付款条件起30日内，支付合同总金额的100.00%</w:t>
            </w:r>
          </w:p>
        </w:tc>
      </w:tr>
      <w:tr w14:paraId="25381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13A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209FC9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A63FE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7A2485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1、验收组织方式：采购人与中标人双方并会同有关部门人员共同验收。 2、验收主体：采购人。 3、履约验收时间：以交货验收时间为准。如有特殊情况或不可抗力因素影响，由双方协商验收时间。 4、技术履约验收内容：按照本项目招标文件中“技术要求”及中标人投标文件进行验收。 5、商务履约验收内容：按照本项目招标文件中“服务要求”及中标人投标文件进行验收。 6、履约验收标准：按照采购人招标文件的质量要求和技术指标、中标人的投标文件及承诺与本合同约定标准进行验收；双方如对质量要求和技术指标的约定标准有相互抵触或异议的事项，由采购人在招标与中标人的投标文件中按质量要求和技术指标比较优胜、更有利于采购人的原则进行验收，他未尽事宜严格按照《关于进一步加强政府采购需求和履约验收管理的指导意见》(财库〔2016〕205号)的要求执行。 7.1.采购人确认合格并签署验收报告后，即作为中标人向采购人交付的依据，至此，合同产品的使用权即转移给采购人，合同服务达到验收标准。但采购人的验收行为并不能起到认证中标人开展的项目已经达到约定验收标准的作用，采购人的签章只应是对本项目初步具备合同约定要求的一种确认，如采购人签章后发现中标人的产品或服务与国家标准、招标文件及中标人的投标文件不符时，仍应视为中标人未交付合格，相应责任仍应由中标人承担，责任范围应包括：违约、赔偿损失、重作等。 7.2.验收时如发现所交付的货物有短装、次品、损坏或其它不符合标准及本合同规定之情形者，采购人应做出详尽的现场记录，或由签署备忘录，此现场记录或备忘录可用作补充、缺失和更换损坏部件的有效证据，由此产生的时间延误与有关费用由中标人承担，验收期限相应顺延。 8.合同签订后，中标人提供设备装箱清单、安装条件的技术要求与技术指导。设备安装后，采购人按国家标准、招标文件技术参数及要求、投标文件应答和相关行业标准、厂方标准进行质量验收。采购人有权委托国家认可的第三方检验机构进行质量检测。发生的费用由中标人承担。 9.在货物到达交货地点后，中标人接到采购人通知后7日内，在采购人在场的情况下开箱清点货物、安装、调试，达到正常运作要求，保证采购人正常使用，并承担因此发生的一切费用。依据中标人提供的装箱清单、检验合格证书、使用说明书及质量标准等有关资料，由采购人与中标人双方并会同有关部门人员共同验收，如有短缺、规格质量不符、资料不全等，由中标人在15日内给予更换、补齐，并承担由此产生的全部费用。 注：因系统固化原因，如采购文件第二章2.6.6.履约验收方案内容与此处内容有冲突的，以此为准。</w:t>
            </w:r>
          </w:p>
        </w:tc>
      </w:tr>
      <w:tr w14:paraId="1EBD1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E66D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04777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9AA87E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1060C73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验收合格之日起整机质保不少于一年（技术要求中有特别说明的，从其要求），且中标人承诺的质保期应不低于制造厂家提供的质保期。质量保修范围：本项目采购的产品整机质保。</w:t>
            </w:r>
          </w:p>
        </w:tc>
      </w:tr>
      <w:tr w14:paraId="32171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7172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2915EE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5B92E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48C592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一、违约责任 （一）若中标人未履行本合同约定义务，应支付合同总价款 20 %的违约金，并对由此造成的损失承担赔偿责任。 （二）采购人要求中标人限期整改，逾期未整改并给采购人造成经济损失的，中标人应承担赔偿责任，且采购人有权解除合同。 （三）中标人擅自转让本合同约定的服务项目的，采购人有权单方解除合同，且中标人应支付合同总价款20 %的违约金。 （四）任何一方无正当理由提前终止合同的，应向对方支付合同价款 20 %的违约金，造成损失的应承担赔偿责任。 （五）采购人未按合同约定支付中标人费用的，每逾期一天按合同总金额的万分之五的标准支付违约金。 （六）任何一方不履行其他合同义务或履行义务不符合约定的，应当承担继续履行、采取补救措施、赔偿损失等违约责任，并按合同价款 20 %支付违约金。 （七）违约方应承担守约方实现其债权的所有费用，包括但不限于律师费用、仲裁诉讼费用、保全担保费用、鉴定费用、公告费用等。 （八）其他约定:中标人无正当理由逾期交付货物而违约的，除应及时交足货物外，采购人有权让中标人偿付逾期交货部分货款总额的万分之三/天的违约金。 二、争议的解决 （一）本合同履行过程中如发生争议，双方应本着诚实信用的原则友好协商解决。协商不成的，向合同签约地人民法院提起诉讼。 （二）本合同无效或解除的，不影响采购人和中标人双方之间对未了债务的追偿、清算和本合同中争议解决条文的效力。 （三）在纠纷解决的过程中，除受争议影响的部分外，本协议其他部分应继续执行。</w:t>
            </w:r>
          </w:p>
        </w:tc>
      </w:tr>
      <w:tr w14:paraId="39AE8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A709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148917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9CF2C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432135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9F3BE3B">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673160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1、说明（本说明无需投标人单独响应，投标人按招标文件要求提供投标人的经营许可/经营备案证明材料以及产品的注册/备案证明材料即可）： 本项目各采购包件中属于医疗器械的采购产品说明详见《附件：采购产品说明》，针对附件中说明为属于医疗器械的采购产品，投标人须符合《医疗器械监督管理条例》要求并提供投标人经营该产品的经营许可/经营备案证明材料，投标产品须符合《医疗器械注册与备案管理办法》要求并提供产品的注册/备案证明材料。 注：未按招标文件要求提供有效期内的经营许可/经营备案证明材料或产品的注册/备案证明材料的，将在资格审查时按不予通过处理。</w:t>
      </w:r>
    </w:p>
    <w:p w14:paraId="568653EF">
      <w:r>
        <w:rPr>
          <w:rFonts w:hint="eastAsia" w:ascii="仿宋_GB2312" w:hAnsi="仿宋_GB2312" w:eastAsia="仿宋_GB2312" w:cs="仿宋_GB2312"/>
          <w:lang w:val="en-US" w:eastAsia="zh-Han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031E0"/>
    <w:rsid w:val="1A80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2026-05-09T04:01:00Z</dcterms:created>
  <dc:creator>王杉</dc:creator>
  <cp:lastModifiedBy>王杉</cp:lastModifiedBy>
  <dcterms:modified xsi:type="dcterms:W3CDTF">2026-05-09T04:02:40Z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B349C0F0FC0343BFBDAD68D3982B8B2F_11</vt:lpwstr>
  </property>
  <property fmtid="{D5CDD505-2E9C-101B-9397-08002B2CF9AE}" pid="4" name="KSOTemplateDocerSaveRecord">
    <vt:lpwstr>eyJoZGlkIjoiYTQ1MjY2MzU1MWNhOTg2NTE3ZTFmYTFhNmMyYmE4MWIiLCJ1c2VySWQiOiIyNjM4Mjg1MjgifQ==</vt:lpwstr>
  </property>
</Properties>
</file>