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41C6A">
      <w:pPr>
        <w:pStyle w:val="4"/>
        <w:jc w:val="center"/>
        <w:outlineLvl w:val="1"/>
      </w:pPr>
      <w:bookmarkStart w:id="0" w:name="_GoBack"/>
      <w:bookmarkEnd w:id="0"/>
      <w:r>
        <w:rPr>
          <w:rFonts w:ascii="仿宋_GB2312" w:hAnsi="仿宋_GB2312" w:eastAsia="仿宋_GB2312" w:cs="仿宋_GB2312"/>
          <w:b/>
          <w:sz w:val="36"/>
        </w:rPr>
        <w:t>技术、服务及其他要求</w:t>
      </w:r>
    </w:p>
    <w:p w14:paraId="4654F8B4">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4775817C">
      <w:pPr>
        <w:pStyle w:val="4"/>
        <w:jc w:val="left"/>
        <w:outlineLvl w:val="2"/>
      </w:pPr>
      <w:r>
        <w:rPr>
          <w:rFonts w:ascii="仿宋_GB2312" w:hAnsi="仿宋_GB2312" w:eastAsia="仿宋_GB2312" w:cs="仿宋_GB2312"/>
          <w:b/>
          <w:sz w:val="28"/>
        </w:rPr>
        <w:t>3.1.采购内容</w:t>
      </w:r>
    </w:p>
    <w:p w14:paraId="577169A9">
      <w:pPr>
        <w:pStyle w:val="4"/>
        <w:jc w:val="left"/>
      </w:pPr>
      <w:r>
        <w:rPr>
          <w:rFonts w:ascii="仿宋_GB2312" w:hAnsi="仿宋_GB2312" w:eastAsia="仿宋_GB2312" w:cs="仿宋_GB2312"/>
        </w:rPr>
        <w:t>采购包1：</w:t>
      </w:r>
    </w:p>
    <w:p w14:paraId="5ED484DE">
      <w:pPr>
        <w:pStyle w:val="4"/>
        <w:jc w:val="left"/>
      </w:pPr>
      <w:r>
        <w:rPr>
          <w:rFonts w:ascii="仿宋_GB2312" w:hAnsi="仿宋_GB2312" w:eastAsia="仿宋_GB2312" w:cs="仿宋_GB2312"/>
        </w:rPr>
        <w:t>采购包预算金额（元）: 1,500,000.00</w:t>
      </w:r>
    </w:p>
    <w:p w14:paraId="3EC3AAC2">
      <w:pPr>
        <w:pStyle w:val="4"/>
        <w:jc w:val="left"/>
      </w:pPr>
      <w:r>
        <w:rPr>
          <w:rFonts w:ascii="仿宋_GB2312" w:hAnsi="仿宋_GB2312" w:eastAsia="仿宋_GB2312" w:cs="仿宋_GB2312"/>
        </w:rPr>
        <w:t>采购包最高限价（元）: 1,500,000.00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762"/>
        <w:gridCol w:w="820"/>
        <w:gridCol w:w="1416"/>
        <w:gridCol w:w="704"/>
        <w:gridCol w:w="704"/>
        <w:gridCol w:w="704"/>
        <w:gridCol w:w="704"/>
        <w:gridCol w:w="574"/>
        <w:gridCol w:w="574"/>
      </w:tblGrid>
      <w:tr w14:paraId="30BC3D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BB5B6D8">
            <w:pPr>
              <w:pStyle w:val="4"/>
              <w:jc w:val="center"/>
            </w:pPr>
            <w:r>
              <w:rPr>
                <w:rFonts w:ascii="仿宋_GB2312" w:hAnsi="仿宋_GB2312" w:eastAsia="仿宋_GB2312" w:cs="仿宋_GB2312"/>
              </w:rPr>
              <w:t>序号</w:t>
            </w:r>
          </w:p>
        </w:tc>
        <w:tc>
          <w:tcPr>
            <w:tcW w:w="821" w:type="dxa"/>
          </w:tcPr>
          <w:p w14:paraId="7B1A6D92">
            <w:pPr>
              <w:pStyle w:val="4"/>
              <w:jc w:val="center"/>
            </w:pPr>
            <w:r>
              <w:rPr>
                <w:rFonts w:ascii="仿宋_GB2312" w:hAnsi="仿宋_GB2312" w:eastAsia="仿宋_GB2312" w:cs="仿宋_GB2312"/>
              </w:rPr>
              <w:t>采购品目名称</w:t>
            </w:r>
          </w:p>
        </w:tc>
        <w:tc>
          <w:tcPr>
            <w:tcW w:w="821" w:type="dxa"/>
          </w:tcPr>
          <w:p w14:paraId="1FEC2359">
            <w:pPr>
              <w:pStyle w:val="4"/>
              <w:jc w:val="center"/>
            </w:pPr>
            <w:r>
              <w:rPr>
                <w:rFonts w:ascii="仿宋_GB2312" w:hAnsi="仿宋_GB2312" w:eastAsia="仿宋_GB2312" w:cs="仿宋_GB2312"/>
              </w:rPr>
              <w:t>标的名称</w:t>
            </w:r>
          </w:p>
        </w:tc>
        <w:tc>
          <w:tcPr>
            <w:tcW w:w="821" w:type="dxa"/>
          </w:tcPr>
          <w:p w14:paraId="5C5B2D6F">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470EAF13">
            <w:pPr>
              <w:pStyle w:val="4"/>
              <w:jc w:val="center"/>
            </w:pPr>
            <w:r>
              <w:rPr>
                <w:rFonts w:ascii="仿宋_GB2312" w:hAnsi="仿宋_GB2312" w:eastAsia="仿宋_GB2312" w:cs="仿宋_GB2312"/>
              </w:rPr>
              <w:t>标的金额 （元）</w:t>
            </w:r>
          </w:p>
        </w:tc>
        <w:tc>
          <w:tcPr>
            <w:tcW w:w="821" w:type="dxa"/>
          </w:tcPr>
          <w:p w14:paraId="2241031F">
            <w:pPr>
              <w:pStyle w:val="4"/>
              <w:jc w:val="center"/>
            </w:pPr>
            <w:r>
              <w:rPr>
                <w:rFonts w:ascii="仿宋_GB2312" w:hAnsi="仿宋_GB2312" w:eastAsia="仿宋_GB2312" w:cs="仿宋_GB2312"/>
              </w:rPr>
              <w:t>所属行业</w:t>
            </w:r>
          </w:p>
        </w:tc>
        <w:tc>
          <w:tcPr>
            <w:tcW w:w="821" w:type="dxa"/>
          </w:tcPr>
          <w:p w14:paraId="3466595F">
            <w:pPr>
              <w:pStyle w:val="4"/>
              <w:jc w:val="center"/>
            </w:pPr>
            <w:r>
              <w:rPr>
                <w:rFonts w:ascii="仿宋_GB2312" w:hAnsi="仿宋_GB2312" w:eastAsia="仿宋_GB2312" w:cs="仿宋_GB2312"/>
              </w:rPr>
              <w:t>是否涉及核心产品</w:t>
            </w:r>
          </w:p>
        </w:tc>
        <w:tc>
          <w:tcPr>
            <w:tcW w:w="821" w:type="dxa"/>
          </w:tcPr>
          <w:p w14:paraId="3E5B0499">
            <w:pPr>
              <w:pStyle w:val="4"/>
              <w:jc w:val="center"/>
            </w:pPr>
            <w:r>
              <w:rPr>
                <w:rFonts w:ascii="仿宋_GB2312" w:hAnsi="仿宋_GB2312" w:eastAsia="仿宋_GB2312" w:cs="仿宋_GB2312"/>
              </w:rPr>
              <w:t>是否涉及采购进口产品</w:t>
            </w:r>
          </w:p>
        </w:tc>
        <w:tc>
          <w:tcPr>
            <w:tcW w:w="821" w:type="dxa"/>
          </w:tcPr>
          <w:p w14:paraId="6B9E7642">
            <w:pPr>
              <w:pStyle w:val="4"/>
              <w:jc w:val="center"/>
            </w:pPr>
            <w:r>
              <w:rPr>
                <w:rFonts w:ascii="仿宋_GB2312" w:hAnsi="仿宋_GB2312" w:eastAsia="仿宋_GB2312" w:cs="仿宋_GB2312"/>
              </w:rPr>
              <w:t>是否涉及强制采购节能产品</w:t>
            </w:r>
          </w:p>
        </w:tc>
        <w:tc>
          <w:tcPr>
            <w:tcW w:w="639" w:type="dxa"/>
          </w:tcPr>
          <w:p w14:paraId="438A73D3">
            <w:pPr>
              <w:pStyle w:val="4"/>
              <w:jc w:val="center"/>
            </w:pPr>
            <w:r>
              <w:rPr>
                <w:rFonts w:ascii="仿宋_GB2312" w:hAnsi="仿宋_GB2312" w:eastAsia="仿宋_GB2312" w:cs="仿宋_GB2312"/>
              </w:rPr>
              <w:t>是否涉及优先采购节能产品</w:t>
            </w:r>
          </w:p>
        </w:tc>
        <w:tc>
          <w:tcPr>
            <w:tcW w:w="639" w:type="dxa"/>
          </w:tcPr>
          <w:p w14:paraId="0AA83390">
            <w:pPr>
              <w:pStyle w:val="4"/>
              <w:jc w:val="center"/>
            </w:pPr>
            <w:r>
              <w:rPr>
                <w:rFonts w:ascii="仿宋_GB2312" w:hAnsi="仿宋_GB2312" w:eastAsia="仿宋_GB2312" w:cs="仿宋_GB2312"/>
              </w:rPr>
              <w:t>是否涉及优先采购环境标志产品</w:t>
            </w:r>
          </w:p>
        </w:tc>
      </w:tr>
      <w:tr w14:paraId="0B787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D6DCB0F">
            <w:pPr>
              <w:pStyle w:val="4"/>
              <w:jc w:val="left"/>
            </w:pPr>
            <w:r>
              <w:rPr>
                <w:rFonts w:ascii="仿宋_GB2312" w:hAnsi="仿宋_GB2312" w:eastAsia="仿宋_GB2312" w:cs="仿宋_GB2312"/>
              </w:rPr>
              <w:t>1</w:t>
            </w:r>
          </w:p>
        </w:tc>
        <w:tc>
          <w:tcPr>
            <w:tcW w:w="821" w:type="dxa"/>
          </w:tcPr>
          <w:p w14:paraId="0AD7276E">
            <w:pPr>
              <w:pStyle w:val="4"/>
              <w:jc w:val="left"/>
            </w:pPr>
            <w:r>
              <w:rPr>
                <w:rFonts w:ascii="仿宋_GB2312" w:hAnsi="仿宋_GB2312" w:eastAsia="仿宋_GB2312" w:cs="仿宋_GB2312"/>
              </w:rPr>
              <w:t>C03040000 人才服务</w:t>
            </w:r>
          </w:p>
        </w:tc>
        <w:tc>
          <w:tcPr>
            <w:tcW w:w="821" w:type="dxa"/>
          </w:tcPr>
          <w:p w14:paraId="18A25E19">
            <w:pPr>
              <w:pStyle w:val="4"/>
              <w:jc w:val="left"/>
            </w:pPr>
            <w:r>
              <w:rPr>
                <w:rFonts w:ascii="仿宋_GB2312" w:hAnsi="仿宋_GB2312" w:eastAsia="仿宋_GB2312" w:cs="仿宋_GB2312"/>
              </w:rPr>
              <w:t>2026年海外人才实习生计划活动执行</w:t>
            </w:r>
          </w:p>
        </w:tc>
        <w:tc>
          <w:tcPr>
            <w:tcW w:w="821" w:type="dxa"/>
          </w:tcPr>
          <w:p w14:paraId="4AFD67E9">
            <w:pPr>
              <w:pStyle w:val="4"/>
              <w:jc w:val="right"/>
            </w:pPr>
            <w:r>
              <w:rPr>
                <w:rFonts w:ascii="仿宋_GB2312" w:hAnsi="仿宋_GB2312" w:eastAsia="仿宋_GB2312" w:cs="仿宋_GB2312"/>
              </w:rPr>
              <w:t>1.00（项）</w:t>
            </w:r>
          </w:p>
        </w:tc>
        <w:tc>
          <w:tcPr>
            <w:tcW w:w="821" w:type="dxa"/>
          </w:tcPr>
          <w:p w14:paraId="1F68C958">
            <w:pPr>
              <w:pStyle w:val="4"/>
              <w:jc w:val="right"/>
            </w:pPr>
            <w:r>
              <w:rPr>
                <w:rFonts w:ascii="仿宋_GB2312" w:hAnsi="仿宋_GB2312" w:eastAsia="仿宋_GB2312" w:cs="仿宋_GB2312"/>
              </w:rPr>
              <w:t>1,500,000.00</w:t>
            </w:r>
          </w:p>
        </w:tc>
        <w:tc>
          <w:tcPr>
            <w:tcW w:w="821" w:type="dxa"/>
          </w:tcPr>
          <w:p w14:paraId="097CBF6E">
            <w:pPr>
              <w:pStyle w:val="4"/>
              <w:jc w:val="left"/>
            </w:pPr>
            <w:r>
              <w:rPr>
                <w:rFonts w:ascii="仿宋_GB2312" w:hAnsi="仿宋_GB2312" w:eastAsia="仿宋_GB2312" w:cs="仿宋_GB2312"/>
              </w:rPr>
              <w:t>其他未列明行业</w:t>
            </w:r>
          </w:p>
        </w:tc>
        <w:tc>
          <w:tcPr>
            <w:tcW w:w="821" w:type="dxa"/>
          </w:tcPr>
          <w:p w14:paraId="7DB97212">
            <w:pPr>
              <w:pStyle w:val="4"/>
              <w:jc w:val="left"/>
            </w:pPr>
            <w:r>
              <w:rPr>
                <w:rFonts w:ascii="仿宋_GB2312" w:hAnsi="仿宋_GB2312" w:eastAsia="仿宋_GB2312" w:cs="仿宋_GB2312"/>
              </w:rPr>
              <w:t>否</w:t>
            </w:r>
          </w:p>
        </w:tc>
        <w:tc>
          <w:tcPr>
            <w:tcW w:w="821" w:type="dxa"/>
          </w:tcPr>
          <w:p w14:paraId="3ACB887C">
            <w:pPr>
              <w:pStyle w:val="4"/>
              <w:jc w:val="left"/>
            </w:pPr>
            <w:r>
              <w:rPr>
                <w:rFonts w:ascii="仿宋_GB2312" w:hAnsi="仿宋_GB2312" w:eastAsia="仿宋_GB2312" w:cs="仿宋_GB2312"/>
              </w:rPr>
              <w:t>否</w:t>
            </w:r>
          </w:p>
        </w:tc>
        <w:tc>
          <w:tcPr>
            <w:tcW w:w="821" w:type="dxa"/>
          </w:tcPr>
          <w:p w14:paraId="4E070E1B">
            <w:pPr>
              <w:pStyle w:val="4"/>
              <w:jc w:val="left"/>
            </w:pPr>
            <w:r>
              <w:rPr>
                <w:rFonts w:ascii="仿宋_GB2312" w:hAnsi="仿宋_GB2312" w:eastAsia="仿宋_GB2312" w:cs="仿宋_GB2312"/>
              </w:rPr>
              <w:t>否</w:t>
            </w:r>
          </w:p>
        </w:tc>
        <w:tc>
          <w:tcPr>
            <w:tcW w:w="639" w:type="dxa"/>
          </w:tcPr>
          <w:p w14:paraId="50AD7C85">
            <w:pPr>
              <w:pStyle w:val="4"/>
              <w:jc w:val="left"/>
            </w:pPr>
            <w:r>
              <w:rPr>
                <w:rFonts w:ascii="仿宋_GB2312" w:hAnsi="仿宋_GB2312" w:eastAsia="仿宋_GB2312" w:cs="仿宋_GB2312"/>
              </w:rPr>
              <w:t>否</w:t>
            </w:r>
          </w:p>
        </w:tc>
        <w:tc>
          <w:tcPr>
            <w:tcW w:w="639" w:type="dxa"/>
          </w:tcPr>
          <w:p w14:paraId="16A52BED">
            <w:pPr>
              <w:pStyle w:val="4"/>
              <w:jc w:val="left"/>
            </w:pPr>
            <w:r>
              <w:rPr>
                <w:rFonts w:ascii="仿宋_GB2312" w:hAnsi="仿宋_GB2312" w:eastAsia="仿宋_GB2312" w:cs="仿宋_GB2312"/>
              </w:rPr>
              <w:t>否</w:t>
            </w:r>
          </w:p>
        </w:tc>
      </w:tr>
    </w:tbl>
    <w:p w14:paraId="460CCA3A">
      <w:pPr>
        <w:pStyle w:val="4"/>
        <w:jc w:val="left"/>
      </w:pPr>
      <w:r>
        <w:rPr>
          <w:rFonts w:ascii="仿宋_GB2312" w:hAnsi="仿宋_GB2312" w:eastAsia="仿宋_GB2312" w:cs="仿宋_GB2312"/>
        </w:rPr>
        <w:t xml:space="preserve"> 是否适用本国产品标准：</w:t>
      </w:r>
    </w:p>
    <w:p w14:paraId="1189D521">
      <w:pPr>
        <w:pStyle w:val="4"/>
        <w:jc w:val="left"/>
      </w:pPr>
      <w:r>
        <w:rPr>
          <w:rFonts w:ascii="仿宋_GB2312" w:hAnsi="仿宋_GB2312" w:eastAsia="仿宋_GB2312" w:cs="仿宋_GB2312"/>
        </w:rPr>
        <w:t>采购包1：否</w:t>
      </w:r>
    </w:p>
    <w:p w14:paraId="5FD298A1">
      <w:pPr>
        <w:pStyle w:val="4"/>
        <w:jc w:val="left"/>
        <w:outlineLvl w:val="3"/>
      </w:pPr>
      <w:r>
        <w:rPr>
          <w:rFonts w:ascii="仿宋_GB2312" w:hAnsi="仿宋_GB2312" w:eastAsia="仿宋_GB2312" w:cs="仿宋_GB2312"/>
          <w:b/>
          <w:sz w:val="24"/>
        </w:rPr>
        <w:t>报价要求</w:t>
      </w:r>
    </w:p>
    <w:p w14:paraId="37D90C3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277C8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B711C8F">
            <w:pPr>
              <w:pStyle w:val="4"/>
              <w:jc w:val="center"/>
            </w:pPr>
            <w:r>
              <w:rPr>
                <w:rFonts w:ascii="仿宋_GB2312" w:hAnsi="仿宋_GB2312" w:eastAsia="仿宋_GB2312" w:cs="仿宋_GB2312"/>
              </w:rPr>
              <w:t>序号</w:t>
            </w:r>
          </w:p>
        </w:tc>
        <w:tc>
          <w:tcPr>
            <w:tcW w:w="1707" w:type="dxa"/>
          </w:tcPr>
          <w:p w14:paraId="6CD355E9">
            <w:pPr>
              <w:pStyle w:val="4"/>
              <w:jc w:val="center"/>
            </w:pPr>
            <w:r>
              <w:rPr>
                <w:rFonts w:ascii="仿宋_GB2312" w:hAnsi="仿宋_GB2312" w:eastAsia="仿宋_GB2312" w:cs="仿宋_GB2312"/>
              </w:rPr>
              <w:t>报价内容</w:t>
            </w:r>
          </w:p>
        </w:tc>
        <w:tc>
          <w:tcPr>
            <w:tcW w:w="1138" w:type="dxa"/>
          </w:tcPr>
          <w:p w14:paraId="0258FDF3">
            <w:pPr>
              <w:pStyle w:val="4"/>
              <w:jc w:val="center"/>
            </w:pPr>
            <w:r>
              <w:rPr>
                <w:rFonts w:ascii="仿宋_GB2312" w:hAnsi="仿宋_GB2312" w:eastAsia="仿宋_GB2312" w:cs="仿宋_GB2312"/>
              </w:rPr>
              <w:t>数量（计量单位）</w:t>
            </w:r>
          </w:p>
        </w:tc>
        <w:tc>
          <w:tcPr>
            <w:tcW w:w="1365" w:type="dxa"/>
          </w:tcPr>
          <w:p w14:paraId="0A4E535E">
            <w:pPr>
              <w:pStyle w:val="4"/>
              <w:jc w:val="center"/>
            </w:pPr>
            <w:r>
              <w:rPr>
                <w:rFonts w:ascii="仿宋_GB2312" w:hAnsi="仿宋_GB2312" w:eastAsia="仿宋_GB2312" w:cs="仿宋_GB2312"/>
              </w:rPr>
              <w:t>最高限价</w:t>
            </w:r>
          </w:p>
        </w:tc>
        <w:tc>
          <w:tcPr>
            <w:tcW w:w="1138" w:type="dxa"/>
          </w:tcPr>
          <w:p w14:paraId="2C093EB9">
            <w:pPr>
              <w:pStyle w:val="4"/>
              <w:jc w:val="center"/>
            </w:pPr>
            <w:r>
              <w:rPr>
                <w:rFonts w:ascii="仿宋_GB2312" w:hAnsi="仿宋_GB2312" w:eastAsia="仿宋_GB2312" w:cs="仿宋_GB2312"/>
              </w:rPr>
              <w:t>价款形式</w:t>
            </w:r>
          </w:p>
        </w:tc>
        <w:tc>
          <w:tcPr>
            <w:tcW w:w="1934" w:type="dxa"/>
          </w:tcPr>
          <w:p w14:paraId="06C22690">
            <w:pPr>
              <w:pStyle w:val="4"/>
              <w:jc w:val="center"/>
            </w:pPr>
            <w:r>
              <w:rPr>
                <w:rFonts w:ascii="仿宋_GB2312" w:hAnsi="仿宋_GB2312" w:eastAsia="仿宋_GB2312" w:cs="仿宋_GB2312"/>
              </w:rPr>
              <w:t>报价说明</w:t>
            </w:r>
          </w:p>
        </w:tc>
      </w:tr>
      <w:tr w14:paraId="1E170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532D56A">
            <w:pPr>
              <w:pStyle w:val="4"/>
              <w:jc w:val="center"/>
            </w:pPr>
            <w:r>
              <w:rPr>
                <w:rFonts w:ascii="仿宋_GB2312" w:hAnsi="仿宋_GB2312" w:eastAsia="仿宋_GB2312" w:cs="仿宋_GB2312"/>
              </w:rPr>
              <w:t>1</w:t>
            </w:r>
          </w:p>
        </w:tc>
        <w:tc>
          <w:tcPr>
            <w:tcW w:w="1707" w:type="dxa"/>
          </w:tcPr>
          <w:p w14:paraId="67C8767A">
            <w:pPr>
              <w:pStyle w:val="4"/>
              <w:jc w:val="center"/>
            </w:pPr>
            <w:r>
              <w:rPr>
                <w:rFonts w:ascii="仿宋_GB2312" w:hAnsi="仿宋_GB2312" w:eastAsia="仿宋_GB2312" w:cs="仿宋_GB2312"/>
              </w:rPr>
              <w:t>2026年海外人才实习生计划活动执行</w:t>
            </w:r>
          </w:p>
        </w:tc>
        <w:tc>
          <w:tcPr>
            <w:tcW w:w="1138" w:type="dxa"/>
          </w:tcPr>
          <w:p w14:paraId="4E609680">
            <w:pPr>
              <w:pStyle w:val="4"/>
              <w:jc w:val="center"/>
            </w:pPr>
            <w:r>
              <w:rPr>
                <w:rFonts w:ascii="仿宋_GB2312" w:hAnsi="仿宋_GB2312" w:eastAsia="仿宋_GB2312" w:cs="仿宋_GB2312"/>
              </w:rPr>
              <w:t>1.00（项）</w:t>
            </w:r>
          </w:p>
        </w:tc>
        <w:tc>
          <w:tcPr>
            <w:tcW w:w="1365" w:type="dxa"/>
          </w:tcPr>
          <w:p w14:paraId="3DAF51FB">
            <w:pPr>
              <w:pStyle w:val="4"/>
              <w:jc w:val="center"/>
            </w:pPr>
            <w:r>
              <w:rPr>
                <w:rFonts w:ascii="仿宋_GB2312" w:hAnsi="仿宋_GB2312" w:eastAsia="仿宋_GB2312" w:cs="仿宋_GB2312"/>
              </w:rPr>
              <w:t>1,500,000.00</w:t>
            </w:r>
          </w:p>
        </w:tc>
        <w:tc>
          <w:tcPr>
            <w:tcW w:w="1138" w:type="dxa"/>
          </w:tcPr>
          <w:p w14:paraId="303B7459">
            <w:pPr>
              <w:pStyle w:val="4"/>
              <w:jc w:val="center"/>
            </w:pPr>
            <w:r>
              <w:rPr>
                <w:rFonts w:ascii="仿宋_GB2312" w:hAnsi="仿宋_GB2312" w:eastAsia="仿宋_GB2312" w:cs="仿宋_GB2312"/>
              </w:rPr>
              <w:t>总价</w:t>
            </w:r>
          </w:p>
        </w:tc>
        <w:tc>
          <w:tcPr>
            <w:tcW w:w="1934" w:type="dxa"/>
          </w:tcPr>
          <w:p w14:paraId="54D76CD7">
            <w:pPr>
              <w:pStyle w:val="4"/>
              <w:jc w:val="left"/>
            </w:pPr>
            <w:r>
              <w:rPr>
                <w:rFonts w:ascii="仿宋_GB2312" w:hAnsi="仿宋_GB2312" w:eastAsia="仿宋_GB2312" w:cs="仿宋_GB2312"/>
              </w:rPr>
              <w:t>无</w:t>
            </w:r>
          </w:p>
        </w:tc>
      </w:tr>
    </w:tbl>
    <w:p w14:paraId="4F2852E7">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0DF256F8">
      <w:pPr>
        <w:pStyle w:val="4"/>
        <w:jc w:val="left"/>
        <w:outlineLvl w:val="3"/>
      </w:pPr>
      <w:r>
        <w:rPr>
          <w:rFonts w:ascii="仿宋_GB2312" w:hAnsi="仿宋_GB2312" w:eastAsia="仿宋_GB2312" w:cs="仿宋_GB2312"/>
          <w:b/>
          <w:sz w:val="24"/>
        </w:rPr>
        <w:t>本项目涉及核心产品：</w:t>
      </w:r>
    </w:p>
    <w:p w14:paraId="3A4AD9A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4D83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B7CA677">
            <w:pPr>
              <w:pStyle w:val="4"/>
              <w:jc w:val="center"/>
            </w:pPr>
            <w:r>
              <w:rPr>
                <w:rFonts w:ascii="仿宋_GB2312" w:hAnsi="仿宋_GB2312" w:eastAsia="仿宋_GB2312" w:cs="仿宋_GB2312"/>
              </w:rPr>
              <w:t>序号</w:t>
            </w:r>
          </w:p>
        </w:tc>
        <w:tc>
          <w:tcPr>
            <w:tcW w:w="2492" w:type="dxa"/>
          </w:tcPr>
          <w:p w14:paraId="59137EC8">
            <w:pPr>
              <w:pStyle w:val="4"/>
              <w:jc w:val="center"/>
            </w:pPr>
            <w:r>
              <w:rPr>
                <w:rFonts w:ascii="仿宋_GB2312" w:hAnsi="仿宋_GB2312" w:eastAsia="仿宋_GB2312" w:cs="仿宋_GB2312"/>
              </w:rPr>
              <w:t>采购品目名称</w:t>
            </w:r>
          </w:p>
        </w:tc>
        <w:tc>
          <w:tcPr>
            <w:tcW w:w="2492" w:type="dxa"/>
          </w:tcPr>
          <w:p w14:paraId="5967AEBB">
            <w:pPr>
              <w:pStyle w:val="4"/>
              <w:jc w:val="center"/>
            </w:pPr>
            <w:r>
              <w:rPr>
                <w:rFonts w:ascii="仿宋_GB2312" w:hAnsi="仿宋_GB2312" w:eastAsia="仿宋_GB2312" w:cs="仿宋_GB2312"/>
              </w:rPr>
              <w:t>标的名称</w:t>
            </w:r>
          </w:p>
        </w:tc>
        <w:tc>
          <w:tcPr>
            <w:tcW w:w="2492" w:type="dxa"/>
          </w:tcPr>
          <w:p w14:paraId="4E4ECC0A">
            <w:pPr>
              <w:pStyle w:val="4"/>
              <w:jc w:val="center"/>
            </w:pPr>
            <w:r>
              <w:rPr>
                <w:rFonts w:ascii="仿宋_GB2312" w:hAnsi="仿宋_GB2312" w:eastAsia="仿宋_GB2312" w:cs="仿宋_GB2312"/>
              </w:rPr>
              <w:t>产品名称</w:t>
            </w:r>
          </w:p>
        </w:tc>
      </w:tr>
      <w:tr w14:paraId="272F1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E548711">
            <w:pPr>
              <w:pStyle w:val="4"/>
              <w:jc w:val="center"/>
            </w:pPr>
            <w:r>
              <w:rPr>
                <w:rFonts w:ascii="仿宋_GB2312" w:hAnsi="仿宋_GB2312" w:eastAsia="仿宋_GB2312" w:cs="仿宋_GB2312"/>
              </w:rPr>
              <w:t>不涉及</w:t>
            </w:r>
          </w:p>
        </w:tc>
      </w:tr>
    </w:tbl>
    <w:p w14:paraId="07584767">
      <w:pPr>
        <w:pStyle w:val="4"/>
        <w:ind w:firstLine="480"/>
        <w:jc w:val="left"/>
      </w:pPr>
      <w:r>
        <w:rPr>
          <w:rFonts w:ascii="仿宋_GB2312" w:hAnsi="仿宋_GB2312" w:eastAsia="仿宋_GB2312" w:cs="仿宋_GB2312"/>
        </w:rPr>
        <w:t>注：涉及核心产品的，具体评审规定见第五章。</w:t>
      </w:r>
    </w:p>
    <w:p w14:paraId="4FF3AA5C">
      <w:pPr>
        <w:pStyle w:val="4"/>
        <w:jc w:val="left"/>
        <w:outlineLvl w:val="3"/>
      </w:pPr>
      <w:r>
        <w:rPr>
          <w:rFonts w:ascii="仿宋_GB2312" w:hAnsi="仿宋_GB2312" w:eastAsia="仿宋_GB2312" w:cs="仿宋_GB2312"/>
          <w:b/>
          <w:sz w:val="24"/>
        </w:rPr>
        <w:t>本项目涉及采购进口产品：</w:t>
      </w:r>
    </w:p>
    <w:p w14:paraId="5BBBDD3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8BE30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21F629">
            <w:pPr>
              <w:pStyle w:val="4"/>
              <w:jc w:val="center"/>
            </w:pPr>
            <w:r>
              <w:rPr>
                <w:rFonts w:ascii="仿宋_GB2312" w:hAnsi="仿宋_GB2312" w:eastAsia="仿宋_GB2312" w:cs="仿宋_GB2312"/>
              </w:rPr>
              <w:t>序号</w:t>
            </w:r>
          </w:p>
        </w:tc>
        <w:tc>
          <w:tcPr>
            <w:tcW w:w="2492" w:type="dxa"/>
          </w:tcPr>
          <w:p w14:paraId="1F1046CA">
            <w:pPr>
              <w:pStyle w:val="4"/>
              <w:jc w:val="center"/>
            </w:pPr>
            <w:r>
              <w:rPr>
                <w:rFonts w:ascii="仿宋_GB2312" w:hAnsi="仿宋_GB2312" w:eastAsia="仿宋_GB2312" w:cs="仿宋_GB2312"/>
              </w:rPr>
              <w:t>采购品目名称</w:t>
            </w:r>
          </w:p>
        </w:tc>
        <w:tc>
          <w:tcPr>
            <w:tcW w:w="2492" w:type="dxa"/>
          </w:tcPr>
          <w:p w14:paraId="009B1E82">
            <w:pPr>
              <w:pStyle w:val="4"/>
              <w:jc w:val="center"/>
            </w:pPr>
            <w:r>
              <w:rPr>
                <w:rFonts w:ascii="仿宋_GB2312" w:hAnsi="仿宋_GB2312" w:eastAsia="仿宋_GB2312" w:cs="仿宋_GB2312"/>
              </w:rPr>
              <w:t>标的名称</w:t>
            </w:r>
          </w:p>
        </w:tc>
        <w:tc>
          <w:tcPr>
            <w:tcW w:w="2492" w:type="dxa"/>
          </w:tcPr>
          <w:p w14:paraId="1518D951">
            <w:pPr>
              <w:pStyle w:val="4"/>
              <w:jc w:val="center"/>
            </w:pPr>
            <w:r>
              <w:rPr>
                <w:rFonts w:ascii="仿宋_GB2312" w:hAnsi="仿宋_GB2312" w:eastAsia="仿宋_GB2312" w:cs="仿宋_GB2312"/>
              </w:rPr>
              <w:t>产品名称</w:t>
            </w:r>
          </w:p>
        </w:tc>
      </w:tr>
      <w:tr w14:paraId="58DA2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5F1FA92">
            <w:pPr>
              <w:pStyle w:val="4"/>
              <w:jc w:val="center"/>
            </w:pPr>
            <w:r>
              <w:rPr>
                <w:rFonts w:ascii="仿宋_GB2312" w:hAnsi="仿宋_GB2312" w:eastAsia="仿宋_GB2312" w:cs="仿宋_GB2312"/>
              </w:rPr>
              <w:t>不涉及</w:t>
            </w:r>
          </w:p>
        </w:tc>
      </w:tr>
    </w:tbl>
    <w:p w14:paraId="41BFF3EF">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2D5483F5">
      <w:pPr>
        <w:pStyle w:val="4"/>
        <w:jc w:val="left"/>
        <w:outlineLvl w:val="3"/>
      </w:pPr>
      <w:r>
        <w:rPr>
          <w:rFonts w:ascii="仿宋_GB2312" w:hAnsi="仿宋_GB2312" w:eastAsia="仿宋_GB2312" w:cs="仿宋_GB2312"/>
          <w:b/>
          <w:sz w:val="24"/>
        </w:rPr>
        <w:t>本项目涉及强制采购节能产品：</w:t>
      </w:r>
    </w:p>
    <w:p w14:paraId="5936008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B368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E21700">
            <w:pPr>
              <w:pStyle w:val="4"/>
              <w:jc w:val="center"/>
            </w:pPr>
            <w:r>
              <w:rPr>
                <w:rFonts w:ascii="仿宋_GB2312" w:hAnsi="仿宋_GB2312" w:eastAsia="仿宋_GB2312" w:cs="仿宋_GB2312"/>
              </w:rPr>
              <w:t>序号</w:t>
            </w:r>
          </w:p>
        </w:tc>
        <w:tc>
          <w:tcPr>
            <w:tcW w:w="2492" w:type="dxa"/>
          </w:tcPr>
          <w:p w14:paraId="26773C45">
            <w:pPr>
              <w:pStyle w:val="4"/>
              <w:jc w:val="center"/>
            </w:pPr>
            <w:r>
              <w:rPr>
                <w:rFonts w:ascii="仿宋_GB2312" w:hAnsi="仿宋_GB2312" w:eastAsia="仿宋_GB2312" w:cs="仿宋_GB2312"/>
              </w:rPr>
              <w:t>采购品目名称</w:t>
            </w:r>
          </w:p>
        </w:tc>
        <w:tc>
          <w:tcPr>
            <w:tcW w:w="2492" w:type="dxa"/>
          </w:tcPr>
          <w:p w14:paraId="6ED4C412">
            <w:pPr>
              <w:pStyle w:val="4"/>
              <w:jc w:val="center"/>
            </w:pPr>
            <w:r>
              <w:rPr>
                <w:rFonts w:ascii="仿宋_GB2312" w:hAnsi="仿宋_GB2312" w:eastAsia="仿宋_GB2312" w:cs="仿宋_GB2312"/>
              </w:rPr>
              <w:t>标的名称</w:t>
            </w:r>
          </w:p>
        </w:tc>
        <w:tc>
          <w:tcPr>
            <w:tcW w:w="2492" w:type="dxa"/>
          </w:tcPr>
          <w:p w14:paraId="1AD82F31">
            <w:pPr>
              <w:pStyle w:val="4"/>
              <w:jc w:val="center"/>
            </w:pPr>
            <w:r>
              <w:rPr>
                <w:rFonts w:ascii="仿宋_GB2312" w:hAnsi="仿宋_GB2312" w:eastAsia="仿宋_GB2312" w:cs="仿宋_GB2312"/>
              </w:rPr>
              <w:t>产品名称</w:t>
            </w:r>
          </w:p>
        </w:tc>
      </w:tr>
      <w:tr w14:paraId="71452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0AAC081">
            <w:pPr>
              <w:pStyle w:val="4"/>
              <w:jc w:val="center"/>
            </w:pPr>
            <w:r>
              <w:rPr>
                <w:rFonts w:ascii="仿宋_GB2312" w:hAnsi="仿宋_GB2312" w:eastAsia="仿宋_GB2312" w:cs="仿宋_GB2312"/>
              </w:rPr>
              <w:t>不涉及</w:t>
            </w:r>
          </w:p>
        </w:tc>
      </w:tr>
    </w:tbl>
    <w:p w14:paraId="74AE3A2E">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680F227E">
      <w:pPr>
        <w:pStyle w:val="4"/>
        <w:jc w:val="left"/>
      </w:pPr>
      <w:r>
        <w:rPr>
          <w:rFonts w:ascii="仿宋_GB2312" w:hAnsi="仿宋_GB2312" w:eastAsia="仿宋_GB2312" w:cs="仿宋_GB2312"/>
          <w:b/>
        </w:rPr>
        <w:t>本项目涉及优先采购节能产品：</w:t>
      </w:r>
    </w:p>
    <w:p w14:paraId="39269A7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FE14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E8963D7">
            <w:pPr>
              <w:pStyle w:val="4"/>
              <w:jc w:val="center"/>
            </w:pPr>
            <w:r>
              <w:rPr>
                <w:rFonts w:ascii="仿宋_GB2312" w:hAnsi="仿宋_GB2312" w:eastAsia="仿宋_GB2312" w:cs="仿宋_GB2312"/>
              </w:rPr>
              <w:t>序号</w:t>
            </w:r>
          </w:p>
        </w:tc>
        <w:tc>
          <w:tcPr>
            <w:tcW w:w="2492" w:type="dxa"/>
          </w:tcPr>
          <w:p w14:paraId="5F799E67">
            <w:pPr>
              <w:pStyle w:val="4"/>
              <w:jc w:val="center"/>
            </w:pPr>
            <w:r>
              <w:rPr>
                <w:rFonts w:ascii="仿宋_GB2312" w:hAnsi="仿宋_GB2312" w:eastAsia="仿宋_GB2312" w:cs="仿宋_GB2312"/>
              </w:rPr>
              <w:t>采购品目名称</w:t>
            </w:r>
          </w:p>
        </w:tc>
        <w:tc>
          <w:tcPr>
            <w:tcW w:w="2492" w:type="dxa"/>
          </w:tcPr>
          <w:p w14:paraId="4C54B16D">
            <w:pPr>
              <w:pStyle w:val="4"/>
              <w:jc w:val="center"/>
            </w:pPr>
            <w:r>
              <w:rPr>
                <w:rFonts w:ascii="仿宋_GB2312" w:hAnsi="仿宋_GB2312" w:eastAsia="仿宋_GB2312" w:cs="仿宋_GB2312"/>
              </w:rPr>
              <w:t>标的名称</w:t>
            </w:r>
          </w:p>
        </w:tc>
        <w:tc>
          <w:tcPr>
            <w:tcW w:w="2492" w:type="dxa"/>
          </w:tcPr>
          <w:p w14:paraId="4EC63A0C">
            <w:pPr>
              <w:pStyle w:val="4"/>
              <w:jc w:val="center"/>
            </w:pPr>
            <w:r>
              <w:rPr>
                <w:rFonts w:ascii="仿宋_GB2312" w:hAnsi="仿宋_GB2312" w:eastAsia="仿宋_GB2312" w:cs="仿宋_GB2312"/>
              </w:rPr>
              <w:t>产品名称</w:t>
            </w:r>
          </w:p>
        </w:tc>
      </w:tr>
      <w:tr w14:paraId="4A7964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49AF4C8">
            <w:pPr>
              <w:pStyle w:val="4"/>
              <w:jc w:val="center"/>
            </w:pPr>
            <w:r>
              <w:rPr>
                <w:rFonts w:ascii="仿宋_GB2312" w:hAnsi="仿宋_GB2312" w:eastAsia="仿宋_GB2312" w:cs="仿宋_GB2312"/>
              </w:rPr>
              <w:t>不涉及</w:t>
            </w:r>
          </w:p>
        </w:tc>
      </w:tr>
    </w:tbl>
    <w:p w14:paraId="76BD6D4A">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4600FD30">
      <w:pPr>
        <w:pStyle w:val="4"/>
        <w:jc w:val="left"/>
        <w:outlineLvl w:val="3"/>
      </w:pPr>
      <w:r>
        <w:rPr>
          <w:rFonts w:ascii="仿宋_GB2312" w:hAnsi="仿宋_GB2312" w:eastAsia="仿宋_GB2312" w:cs="仿宋_GB2312"/>
          <w:b/>
          <w:sz w:val="24"/>
        </w:rPr>
        <w:t>本项目涉及优先采购环境标志产品：</w:t>
      </w:r>
    </w:p>
    <w:p w14:paraId="0D56D16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D0E2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34A4A32">
            <w:pPr>
              <w:pStyle w:val="4"/>
              <w:jc w:val="center"/>
            </w:pPr>
            <w:r>
              <w:rPr>
                <w:rFonts w:ascii="仿宋_GB2312" w:hAnsi="仿宋_GB2312" w:eastAsia="仿宋_GB2312" w:cs="仿宋_GB2312"/>
              </w:rPr>
              <w:t>序号</w:t>
            </w:r>
          </w:p>
        </w:tc>
        <w:tc>
          <w:tcPr>
            <w:tcW w:w="2492" w:type="dxa"/>
          </w:tcPr>
          <w:p w14:paraId="1C505BDA">
            <w:pPr>
              <w:pStyle w:val="4"/>
              <w:jc w:val="center"/>
            </w:pPr>
            <w:r>
              <w:rPr>
                <w:rFonts w:ascii="仿宋_GB2312" w:hAnsi="仿宋_GB2312" w:eastAsia="仿宋_GB2312" w:cs="仿宋_GB2312"/>
              </w:rPr>
              <w:t>采购品目名称</w:t>
            </w:r>
          </w:p>
        </w:tc>
        <w:tc>
          <w:tcPr>
            <w:tcW w:w="2492" w:type="dxa"/>
          </w:tcPr>
          <w:p w14:paraId="569860D7">
            <w:pPr>
              <w:pStyle w:val="4"/>
              <w:jc w:val="center"/>
            </w:pPr>
            <w:r>
              <w:rPr>
                <w:rFonts w:ascii="仿宋_GB2312" w:hAnsi="仿宋_GB2312" w:eastAsia="仿宋_GB2312" w:cs="仿宋_GB2312"/>
              </w:rPr>
              <w:t>标的名称</w:t>
            </w:r>
          </w:p>
        </w:tc>
        <w:tc>
          <w:tcPr>
            <w:tcW w:w="2492" w:type="dxa"/>
          </w:tcPr>
          <w:p w14:paraId="3436858E">
            <w:pPr>
              <w:pStyle w:val="4"/>
              <w:jc w:val="center"/>
            </w:pPr>
            <w:r>
              <w:rPr>
                <w:rFonts w:ascii="仿宋_GB2312" w:hAnsi="仿宋_GB2312" w:eastAsia="仿宋_GB2312" w:cs="仿宋_GB2312"/>
              </w:rPr>
              <w:t>产品名称</w:t>
            </w:r>
          </w:p>
        </w:tc>
      </w:tr>
      <w:tr w14:paraId="790BA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897FDF5">
            <w:pPr>
              <w:pStyle w:val="4"/>
              <w:jc w:val="center"/>
            </w:pPr>
            <w:r>
              <w:rPr>
                <w:rFonts w:ascii="仿宋_GB2312" w:hAnsi="仿宋_GB2312" w:eastAsia="仿宋_GB2312" w:cs="仿宋_GB2312"/>
              </w:rPr>
              <w:t>不涉及</w:t>
            </w:r>
          </w:p>
        </w:tc>
      </w:tr>
    </w:tbl>
    <w:p w14:paraId="6A49CA7F">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42FEF913">
      <w:pPr>
        <w:pStyle w:val="4"/>
        <w:jc w:val="left"/>
        <w:outlineLvl w:val="2"/>
      </w:pPr>
      <w:r>
        <w:rPr>
          <w:rFonts w:ascii="仿宋_GB2312" w:hAnsi="仿宋_GB2312" w:eastAsia="仿宋_GB2312" w:cs="仿宋_GB2312"/>
          <w:b/>
          <w:sz w:val="28"/>
        </w:rPr>
        <w:t>3.2.技术要求</w:t>
      </w:r>
    </w:p>
    <w:p w14:paraId="2E5725BA">
      <w:pPr>
        <w:pStyle w:val="4"/>
        <w:jc w:val="left"/>
      </w:pPr>
      <w:r>
        <w:rPr>
          <w:rFonts w:ascii="仿宋_GB2312" w:hAnsi="仿宋_GB2312" w:eastAsia="仿宋_GB2312" w:cs="仿宋_GB2312"/>
        </w:rPr>
        <w:t>采购包1：</w:t>
      </w:r>
    </w:p>
    <w:p w14:paraId="61B648EE">
      <w:pPr>
        <w:pStyle w:val="4"/>
        <w:jc w:val="left"/>
      </w:pPr>
      <w:r>
        <w:rPr>
          <w:rFonts w:ascii="仿宋_GB2312" w:hAnsi="仿宋_GB2312" w:eastAsia="仿宋_GB2312" w:cs="仿宋_GB2312"/>
        </w:rPr>
        <w:t>标的名称：2026年海外人才实习生计划活动执行</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9292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3D8C53">
            <w:pPr>
              <w:pStyle w:val="4"/>
              <w:jc w:val="center"/>
            </w:pPr>
            <w:r>
              <w:rPr>
                <w:rFonts w:ascii="仿宋_GB2312" w:hAnsi="仿宋_GB2312" w:eastAsia="仿宋_GB2312" w:cs="仿宋_GB2312"/>
              </w:rPr>
              <w:t>序号</w:t>
            </w:r>
          </w:p>
        </w:tc>
        <w:tc>
          <w:tcPr>
            <w:tcW w:w="581" w:type="dxa"/>
          </w:tcPr>
          <w:p w14:paraId="48575F73">
            <w:pPr>
              <w:pStyle w:val="4"/>
              <w:jc w:val="center"/>
            </w:pPr>
            <w:r>
              <w:rPr>
                <w:rFonts w:ascii="仿宋_GB2312" w:hAnsi="仿宋_GB2312" w:eastAsia="仿宋_GB2312" w:cs="仿宋_GB2312"/>
              </w:rPr>
              <w:t>符号标识</w:t>
            </w:r>
          </w:p>
        </w:tc>
        <w:tc>
          <w:tcPr>
            <w:tcW w:w="1495" w:type="dxa"/>
          </w:tcPr>
          <w:p w14:paraId="612A6AED">
            <w:pPr>
              <w:pStyle w:val="4"/>
              <w:jc w:val="center"/>
            </w:pPr>
            <w:r>
              <w:rPr>
                <w:rFonts w:ascii="仿宋_GB2312" w:hAnsi="仿宋_GB2312" w:eastAsia="仿宋_GB2312" w:cs="仿宋_GB2312"/>
              </w:rPr>
              <w:t>技术要求名称</w:t>
            </w:r>
          </w:p>
        </w:tc>
        <w:tc>
          <w:tcPr>
            <w:tcW w:w="5814" w:type="dxa"/>
          </w:tcPr>
          <w:p w14:paraId="595BADF4">
            <w:pPr>
              <w:pStyle w:val="4"/>
              <w:jc w:val="center"/>
            </w:pPr>
            <w:r>
              <w:rPr>
                <w:rFonts w:ascii="仿宋_GB2312" w:hAnsi="仿宋_GB2312" w:eastAsia="仿宋_GB2312" w:cs="仿宋_GB2312"/>
              </w:rPr>
              <w:t>技术参数与性能指标</w:t>
            </w:r>
          </w:p>
        </w:tc>
      </w:tr>
      <w:tr w14:paraId="752C1D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987D1C">
            <w:pPr>
              <w:pStyle w:val="4"/>
              <w:jc w:val="center"/>
            </w:pPr>
            <w:r>
              <w:rPr>
                <w:rFonts w:ascii="仿宋_GB2312" w:hAnsi="仿宋_GB2312" w:eastAsia="仿宋_GB2312" w:cs="仿宋_GB2312"/>
              </w:rPr>
              <w:t>1</w:t>
            </w:r>
          </w:p>
        </w:tc>
        <w:tc>
          <w:tcPr>
            <w:tcW w:w="581" w:type="dxa"/>
          </w:tcPr>
          <w:p w14:paraId="347496C5"/>
        </w:tc>
        <w:tc>
          <w:tcPr>
            <w:tcW w:w="1495" w:type="dxa"/>
          </w:tcPr>
          <w:p w14:paraId="023045F1">
            <w:pPr>
              <w:pStyle w:val="4"/>
              <w:jc w:val="left"/>
            </w:pPr>
            <w:r>
              <w:rPr>
                <w:rFonts w:ascii="仿宋_GB2312" w:hAnsi="仿宋_GB2312" w:eastAsia="仿宋_GB2312" w:cs="仿宋_GB2312"/>
              </w:rPr>
              <w:t>技术服务内容</w:t>
            </w:r>
          </w:p>
        </w:tc>
        <w:tc>
          <w:tcPr>
            <w:tcW w:w="5814" w:type="dxa"/>
          </w:tcPr>
          <w:p w14:paraId="2F958824">
            <w:pPr>
              <w:pStyle w:val="4"/>
              <w:ind w:firstLine="241"/>
              <w:jc w:val="both"/>
            </w:pPr>
            <w:r>
              <w:rPr>
                <w:rFonts w:ascii="仿宋_GB2312" w:hAnsi="仿宋_GB2312" w:eastAsia="仿宋_GB2312" w:cs="仿宋_GB2312"/>
                <w:b/>
                <w:sz w:val="21"/>
              </w:rPr>
              <w:t>★（一）服务内容（实质性要求，提供承诺函）</w:t>
            </w:r>
          </w:p>
          <w:p w14:paraId="59E4EFB7">
            <w:pPr>
              <w:pStyle w:val="4"/>
              <w:ind w:firstLine="240"/>
              <w:jc w:val="both"/>
            </w:pPr>
            <w:r>
              <w:rPr>
                <w:rFonts w:ascii="仿宋_GB2312" w:hAnsi="仿宋_GB2312" w:eastAsia="仿宋_GB2312" w:cs="仿宋_GB2312"/>
                <w:sz w:val="21"/>
              </w:rPr>
              <w:t>负责提供成都市2026年海外人才实习生计划活动执行项目服务，覆盖项目启动预热、实习岗位征集、实习生招募遴选、城市感知体验、仪式性活动、活动宣传推广、活动后勤保障、留蓉跟踪服务及成果总结等全部工作环节。</w:t>
            </w:r>
          </w:p>
          <w:p w14:paraId="69368CD9">
            <w:pPr>
              <w:pStyle w:val="4"/>
              <w:ind w:firstLine="241"/>
              <w:jc w:val="left"/>
            </w:pPr>
            <w:r>
              <w:rPr>
                <w:rFonts w:ascii="仿宋_GB2312" w:hAnsi="仿宋_GB2312" w:eastAsia="仿宋_GB2312" w:cs="仿宋_GB2312"/>
                <w:b/>
                <w:sz w:val="21"/>
              </w:rPr>
              <w:t>★（二）服务范围（实质性要求，提供承诺函）</w:t>
            </w:r>
          </w:p>
          <w:p w14:paraId="192B81E6">
            <w:pPr>
              <w:pStyle w:val="4"/>
              <w:ind w:firstLine="482"/>
              <w:jc w:val="left"/>
            </w:pPr>
            <w:r>
              <w:rPr>
                <w:rFonts w:ascii="仿宋_GB2312" w:hAnsi="仿宋_GB2312" w:eastAsia="仿宋_GB2312" w:cs="仿宋_GB2312"/>
                <w:sz w:val="21"/>
              </w:rPr>
              <w:t>遴选不少于300名世界知名高校硕士及以上学历青年人才，提供招募遴选、岗位实习、城市感知体验、实习保障及留蓉支持等一体化服务，策划执行结业仪式等相关活动及活动宣传推广。</w:t>
            </w:r>
          </w:p>
          <w:p w14:paraId="019E6BE2">
            <w:pPr>
              <w:pStyle w:val="4"/>
              <w:ind w:firstLine="482"/>
              <w:jc w:val="left"/>
            </w:pPr>
            <w:r>
              <w:rPr>
                <w:rFonts w:ascii="仿宋_GB2312" w:hAnsi="仿宋_GB2312" w:eastAsia="仿宋_GB2312" w:cs="仿宋_GB2312"/>
                <w:b/>
                <w:sz w:val="21"/>
              </w:rPr>
              <w:t>（三）活动内容</w:t>
            </w:r>
          </w:p>
          <w:p w14:paraId="6BB2FD4E">
            <w:pPr>
              <w:pStyle w:val="4"/>
              <w:jc w:val="left"/>
            </w:pPr>
            <w:r>
              <w:rPr>
                <w:rFonts w:ascii="仿宋_GB2312" w:hAnsi="仿宋_GB2312" w:eastAsia="仿宋_GB2312" w:cs="仿宋_GB2312"/>
                <w:sz w:val="21"/>
              </w:rPr>
              <w:t>1、活动启动预热准备</w:t>
            </w:r>
          </w:p>
          <w:p w14:paraId="3301A5C9">
            <w:pPr>
              <w:pStyle w:val="4"/>
              <w:ind w:firstLine="480"/>
              <w:jc w:val="left"/>
            </w:pPr>
            <w:r>
              <w:rPr>
                <w:rFonts w:ascii="仿宋_GB2312" w:hAnsi="仿宋_GB2312" w:eastAsia="仿宋_GB2312" w:cs="仿宋_GB2312"/>
                <w:sz w:val="21"/>
              </w:rPr>
              <w:t>（1）需求调研。联合电子信息、生物医药、绿色低碳、装备制造等17条重点产业链牵头部门及各区（市）县产业园区管委会，通过专题座谈、企业走访等形式，征集重点企业、科研院所实习岗位需求，明确岗位专业方向、能力要求、实习周期及留蓉转化通道，形成《实习岗位需求汇总表》，提升人岗匹配精准度。</w:t>
            </w:r>
          </w:p>
          <w:p w14:paraId="53A21A71">
            <w:pPr>
              <w:pStyle w:val="4"/>
              <w:ind w:firstLine="480"/>
              <w:jc w:val="left"/>
            </w:pPr>
            <w:r>
              <w:rPr>
                <w:rFonts w:ascii="仿宋_GB2312" w:hAnsi="仿宋_GB2312" w:eastAsia="仿宋_GB2312" w:cs="仿宋_GB2312"/>
                <w:sz w:val="21"/>
              </w:rPr>
              <w:t>（2）启动造势。依托“蓉漂人才日”主会场活动，正式启动“成都市2026年海外人才实习生计划”。发布活动主题视频，融合产业发展机遇、城市感知体验与人才支持政策等内容。联动主流媒体及海外高校官方平台，同步发布启动新闻，扩大活动覆盖面与社会影响力。</w:t>
            </w:r>
          </w:p>
          <w:p w14:paraId="4A4E67FD">
            <w:pPr>
              <w:pStyle w:val="4"/>
              <w:jc w:val="left"/>
            </w:pPr>
            <w:r>
              <w:rPr>
                <w:rFonts w:ascii="仿宋_GB2312" w:hAnsi="仿宋_GB2312" w:eastAsia="仿宋_GB2312" w:cs="仿宋_GB2312"/>
                <w:sz w:val="21"/>
              </w:rPr>
              <w:t>2、海外实习生招募遴选服务</w:t>
            </w:r>
          </w:p>
          <w:p w14:paraId="01D2338D">
            <w:pPr>
              <w:pStyle w:val="4"/>
              <w:ind w:firstLine="480"/>
              <w:jc w:val="left"/>
            </w:pPr>
            <w:r>
              <w:rPr>
                <w:rFonts w:ascii="仿宋_GB2312" w:hAnsi="仿宋_GB2312" w:eastAsia="仿宋_GB2312" w:cs="仿宋_GB2312"/>
                <w:sz w:val="21"/>
              </w:rPr>
              <w:t>（1）协助采购人开展岗位征集、人员招募、人岗匹配等阶段工作。完成活动双语平台升级，覆盖中英文适配、提供技术维护及数据管理服务，保障平台稳定运行，数据实时可查。</w:t>
            </w:r>
          </w:p>
          <w:p w14:paraId="7AD169EF">
            <w:pPr>
              <w:pStyle w:val="4"/>
              <w:ind w:firstLine="480"/>
              <w:jc w:val="left"/>
            </w:pPr>
            <w:r>
              <w:rPr>
                <w:rFonts w:ascii="仿宋_GB2312" w:hAnsi="仿宋_GB2312" w:eastAsia="仿宋_GB2312" w:cs="仿宋_GB2312"/>
                <w:sz w:val="21"/>
              </w:rPr>
              <w:t>（2）协助采购人通过定向优质募集和公开广泛征集方式，征集不少于300个优质实习岗位。面向世界500强在蓉企业、中央驻川企业、市属国有企业、科创板上市企业以及青联委员企业，定向征集优质岗位。紧扣17条重点产业链发展需求，面向各产业园区、重点科研院所、在蓉高校，公开征集多元化、高质量实习岗位。契合用人主体人才需求实际进行实习岗位发布，建立面向海外实习生的优质岗位资源池，做好岗位征集阶段相关工作，实现岗位资源全域整合与精准调配。</w:t>
            </w:r>
          </w:p>
          <w:p w14:paraId="3FEFE773">
            <w:pPr>
              <w:pStyle w:val="4"/>
              <w:ind w:firstLine="480"/>
              <w:jc w:val="left"/>
            </w:pPr>
            <w:r>
              <w:rPr>
                <w:rFonts w:ascii="仿宋_GB2312" w:hAnsi="仿宋_GB2312" w:eastAsia="仿宋_GB2312" w:cs="仿宋_GB2312"/>
                <w:sz w:val="21"/>
              </w:rPr>
              <w:t>（3）联动教育部留学服务中心、成都市欧美同学会、重点高校校友会等平台渠道开展实习生招募工作，实习生以中国籍青年人才为主，邀请外籍青年人才参加，共计招募世界知名高校硕士及以上学历青年人才不少于300名。协助采购人做好实习生招募和人岗匹配相关工作。</w:t>
            </w:r>
          </w:p>
          <w:p w14:paraId="08086988">
            <w:pPr>
              <w:pStyle w:val="4"/>
              <w:ind w:firstLine="480"/>
              <w:jc w:val="left"/>
            </w:pPr>
            <w:r>
              <w:rPr>
                <w:rFonts w:ascii="仿宋_GB2312" w:hAnsi="仿宋_GB2312" w:eastAsia="仿宋_GB2312" w:cs="仿宋_GB2312"/>
                <w:sz w:val="21"/>
              </w:rPr>
              <w:t>（4）制定海外专属宣传推广方案，通过海外高校就业平台、LinkedIn等渠道发布活动信息，与海外KOL合作开展推广，举办“云端宣讲会”，解读活动亮点与成都人才政策，确保海外人才触达精准。</w:t>
            </w:r>
          </w:p>
          <w:p w14:paraId="52D62E1F">
            <w:pPr>
              <w:pStyle w:val="4"/>
              <w:jc w:val="both"/>
            </w:pPr>
            <w:r>
              <w:rPr>
                <w:rFonts w:ascii="仿宋_GB2312" w:hAnsi="仿宋_GB2312" w:eastAsia="仿宋_GB2312" w:cs="仿宋_GB2312"/>
                <w:sz w:val="21"/>
              </w:rPr>
              <w:t>3、实习保障及实习期间开展感知行活动</w:t>
            </w:r>
          </w:p>
          <w:p w14:paraId="58217200">
            <w:pPr>
              <w:pStyle w:val="4"/>
              <w:ind w:firstLine="240"/>
              <w:jc w:val="both"/>
            </w:pPr>
            <w:r>
              <w:rPr>
                <w:rFonts w:ascii="仿宋_GB2312" w:hAnsi="仿宋_GB2312" w:eastAsia="仿宋_GB2312" w:cs="仿宋_GB2312"/>
                <w:sz w:val="21"/>
              </w:rPr>
              <w:t>（1）实习保障。集中组织实习生开展为期不少于2周的岗位实习。指导各区（市）县及实习单位制定实习计划，为实习生提供系统性入职培训与专业岗位指导，建立结对帮扶机制，着力提升实习生专业素养与岗位实践能力。为实习生统筹落实青年人才驿站免费住宿，协调用人单位统一安排工作日用餐，及时响应并解决实习生实习期间的生活保障问题。</w:t>
            </w:r>
          </w:p>
          <w:p w14:paraId="2F47D050">
            <w:pPr>
              <w:pStyle w:val="4"/>
              <w:ind w:firstLine="240"/>
              <w:jc w:val="both"/>
            </w:pPr>
            <w:r>
              <w:rPr>
                <w:rFonts w:ascii="仿宋_GB2312" w:hAnsi="仿宋_GB2312" w:eastAsia="仿宋_GB2312" w:cs="仿宋_GB2312"/>
                <w:sz w:val="21"/>
              </w:rPr>
              <w:t>（2）城市感知。策划开展不少于5场集体感知行活动，负责统筹线路规划、点位对接、车辆调度、人员组织、安全保障及全程影像记录。组织实习生参访重点产业平台（国家超算成都中心、中科院光电所等）、产业园区及文旅地标（熊猫基地、武侯祠等），提供专业双语导览讲解服务。策划线上话题互动，引导实习生通过小红书、Instagram、TikTok 等国内外平台发布体验内容，扩大活动口碑传播。负责全程保障城市感知活动集体交通、用餐、门票、讲解、医疗及应急服务，确保活动安全有序。</w:t>
            </w:r>
          </w:p>
          <w:p w14:paraId="6321ECA6">
            <w:pPr>
              <w:pStyle w:val="4"/>
              <w:ind w:firstLine="240"/>
              <w:jc w:val="both"/>
            </w:pPr>
            <w:r>
              <w:rPr>
                <w:rFonts w:ascii="仿宋_GB2312" w:hAnsi="仿宋_GB2312" w:eastAsia="仿宋_GB2312" w:cs="仿宋_GB2312"/>
                <w:sz w:val="21"/>
              </w:rPr>
              <w:t>（3）配套活动。策划举办相关配套活动，面向实习生系统推介成都人才政策，提供职业规划、面试辅导、行业分析等实用服务，搭建人才与产业对接平台，同时邀请行业专家开展专题培训，提升实习生专业技能与行业认知水平。指导各区（市）县结合本地产业特色，整合本地高校、科研机构、企业等资源，配合各区（市）县开展就业指导活动、创新创业对接会、青年政策宣讲会等留才赋能活动。保障配套活动顺利开展。</w:t>
            </w:r>
          </w:p>
          <w:p w14:paraId="0178CDC2">
            <w:pPr>
              <w:pStyle w:val="4"/>
              <w:ind w:firstLine="240"/>
              <w:jc w:val="both"/>
            </w:pPr>
            <w:r>
              <w:rPr>
                <w:rFonts w:ascii="仿宋_GB2312" w:hAnsi="仿宋_GB2312" w:eastAsia="仿宋_GB2312" w:cs="仿宋_GB2312"/>
                <w:sz w:val="21"/>
              </w:rPr>
              <w:t>（4）其他服务。负责统一购买实习生在实习期间意外伤害保险。实习期间所涉及的物资准备及实习物资的设计制作，实习物资包含不限于文化衫、实习手册、天府通纪念卡等内容。</w:t>
            </w:r>
          </w:p>
          <w:p w14:paraId="70045E57">
            <w:pPr>
              <w:pStyle w:val="4"/>
              <w:ind w:firstLine="240"/>
              <w:jc w:val="both"/>
            </w:pPr>
            <w:r>
              <w:rPr>
                <w:rFonts w:ascii="仿宋_GB2312" w:hAnsi="仿宋_GB2312" w:eastAsia="仿宋_GB2312" w:cs="仿宋_GB2312"/>
                <w:sz w:val="21"/>
              </w:rPr>
              <w:t>（5）应急物资及后勤保障。负责实习期间及感知行活动期间所需物资准备：包括但不限于应急物资、医疗物资等，建立应急处理机制，应对实习期间及感知行活动期间各类突发情况，全方位保障实习生活需求。</w:t>
            </w:r>
          </w:p>
          <w:p w14:paraId="76F53975">
            <w:pPr>
              <w:pStyle w:val="4"/>
              <w:ind w:firstLine="240"/>
              <w:jc w:val="left"/>
            </w:pPr>
            <w:r>
              <w:rPr>
                <w:rFonts w:ascii="仿宋_GB2312" w:hAnsi="仿宋_GB2312" w:eastAsia="仿宋_GB2312" w:cs="仿宋_GB2312"/>
                <w:sz w:val="21"/>
              </w:rPr>
              <w:t>（6）留蓉支持。面向有留蓉意向的实习生，协助采购人系统开展成都人才政策宣讲，协助办理人才认定、人才落户、租房补贴申领等事宜。建立留蓉意向人才跟踪对接机制，定期推送优质岗位信息、产业发展动态及人才支持政策，为海外人才在蓉就业创业、扎根发展提供持续保障。</w:t>
            </w:r>
          </w:p>
          <w:p w14:paraId="07F597CC">
            <w:pPr>
              <w:pStyle w:val="4"/>
              <w:jc w:val="left"/>
            </w:pPr>
            <w:r>
              <w:rPr>
                <w:rFonts w:ascii="仿宋_GB2312" w:hAnsi="仿宋_GB2312" w:eastAsia="仿宋_GB2312" w:cs="仿宋_GB2312"/>
                <w:sz w:val="21"/>
              </w:rPr>
              <w:t>4、结业仪式活动</w:t>
            </w:r>
          </w:p>
          <w:p w14:paraId="674B52BE">
            <w:pPr>
              <w:pStyle w:val="4"/>
              <w:ind w:firstLine="240"/>
              <w:jc w:val="left"/>
            </w:pPr>
            <w:r>
              <w:rPr>
                <w:rFonts w:ascii="仿宋_GB2312" w:hAnsi="仿宋_GB2312" w:eastAsia="仿宋_GB2312" w:cs="仿宋_GB2312"/>
                <w:sz w:val="21"/>
              </w:rPr>
              <w:t>（1）负责结业仪式活动整体方案创意策划及执行、环节衔接、现场协调等全流程工作，活动现场全程摄影摄像服务。</w:t>
            </w:r>
          </w:p>
          <w:p w14:paraId="6451A5A1">
            <w:pPr>
              <w:pStyle w:val="4"/>
              <w:ind w:firstLine="240"/>
              <w:jc w:val="left"/>
            </w:pPr>
            <w:r>
              <w:rPr>
                <w:rFonts w:ascii="仿宋_GB2312" w:hAnsi="仿宋_GB2312" w:eastAsia="仿宋_GB2312" w:cs="仿宋_GB2312"/>
                <w:sz w:val="21"/>
              </w:rPr>
              <w:t>（2）负责活动场地布置及氛围营造，现场所需物料准备包括但不限于活动主K桁架、桌卡、活动材料、饮用水、证件、应急物资等。设备保障包括但不限于音视频设备租赁、LED大屏、灯光设备等。</w:t>
            </w:r>
          </w:p>
          <w:p w14:paraId="690A722E">
            <w:pPr>
              <w:pStyle w:val="4"/>
              <w:ind w:firstLine="240"/>
              <w:jc w:val="left"/>
            </w:pPr>
            <w:r>
              <w:rPr>
                <w:rFonts w:ascii="仿宋_GB2312" w:hAnsi="仿宋_GB2312" w:eastAsia="仿宋_GB2312" w:cs="仿宋_GB2312"/>
                <w:sz w:val="21"/>
              </w:rPr>
              <w:t>（3）选定符合活动规模的场地，完成场地租赁及音视频、舞台、灯光等设备租赁与调试，保障现场设备运行稳定，满足成果展示、视频播放、互动环节等功能需求。</w:t>
            </w:r>
          </w:p>
          <w:p w14:paraId="6E87F2B9">
            <w:pPr>
              <w:pStyle w:val="4"/>
              <w:ind w:firstLine="240"/>
              <w:jc w:val="left"/>
            </w:pPr>
            <w:r>
              <w:rPr>
                <w:rFonts w:ascii="仿宋_GB2312" w:hAnsi="仿宋_GB2312" w:eastAsia="仿宋_GB2312" w:cs="仿宋_GB2312"/>
                <w:sz w:val="21"/>
              </w:rPr>
              <w:t>（4）做好现场执行人员组织工作，配备专业主持人、现场礼仪人员、工作人员，保证服务规范、服务响应及时，各环节有序衔接。</w:t>
            </w:r>
          </w:p>
          <w:p w14:paraId="6B83D9BD">
            <w:pPr>
              <w:pStyle w:val="4"/>
              <w:jc w:val="left"/>
            </w:pPr>
            <w:r>
              <w:rPr>
                <w:rFonts w:ascii="仿宋_GB2312" w:hAnsi="仿宋_GB2312" w:eastAsia="仿宋_GB2312" w:cs="仿宋_GB2312"/>
                <w:sz w:val="21"/>
              </w:rPr>
              <w:t>5、活动推广</w:t>
            </w:r>
          </w:p>
          <w:p w14:paraId="4044B35F">
            <w:pPr>
              <w:pStyle w:val="4"/>
              <w:ind w:firstLine="240"/>
              <w:jc w:val="left"/>
            </w:pPr>
            <w:r>
              <w:rPr>
                <w:rFonts w:ascii="仿宋_GB2312" w:hAnsi="仿宋_GB2312" w:eastAsia="仿宋_GB2312" w:cs="仿宋_GB2312"/>
                <w:sz w:val="21"/>
              </w:rPr>
              <w:t>（1）现场影像服务。安排专业团队完成活动全程影像记录（照片、视频），负责实习期间及开展的各项相关活动期间全过程的摄影摄像工作，完成相关素材收集与初步整理，为活动宣传提供支撑。活动现场照片、视频资料采编、文案材料编写工作。</w:t>
            </w:r>
          </w:p>
          <w:p w14:paraId="5869E57D">
            <w:pPr>
              <w:pStyle w:val="4"/>
              <w:ind w:firstLine="240"/>
              <w:jc w:val="left"/>
            </w:pPr>
            <w:r>
              <w:rPr>
                <w:rFonts w:ascii="仿宋_GB2312" w:hAnsi="仿宋_GB2312" w:eastAsia="仿宋_GB2312" w:cs="仿宋_GB2312"/>
                <w:sz w:val="21"/>
              </w:rPr>
              <w:t>（2）视频制作宣发。制作剪辑不少于10条活动视频，展现实习生动态。其中3条视频时长不低于90秒，7条视频时长不低于30秒，分辨率均不低于4K，要求画面清晰无抖动、色彩鲜明、音效清晰、剪辑流畅。视频经报采购人审核同意后方可发布。</w:t>
            </w:r>
          </w:p>
          <w:p w14:paraId="578910B9">
            <w:pPr>
              <w:pStyle w:val="4"/>
              <w:ind w:firstLine="240"/>
              <w:jc w:val="left"/>
            </w:pPr>
            <w:r>
              <w:rPr>
                <w:rFonts w:ascii="仿宋_GB2312" w:hAnsi="仿宋_GB2312" w:eastAsia="仿宋_GB2312" w:cs="仿宋_GB2312"/>
                <w:sz w:val="21"/>
              </w:rPr>
              <w:t>（3）宣传稿采编宣发。采编撰写不少于20篇活动相关宣传稿件进行新闻宣传报道，完成活动推文创作、发布及社交媒体运营，开展话题推广。稿件发布前需由供应商严格校对，确认无错别字、内容真实、逻辑严谨、语句通顺，经报采购人审核同意后方可发布。</w:t>
            </w:r>
          </w:p>
          <w:p w14:paraId="0974A464">
            <w:pPr>
              <w:pStyle w:val="4"/>
              <w:ind w:firstLine="241"/>
              <w:jc w:val="left"/>
            </w:pPr>
            <w:r>
              <w:rPr>
                <w:rFonts w:ascii="仿宋_GB2312" w:hAnsi="仿宋_GB2312" w:eastAsia="仿宋_GB2312" w:cs="仿宋_GB2312"/>
                <w:b/>
                <w:sz w:val="21"/>
              </w:rPr>
              <w:t>★（四）服务标准（实质性要求，提供承诺函）</w:t>
            </w:r>
          </w:p>
          <w:p w14:paraId="74690976">
            <w:pPr>
              <w:pStyle w:val="4"/>
              <w:ind w:firstLine="480"/>
              <w:jc w:val="left"/>
            </w:pPr>
            <w:r>
              <w:rPr>
                <w:rFonts w:ascii="仿宋_GB2312" w:hAnsi="仿宋_GB2312" w:eastAsia="仿宋_GB2312" w:cs="仿宋_GB2312"/>
                <w:sz w:val="21"/>
              </w:rPr>
              <w:t>1、供应商提供的服务应符合项目开展的实际需求及采购人对本项目的相关要求，并满足项目验收相关标准。</w:t>
            </w:r>
          </w:p>
          <w:p w14:paraId="3A5501E6">
            <w:pPr>
              <w:pStyle w:val="4"/>
              <w:ind w:firstLine="480"/>
              <w:jc w:val="left"/>
            </w:pPr>
            <w:r>
              <w:rPr>
                <w:rFonts w:ascii="仿宋_GB2312" w:hAnsi="仿宋_GB2312" w:eastAsia="仿宋_GB2312" w:cs="仿宋_GB2312"/>
                <w:sz w:val="21"/>
              </w:rPr>
              <w:t>2、符合法律法规、项目主管部门、监督管理部门的相关要求，接受采购人的监督。</w:t>
            </w:r>
          </w:p>
        </w:tc>
      </w:tr>
      <w:tr w14:paraId="59324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CAA31B">
            <w:pPr>
              <w:pStyle w:val="4"/>
              <w:jc w:val="center"/>
            </w:pPr>
            <w:r>
              <w:rPr>
                <w:rFonts w:ascii="仿宋_GB2312" w:hAnsi="仿宋_GB2312" w:eastAsia="仿宋_GB2312" w:cs="仿宋_GB2312"/>
              </w:rPr>
              <w:t>2</w:t>
            </w:r>
          </w:p>
        </w:tc>
        <w:tc>
          <w:tcPr>
            <w:tcW w:w="581" w:type="dxa"/>
          </w:tcPr>
          <w:p w14:paraId="7010FA5E"/>
        </w:tc>
        <w:tc>
          <w:tcPr>
            <w:tcW w:w="1495" w:type="dxa"/>
          </w:tcPr>
          <w:p w14:paraId="684339BE">
            <w:pPr>
              <w:pStyle w:val="4"/>
              <w:jc w:val="left"/>
            </w:pPr>
            <w:r>
              <w:rPr>
                <w:rFonts w:ascii="仿宋_GB2312" w:hAnsi="仿宋_GB2312" w:eastAsia="仿宋_GB2312" w:cs="仿宋_GB2312"/>
              </w:rPr>
              <w:t>与评审标准对应的要求</w:t>
            </w:r>
          </w:p>
        </w:tc>
        <w:tc>
          <w:tcPr>
            <w:tcW w:w="5814" w:type="dxa"/>
          </w:tcPr>
          <w:p w14:paraId="3976AE1F">
            <w:pPr>
              <w:pStyle w:val="4"/>
              <w:ind w:firstLine="482"/>
              <w:jc w:val="left"/>
            </w:pPr>
            <w:r>
              <w:rPr>
                <w:rFonts w:ascii="仿宋_GB2312" w:hAnsi="仿宋_GB2312" w:eastAsia="仿宋_GB2312" w:cs="仿宋_GB2312"/>
                <w:sz w:val="24"/>
              </w:rPr>
              <w:t>1、履约能力要求</w:t>
            </w:r>
          </w:p>
          <w:p w14:paraId="5E92231A">
            <w:pPr>
              <w:pStyle w:val="4"/>
              <w:ind w:firstLine="482"/>
              <w:jc w:val="left"/>
            </w:pPr>
            <w:r>
              <w:rPr>
                <w:rFonts w:ascii="仿宋_GB2312" w:hAnsi="仿宋_GB2312" w:eastAsia="仿宋_GB2312" w:cs="仿宋_GB2312"/>
                <w:sz w:val="24"/>
              </w:rPr>
              <w:t>（1）供应商拟投入项目人员配置情况，根据自身情况结合评审标准要求提供包括拟任项目负责人、团队成员等实施本项目的其他主要人员情况的相关证明材料。</w:t>
            </w:r>
          </w:p>
          <w:p w14:paraId="194044B6">
            <w:pPr>
              <w:pStyle w:val="4"/>
              <w:ind w:firstLine="482"/>
              <w:jc w:val="left"/>
            </w:pPr>
            <w:r>
              <w:rPr>
                <w:rFonts w:ascii="仿宋_GB2312" w:hAnsi="仿宋_GB2312" w:eastAsia="仿宋_GB2312" w:cs="仿宋_GB2312"/>
                <w:sz w:val="24"/>
              </w:rPr>
              <w:t>（2）供应商具有类似项目履约经验，根据自身情况结合评审标准要求提供类似项目履约经验相关证明材料。</w:t>
            </w:r>
          </w:p>
          <w:p w14:paraId="1A4D2445">
            <w:pPr>
              <w:pStyle w:val="4"/>
              <w:ind w:firstLine="482"/>
              <w:jc w:val="left"/>
            </w:pPr>
            <w:r>
              <w:rPr>
                <w:rFonts w:ascii="仿宋_GB2312" w:hAnsi="仿宋_GB2312" w:eastAsia="仿宋_GB2312" w:cs="仿宋_GB2312"/>
                <w:sz w:val="24"/>
              </w:rPr>
              <w:t>（3）其他有利于项目实施的承诺或相关材料(由供应商自行提供或根据项目性质进行要求)。</w:t>
            </w:r>
          </w:p>
          <w:p w14:paraId="1860038F">
            <w:pPr>
              <w:pStyle w:val="4"/>
              <w:ind w:firstLine="482"/>
              <w:jc w:val="left"/>
            </w:pPr>
            <w:r>
              <w:rPr>
                <w:rFonts w:ascii="仿宋_GB2312" w:hAnsi="仿宋_GB2312" w:eastAsia="仿宋_GB2312" w:cs="仿宋_GB2312"/>
                <w:sz w:val="24"/>
              </w:rPr>
              <w:t>2、方案编制要求</w:t>
            </w:r>
          </w:p>
          <w:p w14:paraId="153F811F">
            <w:pPr>
              <w:pStyle w:val="4"/>
              <w:ind w:firstLine="482"/>
              <w:jc w:val="left"/>
            </w:pPr>
            <w:r>
              <w:rPr>
                <w:rFonts w:ascii="仿宋_GB2312" w:hAnsi="仿宋_GB2312" w:eastAsia="仿宋_GB2312" w:cs="仿宋_GB2312"/>
                <w:sz w:val="24"/>
              </w:rPr>
              <w:t>（1）供应商编制针对本项目的实施方案包括：①活动总体方案；②活动策划及主K设计方案；③活动接待方案；④活动任务分工方案；⑤活动进度保障方案。</w:t>
            </w:r>
          </w:p>
          <w:p w14:paraId="4A8E760D">
            <w:pPr>
              <w:pStyle w:val="4"/>
              <w:ind w:firstLine="482"/>
              <w:jc w:val="left"/>
            </w:pPr>
            <w:r>
              <w:rPr>
                <w:rFonts w:ascii="仿宋_GB2312" w:hAnsi="仿宋_GB2312" w:eastAsia="仿宋_GB2312" w:cs="仿宋_GB2312"/>
                <w:sz w:val="24"/>
              </w:rPr>
              <w:t>（2）供应商编制针对本项目的服务质量保障措施包括：①活动安全防范及安全隐患处置措施；②人员保障措施；③突发事件处理措施。</w:t>
            </w:r>
          </w:p>
          <w:p w14:paraId="37B1E455">
            <w:pPr>
              <w:pStyle w:val="4"/>
              <w:ind w:firstLine="482"/>
              <w:jc w:val="left"/>
            </w:pPr>
            <w:r>
              <w:rPr>
                <w:rFonts w:ascii="仿宋_GB2312" w:hAnsi="仿宋_GB2312" w:eastAsia="仿宋_GB2312" w:cs="仿宋_GB2312"/>
                <w:sz w:val="24"/>
              </w:rPr>
              <w:t>（3）供应商编制针对本项目的应急处置方案包括：①活动现场故障处理方案及控制方案；②恶劣天气处置方案；③物资设备保障方案。</w:t>
            </w:r>
          </w:p>
          <w:p w14:paraId="109C4E04">
            <w:pPr>
              <w:pStyle w:val="4"/>
              <w:ind w:firstLine="482"/>
              <w:jc w:val="left"/>
            </w:pPr>
            <w:r>
              <w:rPr>
                <w:rFonts w:ascii="仿宋_GB2312" w:hAnsi="仿宋_GB2312" w:eastAsia="仿宋_GB2312" w:cs="仿宋_GB2312"/>
                <w:sz w:val="24"/>
              </w:rPr>
              <w:t>3、备注：</w:t>
            </w:r>
          </w:p>
          <w:p w14:paraId="39B295B7">
            <w:pPr>
              <w:pStyle w:val="4"/>
              <w:ind w:firstLine="482"/>
              <w:jc w:val="left"/>
            </w:pPr>
            <w:r>
              <w:rPr>
                <w:rFonts w:ascii="仿宋_GB2312" w:hAnsi="仿宋_GB2312" w:eastAsia="仿宋_GB2312" w:cs="仿宋_GB2312"/>
                <w:sz w:val="24"/>
              </w:rPr>
              <w:t>（1）供应商应当根据本项目实际情况提供真实、客观的履约能力证明材料。</w:t>
            </w:r>
          </w:p>
          <w:p w14:paraId="7A8760C0">
            <w:pPr>
              <w:pStyle w:val="4"/>
              <w:ind w:firstLine="482"/>
              <w:jc w:val="left"/>
            </w:pPr>
            <w:r>
              <w:rPr>
                <w:rFonts w:ascii="仿宋_GB2312" w:hAnsi="仿宋_GB2312" w:eastAsia="仿宋_GB2312" w:cs="仿宋_GB2312"/>
                <w:sz w:val="24"/>
              </w:rPr>
              <w:t>（2）供应商应当保证所提交的所有材料的真实性，若提交虚假材料谋取成交的，应当将该供应商按失信行为记入诚信档案。</w:t>
            </w:r>
          </w:p>
          <w:p w14:paraId="6F09026F">
            <w:pPr>
              <w:pStyle w:val="4"/>
              <w:ind w:firstLine="482"/>
              <w:jc w:val="left"/>
            </w:pPr>
            <w:r>
              <w:rPr>
                <w:rFonts w:ascii="仿宋_GB2312" w:hAnsi="仿宋_GB2312" w:eastAsia="仿宋_GB2312" w:cs="仿宋_GB2312"/>
                <w:sz w:val="24"/>
              </w:rPr>
              <w:t>（3）供应商根据项目的实际需求和具体情况实事求是地编制方案，能具体量化，具有可行性及便于监督考核，不得违反法律、法规规定，不得夸大其词和空口许诺。</w:t>
            </w:r>
          </w:p>
          <w:p w14:paraId="7E7E5177">
            <w:pPr>
              <w:pStyle w:val="4"/>
              <w:ind w:firstLine="482"/>
              <w:jc w:val="left"/>
            </w:pPr>
          </w:p>
        </w:tc>
      </w:tr>
    </w:tbl>
    <w:p w14:paraId="5678EAF4">
      <w:pPr>
        <w:pStyle w:val="4"/>
        <w:jc w:val="left"/>
        <w:outlineLvl w:val="2"/>
      </w:pPr>
      <w:r>
        <w:rPr>
          <w:rFonts w:ascii="仿宋_GB2312" w:hAnsi="仿宋_GB2312" w:eastAsia="仿宋_GB2312" w:cs="仿宋_GB2312"/>
          <w:b/>
          <w:sz w:val="28"/>
        </w:rPr>
        <w:t>3.3.服务要求</w:t>
      </w:r>
    </w:p>
    <w:p w14:paraId="3BAEAC90">
      <w:pPr>
        <w:pStyle w:val="4"/>
        <w:jc w:val="left"/>
        <w:outlineLvl w:val="3"/>
      </w:pPr>
      <w:r>
        <w:rPr>
          <w:rFonts w:ascii="仿宋_GB2312" w:hAnsi="仿宋_GB2312" w:eastAsia="仿宋_GB2312" w:cs="仿宋_GB2312"/>
          <w:b/>
          <w:sz w:val="24"/>
        </w:rPr>
        <w:t>3.3.1服务内容要求</w:t>
      </w:r>
    </w:p>
    <w:p w14:paraId="6D3107F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0A8A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2E890FC0">
            <w:pPr>
              <w:pStyle w:val="4"/>
              <w:jc w:val="center"/>
            </w:pPr>
            <w:r>
              <w:rPr>
                <w:rFonts w:ascii="仿宋_GB2312" w:hAnsi="仿宋_GB2312" w:eastAsia="仿宋_GB2312" w:cs="仿宋_GB2312"/>
              </w:rPr>
              <w:t xml:space="preserve"> 序号</w:t>
            </w:r>
          </w:p>
        </w:tc>
        <w:tc>
          <w:tcPr>
            <w:tcW w:w="581" w:type="dxa"/>
          </w:tcPr>
          <w:p w14:paraId="1A15249B">
            <w:pPr>
              <w:pStyle w:val="4"/>
              <w:jc w:val="center"/>
            </w:pPr>
            <w:r>
              <w:rPr>
                <w:rFonts w:ascii="仿宋_GB2312" w:hAnsi="仿宋_GB2312" w:eastAsia="仿宋_GB2312" w:cs="仿宋_GB2312"/>
              </w:rPr>
              <w:t xml:space="preserve"> 符号标识</w:t>
            </w:r>
          </w:p>
        </w:tc>
        <w:tc>
          <w:tcPr>
            <w:tcW w:w="1495" w:type="dxa"/>
          </w:tcPr>
          <w:p w14:paraId="6B6903B0">
            <w:pPr>
              <w:pStyle w:val="4"/>
              <w:jc w:val="center"/>
            </w:pPr>
            <w:r>
              <w:rPr>
                <w:rFonts w:ascii="仿宋_GB2312" w:hAnsi="仿宋_GB2312" w:eastAsia="仿宋_GB2312" w:cs="仿宋_GB2312"/>
              </w:rPr>
              <w:t xml:space="preserve"> 服务要求名称</w:t>
            </w:r>
          </w:p>
        </w:tc>
        <w:tc>
          <w:tcPr>
            <w:tcW w:w="5814" w:type="dxa"/>
          </w:tcPr>
          <w:p w14:paraId="10E7765F">
            <w:pPr>
              <w:pStyle w:val="4"/>
              <w:jc w:val="center"/>
            </w:pPr>
            <w:r>
              <w:rPr>
                <w:rFonts w:ascii="仿宋_GB2312" w:hAnsi="仿宋_GB2312" w:eastAsia="仿宋_GB2312" w:cs="仿宋_GB2312"/>
              </w:rPr>
              <w:t xml:space="preserve"> 服务要求内容</w:t>
            </w:r>
          </w:p>
        </w:tc>
      </w:tr>
      <w:tr w14:paraId="5E2129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D6A487">
            <w:pPr>
              <w:pStyle w:val="4"/>
              <w:jc w:val="center"/>
            </w:pPr>
            <w:r>
              <w:rPr>
                <w:rFonts w:ascii="仿宋_GB2312" w:hAnsi="仿宋_GB2312" w:eastAsia="仿宋_GB2312" w:cs="仿宋_GB2312"/>
              </w:rPr>
              <w:t>1</w:t>
            </w:r>
          </w:p>
        </w:tc>
        <w:tc>
          <w:tcPr>
            <w:tcW w:w="581" w:type="dxa"/>
          </w:tcPr>
          <w:p w14:paraId="39CF23EB">
            <w:pPr>
              <w:pStyle w:val="4"/>
              <w:jc w:val="center"/>
            </w:pPr>
            <w:r>
              <w:rPr>
                <w:rFonts w:ascii="仿宋_GB2312" w:hAnsi="仿宋_GB2312" w:eastAsia="仿宋_GB2312" w:cs="仿宋_GB2312"/>
              </w:rPr>
              <w:t>★</w:t>
            </w:r>
          </w:p>
        </w:tc>
        <w:tc>
          <w:tcPr>
            <w:tcW w:w="1495" w:type="dxa"/>
          </w:tcPr>
          <w:p w14:paraId="17ECFB49">
            <w:pPr>
              <w:pStyle w:val="4"/>
              <w:jc w:val="left"/>
            </w:pPr>
            <w:r>
              <w:rPr>
                <w:rFonts w:ascii="仿宋_GB2312" w:hAnsi="仿宋_GB2312" w:eastAsia="仿宋_GB2312" w:cs="仿宋_GB2312"/>
              </w:rPr>
              <w:t>★服务要求（实质性要求，提供承诺函）</w:t>
            </w:r>
          </w:p>
        </w:tc>
        <w:tc>
          <w:tcPr>
            <w:tcW w:w="5814" w:type="dxa"/>
          </w:tcPr>
          <w:p w14:paraId="05C5CA77">
            <w:pPr>
              <w:pStyle w:val="4"/>
              <w:ind w:firstLine="480"/>
              <w:jc w:val="both"/>
            </w:pPr>
            <w:r>
              <w:rPr>
                <w:rFonts w:ascii="仿宋_GB2312" w:hAnsi="仿宋_GB2312" w:eastAsia="仿宋_GB2312" w:cs="仿宋_GB2312"/>
                <w:sz w:val="24"/>
              </w:rPr>
              <w:t>（1）项目全部活动结束后30个工作日内，供应商须向采购人提交项目整体总结报告及经费使用情况专项报告纸质版各2份，同时提供电子文档1套（Word、PDF格式各1份）。全面复盘活动实施情况，统计岗位匹配、实习到岗、留蓉意向等数据，汇总实习单位、实习生及各合作方意见建议，总结经验做法、查摆问题不足。建立意向留蓉人才储备库和优质实习合作单位名录，优化工作举措、健全长效机制，持续提升海外人才引育留用实效。</w:t>
            </w:r>
          </w:p>
          <w:p w14:paraId="16F42F5B">
            <w:pPr>
              <w:pStyle w:val="4"/>
              <w:ind w:firstLine="480"/>
              <w:jc w:val="both"/>
            </w:pPr>
            <w:r>
              <w:rPr>
                <w:rFonts w:ascii="仿宋_GB2312" w:hAnsi="仿宋_GB2312" w:eastAsia="仿宋_GB2312" w:cs="仿宋_GB2312"/>
                <w:sz w:val="24"/>
              </w:rPr>
              <w:t>（2）维持活动秩序，保障活动安全顺利进行，杜绝一切安全事故发生，项目执行过程期间发生一切与项目执行有关的安全责任事故、群体性事件，责任由供应商承担。</w:t>
            </w:r>
          </w:p>
          <w:p w14:paraId="0BEDDEC7">
            <w:pPr>
              <w:pStyle w:val="4"/>
              <w:ind w:firstLine="480"/>
              <w:jc w:val="both"/>
            </w:pPr>
            <w:r>
              <w:rPr>
                <w:rFonts w:ascii="仿宋_GB2312" w:hAnsi="仿宋_GB2312" w:eastAsia="仿宋_GB2312" w:cs="仿宋_GB2312"/>
                <w:sz w:val="24"/>
              </w:rPr>
              <w:t>（3）为保障本项目工作的顺利进行，供应商为本项目配备1名项目负责人，承担本项目的的整体安排、管理工作，服务过程中需与采购人保持良好的沟通协调，及时响应采购人的合理需求。</w:t>
            </w:r>
          </w:p>
          <w:p w14:paraId="7DFD30F6">
            <w:pPr>
              <w:pStyle w:val="4"/>
              <w:ind w:firstLine="480"/>
              <w:jc w:val="left"/>
            </w:pPr>
            <w:r>
              <w:rPr>
                <w:rFonts w:ascii="仿宋_GB2312" w:hAnsi="仿宋_GB2312" w:eastAsia="仿宋_GB2312" w:cs="仿宋_GB2312"/>
                <w:sz w:val="24"/>
              </w:rPr>
              <w:t>（4）供应商应保证所提供的服务、相关设计制作及所有宣传物料或其任何一部分均不会侵犯任何第三方的专利权、商标权或著作权，否则造成任何法律纠纷，责任由供应商承担。</w:t>
            </w:r>
          </w:p>
          <w:p w14:paraId="672EB7C2">
            <w:pPr>
              <w:pStyle w:val="4"/>
              <w:ind w:firstLine="480"/>
              <w:jc w:val="left"/>
            </w:pPr>
            <w:r>
              <w:rPr>
                <w:rFonts w:ascii="仿宋_GB2312" w:hAnsi="仿宋_GB2312" w:eastAsia="仿宋_GB2312" w:cs="仿宋_GB2312"/>
                <w:sz w:val="24"/>
              </w:rPr>
              <w:t>（5）采购人通知的其他相关工作内容。</w:t>
            </w:r>
          </w:p>
        </w:tc>
      </w:tr>
      <w:tr w14:paraId="004DC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623310">
            <w:pPr>
              <w:pStyle w:val="4"/>
              <w:jc w:val="center"/>
            </w:pPr>
            <w:r>
              <w:rPr>
                <w:rFonts w:ascii="仿宋_GB2312" w:hAnsi="仿宋_GB2312" w:eastAsia="仿宋_GB2312" w:cs="仿宋_GB2312"/>
              </w:rPr>
              <w:t>2</w:t>
            </w:r>
          </w:p>
        </w:tc>
        <w:tc>
          <w:tcPr>
            <w:tcW w:w="581" w:type="dxa"/>
          </w:tcPr>
          <w:p w14:paraId="3C33BF01">
            <w:pPr>
              <w:pStyle w:val="4"/>
              <w:jc w:val="center"/>
            </w:pPr>
            <w:r>
              <w:rPr>
                <w:rFonts w:ascii="仿宋_GB2312" w:hAnsi="仿宋_GB2312" w:eastAsia="仿宋_GB2312" w:cs="仿宋_GB2312"/>
              </w:rPr>
              <w:t>★</w:t>
            </w:r>
          </w:p>
        </w:tc>
        <w:tc>
          <w:tcPr>
            <w:tcW w:w="1495" w:type="dxa"/>
          </w:tcPr>
          <w:p w14:paraId="4E4C42C8">
            <w:pPr>
              <w:pStyle w:val="4"/>
              <w:jc w:val="left"/>
            </w:pPr>
            <w:r>
              <w:rPr>
                <w:rFonts w:ascii="仿宋_GB2312" w:hAnsi="仿宋_GB2312" w:eastAsia="仿宋_GB2312" w:cs="仿宋_GB2312"/>
              </w:rPr>
              <w:t>★其他要求（实质性要求，提供承诺函）</w:t>
            </w:r>
          </w:p>
        </w:tc>
        <w:tc>
          <w:tcPr>
            <w:tcW w:w="5814" w:type="dxa"/>
          </w:tcPr>
          <w:p w14:paraId="7AF439BD">
            <w:pPr>
              <w:pStyle w:val="4"/>
              <w:spacing w:after="105"/>
              <w:ind w:firstLine="480"/>
              <w:jc w:val="left"/>
            </w:pPr>
            <w:r>
              <w:rPr>
                <w:rFonts w:ascii="仿宋_GB2312" w:hAnsi="仿宋_GB2312" w:eastAsia="仿宋_GB2312" w:cs="仿宋_GB2312"/>
                <w:sz w:val="21"/>
              </w:rPr>
              <w:t>（1）在项目实施过程中，供应商应做好相应的安全防护工作，避免发生安全事故，如因成交供应商工作人员在履行职务过程中的疏忽、失职、过错等故意或者过失原因造成财产损失、人身事故、安全事故由此而导致的采购人对任何第三方的法律责任等，成交供应商对此均应承担全部的赔偿责任。（包括人员安全事故责任、与第三方的劳务纠纷、项目实施过程中的劳务纠纷及人员伤害等）</w:t>
            </w:r>
          </w:p>
          <w:p w14:paraId="396002F4">
            <w:pPr>
              <w:pStyle w:val="4"/>
              <w:ind w:firstLine="480"/>
              <w:jc w:val="left"/>
            </w:pPr>
            <w:r>
              <w:rPr>
                <w:rFonts w:ascii="仿宋_GB2312" w:hAnsi="仿宋_GB2312" w:eastAsia="仿宋_GB2312" w:cs="仿宋_GB2312"/>
                <w:sz w:val="21"/>
              </w:rPr>
              <w:t>（2）所有报价一律以人民币报价。采购人不接受任何非人民币币种的报价。供应商的报价是满足采购需求全部内容的价格体现，即为完成本项目所涉及的一切费用。包括：人工费、管理费、税金、知识产权费（若有）、代理服务费、劳务费、设计制作费、物料费、场地租赁费、所需机器设备租赁费用、交通费和各类保险等费用以及采购文件规定的其他费用（完成本项目可预见或不可预见所需的一切费用）均应包含在报价中。采购人将不再支付其他额外费用。</w:t>
            </w:r>
          </w:p>
          <w:p w14:paraId="6E1A2FBD">
            <w:pPr>
              <w:pStyle w:val="4"/>
              <w:ind w:firstLine="480"/>
              <w:jc w:val="left"/>
            </w:pPr>
            <w:r>
              <w:rPr>
                <w:rFonts w:ascii="仿宋_GB2312" w:hAnsi="仿宋_GB2312" w:eastAsia="仿宋_GB2312" w:cs="仿宋_GB2312"/>
                <w:sz w:val="21"/>
              </w:rPr>
              <w:t>（3）供应商应根据本项目的实际情况与自身现实情况，并充分考虑不确定性因素可能导致的风险自行填报。若因响应供应商原因造成的漏报、错报而导致本项目无法履行的，由响应供应商负责，采购人不会承担任何费用。</w:t>
            </w:r>
          </w:p>
          <w:p w14:paraId="0122273A">
            <w:pPr>
              <w:pStyle w:val="4"/>
              <w:ind w:firstLine="480"/>
              <w:jc w:val="left"/>
            </w:pPr>
            <w:r>
              <w:rPr>
                <w:rFonts w:ascii="仿宋_GB2312" w:hAnsi="仿宋_GB2312" w:eastAsia="仿宋_GB2312" w:cs="仿宋_GB2312"/>
                <w:sz w:val="21"/>
              </w:rPr>
              <w:t>（4）供应商及其拟派本项目的工作人员必须严格遵守保密要求，不得未经采购人同意向任何第三方泄露本项目相关资料和信息。所有拍摄的相关资料和创作的文稿不得对外使用,本项目的文字、图片、及所有拍摄素材等版权均属采购人所有。若有违反或非法传播，供应商将承担由此产生的全部经济和法律责任。</w:t>
            </w:r>
            <w:r>
              <w:rPr>
                <w:rFonts w:ascii="仿宋_GB2312" w:hAnsi="仿宋_GB2312" w:eastAsia="仿宋_GB2312" w:cs="仿宋_GB2312"/>
                <w:sz w:val="21"/>
                <w:shd w:val="clear" w:fill="FFFFFF"/>
              </w:rPr>
              <w:t>供应商为本项目配备的人员，在项目实施过程中若因不可抗力原因确需更换人员，则更换的人员与原配备人员需有同等专业水平，与采购人协商后方可更换。</w:t>
            </w:r>
          </w:p>
          <w:p w14:paraId="5D21F89B">
            <w:pPr>
              <w:pStyle w:val="4"/>
              <w:ind w:firstLine="480"/>
              <w:jc w:val="left"/>
            </w:pPr>
            <w:r>
              <w:rPr>
                <w:rFonts w:ascii="仿宋_GB2312" w:hAnsi="仿宋_GB2312" w:eastAsia="仿宋_GB2312" w:cs="仿宋_GB2312"/>
                <w:sz w:val="21"/>
              </w:rPr>
              <w:t>（5）其他未尽事宜：以国家现行法律、法规，规范、标准，行业标准、地方标准以及双方签订的合同为准。（如本项目采用相关法律、法规，规范、标准，行业标准、地方标准发生矛盾时，以最新法律、法规，规范、标准，行业标准、地方标准执行。）</w:t>
            </w:r>
          </w:p>
        </w:tc>
      </w:tr>
    </w:tbl>
    <w:p w14:paraId="179DE7FB">
      <w:pPr>
        <w:pStyle w:val="4"/>
        <w:jc w:val="left"/>
        <w:outlineLvl w:val="3"/>
      </w:pPr>
      <w:r>
        <w:rPr>
          <w:rFonts w:ascii="仿宋_GB2312" w:hAnsi="仿宋_GB2312" w:eastAsia="仿宋_GB2312" w:cs="仿宋_GB2312"/>
          <w:b/>
          <w:sz w:val="24"/>
        </w:rPr>
        <w:t>3.3.2.商务要求</w:t>
      </w:r>
    </w:p>
    <w:p w14:paraId="60C6109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6629C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7B05CCE">
            <w:pPr>
              <w:pStyle w:val="4"/>
              <w:jc w:val="center"/>
            </w:pPr>
            <w:r>
              <w:rPr>
                <w:rFonts w:ascii="仿宋_GB2312" w:hAnsi="仿宋_GB2312" w:eastAsia="仿宋_GB2312" w:cs="仿宋_GB2312"/>
              </w:rPr>
              <w:t>序号</w:t>
            </w:r>
          </w:p>
        </w:tc>
        <w:tc>
          <w:tcPr>
            <w:tcW w:w="581" w:type="dxa"/>
          </w:tcPr>
          <w:p w14:paraId="0ECF4EE3">
            <w:pPr>
              <w:pStyle w:val="4"/>
              <w:jc w:val="center"/>
            </w:pPr>
            <w:r>
              <w:rPr>
                <w:rFonts w:ascii="仿宋_GB2312" w:hAnsi="仿宋_GB2312" w:eastAsia="仿宋_GB2312" w:cs="仿宋_GB2312"/>
              </w:rPr>
              <w:t>符号标识</w:t>
            </w:r>
          </w:p>
        </w:tc>
        <w:tc>
          <w:tcPr>
            <w:tcW w:w="1495" w:type="dxa"/>
          </w:tcPr>
          <w:p w14:paraId="610AAD09">
            <w:pPr>
              <w:pStyle w:val="4"/>
              <w:jc w:val="center"/>
            </w:pPr>
            <w:r>
              <w:rPr>
                <w:rFonts w:ascii="仿宋_GB2312" w:hAnsi="仿宋_GB2312" w:eastAsia="仿宋_GB2312" w:cs="仿宋_GB2312"/>
              </w:rPr>
              <w:t>商务要求名称</w:t>
            </w:r>
          </w:p>
        </w:tc>
        <w:tc>
          <w:tcPr>
            <w:tcW w:w="5814" w:type="dxa"/>
          </w:tcPr>
          <w:p w14:paraId="3D77CC65">
            <w:pPr>
              <w:pStyle w:val="4"/>
              <w:jc w:val="center"/>
            </w:pPr>
            <w:r>
              <w:rPr>
                <w:rFonts w:ascii="仿宋_GB2312" w:hAnsi="仿宋_GB2312" w:eastAsia="仿宋_GB2312" w:cs="仿宋_GB2312"/>
              </w:rPr>
              <w:t>商务要求内容</w:t>
            </w:r>
          </w:p>
        </w:tc>
      </w:tr>
      <w:tr w14:paraId="7D788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2B6CDD">
            <w:pPr>
              <w:pStyle w:val="4"/>
              <w:jc w:val="center"/>
            </w:pPr>
            <w:r>
              <w:rPr>
                <w:rFonts w:ascii="仿宋_GB2312" w:hAnsi="仿宋_GB2312" w:eastAsia="仿宋_GB2312" w:cs="仿宋_GB2312"/>
              </w:rPr>
              <w:t>1</w:t>
            </w:r>
          </w:p>
        </w:tc>
        <w:tc>
          <w:tcPr>
            <w:tcW w:w="581" w:type="dxa"/>
          </w:tcPr>
          <w:p w14:paraId="023BD15C">
            <w:pPr>
              <w:pStyle w:val="4"/>
              <w:jc w:val="center"/>
            </w:pPr>
            <w:r>
              <w:rPr>
                <w:rFonts w:ascii="仿宋_GB2312" w:hAnsi="仿宋_GB2312" w:eastAsia="仿宋_GB2312" w:cs="仿宋_GB2312"/>
              </w:rPr>
              <w:t>★</w:t>
            </w:r>
          </w:p>
        </w:tc>
        <w:tc>
          <w:tcPr>
            <w:tcW w:w="1495" w:type="dxa"/>
          </w:tcPr>
          <w:p w14:paraId="37D0DB44">
            <w:pPr>
              <w:pStyle w:val="4"/>
              <w:jc w:val="left"/>
            </w:pPr>
            <w:r>
              <w:rPr>
                <w:rFonts w:ascii="仿宋_GB2312" w:hAnsi="仿宋_GB2312" w:eastAsia="仿宋_GB2312" w:cs="仿宋_GB2312"/>
              </w:rPr>
              <w:t>服务期限</w:t>
            </w:r>
          </w:p>
        </w:tc>
        <w:tc>
          <w:tcPr>
            <w:tcW w:w="5814" w:type="dxa"/>
          </w:tcPr>
          <w:p w14:paraId="754B32ED">
            <w:pPr>
              <w:pStyle w:val="4"/>
              <w:jc w:val="left"/>
            </w:pPr>
            <w:r>
              <w:rPr>
                <w:rFonts w:ascii="仿宋_GB2312" w:hAnsi="仿宋_GB2312" w:eastAsia="仿宋_GB2312" w:cs="仿宋_GB2312"/>
              </w:rPr>
              <w:t>自合同签订之日起至2026年10月31日止</w:t>
            </w:r>
          </w:p>
        </w:tc>
      </w:tr>
      <w:tr w14:paraId="14C49E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127705">
            <w:pPr>
              <w:pStyle w:val="4"/>
              <w:jc w:val="center"/>
            </w:pPr>
            <w:r>
              <w:rPr>
                <w:rFonts w:ascii="仿宋_GB2312" w:hAnsi="仿宋_GB2312" w:eastAsia="仿宋_GB2312" w:cs="仿宋_GB2312"/>
              </w:rPr>
              <w:t>2</w:t>
            </w:r>
          </w:p>
        </w:tc>
        <w:tc>
          <w:tcPr>
            <w:tcW w:w="581" w:type="dxa"/>
          </w:tcPr>
          <w:p w14:paraId="10301408">
            <w:pPr>
              <w:pStyle w:val="4"/>
              <w:jc w:val="center"/>
            </w:pPr>
            <w:r>
              <w:rPr>
                <w:rFonts w:ascii="仿宋_GB2312" w:hAnsi="仿宋_GB2312" w:eastAsia="仿宋_GB2312" w:cs="仿宋_GB2312"/>
              </w:rPr>
              <w:t>★</w:t>
            </w:r>
          </w:p>
        </w:tc>
        <w:tc>
          <w:tcPr>
            <w:tcW w:w="1495" w:type="dxa"/>
          </w:tcPr>
          <w:p w14:paraId="637DE447">
            <w:pPr>
              <w:pStyle w:val="4"/>
              <w:jc w:val="left"/>
            </w:pPr>
            <w:r>
              <w:rPr>
                <w:rFonts w:ascii="仿宋_GB2312" w:hAnsi="仿宋_GB2312" w:eastAsia="仿宋_GB2312" w:cs="仿宋_GB2312"/>
              </w:rPr>
              <w:t>服务地点</w:t>
            </w:r>
          </w:p>
        </w:tc>
        <w:tc>
          <w:tcPr>
            <w:tcW w:w="5814" w:type="dxa"/>
          </w:tcPr>
          <w:p w14:paraId="40C72FC6">
            <w:pPr>
              <w:pStyle w:val="4"/>
              <w:jc w:val="left"/>
            </w:pPr>
            <w:r>
              <w:rPr>
                <w:rFonts w:ascii="仿宋_GB2312" w:hAnsi="仿宋_GB2312" w:eastAsia="仿宋_GB2312" w:cs="仿宋_GB2312"/>
              </w:rPr>
              <w:t>采购人指定地点（成都市行政管辖范围内）</w:t>
            </w:r>
          </w:p>
        </w:tc>
      </w:tr>
      <w:tr w14:paraId="6235F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816183">
            <w:pPr>
              <w:pStyle w:val="4"/>
              <w:jc w:val="center"/>
            </w:pPr>
            <w:r>
              <w:rPr>
                <w:rFonts w:ascii="仿宋_GB2312" w:hAnsi="仿宋_GB2312" w:eastAsia="仿宋_GB2312" w:cs="仿宋_GB2312"/>
              </w:rPr>
              <w:t>3</w:t>
            </w:r>
          </w:p>
        </w:tc>
        <w:tc>
          <w:tcPr>
            <w:tcW w:w="581" w:type="dxa"/>
          </w:tcPr>
          <w:p w14:paraId="5B6CAF99">
            <w:pPr>
              <w:pStyle w:val="4"/>
              <w:jc w:val="center"/>
            </w:pPr>
            <w:r>
              <w:rPr>
                <w:rFonts w:ascii="仿宋_GB2312" w:hAnsi="仿宋_GB2312" w:eastAsia="仿宋_GB2312" w:cs="仿宋_GB2312"/>
              </w:rPr>
              <w:t>★</w:t>
            </w:r>
          </w:p>
        </w:tc>
        <w:tc>
          <w:tcPr>
            <w:tcW w:w="1495" w:type="dxa"/>
          </w:tcPr>
          <w:p w14:paraId="295BC6EA">
            <w:pPr>
              <w:pStyle w:val="4"/>
              <w:jc w:val="left"/>
            </w:pPr>
            <w:r>
              <w:rPr>
                <w:rFonts w:ascii="仿宋_GB2312" w:hAnsi="仿宋_GB2312" w:eastAsia="仿宋_GB2312" w:cs="仿宋_GB2312"/>
              </w:rPr>
              <w:t>验收、交付标准和方法</w:t>
            </w:r>
          </w:p>
        </w:tc>
        <w:tc>
          <w:tcPr>
            <w:tcW w:w="5814" w:type="dxa"/>
          </w:tcPr>
          <w:p w14:paraId="47AB9721">
            <w:pPr>
              <w:pStyle w:val="4"/>
              <w:jc w:val="left"/>
            </w:pPr>
            <w:r>
              <w:rPr>
                <w:rFonts w:ascii="仿宋_GB2312" w:hAnsi="仿宋_GB2312" w:eastAsia="仿宋_GB2312" w:cs="仿宋_GB2312"/>
              </w:rPr>
              <w:t>严格按照政府采购相关法律法规以及《财政部关于进一步加强政府采购需求和履约验收管理的指导意见》(财库〔2016〕205号)、《政府采购需求管理办法》（财库〔2021〕22号）的要求，根据磋商文件的要求、供应商的响应文件承诺以及合同约定进行验收。</w:t>
            </w:r>
          </w:p>
        </w:tc>
      </w:tr>
      <w:tr w14:paraId="21A2A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F622A1">
            <w:pPr>
              <w:pStyle w:val="4"/>
              <w:jc w:val="center"/>
            </w:pPr>
            <w:r>
              <w:rPr>
                <w:rFonts w:ascii="仿宋_GB2312" w:hAnsi="仿宋_GB2312" w:eastAsia="仿宋_GB2312" w:cs="仿宋_GB2312"/>
              </w:rPr>
              <w:t>4</w:t>
            </w:r>
          </w:p>
        </w:tc>
        <w:tc>
          <w:tcPr>
            <w:tcW w:w="581" w:type="dxa"/>
          </w:tcPr>
          <w:p w14:paraId="2D0707EB">
            <w:pPr>
              <w:pStyle w:val="4"/>
              <w:jc w:val="center"/>
            </w:pPr>
            <w:r>
              <w:rPr>
                <w:rFonts w:ascii="仿宋_GB2312" w:hAnsi="仿宋_GB2312" w:eastAsia="仿宋_GB2312" w:cs="仿宋_GB2312"/>
              </w:rPr>
              <w:t>★</w:t>
            </w:r>
          </w:p>
        </w:tc>
        <w:tc>
          <w:tcPr>
            <w:tcW w:w="1495" w:type="dxa"/>
          </w:tcPr>
          <w:p w14:paraId="43199E49">
            <w:pPr>
              <w:pStyle w:val="4"/>
              <w:jc w:val="left"/>
            </w:pPr>
            <w:r>
              <w:rPr>
                <w:rFonts w:ascii="仿宋_GB2312" w:hAnsi="仿宋_GB2312" w:eastAsia="仿宋_GB2312" w:cs="仿宋_GB2312"/>
              </w:rPr>
              <w:t>支付方式</w:t>
            </w:r>
          </w:p>
        </w:tc>
        <w:tc>
          <w:tcPr>
            <w:tcW w:w="5814" w:type="dxa"/>
          </w:tcPr>
          <w:p w14:paraId="6E935CEE">
            <w:pPr>
              <w:pStyle w:val="4"/>
              <w:jc w:val="left"/>
            </w:pPr>
            <w:r>
              <w:rPr>
                <w:rFonts w:ascii="仿宋_GB2312" w:hAnsi="仿宋_GB2312" w:eastAsia="仿宋_GB2312" w:cs="仿宋_GB2312"/>
              </w:rPr>
              <w:t>分期付款</w:t>
            </w:r>
          </w:p>
        </w:tc>
      </w:tr>
      <w:tr w14:paraId="356543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86E367">
            <w:pPr>
              <w:pStyle w:val="4"/>
              <w:jc w:val="center"/>
            </w:pPr>
            <w:r>
              <w:rPr>
                <w:rFonts w:ascii="仿宋_GB2312" w:hAnsi="仿宋_GB2312" w:eastAsia="仿宋_GB2312" w:cs="仿宋_GB2312"/>
              </w:rPr>
              <w:t>5</w:t>
            </w:r>
          </w:p>
        </w:tc>
        <w:tc>
          <w:tcPr>
            <w:tcW w:w="581" w:type="dxa"/>
          </w:tcPr>
          <w:p w14:paraId="1E79E08A"/>
        </w:tc>
        <w:tc>
          <w:tcPr>
            <w:tcW w:w="1495" w:type="dxa"/>
          </w:tcPr>
          <w:p w14:paraId="4D4DF80E">
            <w:pPr>
              <w:pStyle w:val="4"/>
              <w:jc w:val="left"/>
            </w:pPr>
            <w:r>
              <w:rPr>
                <w:rFonts w:ascii="仿宋_GB2312" w:hAnsi="仿宋_GB2312" w:eastAsia="仿宋_GB2312" w:cs="仿宋_GB2312"/>
              </w:rPr>
              <w:t>付款进度安排</w:t>
            </w:r>
          </w:p>
        </w:tc>
        <w:tc>
          <w:tcPr>
            <w:tcW w:w="5814" w:type="dxa"/>
          </w:tcPr>
          <w:p w14:paraId="38138BBF">
            <w:pPr>
              <w:pStyle w:val="4"/>
              <w:jc w:val="left"/>
            </w:pPr>
            <w:r>
              <w:rPr>
                <w:rFonts w:ascii="仿宋_GB2312" w:hAnsi="仿宋_GB2312" w:eastAsia="仿宋_GB2312" w:cs="仿宋_GB2312"/>
              </w:rPr>
              <w:t>1、签订采购服务合同后，采购人自收到供应商出具的真实有效、合法等额发票后，达到付款条件起10日内，支付合同总金额的40.00%</w:t>
            </w:r>
          </w:p>
          <w:p w14:paraId="3920B3D6">
            <w:pPr>
              <w:pStyle w:val="4"/>
              <w:jc w:val="left"/>
            </w:pPr>
            <w:r>
              <w:rPr>
                <w:rFonts w:ascii="仿宋_GB2312" w:hAnsi="仿宋_GB2312" w:eastAsia="仿宋_GB2312" w:cs="仿宋_GB2312"/>
              </w:rPr>
              <w:t>2、结业仪式活动结束后，采购人自收到供应商出具的真实有效、合法等额发票后，达到付款条件起10日内，支付合同总金额的40.00%</w:t>
            </w:r>
          </w:p>
          <w:p w14:paraId="6B09C0FA">
            <w:pPr>
              <w:pStyle w:val="4"/>
              <w:jc w:val="left"/>
            </w:pPr>
            <w:r>
              <w:rPr>
                <w:rFonts w:ascii="仿宋_GB2312" w:hAnsi="仿宋_GB2312" w:eastAsia="仿宋_GB2312" w:cs="仿宋_GB2312"/>
              </w:rPr>
              <w:t>3、服务期满并服务成果经验收合格后，采购人自收到供应商出具的真实有效、合法等额发票后，达到付款条件起10日内，支付合同总金额的20.00%</w:t>
            </w:r>
          </w:p>
        </w:tc>
      </w:tr>
      <w:tr w14:paraId="7D6B9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90C75A">
            <w:pPr>
              <w:pStyle w:val="4"/>
              <w:jc w:val="center"/>
            </w:pPr>
            <w:r>
              <w:rPr>
                <w:rFonts w:ascii="仿宋_GB2312" w:hAnsi="仿宋_GB2312" w:eastAsia="仿宋_GB2312" w:cs="仿宋_GB2312"/>
              </w:rPr>
              <w:t>6</w:t>
            </w:r>
          </w:p>
        </w:tc>
        <w:tc>
          <w:tcPr>
            <w:tcW w:w="581" w:type="dxa"/>
          </w:tcPr>
          <w:p w14:paraId="55074CA7">
            <w:pPr>
              <w:pStyle w:val="4"/>
              <w:jc w:val="center"/>
            </w:pPr>
            <w:r>
              <w:rPr>
                <w:rFonts w:ascii="仿宋_GB2312" w:hAnsi="仿宋_GB2312" w:eastAsia="仿宋_GB2312" w:cs="仿宋_GB2312"/>
              </w:rPr>
              <w:t>★</w:t>
            </w:r>
          </w:p>
        </w:tc>
        <w:tc>
          <w:tcPr>
            <w:tcW w:w="1495" w:type="dxa"/>
          </w:tcPr>
          <w:p w14:paraId="2750C288">
            <w:pPr>
              <w:pStyle w:val="4"/>
              <w:jc w:val="left"/>
            </w:pPr>
            <w:r>
              <w:rPr>
                <w:rFonts w:ascii="仿宋_GB2312" w:hAnsi="仿宋_GB2312" w:eastAsia="仿宋_GB2312" w:cs="仿宋_GB2312"/>
              </w:rPr>
              <w:t>违约责任与解决争议的方法</w:t>
            </w:r>
          </w:p>
        </w:tc>
        <w:tc>
          <w:tcPr>
            <w:tcW w:w="5814" w:type="dxa"/>
          </w:tcPr>
          <w:p w14:paraId="2320FD27">
            <w:pPr>
              <w:pStyle w:val="4"/>
              <w:jc w:val="left"/>
            </w:pPr>
            <w:r>
              <w:rPr>
                <w:rFonts w:ascii="仿宋_GB2312" w:hAnsi="仿宋_GB2312" w:eastAsia="仿宋_GB2312" w:cs="仿宋_GB2312"/>
              </w:rPr>
              <w:t>（1）采购人及供应商双方必须遵守采购合同并执行合同中的各项规定，保证采购合同的正常履行。任何一方违约给对方造成的直接损失均负有赔偿责任，对方均有权视情况要求对方继续履行合同或提出解除合同。（2）如因供应商在履行过程中的疏忽、失职、过错等故意或者过失原因给采购人造成损失或侵害，包括但不限于采购人本身的财产损失、由此而导致的采购人对任何第三方的法律责任等，供应商对此均应承担法定的赔偿责任。（3）如供应商提交的成果达不到相关质量要求或未按采购人时间进度安排完成成果，采购人有权根据合同约定扣除合同支付金额和提出解除合同。（4）采购人及供应商双方就采购合同所产生的任何争议都应该进行友好协商，协商解决不成的，任何一方均可向采购人住所地人民法院提起诉讼。</w:t>
            </w:r>
          </w:p>
        </w:tc>
      </w:tr>
    </w:tbl>
    <w:p w14:paraId="40F112B8">
      <w:pPr>
        <w:pStyle w:val="4"/>
        <w:jc w:val="left"/>
        <w:outlineLvl w:val="2"/>
      </w:pPr>
      <w:r>
        <w:rPr>
          <w:rFonts w:ascii="仿宋_GB2312" w:hAnsi="仿宋_GB2312" w:eastAsia="仿宋_GB2312" w:cs="仿宋_GB2312"/>
          <w:b/>
          <w:sz w:val="28"/>
        </w:rPr>
        <w:t>3.4.其他要求</w:t>
      </w:r>
    </w:p>
    <w:p w14:paraId="0C276356">
      <w:pPr>
        <w:pStyle w:val="4"/>
        <w:ind w:firstLine="480"/>
        <w:jc w:val="left"/>
      </w:pPr>
      <w:r>
        <w:rPr>
          <w:rFonts w:ascii="仿宋_GB2312" w:hAnsi="仿宋_GB2312" w:eastAsia="仿宋_GB2312" w:cs="仿宋_GB2312"/>
        </w:rPr>
        <w:t>采购包1：</w:t>
      </w:r>
    </w:p>
    <w:p w14:paraId="5F81345B">
      <w:pPr>
        <w:pStyle w:val="4"/>
        <w:jc w:val="left"/>
      </w:pPr>
      <w:r>
        <w:rPr>
          <w:rFonts w:ascii="仿宋_GB2312" w:hAnsi="仿宋_GB2312" w:eastAsia="仿宋_GB2312" w:cs="仿宋_GB2312"/>
        </w:rPr>
        <w:t>注：1、本章带★号对应项为实质性要求，不允许负偏离，负偏离作无效响应处理；如有要求提供承诺函或者相关证明材料的需按要求提供，否则视为负偏离。2、本章3.3.服务要求（3.3.1服务内容要求、3.3.2.商务要求）带“★”的要求为实质性要求，要求提供承诺函。（因系统固化，3.3.2.商务要求5.付款进度安排以此处描述为准）★付款进度安排：（1）签订采购服务合同后，采购人自收到供应商出具的真实有效、合法等额发票后，达到付款条件起10个工作日内，支付合同总金额的40%；（2）结业仪式活动结束后，采购人自收到供应商出具的真实有效、合法等额发票后，达到付款条件起10个工作日内，支付合同总金额的40%；（3）服务期满并服务成果经验收合格后，采购人自收到供应商出具的真实有效、合法等额发票后，达到付款条件起10个工作日内，支付合同总金额的20%。注：①采购人每次付款前，供应商须向采购人出具真实有效、合法完整的等额正规发票及凭证资料进行支付结算，若供应商未按采购人要求提供或延迟出具完税发票的，采购人有权延迟或拒绝支付合同相应款项且不承担任何违约责任，付款时间相应顺延，因此产生的损失，由供应商自行承担。②供应商变更收款账户的，应当在变更后1个工作日内书面通知采购人，因供应商未及时通知导致的不利后果，由供应商自行承担。在变更通知到达采购人前，采购人按原合同约定的账户信息进行价款支付的，视为已完成支付义务。（实质性要求，提供承诺函）</w:t>
      </w:r>
    </w:p>
    <w:p w14:paraId="1CC59D9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D30FDC"/>
    <w:rsid w:val="30D30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2026-05-09T07:36:00Z</dcterms:created>
  <dc:creator>薛小辛</dc:creator>
  <cp:lastModifiedBy>薛小辛</cp:lastModifiedBy>
  <dcterms:modified xsi:type="dcterms:W3CDTF">2026-05-09T07:37:35Z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AE543CFB5D1C44E2BCF9DFF0D4C82F93_11</vt:lpwstr>
  </property>
  <property fmtid="{D5CDD505-2E9C-101B-9397-08002B2CF9AE}" pid="4" name="KSOTemplateDocerSaveRecord">
    <vt:lpwstr>eyJoZGlkIjoiMDMxYTc3ZDQ5ZjNlZTEzZDJiNjc0ZTI2Zjg4MWFlYjQiLCJ1c2VySWQiOiI1MDcyNDA4MzMifQ==</vt:lpwstr>
  </property>
</Properties>
</file>