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CF104B">
      <w:pPr>
        <w:autoSpaceDE w:val="0"/>
        <w:autoSpaceDN w:val="0"/>
        <w:adjustRightInd w:val="0"/>
        <w:spacing w:line="360" w:lineRule="auto"/>
        <w:jc w:val="right"/>
        <w:rPr>
          <w:rFonts w:hint="eastAsia" w:ascii="仿宋" w:hAnsi="仿宋" w:eastAsia="仿宋" w:cs="仿宋"/>
          <w:b/>
          <w:color w:val="auto"/>
          <w:kern w:val="0"/>
          <w:sz w:val="24"/>
          <w:szCs w:val="24"/>
          <w:lang w:bidi="ar"/>
        </w:rPr>
      </w:pPr>
      <w:bookmarkStart w:id="333" w:name="_GoBack"/>
    </w:p>
    <w:p w14:paraId="5A17F050">
      <w:pPr>
        <w:autoSpaceDE w:val="0"/>
        <w:autoSpaceDN w:val="0"/>
        <w:adjustRightInd w:val="0"/>
        <w:spacing w:line="360" w:lineRule="auto"/>
        <w:jc w:val="right"/>
        <w:rPr>
          <w:rFonts w:ascii="仿宋" w:hAnsi="仿宋" w:eastAsia="仿宋" w:cs="仿宋"/>
          <w:b/>
          <w:color w:val="auto"/>
          <w:sz w:val="24"/>
          <w:szCs w:val="24"/>
        </w:rPr>
      </w:pPr>
      <w:r>
        <w:rPr>
          <w:rFonts w:hint="eastAsia" w:ascii="仿宋" w:hAnsi="仿宋" w:eastAsia="仿宋" w:cs="仿宋"/>
          <w:b/>
          <w:color w:val="auto"/>
          <w:kern w:val="0"/>
          <w:sz w:val="24"/>
          <w:szCs w:val="24"/>
          <w:lang w:bidi="ar"/>
        </w:rPr>
        <w:t xml:space="preserve"> </w:t>
      </w:r>
      <w:r>
        <w:rPr>
          <w:rFonts w:hint="eastAsia" w:ascii="仿宋" w:hAnsi="仿宋" w:eastAsia="仿宋" w:cs="仿宋"/>
          <w:b/>
          <w:color w:val="auto"/>
          <w:sz w:val="24"/>
          <w:szCs w:val="24"/>
        </w:rPr>
        <w:t>项目编码：XJJB-2026-0</w:t>
      </w:r>
      <w:r>
        <w:rPr>
          <w:rFonts w:hint="eastAsia" w:ascii="仿宋" w:hAnsi="仿宋" w:eastAsia="仿宋" w:cs="仿宋"/>
          <w:b/>
          <w:color w:val="auto"/>
          <w:sz w:val="24"/>
          <w:szCs w:val="24"/>
          <w:lang w:val="en-US" w:eastAsia="zh-CN"/>
        </w:rPr>
        <w:t>64</w:t>
      </w:r>
    </w:p>
    <w:p w14:paraId="765E4767">
      <w:pPr>
        <w:autoSpaceDE w:val="0"/>
        <w:autoSpaceDN w:val="0"/>
        <w:adjustRightInd w:val="0"/>
        <w:spacing w:line="360" w:lineRule="auto"/>
        <w:jc w:val="center"/>
        <w:rPr>
          <w:rFonts w:hint="eastAsia" w:ascii="仿宋" w:hAnsi="仿宋" w:eastAsia="仿宋" w:cs="仿宋"/>
          <w:b/>
          <w:color w:val="auto"/>
          <w:sz w:val="24"/>
          <w:szCs w:val="24"/>
        </w:rPr>
      </w:pPr>
    </w:p>
    <w:p w14:paraId="029991CD">
      <w:pPr>
        <w:pStyle w:val="72"/>
        <w:spacing w:line="360" w:lineRule="auto"/>
        <w:rPr>
          <w:rFonts w:hint="eastAsia" w:ascii="仿宋" w:hAnsi="仿宋" w:eastAsia="仿宋" w:cs="仿宋"/>
          <w:color w:val="auto"/>
          <w:sz w:val="24"/>
          <w:szCs w:val="24"/>
        </w:rPr>
      </w:pPr>
    </w:p>
    <w:p w14:paraId="3A3ED46E">
      <w:pPr>
        <w:pStyle w:val="72"/>
        <w:spacing w:line="360" w:lineRule="auto"/>
        <w:ind w:firstLine="0" w:firstLineChars="0"/>
        <w:jc w:val="center"/>
        <w:rPr>
          <w:rFonts w:hint="eastAsia" w:ascii="仿宋" w:hAnsi="仿宋" w:eastAsia="仿宋" w:cs="仿宋"/>
          <w:b/>
          <w:color w:val="auto"/>
          <w:sz w:val="24"/>
          <w:szCs w:val="24"/>
          <w:lang w:val="en-US" w:eastAsia="zh-CN"/>
        </w:rPr>
      </w:pPr>
      <w:r>
        <w:rPr>
          <w:rFonts w:hint="eastAsia" w:ascii="仿宋" w:hAnsi="仿宋" w:eastAsia="仿宋" w:cs="宋体"/>
          <w:b/>
          <w:color w:val="auto"/>
          <w:sz w:val="44"/>
          <w:szCs w:val="44"/>
          <w:lang w:eastAsia="zh-CN"/>
        </w:rPr>
        <w:t>新疆维吾尔自治区伊宁某某</w:t>
      </w:r>
      <w:r>
        <w:rPr>
          <w:rFonts w:hint="eastAsia" w:ascii="仿宋" w:hAnsi="仿宋" w:eastAsia="仿宋" w:cs="宋体"/>
          <w:b/>
          <w:color w:val="auto"/>
          <w:sz w:val="44"/>
          <w:szCs w:val="44"/>
          <w:lang w:val="en-US" w:eastAsia="zh-CN"/>
        </w:rPr>
        <w:t>某</w:t>
      </w:r>
      <w:r>
        <w:rPr>
          <w:rFonts w:hint="eastAsia" w:ascii="仿宋" w:hAnsi="仿宋" w:eastAsia="仿宋" w:cs="宋体"/>
          <w:b/>
          <w:color w:val="auto"/>
          <w:sz w:val="44"/>
          <w:szCs w:val="44"/>
          <w:lang w:eastAsia="zh-CN"/>
        </w:rPr>
        <w:t>单位生活物资采购（</w:t>
      </w:r>
      <w:r>
        <w:rPr>
          <w:rFonts w:hint="eastAsia" w:ascii="仿宋" w:hAnsi="仿宋" w:eastAsia="仿宋" w:cs="宋体"/>
          <w:b/>
          <w:color w:val="auto"/>
          <w:sz w:val="44"/>
          <w:szCs w:val="44"/>
          <w:lang w:val="en-US" w:eastAsia="zh-CN"/>
        </w:rPr>
        <w:t>一标段</w:t>
      </w:r>
      <w:r>
        <w:rPr>
          <w:rFonts w:hint="eastAsia" w:ascii="仿宋" w:hAnsi="仿宋" w:eastAsia="仿宋" w:cs="宋体"/>
          <w:b/>
          <w:color w:val="auto"/>
          <w:sz w:val="44"/>
          <w:szCs w:val="44"/>
          <w:lang w:eastAsia="zh-CN"/>
        </w:rPr>
        <w:t>）</w:t>
      </w:r>
    </w:p>
    <w:p w14:paraId="5A4C679B">
      <w:pPr>
        <w:pStyle w:val="72"/>
        <w:spacing w:line="360" w:lineRule="auto"/>
        <w:ind w:firstLine="0" w:firstLineChars="0"/>
        <w:rPr>
          <w:rFonts w:hint="eastAsia" w:ascii="仿宋" w:hAnsi="仿宋" w:eastAsia="仿宋" w:cs="仿宋"/>
          <w:b/>
          <w:color w:val="auto"/>
          <w:sz w:val="24"/>
          <w:szCs w:val="24"/>
          <w:lang w:val="en-US"/>
        </w:rPr>
      </w:pPr>
    </w:p>
    <w:p w14:paraId="1F13E298">
      <w:pPr>
        <w:pStyle w:val="72"/>
        <w:spacing w:line="360" w:lineRule="auto"/>
        <w:ind w:firstLine="0" w:firstLineChars="0"/>
        <w:rPr>
          <w:rFonts w:hint="eastAsia" w:ascii="仿宋" w:hAnsi="仿宋" w:eastAsia="仿宋" w:cs="仿宋"/>
          <w:b/>
          <w:color w:val="auto"/>
          <w:sz w:val="24"/>
          <w:szCs w:val="24"/>
          <w:lang w:val="en-US"/>
        </w:rPr>
      </w:pPr>
    </w:p>
    <w:p w14:paraId="0EDE38C0">
      <w:pPr>
        <w:pStyle w:val="72"/>
        <w:spacing w:line="360" w:lineRule="auto"/>
        <w:ind w:firstLine="0" w:firstLineChars="0"/>
        <w:rPr>
          <w:rFonts w:hint="eastAsia" w:ascii="仿宋" w:hAnsi="仿宋" w:eastAsia="仿宋" w:cs="仿宋"/>
          <w:b/>
          <w:color w:val="auto"/>
          <w:sz w:val="24"/>
          <w:szCs w:val="24"/>
          <w:lang w:val="en-US"/>
        </w:rPr>
      </w:pPr>
    </w:p>
    <w:p w14:paraId="50BBD323">
      <w:pPr>
        <w:pStyle w:val="72"/>
        <w:spacing w:line="360" w:lineRule="auto"/>
        <w:ind w:firstLine="0" w:firstLineChars="0"/>
        <w:rPr>
          <w:rFonts w:hint="eastAsia" w:ascii="仿宋" w:hAnsi="仿宋" w:eastAsia="仿宋" w:cs="仿宋"/>
          <w:b/>
          <w:color w:val="auto"/>
          <w:sz w:val="24"/>
          <w:szCs w:val="24"/>
          <w:lang w:val="en-US"/>
        </w:rPr>
      </w:pPr>
    </w:p>
    <w:p w14:paraId="515AB307">
      <w:pPr>
        <w:autoSpaceDE w:val="0"/>
        <w:autoSpaceDN w:val="0"/>
        <w:adjustRightInd w:val="0"/>
        <w:spacing w:line="360" w:lineRule="auto"/>
        <w:jc w:val="center"/>
        <w:rPr>
          <w:rFonts w:hint="eastAsia" w:ascii="宋体" w:hAnsi="宋体" w:cs="宋体"/>
          <w:b/>
          <w:color w:val="auto"/>
          <w:sz w:val="84"/>
          <w:szCs w:val="84"/>
        </w:rPr>
      </w:pPr>
      <w:r>
        <w:rPr>
          <w:rFonts w:hint="eastAsia" w:ascii="宋体" w:hAnsi="宋体" w:cs="宋体"/>
          <w:b/>
          <w:color w:val="auto"/>
          <w:sz w:val="84"/>
          <w:szCs w:val="84"/>
        </w:rPr>
        <w:t xml:space="preserve"> 招 标 文 件</w:t>
      </w:r>
    </w:p>
    <w:p w14:paraId="36DDC193">
      <w:pPr>
        <w:autoSpaceDE w:val="0"/>
        <w:autoSpaceDN w:val="0"/>
        <w:adjustRightInd w:val="0"/>
        <w:spacing w:line="360" w:lineRule="auto"/>
        <w:jc w:val="center"/>
        <w:rPr>
          <w:rFonts w:hint="eastAsia" w:ascii="仿宋" w:hAnsi="仿宋" w:eastAsia="仿宋" w:cs="仿宋"/>
          <w:b/>
          <w:color w:val="auto"/>
          <w:sz w:val="24"/>
          <w:szCs w:val="24"/>
        </w:rPr>
      </w:pPr>
    </w:p>
    <w:p w14:paraId="58838CC2">
      <w:pPr>
        <w:pStyle w:val="72"/>
        <w:spacing w:line="360" w:lineRule="auto"/>
        <w:ind w:firstLine="0" w:firstLineChars="0"/>
        <w:rPr>
          <w:rFonts w:hint="eastAsia" w:ascii="仿宋" w:hAnsi="仿宋" w:eastAsia="仿宋" w:cs="仿宋"/>
          <w:b/>
          <w:color w:val="auto"/>
          <w:sz w:val="24"/>
          <w:szCs w:val="24"/>
        </w:rPr>
      </w:pPr>
    </w:p>
    <w:p w14:paraId="197A4188">
      <w:pPr>
        <w:pStyle w:val="72"/>
        <w:spacing w:line="360" w:lineRule="auto"/>
        <w:ind w:firstLine="0" w:firstLineChars="0"/>
        <w:rPr>
          <w:rFonts w:hint="eastAsia" w:ascii="仿宋" w:hAnsi="仿宋" w:eastAsia="仿宋" w:cs="仿宋"/>
          <w:b/>
          <w:color w:val="auto"/>
          <w:sz w:val="24"/>
          <w:szCs w:val="24"/>
        </w:rPr>
      </w:pPr>
    </w:p>
    <w:p w14:paraId="05050711">
      <w:pPr>
        <w:pStyle w:val="72"/>
        <w:spacing w:line="360" w:lineRule="auto"/>
        <w:ind w:firstLine="0" w:firstLineChars="0"/>
        <w:rPr>
          <w:rFonts w:hint="eastAsia" w:ascii="仿宋" w:hAnsi="仿宋" w:eastAsia="仿宋" w:cs="仿宋"/>
          <w:b/>
          <w:color w:val="auto"/>
          <w:sz w:val="24"/>
          <w:szCs w:val="24"/>
        </w:rPr>
      </w:pPr>
    </w:p>
    <w:p w14:paraId="5EBEFF9B">
      <w:pPr>
        <w:autoSpaceDN w:val="0"/>
        <w:spacing w:before="100" w:beforeAutospacing="1" w:after="100" w:afterAutospacing="1" w:line="360" w:lineRule="auto"/>
        <w:rPr>
          <w:rFonts w:hint="eastAsia" w:ascii="仿宋" w:hAnsi="仿宋" w:eastAsia="仿宋" w:cs="仿宋"/>
          <w:b/>
          <w:color w:val="auto"/>
          <w:sz w:val="24"/>
          <w:szCs w:val="24"/>
        </w:rPr>
      </w:pPr>
    </w:p>
    <w:p w14:paraId="24A2D975">
      <w:pPr>
        <w:autoSpaceDN w:val="0"/>
        <w:spacing w:before="100" w:beforeAutospacing="1" w:after="100" w:afterAutospacing="1" w:line="360" w:lineRule="auto"/>
        <w:ind w:firstLine="643" w:firstLineChars="200"/>
        <w:jc w:val="both"/>
        <w:rPr>
          <w:rFonts w:hint="eastAsia" w:ascii="仿宋" w:hAnsi="仿宋" w:eastAsia="仿宋" w:cs="仿宋"/>
          <w:b/>
          <w:color w:val="auto"/>
          <w:sz w:val="32"/>
          <w:szCs w:val="32"/>
        </w:rPr>
      </w:pPr>
      <w:r>
        <w:rPr>
          <w:rFonts w:hint="eastAsia" w:ascii="仿宋" w:hAnsi="仿宋" w:eastAsia="仿宋" w:cs="仿宋"/>
          <w:b/>
          <w:color w:val="auto"/>
          <w:sz w:val="32"/>
          <w:szCs w:val="32"/>
        </w:rPr>
        <w:t>采购人:</w:t>
      </w:r>
      <w:r>
        <w:rPr>
          <w:rFonts w:hint="eastAsia" w:ascii="仿宋" w:hAnsi="仿宋" w:eastAsia="仿宋" w:cs="仿宋"/>
          <w:b/>
          <w:color w:val="auto"/>
          <w:sz w:val="32"/>
          <w:szCs w:val="32"/>
          <w:u w:val="single"/>
        </w:rPr>
        <w:t xml:space="preserve">   </w:t>
      </w:r>
      <w:r>
        <w:rPr>
          <w:rFonts w:hint="eastAsia" w:ascii="仿宋" w:hAnsi="仿宋" w:eastAsia="仿宋" w:cs="仿宋"/>
          <w:b/>
          <w:color w:val="auto"/>
          <w:sz w:val="32"/>
          <w:szCs w:val="32"/>
          <w:u w:val="single"/>
          <w:lang w:eastAsia="zh-CN"/>
        </w:rPr>
        <w:t>新疆维吾尔自治区伊宁某某某单位</w:t>
      </w:r>
      <w:r>
        <w:rPr>
          <w:rFonts w:hint="eastAsia" w:ascii="仿宋" w:hAnsi="仿宋" w:eastAsia="仿宋" w:cs="仿宋"/>
          <w:b/>
          <w:color w:val="auto"/>
          <w:sz w:val="32"/>
          <w:szCs w:val="32"/>
          <w:u w:val="single"/>
        </w:rPr>
        <w:t xml:space="preserve">     </w:t>
      </w:r>
      <w:r>
        <w:rPr>
          <w:rFonts w:hint="eastAsia" w:ascii="仿宋" w:hAnsi="仿宋" w:eastAsia="仿宋" w:cs="仿宋"/>
          <w:b/>
          <w:color w:val="auto"/>
          <w:sz w:val="32"/>
          <w:szCs w:val="32"/>
        </w:rPr>
        <w:t>（盖章）</w:t>
      </w:r>
    </w:p>
    <w:p w14:paraId="346AF72B">
      <w:pPr>
        <w:autoSpaceDN w:val="0"/>
        <w:spacing w:before="100" w:beforeAutospacing="1" w:after="100" w:afterAutospacing="1" w:line="360" w:lineRule="auto"/>
        <w:jc w:val="both"/>
        <w:rPr>
          <w:rFonts w:hint="eastAsia" w:ascii="仿宋" w:hAnsi="仿宋" w:eastAsia="仿宋" w:cs="仿宋"/>
          <w:b/>
          <w:color w:val="auto"/>
          <w:sz w:val="32"/>
          <w:szCs w:val="32"/>
        </w:rPr>
      </w:pPr>
    </w:p>
    <w:p w14:paraId="1705102F">
      <w:pPr>
        <w:autoSpaceDN w:val="0"/>
        <w:spacing w:before="100" w:beforeAutospacing="1" w:after="100" w:afterAutospacing="1" w:line="360" w:lineRule="auto"/>
        <w:ind w:firstLine="643" w:firstLineChars="200"/>
        <w:rPr>
          <w:rFonts w:hint="eastAsia" w:ascii="仿宋" w:hAnsi="仿宋" w:eastAsia="仿宋" w:cs="仿宋"/>
          <w:b/>
          <w:color w:val="auto"/>
          <w:sz w:val="32"/>
          <w:szCs w:val="32"/>
          <w:u w:val="thick"/>
        </w:rPr>
      </w:pPr>
      <w:r>
        <w:rPr>
          <w:rFonts w:hint="eastAsia" w:ascii="仿宋" w:hAnsi="仿宋" w:eastAsia="仿宋" w:cs="仿宋"/>
          <w:b/>
          <w:color w:val="auto"/>
          <w:sz w:val="32"/>
          <w:szCs w:val="32"/>
        </w:rPr>
        <w:t>采购代理机构:</w:t>
      </w:r>
      <w:r>
        <w:rPr>
          <w:rFonts w:hint="eastAsia" w:ascii="仿宋" w:hAnsi="仿宋" w:eastAsia="仿宋" w:cs="仿宋"/>
          <w:b/>
          <w:color w:val="auto"/>
          <w:sz w:val="32"/>
          <w:szCs w:val="32"/>
          <w:u w:val="single"/>
        </w:rPr>
        <w:t xml:space="preserve"> 新疆金斌工程项目管理有限公司 （</w:t>
      </w:r>
      <w:r>
        <w:rPr>
          <w:rFonts w:hint="eastAsia" w:ascii="仿宋" w:hAnsi="仿宋" w:eastAsia="仿宋" w:cs="仿宋"/>
          <w:b/>
          <w:color w:val="auto"/>
          <w:sz w:val="32"/>
          <w:szCs w:val="32"/>
        </w:rPr>
        <w:t>盖章）</w:t>
      </w:r>
    </w:p>
    <w:p w14:paraId="40653D12">
      <w:pPr>
        <w:pStyle w:val="4"/>
        <w:spacing w:line="360" w:lineRule="auto"/>
        <w:rPr>
          <w:rFonts w:hint="eastAsia" w:ascii="仿宋" w:hAnsi="仿宋" w:eastAsia="仿宋" w:cs="仿宋"/>
          <w:color w:val="auto"/>
          <w:sz w:val="24"/>
          <w:szCs w:val="24"/>
        </w:rPr>
      </w:pPr>
    </w:p>
    <w:p w14:paraId="00F31FAA">
      <w:pPr>
        <w:pStyle w:val="15"/>
        <w:spacing w:line="360" w:lineRule="auto"/>
        <w:jc w:val="center"/>
        <w:rPr>
          <w:rFonts w:ascii="仿宋" w:hAnsi="仿宋" w:eastAsia="仿宋" w:cs="仿宋"/>
          <w:bCs/>
          <w:color w:val="auto"/>
          <w:sz w:val="36"/>
          <w:szCs w:val="36"/>
          <w:lang w:val="en-US"/>
        </w:rPr>
        <w:sectPr>
          <w:headerReference r:id="rId3" w:type="default"/>
          <w:footerReference r:id="rId4" w:type="default"/>
          <w:type w:val="continuous"/>
          <w:pgSz w:w="11905" w:h="16838"/>
          <w:pgMar w:top="1531" w:right="1531" w:bottom="1531" w:left="1531" w:header="1134" w:footer="1134" w:gutter="0"/>
          <w:pgNumType w:start="1"/>
          <w:cols w:space="720" w:num="1"/>
          <w:docGrid w:linePitch="462" w:charSpace="0"/>
        </w:sectPr>
      </w:pPr>
      <w:r>
        <w:rPr>
          <w:rFonts w:hint="eastAsia" w:ascii="仿宋" w:hAnsi="仿宋" w:eastAsia="仿宋" w:cs="仿宋"/>
          <w:b/>
          <w:color w:val="auto"/>
          <w:sz w:val="36"/>
          <w:szCs w:val="36"/>
          <w:lang w:val="en-US" w:eastAsia="zh-CN"/>
        </w:rPr>
        <w:t>2026</w:t>
      </w:r>
      <w:r>
        <w:rPr>
          <w:rFonts w:hint="eastAsia" w:ascii="仿宋" w:hAnsi="仿宋" w:eastAsia="仿宋" w:cs="仿宋"/>
          <w:b/>
          <w:color w:val="auto"/>
          <w:sz w:val="36"/>
          <w:szCs w:val="36"/>
          <w:lang w:eastAsia="zh-CN"/>
        </w:rPr>
        <w:t>年</w:t>
      </w:r>
      <w:r>
        <w:rPr>
          <w:rFonts w:hint="eastAsia" w:ascii="仿宋" w:hAnsi="仿宋" w:eastAsia="仿宋" w:cs="仿宋"/>
          <w:b/>
          <w:color w:val="auto"/>
          <w:sz w:val="36"/>
          <w:szCs w:val="36"/>
          <w:lang w:val="en-US" w:eastAsia="zh-CN"/>
        </w:rPr>
        <w:t>05月</w:t>
      </w:r>
    </w:p>
    <w:p w14:paraId="2508D7A1">
      <w:pPr>
        <w:pStyle w:val="79"/>
        <w:adjustRightInd w:val="0"/>
        <w:snapToGrid w:val="0"/>
        <w:spacing w:line="410" w:lineRule="exact"/>
        <w:jc w:val="center"/>
        <w:rPr>
          <w:rFonts w:hint="eastAsia" w:ascii="仿宋" w:hAnsi="仿宋" w:eastAsia="仿宋" w:cs="仿宋"/>
          <w:b/>
          <w:color w:val="auto"/>
          <w:sz w:val="24"/>
          <w:szCs w:val="24"/>
        </w:rPr>
      </w:pPr>
      <w:r>
        <w:rPr>
          <w:rFonts w:hint="eastAsia" w:ascii="仿宋" w:hAnsi="仿宋" w:eastAsia="仿宋" w:cs="仿宋"/>
          <w:b/>
          <w:color w:val="auto"/>
          <w:szCs w:val="44"/>
          <w:lang w:val="zh-CN"/>
        </w:rPr>
        <w:t>目  录</w:t>
      </w:r>
    </w:p>
    <w:p w14:paraId="4F2B8618">
      <w:pPr>
        <w:spacing w:line="600" w:lineRule="auto"/>
        <w:ind w:right="17"/>
        <w:jc w:val="left"/>
        <w:rPr>
          <w:rFonts w:hint="eastAsia" w:ascii="仿宋" w:hAnsi="仿宋" w:eastAsia="仿宋" w:cs="仿宋"/>
          <w:color w:val="auto"/>
          <w:sz w:val="28"/>
          <w:szCs w:val="28"/>
        </w:rPr>
      </w:pP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TOC \o "1-3" \h \z \u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\l _Toc20454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 xml:space="preserve">第一章  </w:t>
      </w:r>
      <w:r>
        <w:rPr>
          <w:rFonts w:hint="eastAsia" w:ascii="仿宋" w:hAnsi="仿宋" w:eastAsia="仿宋" w:cs="仿宋"/>
          <w:color w:val="auto"/>
          <w:sz w:val="28"/>
          <w:szCs w:val="28"/>
          <w:lang w:val="zh-CN"/>
        </w:rPr>
        <w:t>新疆维吾尔自治区伊宁某某某单位生活物资采购</w:t>
      </w:r>
      <w:r>
        <w:rPr>
          <w:rFonts w:hint="eastAsia" w:ascii="仿宋" w:hAnsi="仿宋" w:eastAsia="仿宋" w:cs="仿宋"/>
          <w:color w:val="auto"/>
          <w:sz w:val="28"/>
          <w:szCs w:val="28"/>
        </w:rPr>
        <w:t>招标公告..1</w:t>
      </w:r>
      <w:r>
        <w:rPr>
          <w:rFonts w:hint="eastAsia" w:ascii="仿宋" w:hAnsi="仿宋" w:eastAsia="仿宋" w:cs="仿宋"/>
          <w:color w:val="auto"/>
          <w:sz w:val="28"/>
          <w:szCs w:val="28"/>
        </w:rPr>
        <w:fldChar w:fldCharType="end"/>
      </w:r>
    </w:p>
    <w:p w14:paraId="7E4C5652">
      <w:pPr>
        <w:pStyle w:val="18"/>
        <w:tabs>
          <w:tab w:val="right" w:leader="dot" w:pos="8306"/>
          <w:tab w:val="clear" w:pos="9628"/>
        </w:tabs>
        <w:spacing w:line="600" w:lineRule="auto"/>
        <w:rPr>
          <w:rFonts w:hint="eastAsia" w:ascii="仿宋" w:hAnsi="仿宋" w:eastAsia="仿宋" w:cs="仿宋"/>
          <w:color w:val="auto"/>
          <w:sz w:val="28"/>
          <w:szCs w:val="28"/>
        </w:rPr>
      </w:pP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\l _Toc22786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第二章 投标须知前附表</w:t>
      </w:r>
      <w:r>
        <w:rPr>
          <w:rFonts w:hint="eastAsia" w:ascii="仿宋" w:hAnsi="仿宋" w:eastAsia="仿宋" w:cs="仿宋"/>
          <w:color w:val="auto"/>
          <w:sz w:val="28"/>
          <w:szCs w:val="28"/>
        </w:rPr>
        <w:tab/>
      </w:r>
      <w:r>
        <w:rPr>
          <w:rFonts w:hint="eastAsia" w:ascii="仿宋" w:hAnsi="仿宋" w:eastAsia="仿宋" w:cs="仿宋"/>
          <w:color w:val="auto"/>
          <w:sz w:val="28"/>
          <w:szCs w:val="28"/>
        </w:rPr>
        <w:t>8</w:t>
      </w:r>
      <w:r>
        <w:rPr>
          <w:rFonts w:hint="eastAsia" w:ascii="仿宋" w:hAnsi="仿宋" w:eastAsia="仿宋" w:cs="仿宋"/>
          <w:color w:val="auto"/>
          <w:sz w:val="28"/>
          <w:szCs w:val="28"/>
        </w:rPr>
        <w:fldChar w:fldCharType="end"/>
      </w:r>
    </w:p>
    <w:p w14:paraId="21B401BA">
      <w:pPr>
        <w:pStyle w:val="18"/>
        <w:tabs>
          <w:tab w:val="right" w:leader="dot" w:pos="8306"/>
          <w:tab w:val="clear" w:pos="9628"/>
        </w:tabs>
        <w:spacing w:line="600" w:lineRule="auto"/>
        <w:rPr>
          <w:rFonts w:hint="eastAsia" w:ascii="仿宋" w:hAnsi="仿宋" w:eastAsia="仿宋" w:cs="仿宋"/>
          <w:color w:val="auto"/>
          <w:sz w:val="28"/>
          <w:szCs w:val="28"/>
          <w:lang w:eastAsia="zh-CN"/>
        </w:rPr>
      </w:pP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\l _Toc3096 </w:instrText>
      </w:r>
      <w:r>
        <w:rPr>
          <w:rFonts w:hint="eastAsia" w:ascii="仿宋" w:hAnsi="仿宋" w:eastAsia="仿宋" w:cs="仿宋"/>
          <w:color w:val="auto"/>
          <w:sz w:val="28"/>
          <w:szCs w:val="28"/>
        </w:rPr>
        <w:fldChar w:fldCharType="separate"/>
      </w:r>
      <w:r>
        <w:rPr>
          <w:rFonts w:hint="eastAsia" w:ascii="仿宋" w:hAnsi="仿宋" w:eastAsia="仿宋" w:cs="仿宋"/>
          <w:color w:val="auto"/>
          <w:kern w:val="44"/>
          <w:sz w:val="28"/>
          <w:szCs w:val="28"/>
        </w:rPr>
        <w:t>第三章　投标人须知</w:t>
      </w:r>
      <w:r>
        <w:rPr>
          <w:rFonts w:hint="eastAsia" w:ascii="仿宋" w:hAnsi="仿宋" w:eastAsia="仿宋" w:cs="仿宋"/>
          <w:color w:val="auto"/>
          <w:sz w:val="28"/>
          <w:szCs w:val="28"/>
        </w:rPr>
        <w:tab/>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lang w:val="en-US" w:eastAsia="zh-CN"/>
        </w:rPr>
        <w:t>0</w:t>
      </w:r>
    </w:p>
    <w:p w14:paraId="2623575A">
      <w:pPr>
        <w:pStyle w:val="18"/>
        <w:tabs>
          <w:tab w:val="right" w:leader="dot" w:pos="8306"/>
          <w:tab w:val="clear" w:pos="9628"/>
        </w:tabs>
        <w:spacing w:line="600" w:lineRule="auto"/>
        <w:rPr>
          <w:rFonts w:hint="eastAsia" w:ascii="仿宋" w:hAnsi="仿宋" w:eastAsia="仿宋" w:cs="仿宋"/>
          <w:color w:val="auto"/>
          <w:sz w:val="28"/>
          <w:szCs w:val="28"/>
          <w:lang w:eastAsia="zh-CN"/>
        </w:rPr>
      </w:pP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\l _Toc28078 </w:instrText>
      </w:r>
      <w:r>
        <w:rPr>
          <w:rFonts w:hint="eastAsia" w:ascii="仿宋" w:hAnsi="仿宋" w:eastAsia="仿宋" w:cs="仿宋"/>
          <w:color w:val="auto"/>
          <w:sz w:val="28"/>
          <w:szCs w:val="28"/>
        </w:rPr>
        <w:fldChar w:fldCharType="separate"/>
      </w:r>
      <w:r>
        <w:rPr>
          <w:rFonts w:hint="eastAsia" w:ascii="仿宋" w:hAnsi="仿宋" w:eastAsia="仿宋" w:cs="仿宋"/>
          <w:bCs/>
          <w:color w:val="auto"/>
          <w:kern w:val="44"/>
          <w:sz w:val="28"/>
          <w:szCs w:val="28"/>
        </w:rPr>
        <w:t>第四章 合同格式</w:t>
      </w:r>
      <w:r>
        <w:rPr>
          <w:rFonts w:hint="eastAsia" w:ascii="仿宋" w:hAnsi="仿宋" w:eastAsia="仿宋" w:cs="仿宋"/>
          <w:color w:val="auto"/>
          <w:sz w:val="28"/>
          <w:szCs w:val="28"/>
        </w:rPr>
        <w:tab/>
      </w:r>
      <w:r>
        <w:rPr>
          <w:rFonts w:hint="eastAsia" w:ascii="仿宋" w:hAnsi="仿宋" w:eastAsia="仿宋" w:cs="仿宋"/>
          <w:color w:val="auto"/>
          <w:sz w:val="28"/>
          <w:szCs w:val="28"/>
        </w:rPr>
        <w:t>5</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lang w:val="en-US" w:eastAsia="zh-CN"/>
        </w:rPr>
        <w:t>3</w:t>
      </w:r>
    </w:p>
    <w:p w14:paraId="3C2CC415">
      <w:pPr>
        <w:pStyle w:val="18"/>
        <w:tabs>
          <w:tab w:val="right" w:leader="dot" w:pos="8306"/>
          <w:tab w:val="clear" w:pos="9628"/>
        </w:tabs>
        <w:spacing w:line="600" w:lineRule="auto"/>
        <w:rPr>
          <w:rFonts w:hint="eastAsia" w:ascii="仿宋" w:hAnsi="仿宋" w:eastAsia="仿宋" w:cs="仿宋"/>
          <w:color w:val="auto"/>
          <w:sz w:val="28"/>
          <w:szCs w:val="28"/>
          <w:lang w:eastAsia="zh-CN"/>
        </w:rPr>
      </w:pP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\l _Toc3845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第五章 采购项目清单及参数要求</w:t>
      </w:r>
      <w:r>
        <w:rPr>
          <w:rFonts w:hint="eastAsia" w:ascii="仿宋" w:hAnsi="仿宋" w:eastAsia="仿宋" w:cs="仿宋"/>
          <w:color w:val="auto"/>
          <w:sz w:val="28"/>
          <w:szCs w:val="28"/>
        </w:rPr>
        <w:tab/>
      </w:r>
      <w:r>
        <w:rPr>
          <w:rFonts w:hint="eastAsia" w:ascii="仿宋" w:hAnsi="仿宋" w:eastAsia="仿宋" w:cs="仿宋"/>
          <w:color w:val="auto"/>
          <w:sz w:val="28"/>
          <w:szCs w:val="28"/>
        </w:rPr>
        <w:t>6</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lang w:val="en-US" w:eastAsia="zh-CN"/>
        </w:rPr>
        <w:t>9</w:t>
      </w:r>
    </w:p>
    <w:p w14:paraId="2D1C152C">
      <w:pPr>
        <w:pStyle w:val="18"/>
        <w:tabs>
          <w:tab w:val="right" w:leader="dot" w:pos="8306"/>
          <w:tab w:val="clear" w:pos="9628"/>
        </w:tabs>
        <w:spacing w:line="600" w:lineRule="auto"/>
        <w:rPr>
          <w:rFonts w:hint="eastAsia" w:ascii="仿宋" w:hAnsi="仿宋" w:eastAsia="仿宋" w:cs="仿宋"/>
          <w:color w:val="auto"/>
          <w:sz w:val="28"/>
          <w:szCs w:val="28"/>
          <w:lang w:eastAsia="zh-CN"/>
        </w:rPr>
      </w:pP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\l _Toc10572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第六章   投标文件部分格式</w:t>
      </w:r>
      <w:r>
        <w:rPr>
          <w:rFonts w:hint="eastAsia" w:ascii="仿宋" w:hAnsi="仿宋" w:eastAsia="仿宋" w:cs="仿宋"/>
          <w:color w:val="auto"/>
          <w:sz w:val="28"/>
          <w:szCs w:val="28"/>
        </w:rPr>
        <w:tab/>
      </w: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lang w:val="en-US" w:eastAsia="zh-CN"/>
        </w:rPr>
        <w:t>5</w:t>
      </w:r>
    </w:p>
    <w:p w14:paraId="7EE6FB8F">
      <w:pPr>
        <w:pStyle w:val="18"/>
        <w:tabs>
          <w:tab w:val="right" w:leader="dot" w:pos="8306"/>
          <w:tab w:val="clear" w:pos="9628"/>
        </w:tabs>
        <w:spacing w:line="600" w:lineRule="auto"/>
        <w:rPr>
          <w:rFonts w:hint="eastAsia" w:ascii="仿宋" w:hAnsi="仿宋" w:eastAsia="仿宋" w:cs="仿宋"/>
          <w:color w:val="auto"/>
          <w:sz w:val="28"/>
          <w:szCs w:val="28"/>
          <w:lang w:eastAsia="zh-CN"/>
        </w:rPr>
      </w:pP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\l _Toc24440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附表1    资格审查标准表</w:t>
      </w:r>
      <w:r>
        <w:rPr>
          <w:rFonts w:hint="eastAsia" w:ascii="仿宋" w:hAnsi="仿宋" w:eastAsia="仿宋" w:cs="仿宋"/>
          <w:color w:val="auto"/>
          <w:sz w:val="28"/>
          <w:szCs w:val="28"/>
        </w:rPr>
        <w:tab/>
      </w:r>
      <w:r>
        <w:rPr>
          <w:rFonts w:hint="eastAsia" w:ascii="仿宋" w:hAnsi="仿宋" w:eastAsia="仿宋" w:cs="仿宋"/>
          <w:color w:val="auto"/>
          <w:sz w:val="28"/>
          <w:szCs w:val="28"/>
        </w:rPr>
        <w:t>1</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lang w:val="en-US" w:eastAsia="zh-CN"/>
        </w:rPr>
        <w:t>11</w:t>
      </w:r>
    </w:p>
    <w:p w14:paraId="0FD9B3A5">
      <w:pPr>
        <w:pStyle w:val="18"/>
        <w:tabs>
          <w:tab w:val="right" w:leader="dot" w:pos="8306"/>
          <w:tab w:val="clear" w:pos="9628"/>
        </w:tabs>
        <w:spacing w:line="600" w:lineRule="auto"/>
        <w:rPr>
          <w:rFonts w:hint="eastAsia" w:ascii="仿宋" w:hAnsi="仿宋" w:eastAsia="仿宋" w:cs="仿宋"/>
          <w:color w:val="auto"/>
          <w:sz w:val="28"/>
          <w:szCs w:val="28"/>
          <w:lang w:eastAsia="zh-CN"/>
        </w:rPr>
      </w:pP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\l _Toc9700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附表2    符合性审查标准表</w:t>
      </w:r>
      <w:r>
        <w:rPr>
          <w:rFonts w:hint="eastAsia" w:ascii="仿宋" w:hAnsi="仿宋" w:eastAsia="仿宋" w:cs="仿宋"/>
          <w:color w:val="auto"/>
          <w:sz w:val="28"/>
          <w:szCs w:val="28"/>
        </w:rPr>
        <w:tab/>
      </w:r>
      <w:r>
        <w:rPr>
          <w:rFonts w:hint="eastAsia" w:ascii="仿宋" w:hAnsi="仿宋" w:eastAsia="仿宋" w:cs="仿宋"/>
          <w:color w:val="auto"/>
          <w:sz w:val="28"/>
          <w:szCs w:val="28"/>
        </w:rPr>
        <w:t>1</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lang w:val="en-US" w:eastAsia="zh-CN"/>
        </w:rPr>
        <w:t>13</w:t>
      </w:r>
    </w:p>
    <w:p w14:paraId="40AFE7C7">
      <w:pPr>
        <w:pStyle w:val="18"/>
        <w:tabs>
          <w:tab w:val="right" w:leader="dot" w:pos="8306"/>
          <w:tab w:val="clear" w:pos="9628"/>
        </w:tabs>
        <w:spacing w:line="600" w:lineRule="auto"/>
        <w:rPr>
          <w:rFonts w:hint="eastAsia" w:eastAsia="仿宋"/>
          <w:color w:val="auto"/>
          <w:lang w:eastAsia="zh-CN"/>
        </w:rPr>
        <w:sectPr>
          <w:headerReference r:id="rId5" w:type="default"/>
          <w:footerReference r:id="rId6" w:type="default"/>
          <w:type w:val="continuous"/>
          <w:pgSz w:w="11905" w:h="16838"/>
          <w:pgMar w:top="1531" w:right="1531" w:bottom="1531" w:left="1531" w:header="850" w:footer="850" w:gutter="0"/>
          <w:pgNumType w:start="1"/>
          <w:cols w:space="720" w:num="1"/>
          <w:docGrid w:linePitch="462" w:charSpace="0"/>
        </w:sectPr>
      </w:pP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\l _Toc9700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附表3    评 分 细 则</w:t>
      </w:r>
      <w:r>
        <w:rPr>
          <w:rFonts w:hint="eastAsia" w:ascii="仿宋" w:hAnsi="仿宋" w:eastAsia="仿宋" w:cs="仿宋"/>
          <w:color w:val="auto"/>
          <w:sz w:val="28"/>
          <w:szCs w:val="28"/>
        </w:rPr>
        <w:tab/>
      </w:r>
      <w:r>
        <w:rPr>
          <w:rFonts w:hint="eastAsia" w:ascii="仿宋" w:hAnsi="仿宋" w:eastAsia="仿宋" w:cs="仿宋"/>
          <w:color w:val="auto"/>
          <w:sz w:val="28"/>
          <w:szCs w:val="28"/>
        </w:rPr>
        <w:t>1</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lang w:val="en-US" w:eastAsia="zh-CN"/>
        </w:rPr>
        <w:t>15</w:t>
      </w:r>
    </w:p>
    <w:p w14:paraId="7DEFC786">
      <w:pPr>
        <w:spacing w:line="410" w:lineRule="exact"/>
        <w:rPr>
          <w:rFonts w:hint="eastAsia" w:ascii="仿宋" w:hAnsi="仿宋" w:eastAsia="仿宋" w:cs="仿宋"/>
          <w:color w:val="auto"/>
          <w:sz w:val="24"/>
          <w:szCs w:val="24"/>
        </w:rPr>
      </w:pPr>
    </w:p>
    <w:p w14:paraId="2F1DFB30">
      <w:pPr>
        <w:pStyle w:val="19"/>
        <w:spacing w:line="360" w:lineRule="auto"/>
        <w:jc w:val="center"/>
        <w:rPr>
          <w:rFonts w:hint="eastAsia" w:ascii="方正小标宋_GBK" w:hAnsi="方正小标宋_GBK" w:eastAsia="方正小标宋_GBK" w:cs="方正小标宋_GBK"/>
          <w:color w:val="auto"/>
          <w:kern w:val="2"/>
          <w:sz w:val="32"/>
          <w:szCs w:val="32"/>
          <w:lang w:val="en-US" w:eastAsia="zh-CN"/>
        </w:rPr>
      </w:pPr>
      <w:r>
        <w:rPr>
          <w:rFonts w:hint="eastAsia" w:ascii="仿宋" w:hAnsi="仿宋" w:eastAsia="仿宋" w:cs="仿宋"/>
          <w:color w:val="auto"/>
          <w:sz w:val="24"/>
          <w:szCs w:val="24"/>
        </w:rPr>
        <w:fldChar w:fldCharType="end"/>
      </w:r>
      <w:bookmarkStart w:id="0" w:name="_Toc20454"/>
      <w:r>
        <w:rPr>
          <w:rFonts w:hint="eastAsia" w:ascii="方正小标宋_GBK" w:hAnsi="方正小标宋_GBK" w:eastAsia="方正小标宋_GBK" w:cs="方正小标宋_GBK"/>
          <w:color w:val="auto"/>
          <w:kern w:val="2"/>
          <w:sz w:val="32"/>
          <w:szCs w:val="32"/>
          <w:lang w:val="en-US" w:eastAsia="zh-CN"/>
        </w:rPr>
        <w:t>第一章   招标公告</w:t>
      </w:r>
    </w:p>
    <w:bookmarkEnd w:id="0"/>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42"/>
      </w:tblGrid>
      <w:tr w14:paraId="4980C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9242" w:type="dxa"/>
            <w:noWrap w:val="0"/>
            <w:vAlign w:val="top"/>
          </w:tcPr>
          <w:p w14:paraId="2CFD00E3">
            <w:pPr>
              <w:widowControl/>
              <w:shd w:val="clear" w:color="auto" w:fill="FFFFFF"/>
              <w:spacing w:before="0" w:beforeAutospacing="0" w:after="0" w:afterAutospacing="0" w:line="336" w:lineRule="auto"/>
              <w:jc w:val="left"/>
              <w:rPr>
                <w:rFonts w:hint="eastAsia" w:ascii="仿宋_GB2312" w:hAnsi="仿宋_GB2312" w:eastAsia="仿宋_GB2312" w:cs="仿宋_GB2312"/>
                <w:color w:val="auto"/>
                <w:kern w:val="0"/>
                <w:sz w:val="32"/>
                <w:szCs w:val="32"/>
                <w:shd w:val="clear" w:color="auto" w:fill="FFFFFF"/>
                <w:lang w:val="en-US" w:eastAsia="zh-CN" w:bidi="ar-SA"/>
              </w:rPr>
            </w:pPr>
            <w:bookmarkStart w:id="1" w:name="_Toc22786"/>
            <w:r>
              <w:rPr>
                <w:rFonts w:hint="eastAsia" w:ascii="仿宋_GB2312" w:hAnsi="仿宋_GB2312" w:eastAsia="仿宋_GB2312" w:cs="仿宋_GB2312"/>
                <w:color w:val="auto"/>
                <w:kern w:val="0"/>
                <w:sz w:val="32"/>
                <w:szCs w:val="32"/>
                <w:shd w:val="clear" w:color="auto" w:fill="FFFFFF"/>
                <w:lang w:val="en-US" w:eastAsia="zh-CN" w:bidi="ar-SA"/>
              </w:rPr>
              <w:t>项目概况</w:t>
            </w:r>
          </w:p>
          <w:p w14:paraId="0CCE7FD5">
            <w:pPr>
              <w:widowControl/>
              <w:shd w:val="clear" w:color="auto" w:fill="FFFFFF"/>
              <w:spacing w:before="0" w:beforeAutospacing="0" w:after="0" w:afterAutospacing="0" w:line="336" w:lineRule="auto"/>
              <w:ind w:firstLine="420"/>
              <w:jc w:val="left"/>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shd w:val="clear" w:color="auto" w:fill="FFFFFF"/>
                <w:lang w:val="en-US" w:eastAsia="zh-CN" w:bidi="ar-SA"/>
              </w:rPr>
              <w:t>新疆维吾尔自治区伊宁某某某单位生活物资采购的潜在投标人应在政采云平台线上获取招标文件，并于2026年06月02日 10:30（北京时间）前递交投标文件。</w:t>
            </w:r>
          </w:p>
        </w:tc>
      </w:tr>
    </w:tbl>
    <w:p w14:paraId="23C271B7">
      <w:pPr>
        <w:widowControl/>
        <w:shd w:val="clear" w:color="auto" w:fill="FFFFFF"/>
        <w:spacing w:before="0" w:beforeAutospacing="0" w:after="0" w:afterAutospacing="0" w:line="336" w:lineRule="auto"/>
        <w:jc w:val="both"/>
        <w:rPr>
          <w:rFonts w:hint="eastAsia" w:ascii="仿宋_GB2312" w:hAnsi="仿宋_GB2312" w:eastAsia="仿宋_GB2312" w:cs="仿宋_GB2312"/>
          <w:color w:val="auto"/>
          <w:kern w:val="0"/>
          <w:sz w:val="32"/>
          <w:szCs w:val="32"/>
          <w:shd w:val="clear" w:color="auto" w:fill="FFFFFF"/>
          <w:lang w:val="en-US" w:eastAsia="zh-CN" w:bidi="ar-SA"/>
        </w:rPr>
      </w:pPr>
      <w:r>
        <w:rPr>
          <w:rFonts w:hint="eastAsia" w:ascii="仿宋_GB2312" w:hAnsi="仿宋_GB2312" w:eastAsia="仿宋_GB2312" w:cs="仿宋_GB2312"/>
          <w:b/>
          <w:bCs/>
          <w:color w:val="auto"/>
          <w:kern w:val="2"/>
          <w:sz w:val="32"/>
          <w:szCs w:val="32"/>
          <w:shd w:val="clear" w:color="auto" w:fill="FFFFFF"/>
          <w:lang w:val="en-US" w:eastAsia="zh-CN" w:bidi="ar-SA"/>
        </w:rPr>
        <w:t>一、项目基本情况</w:t>
      </w:r>
    </w:p>
    <w:p w14:paraId="12B7A44B">
      <w:pPr>
        <w:widowControl/>
        <w:shd w:val="clear" w:color="auto" w:fill="FFFFFF"/>
        <w:spacing w:before="0" w:beforeAutospacing="0" w:after="0" w:afterAutospacing="0" w:line="336" w:lineRule="auto"/>
        <w:ind w:firstLine="420"/>
        <w:jc w:val="left"/>
        <w:rPr>
          <w:rFonts w:hint="default" w:ascii="仿宋_GB2312" w:hAnsi="仿宋_GB2312" w:eastAsia="仿宋_GB2312" w:cs="仿宋_GB2312"/>
          <w:color w:val="auto"/>
          <w:kern w:val="0"/>
          <w:sz w:val="32"/>
          <w:szCs w:val="32"/>
          <w:shd w:val="clear" w:color="auto" w:fill="FFFFFF"/>
          <w:lang w:val="en-US" w:eastAsia="zh-CN" w:bidi="ar-SA"/>
        </w:rPr>
      </w:pPr>
      <w:r>
        <w:rPr>
          <w:rFonts w:hint="eastAsia" w:ascii="仿宋_GB2312" w:hAnsi="仿宋_GB2312" w:eastAsia="仿宋_GB2312" w:cs="仿宋_GB2312"/>
          <w:color w:val="auto"/>
          <w:kern w:val="0"/>
          <w:sz w:val="32"/>
          <w:szCs w:val="32"/>
          <w:shd w:val="clear" w:color="auto" w:fill="FFFFFF"/>
          <w:lang w:val="en-US" w:eastAsia="zh-CN" w:bidi="ar-SA"/>
        </w:rPr>
        <w:t>项目编号：XJJB-2026-064/065/066/067/068</w:t>
      </w:r>
    </w:p>
    <w:p w14:paraId="354ECCD0">
      <w:pPr>
        <w:widowControl/>
        <w:shd w:val="clear" w:color="auto" w:fill="FFFFFF"/>
        <w:spacing w:before="0" w:beforeAutospacing="0" w:after="0" w:afterAutospacing="0" w:line="336" w:lineRule="auto"/>
        <w:ind w:firstLine="420"/>
        <w:jc w:val="left"/>
        <w:rPr>
          <w:rFonts w:hint="eastAsia" w:ascii="仿宋_GB2312" w:hAnsi="仿宋_GB2312" w:eastAsia="仿宋_GB2312" w:cs="仿宋_GB2312"/>
          <w:color w:val="auto"/>
          <w:kern w:val="0"/>
          <w:sz w:val="32"/>
          <w:szCs w:val="32"/>
          <w:shd w:val="clear" w:color="auto" w:fill="FFFFFF"/>
          <w:lang w:val="en-US" w:eastAsia="zh-CN" w:bidi="ar-SA"/>
        </w:rPr>
      </w:pPr>
      <w:r>
        <w:rPr>
          <w:rFonts w:hint="eastAsia" w:ascii="仿宋_GB2312" w:hAnsi="仿宋_GB2312" w:eastAsia="仿宋_GB2312" w:cs="仿宋_GB2312"/>
          <w:color w:val="auto"/>
          <w:kern w:val="0"/>
          <w:sz w:val="32"/>
          <w:szCs w:val="32"/>
          <w:shd w:val="clear" w:color="auto" w:fill="FFFFFF"/>
          <w:lang w:val="en-US" w:eastAsia="zh-CN" w:bidi="ar-SA"/>
        </w:rPr>
        <w:t>项目名称：新疆维吾尔自治区伊宁某某某单位生活物资采购</w:t>
      </w:r>
    </w:p>
    <w:p w14:paraId="6B6DE0C2">
      <w:pPr>
        <w:widowControl/>
        <w:shd w:val="clear" w:color="auto" w:fill="FFFFFF"/>
        <w:spacing w:before="0" w:beforeAutospacing="0" w:after="0" w:afterAutospacing="0" w:line="336" w:lineRule="auto"/>
        <w:ind w:firstLine="420"/>
        <w:jc w:val="left"/>
        <w:rPr>
          <w:rFonts w:hint="eastAsia" w:ascii="仿宋_GB2312" w:hAnsi="仿宋_GB2312" w:eastAsia="仿宋_GB2312" w:cs="仿宋_GB2312"/>
          <w:color w:val="auto"/>
          <w:kern w:val="0"/>
          <w:sz w:val="32"/>
          <w:szCs w:val="32"/>
          <w:shd w:val="clear" w:color="auto" w:fill="FFFFFF"/>
          <w:lang w:val="en-US" w:eastAsia="zh-CN" w:bidi="ar-SA"/>
        </w:rPr>
      </w:pPr>
      <w:r>
        <w:rPr>
          <w:rFonts w:hint="eastAsia" w:ascii="仿宋_GB2312" w:hAnsi="仿宋_GB2312" w:eastAsia="仿宋_GB2312" w:cs="仿宋_GB2312"/>
          <w:color w:val="auto"/>
          <w:kern w:val="0"/>
          <w:sz w:val="32"/>
          <w:szCs w:val="32"/>
          <w:shd w:val="clear" w:color="auto" w:fill="FFFFFF"/>
          <w:lang w:val="en-US" w:eastAsia="zh-CN" w:bidi="ar-SA"/>
        </w:rPr>
        <w:t>采购方式：公开招标</w:t>
      </w:r>
    </w:p>
    <w:p w14:paraId="3C3B2E02">
      <w:pPr>
        <w:widowControl/>
        <w:shd w:val="clear" w:color="auto" w:fill="FFFFFF"/>
        <w:spacing w:before="0" w:beforeAutospacing="0" w:after="0" w:afterAutospacing="0" w:line="336" w:lineRule="auto"/>
        <w:ind w:firstLine="420"/>
        <w:jc w:val="left"/>
        <w:rPr>
          <w:rFonts w:hint="default" w:ascii="仿宋_GB2312" w:hAnsi="仿宋_GB2312" w:eastAsia="仿宋_GB2312" w:cs="仿宋_GB2312"/>
          <w:color w:val="auto"/>
          <w:kern w:val="0"/>
          <w:sz w:val="32"/>
          <w:szCs w:val="32"/>
          <w:shd w:val="clear" w:color="auto" w:fill="FFFFFF"/>
          <w:lang w:val="en-US" w:eastAsia="zh-CN" w:bidi="ar-SA"/>
        </w:rPr>
      </w:pPr>
      <w:r>
        <w:rPr>
          <w:rFonts w:hint="eastAsia" w:ascii="仿宋_GB2312" w:hAnsi="仿宋_GB2312" w:eastAsia="仿宋_GB2312" w:cs="仿宋_GB2312"/>
          <w:color w:val="auto"/>
          <w:kern w:val="0"/>
          <w:sz w:val="32"/>
          <w:szCs w:val="32"/>
          <w:shd w:val="clear" w:color="auto" w:fill="FFFFFF"/>
          <w:lang w:val="en-US" w:eastAsia="zh-CN" w:bidi="ar-SA"/>
        </w:rPr>
        <w:t>预算金额（元）：8550000</w:t>
      </w:r>
    </w:p>
    <w:p w14:paraId="449DE4D8">
      <w:pPr>
        <w:widowControl/>
        <w:shd w:val="clear" w:color="auto" w:fill="FFFFFF"/>
        <w:spacing w:before="0" w:beforeAutospacing="0" w:after="0" w:afterAutospacing="0" w:line="336" w:lineRule="auto"/>
        <w:ind w:firstLine="420"/>
        <w:jc w:val="left"/>
        <w:rPr>
          <w:rFonts w:hint="eastAsia" w:ascii="仿宋_GB2312" w:hAnsi="仿宋_GB2312" w:eastAsia="仿宋_GB2312" w:cs="仿宋_GB2312"/>
          <w:color w:val="auto"/>
          <w:kern w:val="0"/>
          <w:sz w:val="32"/>
          <w:szCs w:val="32"/>
          <w:shd w:val="clear" w:color="auto" w:fill="FFFFFF"/>
          <w:lang w:val="en-US" w:eastAsia="zh-CN" w:bidi="ar-SA"/>
        </w:rPr>
      </w:pPr>
      <w:r>
        <w:rPr>
          <w:rFonts w:hint="eastAsia" w:ascii="仿宋_GB2312" w:hAnsi="仿宋_GB2312" w:eastAsia="仿宋_GB2312" w:cs="仿宋_GB2312"/>
          <w:color w:val="auto"/>
          <w:kern w:val="0"/>
          <w:sz w:val="32"/>
          <w:szCs w:val="32"/>
          <w:shd w:val="clear" w:color="auto" w:fill="FFFFFF"/>
          <w:lang w:val="en-US" w:eastAsia="zh-CN" w:bidi="ar-SA"/>
        </w:rPr>
        <w:t>最高限价（元）：1400000，2600000,1550000,1500000,1500000</w:t>
      </w:r>
    </w:p>
    <w:p w14:paraId="4FAB8618">
      <w:pPr>
        <w:widowControl/>
        <w:shd w:val="clear" w:color="auto" w:fill="FFFFFF"/>
        <w:spacing w:before="0" w:beforeAutospacing="0" w:after="0" w:afterAutospacing="0" w:line="336" w:lineRule="auto"/>
        <w:ind w:firstLine="420"/>
        <w:jc w:val="left"/>
        <w:rPr>
          <w:rFonts w:hint="eastAsia" w:ascii="仿宋_GB2312" w:hAnsi="仿宋_GB2312" w:eastAsia="仿宋_GB2312" w:cs="仿宋_GB2312"/>
          <w:color w:val="auto"/>
          <w:kern w:val="0"/>
          <w:sz w:val="32"/>
          <w:szCs w:val="32"/>
          <w:shd w:val="clear" w:color="auto" w:fill="FFFFFF"/>
          <w:lang w:val="en-US" w:eastAsia="zh-CN" w:bidi="ar-SA"/>
        </w:rPr>
      </w:pPr>
      <w:r>
        <w:rPr>
          <w:rFonts w:hint="eastAsia" w:ascii="仿宋_GB2312" w:hAnsi="仿宋_GB2312" w:eastAsia="仿宋_GB2312" w:cs="仿宋_GB2312"/>
          <w:color w:val="auto"/>
          <w:kern w:val="0"/>
          <w:sz w:val="32"/>
          <w:szCs w:val="32"/>
          <w:shd w:val="clear" w:color="auto" w:fill="FFFFFF"/>
          <w:lang w:val="en-US" w:eastAsia="zh-CN" w:bidi="ar-SA"/>
        </w:rPr>
        <w:t>采购需求：</w:t>
      </w:r>
    </w:p>
    <w:p w14:paraId="08C9793D">
      <w:pPr>
        <w:widowControl/>
        <w:shd w:val="clear" w:color="auto" w:fill="FFFFFF"/>
        <w:spacing w:before="0" w:beforeAutospacing="0" w:after="0" w:afterAutospacing="0" w:line="336" w:lineRule="auto"/>
        <w:ind w:firstLine="420"/>
        <w:jc w:val="left"/>
        <w:rPr>
          <w:rFonts w:hint="eastAsia" w:ascii="仿宋_GB2312" w:hAnsi="仿宋_GB2312" w:eastAsia="仿宋_GB2312" w:cs="仿宋_GB2312"/>
          <w:color w:val="auto"/>
          <w:kern w:val="0"/>
          <w:sz w:val="32"/>
          <w:szCs w:val="32"/>
          <w:shd w:val="clear" w:color="auto" w:fill="FFFFFF"/>
          <w:lang w:val="en-US" w:eastAsia="zh-CN" w:bidi="ar-SA"/>
        </w:rPr>
      </w:pPr>
    </w:p>
    <w:p w14:paraId="628D1F3A">
      <w:pPr>
        <w:widowControl/>
        <w:shd w:val="clear" w:color="auto" w:fill="FFFFFF"/>
        <w:spacing w:before="0" w:beforeAutospacing="0" w:after="0" w:afterAutospacing="0" w:line="336" w:lineRule="auto"/>
        <w:ind w:firstLine="420"/>
        <w:jc w:val="left"/>
        <w:rPr>
          <w:rFonts w:hint="eastAsia" w:ascii="仿宋_GB2312" w:hAnsi="仿宋_GB2312" w:eastAsia="仿宋_GB2312" w:cs="仿宋_GB2312"/>
          <w:color w:val="auto"/>
          <w:kern w:val="0"/>
          <w:sz w:val="32"/>
          <w:szCs w:val="32"/>
          <w:shd w:val="clear" w:color="auto" w:fill="FFFFFF"/>
          <w:lang w:val="en-US" w:eastAsia="zh-CN" w:bidi="ar-SA"/>
        </w:rPr>
      </w:pPr>
      <w:r>
        <w:rPr>
          <w:rFonts w:hint="eastAsia" w:ascii="仿宋_GB2312" w:hAnsi="仿宋_GB2312" w:eastAsia="仿宋_GB2312" w:cs="仿宋_GB2312"/>
          <w:color w:val="auto"/>
          <w:kern w:val="0"/>
          <w:sz w:val="32"/>
          <w:szCs w:val="32"/>
          <w:shd w:val="clear" w:color="auto" w:fill="FFFFFF"/>
          <w:lang w:val="en-US" w:eastAsia="zh-CN" w:bidi="ar-SA"/>
        </w:rPr>
        <w:t>标项一</w:t>
      </w:r>
    </w:p>
    <w:p w14:paraId="52338C9C">
      <w:pPr>
        <w:widowControl/>
        <w:shd w:val="clear" w:color="auto" w:fill="FFFFFF"/>
        <w:spacing w:before="0" w:beforeAutospacing="0" w:after="0" w:afterAutospacing="0" w:line="336" w:lineRule="auto"/>
        <w:ind w:firstLine="420"/>
        <w:jc w:val="left"/>
        <w:rPr>
          <w:rFonts w:hint="eastAsia" w:ascii="仿宋_GB2312" w:hAnsi="仿宋_GB2312" w:eastAsia="仿宋_GB2312" w:cs="仿宋_GB2312"/>
          <w:color w:val="auto"/>
          <w:kern w:val="0"/>
          <w:sz w:val="32"/>
          <w:szCs w:val="32"/>
          <w:shd w:val="clear" w:color="auto" w:fill="FFFFFF"/>
          <w:lang w:val="en-US" w:eastAsia="zh-CN" w:bidi="ar-SA"/>
        </w:rPr>
      </w:pPr>
      <w:r>
        <w:rPr>
          <w:rFonts w:hint="eastAsia" w:ascii="仿宋_GB2312" w:hAnsi="仿宋_GB2312" w:eastAsia="仿宋_GB2312" w:cs="仿宋_GB2312"/>
          <w:color w:val="auto"/>
          <w:kern w:val="0"/>
          <w:sz w:val="32"/>
          <w:szCs w:val="32"/>
          <w:shd w:val="clear" w:color="auto" w:fill="FFFFFF"/>
          <w:lang w:val="en-US" w:eastAsia="zh-CN" w:bidi="ar-SA"/>
        </w:rPr>
        <w:t>标项名称：新疆维吾尔自治区伊宁某某某单位生活物资采购（一标段米、面、油类）</w:t>
      </w:r>
    </w:p>
    <w:p w14:paraId="105C5DB6">
      <w:pPr>
        <w:widowControl/>
        <w:shd w:val="clear" w:color="auto" w:fill="FFFFFF"/>
        <w:spacing w:before="0" w:beforeAutospacing="0" w:after="0" w:afterAutospacing="0" w:line="336" w:lineRule="auto"/>
        <w:ind w:firstLine="420"/>
        <w:jc w:val="left"/>
        <w:rPr>
          <w:rFonts w:hint="eastAsia" w:ascii="仿宋_GB2312" w:hAnsi="仿宋_GB2312" w:eastAsia="仿宋_GB2312" w:cs="仿宋_GB2312"/>
          <w:color w:val="auto"/>
          <w:kern w:val="0"/>
          <w:sz w:val="32"/>
          <w:szCs w:val="32"/>
          <w:shd w:val="clear" w:color="auto" w:fill="FFFFFF"/>
          <w:lang w:val="en-US" w:eastAsia="zh-CN" w:bidi="ar-SA"/>
        </w:rPr>
      </w:pPr>
      <w:r>
        <w:rPr>
          <w:rFonts w:hint="eastAsia" w:ascii="仿宋_GB2312" w:hAnsi="仿宋_GB2312" w:eastAsia="仿宋_GB2312" w:cs="仿宋_GB2312"/>
          <w:color w:val="auto"/>
          <w:kern w:val="0"/>
          <w:sz w:val="32"/>
          <w:szCs w:val="32"/>
          <w:shd w:val="clear" w:color="auto" w:fill="FFFFFF"/>
          <w:lang w:val="en-US" w:eastAsia="zh-CN" w:bidi="ar-SA"/>
        </w:rPr>
        <w:t>数量：1</w:t>
      </w:r>
    </w:p>
    <w:p w14:paraId="7018CAD9">
      <w:pPr>
        <w:widowControl/>
        <w:shd w:val="clear" w:color="auto" w:fill="FFFFFF"/>
        <w:spacing w:before="0" w:beforeAutospacing="0" w:after="0" w:afterAutospacing="0" w:line="336" w:lineRule="auto"/>
        <w:ind w:firstLine="420"/>
        <w:jc w:val="left"/>
        <w:rPr>
          <w:rFonts w:hint="eastAsia" w:ascii="仿宋_GB2312" w:hAnsi="仿宋_GB2312" w:eastAsia="仿宋_GB2312" w:cs="仿宋_GB2312"/>
          <w:color w:val="auto"/>
          <w:kern w:val="0"/>
          <w:sz w:val="32"/>
          <w:szCs w:val="32"/>
          <w:shd w:val="clear" w:color="auto" w:fill="FFFFFF"/>
          <w:lang w:val="en-US" w:eastAsia="zh-CN" w:bidi="ar-SA"/>
        </w:rPr>
      </w:pPr>
      <w:r>
        <w:rPr>
          <w:rFonts w:hint="eastAsia" w:ascii="仿宋_GB2312" w:hAnsi="仿宋_GB2312" w:eastAsia="仿宋_GB2312" w:cs="仿宋_GB2312"/>
          <w:color w:val="auto"/>
          <w:kern w:val="0"/>
          <w:sz w:val="32"/>
          <w:szCs w:val="32"/>
          <w:shd w:val="clear" w:color="auto" w:fill="FFFFFF"/>
          <w:lang w:val="en-US" w:eastAsia="zh-CN" w:bidi="ar-SA"/>
        </w:rPr>
        <w:t>预算金额（元）：1400000</w:t>
      </w:r>
    </w:p>
    <w:p w14:paraId="759E7229">
      <w:pPr>
        <w:widowControl/>
        <w:shd w:val="clear" w:color="auto" w:fill="FFFFFF"/>
        <w:spacing w:before="0" w:beforeAutospacing="0" w:after="0" w:afterAutospacing="0" w:line="336" w:lineRule="auto"/>
        <w:ind w:firstLine="420"/>
        <w:jc w:val="left"/>
        <w:rPr>
          <w:rFonts w:hint="eastAsia" w:ascii="仿宋_GB2312" w:hAnsi="仿宋_GB2312" w:eastAsia="仿宋_GB2312" w:cs="仿宋_GB2312"/>
          <w:color w:val="auto"/>
          <w:kern w:val="0"/>
          <w:sz w:val="32"/>
          <w:szCs w:val="32"/>
          <w:shd w:val="clear" w:color="auto" w:fill="FFFFFF"/>
          <w:lang w:val="en-US" w:eastAsia="zh-CN" w:bidi="ar-SA"/>
        </w:rPr>
      </w:pPr>
      <w:r>
        <w:rPr>
          <w:rFonts w:hint="eastAsia" w:ascii="仿宋_GB2312" w:hAnsi="仿宋_GB2312" w:eastAsia="仿宋_GB2312" w:cs="仿宋_GB2312"/>
          <w:color w:val="auto"/>
          <w:kern w:val="0"/>
          <w:sz w:val="32"/>
          <w:szCs w:val="32"/>
          <w:shd w:val="clear" w:color="auto" w:fill="FFFFFF"/>
          <w:lang w:val="en-US" w:eastAsia="zh-CN" w:bidi="ar-SA"/>
        </w:rPr>
        <w:t>单位：批</w:t>
      </w:r>
    </w:p>
    <w:p w14:paraId="3F0C5DDA">
      <w:pPr>
        <w:widowControl/>
        <w:shd w:val="clear" w:color="auto" w:fill="FFFFFF"/>
        <w:spacing w:before="0" w:beforeAutospacing="0" w:after="0" w:afterAutospacing="0" w:line="336" w:lineRule="auto"/>
        <w:ind w:firstLine="420"/>
        <w:jc w:val="left"/>
        <w:rPr>
          <w:rFonts w:hint="eastAsia" w:ascii="仿宋_GB2312" w:hAnsi="仿宋_GB2312" w:eastAsia="仿宋_GB2312" w:cs="仿宋_GB2312"/>
          <w:color w:val="auto"/>
          <w:kern w:val="0"/>
          <w:sz w:val="32"/>
          <w:szCs w:val="32"/>
          <w:shd w:val="clear" w:color="auto" w:fill="FFFFFF"/>
          <w:lang w:val="en-US" w:eastAsia="zh-CN" w:bidi="ar-SA"/>
        </w:rPr>
      </w:pPr>
      <w:r>
        <w:rPr>
          <w:rFonts w:hint="eastAsia" w:ascii="仿宋_GB2312" w:hAnsi="仿宋_GB2312" w:eastAsia="仿宋_GB2312" w:cs="仿宋_GB2312"/>
          <w:color w:val="auto"/>
          <w:kern w:val="0"/>
          <w:sz w:val="32"/>
          <w:szCs w:val="32"/>
          <w:shd w:val="clear" w:color="auto" w:fill="FFFFFF"/>
          <w:lang w:val="en-US" w:eastAsia="zh-CN" w:bidi="ar-SA"/>
        </w:rPr>
        <w:t>简要规格描述：采购米、面、油一批。</w:t>
      </w:r>
    </w:p>
    <w:p w14:paraId="3E7D636B">
      <w:pPr>
        <w:widowControl/>
        <w:shd w:val="clear" w:color="auto" w:fill="FFFFFF"/>
        <w:spacing w:before="0" w:beforeAutospacing="0" w:after="0" w:afterAutospacing="0" w:line="336" w:lineRule="auto"/>
        <w:ind w:firstLine="420"/>
        <w:jc w:val="left"/>
        <w:rPr>
          <w:rFonts w:hint="eastAsia" w:ascii="仿宋_GB2312" w:hAnsi="仿宋_GB2312" w:eastAsia="仿宋_GB2312" w:cs="仿宋_GB2312"/>
          <w:color w:val="auto"/>
          <w:kern w:val="0"/>
          <w:sz w:val="32"/>
          <w:szCs w:val="32"/>
          <w:shd w:val="clear" w:color="auto" w:fill="FFFFFF"/>
          <w:lang w:val="en-US" w:eastAsia="zh-CN" w:bidi="ar-SA"/>
        </w:rPr>
      </w:pPr>
      <w:r>
        <w:rPr>
          <w:rFonts w:hint="eastAsia" w:ascii="仿宋_GB2312" w:hAnsi="仿宋_GB2312" w:eastAsia="仿宋_GB2312" w:cs="仿宋_GB2312"/>
          <w:color w:val="auto"/>
          <w:kern w:val="0"/>
          <w:sz w:val="32"/>
          <w:szCs w:val="32"/>
          <w:shd w:val="clear" w:color="auto" w:fill="FFFFFF"/>
          <w:lang w:val="en-US" w:eastAsia="zh-CN" w:bidi="ar-SA"/>
        </w:rPr>
        <w:t>备注：</w:t>
      </w:r>
    </w:p>
    <w:p w14:paraId="61580BF9">
      <w:pPr>
        <w:widowControl/>
        <w:shd w:val="clear" w:color="auto" w:fill="FFFFFF"/>
        <w:spacing w:before="0" w:beforeAutospacing="0" w:after="0" w:afterAutospacing="0" w:line="336" w:lineRule="auto"/>
        <w:ind w:firstLine="420"/>
        <w:jc w:val="left"/>
        <w:rPr>
          <w:rFonts w:hint="eastAsia" w:ascii="仿宋_GB2312" w:hAnsi="仿宋_GB2312" w:eastAsia="仿宋_GB2312" w:cs="仿宋_GB2312"/>
          <w:color w:val="auto"/>
          <w:kern w:val="0"/>
          <w:sz w:val="32"/>
          <w:szCs w:val="32"/>
          <w:shd w:val="clear" w:color="auto" w:fill="FFFFFF"/>
          <w:lang w:val="en-US" w:eastAsia="zh-CN" w:bidi="ar-SA"/>
        </w:rPr>
      </w:pPr>
    </w:p>
    <w:p w14:paraId="20728F70">
      <w:pPr>
        <w:widowControl/>
        <w:shd w:val="clear" w:color="auto" w:fill="FFFFFF"/>
        <w:spacing w:before="0" w:beforeAutospacing="0" w:after="0" w:afterAutospacing="0" w:line="336" w:lineRule="auto"/>
        <w:ind w:firstLine="420"/>
        <w:jc w:val="left"/>
        <w:rPr>
          <w:rFonts w:hint="eastAsia" w:ascii="仿宋_GB2312" w:hAnsi="仿宋_GB2312" w:eastAsia="仿宋_GB2312" w:cs="仿宋_GB2312"/>
          <w:color w:val="auto"/>
          <w:kern w:val="0"/>
          <w:sz w:val="32"/>
          <w:szCs w:val="32"/>
          <w:shd w:val="clear" w:color="auto" w:fill="FFFFFF"/>
          <w:lang w:val="en-US" w:eastAsia="zh-CN" w:bidi="ar-SA"/>
        </w:rPr>
      </w:pPr>
      <w:r>
        <w:rPr>
          <w:rFonts w:hint="eastAsia" w:ascii="仿宋_GB2312" w:hAnsi="仿宋_GB2312" w:eastAsia="仿宋_GB2312" w:cs="仿宋_GB2312"/>
          <w:color w:val="auto"/>
          <w:kern w:val="0"/>
          <w:sz w:val="32"/>
          <w:szCs w:val="32"/>
          <w:shd w:val="clear" w:color="auto" w:fill="FFFFFF"/>
          <w:lang w:val="en-US" w:eastAsia="zh-CN" w:bidi="ar-SA"/>
        </w:rPr>
        <w:t>标项二</w:t>
      </w:r>
    </w:p>
    <w:p w14:paraId="5C04B7B7">
      <w:pPr>
        <w:widowControl/>
        <w:shd w:val="clear" w:color="auto" w:fill="FFFFFF"/>
        <w:spacing w:before="0" w:beforeAutospacing="0" w:after="0" w:afterAutospacing="0" w:line="336" w:lineRule="auto"/>
        <w:ind w:firstLine="420"/>
        <w:jc w:val="left"/>
        <w:rPr>
          <w:rFonts w:hint="eastAsia" w:ascii="仿宋_GB2312" w:hAnsi="仿宋_GB2312" w:eastAsia="仿宋_GB2312" w:cs="仿宋_GB2312"/>
          <w:color w:val="auto"/>
          <w:kern w:val="0"/>
          <w:sz w:val="32"/>
          <w:szCs w:val="32"/>
          <w:shd w:val="clear" w:color="auto" w:fill="FFFFFF"/>
          <w:lang w:val="en-US" w:eastAsia="zh-CN" w:bidi="ar-SA"/>
        </w:rPr>
      </w:pPr>
      <w:r>
        <w:rPr>
          <w:rFonts w:hint="eastAsia" w:ascii="仿宋_GB2312" w:hAnsi="仿宋_GB2312" w:eastAsia="仿宋_GB2312" w:cs="仿宋_GB2312"/>
          <w:color w:val="auto"/>
          <w:kern w:val="0"/>
          <w:sz w:val="32"/>
          <w:szCs w:val="32"/>
          <w:shd w:val="clear" w:color="auto" w:fill="FFFFFF"/>
          <w:lang w:val="en-US" w:eastAsia="zh-CN" w:bidi="ar-SA"/>
        </w:rPr>
        <w:t>标项名称：新疆维吾尔自治区伊宁某某某</w:t>
      </w:r>
      <w:r>
        <w:rPr>
          <w:rFonts w:hint="eastAsia" w:ascii="仿宋_GB2312" w:hAnsi="仿宋_GB2312" w:eastAsia="仿宋_GB2312" w:cs="仿宋_GB2312"/>
          <w:color w:val="auto"/>
          <w:kern w:val="0"/>
          <w:sz w:val="32"/>
          <w:szCs w:val="32"/>
          <w:shd w:val="clear" w:color="auto" w:fill="FFFFFF"/>
          <w:lang w:val="en-US" w:eastAsia="zh-CN" w:bidi="ar-SA"/>
        </w:rPr>
        <w:t>单位生活物资采购（二标段牛、羊肉类）</w:t>
      </w:r>
    </w:p>
    <w:p w14:paraId="735B4B87">
      <w:pPr>
        <w:widowControl/>
        <w:shd w:val="clear" w:color="auto" w:fill="FFFFFF"/>
        <w:spacing w:before="0" w:beforeAutospacing="0" w:after="0" w:afterAutospacing="0" w:line="336" w:lineRule="auto"/>
        <w:ind w:firstLine="420"/>
        <w:jc w:val="left"/>
        <w:rPr>
          <w:rFonts w:hint="eastAsia" w:ascii="仿宋_GB2312" w:hAnsi="仿宋_GB2312" w:eastAsia="仿宋_GB2312" w:cs="仿宋_GB2312"/>
          <w:color w:val="auto"/>
          <w:kern w:val="0"/>
          <w:sz w:val="32"/>
          <w:szCs w:val="32"/>
          <w:shd w:val="clear" w:color="auto" w:fill="FFFFFF"/>
          <w:lang w:val="en-US" w:eastAsia="zh-CN" w:bidi="ar-SA"/>
        </w:rPr>
      </w:pPr>
      <w:r>
        <w:rPr>
          <w:rFonts w:hint="eastAsia" w:ascii="仿宋_GB2312" w:hAnsi="仿宋_GB2312" w:eastAsia="仿宋_GB2312" w:cs="仿宋_GB2312"/>
          <w:color w:val="auto"/>
          <w:kern w:val="0"/>
          <w:sz w:val="32"/>
          <w:szCs w:val="32"/>
          <w:shd w:val="clear" w:color="auto" w:fill="FFFFFF"/>
          <w:lang w:val="en-US" w:eastAsia="zh-CN" w:bidi="ar-SA"/>
        </w:rPr>
        <w:t>数量：1</w:t>
      </w:r>
    </w:p>
    <w:p w14:paraId="1D063E0F">
      <w:pPr>
        <w:widowControl/>
        <w:shd w:val="clear" w:color="auto" w:fill="FFFFFF"/>
        <w:spacing w:before="0" w:beforeAutospacing="0" w:after="0" w:afterAutospacing="0" w:line="336" w:lineRule="auto"/>
        <w:ind w:firstLine="420"/>
        <w:jc w:val="left"/>
        <w:rPr>
          <w:rFonts w:hint="default" w:ascii="仿宋_GB2312" w:hAnsi="仿宋_GB2312" w:eastAsia="仿宋_GB2312" w:cs="仿宋_GB2312"/>
          <w:color w:val="auto"/>
          <w:kern w:val="0"/>
          <w:sz w:val="32"/>
          <w:szCs w:val="32"/>
          <w:shd w:val="clear" w:color="auto" w:fill="FFFFFF"/>
          <w:lang w:val="en-US" w:eastAsia="zh-CN" w:bidi="ar-SA"/>
        </w:rPr>
      </w:pPr>
      <w:r>
        <w:rPr>
          <w:rFonts w:hint="eastAsia" w:ascii="仿宋_GB2312" w:hAnsi="仿宋_GB2312" w:eastAsia="仿宋_GB2312" w:cs="仿宋_GB2312"/>
          <w:color w:val="auto"/>
          <w:kern w:val="0"/>
          <w:sz w:val="32"/>
          <w:szCs w:val="32"/>
          <w:shd w:val="clear" w:color="auto" w:fill="FFFFFF"/>
          <w:lang w:val="en-US" w:eastAsia="zh-CN" w:bidi="ar-SA"/>
        </w:rPr>
        <w:t>预算金额（元）：2600000</w:t>
      </w:r>
    </w:p>
    <w:p w14:paraId="7382195F">
      <w:pPr>
        <w:widowControl/>
        <w:shd w:val="clear" w:color="auto" w:fill="FFFFFF"/>
        <w:spacing w:before="0" w:beforeAutospacing="0" w:after="0" w:afterAutospacing="0" w:line="336" w:lineRule="auto"/>
        <w:ind w:firstLine="420"/>
        <w:jc w:val="left"/>
        <w:rPr>
          <w:rFonts w:hint="eastAsia" w:ascii="仿宋_GB2312" w:hAnsi="仿宋_GB2312" w:eastAsia="仿宋_GB2312" w:cs="仿宋_GB2312"/>
          <w:color w:val="auto"/>
          <w:kern w:val="0"/>
          <w:sz w:val="32"/>
          <w:szCs w:val="32"/>
          <w:shd w:val="clear" w:color="auto" w:fill="FFFFFF"/>
          <w:lang w:val="en-US" w:eastAsia="zh-CN" w:bidi="ar-SA"/>
        </w:rPr>
      </w:pPr>
      <w:r>
        <w:rPr>
          <w:rFonts w:hint="eastAsia" w:ascii="仿宋_GB2312" w:hAnsi="仿宋_GB2312" w:eastAsia="仿宋_GB2312" w:cs="仿宋_GB2312"/>
          <w:color w:val="auto"/>
          <w:kern w:val="0"/>
          <w:sz w:val="32"/>
          <w:szCs w:val="32"/>
          <w:shd w:val="clear" w:color="auto" w:fill="FFFFFF"/>
          <w:lang w:val="en-US" w:eastAsia="zh-CN" w:bidi="ar-SA"/>
        </w:rPr>
        <w:t>单位：批</w:t>
      </w:r>
    </w:p>
    <w:p w14:paraId="164CF385">
      <w:pPr>
        <w:widowControl/>
        <w:shd w:val="clear" w:color="auto" w:fill="FFFFFF"/>
        <w:spacing w:before="0" w:beforeAutospacing="0" w:after="0" w:afterAutospacing="0" w:line="336" w:lineRule="auto"/>
        <w:ind w:firstLine="420"/>
        <w:jc w:val="left"/>
        <w:rPr>
          <w:rFonts w:hint="eastAsia" w:ascii="仿宋_GB2312" w:hAnsi="仿宋_GB2312" w:eastAsia="仿宋_GB2312" w:cs="仿宋_GB2312"/>
          <w:color w:val="auto"/>
          <w:kern w:val="0"/>
          <w:sz w:val="32"/>
          <w:szCs w:val="32"/>
          <w:shd w:val="clear" w:color="auto" w:fill="FFFFFF"/>
          <w:lang w:val="en-US" w:eastAsia="zh-CN" w:bidi="ar-SA"/>
        </w:rPr>
      </w:pPr>
      <w:r>
        <w:rPr>
          <w:rFonts w:hint="eastAsia" w:ascii="仿宋_GB2312" w:hAnsi="仿宋_GB2312" w:eastAsia="仿宋_GB2312" w:cs="仿宋_GB2312"/>
          <w:color w:val="auto"/>
          <w:kern w:val="0"/>
          <w:sz w:val="32"/>
          <w:szCs w:val="32"/>
          <w:shd w:val="clear" w:color="auto" w:fill="FFFFFF"/>
          <w:lang w:val="en-US" w:eastAsia="zh-CN" w:bidi="ar-SA"/>
        </w:rPr>
        <w:t>简要规格描述：采购牛、羊肉一批。</w:t>
      </w:r>
    </w:p>
    <w:p w14:paraId="3FED8E20">
      <w:pPr>
        <w:widowControl/>
        <w:shd w:val="clear" w:color="auto" w:fill="FFFFFF"/>
        <w:spacing w:before="0" w:beforeAutospacing="0" w:after="0" w:afterAutospacing="0" w:line="336" w:lineRule="auto"/>
        <w:ind w:firstLine="420"/>
        <w:jc w:val="left"/>
        <w:rPr>
          <w:rFonts w:hint="eastAsia" w:ascii="仿宋_GB2312" w:hAnsi="仿宋_GB2312" w:eastAsia="仿宋_GB2312" w:cs="仿宋_GB2312"/>
          <w:color w:val="auto"/>
          <w:kern w:val="0"/>
          <w:sz w:val="32"/>
          <w:szCs w:val="32"/>
          <w:shd w:val="clear" w:color="auto" w:fill="FFFFFF"/>
          <w:lang w:val="en-US" w:eastAsia="zh-CN" w:bidi="ar-SA"/>
        </w:rPr>
      </w:pPr>
      <w:r>
        <w:rPr>
          <w:rFonts w:hint="eastAsia" w:ascii="仿宋_GB2312" w:hAnsi="仿宋_GB2312" w:eastAsia="仿宋_GB2312" w:cs="仿宋_GB2312"/>
          <w:color w:val="auto"/>
          <w:kern w:val="0"/>
          <w:sz w:val="32"/>
          <w:szCs w:val="32"/>
          <w:shd w:val="clear" w:color="auto" w:fill="FFFFFF"/>
          <w:lang w:val="en-US" w:eastAsia="zh-CN" w:bidi="ar-SA"/>
        </w:rPr>
        <w:t>备注：</w:t>
      </w:r>
    </w:p>
    <w:p w14:paraId="74592E1D">
      <w:pPr>
        <w:widowControl/>
        <w:shd w:val="clear" w:color="auto" w:fill="FFFFFF"/>
        <w:spacing w:before="0" w:beforeAutospacing="0" w:after="0" w:afterAutospacing="0" w:line="336" w:lineRule="auto"/>
        <w:ind w:firstLine="420"/>
        <w:jc w:val="left"/>
        <w:rPr>
          <w:rFonts w:hint="eastAsia" w:ascii="仿宋_GB2312" w:hAnsi="仿宋_GB2312" w:eastAsia="仿宋_GB2312" w:cs="仿宋_GB2312"/>
          <w:color w:val="auto"/>
          <w:kern w:val="0"/>
          <w:sz w:val="32"/>
          <w:szCs w:val="32"/>
          <w:shd w:val="clear" w:color="auto" w:fill="FFFFFF"/>
          <w:lang w:val="en-US" w:eastAsia="zh-CN" w:bidi="ar-SA"/>
        </w:rPr>
      </w:pPr>
    </w:p>
    <w:p w14:paraId="4E3D40F9">
      <w:pPr>
        <w:widowControl/>
        <w:shd w:val="clear" w:color="auto" w:fill="FFFFFF"/>
        <w:spacing w:before="0" w:beforeAutospacing="0" w:after="0" w:afterAutospacing="0" w:line="336" w:lineRule="auto"/>
        <w:ind w:firstLine="420"/>
        <w:jc w:val="left"/>
        <w:rPr>
          <w:rFonts w:hint="eastAsia" w:ascii="仿宋_GB2312" w:hAnsi="仿宋_GB2312" w:eastAsia="仿宋_GB2312" w:cs="仿宋_GB2312"/>
          <w:color w:val="auto"/>
          <w:kern w:val="0"/>
          <w:sz w:val="32"/>
          <w:szCs w:val="32"/>
          <w:shd w:val="clear" w:color="auto" w:fill="FFFFFF"/>
          <w:lang w:val="en-US" w:eastAsia="zh-CN" w:bidi="ar-SA"/>
        </w:rPr>
      </w:pPr>
      <w:r>
        <w:rPr>
          <w:rFonts w:hint="eastAsia" w:ascii="仿宋_GB2312" w:hAnsi="仿宋_GB2312" w:eastAsia="仿宋_GB2312" w:cs="仿宋_GB2312"/>
          <w:color w:val="auto"/>
          <w:kern w:val="0"/>
          <w:sz w:val="32"/>
          <w:szCs w:val="32"/>
          <w:shd w:val="clear" w:color="auto" w:fill="FFFFFF"/>
          <w:lang w:val="en-US" w:eastAsia="zh-CN" w:bidi="ar-SA"/>
        </w:rPr>
        <w:t>标项三</w:t>
      </w:r>
    </w:p>
    <w:p w14:paraId="7248DE04">
      <w:pPr>
        <w:widowControl/>
        <w:shd w:val="clear" w:color="auto" w:fill="FFFFFF"/>
        <w:spacing w:before="0" w:beforeAutospacing="0" w:after="0" w:afterAutospacing="0" w:line="336" w:lineRule="auto"/>
        <w:ind w:firstLine="420"/>
        <w:jc w:val="left"/>
        <w:rPr>
          <w:rFonts w:hint="eastAsia" w:ascii="仿宋_GB2312" w:hAnsi="仿宋_GB2312" w:eastAsia="仿宋_GB2312" w:cs="仿宋_GB2312"/>
          <w:color w:val="auto"/>
          <w:kern w:val="0"/>
          <w:sz w:val="32"/>
          <w:szCs w:val="32"/>
          <w:shd w:val="clear" w:color="auto" w:fill="FFFFFF"/>
          <w:lang w:val="en-US" w:eastAsia="zh-CN" w:bidi="ar-SA"/>
        </w:rPr>
      </w:pPr>
      <w:r>
        <w:rPr>
          <w:rFonts w:hint="eastAsia" w:ascii="仿宋_GB2312" w:hAnsi="仿宋_GB2312" w:eastAsia="仿宋_GB2312" w:cs="仿宋_GB2312"/>
          <w:color w:val="auto"/>
          <w:kern w:val="0"/>
          <w:sz w:val="32"/>
          <w:szCs w:val="32"/>
          <w:shd w:val="clear" w:color="auto" w:fill="FFFFFF"/>
          <w:lang w:val="en-US" w:eastAsia="zh-CN" w:bidi="ar-SA"/>
        </w:rPr>
        <w:t>标项名称：新疆维吾尔自治区伊宁某某某</w:t>
      </w:r>
      <w:r>
        <w:rPr>
          <w:rFonts w:hint="eastAsia" w:ascii="仿宋_GB2312" w:hAnsi="仿宋_GB2312" w:eastAsia="仿宋_GB2312" w:cs="仿宋_GB2312"/>
          <w:color w:val="auto"/>
          <w:kern w:val="0"/>
          <w:sz w:val="32"/>
          <w:szCs w:val="32"/>
          <w:shd w:val="clear" w:color="auto" w:fill="FFFFFF"/>
          <w:lang w:val="en-US" w:eastAsia="zh-CN" w:bidi="ar-SA"/>
        </w:rPr>
        <w:t>单位生活物资采购（三标段蔬菜、水果、豆制品类）</w:t>
      </w:r>
    </w:p>
    <w:p w14:paraId="33B57755">
      <w:pPr>
        <w:widowControl/>
        <w:shd w:val="clear" w:color="auto" w:fill="FFFFFF"/>
        <w:spacing w:before="0" w:beforeAutospacing="0" w:after="0" w:afterAutospacing="0" w:line="336" w:lineRule="auto"/>
        <w:ind w:firstLine="420"/>
        <w:jc w:val="left"/>
        <w:rPr>
          <w:rFonts w:hint="eastAsia" w:ascii="仿宋_GB2312" w:hAnsi="仿宋_GB2312" w:eastAsia="仿宋_GB2312" w:cs="仿宋_GB2312"/>
          <w:color w:val="auto"/>
          <w:kern w:val="0"/>
          <w:sz w:val="32"/>
          <w:szCs w:val="32"/>
          <w:shd w:val="clear" w:color="auto" w:fill="FFFFFF"/>
          <w:lang w:val="en-US" w:eastAsia="zh-CN" w:bidi="ar-SA"/>
        </w:rPr>
      </w:pPr>
      <w:r>
        <w:rPr>
          <w:rFonts w:hint="eastAsia" w:ascii="仿宋_GB2312" w:hAnsi="仿宋_GB2312" w:eastAsia="仿宋_GB2312" w:cs="仿宋_GB2312"/>
          <w:color w:val="auto"/>
          <w:kern w:val="0"/>
          <w:sz w:val="32"/>
          <w:szCs w:val="32"/>
          <w:shd w:val="clear" w:color="auto" w:fill="FFFFFF"/>
          <w:lang w:val="en-US" w:eastAsia="zh-CN" w:bidi="ar-SA"/>
        </w:rPr>
        <w:t>数量：1</w:t>
      </w:r>
    </w:p>
    <w:p w14:paraId="7686C330">
      <w:pPr>
        <w:widowControl/>
        <w:shd w:val="clear" w:color="auto" w:fill="FFFFFF"/>
        <w:spacing w:before="0" w:beforeAutospacing="0" w:after="0" w:afterAutospacing="0" w:line="336" w:lineRule="auto"/>
        <w:ind w:firstLine="420"/>
        <w:jc w:val="left"/>
        <w:rPr>
          <w:rFonts w:ascii="仿宋_GB2312" w:hAnsi="仿宋_GB2312" w:eastAsia="仿宋_GB2312" w:cs="仿宋_GB2312"/>
          <w:color w:val="auto"/>
          <w:kern w:val="0"/>
          <w:sz w:val="32"/>
          <w:szCs w:val="32"/>
          <w:shd w:val="clear" w:color="auto" w:fill="FFFFFF"/>
          <w:lang w:val="en-US" w:eastAsia="zh-CN" w:bidi="ar-SA"/>
        </w:rPr>
      </w:pPr>
      <w:r>
        <w:rPr>
          <w:rFonts w:hint="eastAsia" w:ascii="仿宋_GB2312" w:hAnsi="仿宋_GB2312" w:eastAsia="仿宋_GB2312" w:cs="仿宋_GB2312"/>
          <w:color w:val="auto"/>
          <w:kern w:val="0"/>
          <w:sz w:val="32"/>
          <w:szCs w:val="32"/>
          <w:shd w:val="clear" w:color="auto" w:fill="FFFFFF"/>
          <w:lang w:val="en-US" w:eastAsia="zh-CN" w:bidi="ar-SA"/>
        </w:rPr>
        <w:t>预算金额（元）：1550000</w:t>
      </w:r>
    </w:p>
    <w:p w14:paraId="5E7E54B9">
      <w:pPr>
        <w:widowControl/>
        <w:shd w:val="clear" w:color="auto" w:fill="FFFFFF"/>
        <w:spacing w:before="0" w:beforeAutospacing="0" w:after="0" w:afterAutospacing="0" w:line="336" w:lineRule="auto"/>
        <w:ind w:firstLine="420"/>
        <w:jc w:val="left"/>
        <w:rPr>
          <w:rFonts w:hint="eastAsia" w:ascii="仿宋_GB2312" w:hAnsi="仿宋_GB2312" w:eastAsia="仿宋_GB2312" w:cs="仿宋_GB2312"/>
          <w:color w:val="auto"/>
          <w:kern w:val="0"/>
          <w:sz w:val="32"/>
          <w:szCs w:val="32"/>
          <w:shd w:val="clear" w:color="auto" w:fill="FFFFFF"/>
          <w:lang w:val="en-US" w:eastAsia="zh-CN" w:bidi="ar-SA"/>
        </w:rPr>
      </w:pPr>
      <w:r>
        <w:rPr>
          <w:rFonts w:hint="eastAsia" w:ascii="仿宋_GB2312" w:hAnsi="仿宋_GB2312" w:eastAsia="仿宋_GB2312" w:cs="仿宋_GB2312"/>
          <w:color w:val="auto"/>
          <w:kern w:val="0"/>
          <w:sz w:val="32"/>
          <w:szCs w:val="32"/>
          <w:shd w:val="clear" w:color="auto" w:fill="FFFFFF"/>
          <w:lang w:val="en-US" w:eastAsia="zh-CN" w:bidi="ar-SA"/>
        </w:rPr>
        <w:t>单位：批</w:t>
      </w:r>
    </w:p>
    <w:p w14:paraId="095451F9">
      <w:pPr>
        <w:widowControl/>
        <w:shd w:val="clear" w:color="auto" w:fill="FFFFFF"/>
        <w:spacing w:before="0" w:beforeAutospacing="0" w:after="0" w:afterAutospacing="0" w:line="336" w:lineRule="auto"/>
        <w:ind w:firstLine="420"/>
        <w:jc w:val="left"/>
        <w:rPr>
          <w:rFonts w:hint="eastAsia" w:ascii="仿宋_GB2312" w:hAnsi="仿宋_GB2312" w:eastAsia="仿宋_GB2312" w:cs="仿宋_GB2312"/>
          <w:color w:val="auto"/>
          <w:kern w:val="0"/>
          <w:sz w:val="32"/>
          <w:szCs w:val="32"/>
          <w:shd w:val="clear" w:color="auto" w:fill="FFFFFF"/>
          <w:lang w:val="en-US" w:eastAsia="zh-CN" w:bidi="ar-SA"/>
        </w:rPr>
      </w:pPr>
      <w:r>
        <w:rPr>
          <w:rFonts w:hint="eastAsia" w:ascii="仿宋_GB2312" w:hAnsi="仿宋_GB2312" w:eastAsia="仿宋_GB2312" w:cs="仿宋_GB2312"/>
          <w:color w:val="auto"/>
          <w:kern w:val="0"/>
          <w:sz w:val="32"/>
          <w:szCs w:val="32"/>
          <w:shd w:val="clear" w:color="auto" w:fill="FFFFFF"/>
          <w:lang w:val="en-US" w:eastAsia="zh-CN" w:bidi="ar-SA"/>
        </w:rPr>
        <w:t>简要规格描述：采购蔬菜、水果、豆制品一批。</w:t>
      </w:r>
    </w:p>
    <w:p w14:paraId="66C7175B">
      <w:pPr>
        <w:widowControl/>
        <w:shd w:val="clear" w:color="auto" w:fill="FFFFFF"/>
        <w:spacing w:before="0" w:beforeAutospacing="0" w:after="0" w:afterAutospacing="0" w:line="336" w:lineRule="auto"/>
        <w:ind w:firstLine="420"/>
        <w:jc w:val="left"/>
        <w:rPr>
          <w:rFonts w:hint="eastAsia" w:ascii="仿宋_GB2312" w:hAnsi="仿宋_GB2312" w:eastAsia="仿宋_GB2312" w:cs="仿宋_GB2312"/>
          <w:color w:val="auto"/>
          <w:kern w:val="0"/>
          <w:sz w:val="32"/>
          <w:szCs w:val="32"/>
          <w:shd w:val="clear" w:color="auto" w:fill="FFFFFF"/>
          <w:lang w:val="en-US" w:eastAsia="zh-CN" w:bidi="ar-SA"/>
        </w:rPr>
      </w:pPr>
      <w:r>
        <w:rPr>
          <w:rFonts w:hint="eastAsia" w:ascii="仿宋_GB2312" w:hAnsi="仿宋_GB2312" w:eastAsia="仿宋_GB2312" w:cs="仿宋_GB2312"/>
          <w:color w:val="auto"/>
          <w:kern w:val="0"/>
          <w:sz w:val="32"/>
          <w:szCs w:val="32"/>
          <w:shd w:val="clear" w:color="auto" w:fill="FFFFFF"/>
          <w:lang w:val="en-US" w:eastAsia="zh-CN" w:bidi="ar-SA"/>
        </w:rPr>
        <w:t>备注：</w:t>
      </w:r>
    </w:p>
    <w:p w14:paraId="62FD20B7">
      <w:pPr>
        <w:widowControl/>
        <w:shd w:val="clear" w:color="auto" w:fill="FFFFFF"/>
        <w:spacing w:before="0" w:beforeAutospacing="0" w:after="0" w:afterAutospacing="0" w:line="336" w:lineRule="auto"/>
        <w:ind w:firstLine="420"/>
        <w:jc w:val="left"/>
        <w:rPr>
          <w:rFonts w:hint="eastAsia" w:ascii="仿宋_GB2312" w:hAnsi="仿宋_GB2312" w:eastAsia="仿宋_GB2312" w:cs="仿宋_GB2312"/>
          <w:color w:val="auto"/>
          <w:kern w:val="0"/>
          <w:sz w:val="32"/>
          <w:szCs w:val="32"/>
          <w:shd w:val="clear" w:color="auto" w:fill="FFFFFF"/>
          <w:lang w:val="en-US" w:eastAsia="zh-CN" w:bidi="ar-SA"/>
        </w:rPr>
      </w:pPr>
    </w:p>
    <w:p w14:paraId="0EE01263">
      <w:pPr>
        <w:widowControl/>
        <w:shd w:val="clear" w:color="auto" w:fill="FFFFFF"/>
        <w:spacing w:before="0" w:beforeAutospacing="0" w:after="0" w:afterAutospacing="0" w:line="336" w:lineRule="auto"/>
        <w:ind w:firstLine="420"/>
        <w:jc w:val="left"/>
        <w:rPr>
          <w:rFonts w:hint="eastAsia" w:ascii="仿宋_GB2312" w:hAnsi="仿宋_GB2312" w:eastAsia="仿宋_GB2312" w:cs="仿宋_GB2312"/>
          <w:color w:val="auto"/>
          <w:kern w:val="0"/>
          <w:sz w:val="32"/>
          <w:szCs w:val="32"/>
          <w:shd w:val="clear" w:color="auto" w:fill="FFFFFF"/>
          <w:lang w:val="en-US" w:eastAsia="zh-CN" w:bidi="ar-SA"/>
        </w:rPr>
      </w:pPr>
      <w:r>
        <w:rPr>
          <w:rFonts w:hint="eastAsia" w:ascii="仿宋_GB2312" w:hAnsi="仿宋_GB2312" w:eastAsia="仿宋_GB2312" w:cs="仿宋_GB2312"/>
          <w:color w:val="auto"/>
          <w:kern w:val="0"/>
          <w:sz w:val="32"/>
          <w:szCs w:val="32"/>
          <w:shd w:val="clear" w:color="auto" w:fill="FFFFFF"/>
          <w:lang w:val="en-US" w:eastAsia="zh-CN" w:bidi="ar-SA"/>
        </w:rPr>
        <w:t>标项四</w:t>
      </w:r>
    </w:p>
    <w:p w14:paraId="1872E3CB">
      <w:pPr>
        <w:widowControl/>
        <w:shd w:val="clear" w:color="auto" w:fill="FFFFFF"/>
        <w:spacing w:before="0" w:beforeAutospacing="0" w:after="0" w:afterAutospacing="0" w:line="336" w:lineRule="auto"/>
        <w:ind w:firstLine="420"/>
        <w:jc w:val="left"/>
        <w:rPr>
          <w:rFonts w:hint="eastAsia" w:ascii="仿宋_GB2312" w:hAnsi="仿宋_GB2312" w:eastAsia="仿宋_GB2312" w:cs="仿宋_GB2312"/>
          <w:color w:val="auto"/>
          <w:kern w:val="0"/>
          <w:sz w:val="32"/>
          <w:szCs w:val="32"/>
          <w:shd w:val="clear" w:color="auto" w:fill="FFFFFF"/>
          <w:lang w:val="en-US" w:eastAsia="zh-CN" w:bidi="ar-SA"/>
        </w:rPr>
      </w:pPr>
      <w:r>
        <w:rPr>
          <w:rFonts w:hint="eastAsia" w:ascii="仿宋_GB2312" w:hAnsi="仿宋_GB2312" w:eastAsia="仿宋_GB2312" w:cs="仿宋_GB2312"/>
          <w:color w:val="auto"/>
          <w:kern w:val="0"/>
          <w:sz w:val="32"/>
          <w:szCs w:val="32"/>
          <w:shd w:val="clear" w:color="auto" w:fill="FFFFFF"/>
          <w:lang w:val="en-US" w:eastAsia="zh-CN" w:bidi="ar-SA"/>
        </w:rPr>
        <w:t>标项名称：新疆维吾尔自治区伊宁某某</w:t>
      </w:r>
      <w:r>
        <w:rPr>
          <w:rFonts w:hint="eastAsia" w:ascii="仿宋_GB2312" w:hAnsi="仿宋_GB2312" w:eastAsia="仿宋_GB2312" w:cs="仿宋_GB2312"/>
          <w:color w:val="auto"/>
          <w:kern w:val="0"/>
          <w:sz w:val="32"/>
          <w:szCs w:val="32"/>
          <w:shd w:val="clear" w:color="auto" w:fill="FFFFFF"/>
          <w:lang w:val="en-US" w:eastAsia="zh-CN" w:bidi="ar-SA"/>
        </w:rPr>
        <w:t>某单位生活物资采购（四标段禽类、调料副食品、杂货类）</w:t>
      </w:r>
    </w:p>
    <w:p w14:paraId="36166E18">
      <w:pPr>
        <w:widowControl/>
        <w:shd w:val="clear" w:color="auto" w:fill="FFFFFF"/>
        <w:spacing w:before="0" w:beforeAutospacing="0" w:after="0" w:afterAutospacing="0" w:line="336" w:lineRule="auto"/>
        <w:ind w:firstLine="420"/>
        <w:jc w:val="left"/>
        <w:rPr>
          <w:rFonts w:hint="eastAsia" w:ascii="仿宋_GB2312" w:hAnsi="仿宋_GB2312" w:eastAsia="仿宋_GB2312" w:cs="仿宋_GB2312"/>
          <w:color w:val="auto"/>
          <w:kern w:val="0"/>
          <w:sz w:val="32"/>
          <w:szCs w:val="32"/>
          <w:shd w:val="clear" w:color="auto" w:fill="FFFFFF"/>
          <w:lang w:val="en-US" w:eastAsia="zh-CN" w:bidi="ar-SA"/>
        </w:rPr>
      </w:pPr>
      <w:r>
        <w:rPr>
          <w:rFonts w:hint="eastAsia" w:ascii="仿宋_GB2312" w:hAnsi="仿宋_GB2312" w:eastAsia="仿宋_GB2312" w:cs="仿宋_GB2312"/>
          <w:color w:val="auto"/>
          <w:kern w:val="0"/>
          <w:sz w:val="32"/>
          <w:szCs w:val="32"/>
          <w:shd w:val="clear" w:color="auto" w:fill="FFFFFF"/>
          <w:lang w:val="en-US" w:eastAsia="zh-CN" w:bidi="ar-SA"/>
        </w:rPr>
        <w:t>数量：1</w:t>
      </w:r>
    </w:p>
    <w:p w14:paraId="60FBABFB">
      <w:pPr>
        <w:widowControl/>
        <w:shd w:val="clear" w:color="auto" w:fill="FFFFFF"/>
        <w:spacing w:before="0" w:beforeAutospacing="0" w:after="0" w:afterAutospacing="0" w:line="336" w:lineRule="auto"/>
        <w:ind w:firstLine="420"/>
        <w:jc w:val="left"/>
        <w:rPr>
          <w:rFonts w:hint="default" w:ascii="仿宋_GB2312" w:hAnsi="仿宋_GB2312" w:eastAsia="仿宋_GB2312" w:cs="仿宋_GB2312"/>
          <w:color w:val="auto"/>
          <w:kern w:val="0"/>
          <w:sz w:val="32"/>
          <w:szCs w:val="32"/>
          <w:shd w:val="clear" w:color="auto" w:fill="FFFFFF"/>
          <w:lang w:val="en-US" w:eastAsia="zh-CN" w:bidi="ar-SA"/>
        </w:rPr>
      </w:pPr>
      <w:r>
        <w:rPr>
          <w:rFonts w:hint="eastAsia" w:ascii="仿宋_GB2312" w:hAnsi="仿宋_GB2312" w:eastAsia="仿宋_GB2312" w:cs="仿宋_GB2312"/>
          <w:color w:val="auto"/>
          <w:kern w:val="0"/>
          <w:sz w:val="32"/>
          <w:szCs w:val="32"/>
          <w:shd w:val="clear" w:color="auto" w:fill="FFFFFF"/>
          <w:lang w:val="en-US" w:eastAsia="zh-CN" w:bidi="ar-SA"/>
        </w:rPr>
        <w:t>预算金额（元）：1500000</w:t>
      </w:r>
    </w:p>
    <w:p w14:paraId="6CF58C28">
      <w:pPr>
        <w:widowControl/>
        <w:shd w:val="clear" w:color="auto" w:fill="FFFFFF"/>
        <w:spacing w:before="0" w:beforeAutospacing="0" w:after="0" w:afterAutospacing="0" w:line="336" w:lineRule="auto"/>
        <w:ind w:firstLine="420"/>
        <w:jc w:val="left"/>
        <w:rPr>
          <w:rFonts w:hint="eastAsia" w:ascii="仿宋_GB2312" w:hAnsi="仿宋_GB2312" w:eastAsia="仿宋_GB2312" w:cs="仿宋_GB2312"/>
          <w:color w:val="auto"/>
          <w:kern w:val="0"/>
          <w:sz w:val="32"/>
          <w:szCs w:val="32"/>
          <w:shd w:val="clear" w:color="auto" w:fill="FFFFFF"/>
          <w:lang w:val="en-US" w:eastAsia="zh-CN" w:bidi="ar-SA"/>
        </w:rPr>
      </w:pPr>
      <w:r>
        <w:rPr>
          <w:rFonts w:hint="eastAsia" w:ascii="仿宋_GB2312" w:hAnsi="仿宋_GB2312" w:eastAsia="仿宋_GB2312" w:cs="仿宋_GB2312"/>
          <w:color w:val="auto"/>
          <w:kern w:val="0"/>
          <w:sz w:val="32"/>
          <w:szCs w:val="32"/>
          <w:shd w:val="clear" w:color="auto" w:fill="FFFFFF"/>
          <w:lang w:val="en-US" w:eastAsia="zh-CN" w:bidi="ar-SA"/>
        </w:rPr>
        <w:t>单位：批</w:t>
      </w:r>
    </w:p>
    <w:p w14:paraId="7A29080B">
      <w:pPr>
        <w:widowControl/>
        <w:shd w:val="clear" w:color="auto" w:fill="FFFFFF"/>
        <w:spacing w:before="0" w:beforeAutospacing="0" w:after="0" w:afterAutospacing="0" w:line="336" w:lineRule="auto"/>
        <w:ind w:firstLine="420"/>
        <w:jc w:val="left"/>
        <w:rPr>
          <w:rFonts w:hint="eastAsia" w:ascii="仿宋_GB2312" w:hAnsi="仿宋_GB2312" w:eastAsia="仿宋_GB2312" w:cs="仿宋_GB2312"/>
          <w:color w:val="auto"/>
          <w:kern w:val="0"/>
          <w:sz w:val="32"/>
          <w:szCs w:val="32"/>
          <w:shd w:val="clear" w:color="auto" w:fill="FFFFFF"/>
          <w:lang w:val="en-US" w:eastAsia="zh-CN" w:bidi="ar-SA"/>
        </w:rPr>
      </w:pPr>
      <w:r>
        <w:rPr>
          <w:rFonts w:hint="eastAsia" w:ascii="仿宋_GB2312" w:hAnsi="仿宋_GB2312" w:eastAsia="仿宋_GB2312" w:cs="仿宋_GB2312"/>
          <w:color w:val="auto"/>
          <w:kern w:val="0"/>
          <w:sz w:val="32"/>
          <w:szCs w:val="32"/>
          <w:shd w:val="clear" w:color="auto" w:fill="FFFFFF"/>
          <w:lang w:val="en-US" w:eastAsia="zh-CN" w:bidi="ar-SA"/>
        </w:rPr>
        <w:t>简要规格描述：采购禽类、调料副食品、杂货一批。</w:t>
      </w:r>
    </w:p>
    <w:p w14:paraId="1879EF64">
      <w:pPr>
        <w:widowControl/>
        <w:shd w:val="clear" w:color="auto" w:fill="FFFFFF"/>
        <w:spacing w:before="0" w:beforeAutospacing="0" w:after="0" w:afterAutospacing="0" w:line="336" w:lineRule="auto"/>
        <w:ind w:firstLine="420"/>
        <w:jc w:val="left"/>
        <w:rPr>
          <w:rFonts w:hint="eastAsia" w:ascii="仿宋_GB2312" w:hAnsi="仿宋_GB2312" w:eastAsia="仿宋_GB2312" w:cs="仿宋_GB2312"/>
          <w:color w:val="auto"/>
          <w:kern w:val="0"/>
          <w:sz w:val="32"/>
          <w:szCs w:val="32"/>
          <w:shd w:val="clear" w:color="auto" w:fill="FFFFFF"/>
          <w:lang w:val="en-US" w:eastAsia="zh-CN" w:bidi="ar-SA"/>
        </w:rPr>
      </w:pPr>
      <w:r>
        <w:rPr>
          <w:rFonts w:hint="eastAsia" w:ascii="仿宋_GB2312" w:hAnsi="仿宋_GB2312" w:eastAsia="仿宋_GB2312" w:cs="仿宋_GB2312"/>
          <w:color w:val="auto"/>
          <w:kern w:val="0"/>
          <w:sz w:val="32"/>
          <w:szCs w:val="32"/>
          <w:shd w:val="clear" w:color="auto" w:fill="FFFFFF"/>
          <w:lang w:val="en-US" w:eastAsia="zh-CN" w:bidi="ar-SA"/>
        </w:rPr>
        <w:t>备注：</w:t>
      </w:r>
    </w:p>
    <w:p w14:paraId="4F86B420">
      <w:pPr>
        <w:widowControl/>
        <w:shd w:val="clear" w:color="auto" w:fill="FFFFFF"/>
        <w:spacing w:before="0" w:beforeAutospacing="0" w:after="0" w:afterAutospacing="0" w:line="336" w:lineRule="auto"/>
        <w:ind w:firstLine="420"/>
        <w:jc w:val="left"/>
        <w:rPr>
          <w:rFonts w:hint="eastAsia" w:ascii="仿宋_GB2312" w:hAnsi="仿宋_GB2312" w:eastAsia="仿宋_GB2312" w:cs="仿宋_GB2312"/>
          <w:color w:val="auto"/>
          <w:kern w:val="0"/>
          <w:sz w:val="32"/>
          <w:szCs w:val="32"/>
          <w:shd w:val="clear" w:color="auto" w:fill="FFFFFF"/>
          <w:lang w:val="en-US" w:eastAsia="zh-CN" w:bidi="ar-SA"/>
        </w:rPr>
      </w:pPr>
    </w:p>
    <w:p w14:paraId="2508B64C">
      <w:pPr>
        <w:widowControl/>
        <w:shd w:val="clear" w:color="auto" w:fill="FFFFFF"/>
        <w:spacing w:before="0" w:beforeAutospacing="0" w:after="0" w:afterAutospacing="0" w:line="336" w:lineRule="auto"/>
        <w:ind w:firstLine="420"/>
        <w:jc w:val="left"/>
        <w:rPr>
          <w:rFonts w:hint="eastAsia" w:ascii="仿宋_GB2312" w:hAnsi="仿宋_GB2312" w:eastAsia="仿宋_GB2312" w:cs="仿宋_GB2312"/>
          <w:color w:val="auto"/>
          <w:kern w:val="0"/>
          <w:sz w:val="32"/>
          <w:szCs w:val="32"/>
          <w:shd w:val="clear" w:color="auto" w:fill="FFFFFF"/>
          <w:lang w:val="en-US" w:eastAsia="zh-CN" w:bidi="ar-SA"/>
        </w:rPr>
      </w:pPr>
      <w:r>
        <w:rPr>
          <w:rFonts w:hint="eastAsia" w:ascii="仿宋_GB2312" w:hAnsi="仿宋_GB2312" w:eastAsia="仿宋_GB2312" w:cs="仿宋_GB2312"/>
          <w:color w:val="auto"/>
          <w:kern w:val="0"/>
          <w:sz w:val="32"/>
          <w:szCs w:val="32"/>
          <w:shd w:val="clear" w:color="auto" w:fill="FFFFFF"/>
          <w:lang w:val="en-US" w:eastAsia="zh-CN" w:bidi="ar-SA"/>
        </w:rPr>
        <w:t>标项五</w:t>
      </w:r>
    </w:p>
    <w:p w14:paraId="0BBC2D65">
      <w:pPr>
        <w:widowControl/>
        <w:shd w:val="clear" w:color="auto" w:fill="FFFFFF"/>
        <w:spacing w:before="0" w:beforeAutospacing="0" w:after="0" w:afterAutospacing="0" w:line="336" w:lineRule="auto"/>
        <w:ind w:firstLine="420"/>
        <w:jc w:val="left"/>
        <w:rPr>
          <w:rFonts w:hint="eastAsia" w:ascii="仿宋_GB2312" w:hAnsi="仿宋_GB2312" w:eastAsia="仿宋_GB2312" w:cs="仿宋_GB2312"/>
          <w:color w:val="auto"/>
          <w:kern w:val="0"/>
          <w:sz w:val="32"/>
          <w:szCs w:val="32"/>
          <w:shd w:val="clear" w:color="auto" w:fill="FFFFFF"/>
          <w:lang w:val="en-US" w:eastAsia="zh-CN" w:bidi="ar-SA"/>
        </w:rPr>
      </w:pPr>
      <w:r>
        <w:rPr>
          <w:rFonts w:hint="eastAsia" w:ascii="仿宋_GB2312" w:hAnsi="仿宋_GB2312" w:eastAsia="仿宋_GB2312" w:cs="仿宋_GB2312"/>
          <w:color w:val="auto"/>
          <w:kern w:val="0"/>
          <w:sz w:val="32"/>
          <w:szCs w:val="32"/>
          <w:shd w:val="clear" w:color="auto" w:fill="FFFFFF"/>
          <w:lang w:val="en-US" w:eastAsia="zh-CN" w:bidi="ar-SA"/>
        </w:rPr>
        <w:t>标项名称：新疆维吾尔自治区伊宁某某</w:t>
      </w:r>
      <w:r>
        <w:rPr>
          <w:rFonts w:hint="eastAsia" w:ascii="仿宋_GB2312" w:hAnsi="仿宋_GB2312" w:eastAsia="仿宋_GB2312" w:cs="仿宋_GB2312"/>
          <w:color w:val="auto"/>
          <w:kern w:val="0"/>
          <w:sz w:val="32"/>
          <w:szCs w:val="32"/>
          <w:shd w:val="clear" w:color="auto" w:fill="FFFFFF"/>
          <w:lang w:val="en-US" w:eastAsia="zh-CN" w:bidi="ar-SA"/>
        </w:rPr>
        <w:t>某单位生活物资采购（五标段蛋、奶类）</w:t>
      </w:r>
    </w:p>
    <w:p w14:paraId="41AB9147">
      <w:pPr>
        <w:widowControl/>
        <w:shd w:val="clear" w:color="auto" w:fill="FFFFFF"/>
        <w:spacing w:before="0" w:beforeAutospacing="0" w:after="0" w:afterAutospacing="0" w:line="336" w:lineRule="auto"/>
        <w:ind w:firstLine="420"/>
        <w:jc w:val="left"/>
        <w:rPr>
          <w:rFonts w:hint="eastAsia" w:ascii="仿宋_GB2312" w:hAnsi="仿宋_GB2312" w:eastAsia="仿宋_GB2312" w:cs="仿宋_GB2312"/>
          <w:color w:val="auto"/>
          <w:kern w:val="0"/>
          <w:sz w:val="32"/>
          <w:szCs w:val="32"/>
          <w:shd w:val="clear" w:color="auto" w:fill="FFFFFF"/>
          <w:lang w:val="en-US" w:eastAsia="zh-CN" w:bidi="ar-SA"/>
        </w:rPr>
      </w:pPr>
      <w:r>
        <w:rPr>
          <w:rFonts w:hint="eastAsia" w:ascii="仿宋_GB2312" w:hAnsi="仿宋_GB2312" w:eastAsia="仿宋_GB2312" w:cs="仿宋_GB2312"/>
          <w:color w:val="auto"/>
          <w:kern w:val="0"/>
          <w:sz w:val="32"/>
          <w:szCs w:val="32"/>
          <w:shd w:val="clear" w:color="auto" w:fill="FFFFFF"/>
          <w:lang w:val="en-US" w:eastAsia="zh-CN" w:bidi="ar-SA"/>
        </w:rPr>
        <w:t>数量：1</w:t>
      </w:r>
    </w:p>
    <w:p w14:paraId="0F593E99">
      <w:pPr>
        <w:widowControl/>
        <w:shd w:val="clear" w:color="auto" w:fill="FFFFFF"/>
        <w:spacing w:before="0" w:beforeAutospacing="0" w:after="0" w:afterAutospacing="0" w:line="336" w:lineRule="auto"/>
        <w:ind w:firstLine="420"/>
        <w:jc w:val="left"/>
        <w:rPr>
          <w:rFonts w:hint="default" w:ascii="仿宋_GB2312" w:hAnsi="仿宋_GB2312" w:eastAsia="仿宋_GB2312" w:cs="仿宋_GB2312"/>
          <w:color w:val="auto"/>
          <w:kern w:val="0"/>
          <w:sz w:val="32"/>
          <w:szCs w:val="32"/>
          <w:shd w:val="clear" w:color="auto" w:fill="FFFFFF"/>
          <w:lang w:val="en-US" w:eastAsia="zh-CN" w:bidi="ar-SA"/>
        </w:rPr>
      </w:pPr>
      <w:r>
        <w:rPr>
          <w:rFonts w:hint="eastAsia" w:ascii="仿宋_GB2312" w:hAnsi="仿宋_GB2312" w:eastAsia="仿宋_GB2312" w:cs="仿宋_GB2312"/>
          <w:color w:val="auto"/>
          <w:kern w:val="0"/>
          <w:sz w:val="32"/>
          <w:szCs w:val="32"/>
          <w:shd w:val="clear" w:color="auto" w:fill="FFFFFF"/>
          <w:lang w:val="en-US" w:eastAsia="zh-CN" w:bidi="ar-SA"/>
        </w:rPr>
        <w:t>预算金额（元）：1500000</w:t>
      </w:r>
    </w:p>
    <w:p w14:paraId="58BD3E51">
      <w:pPr>
        <w:widowControl/>
        <w:shd w:val="clear" w:color="auto" w:fill="FFFFFF"/>
        <w:spacing w:before="0" w:beforeAutospacing="0" w:after="0" w:afterAutospacing="0" w:line="336" w:lineRule="auto"/>
        <w:ind w:firstLine="420"/>
        <w:jc w:val="left"/>
        <w:rPr>
          <w:rFonts w:ascii="仿宋_GB2312" w:hAnsi="仿宋_GB2312" w:eastAsia="仿宋_GB2312" w:cs="仿宋_GB2312"/>
          <w:color w:val="auto"/>
          <w:kern w:val="0"/>
          <w:sz w:val="32"/>
          <w:szCs w:val="32"/>
          <w:shd w:val="clear" w:color="auto" w:fill="FFFFFF"/>
          <w:lang w:val="en-US" w:eastAsia="zh-CN" w:bidi="ar-SA"/>
        </w:rPr>
      </w:pPr>
      <w:r>
        <w:rPr>
          <w:rFonts w:hint="eastAsia" w:ascii="仿宋_GB2312" w:hAnsi="仿宋_GB2312" w:eastAsia="仿宋_GB2312" w:cs="仿宋_GB2312"/>
          <w:color w:val="auto"/>
          <w:kern w:val="0"/>
          <w:sz w:val="32"/>
          <w:szCs w:val="32"/>
          <w:shd w:val="clear" w:color="auto" w:fill="FFFFFF"/>
          <w:lang w:val="en-US" w:eastAsia="zh-CN" w:bidi="ar-SA"/>
        </w:rPr>
        <w:t>单位：批</w:t>
      </w:r>
    </w:p>
    <w:p w14:paraId="042B02CD">
      <w:pPr>
        <w:widowControl/>
        <w:shd w:val="clear" w:color="auto" w:fill="FFFFFF"/>
        <w:spacing w:before="0" w:beforeAutospacing="0" w:after="0" w:afterAutospacing="0" w:line="336" w:lineRule="auto"/>
        <w:ind w:firstLine="420"/>
        <w:jc w:val="left"/>
        <w:rPr>
          <w:rFonts w:hint="eastAsia" w:ascii="仿宋_GB2312" w:hAnsi="仿宋_GB2312" w:eastAsia="仿宋_GB2312" w:cs="仿宋_GB2312"/>
          <w:color w:val="auto"/>
          <w:kern w:val="0"/>
          <w:sz w:val="32"/>
          <w:szCs w:val="32"/>
          <w:shd w:val="clear" w:color="auto" w:fill="FFFFFF"/>
          <w:lang w:val="en-US" w:eastAsia="zh-CN" w:bidi="ar-SA"/>
        </w:rPr>
      </w:pPr>
      <w:r>
        <w:rPr>
          <w:rFonts w:hint="eastAsia" w:ascii="仿宋_GB2312" w:hAnsi="仿宋_GB2312" w:eastAsia="仿宋_GB2312" w:cs="仿宋_GB2312"/>
          <w:color w:val="auto"/>
          <w:kern w:val="0"/>
          <w:sz w:val="32"/>
          <w:szCs w:val="32"/>
          <w:shd w:val="clear" w:color="auto" w:fill="FFFFFF"/>
          <w:lang w:val="en-US" w:eastAsia="zh-CN" w:bidi="ar-SA"/>
        </w:rPr>
        <w:t>简要规格描述：采购蛋、奶一批。</w:t>
      </w:r>
    </w:p>
    <w:p w14:paraId="4FDC3132">
      <w:pPr>
        <w:widowControl/>
        <w:shd w:val="clear" w:color="auto" w:fill="FFFFFF"/>
        <w:spacing w:before="0" w:beforeAutospacing="0" w:after="0" w:afterAutospacing="0" w:line="336" w:lineRule="auto"/>
        <w:ind w:firstLine="420"/>
        <w:jc w:val="left"/>
        <w:rPr>
          <w:rFonts w:hint="eastAsia" w:ascii="仿宋_GB2312" w:hAnsi="仿宋_GB2312" w:eastAsia="仿宋_GB2312" w:cs="仿宋_GB2312"/>
          <w:color w:val="auto"/>
          <w:kern w:val="0"/>
          <w:sz w:val="32"/>
          <w:szCs w:val="32"/>
          <w:shd w:val="clear" w:color="auto" w:fill="FFFFFF"/>
          <w:lang w:val="en-US" w:eastAsia="zh-CN" w:bidi="ar-SA"/>
        </w:rPr>
      </w:pPr>
      <w:r>
        <w:rPr>
          <w:rFonts w:hint="eastAsia" w:ascii="仿宋_GB2312" w:hAnsi="仿宋_GB2312" w:eastAsia="仿宋_GB2312" w:cs="仿宋_GB2312"/>
          <w:color w:val="auto"/>
          <w:kern w:val="0"/>
          <w:sz w:val="32"/>
          <w:szCs w:val="32"/>
          <w:shd w:val="clear" w:color="auto" w:fill="FFFFFF"/>
          <w:lang w:val="en-US" w:eastAsia="zh-CN" w:bidi="ar-SA"/>
        </w:rPr>
        <w:t>备注：</w:t>
      </w:r>
    </w:p>
    <w:p w14:paraId="04119921">
      <w:pPr>
        <w:widowControl/>
        <w:shd w:val="clear" w:color="auto" w:fill="FFFFFF"/>
        <w:spacing w:before="0" w:beforeAutospacing="0" w:after="0" w:afterAutospacing="0" w:line="336" w:lineRule="auto"/>
        <w:ind w:firstLine="420"/>
        <w:jc w:val="left"/>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合同履约期限：标项1、2、3、4</w:t>
      </w: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lang w:val="en-US" w:eastAsia="zh-CN"/>
        </w:rPr>
        <w:t>5</w:t>
      </w:r>
      <w:r>
        <w:rPr>
          <w:rFonts w:hint="eastAsia" w:ascii="仿宋_GB2312" w:hAnsi="仿宋_GB2312" w:eastAsia="仿宋_GB2312" w:cs="仿宋_GB2312"/>
          <w:color w:val="auto"/>
          <w:sz w:val="32"/>
          <w:szCs w:val="32"/>
          <w:shd w:val="clear" w:color="auto" w:fill="FFFFFF"/>
        </w:rPr>
        <w:t>：</w:t>
      </w:r>
      <w:r>
        <w:rPr>
          <w:rFonts w:hint="eastAsia" w:ascii="仿宋_GB2312" w:hAnsi="仿宋_GB2312" w:eastAsia="仿宋_GB2312" w:cs="仿宋_GB2312"/>
          <w:color w:val="auto"/>
          <w:sz w:val="32"/>
          <w:szCs w:val="32"/>
          <w:shd w:val="clear" w:color="auto" w:fill="FFFFFF"/>
          <w:lang w:eastAsia="zh-CN"/>
        </w:rPr>
        <w:t>供货服务期</w:t>
      </w:r>
      <w:r>
        <w:rPr>
          <w:rFonts w:hint="eastAsia" w:ascii="仿宋_GB2312" w:hAnsi="仿宋_GB2312" w:eastAsia="仿宋_GB2312" w:cs="仿宋_GB2312"/>
          <w:color w:val="auto"/>
          <w:sz w:val="32"/>
          <w:szCs w:val="32"/>
          <w:shd w:val="clear" w:color="auto" w:fill="FFFFFF"/>
          <w:lang w:val="en-US" w:eastAsia="zh-CN"/>
        </w:rPr>
        <w:t>1</w:t>
      </w:r>
      <w:r>
        <w:rPr>
          <w:rFonts w:hint="eastAsia" w:ascii="仿宋_GB2312" w:hAnsi="仿宋_GB2312" w:eastAsia="仿宋_GB2312" w:cs="仿宋_GB2312"/>
          <w:color w:val="auto"/>
          <w:sz w:val="32"/>
          <w:szCs w:val="32"/>
          <w:shd w:val="clear" w:color="auto" w:fill="FFFFFF"/>
          <w:lang w:eastAsia="zh-CN"/>
        </w:rPr>
        <w:t>年</w:t>
      </w:r>
      <w:r>
        <w:rPr>
          <w:rFonts w:hint="eastAsia" w:ascii="仿宋_GB2312" w:hAnsi="仿宋_GB2312" w:eastAsia="仿宋_GB2312" w:cs="仿宋_GB2312"/>
          <w:color w:val="auto"/>
          <w:sz w:val="32"/>
          <w:szCs w:val="32"/>
          <w:shd w:val="clear" w:color="auto" w:fill="FFFFFF"/>
        </w:rPr>
        <w:t>。</w:t>
      </w:r>
    </w:p>
    <w:p w14:paraId="455CBD11">
      <w:pPr>
        <w:widowControl/>
        <w:shd w:val="clear" w:color="auto" w:fill="FFFFFF"/>
        <w:spacing w:before="0" w:beforeAutospacing="0" w:after="0" w:afterAutospacing="0" w:line="336" w:lineRule="auto"/>
        <w:ind w:firstLine="420"/>
        <w:jc w:val="left"/>
        <w:rPr>
          <w:rFonts w:hint="eastAsia" w:ascii="仿宋_GB2312" w:hAnsi="仿宋_GB2312" w:eastAsia="仿宋_GB2312" w:cs="仿宋_GB2312"/>
          <w:color w:val="auto"/>
          <w:kern w:val="0"/>
          <w:sz w:val="32"/>
          <w:szCs w:val="32"/>
          <w:highlight w:val="none"/>
          <w:shd w:val="clear" w:color="auto" w:fill="FFFFFF"/>
          <w:lang w:val="en-US" w:eastAsia="zh-CN" w:bidi="ar-SA"/>
        </w:rPr>
      </w:pPr>
      <w:r>
        <w:rPr>
          <w:rFonts w:hint="eastAsia" w:ascii="仿宋_GB2312" w:hAnsi="仿宋_GB2312" w:eastAsia="仿宋_GB2312" w:cs="仿宋_GB2312"/>
          <w:color w:val="auto"/>
          <w:kern w:val="0"/>
          <w:sz w:val="32"/>
          <w:szCs w:val="32"/>
          <w:highlight w:val="none"/>
          <w:shd w:val="clear" w:color="auto" w:fill="FFFFFF"/>
          <w:lang w:val="en-US" w:eastAsia="zh-CN" w:bidi="ar-SA"/>
        </w:rPr>
        <w:t>本项目（否）接受联合体投标。  </w:t>
      </w:r>
    </w:p>
    <w:p w14:paraId="16AB4E2B">
      <w:pPr>
        <w:widowControl/>
        <w:shd w:val="clear" w:color="auto" w:fill="FFFFFF"/>
        <w:spacing w:before="0" w:beforeAutospacing="0" w:after="0" w:afterAutospacing="0" w:line="336" w:lineRule="auto"/>
        <w:jc w:val="both"/>
        <w:rPr>
          <w:rFonts w:hint="eastAsia" w:ascii="仿宋_GB2312" w:hAnsi="仿宋_GB2312" w:eastAsia="仿宋_GB2312" w:cs="仿宋_GB2312"/>
          <w:color w:val="auto"/>
          <w:kern w:val="0"/>
          <w:sz w:val="32"/>
          <w:szCs w:val="32"/>
          <w:shd w:val="clear" w:color="auto" w:fill="FFFFFF"/>
          <w:lang w:val="en-US" w:eastAsia="zh-CN" w:bidi="ar-SA"/>
        </w:rPr>
      </w:pPr>
      <w:r>
        <w:rPr>
          <w:rFonts w:hint="eastAsia" w:ascii="仿宋_GB2312" w:hAnsi="仿宋_GB2312" w:eastAsia="仿宋_GB2312" w:cs="仿宋_GB2312"/>
          <w:b/>
          <w:bCs/>
          <w:color w:val="auto"/>
          <w:kern w:val="2"/>
          <w:sz w:val="32"/>
          <w:szCs w:val="32"/>
          <w:shd w:val="clear" w:color="auto" w:fill="FFFFFF"/>
          <w:lang w:val="en-US" w:eastAsia="zh-CN" w:bidi="ar-SA"/>
        </w:rPr>
        <w:t>二、申请人的资格要求：</w:t>
      </w:r>
    </w:p>
    <w:p w14:paraId="0AAA3CE3">
      <w:pPr>
        <w:widowControl/>
        <w:shd w:val="clear" w:color="auto" w:fill="FFFFFF"/>
        <w:spacing w:before="0" w:beforeAutospacing="0" w:after="0" w:afterAutospacing="0" w:line="336" w:lineRule="auto"/>
        <w:ind w:firstLine="420"/>
        <w:jc w:val="left"/>
        <w:rPr>
          <w:rFonts w:hint="eastAsia" w:ascii="仿宋_GB2312" w:hAnsi="仿宋_GB2312" w:eastAsia="仿宋_GB2312" w:cs="仿宋_GB2312"/>
          <w:color w:val="auto"/>
          <w:kern w:val="0"/>
          <w:sz w:val="32"/>
          <w:szCs w:val="32"/>
          <w:highlight w:val="none"/>
          <w:shd w:val="clear" w:color="auto" w:fill="FFFFFF"/>
          <w:lang w:val="en-US" w:eastAsia="zh-CN" w:bidi="ar-SA"/>
        </w:rPr>
      </w:pPr>
      <w:r>
        <w:rPr>
          <w:rFonts w:hint="eastAsia" w:ascii="仿宋_GB2312" w:hAnsi="仿宋_GB2312" w:eastAsia="仿宋_GB2312" w:cs="仿宋_GB2312"/>
          <w:color w:val="auto"/>
          <w:kern w:val="0"/>
          <w:sz w:val="32"/>
          <w:szCs w:val="32"/>
          <w:highlight w:val="none"/>
          <w:shd w:val="clear" w:color="auto" w:fill="FFFFFF"/>
          <w:lang w:val="en-US" w:eastAsia="zh-CN" w:bidi="ar-SA"/>
        </w:rPr>
        <w:t>1.满足《中华人民共和国政府采购法》第二十二条规定；</w:t>
      </w:r>
    </w:p>
    <w:p w14:paraId="4C5912B0">
      <w:pPr>
        <w:widowControl/>
        <w:shd w:val="clear" w:color="auto" w:fill="FFFFFF"/>
        <w:spacing w:before="0" w:beforeAutospacing="0" w:after="0" w:afterAutospacing="0" w:line="336" w:lineRule="auto"/>
        <w:ind w:firstLine="420"/>
        <w:jc w:val="left"/>
        <w:rPr>
          <w:rFonts w:hint="eastAsia" w:ascii="仿宋_GB2312" w:hAnsi="仿宋_GB2312" w:eastAsia="仿宋_GB2312" w:cs="仿宋_GB2312"/>
          <w:color w:val="auto"/>
          <w:kern w:val="0"/>
          <w:sz w:val="32"/>
          <w:szCs w:val="32"/>
          <w:shd w:val="clear" w:color="auto" w:fill="FFFFFF"/>
          <w:lang w:val="en-US" w:eastAsia="zh-CN" w:bidi="ar-SA"/>
        </w:rPr>
      </w:pPr>
      <w:r>
        <w:rPr>
          <w:rFonts w:hint="eastAsia" w:ascii="仿宋_GB2312" w:hAnsi="仿宋_GB2312" w:eastAsia="仿宋_GB2312" w:cs="仿宋_GB2312"/>
          <w:color w:val="auto"/>
          <w:kern w:val="0"/>
          <w:sz w:val="32"/>
          <w:szCs w:val="32"/>
          <w:highlight w:val="none"/>
          <w:shd w:val="clear" w:color="auto" w:fill="FFFFFF"/>
          <w:lang w:val="en-US" w:eastAsia="zh-CN" w:bidi="ar-SA"/>
        </w:rPr>
        <w:t>2.需落实政府采购政策：标项1、4：非专门面向中小微企业；2、3、5：专门面向中小微企业。</w:t>
      </w:r>
    </w:p>
    <w:p w14:paraId="1624B109">
      <w:pPr>
        <w:widowControl/>
        <w:shd w:val="clear" w:color="auto" w:fill="FFFFFF"/>
        <w:spacing w:before="0" w:beforeAutospacing="0" w:after="0" w:afterAutospacing="0" w:line="336" w:lineRule="auto"/>
        <w:ind w:firstLine="320" w:firstLineChars="100"/>
        <w:jc w:val="left"/>
        <w:rPr>
          <w:rFonts w:hint="eastAsia" w:ascii="仿宋_GB2312" w:hAnsi="仿宋_GB2312" w:eastAsia="仿宋_GB2312" w:cs="仿宋_GB2312"/>
          <w:color w:val="auto"/>
          <w:kern w:val="0"/>
          <w:sz w:val="32"/>
          <w:szCs w:val="32"/>
          <w:shd w:val="clear" w:color="auto" w:fill="FFFFFF"/>
          <w:lang w:val="en-US" w:eastAsia="zh-CN" w:bidi="ar-SA"/>
        </w:rPr>
      </w:pPr>
      <w:r>
        <w:rPr>
          <w:rFonts w:hint="eastAsia" w:ascii="仿宋_GB2312" w:hAnsi="仿宋_GB2312" w:eastAsia="仿宋_GB2312" w:cs="仿宋_GB2312"/>
          <w:color w:val="auto"/>
          <w:kern w:val="0"/>
          <w:sz w:val="32"/>
          <w:szCs w:val="32"/>
          <w:shd w:val="clear" w:color="auto" w:fill="FFFFFF"/>
          <w:lang w:val="en-US" w:eastAsia="zh-CN" w:bidi="ar-SA"/>
        </w:rPr>
        <w:t>3.本项目的特定资格要求：【标项1、2、3、4、5】：</w:t>
      </w:r>
      <w:r>
        <w:rPr>
          <w:rFonts w:hint="eastAsia" w:ascii="仿宋_GB2312" w:hAnsi="仿宋_GB2312" w:eastAsia="仿宋_GB2312" w:cs="仿宋_GB2312"/>
          <w:color w:val="auto"/>
          <w:kern w:val="0"/>
          <w:sz w:val="32"/>
          <w:szCs w:val="32"/>
          <w:shd w:val="clear" w:color="auto" w:fill="FFFFFF"/>
          <w:lang w:val="en-US" w:eastAsia="zh-CN" w:bidi="ar-SA"/>
        </w:rPr>
        <w:tab/>
      </w:r>
      <w:r>
        <w:rPr>
          <w:rFonts w:hint="eastAsia" w:ascii="仿宋_GB2312" w:hAnsi="仿宋_GB2312" w:eastAsia="仿宋_GB2312" w:cs="仿宋_GB2312"/>
          <w:color w:val="auto"/>
          <w:kern w:val="0"/>
          <w:sz w:val="32"/>
          <w:szCs w:val="32"/>
          <w:shd w:val="clear" w:color="auto" w:fill="FFFFFF"/>
          <w:lang w:val="en-US" w:eastAsia="zh-CN" w:bidi="ar-SA"/>
        </w:rPr>
        <w:t xml:space="preserve"> </w:t>
      </w:r>
    </w:p>
    <w:p w14:paraId="6DA1735C">
      <w:pPr>
        <w:widowControl/>
        <w:shd w:val="clear" w:color="auto" w:fill="FFFFFF"/>
        <w:spacing w:before="0" w:beforeAutospacing="0" w:after="0" w:afterAutospacing="0" w:line="336" w:lineRule="auto"/>
        <w:ind w:firstLine="320" w:firstLineChars="100"/>
        <w:jc w:val="left"/>
        <w:rPr>
          <w:rFonts w:hint="eastAsia" w:ascii="仿宋_GB2312" w:hAnsi="仿宋_GB2312" w:eastAsia="仿宋_GB2312" w:cs="仿宋_GB2312"/>
          <w:color w:val="auto"/>
          <w:kern w:val="0"/>
          <w:sz w:val="32"/>
          <w:szCs w:val="32"/>
          <w:shd w:val="clear" w:color="auto" w:fill="FFFFFF"/>
          <w:lang w:val="en-US" w:eastAsia="zh-CN" w:bidi="ar-SA"/>
        </w:rPr>
      </w:pPr>
      <w:r>
        <w:rPr>
          <w:rFonts w:hint="eastAsia" w:ascii="仿宋_GB2312" w:hAnsi="仿宋_GB2312" w:eastAsia="仿宋_GB2312" w:cs="仿宋_GB2312"/>
          <w:color w:val="auto"/>
          <w:kern w:val="0"/>
          <w:sz w:val="32"/>
          <w:szCs w:val="32"/>
          <w:shd w:val="clear" w:color="auto" w:fill="FFFFFF"/>
          <w:lang w:val="en-US" w:eastAsia="zh-CN" w:bidi="ar-SA"/>
        </w:rPr>
        <w:t>（1）法定代表人身份证或法定代表人授权委托书和委托代理人的身份证，法定代表人授权委托书应当与响应文件中所提供的相一致；</w:t>
      </w:r>
    </w:p>
    <w:p w14:paraId="452BC4F2">
      <w:pPr>
        <w:widowControl/>
        <w:shd w:val="clear" w:color="auto" w:fill="FFFFFF"/>
        <w:spacing w:before="0" w:beforeAutospacing="0" w:after="0" w:afterAutospacing="0" w:line="336" w:lineRule="auto"/>
        <w:ind w:firstLine="320" w:firstLineChars="100"/>
        <w:jc w:val="left"/>
        <w:rPr>
          <w:rFonts w:hint="eastAsia" w:ascii="仿宋_GB2312" w:hAnsi="仿宋_GB2312" w:eastAsia="宋体" w:cs="仿宋_GB2312"/>
          <w:color w:val="auto"/>
          <w:kern w:val="0"/>
          <w:sz w:val="32"/>
          <w:szCs w:val="32"/>
          <w:shd w:val="clear" w:color="auto" w:fill="FFFFFF"/>
          <w:lang w:val="en-US" w:eastAsia="zh-CN" w:bidi="ar-SA"/>
        </w:rPr>
      </w:pPr>
      <w:r>
        <w:rPr>
          <w:rFonts w:hint="eastAsia" w:ascii="仿宋_GB2312" w:hAnsi="仿宋_GB2312" w:eastAsia="仿宋_GB2312" w:cs="仿宋_GB2312"/>
          <w:color w:val="auto"/>
          <w:kern w:val="0"/>
          <w:sz w:val="32"/>
          <w:szCs w:val="32"/>
          <w:shd w:val="clear" w:color="auto" w:fill="FFFFFF"/>
          <w:lang w:val="en-US" w:eastAsia="zh-CN" w:bidi="ar-SA"/>
        </w:rPr>
        <w:t>（2）投标人特定资格：</w:t>
      </w:r>
      <w:bookmarkStart w:id="2" w:name="OLE_LINK3"/>
      <w:bookmarkStart w:id="3" w:name="OLE_LINK4"/>
      <w:r>
        <w:rPr>
          <w:rFonts w:hint="eastAsia" w:ascii="仿宋_GB2312" w:hAnsi="仿宋_GB2312" w:eastAsia="仿宋_GB2312" w:cs="仿宋_GB2312"/>
          <w:color w:val="auto"/>
          <w:kern w:val="0"/>
          <w:sz w:val="32"/>
          <w:szCs w:val="32"/>
          <w:shd w:val="clear" w:color="auto" w:fill="FFFFFF"/>
          <w:lang w:val="en-US" w:eastAsia="zh-CN" w:bidi="ar-SA"/>
        </w:rPr>
        <w:t>①标项1、2、3、4、5投标人为生产厂家须提供《食品生产许可证》、《食品经营许可证》,投标人为经销商则须提供《食品经营许可证》</w:t>
      </w:r>
      <w:bookmarkEnd w:id="2"/>
      <w:bookmarkEnd w:id="3"/>
      <w:r>
        <w:rPr>
          <w:rFonts w:hint="eastAsia" w:ascii="仿宋_GB2312" w:hAnsi="仿宋_GB2312" w:eastAsia="仿宋_GB2312" w:cs="仿宋_GB2312"/>
          <w:color w:val="auto"/>
          <w:kern w:val="0"/>
          <w:sz w:val="32"/>
          <w:szCs w:val="32"/>
          <w:shd w:val="clear" w:color="auto" w:fill="FFFFFF"/>
          <w:lang w:val="en-US" w:eastAsia="zh-CN" w:bidi="ar-SA"/>
        </w:rPr>
        <w:t>。②标项2肉类物资供应商若为生产厂家或屠宰企业，须提供自有的《屠宰许可证》、《动物防疫条件合格证》，非生产厂家或屠宰企业须提供货物源头厂家的《屠宰许可证》、《动物防疫条件合格证》</w:t>
      </w:r>
      <w:r>
        <w:rPr>
          <w:rFonts w:hint="eastAsia"/>
          <w:color w:val="auto"/>
          <w:lang w:eastAsia="zh-CN"/>
        </w:rPr>
        <w:t>。</w:t>
      </w:r>
    </w:p>
    <w:p w14:paraId="1D4F6990">
      <w:pPr>
        <w:widowControl/>
        <w:shd w:val="clear" w:color="auto" w:fill="FFFFFF"/>
        <w:spacing w:before="0" w:beforeAutospacing="0" w:after="0" w:afterAutospacing="0" w:line="336" w:lineRule="auto"/>
        <w:jc w:val="both"/>
        <w:rPr>
          <w:rFonts w:hint="eastAsia" w:ascii="仿宋_GB2312" w:hAnsi="仿宋_GB2312" w:eastAsia="仿宋_GB2312" w:cs="仿宋_GB2312"/>
          <w:color w:val="auto"/>
          <w:kern w:val="0"/>
          <w:sz w:val="32"/>
          <w:szCs w:val="32"/>
          <w:shd w:val="clear" w:color="auto" w:fill="FFFFFF"/>
          <w:lang w:val="en-US" w:eastAsia="zh-CN" w:bidi="ar-SA"/>
        </w:rPr>
      </w:pPr>
      <w:r>
        <w:rPr>
          <w:rFonts w:hint="eastAsia" w:ascii="仿宋_GB2312" w:hAnsi="仿宋_GB2312" w:eastAsia="仿宋_GB2312" w:cs="仿宋_GB2312"/>
          <w:b/>
          <w:bCs/>
          <w:color w:val="auto"/>
          <w:kern w:val="2"/>
          <w:sz w:val="32"/>
          <w:szCs w:val="32"/>
          <w:shd w:val="clear" w:color="auto" w:fill="FFFFFF"/>
          <w:lang w:val="en-US" w:eastAsia="zh-CN" w:bidi="ar-SA"/>
        </w:rPr>
        <w:t>三、获取招标文件</w:t>
      </w:r>
    </w:p>
    <w:p w14:paraId="6CF050C1">
      <w:pPr>
        <w:widowControl/>
        <w:shd w:val="clear" w:color="auto" w:fill="FFFFFF"/>
        <w:spacing w:before="0" w:beforeAutospacing="0" w:after="0" w:afterAutospacing="0" w:line="336" w:lineRule="auto"/>
        <w:ind w:firstLine="420"/>
        <w:jc w:val="left"/>
        <w:rPr>
          <w:rFonts w:hint="eastAsia" w:ascii="仿宋_GB2312" w:hAnsi="仿宋_GB2312" w:eastAsia="仿宋_GB2312" w:cs="仿宋_GB2312"/>
          <w:color w:val="auto"/>
          <w:kern w:val="0"/>
          <w:sz w:val="32"/>
          <w:szCs w:val="32"/>
          <w:shd w:val="clear" w:color="auto" w:fill="FFFFFF"/>
          <w:lang w:val="en-US" w:eastAsia="zh-CN" w:bidi="ar-SA"/>
        </w:rPr>
      </w:pPr>
      <w:r>
        <w:rPr>
          <w:rFonts w:hint="eastAsia" w:ascii="仿宋_GB2312" w:hAnsi="仿宋_GB2312" w:eastAsia="仿宋_GB2312" w:cs="仿宋_GB2312"/>
          <w:color w:val="auto"/>
          <w:kern w:val="0"/>
          <w:sz w:val="32"/>
          <w:szCs w:val="32"/>
          <w:shd w:val="clear" w:color="auto" w:fill="FFFFFF"/>
          <w:lang w:val="en-US" w:eastAsia="zh-CN" w:bidi="ar-SA"/>
        </w:rPr>
        <w:t>时间：2026年05月09日至 2026年05月15日，每天上午10:00至14:00，下午16:00至20:00（法定节假日除外）</w:t>
      </w:r>
    </w:p>
    <w:p w14:paraId="3F9BA8A1">
      <w:pPr>
        <w:widowControl/>
        <w:shd w:val="clear" w:color="auto" w:fill="FFFFFF"/>
        <w:spacing w:before="0" w:beforeAutospacing="0" w:after="0" w:afterAutospacing="0" w:line="336" w:lineRule="auto"/>
        <w:ind w:firstLine="420"/>
        <w:jc w:val="left"/>
        <w:rPr>
          <w:rFonts w:hint="eastAsia" w:ascii="仿宋_GB2312" w:hAnsi="仿宋_GB2312" w:eastAsia="仿宋_GB2312" w:cs="仿宋_GB2312"/>
          <w:color w:val="auto"/>
          <w:kern w:val="0"/>
          <w:sz w:val="32"/>
          <w:szCs w:val="32"/>
          <w:shd w:val="clear" w:color="auto" w:fill="FFFFFF"/>
          <w:lang w:val="en-US" w:eastAsia="zh-CN" w:bidi="ar-SA"/>
        </w:rPr>
      </w:pPr>
      <w:r>
        <w:rPr>
          <w:rFonts w:hint="eastAsia" w:ascii="仿宋_GB2312" w:hAnsi="仿宋_GB2312" w:eastAsia="仿宋_GB2312" w:cs="仿宋_GB2312"/>
          <w:color w:val="auto"/>
          <w:kern w:val="0"/>
          <w:sz w:val="32"/>
          <w:szCs w:val="32"/>
          <w:shd w:val="clear" w:color="auto" w:fill="FFFFFF"/>
          <w:lang w:val="en-US" w:eastAsia="zh-CN" w:bidi="ar-SA"/>
        </w:rPr>
        <w:t>地点：政采云平台线上获取</w:t>
      </w:r>
    </w:p>
    <w:p w14:paraId="2E826DA6">
      <w:pPr>
        <w:widowControl/>
        <w:shd w:val="clear" w:color="auto" w:fill="FFFFFF"/>
        <w:spacing w:before="0" w:beforeAutospacing="0" w:after="0" w:afterAutospacing="0" w:line="336" w:lineRule="auto"/>
        <w:ind w:firstLine="420"/>
        <w:jc w:val="left"/>
        <w:rPr>
          <w:rFonts w:hint="eastAsia" w:ascii="仿宋_GB2312" w:hAnsi="仿宋_GB2312" w:eastAsia="仿宋_GB2312" w:cs="仿宋_GB2312"/>
          <w:color w:val="auto"/>
          <w:kern w:val="0"/>
          <w:sz w:val="32"/>
          <w:szCs w:val="32"/>
          <w:shd w:val="clear" w:color="auto" w:fill="FFFFFF"/>
          <w:lang w:val="en-US" w:eastAsia="zh-CN" w:bidi="ar-SA"/>
        </w:rPr>
      </w:pPr>
      <w:r>
        <w:rPr>
          <w:rFonts w:hint="eastAsia" w:ascii="仿宋_GB2312" w:hAnsi="仿宋_GB2312" w:eastAsia="仿宋_GB2312" w:cs="仿宋_GB2312"/>
          <w:color w:val="auto"/>
          <w:kern w:val="0"/>
          <w:sz w:val="32"/>
          <w:szCs w:val="32"/>
          <w:shd w:val="clear" w:color="auto" w:fill="FFFFFF"/>
          <w:lang w:val="en-US" w:eastAsia="zh-CN" w:bidi="ar-SA"/>
        </w:rPr>
        <w:t>方式：供应商登录政采云平台https://www.zcygov.cn/在线申请获取采购文件（进入“项目采购”应用，在获取采购文件菜单中选择项目，申请获取采购文件）</w:t>
      </w:r>
    </w:p>
    <w:p w14:paraId="725BAAC8">
      <w:pPr>
        <w:widowControl/>
        <w:shd w:val="clear" w:color="auto" w:fill="FFFFFF"/>
        <w:spacing w:before="0" w:beforeAutospacing="0" w:after="0" w:afterAutospacing="0" w:line="336" w:lineRule="auto"/>
        <w:ind w:firstLine="420"/>
        <w:jc w:val="left"/>
        <w:rPr>
          <w:rFonts w:hint="eastAsia" w:ascii="仿宋_GB2312" w:hAnsi="仿宋_GB2312" w:eastAsia="仿宋_GB2312" w:cs="仿宋_GB2312"/>
          <w:color w:val="auto"/>
          <w:kern w:val="0"/>
          <w:sz w:val="32"/>
          <w:szCs w:val="32"/>
          <w:shd w:val="clear" w:color="auto" w:fill="FFFFFF"/>
          <w:lang w:val="en-US" w:eastAsia="zh-CN" w:bidi="ar-SA"/>
        </w:rPr>
      </w:pPr>
      <w:r>
        <w:rPr>
          <w:rFonts w:hint="eastAsia" w:ascii="仿宋_GB2312" w:hAnsi="仿宋_GB2312" w:eastAsia="仿宋_GB2312" w:cs="仿宋_GB2312"/>
          <w:color w:val="auto"/>
          <w:kern w:val="0"/>
          <w:sz w:val="32"/>
          <w:szCs w:val="32"/>
          <w:shd w:val="clear" w:color="auto" w:fill="FFFFFF"/>
          <w:lang w:val="en-US" w:eastAsia="zh-CN" w:bidi="ar-SA"/>
        </w:rPr>
        <w:t>售价（元）：0</w:t>
      </w:r>
    </w:p>
    <w:p w14:paraId="4D06CB0F">
      <w:pPr>
        <w:widowControl/>
        <w:shd w:val="clear" w:color="auto" w:fill="FFFFFF"/>
        <w:spacing w:before="0" w:beforeAutospacing="0" w:after="0" w:afterAutospacing="0" w:line="336" w:lineRule="auto"/>
        <w:jc w:val="both"/>
        <w:rPr>
          <w:rFonts w:hint="eastAsia" w:ascii="仿宋_GB2312" w:hAnsi="仿宋_GB2312" w:eastAsia="仿宋_GB2312" w:cs="仿宋_GB2312"/>
          <w:color w:val="auto"/>
          <w:kern w:val="0"/>
          <w:sz w:val="32"/>
          <w:szCs w:val="32"/>
          <w:shd w:val="clear" w:color="auto" w:fill="FFFFFF"/>
          <w:lang w:val="en-US" w:eastAsia="zh-CN" w:bidi="ar-SA"/>
        </w:rPr>
      </w:pPr>
      <w:r>
        <w:rPr>
          <w:rFonts w:hint="eastAsia" w:ascii="仿宋_GB2312" w:hAnsi="仿宋_GB2312" w:eastAsia="仿宋_GB2312" w:cs="仿宋_GB2312"/>
          <w:b/>
          <w:bCs/>
          <w:color w:val="auto"/>
          <w:kern w:val="2"/>
          <w:sz w:val="32"/>
          <w:szCs w:val="32"/>
          <w:shd w:val="clear" w:color="auto" w:fill="FFFFFF"/>
          <w:lang w:val="en-US" w:eastAsia="zh-CN" w:bidi="ar-SA"/>
        </w:rPr>
        <w:t>四、提交投标文件截止时间、开标时间和地点</w:t>
      </w:r>
    </w:p>
    <w:p w14:paraId="62A5A58D">
      <w:pPr>
        <w:widowControl/>
        <w:shd w:val="clear" w:color="auto" w:fill="FFFFFF"/>
        <w:spacing w:before="0" w:beforeAutospacing="0" w:after="0" w:afterAutospacing="0" w:line="336" w:lineRule="auto"/>
        <w:ind w:firstLine="420"/>
        <w:jc w:val="left"/>
        <w:rPr>
          <w:rFonts w:hint="eastAsia" w:ascii="仿宋_GB2312" w:hAnsi="仿宋_GB2312" w:eastAsia="仿宋_GB2312" w:cs="仿宋_GB2312"/>
          <w:color w:val="auto"/>
          <w:kern w:val="0"/>
          <w:sz w:val="32"/>
          <w:szCs w:val="32"/>
          <w:shd w:val="clear" w:color="auto" w:fill="FFFFFF"/>
          <w:lang w:val="en-US" w:eastAsia="zh-CN" w:bidi="ar-SA"/>
        </w:rPr>
      </w:pPr>
      <w:r>
        <w:rPr>
          <w:rFonts w:hint="eastAsia" w:ascii="仿宋_GB2312" w:hAnsi="仿宋_GB2312" w:eastAsia="仿宋_GB2312" w:cs="仿宋_GB2312"/>
          <w:color w:val="auto"/>
          <w:kern w:val="0"/>
          <w:sz w:val="32"/>
          <w:szCs w:val="32"/>
          <w:shd w:val="clear" w:color="auto" w:fill="FFFFFF"/>
          <w:lang w:val="en-US" w:eastAsia="zh-CN" w:bidi="ar-SA"/>
        </w:rPr>
        <w:t>提交投标文件截止时间：2026年06月02日10:30（北京时间）</w:t>
      </w:r>
    </w:p>
    <w:p w14:paraId="5215E59D">
      <w:pPr>
        <w:widowControl/>
        <w:shd w:val="clear" w:color="auto" w:fill="FFFFFF"/>
        <w:spacing w:before="0" w:beforeAutospacing="0" w:after="0" w:afterAutospacing="0" w:line="336" w:lineRule="auto"/>
        <w:ind w:firstLine="420"/>
        <w:jc w:val="left"/>
        <w:rPr>
          <w:rFonts w:hint="eastAsia" w:ascii="仿宋_GB2312" w:hAnsi="仿宋_GB2312" w:eastAsia="仿宋_GB2312" w:cs="仿宋_GB2312"/>
          <w:color w:val="auto"/>
          <w:kern w:val="0"/>
          <w:sz w:val="32"/>
          <w:szCs w:val="32"/>
          <w:shd w:val="clear" w:color="auto" w:fill="FFFFFF"/>
          <w:lang w:val="en-US" w:eastAsia="zh-CN" w:bidi="ar-SA"/>
        </w:rPr>
      </w:pPr>
      <w:r>
        <w:rPr>
          <w:rFonts w:hint="eastAsia" w:ascii="仿宋_GB2312" w:hAnsi="仿宋_GB2312" w:eastAsia="仿宋_GB2312" w:cs="仿宋_GB2312"/>
          <w:color w:val="auto"/>
          <w:kern w:val="0"/>
          <w:sz w:val="32"/>
          <w:szCs w:val="32"/>
          <w:shd w:val="clear" w:color="auto" w:fill="FFFFFF"/>
          <w:lang w:val="en-US" w:eastAsia="zh-CN" w:bidi="ar-SA"/>
        </w:rPr>
        <w:t>投标地点：请登录政采云投标客户端投标</w:t>
      </w:r>
    </w:p>
    <w:p w14:paraId="2ADFC077">
      <w:pPr>
        <w:widowControl/>
        <w:shd w:val="clear" w:color="auto" w:fill="FFFFFF"/>
        <w:spacing w:before="0" w:beforeAutospacing="0" w:after="0" w:afterAutospacing="0" w:line="336" w:lineRule="auto"/>
        <w:ind w:firstLine="420"/>
        <w:jc w:val="left"/>
        <w:rPr>
          <w:rFonts w:hint="default" w:ascii="仿宋_GB2312" w:hAnsi="仿宋_GB2312" w:eastAsia="仿宋_GB2312" w:cs="仿宋_GB2312"/>
          <w:color w:val="auto"/>
          <w:kern w:val="0"/>
          <w:sz w:val="32"/>
          <w:szCs w:val="32"/>
          <w:shd w:val="clear" w:color="auto" w:fill="FFFFFF"/>
          <w:lang w:val="en-US" w:eastAsia="zh-CN" w:bidi="ar-SA"/>
        </w:rPr>
      </w:pPr>
      <w:r>
        <w:rPr>
          <w:rFonts w:hint="eastAsia" w:ascii="仿宋_GB2312" w:hAnsi="仿宋_GB2312" w:eastAsia="仿宋_GB2312" w:cs="仿宋_GB2312"/>
          <w:color w:val="auto"/>
          <w:kern w:val="0"/>
          <w:sz w:val="32"/>
          <w:szCs w:val="32"/>
          <w:shd w:val="clear" w:color="auto" w:fill="FFFFFF"/>
          <w:lang w:val="en-US" w:eastAsia="zh-CN" w:bidi="ar-SA"/>
        </w:rPr>
        <w:t>开标时间：2026年06月02日 10:30</w:t>
      </w:r>
    </w:p>
    <w:p w14:paraId="5A91E086">
      <w:pPr>
        <w:widowControl/>
        <w:shd w:val="clear" w:color="auto" w:fill="FFFFFF"/>
        <w:spacing w:before="0" w:beforeAutospacing="0" w:after="0" w:afterAutospacing="0" w:line="336" w:lineRule="auto"/>
        <w:ind w:firstLine="420"/>
        <w:jc w:val="left"/>
        <w:rPr>
          <w:rFonts w:hint="eastAsia" w:ascii="仿宋_GB2312" w:hAnsi="仿宋_GB2312" w:eastAsia="仿宋_GB2312" w:cs="仿宋_GB2312"/>
          <w:color w:val="auto"/>
          <w:kern w:val="0"/>
          <w:sz w:val="32"/>
          <w:szCs w:val="32"/>
          <w:shd w:val="clear" w:color="auto" w:fill="FFFFFF"/>
          <w:lang w:val="en-US" w:eastAsia="zh-CN" w:bidi="ar-SA"/>
        </w:rPr>
      </w:pPr>
      <w:r>
        <w:rPr>
          <w:rFonts w:hint="eastAsia" w:ascii="仿宋_GB2312" w:hAnsi="仿宋_GB2312" w:eastAsia="仿宋_GB2312" w:cs="仿宋_GB2312"/>
          <w:color w:val="auto"/>
          <w:kern w:val="0"/>
          <w:sz w:val="32"/>
          <w:szCs w:val="32"/>
          <w:shd w:val="clear" w:color="auto" w:fill="FFFFFF"/>
          <w:lang w:val="en-US" w:eastAsia="zh-CN" w:bidi="ar-SA"/>
        </w:rPr>
        <w:t>开标地点：政采云平台（http://www.ccgp-xinjiang.gov.cn/home.html） </w:t>
      </w:r>
    </w:p>
    <w:p w14:paraId="13EDE2D7">
      <w:pPr>
        <w:widowControl/>
        <w:shd w:val="clear" w:color="auto" w:fill="FFFFFF"/>
        <w:spacing w:before="0" w:beforeAutospacing="0" w:after="0" w:afterAutospacing="0" w:line="336" w:lineRule="auto"/>
        <w:jc w:val="both"/>
        <w:rPr>
          <w:rFonts w:hint="eastAsia" w:ascii="仿宋_GB2312" w:hAnsi="仿宋_GB2312" w:eastAsia="仿宋_GB2312" w:cs="仿宋_GB2312"/>
          <w:color w:val="auto"/>
          <w:kern w:val="0"/>
          <w:sz w:val="32"/>
          <w:szCs w:val="32"/>
          <w:shd w:val="clear" w:color="auto" w:fill="FFFFFF"/>
          <w:lang w:val="en-US" w:eastAsia="zh-CN" w:bidi="ar-SA"/>
        </w:rPr>
      </w:pPr>
      <w:r>
        <w:rPr>
          <w:rFonts w:hint="eastAsia" w:ascii="仿宋_GB2312" w:hAnsi="仿宋_GB2312" w:eastAsia="仿宋_GB2312" w:cs="仿宋_GB2312"/>
          <w:b/>
          <w:bCs/>
          <w:color w:val="auto"/>
          <w:kern w:val="2"/>
          <w:sz w:val="32"/>
          <w:szCs w:val="32"/>
          <w:shd w:val="clear" w:color="auto" w:fill="FFFFFF"/>
          <w:lang w:val="en-US" w:eastAsia="zh-CN" w:bidi="ar-SA"/>
        </w:rPr>
        <w:t>五、公告期限 </w:t>
      </w:r>
    </w:p>
    <w:p w14:paraId="66F2E0F4">
      <w:pPr>
        <w:widowControl/>
        <w:shd w:val="clear" w:color="auto" w:fill="FFFFFF"/>
        <w:spacing w:before="0" w:beforeAutospacing="0" w:after="0" w:afterAutospacing="0" w:line="460" w:lineRule="exact"/>
        <w:ind w:left="315" w:leftChars="150" w:firstLine="640" w:firstLineChars="200"/>
        <w:jc w:val="left"/>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shd w:val="clear" w:color="auto" w:fill="FFFFFF"/>
          <w:lang w:val="en-US" w:eastAsia="zh-CN" w:bidi="ar-SA"/>
        </w:rPr>
        <w:t>自本公告发布之日起5个工作日。</w:t>
      </w:r>
    </w:p>
    <w:p w14:paraId="54A38B34">
      <w:pPr>
        <w:widowControl/>
        <w:shd w:val="clear" w:color="auto" w:fill="FFFFFF"/>
        <w:spacing w:before="0" w:beforeAutospacing="0" w:after="0" w:afterAutospacing="0" w:line="336" w:lineRule="auto"/>
        <w:jc w:val="both"/>
        <w:rPr>
          <w:rFonts w:hint="eastAsia" w:ascii="仿宋_GB2312" w:hAnsi="仿宋_GB2312" w:eastAsia="仿宋_GB2312" w:cs="仿宋_GB2312"/>
          <w:color w:val="auto"/>
          <w:kern w:val="0"/>
          <w:sz w:val="32"/>
          <w:szCs w:val="32"/>
          <w:shd w:val="clear" w:color="auto" w:fill="FFFFFF"/>
          <w:lang w:val="en-US" w:eastAsia="zh-CN" w:bidi="ar-SA"/>
        </w:rPr>
      </w:pPr>
      <w:r>
        <w:rPr>
          <w:rFonts w:hint="eastAsia" w:ascii="仿宋_GB2312" w:hAnsi="仿宋_GB2312" w:eastAsia="仿宋_GB2312" w:cs="仿宋_GB2312"/>
          <w:b/>
          <w:bCs/>
          <w:color w:val="auto"/>
          <w:kern w:val="2"/>
          <w:sz w:val="32"/>
          <w:szCs w:val="32"/>
          <w:shd w:val="clear" w:color="auto" w:fill="FFFFFF"/>
          <w:lang w:val="en-US" w:eastAsia="zh-CN" w:bidi="ar-SA"/>
        </w:rPr>
        <w:t>六、其他补充事宜 </w:t>
      </w:r>
    </w:p>
    <w:p w14:paraId="41ACF8E8">
      <w:pPr>
        <w:widowControl/>
        <w:shd w:val="clear" w:color="auto" w:fill="FFFFFF"/>
        <w:spacing w:before="0" w:beforeAutospacing="0" w:after="0" w:afterAutospacing="0" w:line="336" w:lineRule="auto"/>
        <w:ind w:firstLine="420"/>
        <w:jc w:val="left"/>
        <w:rPr>
          <w:rFonts w:hint="eastAsia" w:ascii="仿宋_GB2312" w:hAnsi="仿宋_GB2312" w:eastAsia="仿宋_GB2312" w:cs="仿宋_GB2312"/>
          <w:color w:val="auto"/>
          <w:kern w:val="0"/>
          <w:sz w:val="32"/>
          <w:szCs w:val="32"/>
          <w:shd w:val="clear" w:color="auto" w:fill="FFFFFF"/>
          <w:lang w:val="en-US" w:eastAsia="zh-CN" w:bidi="ar-SA"/>
        </w:rPr>
      </w:pPr>
      <w:r>
        <w:rPr>
          <w:rFonts w:hint="eastAsia" w:ascii="仿宋_GB2312" w:hAnsi="仿宋_GB2312" w:eastAsia="仿宋_GB2312" w:cs="仿宋_GB2312"/>
          <w:color w:val="auto"/>
          <w:kern w:val="0"/>
          <w:sz w:val="32"/>
          <w:szCs w:val="32"/>
          <w:shd w:val="clear" w:color="auto" w:fill="FFFFFF"/>
          <w:lang w:val="en-US" w:eastAsia="zh-CN" w:bidi="ar-SA"/>
        </w:rPr>
        <w:t>1、本次采购采用电子交易方式，电子交易平台为“政府采购云平台（www.zcygov.cn）”。供应商参与本项目电子交易活动前，应注册成为政府采购云平台供应商。编制电子投标文件前还需申领CA证书并绑定帐号，CA申领地址查看网址https://www.xjca.com.cn/article/content/201802/582/1.html，CA服务电话：0991-281-9290。</w:t>
      </w:r>
    </w:p>
    <w:p w14:paraId="6E9CD45C">
      <w:pPr>
        <w:widowControl/>
        <w:shd w:val="clear" w:color="auto" w:fill="FFFFFF"/>
        <w:spacing w:before="0" w:beforeAutospacing="0" w:after="0" w:afterAutospacing="0" w:line="336" w:lineRule="auto"/>
        <w:ind w:firstLine="420"/>
        <w:jc w:val="left"/>
        <w:rPr>
          <w:rFonts w:hint="eastAsia" w:ascii="仿宋_GB2312" w:hAnsi="仿宋_GB2312" w:eastAsia="仿宋_GB2312" w:cs="仿宋_GB2312"/>
          <w:color w:val="auto"/>
          <w:kern w:val="0"/>
          <w:sz w:val="32"/>
          <w:szCs w:val="32"/>
          <w:shd w:val="clear" w:color="auto" w:fill="FFFFFF"/>
          <w:lang w:val="en-US" w:eastAsia="zh-CN" w:bidi="ar-SA"/>
        </w:rPr>
      </w:pPr>
      <w:r>
        <w:rPr>
          <w:rFonts w:hint="eastAsia" w:ascii="仿宋_GB2312" w:hAnsi="仿宋_GB2312" w:eastAsia="仿宋_GB2312" w:cs="仿宋_GB2312"/>
          <w:color w:val="auto"/>
          <w:kern w:val="0"/>
          <w:sz w:val="32"/>
          <w:szCs w:val="32"/>
          <w:shd w:val="clear" w:color="auto" w:fill="FFFFFF"/>
          <w:lang w:val="en-US" w:eastAsia="zh-CN" w:bidi="ar-SA"/>
        </w:rPr>
        <w:tab/>
      </w:r>
      <w:r>
        <w:rPr>
          <w:rFonts w:hint="eastAsia" w:ascii="仿宋_GB2312" w:hAnsi="仿宋_GB2312" w:eastAsia="仿宋_GB2312" w:cs="仿宋_GB2312"/>
          <w:color w:val="auto"/>
          <w:kern w:val="0"/>
          <w:sz w:val="32"/>
          <w:szCs w:val="32"/>
          <w:shd w:val="clear" w:color="auto" w:fill="FFFFFF"/>
          <w:lang w:val="en-US" w:eastAsia="zh-CN" w:bidi="ar-SA"/>
        </w:rPr>
        <w:t>2、供应商编制电子投标文件应安装“电子招投标供应商客户端”软件，并按照本采购文件和电子招投标供应商客户端的要求编制并加密投标文件。未按规定加密的投标文件，将被电子招投标供应商客户端拒收。“电子招投标供应商客户端”请供应商自行前往“新疆政府采购网—下载专区—新疆维吾尔自治区全流程电子招投标项目管理系统--电子招投标供应商客户端”版块获取。</w:t>
      </w:r>
    </w:p>
    <w:p w14:paraId="519E2C95">
      <w:pPr>
        <w:widowControl/>
        <w:shd w:val="clear" w:color="auto" w:fill="FFFFFF"/>
        <w:spacing w:before="0" w:beforeAutospacing="0" w:after="0" w:afterAutospacing="0" w:line="336" w:lineRule="auto"/>
        <w:ind w:firstLine="420"/>
        <w:jc w:val="left"/>
        <w:rPr>
          <w:rFonts w:hint="eastAsia" w:ascii="仿宋_GB2312" w:hAnsi="仿宋_GB2312" w:eastAsia="仿宋_GB2312" w:cs="仿宋_GB2312"/>
          <w:color w:val="auto"/>
          <w:kern w:val="0"/>
          <w:sz w:val="32"/>
          <w:szCs w:val="32"/>
          <w:shd w:val="clear" w:color="auto" w:fill="FFFFFF"/>
          <w:lang w:val="en-US" w:eastAsia="zh-CN" w:bidi="ar-SA"/>
        </w:rPr>
      </w:pPr>
      <w:r>
        <w:rPr>
          <w:rFonts w:hint="eastAsia" w:ascii="仿宋_GB2312" w:hAnsi="仿宋_GB2312" w:eastAsia="仿宋_GB2312" w:cs="仿宋_GB2312"/>
          <w:color w:val="auto"/>
          <w:kern w:val="0"/>
          <w:sz w:val="32"/>
          <w:szCs w:val="32"/>
          <w:shd w:val="clear" w:color="auto" w:fill="FFFFFF"/>
          <w:lang w:val="en-US" w:eastAsia="zh-CN" w:bidi="ar-SA"/>
        </w:rPr>
        <w:tab/>
      </w:r>
      <w:r>
        <w:rPr>
          <w:rFonts w:hint="eastAsia" w:ascii="仿宋_GB2312" w:hAnsi="仿宋_GB2312" w:eastAsia="仿宋_GB2312" w:cs="仿宋_GB2312"/>
          <w:color w:val="auto"/>
          <w:kern w:val="0"/>
          <w:sz w:val="32"/>
          <w:szCs w:val="32"/>
          <w:shd w:val="clear" w:color="auto" w:fill="FFFFFF"/>
          <w:lang w:val="en-US" w:eastAsia="zh-CN" w:bidi="ar-SA"/>
        </w:rPr>
        <w:t>3、供应商应当在投标截止时间前，将“电子招投标供应商客户端”生成的“电子加密投标文件”上传电子交易平台。</w:t>
      </w:r>
    </w:p>
    <w:p w14:paraId="40E6F60E">
      <w:pPr>
        <w:widowControl/>
        <w:shd w:val="clear" w:color="auto" w:fill="FFFFFF"/>
        <w:spacing w:before="0" w:beforeAutospacing="0" w:after="0" w:afterAutospacing="0" w:line="336" w:lineRule="auto"/>
        <w:ind w:firstLine="420"/>
        <w:jc w:val="left"/>
        <w:rPr>
          <w:rFonts w:hint="eastAsia" w:ascii="仿宋_GB2312" w:hAnsi="仿宋_GB2312" w:eastAsia="仿宋_GB2312" w:cs="仿宋_GB2312"/>
          <w:color w:val="auto"/>
          <w:kern w:val="0"/>
          <w:sz w:val="32"/>
          <w:szCs w:val="32"/>
          <w:shd w:val="clear" w:color="auto" w:fill="FFFFFF"/>
          <w:lang w:val="en-US" w:eastAsia="zh-CN" w:bidi="ar-SA"/>
        </w:rPr>
      </w:pPr>
      <w:r>
        <w:rPr>
          <w:rFonts w:hint="eastAsia" w:ascii="仿宋_GB2312" w:hAnsi="仿宋_GB2312" w:eastAsia="仿宋_GB2312" w:cs="仿宋_GB2312"/>
          <w:color w:val="auto"/>
          <w:kern w:val="0"/>
          <w:sz w:val="32"/>
          <w:szCs w:val="32"/>
          <w:shd w:val="clear" w:color="auto" w:fill="FFFFFF"/>
          <w:lang w:val="en-US" w:eastAsia="zh-CN" w:bidi="ar-SA"/>
        </w:rPr>
        <w:tab/>
      </w:r>
      <w:r>
        <w:rPr>
          <w:rFonts w:hint="eastAsia" w:ascii="仿宋_GB2312" w:hAnsi="仿宋_GB2312" w:eastAsia="仿宋_GB2312" w:cs="仿宋_GB2312"/>
          <w:color w:val="auto"/>
          <w:kern w:val="0"/>
          <w:sz w:val="32"/>
          <w:szCs w:val="32"/>
          <w:shd w:val="clear" w:color="auto" w:fill="FFFFFF"/>
          <w:lang w:val="en-US" w:eastAsia="zh-CN" w:bidi="ar-SA"/>
        </w:rPr>
        <w:t>4、服务与支持。各政府采购代理机构（含集采机构）及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政采云热线人工号码：95763（工作时间：工作日08:00~20：00） </w:t>
      </w:r>
    </w:p>
    <w:p w14:paraId="34DA4062">
      <w:pPr>
        <w:widowControl/>
        <w:shd w:val="clear" w:color="auto" w:fill="FFFFFF"/>
        <w:spacing w:before="0" w:beforeAutospacing="0" w:after="0" w:afterAutospacing="0" w:line="336" w:lineRule="auto"/>
        <w:ind w:firstLine="420"/>
        <w:jc w:val="left"/>
        <w:rPr>
          <w:rFonts w:hint="eastAsia" w:ascii="仿宋_GB2312" w:hAnsi="仿宋_GB2312" w:eastAsia="仿宋_GB2312" w:cs="仿宋_GB2312"/>
          <w:b/>
          <w:bCs/>
          <w:color w:val="auto"/>
          <w:kern w:val="0"/>
          <w:sz w:val="32"/>
          <w:szCs w:val="32"/>
          <w:shd w:val="clear" w:color="auto" w:fill="FFFFFF"/>
          <w:lang w:val="zh-CN" w:eastAsia="zh-CN" w:bidi="ar-SA"/>
        </w:rPr>
      </w:pPr>
      <w:r>
        <w:rPr>
          <w:rFonts w:hint="eastAsia" w:ascii="仿宋_GB2312" w:hAnsi="仿宋_GB2312" w:eastAsia="仿宋_GB2312" w:cs="仿宋_GB2312"/>
          <w:b/>
          <w:bCs/>
          <w:color w:val="auto"/>
          <w:kern w:val="0"/>
          <w:sz w:val="32"/>
          <w:szCs w:val="32"/>
          <w:shd w:val="clear" w:color="auto" w:fill="FFFFFF"/>
          <w:lang w:val="zh-CN" w:eastAsia="zh-CN" w:bidi="ar-SA"/>
        </w:rPr>
        <w:t>特别提示：</w:t>
      </w:r>
    </w:p>
    <w:p w14:paraId="10A83B63">
      <w:pPr>
        <w:widowControl/>
        <w:shd w:val="clear" w:color="auto" w:fill="FFFFFF"/>
        <w:spacing w:before="0" w:beforeAutospacing="0" w:after="0" w:afterAutospacing="0" w:line="336" w:lineRule="auto"/>
        <w:ind w:firstLine="420"/>
        <w:jc w:val="left"/>
        <w:rPr>
          <w:rFonts w:hint="eastAsia" w:ascii="仿宋_GB2312" w:hAnsi="仿宋_GB2312" w:eastAsia="仿宋_GB2312" w:cs="仿宋_GB2312"/>
          <w:b/>
          <w:bCs/>
          <w:color w:val="auto"/>
          <w:kern w:val="0"/>
          <w:sz w:val="32"/>
          <w:szCs w:val="32"/>
          <w:shd w:val="clear" w:color="auto" w:fill="FFFFFF"/>
          <w:lang w:val="zh-CN" w:eastAsia="zh-CN" w:bidi="ar-SA"/>
        </w:rPr>
      </w:pPr>
      <w:r>
        <w:rPr>
          <w:rFonts w:hint="eastAsia" w:ascii="仿宋_GB2312" w:hAnsi="仿宋_GB2312" w:eastAsia="仿宋_GB2312" w:cs="仿宋_GB2312"/>
          <w:b/>
          <w:bCs/>
          <w:color w:val="auto"/>
          <w:kern w:val="0"/>
          <w:sz w:val="32"/>
          <w:szCs w:val="32"/>
          <w:shd w:val="clear" w:color="auto" w:fill="FFFFFF"/>
          <w:lang w:val="zh-CN" w:eastAsia="zh-CN" w:bidi="ar-SA"/>
        </w:rPr>
        <w:t>1、超过200万元的货物和服务采购项目、超过400万元的工程采购项目中适宜由中小企业提供的，预留该部分采购项目预算总额的40%以上专门面向中小企业采购，其中预留给小微企业的比例不低于60%。</w:t>
      </w:r>
    </w:p>
    <w:p w14:paraId="00483774">
      <w:pPr>
        <w:widowControl/>
        <w:shd w:val="clear" w:color="auto" w:fill="FFFFFF"/>
        <w:spacing w:before="0" w:beforeAutospacing="0" w:after="0" w:afterAutospacing="0" w:line="336" w:lineRule="auto"/>
        <w:ind w:firstLine="420"/>
        <w:jc w:val="left"/>
        <w:rPr>
          <w:rFonts w:hint="eastAsia" w:ascii="仿宋_GB2312" w:hAnsi="仿宋_GB2312" w:eastAsia="仿宋_GB2312" w:cs="仿宋_GB2312"/>
          <w:b/>
          <w:bCs/>
          <w:color w:val="auto"/>
          <w:kern w:val="0"/>
          <w:sz w:val="32"/>
          <w:szCs w:val="32"/>
          <w:shd w:val="clear" w:color="auto" w:fill="FFFFFF"/>
          <w:lang w:val="zh-CN" w:eastAsia="zh-CN" w:bidi="ar-SA"/>
        </w:rPr>
      </w:pPr>
      <w:r>
        <w:rPr>
          <w:rFonts w:hint="eastAsia" w:ascii="仿宋_GB2312" w:hAnsi="仿宋_GB2312" w:eastAsia="仿宋_GB2312" w:cs="仿宋_GB2312"/>
          <w:b/>
          <w:bCs/>
          <w:color w:val="auto"/>
          <w:kern w:val="0"/>
          <w:sz w:val="32"/>
          <w:szCs w:val="32"/>
          <w:shd w:val="clear" w:color="auto" w:fill="FFFFFF"/>
          <w:lang w:val="zh-CN" w:eastAsia="zh-CN" w:bidi="ar-SA"/>
        </w:rP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14:paraId="14D8824B">
      <w:pPr>
        <w:widowControl/>
        <w:shd w:val="clear" w:color="auto" w:fill="FFFFFF"/>
        <w:spacing w:before="0" w:beforeAutospacing="0" w:after="0" w:afterAutospacing="0" w:line="336" w:lineRule="auto"/>
        <w:ind w:firstLine="420"/>
        <w:jc w:val="left"/>
        <w:rPr>
          <w:rFonts w:hint="eastAsia" w:ascii="仿宋_GB2312" w:hAnsi="仿宋_GB2312" w:eastAsia="仿宋_GB2312" w:cs="仿宋_GB2312"/>
          <w:b/>
          <w:bCs/>
          <w:color w:val="auto"/>
          <w:kern w:val="0"/>
          <w:sz w:val="32"/>
          <w:szCs w:val="32"/>
          <w:shd w:val="clear" w:color="auto" w:fill="FFFFFF"/>
          <w:lang w:val="zh-CN" w:eastAsia="zh-CN" w:bidi="ar-SA"/>
        </w:rPr>
      </w:pPr>
      <w:r>
        <w:rPr>
          <w:rFonts w:hint="eastAsia" w:ascii="仿宋_GB2312" w:hAnsi="仿宋_GB2312" w:eastAsia="仿宋_GB2312" w:cs="仿宋_GB2312"/>
          <w:b/>
          <w:bCs/>
          <w:color w:val="auto"/>
          <w:kern w:val="0"/>
          <w:sz w:val="32"/>
          <w:szCs w:val="32"/>
          <w:shd w:val="clear" w:color="auto" w:fill="FFFFFF"/>
          <w:lang w:val="zh-CN" w:eastAsia="zh-CN" w:bidi="ar-SA"/>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14:paraId="105295C3">
      <w:pPr>
        <w:widowControl/>
        <w:shd w:val="clear" w:color="auto" w:fill="FFFFFF"/>
        <w:spacing w:before="0" w:beforeAutospacing="0" w:after="0" w:afterAutospacing="0" w:line="336" w:lineRule="auto"/>
        <w:jc w:val="both"/>
        <w:rPr>
          <w:rFonts w:hint="eastAsia" w:ascii="仿宋_GB2312" w:hAnsi="仿宋_GB2312" w:eastAsia="仿宋_GB2312" w:cs="仿宋_GB2312"/>
          <w:color w:val="auto"/>
          <w:kern w:val="0"/>
          <w:sz w:val="32"/>
          <w:szCs w:val="32"/>
          <w:shd w:val="clear" w:color="auto" w:fill="FFFFFF"/>
          <w:lang w:val="en-US" w:eastAsia="zh-CN" w:bidi="ar-SA"/>
        </w:rPr>
      </w:pPr>
      <w:r>
        <w:rPr>
          <w:rFonts w:hint="eastAsia" w:ascii="仿宋_GB2312" w:hAnsi="仿宋_GB2312" w:eastAsia="仿宋_GB2312" w:cs="仿宋_GB2312"/>
          <w:b/>
          <w:bCs/>
          <w:color w:val="auto"/>
          <w:kern w:val="2"/>
          <w:sz w:val="32"/>
          <w:szCs w:val="32"/>
          <w:shd w:val="clear" w:color="auto" w:fill="FFFFFF"/>
          <w:lang w:val="en-US" w:eastAsia="zh-CN" w:bidi="ar-SA"/>
        </w:rPr>
        <w:t>七、凡对本次招标提出询问，请按以下方式联系</w:t>
      </w:r>
    </w:p>
    <w:p w14:paraId="1D2B652E">
      <w:pPr>
        <w:widowControl/>
        <w:shd w:val="clear" w:color="auto" w:fill="FFFFFF"/>
        <w:spacing w:before="0" w:beforeAutospacing="0" w:after="0" w:afterAutospacing="0" w:line="336" w:lineRule="auto"/>
        <w:ind w:left="479" w:leftChars="228"/>
        <w:jc w:val="both"/>
        <w:rPr>
          <w:rFonts w:hint="eastAsia" w:ascii="仿宋_GB2312" w:hAnsi="仿宋_GB2312" w:eastAsia="仿宋_GB2312" w:cs="仿宋_GB2312"/>
          <w:color w:val="auto"/>
          <w:kern w:val="0"/>
          <w:sz w:val="32"/>
          <w:szCs w:val="32"/>
          <w:shd w:val="clear" w:color="auto" w:fill="FFFFFF"/>
          <w:lang w:val="en-US" w:eastAsia="zh-CN" w:bidi="ar-SA"/>
        </w:rPr>
      </w:pPr>
      <w:r>
        <w:rPr>
          <w:rFonts w:hint="eastAsia" w:ascii="仿宋_GB2312" w:hAnsi="仿宋_GB2312" w:eastAsia="仿宋_GB2312" w:cs="仿宋_GB2312"/>
          <w:color w:val="auto"/>
          <w:kern w:val="0"/>
          <w:sz w:val="32"/>
          <w:szCs w:val="32"/>
          <w:shd w:val="clear" w:color="auto" w:fill="FFFFFF"/>
          <w:lang w:val="en-US" w:eastAsia="zh-CN" w:bidi="ar-SA"/>
        </w:rPr>
        <w:t>1.采购人信息</w:t>
      </w:r>
    </w:p>
    <w:p w14:paraId="7C5AF2F5">
      <w:pPr>
        <w:widowControl/>
        <w:shd w:val="clear" w:color="auto" w:fill="FFFFFF"/>
        <w:spacing w:before="0" w:beforeAutospacing="0" w:after="0" w:afterAutospacing="0" w:line="336" w:lineRule="auto"/>
        <w:ind w:left="479" w:leftChars="228"/>
        <w:jc w:val="both"/>
        <w:rPr>
          <w:rFonts w:hint="eastAsia" w:ascii="仿宋_GB2312" w:hAnsi="仿宋_GB2312" w:eastAsia="仿宋_GB2312" w:cs="仿宋_GB2312"/>
          <w:color w:val="auto"/>
          <w:kern w:val="0"/>
          <w:sz w:val="32"/>
          <w:szCs w:val="32"/>
          <w:shd w:val="clear" w:color="auto" w:fill="FFFFFF"/>
          <w:lang w:val="en-US" w:eastAsia="zh-CN" w:bidi="ar-SA"/>
        </w:rPr>
      </w:pPr>
      <w:r>
        <w:rPr>
          <w:rFonts w:hint="eastAsia" w:ascii="仿宋_GB2312" w:hAnsi="仿宋_GB2312" w:eastAsia="仿宋_GB2312" w:cs="仿宋_GB2312"/>
          <w:color w:val="auto"/>
          <w:kern w:val="0"/>
          <w:sz w:val="32"/>
          <w:szCs w:val="32"/>
          <w:shd w:val="clear" w:color="auto" w:fill="FFFFFF"/>
          <w:lang w:val="en-US" w:eastAsia="zh-CN" w:bidi="ar-SA"/>
        </w:rPr>
        <w:t>名 称：新疆维吾尔自治区伊宁某某某单位</w:t>
      </w:r>
    </w:p>
    <w:p w14:paraId="1EB80E6F">
      <w:pPr>
        <w:widowControl/>
        <w:shd w:val="clear" w:color="auto" w:fill="FFFFFF"/>
        <w:spacing w:before="0" w:beforeAutospacing="0" w:after="0" w:afterAutospacing="0" w:line="336" w:lineRule="auto"/>
        <w:ind w:left="479" w:leftChars="228"/>
        <w:jc w:val="both"/>
        <w:rPr>
          <w:rFonts w:hint="eastAsia" w:ascii="仿宋_GB2312" w:hAnsi="仿宋_GB2312" w:eastAsia="仿宋_GB2312" w:cs="仿宋_GB2312"/>
          <w:color w:val="auto"/>
          <w:kern w:val="0"/>
          <w:sz w:val="32"/>
          <w:szCs w:val="32"/>
          <w:shd w:val="clear" w:color="auto" w:fill="FFFFFF"/>
          <w:lang w:val="en-US" w:eastAsia="zh-CN" w:bidi="ar-SA"/>
        </w:rPr>
      </w:pPr>
      <w:r>
        <w:rPr>
          <w:rFonts w:hint="eastAsia" w:ascii="仿宋_GB2312" w:hAnsi="仿宋_GB2312" w:eastAsia="仿宋_GB2312" w:cs="仿宋_GB2312"/>
          <w:color w:val="auto"/>
          <w:kern w:val="0"/>
          <w:sz w:val="32"/>
          <w:szCs w:val="32"/>
          <w:shd w:val="clear" w:color="auto" w:fill="FFFFFF"/>
          <w:lang w:val="en-US" w:eastAsia="zh-CN" w:bidi="ar-SA"/>
        </w:rPr>
        <w:t>地    址：伊宁市康复路</w:t>
      </w:r>
    </w:p>
    <w:p w14:paraId="61164954">
      <w:pPr>
        <w:widowControl/>
        <w:shd w:val="clear" w:color="auto" w:fill="FFFFFF"/>
        <w:spacing w:before="0" w:beforeAutospacing="0" w:after="0" w:afterAutospacing="0" w:line="336" w:lineRule="auto"/>
        <w:ind w:left="479" w:leftChars="228"/>
        <w:jc w:val="both"/>
        <w:rPr>
          <w:rFonts w:hint="eastAsia" w:ascii="仿宋_GB2312" w:hAnsi="仿宋_GB2312" w:eastAsia="仿宋_GB2312" w:cs="仿宋_GB2312"/>
          <w:color w:val="auto"/>
          <w:kern w:val="0"/>
          <w:sz w:val="32"/>
          <w:szCs w:val="32"/>
          <w:shd w:val="clear" w:color="auto" w:fill="FFFFFF"/>
          <w:lang w:val="en-US" w:eastAsia="zh-CN" w:bidi="ar-SA"/>
        </w:rPr>
      </w:pPr>
      <w:r>
        <w:rPr>
          <w:rFonts w:hint="eastAsia" w:ascii="仿宋_GB2312" w:hAnsi="仿宋_GB2312" w:eastAsia="仿宋_GB2312" w:cs="仿宋_GB2312"/>
          <w:color w:val="auto"/>
          <w:kern w:val="0"/>
          <w:sz w:val="32"/>
          <w:szCs w:val="32"/>
          <w:shd w:val="clear" w:color="auto" w:fill="FFFFFF"/>
          <w:lang w:val="en-US" w:eastAsia="zh-CN" w:bidi="ar-SA"/>
        </w:rPr>
        <w:t xml:space="preserve">联系方式：18709962925　　　　　 </w:t>
      </w:r>
      <w:bookmarkStart w:id="4" w:name="_Toc28359086"/>
      <w:bookmarkStart w:id="5" w:name="_Toc28359009"/>
    </w:p>
    <w:p w14:paraId="7142216C">
      <w:pPr>
        <w:widowControl/>
        <w:shd w:val="clear" w:color="auto" w:fill="FFFFFF"/>
        <w:spacing w:before="0" w:beforeAutospacing="0" w:after="0" w:afterAutospacing="0" w:line="336" w:lineRule="auto"/>
        <w:ind w:left="479" w:leftChars="228"/>
        <w:jc w:val="both"/>
        <w:rPr>
          <w:rFonts w:hint="eastAsia" w:ascii="仿宋_GB2312" w:hAnsi="仿宋_GB2312" w:eastAsia="仿宋_GB2312" w:cs="仿宋_GB2312"/>
          <w:color w:val="auto"/>
          <w:kern w:val="0"/>
          <w:sz w:val="32"/>
          <w:szCs w:val="32"/>
          <w:shd w:val="clear" w:color="auto" w:fill="FFFFFF"/>
          <w:lang w:val="en-US" w:eastAsia="zh-CN" w:bidi="ar-SA"/>
        </w:rPr>
      </w:pPr>
      <w:r>
        <w:rPr>
          <w:rFonts w:hint="eastAsia" w:ascii="仿宋_GB2312" w:hAnsi="仿宋_GB2312" w:eastAsia="仿宋_GB2312" w:cs="仿宋_GB2312"/>
          <w:color w:val="auto"/>
          <w:kern w:val="0"/>
          <w:sz w:val="32"/>
          <w:szCs w:val="32"/>
          <w:shd w:val="clear" w:color="auto" w:fill="FFFFFF"/>
          <w:lang w:val="en-US" w:eastAsia="zh-CN" w:bidi="ar-SA"/>
        </w:rPr>
        <w:t>2.采购代理机构信息</w:t>
      </w:r>
      <w:bookmarkEnd w:id="4"/>
      <w:bookmarkEnd w:id="5"/>
    </w:p>
    <w:p w14:paraId="4589010A">
      <w:pPr>
        <w:widowControl/>
        <w:shd w:val="clear" w:color="auto" w:fill="FFFFFF"/>
        <w:spacing w:before="0" w:beforeAutospacing="0" w:after="0" w:afterAutospacing="0" w:line="336" w:lineRule="auto"/>
        <w:ind w:left="479" w:leftChars="228"/>
        <w:jc w:val="both"/>
        <w:rPr>
          <w:rFonts w:hint="eastAsia" w:ascii="仿宋_GB2312" w:hAnsi="仿宋_GB2312" w:eastAsia="仿宋_GB2312" w:cs="仿宋_GB2312"/>
          <w:color w:val="auto"/>
          <w:kern w:val="0"/>
          <w:sz w:val="32"/>
          <w:szCs w:val="32"/>
          <w:shd w:val="clear" w:color="auto" w:fill="FFFFFF"/>
          <w:lang w:val="en-US" w:eastAsia="zh-CN" w:bidi="ar-SA"/>
        </w:rPr>
      </w:pPr>
      <w:r>
        <w:rPr>
          <w:rFonts w:hint="eastAsia" w:ascii="仿宋_GB2312" w:hAnsi="仿宋_GB2312" w:eastAsia="仿宋_GB2312" w:cs="仿宋_GB2312"/>
          <w:color w:val="auto"/>
          <w:kern w:val="0"/>
          <w:sz w:val="32"/>
          <w:szCs w:val="32"/>
          <w:shd w:val="clear" w:color="auto" w:fill="FFFFFF"/>
          <w:lang w:val="en-US" w:eastAsia="zh-CN" w:bidi="ar-SA"/>
        </w:rPr>
        <w:t>名 称：新疆金斌工程项目管理有限公司　　　　　　　　　　　　</w:t>
      </w:r>
    </w:p>
    <w:p w14:paraId="30494349">
      <w:pPr>
        <w:widowControl/>
        <w:shd w:val="clear" w:color="auto" w:fill="FFFFFF"/>
        <w:spacing w:before="0" w:beforeAutospacing="0" w:after="0" w:afterAutospacing="0" w:line="336" w:lineRule="auto"/>
        <w:ind w:left="479" w:leftChars="228"/>
        <w:jc w:val="both"/>
        <w:rPr>
          <w:rFonts w:hint="eastAsia" w:ascii="仿宋_GB2312" w:hAnsi="仿宋_GB2312" w:eastAsia="仿宋_GB2312" w:cs="仿宋_GB2312"/>
          <w:color w:val="auto"/>
          <w:kern w:val="0"/>
          <w:sz w:val="32"/>
          <w:szCs w:val="32"/>
          <w:shd w:val="clear" w:color="auto" w:fill="FFFFFF"/>
          <w:lang w:val="en-US" w:eastAsia="zh-CN" w:bidi="ar-SA"/>
        </w:rPr>
      </w:pPr>
      <w:r>
        <w:rPr>
          <w:rFonts w:hint="eastAsia" w:ascii="仿宋_GB2312" w:hAnsi="仿宋_GB2312" w:eastAsia="仿宋_GB2312" w:cs="仿宋_GB2312"/>
          <w:color w:val="auto"/>
          <w:kern w:val="0"/>
          <w:sz w:val="32"/>
          <w:szCs w:val="32"/>
          <w:shd w:val="clear" w:color="auto" w:fill="FFFFFF"/>
          <w:lang w:val="en-US" w:eastAsia="zh-CN" w:bidi="ar-SA"/>
        </w:rPr>
        <w:t>地　址：伊宁市福安国际1号商业楼413室　　　　　　　　　　　　</w:t>
      </w:r>
    </w:p>
    <w:p w14:paraId="26B782AD">
      <w:pPr>
        <w:widowControl/>
        <w:shd w:val="clear" w:color="auto" w:fill="FFFFFF"/>
        <w:spacing w:before="0" w:beforeAutospacing="0" w:after="0" w:afterAutospacing="0" w:line="336" w:lineRule="auto"/>
        <w:ind w:left="479" w:leftChars="228"/>
        <w:jc w:val="both"/>
        <w:rPr>
          <w:rFonts w:hint="eastAsia" w:ascii="仿宋_GB2312" w:hAnsi="仿宋_GB2312" w:eastAsia="仿宋_GB2312" w:cs="仿宋_GB2312"/>
          <w:color w:val="auto"/>
          <w:kern w:val="0"/>
          <w:sz w:val="32"/>
          <w:szCs w:val="32"/>
          <w:shd w:val="clear" w:color="auto" w:fill="FFFFFF"/>
          <w:lang w:val="en-US" w:eastAsia="zh-CN" w:bidi="ar-SA"/>
        </w:rPr>
      </w:pPr>
      <w:r>
        <w:rPr>
          <w:rFonts w:hint="eastAsia" w:ascii="仿宋_GB2312" w:hAnsi="仿宋_GB2312" w:eastAsia="仿宋_GB2312" w:cs="仿宋_GB2312"/>
          <w:color w:val="auto"/>
          <w:kern w:val="0"/>
          <w:sz w:val="32"/>
          <w:szCs w:val="32"/>
          <w:shd w:val="clear" w:color="auto" w:fill="FFFFFF"/>
          <w:lang w:val="en-US" w:eastAsia="zh-CN" w:bidi="ar-SA"/>
        </w:rPr>
        <w:t>联系方式：</w:t>
      </w:r>
      <w:bookmarkStart w:id="6" w:name="_Toc28359087"/>
      <w:bookmarkStart w:id="7" w:name="_Toc28359010"/>
      <w:r>
        <w:rPr>
          <w:rFonts w:hint="eastAsia" w:ascii="仿宋_GB2312" w:hAnsi="仿宋_GB2312" w:eastAsia="仿宋_GB2312" w:cs="仿宋_GB2312"/>
          <w:color w:val="auto"/>
          <w:kern w:val="0"/>
          <w:sz w:val="32"/>
          <w:szCs w:val="32"/>
          <w:shd w:val="clear" w:color="auto" w:fill="FFFFFF"/>
          <w:lang w:val="en-US" w:eastAsia="zh-CN" w:bidi="ar-SA"/>
        </w:rPr>
        <w:t>13201118511　　　　　　　　　　　　</w:t>
      </w:r>
    </w:p>
    <w:p w14:paraId="2B9A7464">
      <w:pPr>
        <w:widowControl/>
        <w:shd w:val="clear" w:color="auto" w:fill="FFFFFF"/>
        <w:spacing w:before="0" w:beforeAutospacing="0" w:after="0" w:afterAutospacing="0" w:line="336" w:lineRule="auto"/>
        <w:ind w:left="479" w:leftChars="228"/>
        <w:jc w:val="both"/>
        <w:rPr>
          <w:rFonts w:hint="eastAsia" w:ascii="仿宋_GB2312" w:hAnsi="仿宋_GB2312" w:eastAsia="仿宋_GB2312" w:cs="仿宋_GB2312"/>
          <w:color w:val="auto"/>
          <w:kern w:val="0"/>
          <w:sz w:val="32"/>
          <w:szCs w:val="32"/>
          <w:shd w:val="clear" w:color="auto" w:fill="FFFFFF"/>
          <w:lang w:val="en-US" w:eastAsia="zh-CN" w:bidi="ar-SA"/>
        </w:rPr>
      </w:pPr>
      <w:r>
        <w:rPr>
          <w:rFonts w:hint="eastAsia" w:ascii="仿宋_GB2312" w:hAnsi="仿宋_GB2312" w:eastAsia="仿宋_GB2312" w:cs="仿宋_GB2312"/>
          <w:color w:val="auto"/>
          <w:kern w:val="0"/>
          <w:sz w:val="32"/>
          <w:szCs w:val="32"/>
          <w:shd w:val="clear" w:color="auto" w:fill="FFFFFF"/>
          <w:lang w:val="en-US" w:eastAsia="zh-CN" w:bidi="ar-SA"/>
        </w:rPr>
        <w:t>3.项目联系方式</w:t>
      </w:r>
      <w:bookmarkEnd w:id="6"/>
      <w:bookmarkEnd w:id="7"/>
    </w:p>
    <w:p w14:paraId="66E67BAD">
      <w:pPr>
        <w:widowControl/>
        <w:shd w:val="clear" w:color="auto" w:fill="FFFFFF"/>
        <w:spacing w:before="0" w:beforeAutospacing="0" w:after="0" w:afterAutospacing="0" w:line="336" w:lineRule="auto"/>
        <w:ind w:left="479" w:leftChars="228"/>
        <w:jc w:val="both"/>
        <w:rPr>
          <w:rFonts w:hint="eastAsia" w:ascii="仿宋_GB2312" w:hAnsi="仿宋_GB2312" w:eastAsia="仿宋_GB2312" w:cs="仿宋_GB2312"/>
          <w:color w:val="auto"/>
          <w:kern w:val="0"/>
          <w:sz w:val="32"/>
          <w:szCs w:val="32"/>
          <w:shd w:val="clear" w:color="auto" w:fill="FFFFFF"/>
          <w:lang w:val="en-US" w:eastAsia="zh-CN" w:bidi="ar-SA"/>
        </w:rPr>
      </w:pPr>
      <w:r>
        <w:rPr>
          <w:rFonts w:hint="eastAsia" w:ascii="仿宋_GB2312" w:hAnsi="仿宋_GB2312" w:eastAsia="仿宋_GB2312" w:cs="仿宋_GB2312"/>
          <w:color w:val="auto"/>
          <w:kern w:val="0"/>
          <w:sz w:val="32"/>
          <w:szCs w:val="32"/>
          <w:shd w:val="clear" w:color="auto" w:fill="FFFFFF"/>
          <w:lang w:val="en-US" w:eastAsia="zh-CN" w:bidi="ar-SA"/>
        </w:rPr>
        <w:t>项目联系人：黄新新</w:t>
      </w:r>
    </w:p>
    <w:p w14:paraId="4B0D224F">
      <w:pPr>
        <w:widowControl/>
        <w:shd w:val="clear" w:color="auto" w:fill="FFFFFF"/>
        <w:spacing w:before="0" w:beforeAutospacing="0" w:after="0" w:afterAutospacing="0" w:line="336" w:lineRule="auto"/>
        <w:ind w:left="479" w:leftChars="228"/>
        <w:jc w:val="both"/>
        <w:rPr>
          <w:rFonts w:hint="eastAsia" w:ascii="仿宋_GB2312" w:hAnsi="仿宋_GB2312" w:eastAsia="仿宋_GB2312" w:cs="仿宋_GB2312"/>
          <w:color w:val="auto"/>
          <w:kern w:val="0"/>
          <w:sz w:val="32"/>
          <w:szCs w:val="32"/>
          <w:shd w:val="clear" w:color="auto" w:fill="FFFFFF"/>
          <w:lang w:val="en-US" w:eastAsia="zh-CN" w:bidi="ar-SA"/>
        </w:rPr>
      </w:pPr>
      <w:r>
        <w:rPr>
          <w:rFonts w:hint="eastAsia" w:ascii="仿宋_GB2312" w:hAnsi="仿宋_GB2312" w:eastAsia="仿宋_GB2312" w:cs="仿宋_GB2312"/>
          <w:color w:val="auto"/>
          <w:kern w:val="0"/>
          <w:sz w:val="32"/>
          <w:szCs w:val="32"/>
          <w:shd w:val="clear" w:color="auto" w:fill="FFFFFF"/>
          <w:lang w:val="en-US" w:eastAsia="zh-CN" w:bidi="ar-SA"/>
        </w:rPr>
        <w:t>电　话：13201118511　</w:t>
      </w:r>
    </w:p>
    <w:p w14:paraId="2C84CB85">
      <w:pPr>
        <w:pStyle w:val="24"/>
        <w:spacing w:line="360" w:lineRule="auto"/>
        <w:rPr>
          <w:rFonts w:hint="eastAsia" w:ascii="仿宋" w:hAnsi="仿宋" w:eastAsia="仿宋" w:cs="仿宋"/>
          <w:snapToGrid w:val="0"/>
          <w:color w:val="auto"/>
          <w:kern w:val="2"/>
          <w:sz w:val="44"/>
          <w:szCs w:val="44"/>
          <w:lang w:val="en-US" w:eastAsia="zh-CN"/>
        </w:rPr>
      </w:pPr>
    </w:p>
    <w:p w14:paraId="73775FAE">
      <w:pPr>
        <w:rPr>
          <w:rFonts w:hint="eastAsia" w:ascii="仿宋" w:hAnsi="仿宋" w:eastAsia="仿宋" w:cs="仿宋"/>
          <w:b/>
          <w:snapToGrid w:val="0"/>
          <w:color w:val="auto"/>
          <w:sz w:val="44"/>
          <w:szCs w:val="44"/>
        </w:rPr>
      </w:pPr>
    </w:p>
    <w:p w14:paraId="33D61992">
      <w:pPr>
        <w:rPr>
          <w:rFonts w:hint="eastAsia" w:ascii="仿宋" w:hAnsi="仿宋" w:eastAsia="仿宋" w:cs="仿宋"/>
          <w:b/>
          <w:snapToGrid w:val="0"/>
          <w:color w:val="auto"/>
          <w:sz w:val="44"/>
          <w:szCs w:val="44"/>
        </w:rPr>
      </w:pPr>
    </w:p>
    <w:p w14:paraId="3F8D38B8">
      <w:pPr>
        <w:rPr>
          <w:rFonts w:hint="eastAsia" w:ascii="仿宋" w:hAnsi="仿宋" w:eastAsia="仿宋" w:cs="仿宋"/>
          <w:b/>
          <w:snapToGrid w:val="0"/>
          <w:color w:val="auto"/>
          <w:sz w:val="44"/>
          <w:szCs w:val="44"/>
        </w:rPr>
      </w:pPr>
    </w:p>
    <w:p w14:paraId="491A8F08">
      <w:pPr>
        <w:rPr>
          <w:rFonts w:hint="eastAsia" w:ascii="仿宋" w:hAnsi="仿宋" w:eastAsia="仿宋" w:cs="仿宋"/>
          <w:b/>
          <w:snapToGrid w:val="0"/>
          <w:color w:val="auto"/>
          <w:sz w:val="44"/>
          <w:szCs w:val="44"/>
        </w:rPr>
      </w:pPr>
    </w:p>
    <w:p w14:paraId="5F884733">
      <w:pPr>
        <w:rPr>
          <w:rFonts w:hint="eastAsia" w:ascii="仿宋" w:hAnsi="仿宋" w:eastAsia="仿宋" w:cs="仿宋"/>
          <w:b/>
          <w:snapToGrid w:val="0"/>
          <w:color w:val="auto"/>
          <w:sz w:val="44"/>
          <w:szCs w:val="44"/>
        </w:rPr>
      </w:pPr>
    </w:p>
    <w:p w14:paraId="0FBE75FE">
      <w:pPr>
        <w:rPr>
          <w:rFonts w:hint="eastAsia" w:ascii="仿宋" w:hAnsi="仿宋" w:eastAsia="仿宋" w:cs="仿宋"/>
          <w:b/>
          <w:snapToGrid w:val="0"/>
          <w:color w:val="auto"/>
          <w:sz w:val="44"/>
          <w:szCs w:val="44"/>
        </w:rPr>
      </w:pPr>
    </w:p>
    <w:p w14:paraId="0B455D36">
      <w:pPr>
        <w:rPr>
          <w:rFonts w:hint="eastAsia" w:ascii="仿宋" w:hAnsi="仿宋" w:eastAsia="仿宋" w:cs="仿宋"/>
          <w:b/>
          <w:snapToGrid w:val="0"/>
          <w:color w:val="auto"/>
          <w:sz w:val="44"/>
          <w:szCs w:val="44"/>
        </w:rPr>
      </w:pPr>
    </w:p>
    <w:p w14:paraId="7795BABB">
      <w:pPr>
        <w:rPr>
          <w:rFonts w:hint="eastAsia" w:ascii="仿宋" w:hAnsi="仿宋" w:eastAsia="仿宋" w:cs="仿宋"/>
          <w:b/>
          <w:snapToGrid w:val="0"/>
          <w:color w:val="auto"/>
          <w:sz w:val="44"/>
          <w:szCs w:val="44"/>
        </w:rPr>
      </w:pPr>
    </w:p>
    <w:p w14:paraId="6CCFF76C">
      <w:pPr>
        <w:rPr>
          <w:rFonts w:hint="eastAsia" w:ascii="仿宋" w:hAnsi="仿宋" w:eastAsia="仿宋" w:cs="仿宋"/>
          <w:b/>
          <w:snapToGrid w:val="0"/>
          <w:color w:val="auto"/>
          <w:sz w:val="44"/>
          <w:szCs w:val="44"/>
        </w:rPr>
      </w:pPr>
    </w:p>
    <w:p w14:paraId="02736441">
      <w:pPr>
        <w:rPr>
          <w:rFonts w:ascii="仿宋" w:hAnsi="仿宋" w:eastAsia="仿宋" w:cs="仿宋"/>
          <w:b/>
          <w:snapToGrid w:val="0"/>
          <w:color w:val="auto"/>
          <w:sz w:val="44"/>
          <w:szCs w:val="44"/>
        </w:rPr>
      </w:pPr>
    </w:p>
    <w:p w14:paraId="075EA9CB">
      <w:pPr>
        <w:pStyle w:val="24"/>
        <w:spacing w:line="360" w:lineRule="auto"/>
        <w:rPr>
          <w:rFonts w:hint="eastAsia" w:ascii="方正小标宋_GBK" w:hAnsi="方正小标宋_GBK" w:eastAsia="方正小标宋_GBK" w:cs="方正小标宋_GBK"/>
          <w:b w:val="0"/>
          <w:bCs w:val="0"/>
          <w:color w:val="auto"/>
          <w:kern w:val="2"/>
          <w:lang w:val="en-US" w:eastAsia="zh-CN"/>
        </w:rPr>
      </w:pPr>
      <w:r>
        <w:rPr>
          <w:rFonts w:hint="eastAsia" w:ascii="方正小标宋_GBK" w:hAnsi="方正小标宋_GBK" w:eastAsia="方正小标宋_GBK" w:cs="方正小标宋_GBK"/>
          <w:b w:val="0"/>
          <w:bCs w:val="0"/>
          <w:color w:val="auto"/>
          <w:kern w:val="2"/>
          <w:lang w:val="en-US" w:eastAsia="zh-CN"/>
        </w:rPr>
        <w:t xml:space="preserve">第二章 </w:t>
      </w:r>
      <w:bookmarkStart w:id="8" w:name="_Toc5345_WPSOffice_Level1"/>
      <w:r>
        <w:rPr>
          <w:rFonts w:hint="eastAsia" w:ascii="方正小标宋_GBK" w:hAnsi="方正小标宋_GBK" w:eastAsia="方正小标宋_GBK" w:cs="方正小标宋_GBK"/>
          <w:b w:val="0"/>
          <w:bCs w:val="0"/>
          <w:color w:val="auto"/>
          <w:kern w:val="2"/>
          <w:lang w:val="en-US" w:eastAsia="zh-CN"/>
        </w:rPr>
        <w:t>投标须知前附表</w:t>
      </w:r>
      <w:bookmarkEnd w:id="1"/>
      <w:bookmarkEnd w:id="8"/>
    </w:p>
    <w:tbl>
      <w:tblPr>
        <w:tblStyle w:val="27"/>
        <w:tblW w:w="10533" w:type="dxa"/>
        <w:tblInd w:w="-735"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46"/>
        <w:gridCol w:w="1937"/>
        <w:gridCol w:w="1281"/>
        <w:gridCol w:w="2183"/>
        <w:gridCol w:w="1889"/>
        <w:gridCol w:w="2497"/>
      </w:tblGrid>
      <w:tr w14:paraId="4047B8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05" w:hRule="atLeast"/>
        </w:trPr>
        <w:tc>
          <w:tcPr>
            <w:tcW w:w="746" w:type="dxa"/>
            <w:noWrap w:val="0"/>
            <w:vAlign w:val="center"/>
          </w:tcPr>
          <w:p w14:paraId="1753B4F6">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b/>
                <w:bCs/>
                <w:color w:val="auto"/>
                <w:kern w:val="0"/>
                <w:sz w:val="32"/>
                <w:szCs w:val="32"/>
              </w:rPr>
              <w:t>序号</w:t>
            </w:r>
          </w:p>
        </w:tc>
        <w:tc>
          <w:tcPr>
            <w:tcW w:w="1937" w:type="dxa"/>
            <w:noWrap w:val="0"/>
            <w:vAlign w:val="center"/>
          </w:tcPr>
          <w:p w14:paraId="52C0DE41">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b/>
                <w:bCs/>
                <w:color w:val="auto"/>
                <w:kern w:val="0"/>
                <w:sz w:val="32"/>
                <w:szCs w:val="32"/>
              </w:rPr>
              <w:t>条款名称</w:t>
            </w:r>
          </w:p>
        </w:tc>
        <w:tc>
          <w:tcPr>
            <w:tcW w:w="7850" w:type="dxa"/>
            <w:gridSpan w:val="4"/>
            <w:tcBorders>
              <w:bottom w:val="single" w:color="auto" w:sz="4" w:space="0"/>
            </w:tcBorders>
            <w:noWrap w:val="0"/>
            <w:vAlign w:val="center"/>
          </w:tcPr>
          <w:p w14:paraId="20464158">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b/>
                <w:bCs/>
                <w:color w:val="auto"/>
                <w:kern w:val="0"/>
                <w:sz w:val="32"/>
                <w:szCs w:val="32"/>
              </w:rPr>
              <w:t>内容</w:t>
            </w:r>
          </w:p>
        </w:tc>
      </w:tr>
      <w:tr w14:paraId="662A8E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4" w:hRule="atLeast"/>
        </w:trPr>
        <w:tc>
          <w:tcPr>
            <w:tcW w:w="746" w:type="dxa"/>
            <w:vMerge w:val="restart"/>
            <w:noWrap w:val="0"/>
            <w:vAlign w:val="center"/>
          </w:tcPr>
          <w:p w14:paraId="3010CA5D">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1</w:t>
            </w:r>
          </w:p>
        </w:tc>
        <w:tc>
          <w:tcPr>
            <w:tcW w:w="1937" w:type="dxa"/>
            <w:vMerge w:val="restart"/>
            <w:noWrap w:val="0"/>
            <w:vAlign w:val="center"/>
          </w:tcPr>
          <w:p w14:paraId="514F3F77">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项目名称</w:t>
            </w:r>
          </w:p>
        </w:tc>
        <w:tc>
          <w:tcPr>
            <w:tcW w:w="1281" w:type="dxa"/>
            <w:tcBorders>
              <w:top w:val="single" w:color="auto" w:sz="4" w:space="0"/>
              <w:bottom w:val="single" w:color="auto" w:sz="4" w:space="0"/>
              <w:right w:val="single" w:color="auto" w:sz="4" w:space="0"/>
            </w:tcBorders>
            <w:noWrap w:val="0"/>
            <w:vAlign w:val="center"/>
          </w:tcPr>
          <w:p w14:paraId="0EF4CCA3">
            <w:pPr>
              <w:keepNext w:val="0"/>
              <w:keepLines w:val="0"/>
              <w:pageBreakBefore w:val="0"/>
              <w:kinsoku/>
              <w:wordWrap/>
              <w:topLinePunct w:val="0"/>
              <w:autoSpaceDE w:val="0"/>
              <w:autoSpaceDN w:val="0"/>
              <w:bidi w:val="0"/>
              <w:adjustRightInd w:val="0"/>
              <w:spacing w:line="360" w:lineRule="auto"/>
              <w:jc w:val="center"/>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名称</w:t>
            </w:r>
          </w:p>
        </w:tc>
        <w:tc>
          <w:tcPr>
            <w:tcW w:w="6569" w:type="dxa"/>
            <w:gridSpan w:val="3"/>
            <w:tcBorders>
              <w:top w:val="single" w:color="auto" w:sz="4" w:space="0"/>
              <w:left w:val="single" w:color="auto" w:sz="4" w:space="0"/>
              <w:bottom w:val="single" w:color="auto" w:sz="4" w:space="0"/>
            </w:tcBorders>
            <w:noWrap w:val="0"/>
            <w:vAlign w:val="center"/>
          </w:tcPr>
          <w:p w14:paraId="4D8264DF">
            <w:pPr>
              <w:widowControl/>
              <w:shd w:val="clear" w:color="auto" w:fill="FFFFFF"/>
              <w:spacing w:before="0" w:beforeAutospacing="0" w:after="0" w:afterAutospacing="0" w:line="336" w:lineRule="auto"/>
              <w:jc w:val="left"/>
              <w:rPr>
                <w:rFonts w:hint="eastAsia" w:ascii="仿宋_GB2312" w:hAnsi="仿宋_GB2312" w:eastAsia="仿宋_GB2312" w:cs="仿宋_GB2312"/>
                <w:b/>
                <w:color w:val="auto"/>
                <w:sz w:val="32"/>
                <w:szCs w:val="32"/>
                <w:lang w:eastAsia="zh-CN"/>
              </w:rPr>
            </w:pPr>
            <w:r>
              <w:rPr>
                <w:rFonts w:hint="eastAsia" w:ascii="仿宋_GB2312" w:hAnsi="仿宋_GB2312" w:eastAsia="仿宋_GB2312" w:cs="仿宋_GB2312"/>
                <w:color w:val="auto"/>
                <w:sz w:val="32"/>
                <w:szCs w:val="32"/>
                <w:lang w:eastAsia="zh-CN"/>
              </w:rPr>
              <w:t>新疆维吾尔自治区伊宁某某单位生活物资采购</w:t>
            </w:r>
            <w:r>
              <w:rPr>
                <w:rFonts w:hint="eastAsia" w:ascii="仿宋_GB2312" w:hAnsi="仿宋_GB2312" w:eastAsia="仿宋_GB2312" w:cs="仿宋_GB2312"/>
                <w:color w:val="auto"/>
                <w:kern w:val="0"/>
                <w:sz w:val="32"/>
                <w:szCs w:val="32"/>
                <w:shd w:val="clear" w:color="auto" w:fill="FFFFFF"/>
                <w:lang w:val="en-US" w:eastAsia="zh-CN" w:bidi="ar-SA"/>
              </w:rPr>
              <w:t>（一标段米、面、油类）</w:t>
            </w:r>
          </w:p>
        </w:tc>
      </w:tr>
      <w:tr w14:paraId="0129F4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2" w:hRule="atLeast"/>
        </w:trPr>
        <w:tc>
          <w:tcPr>
            <w:tcW w:w="746" w:type="dxa"/>
            <w:vMerge w:val="continue"/>
            <w:noWrap w:val="0"/>
            <w:vAlign w:val="center"/>
          </w:tcPr>
          <w:p w14:paraId="15926A8A">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p>
        </w:tc>
        <w:tc>
          <w:tcPr>
            <w:tcW w:w="1937" w:type="dxa"/>
            <w:vMerge w:val="continue"/>
            <w:noWrap w:val="0"/>
            <w:vAlign w:val="center"/>
          </w:tcPr>
          <w:p w14:paraId="5FCC902C">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p>
        </w:tc>
        <w:tc>
          <w:tcPr>
            <w:tcW w:w="1281" w:type="dxa"/>
            <w:tcBorders>
              <w:top w:val="single" w:color="auto" w:sz="4" w:space="0"/>
              <w:right w:val="single" w:color="auto" w:sz="4" w:space="0"/>
            </w:tcBorders>
            <w:noWrap w:val="0"/>
            <w:vAlign w:val="center"/>
          </w:tcPr>
          <w:p w14:paraId="5B9D4F5D">
            <w:pPr>
              <w:keepNext w:val="0"/>
              <w:keepLines w:val="0"/>
              <w:pageBreakBefore w:val="0"/>
              <w:kinsoku/>
              <w:wordWrap/>
              <w:topLinePunct w:val="0"/>
              <w:autoSpaceDE w:val="0"/>
              <w:autoSpaceDN w:val="0"/>
              <w:bidi w:val="0"/>
              <w:adjustRightInd w:val="0"/>
              <w:spacing w:line="360" w:lineRule="auto"/>
              <w:jc w:val="center"/>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编号</w:t>
            </w:r>
          </w:p>
        </w:tc>
        <w:tc>
          <w:tcPr>
            <w:tcW w:w="6569" w:type="dxa"/>
            <w:gridSpan w:val="3"/>
            <w:tcBorders>
              <w:top w:val="single" w:color="auto" w:sz="4" w:space="0"/>
              <w:left w:val="single" w:color="auto" w:sz="4" w:space="0"/>
            </w:tcBorders>
            <w:noWrap w:val="0"/>
            <w:vAlign w:val="center"/>
          </w:tcPr>
          <w:p w14:paraId="6FFF9D03">
            <w:pPr>
              <w:keepNext w:val="0"/>
              <w:keepLines w:val="0"/>
              <w:pageBreakBefore w:val="0"/>
              <w:kinsoku/>
              <w:wordWrap/>
              <w:topLinePunct w:val="0"/>
              <w:autoSpaceDE w:val="0"/>
              <w:autoSpaceDN w:val="0"/>
              <w:bidi w:val="0"/>
              <w:adjustRightInd w:val="0"/>
              <w:spacing w:line="360" w:lineRule="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color="auto" w:fill="FFFFFF"/>
              </w:rPr>
              <w:t>XJJB-2026-0</w:t>
            </w:r>
            <w:r>
              <w:rPr>
                <w:rFonts w:hint="eastAsia" w:ascii="仿宋_GB2312" w:hAnsi="仿宋_GB2312" w:eastAsia="仿宋_GB2312" w:cs="仿宋_GB2312"/>
                <w:color w:val="auto"/>
                <w:sz w:val="32"/>
                <w:szCs w:val="32"/>
                <w:shd w:val="clear" w:color="auto" w:fill="FFFFFF"/>
                <w:lang w:val="en-US" w:eastAsia="zh-CN"/>
              </w:rPr>
              <w:t>64</w:t>
            </w:r>
          </w:p>
        </w:tc>
      </w:tr>
      <w:tr w14:paraId="5DFF22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4" w:hRule="atLeast"/>
        </w:trPr>
        <w:tc>
          <w:tcPr>
            <w:tcW w:w="746" w:type="dxa"/>
            <w:vMerge w:val="restart"/>
            <w:noWrap w:val="0"/>
            <w:vAlign w:val="center"/>
          </w:tcPr>
          <w:p w14:paraId="68C86281">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2</w:t>
            </w:r>
          </w:p>
        </w:tc>
        <w:tc>
          <w:tcPr>
            <w:tcW w:w="1937" w:type="dxa"/>
            <w:vMerge w:val="restart"/>
            <w:noWrap w:val="0"/>
            <w:vAlign w:val="center"/>
          </w:tcPr>
          <w:p w14:paraId="55D87F38">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采购人</w:t>
            </w:r>
          </w:p>
        </w:tc>
        <w:tc>
          <w:tcPr>
            <w:tcW w:w="1281" w:type="dxa"/>
            <w:tcBorders>
              <w:bottom w:val="single" w:color="auto" w:sz="4" w:space="0"/>
              <w:right w:val="single" w:color="auto" w:sz="4" w:space="0"/>
            </w:tcBorders>
            <w:noWrap w:val="0"/>
            <w:vAlign w:val="center"/>
          </w:tcPr>
          <w:p w14:paraId="564B4DC8">
            <w:pPr>
              <w:keepNext w:val="0"/>
              <w:keepLines w:val="0"/>
              <w:pageBreakBefore w:val="0"/>
              <w:kinsoku/>
              <w:wordWrap/>
              <w:topLinePunct w:val="0"/>
              <w:bidi w:val="0"/>
              <w:spacing w:line="360" w:lineRule="auto"/>
              <w:jc w:val="center"/>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名称</w:t>
            </w:r>
          </w:p>
        </w:tc>
        <w:tc>
          <w:tcPr>
            <w:tcW w:w="6569" w:type="dxa"/>
            <w:gridSpan w:val="3"/>
            <w:tcBorders>
              <w:left w:val="single" w:color="auto" w:sz="4" w:space="0"/>
              <w:bottom w:val="single" w:color="auto" w:sz="4" w:space="0"/>
            </w:tcBorders>
            <w:noWrap w:val="0"/>
            <w:vAlign w:val="center"/>
          </w:tcPr>
          <w:p w14:paraId="70A20BE5">
            <w:pPr>
              <w:keepNext w:val="0"/>
              <w:keepLines w:val="0"/>
              <w:pageBreakBefore w:val="0"/>
              <w:kinsoku/>
              <w:wordWrap/>
              <w:topLinePunct w:val="0"/>
              <w:bidi w:val="0"/>
              <w:spacing w:line="360" w:lineRule="auto"/>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zh-CN"/>
              </w:rPr>
              <w:t>新疆维吾尔自治区伊宁某某某单位</w:t>
            </w:r>
          </w:p>
        </w:tc>
      </w:tr>
      <w:tr w14:paraId="5C767D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2" w:hRule="atLeast"/>
        </w:trPr>
        <w:tc>
          <w:tcPr>
            <w:tcW w:w="746" w:type="dxa"/>
            <w:vMerge w:val="continue"/>
            <w:noWrap w:val="0"/>
            <w:vAlign w:val="center"/>
          </w:tcPr>
          <w:p w14:paraId="3AA46107">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p>
        </w:tc>
        <w:tc>
          <w:tcPr>
            <w:tcW w:w="1937" w:type="dxa"/>
            <w:vMerge w:val="continue"/>
            <w:noWrap w:val="0"/>
            <w:vAlign w:val="center"/>
          </w:tcPr>
          <w:p w14:paraId="18186898">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p>
        </w:tc>
        <w:tc>
          <w:tcPr>
            <w:tcW w:w="1281" w:type="dxa"/>
            <w:tcBorders>
              <w:top w:val="single" w:color="auto" w:sz="4" w:space="0"/>
              <w:bottom w:val="single" w:color="auto" w:sz="4" w:space="0"/>
              <w:right w:val="single" w:color="auto" w:sz="4" w:space="0"/>
            </w:tcBorders>
            <w:noWrap w:val="0"/>
            <w:vAlign w:val="center"/>
          </w:tcPr>
          <w:p w14:paraId="480018B4">
            <w:pPr>
              <w:keepNext w:val="0"/>
              <w:keepLines w:val="0"/>
              <w:pageBreakBefore w:val="0"/>
              <w:kinsoku/>
              <w:wordWrap/>
              <w:topLinePunct w:val="0"/>
              <w:bidi w:val="0"/>
              <w:spacing w:line="360" w:lineRule="auto"/>
              <w:jc w:val="center"/>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b/>
                <w:color w:val="auto"/>
                <w:sz w:val="32"/>
                <w:szCs w:val="32"/>
                <w:lang w:val="zh-CN"/>
              </w:rPr>
              <w:t>联系人</w:t>
            </w:r>
          </w:p>
        </w:tc>
        <w:tc>
          <w:tcPr>
            <w:tcW w:w="2183" w:type="dxa"/>
            <w:tcBorders>
              <w:top w:val="single" w:color="auto" w:sz="4" w:space="0"/>
              <w:left w:val="single" w:color="auto" w:sz="4" w:space="0"/>
              <w:bottom w:val="single" w:color="auto" w:sz="4" w:space="0"/>
              <w:right w:val="single" w:color="auto" w:sz="4" w:space="0"/>
            </w:tcBorders>
            <w:noWrap w:val="0"/>
            <w:vAlign w:val="center"/>
          </w:tcPr>
          <w:p w14:paraId="1B4A27D2">
            <w:pPr>
              <w:keepNext w:val="0"/>
              <w:keepLines w:val="0"/>
              <w:pageBreakBefore w:val="0"/>
              <w:kinsoku/>
              <w:wordWrap/>
              <w:topLinePunct w:val="0"/>
              <w:bidi w:val="0"/>
              <w:spacing w:line="360" w:lineRule="auto"/>
              <w:jc w:val="center"/>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en-US" w:eastAsia="zh-CN"/>
              </w:rPr>
              <w:t>李庆宏</w:t>
            </w:r>
            <w:r>
              <w:rPr>
                <w:rFonts w:hint="eastAsia" w:ascii="仿宋_GB2312" w:hAnsi="仿宋_GB2312" w:eastAsia="仿宋_GB2312" w:cs="仿宋_GB2312"/>
                <w:color w:val="auto"/>
                <w:sz w:val="32"/>
                <w:szCs w:val="32"/>
                <w:lang w:val="zh-CN"/>
              </w:rPr>
              <w:t xml:space="preserve"> </w:t>
            </w:r>
          </w:p>
        </w:tc>
        <w:tc>
          <w:tcPr>
            <w:tcW w:w="1889" w:type="dxa"/>
            <w:tcBorders>
              <w:top w:val="single" w:color="auto" w:sz="4" w:space="0"/>
              <w:left w:val="single" w:color="auto" w:sz="4" w:space="0"/>
              <w:bottom w:val="single" w:color="auto" w:sz="4" w:space="0"/>
              <w:right w:val="single" w:color="auto" w:sz="4" w:space="0"/>
            </w:tcBorders>
            <w:noWrap w:val="0"/>
            <w:vAlign w:val="center"/>
          </w:tcPr>
          <w:p w14:paraId="26A736B4">
            <w:pPr>
              <w:keepNext w:val="0"/>
              <w:keepLines w:val="0"/>
              <w:pageBreakBefore w:val="0"/>
              <w:kinsoku/>
              <w:wordWrap/>
              <w:topLinePunct w:val="0"/>
              <w:bidi w:val="0"/>
              <w:spacing w:line="360" w:lineRule="auto"/>
              <w:jc w:val="center"/>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联系电话</w:t>
            </w:r>
          </w:p>
        </w:tc>
        <w:tc>
          <w:tcPr>
            <w:tcW w:w="2497" w:type="dxa"/>
            <w:tcBorders>
              <w:top w:val="single" w:color="auto" w:sz="4" w:space="0"/>
              <w:left w:val="single" w:color="auto" w:sz="4" w:space="0"/>
              <w:bottom w:val="single" w:color="auto" w:sz="4" w:space="0"/>
            </w:tcBorders>
            <w:noWrap w:val="0"/>
            <w:vAlign w:val="center"/>
          </w:tcPr>
          <w:p w14:paraId="0293E23C">
            <w:pPr>
              <w:keepNext w:val="0"/>
              <w:keepLines w:val="0"/>
              <w:pageBreakBefore w:val="0"/>
              <w:kinsoku/>
              <w:wordWrap/>
              <w:topLinePunct w:val="0"/>
              <w:bidi w:val="0"/>
              <w:spacing w:line="360" w:lineRule="auto"/>
              <w:jc w:val="center"/>
              <w:rPr>
                <w:rFonts w:hint="default" w:ascii="仿宋_GB2312" w:hAnsi="仿宋_GB2312" w:eastAsia="仿宋_GB2312" w:cs="仿宋_GB2312"/>
                <w:color w:val="auto"/>
                <w:sz w:val="32"/>
                <w:szCs w:val="32"/>
                <w:lang w:val="en-US"/>
              </w:rPr>
            </w:pPr>
            <w:r>
              <w:rPr>
                <w:rFonts w:hint="eastAsia" w:ascii="仿宋_GB2312" w:hAnsi="仿宋_GB2312" w:eastAsia="仿宋_GB2312" w:cs="仿宋_GB2312"/>
                <w:color w:val="auto"/>
                <w:sz w:val="32"/>
                <w:szCs w:val="32"/>
                <w:lang w:val="zh-CN"/>
              </w:rPr>
              <w:t xml:space="preserve"> </w:t>
            </w:r>
            <w:r>
              <w:rPr>
                <w:rFonts w:hint="eastAsia" w:ascii="仿宋_GB2312" w:hAnsi="仿宋_GB2312" w:eastAsia="仿宋_GB2312" w:cs="仿宋_GB2312"/>
                <w:color w:val="auto"/>
                <w:sz w:val="32"/>
                <w:szCs w:val="32"/>
                <w:lang w:val="en-US" w:eastAsia="zh-CN"/>
              </w:rPr>
              <w:t>18709962925</w:t>
            </w:r>
          </w:p>
        </w:tc>
      </w:tr>
      <w:tr w14:paraId="5DD505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11" w:hRule="atLeast"/>
        </w:trPr>
        <w:tc>
          <w:tcPr>
            <w:tcW w:w="746" w:type="dxa"/>
            <w:vMerge w:val="continue"/>
            <w:noWrap w:val="0"/>
            <w:vAlign w:val="center"/>
          </w:tcPr>
          <w:p w14:paraId="25B0C464">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p>
        </w:tc>
        <w:tc>
          <w:tcPr>
            <w:tcW w:w="1937" w:type="dxa"/>
            <w:vMerge w:val="continue"/>
            <w:noWrap w:val="0"/>
            <w:vAlign w:val="center"/>
          </w:tcPr>
          <w:p w14:paraId="17995669">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p>
        </w:tc>
        <w:tc>
          <w:tcPr>
            <w:tcW w:w="1281" w:type="dxa"/>
            <w:tcBorders>
              <w:top w:val="single" w:color="auto" w:sz="4" w:space="0"/>
              <w:right w:val="single" w:color="auto" w:sz="4" w:space="0"/>
            </w:tcBorders>
            <w:noWrap w:val="0"/>
            <w:vAlign w:val="center"/>
          </w:tcPr>
          <w:p w14:paraId="516DC5C7">
            <w:pPr>
              <w:keepNext w:val="0"/>
              <w:keepLines w:val="0"/>
              <w:pageBreakBefore w:val="0"/>
              <w:kinsoku/>
              <w:wordWrap/>
              <w:topLinePunct w:val="0"/>
              <w:bidi w:val="0"/>
              <w:spacing w:line="360" w:lineRule="auto"/>
              <w:jc w:val="center"/>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地址</w:t>
            </w:r>
          </w:p>
        </w:tc>
        <w:tc>
          <w:tcPr>
            <w:tcW w:w="6569" w:type="dxa"/>
            <w:gridSpan w:val="3"/>
            <w:tcBorders>
              <w:top w:val="single" w:color="auto" w:sz="4" w:space="0"/>
              <w:left w:val="single" w:color="auto" w:sz="4" w:space="0"/>
            </w:tcBorders>
            <w:noWrap w:val="0"/>
            <w:vAlign w:val="center"/>
          </w:tcPr>
          <w:p w14:paraId="5154AA58">
            <w:pPr>
              <w:keepNext w:val="0"/>
              <w:keepLines w:val="0"/>
              <w:pageBreakBefore w:val="0"/>
              <w:kinsoku/>
              <w:wordWrap/>
              <w:topLinePunct w:val="0"/>
              <w:bidi w:val="0"/>
              <w:spacing w:line="360" w:lineRule="auto"/>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color="auto" w:fill="FFFFFF"/>
                <w:lang w:eastAsia="zh-CN"/>
              </w:rPr>
              <w:t>伊宁市康复路</w:t>
            </w:r>
          </w:p>
        </w:tc>
      </w:tr>
      <w:tr w14:paraId="022DC9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2" w:hRule="atLeast"/>
        </w:trPr>
        <w:tc>
          <w:tcPr>
            <w:tcW w:w="746" w:type="dxa"/>
            <w:vMerge w:val="restart"/>
            <w:noWrap w:val="0"/>
            <w:vAlign w:val="center"/>
          </w:tcPr>
          <w:p w14:paraId="43A2F2F8">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3</w:t>
            </w:r>
          </w:p>
        </w:tc>
        <w:tc>
          <w:tcPr>
            <w:tcW w:w="1937" w:type="dxa"/>
            <w:vMerge w:val="restart"/>
            <w:noWrap w:val="0"/>
            <w:vAlign w:val="center"/>
          </w:tcPr>
          <w:p w14:paraId="41678E6A">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采购代理</w:t>
            </w:r>
          </w:p>
          <w:p w14:paraId="44EF82E6">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机构</w:t>
            </w:r>
          </w:p>
        </w:tc>
        <w:tc>
          <w:tcPr>
            <w:tcW w:w="1281" w:type="dxa"/>
            <w:tcBorders>
              <w:bottom w:val="single" w:color="auto" w:sz="4" w:space="0"/>
              <w:right w:val="single" w:color="auto" w:sz="4" w:space="0"/>
            </w:tcBorders>
            <w:noWrap w:val="0"/>
            <w:vAlign w:val="center"/>
          </w:tcPr>
          <w:p w14:paraId="10B31702">
            <w:pPr>
              <w:keepNext w:val="0"/>
              <w:keepLines w:val="0"/>
              <w:pageBreakBefore w:val="0"/>
              <w:kinsoku/>
              <w:wordWrap/>
              <w:topLinePunct w:val="0"/>
              <w:bidi w:val="0"/>
              <w:spacing w:line="360" w:lineRule="auto"/>
              <w:jc w:val="center"/>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名称</w:t>
            </w:r>
          </w:p>
        </w:tc>
        <w:tc>
          <w:tcPr>
            <w:tcW w:w="6569" w:type="dxa"/>
            <w:gridSpan w:val="3"/>
            <w:tcBorders>
              <w:left w:val="single" w:color="auto" w:sz="4" w:space="0"/>
              <w:bottom w:val="single" w:color="auto" w:sz="4" w:space="0"/>
            </w:tcBorders>
            <w:noWrap w:val="0"/>
            <w:vAlign w:val="center"/>
          </w:tcPr>
          <w:p w14:paraId="581FD321">
            <w:pPr>
              <w:keepNext w:val="0"/>
              <w:keepLines w:val="0"/>
              <w:pageBreakBefore w:val="0"/>
              <w:kinsoku/>
              <w:wordWrap/>
              <w:topLinePunct w:val="0"/>
              <w:bidi w:val="0"/>
              <w:spacing w:line="360" w:lineRule="auto"/>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zh-CN"/>
              </w:rPr>
              <w:t>新疆金斌工程项目管理有限公司</w:t>
            </w:r>
          </w:p>
        </w:tc>
      </w:tr>
      <w:tr w14:paraId="2C37FB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2" w:hRule="atLeast"/>
        </w:trPr>
        <w:tc>
          <w:tcPr>
            <w:tcW w:w="746" w:type="dxa"/>
            <w:vMerge w:val="continue"/>
            <w:noWrap w:val="0"/>
            <w:vAlign w:val="center"/>
          </w:tcPr>
          <w:p w14:paraId="2F824E20">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p>
        </w:tc>
        <w:tc>
          <w:tcPr>
            <w:tcW w:w="1937" w:type="dxa"/>
            <w:vMerge w:val="continue"/>
            <w:noWrap w:val="0"/>
            <w:vAlign w:val="center"/>
          </w:tcPr>
          <w:p w14:paraId="1C4C0DE6">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p>
        </w:tc>
        <w:tc>
          <w:tcPr>
            <w:tcW w:w="1281" w:type="dxa"/>
            <w:tcBorders>
              <w:top w:val="single" w:color="auto" w:sz="4" w:space="0"/>
              <w:bottom w:val="single" w:color="auto" w:sz="4" w:space="0"/>
              <w:right w:val="single" w:color="auto" w:sz="4" w:space="0"/>
            </w:tcBorders>
            <w:noWrap w:val="0"/>
            <w:vAlign w:val="center"/>
          </w:tcPr>
          <w:p w14:paraId="65086BEF">
            <w:pPr>
              <w:keepNext w:val="0"/>
              <w:keepLines w:val="0"/>
              <w:pageBreakBefore w:val="0"/>
              <w:kinsoku/>
              <w:wordWrap/>
              <w:topLinePunct w:val="0"/>
              <w:bidi w:val="0"/>
              <w:spacing w:line="360" w:lineRule="auto"/>
              <w:jc w:val="center"/>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联系人</w:t>
            </w:r>
          </w:p>
        </w:tc>
        <w:tc>
          <w:tcPr>
            <w:tcW w:w="2183" w:type="dxa"/>
            <w:tcBorders>
              <w:top w:val="single" w:color="auto" w:sz="4" w:space="0"/>
              <w:left w:val="single" w:color="auto" w:sz="4" w:space="0"/>
              <w:bottom w:val="single" w:color="auto" w:sz="4" w:space="0"/>
              <w:right w:val="single" w:color="auto" w:sz="4" w:space="0"/>
            </w:tcBorders>
            <w:noWrap w:val="0"/>
            <w:vAlign w:val="center"/>
          </w:tcPr>
          <w:p w14:paraId="5DD9DFA5">
            <w:pPr>
              <w:keepNext w:val="0"/>
              <w:keepLines w:val="0"/>
              <w:pageBreakBefore w:val="0"/>
              <w:kinsoku/>
              <w:wordWrap/>
              <w:topLinePunct w:val="0"/>
              <w:bidi w:val="0"/>
              <w:spacing w:line="360" w:lineRule="auto"/>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黄新新</w:t>
            </w:r>
          </w:p>
        </w:tc>
        <w:tc>
          <w:tcPr>
            <w:tcW w:w="1889" w:type="dxa"/>
            <w:tcBorders>
              <w:top w:val="single" w:color="auto" w:sz="4" w:space="0"/>
              <w:left w:val="single" w:color="auto" w:sz="4" w:space="0"/>
              <w:bottom w:val="single" w:color="auto" w:sz="4" w:space="0"/>
              <w:right w:val="single" w:color="auto" w:sz="4" w:space="0"/>
            </w:tcBorders>
            <w:noWrap w:val="0"/>
            <w:vAlign w:val="center"/>
          </w:tcPr>
          <w:p w14:paraId="1D416116">
            <w:pPr>
              <w:keepNext w:val="0"/>
              <w:keepLines w:val="0"/>
              <w:pageBreakBefore w:val="0"/>
              <w:kinsoku/>
              <w:wordWrap/>
              <w:topLinePunct w:val="0"/>
              <w:bidi w:val="0"/>
              <w:spacing w:line="360" w:lineRule="auto"/>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联系电话</w:t>
            </w:r>
          </w:p>
        </w:tc>
        <w:tc>
          <w:tcPr>
            <w:tcW w:w="2497" w:type="dxa"/>
            <w:tcBorders>
              <w:top w:val="single" w:color="auto" w:sz="4" w:space="0"/>
              <w:left w:val="single" w:color="auto" w:sz="4" w:space="0"/>
              <w:bottom w:val="single" w:color="auto" w:sz="4" w:space="0"/>
            </w:tcBorders>
            <w:noWrap w:val="0"/>
            <w:vAlign w:val="center"/>
          </w:tcPr>
          <w:p w14:paraId="741A369A">
            <w:pPr>
              <w:keepNext w:val="0"/>
              <w:keepLines w:val="0"/>
              <w:pageBreakBefore w:val="0"/>
              <w:kinsoku/>
              <w:wordWrap/>
              <w:topLinePunct w:val="0"/>
              <w:bidi w:val="0"/>
              <w:spacing w:line="360" w:lineRule="auto"/>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13201118511</w:t>
            </w:r>
          </w:p>
        </w:tc>
      </w:tr>
      <w:tr w14:paraId="121544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1" w:hRule="atLeast"/>
        </w:trPr>
        <w:tc>
          <w:tcPr>
            <w:tcW w:w="746" w:type="dxa"/>
            <w:vMerge w:val="continue"/>
            <w:noWrap w:val="0"/>
            <w:vAlign w:val="center"/>
          </w:tcPr>
          <w:p w14:paraId="3B9FFB41">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p>
        </w:tc>
        <w:tc>
          <w:tcPr>
            <w:tcW w:w="1937" w:type="dxa"/>
            <w:vMerge w:val="continue"/>
            <w:noWrap w:val="0"/>
            <w:vAlign w:val="center"/>
          </w:tcPr>
          <w:p w14:paraId="243778CE">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p>
        </w:tc>
        <w:tc>
          <w:tcPr>
            <w:tcW w:w="1281" w:type="dxa"/>
            <w:tcBorders>
              <w:top w:val="single" w:color="auto" w:sz="4" w:space="0"/>
              <w:right w:val="single" w:color="auto" w:sz="4" w:space="0"/>
            </w:tcBorders>
            <w:noWrap w:val="0"/>
            <w:vAlign w:val="center"/>
          </w:tcPr>
          <w:p w14:paraId="5DA9863B">
            <w:pPr>
              <w:keepNext w:val="0"/>
              <w:keepLines w:val="0"/>
              <w:pageBreakBefore w:val="0"/>
              <w:kinsoku/>
              <w:wordWrap/>
              <w:topLinePunct w:val="0"/>
              <w:bidi w:val="0"/>
              <w:spacing w:line="360" w:lineRule="auto"/>
              <w:jc w:val="center"/>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地址</w:t>
            </w:r>
          </w:p>
        </w:tc>
        <w:tc>
          <w:tcPr>
            <w:tcW w:w="6569" w:type="dxa"/>
            <w:gridSpan w:val="3"/>
            <w:tcBorders>
              <w:top w:val="single" w:color="auto" w:sz="4" w:space="0"/>
              <w:left w:val="single" w:color="auto" w:sz="4" w:space="0"/>
            </w:tcBorders>
            <w:noWrap w:val="0"/>
            <w:vAlign w:val="center"/>
          </w:tcPr>
          <w:p w14:paraId="645D3F06">
            <w:pPr>
              <w:keepNext w:val="0"/>
              <w:keepLines w:val="0"/>
              <w:pageBreakBefore w:val="0"/>
              <w:kinsoku/>
              <w:wordWrap/>
              <w:topLinePunct w:val="0"/>
              <w:bidi w:val="0"/>
              <w:spacing w:line="360" w:lineRule="auto"/>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伊宁市福安国际1号商业楼413室</w:t>
            </w:r>
          </w:p>
        </w:tc>
      </w:tr>
      <w:tr w14:paraId="77B26E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2" w:hRule="atLeast"/>
        </w:trPr>
        <w:tc>
          <w:tcPr>
            <w:tcW w:w="746" w:type="dxa"/>
            <w:noWrap w:val="0"/>
            <w:vAlign w:val="center"/>
          </w:tcPr>
          <w:p w14:paraId="0D315FDA">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4</w:t>
            </w:r>
          </w:p>
        </w:tc>
        <w:tc>
          <w:tcPr>
            <w:tcW w:w="1937" w:type="dxa"/>
            <w:noWrap w:val="0"/>
            <w:vAlign w:val="center"/>
          </w:tcPr>
          <w:p w14:paraId="2B73158F">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采购内容</w:t>
            </w:r>
          </w:p>
        </w:tc>
        <w:tc>
          <w:tcPr>
            <w:tcW w:w="7850" w:type="dxa"/>
            <w:gridSpan w:val="4"/>
            <w:noWrap w:val="0"/>
            <w:vAlign w:val="center"/>
          </w:tcPr>
          <w:p w14:paraId="104D81CB">
            <w:pPr>
              <w:pStyle w:val="23"/>
              <w:keepNext w:val="0"/>
              <w:keepLines w:val="0"/>
              <w:pageBreakBefore w:val="0"/>
              <w:shd w:val="clear" w:color="auto" w:fill="FFFFFF"/>
              <w:kinsoku/>
              <w:wordWrap/>
              <w:topLinePunct w:val="0"/>
              <w:bidi w:val="0"/>
              <w:spacing w:before="0" w:beforeAutospacing="0" w:after="0" w:afterAutospacing="0" w:line="360" w:lineRule="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lang w:val="en-US" w:eastAsia="zh-CN"/>
              </w:rPr>
              <w:t>采购米、面、油一批</w:t>
            </w:r>
            <w:r>
              <w:rPr>
                <w:rFonts w:hint="eastAsia" w:ascii="仿宋_GB2312" w:hAnsi="仿宋_GB2312" w:eastAsia="仿宋_GB2312" w:cs="仿宋_GB2312"/>
                <w:color w:val="auto"/>
                <w:sz w:val="32"/>
                <w:szCs w:val="32"/>
                <w:shd w:val="clear" w:color="auto" w:fill="FFFFFF"/>
              </w:rPr>
              <w:t>。</w:t>
            </w:r>
          </w:p>
        </w:tc>
      </w:tr>
      <w:tr w14:paraId="73F368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746" w:type="dxa"/>
            <w:vMerge w:val="restart"/>
            <w:noWrap w:val="0"/>
            <w:vAlign w:val="center"/>
          </w:tcPr>
          <w:p w14:paraId="7B89DF28">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5</w:t>
            </w:r>
          </w:p>
        </w:tc>
        <w:tc>
          <w:tcPr>
            <w:tcW w:w="1937" w:type="dxa"/>
            <w:vMerge w:val="restart"/>
            <w:noWrap w:val="0"/>
            <w:vAlign w:val="center"/>
          </w:tcPr>
          <w:p w14:paraId="317D509B">
            <w:pPr>
              <w:keepNext w:val="0"/>
              <w:keepLines w:val="0"/>
              <w:pageBreakBefore w:val="0"/>
              <w:widowControl/>
              <w:kinsoku/>
              <w:wordWrap/>
              <w:topLinePunct w:val="0"/>
              <w:bidi w:val="0"/>
              <w:adjustRightInd w:val="0"/>
              <w:snapToGrid w:val="0"/>
              <w:spacing w:before="100" w:beforeAutospacing="1" w:after="100" w:afterAutospacing="1" w:line="360" w:lineRule="auto"/>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采购预算</w:t>
            </w:r>
          </w:p>
          <w:p w14:paraId="56318150">
            <w:pPr>
              <w:keepNext w:val="0"/>
              <w:keepLines w:val="0"/>
              <w:pageBreakBefore w:val="0"/>
              <w:widowControl/>
              <w:kinsoku/>
              <w:wordWrap/>
              <w:topLinePunct w:val="0"/>
              <w:bidi w:val="0"/>
              <w:adjustRightInd w:val="0"/>
              <w:snapToGrid w:val="0"/>
              <w:spacing w:before="100" w:beforeAutospacing="1" w:after="100" w:afterAutospacing="1" w:line="360" w:lineRule="auto"/>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金额</w:t>
            </w:r>
          </w:p>
        </w:tc>
        <w:tc>
          <w:tcPr>
            <w:tcW w:w="7850" w:type="dxa"/>
            <w:gridSpan w:val="4"/>
            <w:tcBorders>
              <w:bottom w:val="single" w:color="auto" w:sz="4" w:space="0"/>
            </w:tcBorders>
            <w:noWrap w:val="0"/>
            <w:vAlign w:val="center"/>
          </w:tcPr>
          <w:p w14:paraId="5BDF2142">
            <w:pPr>
              <w:pStyle w:val="23"/>
              <w:keepNext w:val="0"/>
              <w:keepLines w:val="0"/>
              <w:pageBreakBefore w:val="0"/>
              <w:shd w:val="clear" w:color="auto" w:fill="FFFFFF"/>
              <w:kinsoku/>
              <w:wordWrap/>
              <w:topLinePunct w:val="0"/>
              <w:bidi w:val="0"/>
              <w:spacing w:before="0" w:beforeAutospacing="0" w:after="0" w:afterAutospacing="0" w:line="360" w:lineRule="auto"/>
              <w:rPr>
                <w:rFonts w:hint="eastAsia" w:ascii="仿宋_GB2312" w:hAnsi="仿宋_GB2312" w:eastAsia="仿宋_GB2312" w:cs="仿宋_GB2312"/>
                <w:b/>
                <w:bCs/>
                <w:color w:val="auto"/>
                <w:kern w:val="2"/>
                <w:sz w:val="32"/>
                <w:szCs w:val="32"/>
                <w:lang w:val="en-US" w:eastAsia="zh-CN"/>
              </w:rPr>
            </w:pPr>
            <w:r>
              <w:rPr>
                <w:rFonts w:hint="eastAsia" w:ascii="仿宋_GB2312" w:hAnsi="仿宋_GB2312" w:eastAsia="仿宋_GB2312" w:cs="仿宋_GB2312"/>
                <w:b/>
                <w:bCs/>
                <w:color w:val="auto"/>
                <w:kern w:val="2"/>
                <w:sz w:val="32"/>
                <w:szCs w:val="32"/>
              </w:rPr>
              <w:t>小写（元）：</w:t>
            </w:r>
            <w:r>
              <w:rPr>
                <w:rFonts w:hint="eastAsia" w:ascii="仿宋_GB2312" w:hAnsi="仿宋_GB2312" w:eastAsia="仿宋_GB2312" w:cs="仿宋_GB2312"/>
                <w:b/>
                <w:bCs/>
                <w:color w:val="auto"/>
                <w:kern w:val="2"/>
                <w:sz w:val="32"/>
                <w:szCs w:val="32"/>
                <w:lang w:val="en-US" w:eastAsia="zh-CN"/>
              </w:rPr>
              <w:t>1400000</w:t>
            </w:r>
            <w:r>
              <w:rPr>
                <w:rFonts w:hint="eastAsia" w:ascii="仿宋_GB2312" w:hAnsi="仿宋_GB2312" w:eastAsia="仿宋_GB2312" w:cs="仿宋_GB2312"/>
                <w:b/>
                <w:bCs/>
                <w:color w:val="auto"/>
                <w:kern w:val="2"/>
                <w:sz w:val="32"/>
                <w:szCs w:val="32"/>
              </w:rPr>
              <w:t>.00   大写：</w:t>
            </w:r>
            <w:r>
              <w:rPr>
                <w:rFonts w:hint="eastAsia" w:ascii="仿宋_GB2312" w:hAnsi="仿宋_GB2312" w:eastAsia="仿宋_GB2312" w:cs="仿宋_GB2312"/>
                <w:b/>
                <w:bCs/>
                <w:color w:val="auto"/>
                <w:kern w:val="2"/>
                <w:sz w:val="32"/>
                <w:szCs w:val="32"/>
                <w:lang w:val="en-US" w:eastAsia="zh-CN"/>
              </w:rPr>
              <w:t>壹佰肆拾万元整</w:t>
            </w:r>
          </w:p>
          <w:p w14:paraId="4B3A03E7">
            <w:pPr>
              <w:pStyle w:val="23"/>
              <w:keepNext w:val="0"/>
              <w:keepLines w:val="0"/>
              <w:pageBreakBefore w:val="0"/>
              <w:shd w:val="clear" w:color="auto" w:fill="FFFFFF"/>
              <w:kinsoku/>
              <w:wordWrap/>
              <w:topLinePunct w:val="0"/>
              <w:bidi w:val="0"/>
              <w:spacing w:before="0" w:beforeAutospacing="0" w:after="0" w:afterAutospacing="0" w:line="360" w:lineRule="auto"/>
              <w:rPr>
                <w:rFonts w:hint="eastAsia" w:ascii="仿宋_GB2312" w:hAnsi="仿宋_GB2312" w:eastAsia="仿宋_GB2312" w:cs="仿宋_GB2312"/>
                <w:b/>
                <w:bCs/>
                <w:color w:val="auto"/>
                <w:sz w:val="32"/>
                <w:szCs w:val="32"/>
                <w:shd w:val="clear" w:color="auto" w:fill="FFFFFF"/>
                <w:lang w:val="zh-TW" w:eastAsia="zh-CN"/>
              </w:rPr>
            </w:pPr>
            <w:r>
              <w:rPr>
                <w:rFonts w:hint="eastAsia" w:ascii="仿宋_GB2312" w:hAnsi="仿宋_GB2312" w:eastAsia="仿宋_GB2312" w:cs="仿宋_GB2312"/>
                <w:b/>
                <w:bCs/>
                <w:color w:val="auto"/>
                <w:sz w:val="32"/>
                <w:szCs w:val="32"/>
                <w:shd w:val="clear" w:color="auto" w:fill="FFFFFF"/>
                <w:lang w:val="en-US" w:eastAsia="zh-CN"/>
              </w:rPr>
              <w:t>注：①</w:t>
            </w:r>
            <w:r>
              <w:rPr>
                <w:rFonts w:hint="eastAsia" w:ascii="仿宋_GB2312" w:hAnsi="仿宋_GB2312" w:eastAsia="仿宋_GB2312" w:cs="仿宋_GB2312"/>
                <w:b/>
                <w:bCs/>
                <w:color w:val="auto"/>
                <w:sz w:val="32"/>
                <w:szCs w:val="32"/>
                <w:shd w:val="clear" w:color="auto" w:fill="FFFFFF"/>
                <w:lang w:val="zh-TW" w:eastAsia="zh-CN"/>
              </w:rPr>
              <w:t>此次</w:t>
            </w:r>
            <w:r>
              <w:rPr>
                <w:rFonts w:hint="eastAsia" w:ascii="仿宋_GB2312" w:hAnsi="仿宋_GB2312" w:eastAsia="仿宋_GB2312" w:cs="仿宋_GB2312"/>
                <w:b/>
                <w:bCs/>
                <w:color w:val="auto"/>
                <w:sz w:val="32"/>
                <w:szCs w:val="32"/>
                <w:shd w:val="clear" w:color="auto" w:fill="FFFFFF"/>
                <w:lang w:val="en-US" w:eastAsia="zh-CN"/>
              </w:rPr>
              <w:t>投标</w:t>
            </w:r>
            <w:r>
              <w:rPr>
                <w:rFonts w:hint="eastAsia" w:ascii="仿宋_GB2312" w:hAnsi="仿宋_GB2312" w:eastAsia="仿宋_GB2312" w:cs="仿宋_GB2312"/>
                <w:b/>
                <w:bCs/>
                <w:color w:val="auto"/>
                <w:sz w:val="32"/>
                <w:szCs w:val="32"/>
                <w:shd w:val="clear" w:color="auto" w:fill="FFFFFF"/>
                <w:lang w:val="zh-TW" w:eastAsia="zh-CN"/>
              </w:rPr>
              <w:t>报价采用单价</w:t>
            </w:r>
            <w:r>
              <w:rPr>
                <w:rFonts w:hint="eastAsia" w:ascii="仿宋_GB2312" w:hAnsi="仿宋_GB2312" w:eastAsia="仿宋_GB2312" w:cs="仿宋_GB2312"/>
                <w:b/>
                <w:bCs/>
                <w:color w:val="auto"/>
                <w:sz w:val="32"/>
                <w:szCs w:val="32"/>
                <w:shd w:val="clear" w:color="auto" w:fill="FFFFFF"/>
                <w:lang w:val="en-US" w:eastAsia="zh-CN"/>
              </w:rPr>
              <w:t>及分项</w:t>
            </w:r>
            <w:r>
              <w:rPr>
                <w:rFonts w:hint="eastAsia" w:ascii="仿宋_GB2312" w:hAnsi="仿宋_GB2312" w:eastAsia="仿宋_GB2312" w:cs="仿宋_GB2312"/>
                <w:b/>
                <w:bCs/>
                <w:color w:val="auto"/>
                <w:sz w:val="32"/>
                <w:szCs w:val="32"/>
                <w:shd w:val="clear" w:color="auto" w:fill="FFFFFF"/>
                <w:lang w:val="zh-TW" w:eastAsia="zh-CN"/>
              </w:rPr>
              <w:t>下浮</w:t>
            </w:r>
            <w:r>
              <w:rPr>
                <w:rFonts w:hint="eastAsia" w:ascii="仿宋_GB2312" w:hAnsi="仿宋_GB2312" w:eastAsia="仿宋_GB2312" w:cs="仿宋_GB2312"/>
                <w:b/>
                <w:bCs/>
                <w:color w:val="auto"/>
                <w:sz w:val="32"/>
                <w:szCs w:val="32"/>
                <w:shd w:val="clear" w:color="auto" w:fill="FFFFFF"/>
                <w:lang w:val="en-US" w:eastAsia="zh-CN"/>
              </w:rPr>
              <w:t>率进行</w:t>
            </w:r>
            <w:r>
              <w:rPr>
                <w:rFonts w:hint="eastAsia" w:ascii="仿宋_GB2312" w:hAnsi="仿宋_GB2312" w:eastAsia="仿宋_GB2312" w:cs="仿宋_GB2312"/>
                <w:b/>
                <w:bCs/>
                <w:color w:val="auto"/>
                <w:sz w:val="32"/>
                <w:szCs w:val="32"/>
                <w:shd w:val="clear" w:color="auto" w:fill="FFFFFF"/>
                <w:lang w:val="zh-TW" w:eastAsia="zh-CN"/>
              </w:rPr>
              <w:t>报价，</w:t>
            </w:r>
            <w:r>
              <w:rPr>
                <w:rFonts w:hint="eastAsia" w:ascii="仿宋_GB2312" w:hAnsi="仿宋_GB2312" w:eastAsia="仿宋_GB2312" w:cs="仿宋_GB2312"/>
                <w:b/>
                <w:bCs/>
                <w:color w:val="auto"/>
                <w:sz w:val="32"/>
                <w:szCs w:val="32"/>
                <w:shd w:val="clear" w:color="auto" w:fill="FFFFFF"/>
                <w:lang w:val="en-US" w:eastAsia="zh-CN"/>
              </w:rPr>
              <w:t>单价仅做后期结算价格参考，不作为本次价格评审；下浮率作为本次价格评审，以中标分项下浮率下浮的方式进行结算当月货款</w:t>
            </w:r>
            <w:r>
              <w:rPr>
                <w:rFonts w:hint="eastAsia" w:ascii="仿宋_GB2312" w:hAnsi="仿宋_GB2312" w:eastAsia="仿宋_GB2312" w:cs="仿宋_GB2312"/>
                <w:b/>
                <w:bCs/>
                <w:color w:val="auto"/>
                <w:sz w:val="32"/>
                <w:szCs w:val="32"/>
                <w:shd w:val="clear" w:color="auto" w:fill="FFFFFF"/>
                <w:lang w:val="zh-TW" w:eastAsia="zh-CN"/>
              </w:rPr>
              <w:t>。</w:t>
            </w:r>
          </w:p>
          <w:p w14:paraId="19C2CD26">
            <w:pPr>
              <w:pStyle w:val="23"/>
              <w:keepNext w:val="0"/>
              <w:keepLines w:val="0"/>
              <w:pageBreakBefore w:val="0"/>
              <w:shd w:val="clear" w:color="auto" w:fill="FFFFFF"/>
              <w:kinsoku/>
              <w:wordWrap/>
              <w:topLinePunct w:val="0"/>
              <w:bidi w:val="0"/>
              <w:spacing w:before="0" w:beforeAutospacing="0" w:after="0" w:afterAutospacing="0" w:line="360" w:lineRule="auto"/>
              <w:rPr>
                <w:rFonts w:hint="default" w:ascii="仿宋_GB2312" w:hAnsi="仿宋_GB2312" w:eastAsia="仿宋_GB2312" w:cs="仿宋_GB2312"/>
                <w:b/>
                <w:bCs/>
                <w:color w:val="auto"/>
                <w:sz w:val="32"/>
                <w:szCs w:val="32"/>
                <w:shd w:val="clear" w:color="auto" w:fill="FFFFFF"/>
                <w:lang w:val="en-US" w:eastAsia="zh-CN"/>
              </w:rPr>
            </w:pPr>
            <w:r>
              <w:rPr>
                <w:rFonts w:hint="eastAsia" w:ascii="仿宋_GB2312" w:hAnsi="仿宋_GB2312" w:eastAsia="仿宋_GB2312" w:cs="仿宋_GB2312"/>
                <w:b/>
                <w:bCs/>
                <w:color w:val="auto"/>
                <w:sz w:val="32"/>
                <w:szCs w:val="32"/>
                <w:shd w:val="clear" w:color="auto" w:fill="FFFFFF"/>
                <w:lang w:val="en-US" w:eastAsia="zh-CN"/>
              </w:rPr>
              <w:t>②下浮率</w:t>
            </w:r>
            <w:r>
              <w:rPr>
                <w:rFonts w:hint="eastAsia" w:ascii="仿宋_GB2312" w:hAnsi="仿宋_GB2312" w:eastAsia="仿宋_GB2312" w:cs="仿宋_GB2312"/>
                <w:b/>
                <w:bCs/>
                <w:color w:val="auto"/>
                <w:sz w:val="32"/>
                <w:szCs w:val="32"/>
                <w:shd w:val="clear" w:color="auto" w:fill="FFFFFF"/>
                <w:lang w:val="zh-TW" w:eastAsia="zh-CN"/>
              </w:rPr>
              <w:t>报价浮动</w:t>
            </w:r>
            <w:r>
              <w:rPr>
                <w:rFonts w:hint="eastAsia" w:ascii="仿宋_GB2312" w:hAnsi="仿宋_GB2312" w:eastAsia="仿宋_GB2312" w:cs="仿宋_GB2312"/>
                <w:b/>
                <w:bCs/>
                <w:color w:val="auto"/>
                <w:sz w:val="32"/>
                <w:szCs w:val="32"/>
                <w:shd w:val="clear" w:color="auto" w:fill="FFFFFF"/>
                <w:lang w:val="en-US" w:eastAsia="zh-CN"/>
              </w:rPr>
              <w:t>100</w:t>
            </w:r>
            <w:r>
              <w:rPr>
                <w:rFonts w:hint="eastAsia" w:ascii="仿宋_GB2312" w:hAnsi="仿宋_GB2312" w:eastAsia="仿宋_GB2312" w:cs="仿宋_GB2312"/>
                <w:b/>
                <w:bCs/>
                <w:color w:val="auto"/>
                <w:sz w:val="32"/>
                <w:szCs w:val="32"/>
                <w:shd w:val="clear" w:color="auto" w:fill="FFFFFF"/>
                <w:lang w:val="zh-TW" w:eastAsia="zh-CN"/>
              </w:rPr>
              <w:t>%</w:t>
            </w:r>
            <w:r>
              <w:rPr>
                <w:rFonts w:hint="eastAsia" w:ascii="仿宋_GB2312" w:hAnsi="仿宋_GB2312" w:eastAsia="仿宋_GB2312" w:cs="仿宋_GB2312"/>
                <w:b/>
                <w:bCs/>
                <w:color w:val="auto"/>
                <w:sz w:val="32"/>
                <w:szCs w:val="32"/>
                <w:shd w:val="clear" w:color="auto" w:fill="FFFFFF"/>
                <w:lang w:val="en-US" w:eastAsia="zh-CN"/>
              </w:rPr>
              <w:t>≥x≥1%</w:t>
            </w:r>
            <w:r>
              <w:rPr>
                <w:rFonts w:hint="eastAsia" w:ascii="仿宋_GB2312" w:hAnsi="仿宋_GB2312" w:eastAsia="仿宋_GB2312" w:cs="仿宋_GB2312"/>
                <w:b/>
                <w:bCs/>
                <w:color w:val="auto"/>
                <w:sz w:val="32"/>
                <w:szCs w:val="32"/>
                <w:shd w:val="clear" w:color="auto" w:fill="FFFFFF"/>
                <w:lang w:val="zh-TW" w:eastAsia="zh-CN"/>
              </w:rPr>
              <w:t>，</w:t>
            </w:r>
            <w:r>
              <w:rPr>
                <w:rFonts w:hint="eastAsia" w:ascii="仿宋_GB2312" w:hAnsi="仿宋_GB2312" w:eastAsia="仿宋_GB2312" w:cs="仿宋_GB2312"/>
                <w:b/>
                <w:bCs/>
                <w:color w:val="auto"/>
                <w:sz w:val="32"/>
                <w:szCs w:val="32"/>
                <w:shd w:val="clear" w:color="auto" w:fill="FFFFFF"/>
                <w:lang w:val="en-US" w:eastAsia="zh-CN"/>
              </w:rPr>
              <w:t>X值为本次报价下浮率（例如:X值报价10%，为打9折计算），本项目按照中标价格作为合同期内供货价格结算当月货款。</w:t>
            </w:r>
          </w:p>
        </w:tc>
      </w:tr>
      <w:tr w14:paraId="0D17B2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746" w:type="dxa"/>
            <w:vMerge w:val="continue"/>
            <w:noWrap w:val="0"/>
            <w:vAlign w:val="center"/>
          </w:tcPr>
          <w:p w14:paraId="4EFC1A47">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p>
        </w:tc>
        <w:tc>
          <w:tcPr>
            <w:tcW w:w="1937" w:type="dxa"/>
            <w:vMerge w:val="continue"/>
            <w:noWrap w:val="0"/>
            <w:vAlign w:val="center"/>
          </w:tcPr>
          <w:p w14:paraId="3A8EAC2D">
            <w:pPr>
              <w:keepNext w:val="0"/>
              <w:keepLines w:val="0"/>
              <w:pageBreakBefore w:val="0"/>
              <w:widowControl/>
              <w:kinsoku/>
              <w:wordWrap/>
              <w:topLinePunct w:val="0"/>
              <w:bidi w:val="0"/>
              <w:adjustRightInd w:val="0"/>
              <w:snapToGrid w:val="0"/>
              <w:spacing w:before="100" w:beforeAutospacing="1" w:after="100" w:afterAutospacing="1" w:line="360" w:lineRule="auto"/>
              <w:jc w:val="center"/>
              <w:rPr>
                <w:rFonts w:hint="eastAsia" w:ascii="仿宋_GB2312" w:hAnsi="仿宋_GB2312" w:eastAsia="仿宋_GB2312" w:cs="仿宋_GB2312"/>
                <w:b/>
                <w:color w:val="auto"/>
                <w:kern w:val="0"/>
                <w:sz w:val="32"/>
                <w:szCs w:val="32"/>
              </w:rPr>
            </w:pPr>
          </w:p>
        </w:tc>
        <w:tc>
          <w:tcPr>
            <w:tcW w:w="7850" w:type="dxa"/>
            <w:gridSpan w:val="4"/>
            <w:tcBorders>
              <w:top w:val="single" w:color="auto" w:sz="4" w:space="0"/>
            </w:tcBorders>
            <w:noWrap w:val="0"/>
            <w:vAlign w:val="center"/>
          </w:tcPr>
          <w:p w14:paraId="14AF757C">
            <w:pPr>
              <w:keepNext w:val="0"/>
              <w:keepLines w:val="0"/>
              <w:pageBreakBefore w:val="0"/>
              <w:kinsoku/>
              <w:wordWrap/>
              <w:topLinePunct w:val="0"/>
              <w:bidi w:val="0"/>
              <w:spacing w:line="360" w:lineRule="auto"/>
              <w:rPr>
                <w:rFonts w:hint="eastAsia" w:ascii="仿宋_GB2312" w:hAnsi="仿宋_GB2312" w:eastAsia="仿宋_GB2312" w:cs="仿宋_GB2312"/>
                <w:color w:val="auto"/>
                <w:sz w:val="32"/>
                <w:szCs w:val="32"/>
                <w:shd w:val="clear" w:color="auto" w:fill="FFFFFF"/>
                <w:lang w:val="zh-TW"/>
              </w:rPr>
            </w:pPr>
            <w:r>
              <w:rPr>
                <w:rFonts w:hint="eastAsia" w:ascii="仿宋_GB2312" w:hAnsi="仿宋_GB2312" w:eastAsia="仿宋_GB2312" w:cs="仿宋_GB2312"/>
                <w:color w:val="auto"/>
                <w:sz w:val="32"/>
                <w:szCs w:val="32"/>
                <w:shd w:val="clear" w:color="auto" w:fill="FFFFFF"/>
                <w:lang w:val="zh-TW"/>
              </w:rPr>
              <w:t>1、各投标人的投标报价不得高于采购预算</w:t>
            </w:r>
            <w:r>
              <w:rPr>
                <w:rFonts w:hint="eastAsia" w:ascii="仿宋_GB2312" w:hAnsi="仿宋_GB2312" w:eastAsia="仿宋_GB2312" w:cs="仿宋_GB2312"/>
                <w:color w:val="auto"/>
                <w:sz w:val="32"/>
                <w:szCs w:val="32"/>
                <w:shd w:val="clear" w:color="auto" w:fill="FFFFFF"/>
                <w:lang w:val="en-US" w:eastAsia="zh-CN"/>
              </w:rPr>
              <w:t>分项的单价</w:t>
            </w:r>
            <w:r>
              <w:rPr>
                <w:rFonts w:hint="eastAsia" w:ascii="仿宋_GB2312" w:hAnsi="仿宋_GB2312" w:eastAsia="仿宋_GB2312" w:cs="仿宋_GB2312"/>
                <w:color w:val="auto"/>
                <w:sz w:val="32"/>
                <w:szCs w:val="32"/>
                <w:shd w:val="clear" w:color="auto" w:fill="FFFFFF"/>
                <w:lang w:val="zh-TW"/>
              </w:rPr>
              <w:t>，</w:t>
            </w:r>
            <w:r>
              <w:rPr>
                <w:rFonts w:hint="eastAsia" w:ascii="仿宋_GB2312" w:hAnsi="仿宋_GB2312" w:eastAsia="仿宋_GB2312" w:cs="仿宋_GB2312"/>
                <w:color w:val="auto"/>
                <w:sz w:val="32"/>
                <w:szCs w:val="32"/>
                <w:shd w:val="clear" w:color="auto" w:fill="FFFFFF"/>
                <w:lang w:val="en-US" w:eastAsia="zh-CN"/>
              </w:rPr>
              <w:t>也不得超过或低于区间值的下浮率，</w:t>
            </w:r>
            <w:r>
              <w:rPr>
                <w:rFonts w:hint="eastAsia" w:ascii="仿宋_GB2312" w:hAnsi="仿宋_GB2312" w:eastAsia="仿宋_GB2312" w:cs="仿宋_GB2312"/>
                <w:color w:val="auto"/>
                <w:sz w:val="32"/>
                <w:szCs w:val="32"/>
                <w:shd w:val="clear" w:color="auto" w:fill="FFFFFF"/>
                <w:lang w:val="zh-TW"/>
              </w:rPr>
              <w:t>否则将否决其投标。</w:t>
            </w:r>
          </w:p>
          <w:p w14:paraId="7C984961">
            <w:pPr>
              <w:keepNext w:val="0"/>
              <w:keepLines w:val="0"/>
              <w:pageBreakBefore w:val="0"/>
              <w:kinsoku/>
              <w:wordWrap/>
              <w:topLinePunct w:val="0"/>
              <w:bidi w:val="0"/>
              <w:spacing w:line="360" w:lineRule="auto"/>
              <w:rPr>
                <w:rFonts w:hint="eastAsia" w:ascii="仿宋_GB2312" w:hAnsi="仿宋_GB2312" w:eastAsia="仿宋_GB2312" w:cs="仿宋_GB2312"/>
                <w:color w:val="auto"/>
                <w:sz w:val="32"/>
                <w:szCs w:val="32"/>
                <w:shd w:val="clear" w:color="auto" w:fill="FFFFFF"/>
                <w:lang w:val="zh-TW"/>
              </w:rPr>
            </w:pPr>
            <w:r>
              <w:rPr>
                <w:rFonts w:hint="eastAsia" w:ascii="仿宋_GB2312" w:hAnsi="仿宋_GB2312" w:eastAsia="仿宋_GB2312" w:cs="仿宋_GB2312"/>
                <w:color w:val="auto"/>
                <w:sz w:val="32"/>
                <w:szCs w:val="32"/>
                <w:shd w:val="clear" w:color="auto" w:fill="FFFFFF"/>
              </w:rPr>
              <w:t>2、</w:t>
            </w:r>
            <w:r>
              <w:rPr>
                <w:rFonts w:hint="eastAsia" w:ascii="仿宋_GB2312" w:hAnsi="仿宋_GB2312" w:eastAsia="仿宋_GB2312" w:cs="仿宋_GB2312"/>
                <w:color w:val="auto"/>
                <w:sz w:val="32"/>
                <w:szCs w:val="32"/>
                <w:shd w:val="clear" w:color="auto" w:fill="FFFFFF"/>
                <w:lang w:val="zh-TW"/>
              </w:rPr>
              <w:t xml:space="preserve">投标报价为“招标范围”内的总报价。 </w:t>
            </w:r>
          </w:p>
          <w:p w14:paraId="645E258F">
            <w:pPr>
              <w:keepNext w:val="0"/>
              <w:keepLines w:val="0"/>
              <w:pageBreakBefore w:val="0"/>
              <w:kinsoku/>
              <w:wordWrap/>
              <w:topLinePunct w:val="0"/>
              <w:bidi w:val="0"/>
              <w:spacing w:line="360" w:lineRule="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color="auto" w:fill="FFFFFF"/>
              </w:rPr>
              <w:t>3、</w:t>
            </w:r>
            <w:r>
              <w:rPr>
                <w:rFonts w:hint="eastAsia" w:ascii="仿宋_GB2312" w:hAnsi="仿宋_GB2312" w:eastAsia="仿宋_GB2312" w:cs="仿宋_GB2312"/>
                <w:color w:val="auto"/>
                <w:sz w:val="32"/>
                <w:szCs w:val="32"/>
                <w:shd w:val="clear" w:color="auto" w:fill="FFFFFF"/>
                <w:lang w:val="zh-TW"/>
              </w:rPr>
              <w:t>投标人的报价应为所确定的招标范围内的全部工作内容的价格体现，所有费用，且在合同执行过程中，不因任何因素予以调整。</w:t>
            </w:r>
          </w:p>
        </w:tc>
      </w:tr>
      <w:tr w14:paraId="0426E3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97" w:hRule="atLeast"/>
        </w:trPr>
        <w:tc>
          <w:tcPr>
            <w:tcW w:w="746" w:type="dxa"/>
            <w:noWrap w:val="0"/>
            <w:vAlign w:val="center"/>
          </w:tcPr>
          <w:p w14:paraId="0E80128E">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6</w:t>
            </w:r>
          </w:p>
        </w:tc>
        <w:tc>
          <w:tcPr>
            <w:tcW w:w="1937" w:type="dxa"/>
            <w:noWrap w:val="0"/>
            <w:vAlign w:val="center"/>
          </w:tcPr>
          <w:p w14:paraId="599A26D8">
            <w:pPr>
              <w:keepNext w:val="0"/>
              <w:keepLines w:val="0"/>
              <w:pageBreakBefore w:val="0"/>
              <w:kinsoku/>
              <w:wordWrap/>
              <w:topLinePunct w:val="0"/>
              <w:autoSpaceDE w:val="0"/>
              <w:autoSpaceDN w:val="0"/>
              <w:bidi w:val="0"/>
              <w:adjustRightInd w:val="0"/>
              <w:snapToGrid w:val="0"/>
              <w:spacing w:line="360" w:lineRule="auto"/>
              <w:jc w:val="center"/>
              <w:rPr>
                <w:rFonts w:hint="default" w:ascii="仿宋_GB2312" w:hAnsi="仿宋_GB2312" w:eastAsia="仿宋_GB2312" w:cs="仿宋_GB2312"/>
                <w:b/>
                <w:color w:val="auto"/>
                <w:kern w:val="0"/>
                <w:sz w:val="32"/>
                <w:szCs w:val="32"/>
                <w:shd w:val="clear" w:color="auto" w:fill="FFFFFF"/>
                <w:lang w:val="en-US" w:eastAsia="zh-CN"/>
              </w:rPr>
            </w:pPr>
            <w:r>
              <w:rPr>
                <w:rFonts w:hint="eastAsia" w:ascii="仿宋_GB2312" w:hAnsi="仿宋_GB2312" w:eastAsia="仿宋_GB2312" w:cs="仿宋_GB2312"/>
                <w:b/>
                <w:color w:val="auto"/>
                <w:kern w:val="0"/>
                <w:sz w:val="32"/>
                <w:szCs w:val="32"/>
                <w:shd w:val="clear" w:color="auto" w:fill="FFFFFF"/>
                <w:lang w:val="en-US" w:eastAsia="zh-CN"/>
              </w:rPr>
              <w:t>报价范围</w:t>
            </w:r>
          </w:p>
        </w:tc>
        <w:tc>
          <w:tcPr>
            <w:tcW w:w="7850" w:type="dxa"/>
            <w:gridSpan w:val="4"/>
            <w:noWrap w:val="0"/>
            <w:vAlign w:val="center"/>
          </w:tcPr>
          <w:p w14:paraId="69D7A7D0">
            <w:pPr>
              <w:keepNext w:val="0"/>
              <w:keepLines w:val="0"/>
              <w:pageBreakBefore w:val="0"/>
              <w:kinsoku/>
              <w:wordWrap/>
              <w:topLinePunct w:val="0"/>
              <w:bidi w:val="0"/>
              <w:spacing w:line="360" w:lineRule="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color="auto" w:fill="FFFFFF"/>
                <w:lang w:val="en-US" w:eastAsia="zh-CN"/>
              </w:rPr>
              <w:t>以上报价包含</w:t>
            </w:r>
            <w:r>
              <w:rPr>
                <w:rFonts w:hint="eastAsia" w:ascii="仿宋_GB2312" w:hAnsi="仿宋_GB2312" w:eastAsia="仿宋_GB2312" w:cs="仿宋_GB2312"/>
                <w:color w:val="auto"/>
                <w:sz w:val="32"/>
                <w:szCs w:val="32"/>
                <w:shd w:val="clear" w:color="auto" w:fill="FFFFFF"/>
                <w:lang w:val="zh-TW" w:eastAsia="zh-CN"/>
              </w:rPr>
              <w:t>全部货品、税费、包装费、运输费、装卸以及最终将货物卸载、运送、搬货交付到</w:t>
            </w:r>
            <w:r>
              <w:rPr>
                <w:rFonts w:hint="eastAsia" w:ascii="仿宋_GB2312" w:hAnsi="仿宋_GB2312" w:eastAsia="仿宋_GB2312" w:cs="仿宋_GB2312"/>
                <w:color w:val="auto"/>
                <w:sz w:val="32"/>
                <w:szCs w:val="32"/>
                <w:shd w:val="clear" w:color="auto" w:fill="FFFFFF"/>
                <w:lang w:val="en-US" w:eastAsia="zh-CN"/>
              </w:rPr>
              <w:t>采购人</w:t>
            </w:r>
            <w:r>
              <w:rPr>
                <w:rFonts w:hint="eastAsia" w:ascii="仿宋_GB2312" w:hAnsi="仿宋_GB2312" w:eastAsia="仿宋_GB2312" w:cs="仿宋_GB2312"/>
                <w:color w:val="auto"/>
                <w:sz w:val="32"/>
                <w:szCs w:val="32"/>
                <w:shd w:val="clear" w:color="auto" w:fill="FFFFFF"/>
                <w:lang w:val="zh-TW" w:eastAsia="zh-CN"/>
              </w:rPr>
              <w:t>指定区域待</w:t>
            </w:r>
            <w:r>
              <w:rPr>
                <w:rFonts w:hint="eastAsia" w:ascii="仿宋_GB2312" w:hAnsi="仿宋_GB2312" w:eastAsia="仿宋_GB2312" w:cs="仿宋_GB2312"/>
                <w:color w:val="auto"/>
                <w:sz w:val="32"/>
                <w:szCs w:val="32"/>
                <w:shd w:val="clear" w:color="auto" w:fill="FFFFFF"/>
                <w:lang w:val="en-US" w:eastAsia="zh-CN"/>
              </w:rPr>
              <w:t>采购人</w:t>
            </w:r>
            <w:r>
              <w:rPr>
                <w:rFonts w:hint="eastAsia" w:ascii="仿宋_GB2312" w:hAnsi="仿宋_GB2312" w:eastAsia="仿宋_GB2312" w:cs="仿宋_GB2312"/>
                <w:color w:val="auto"/>
                <w:sz w:val="32"/>
                <w:szCs w:val="32"/>
                <w:shd w:val="clear" w:color="auto" w:fill="FFFFFF"/>
                <w:lang w:val="zh-TW" w:eastAsia="zh-CN"/>
              </w:rPr>
              <w:t>验收的全部费用,其他存在或可能存在的各类税、费、成本等亦由</w:t>
            </w:r>
            <w:r>
              <w:rPr>
                <w:rFonts w:hint="eastAsia" w:ascii="仿宋_GB2312" w:hAnsi="仿宋_GB2312" w:eastAsia="仿宋_GB2312" w:cs="仿宋_GB2312"/>
                <w:color w:val="auto"/>
                <w:sz w:val="32"/>
                <w:szCs w:val="32"/>
                <w:shd w:val="clear" w:color="auto" w:fill="FFFFFF"/>
                <w:lang w:val="en-US" w:eastAsia="zh-CN"/>
              </w:rPr>
              <w:t>成交供应商</w:t>
            </w:r>
            <w:r>
              <w:rPr>
                <w:rFonts w:hint="eastAsia" w:ascii="仿宋_GB2312" w:hAnsi="仿宋_GB2312" w:eastAsia="仿宋_GB2312" w:cs="仿宋_GB2312"/>
                <w:color w:val="auto"/>
                <w:sz w:val="32"/>
                <w:szCs w:val="32"/>
                <w:shd w:val="clear" w:color="auto" w:fill="FFFFFF"/>
                <w:lang w:val="zh-TW" w:eastAsia="zh-CN"/>
              </w:rPr>
              <w:t>承担。</w:t>
            </w:r>
          </w:p>
        </w:tc>
      </w:tr>
      <w:tr w14:paraId="512DAD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2" w:hRule="atLeast"/>
        </w:trPr>
        <w:tc>
          <w:tcPr>
            <w:tcW w:w="746" w:type="dxa"/>
            <w:noWrap w:val="0"/>
            <w:vAlign w:val="center"/>
          </w:tcPr>
          <w:p w14:paraId="6225275D">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7</w:t>
            </w:r>
          </w:p>
        </w:tc>
        <w:tc>
          <w:tcPr>
            <w:tcW w:w="1937" w:type="dxa"/>
            <w:noWrap w:val="0"/>
            <w:vAlign w:val="center"/>
          </w:tcPr>
          <w:p w14:paraId="0BBD313F">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shd w:val="clear" w:color="auto" w:fill="FFFFFF"/>
              </w:rPr>
            </w:pPr>
            <w:r>
              <w:rPr>
                <w:rFonts w:hint="eastAsia" w:ascii="仿宋_GB2312" w:hAnsi="仿宋_GB2312" w:eastAsia="仿宋_GB2312" w:cs="仿宋_GB2312"/>
                <w:b/>
                <w:color w:val="auto"/>
                <w:kern w:val="0"/>
                <w:sz w:val="32"/>
                <w:szCs w:val="32"/>
                <w:shd w:val="clear" w:color="auto" w:fill="FFFFFF"/>
              </w:rPr>
              <w:t>采购方式</w:t>
            </w:r>
          </w:p>
        </w:tc>
        <w:tc>
          <w:tcPr>
            <w:tcW w:w="7850" w:type="dxa"/>
            <w:gridSpan w:val="4"/>
            <w:noWrap w:val="0"/>
            <w:vAlign w:val="center"/>
          </w:tcPr>
          <w:p w14:paraId="29489ABE">
            <w:pPr>
              <w:keepNext w:val="0"/>
              <w:keepLines w:val="0"/>
              <w:pageBreakBefore w:val="0"/>
              <w:tabs>
                <w:tab w:val="left" w:pos="4980"/>
                <w:tab w:val="right" w:pos="9000"/>
              </w:tabs>
              <w:kinsoku/>
              <w:wordWrap/>
              <w:topLinePunct w:val="0"/>
              <w:bidi w:val="0"/>
              <w:spacing w:line="360" w:lineRule="auto"/>
              <w:jc w:val="left"/>
              <w:rPr>
                <w:rFonts w:hint="eastAsia" w:ascii="仿宋_GB2312" w:hAnsi="仿宋_GB2312" w:eastAsia="仿宋_GB2312" w:cs="仿宋_GB2312"/>
                <w:b/>
                <w:bCs/>
                <w:color w:val="auto"/>
                <w:sz w:val="32"/>
                <w:szCs w:val="32"/>
              </w:rPr>
            </w:pPr>
            <w:r>
              <w:rPr>
                <w:rFonts w:hint="eastAsia" w:ascii="仿宋_GB2312" w:hAnsi="仿宋_GB2312" w:eastAsia="仿宋_GB2312" w:cs="仿宋_GB2312"/>
                <w:color w:val="auto"/>
                <w:sz w:val="32"/>
                <w:szCs w:val="32"/>
              </w:rPr>
              <w:t>公开招标</w:t>
            </w:r>
          </w:p>
        </w:tc>
      </w:tr>
      <w:tr w14:paraId="4DCC54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2" w:hRule="atLeast"/>
        </w:trPr>
        <w:tc>
          <w:tcPr>
            <w:tcW w:w="746" w:type="dxa"/>
            <w:noWrap w:val="0"/>
            <w:vAlign w:val="center"/>
          </w:tcPr>
          <w:p w14:paraId="69B353D8">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8</w:t>
            </w:r>
          </w:p>
        </w:tc>
        <w:tc>
          <w:tcPr>
            <w:tcW w:w="1937" w:type="dxa"/>
            <w:noWrap w:val="0"/>
            <w:vAlign w:val="center"/>
          </w:tcPr>
          <w:p w14:paraId="15086230">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供货期</w:t>
            </w:r>
          </w:p>
        </w:tc>
        <w:tc>
          <w:tcPr>
            <w:tcW w:w="7850" w:type="dxa"/>
            <w:gridSpan w:val="4"/>
            <w:noWrap w:val="0"/>
            <w:vAlign w:val="center"/>
          </w:tcPr>
          <w:p w14:paraId="6708DB95">
            <w:pPr>
              <w:pStyle w:val="23"/>
              <w:keepNext w:val="0"/>
              <w:keepLines w:val="0"/>
              <w:pageBreakBefore w:val="0"/>
              <w:kinsoku/>
              <w:wordWrap/>
              <w:topLinePunct w:val="0"/>
              <w:bidi w:val="0"/>
              <w:spacing w:before="0" w:beforeAutospacing="0" w:after="0" w:afterAutospacing="0" w:line="360" w:lineRule="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lang w:eastAsia="zh-CN"/>
              </w:rPr>
              <w:t>供货服务期</w:t>
            </w:r>
            <w:r>
              <w:rPr>
                <w:rFonts w:hint="eastAsia" w:ascii="仿宋_GB2312" w:hAnsi="仿宋_GB2312" w:eastAsia="仿宋_GB2312" w:cs="仿宋_GB2312"/>
                <w:color w:val="auto"/>
                <w:sz w:val="32"/>
                <w:szCs w:val="32"/>
                <w:shd w:val="clear" w:color="auto" w:fill="FFFFFF"/>
                <w:lang w:val="en-US" w:eastAsia="zh-CN"/>
              </w:rPr>
              <w:t>1</w:t>
            </w:r>
            <w:r>
              <w:rPr>
                <w:rFonts w:hint="eastAsia" w:ascii="仿宋_GB2312" w:hAnsi="仿宋_GB2312" w:eastAsia="仿宋_GB2312" w:cs="仿宋_GB2312"/>
                <w:color w:val="auto"/>
                <w:sz w:val="32"/>
                <w:szCs w:val="32"/>
                <w:shd w:val="clear" w:color="auto" w:fill="FFFFFF"/>
                <w:lang w:eastAsia="zh-CN"/>
              </w:rPr>
              <w:t>年</w:t>
            </w:r>
            <w:r>
              <w:rPr>
                <w:rFonts w:hint="eastAsia" w:ascii="仿宋_GB2312" w:hAnsi="仿宋_GB2312" w:eastAsia="仿宋_GB2312" w:cs="仿宋_GB2312"/>
                <w:color w:val="auto"/>
                <w:sz w:val="32"/>
                <w:szCs w:val="32"/>
                <w:shd w:val="clear" w:color="auto" w:fill="FFFFFF"/>
              </w:rPr>
              <w:t>。</w:t>
            </w:r>
          </w:p>
        </w:tc>
      </w:tr>
      <w:tr w14:paraId="708360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2" w:hRule="atLeast"/>
        </w:trPr>
        <w:tc>
          <w:tcPr>
            <w:tcW w:w="746" w:type="dxa"/>
            <w:noWrap w:val="0"/>
            <w:vAlign w:val="center"/>
          </w:tcPr>
          <w:p w14:paraId="1A79FB3F">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9</w:t>
            </w:r>
          </w:p>
        </w:tc>
        <w:tc>
          <w:tcPr>
            <w:tcW w:w="1937" w:type="dxa"/>
            <w:noWrap w:val="0"/>
            <w:vAlign w:val="center"/>
          </w:tcPr>
          <w:p w14:paraId="184ECE32">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供货地点</w:t>
            </w:r>
          </w:p>
        </w:tc>
        <w:tc>
          <w:tcPr>
            <w:tcW w:w="7850" w:type="dxa"/>
            <w:gridSpan w:val="4"/>
            <w:noWrap w:val="0"/>
            <w:vAlign w:val="center"/>
          </w:tcPr>
          <w:p w14:paraId="2AF829FB">
            <w:pPr>
              <w:pStyle w:val="73"/>
              <w:keepNext w:val="0"/>
              <w:keepLines w:val="0"/>
              <w:pageBreakBefore w:val="0"/>
              <w:kinsoku/>
              <w:wordWrap/>
              <w:topLinePunct w:val="0"/>
              <w:bidi w:val="0"/>
              <w:spacing w:line="360" w:lineRule="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kern w:val="2"/>
                <w:sz w:val="32"/>
                <w:szCs w:val="32"/>
                <w:shd w:val="clear" w:color="auto" w:fill="FFFFFF"/>
                <w:lang w:val="zh-TW" w:eastAsia="zh-CN" w:bidi="ar-SA"/>
              </w:rPr>
              <w:t>新疆维吾尔自治区伊宁某某某单位（采购人指定地点）</w:t>
            </w:r>
          </w:p>
        </w:tc>
      </w:tr>
      <w:tr w14:paraId="5CCFF7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32" w:hRule="atLeast"/>
        </w:trPr>
        <w:tc>
          <w:tcPr>
            <w:tcW w:w="746" w:type="dxa"/>
            <w:noWrap w:val="0"/>
            <w:vAlign w:val="center"/>
          </w:tcPr>
          <w:p w14:paraId="456F194C">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10</w:t>
            </w:r>
          </w:p>
        </w:tc>
        <w:tc>
          <w:tcPr>
            <w:tcW w:w="1937" w:type="dxa"/>
            <w:noWrap w:val="0"/>
            <w:vAlign w:val="center"/>
          </w:tcPr>
          <w:p w14:paraId="360CB6AF">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付款方式</w:t>
            </w:r>
          </w:p>
        </w:tc>
        <w:tc>
          <w:tcPr>
            <w:tcW w:w="7850" w:type="dxa"/>
            <w:gridSpan w:val="4"/>
            <w:noWrap w:val="0"/>
            <w:vAlign w:val="center"/>
          </w:tcPr>
          <w:p w14:paraId="564097C9">
            <w:pPr>
              <w:pStyle w:val="10"/>
              <w:keepNext w:val="0"/>
              <w:keepLines w:val="0"/>
              <w:pageBreakBefore w:val="0"/>
              <w:kinsoku/>
              <w:wordWrap/>
              <w:topLinePunct w:val="0"/>
              <w:bidi w:val="0"/>
              <w:spacing w:line="360" w:lineRule="auto"/>
              <w:rPr>
                <w:rFonts w:hint="default"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color w:val="auto"/>
                <w:kern w:val="2"/>
                <w:sz w:val="32"/>
                <w:szCs w:val="32"/>
                <w:shd w:val="clear" w:color="auto" w:fill="FFFFFF"/>
                <w:lang w:val="en-US" w:eastAsia="zh-CN" w:bidi="ar-SA"/>
              </w:rPr>
              <w:t>甲乙双方应在当月月底完成当月供货数量核对工作，乙方接到甲方通知后，向甲方提供上月货款的正规发票及相关材料，甲方核实无异议后，在财政资金到位后15个工作日内将货款通过银行转账的方式支付给乙方。</w:t>
            </w:r>
          </w:p>
        </w:tc>
      </w:tr>
      <w:tr w14:paraId="20319A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3" w:hRule="atLeast"/>
        </w:trPr>
        <w:tc>
          <w:tcPr>
            <w:tcW w:w="746" w:type="dxa"/>
            <w:noWrap w:val="0"/>
            <w:vAlign w:val="center"/>
          </w:tcPr>
          <w:p w14:paraId="3113BB1E">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 xml:space="preserve"> 11</w:t>
            </w:r>
          </w:p>
        </w:tc>
        <w:tc>
          <w:tcPr>
            <w:tcW w:w="1937" w:type="dxa"/>
            <w:noWrap w:val="0"/>
            <w:vAlign w:val="center"/>
          </w:tcPr>
          <w:p w14:paraId="27BD5BD0">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质量要求</w:t>
            </w:r>
          </w:p>
        </w:tc>
        <w:tc>
          <w:tcPr>
            <w:tcW w:w="7850" w:type="dxa"/>
            <w:gridSpan w:val="4"/>
            <w:noWrap w:val="0"/>
            <w:vAlign w:val="center"/>
          </w:tcPr>
          <w:p w14:paraId="15D65229">
            <w:pPr>
              <w:pStyle w:val="73"/>
              <w:keepNext w:val="0"/>
              <w:keepLines w:val="0"/>
              <w:pageBreakBefore w:val="0"/>
              <w:kinsoku/>
              <w:wordWrap/>
              <w:topLinePunct w:val="0"/>
              <w:bidi w:val="0"/>
              <w:spacing w:line="360" w:lineRule="auto"/>
              <w:rPr>
                <w:rFonts w:hint="eastAsia" w:ascii="仿宋_GB2312" w:hAnsi="仿宋_GB2312" w:eastAsia="仿宋_GB2312" w:cs="仿宋_GB2312"/>
                <w:color w:val="auto"/>
                <w:kern w:val="2"/>
                <w:sz w:val="32"/>
                <w:szCs w:val="32"/>
                <w:shd w:val="clear" w:color="auto" w:fill="FFFFFF"/>
                <w:lang w:val="zh-TW" w:eastAsia="zh-CN" w:bidi="ar-SA"/>
              </w:rPr>
            </w:pPr>
            <w:r>
              <w:rPr>
                <w:rFonts w:hint="eastAsia" w:ascii="仿宋_GB2312" w:hAnsi="仿宋_GB2312" w:eastAsia="仿宋_GB2312" w:cs="仿宋_GB2312"/>
                <w:color w:val="auto"/>
                <w:kern w:val="2"/>
                <w:sz w:val="32"/>
                <w:szCs w:val="32"/>
                <w:shd w:val="clear" w:color="auto" w:fill="FFFFFF"/>
                <w:lang w:val="en-US" w:eastAsia="zh-CN" w:bidi="ar-SA"/>
              </w:rPr>
              <w:t>1、</w:t>
            </w:r>
            <w:r>
              <w:rPr>
                <w:rFonts w:hint="eastAsia" w:ascii="仿宋_GB2312" w:hAnsi="仿宋_GB2312" w:eastAsia="仿宋_GB2312" w:cs="仿宋_GB2312"/>
                <w:color w:val="auto"/>
                <w:kern w:val="2"/>
                <w:sz w:val="32"/>
                <w:szCs w:val="32"/>
                <w:shd w:val="clear" w:color="auto" w:fill="FFFFFF"/>
                <w:lang w:val="zh-TW" w:eastAsia="zh-CN" w:bidi="ar-SA"/>
              </w:rPr>
              <w:t>质量要求：</w:t>
            </w:r>
            <w:r>
              <w:rPr>
                <w:rFonts w:hint="eastAsia" w:ascii="仿宋_GB2312" w:hAnsi="仿宋_GB2312" w:eastAsia="仿宋_GB2312" w:cs="仿宋_GB2312"/>
                <w:color w:val="auto"/>
                <w:kern w:val="2"/>
                <w:sz w:val="32"/>
                <w:szCs w:val="32"/>
                <w:shd w:val="clear" w:color="auto" w:fill="FFFFFF"/>
                <w:lang w:val="zh-CN" w:eastAsia="zh-CN" w:bidi="ar-SA"/>
              </w:rPr>
              <w:t>须符合国家、行业标准及</w:t>
            </w:r>
            <w:r>
              <w:rPr>
                <w:rFonts w:hint="eastAsia" w:ascii="仿宋_GB2312" w:hAnsi="仿宋_GB2312" w:eastAsia="仿宋_GB2312" w:cs="仿宋_GB2312"/>
                <w:color w:val="auto"/>
                <w:kern w:val="2"/>
                <w:sz w:val="32"/>
                <w:szCs w:val="32"/>
                <w:shd w:val="clear" w:color="auto" w:fill="FFFFFF"/>
                <w:lang w:val="zh-TW" w:eastAsia="zh-CN" w:bidi="ar-SA"/>
              </w:rPr>
              <w:t>相关法律法规的要求；</w:t>
            </w:r>
          </w:p>
          <w:p w14:paraId="1D79D0B5">
            <w:pPr>
              <w:pStyle w:val="23"/>
              <w:keepNext w:val="0"/>
              <w:keepLines w:val="0"/>
              <w:pageBreakBefore w:val="0"/>
              <w:kinsoku/>
              <w:wordWrap/>
              <w:topLinePunct w:val="0"/>
              <w:bidi w:val="0"/>
              <w:spacing w:before="0" w:beforeAutospacing="0" w:after="0" w:afterAutospacing="0" w:line="360" w:lineRule="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kern w:val="2"/>
                <w:sz w:val="32"/>
                <w:szCs w:val="32"/>
                <w:shd w:val="clear" w:color="auto" w:fill="FFFFFF"/>
                <w:lang w:val="en-US" w:eastAsia="zh-CN" w:bidi="ar-SA"/>
              </w:rPr>
              <w:t>2、</w:t>
            </w:r>
            <w:r>
              <w:rPr>
                <w:rFonts w:hint="eastAsia" w:ascii="仿宋_GB2312" w:hAnsi="仿宋_GB2312" w:eastAsia="仿宋_GB2312" w:cs="仿宋_GB2312"/>
                <w:color w:val="auto"/>
                <w:kern w:val="2"/>
                <w:sz w:val="32"/>
                <w:szCs w:val="32"/>
                <w:shd w:val="clear" w:color="auto" w:fill="FFFFFF"/>
                <w:lang w:val="zh-TW" w:eastAsia="zh-CN" w:bidi="ar-SA"/>
              </w:rPr>
              <w:t>执行标准：</w:t>
            </w:r>
            <w:r>
              <w:rPr>
                <w:rFonts w:hint="eastAsia" w:ascii="仿宋_GB2312" w:hAnsi="仿宋_GB2312" w:eastAsia="仿宋_GB2312" w:cs="仿宋_GB2312"/>
                <w:color w:val="auto"/>
                <w:kern w:val="2"/>
                <w:sz w:val="32"/>
                <w:szCs w:val="32"/>
                <w:shd w:val="clear" w:color="auto" w:fill="FFFFFF"/>
                <w:lang w:val="zh-CN" w:eastAsia="zh-CN" w:bidi="ar-SA"/>
              </w:rPr>
              <w:t>须符合</w:t>
            </w:r>
            <w:r>
              <w:rPr>
                <w:rFonts w:hint="eastAsia" w:ascii="仿宋_GB2312" w:hAnsi="仿宋_GB2312" w:eastAsia="仿宋_GB2312" w:cs="仿宋_GB2312"/>
                <w:color w:val="auto"/>
                <w:kern w:val="2"/>
                <w:sz w:val="32"/>
                <w:szCs w:val="32"/>
                <w:shd w:val="clear" w:color="auto" w:fill="FFFFFF"/>
                <w:lang w:val="zh-TW" w:eastAsia="zh-CN" w:bidi="ar-SA"/>
              </w:rPr>
              <w:t>第五章采购</w:t>
            </w:r>
            <w:r>
              <w:rPr>
                <w:rFonts w:hint="eastAsia" w:ascii="仿宋_GB2312" w:hAnsi="仿宋_GB2312" w:eastAsia="仿宋_GB2312" w:cs="仿宋_GB2312"/>
                <w:color w:val="auto"/>
                <w:kern w:val="2"/>
                <w:sz w:val="32"/>
                <w:szCs w:val="32"/>
                <w:shd w:val="clear" w:color="auto" w:fill="FFFFFF"/>
                <w:lang w:val="en-US" w:eastAsia="zh-CN" w:bidi="ar-SA"/>
              </w:rPr>
              <w:t>项目清单及参数要求与</w:t>
            </w:r>
            <w:r>
              <w:rPr>
                <w:rFonts w:hint="eastAsia" w:ascii="仿宋_GB2312" w:hAnsi="仿宋_GB2312" w:eastAsia="仿宋_GB2312" w:cs="仿宋_GB2312"/>
                <w:color w:val="auto"/>
                <w:kern w:val="2"/>
                <w:sz w:val="32"/>
                <w:szCs w:val="32"/>
                <w:shd w:val="clear" w:color="auto" w:fill="FFFFFF"/>
                <w:lang w:val="zh-TW" w:eastAsia="zh-CN" w:bidi="ar-SA"/>
              </w:rPr>
              <w:t>第六章合同条款的规定；</w:t>
            </w:r>
          </w:p>
        </w:tc>
      </w:tr>
      <w:tr w14:paraId="438E6F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2" w:hRule="atLeast"/>
        </w:trPr>
        <w:tc>
          <w:tcPr>
            <w:tcW w:w="746" w:type="dxa"/>
            <w:noWrap w:val="0"/>
            <w:vAlign w:val="center"/>
          </w:tcPr>
          <w:p w14:paraId="590BE157">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12</w:t>
            </w:r>
          </w:p>
        </w:tc>
        <w:tc>
          <w:tcPr>
            <w:tcW w:w="1937" w:type="dxa"/>
            <w:noWrap w:val="0"/>
            <w:vAlign w:val="center"/>
          </w:tcPr>
          <w:p w14:paraId="12A6DC76">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履约保证金</w:t>
            </w:r>
          </w:p>
        </w:tc>
        <w:tc>
          <w:tcPr>
            <w:tcW w:w="7850" w:type="dxa"/>
            <w:gridSpan w:val="4"/>
            <w:noWrap w:val="0"/>
            <w:vAlign w:val="center"/>
          </w:tcPr>
          <w:p w14:paraId="1A5827D2">
            <w:pPr>
              <w:pStyle w:val="23"/>
              <w:keepNext w:val="0"/>
              <w:keepLines w:val="0"/>
              <w:pageBreakBefore w:val="0"/>
              <w:kinsoku/>
              <w:wordWrap/>
              <w:topLinePunct w:val="0"/>
              <w:bidi w:val="0"/>
              <w:spacing w:before="0" w:beforeAutospacing="0" w:after="0" w:afterAutospacing="0" w:line="360" w:lineRule="auto"/>
              <w:rPr>
                <w:rFonts w:hint="eastAsia" w:ascii="仿宋_GB2312" w:hAnsi="仿宋_GB2312" w:eastAsia="仿宋_GB2312" w:cs="仿宋_GB2312"/>
                <w:color w:val="auto"/>
                <w:sz w:val="32"/>
                <w:szCs w:val="32"/>
                <w:shd w:val="clear" w:color="auto" w:fill="FFFFFF"/>
                <w:lang w:eastAsia="zh-CN"/>
              </w:rPr>
            </w:pPr>
            <w:r>
              <w:rPr>
                <w:rFonts w:hint="eastAsia" w:ascii="仿宋_GB2312" w:hAnsi="仿宋_GB2312" w:eastAsia="仿宋_GB2312" w:cs="仿宋_GB2312"/>
                <w:color w:val="auto"/>
                <w:sz w:val="32"/>
                <w:szCs w:val="32"/>
                <w:shd w:val="clear" w:color="auto" w:fill="FFFFFF"/>
                <w:lang w:val="zh-CN"/>
              </w:rPr>
              <w:t>履约保证金的金额：</w:t>
            </w:r>
            <w:r>
              <w:rPr>
                <w:rFonts w:hint="eastAsia" w:ascii="仿宋_GB2312" w:hAnsi="仿宋_GB2312" w:eastAsia="仿宋_GB2312" w:cs="仿宋_GB2312"/>
                <w:color w:val="auto"/>
                <w:sz w:val="32"/>
                <w:szCs w:val="32"/>
                <w:shd w:val="clear" w:color="auto" w:fill="FFFFFF"/>
              </w:rPr>
              <w:t>合同总价</w:t>
            </w:r>
            <w:r>
              <w:rPr>
                <w:rFonts w:hint="eastAsia" w:ascii="仿宋_GB2312" w:hAnsi="仿宋_GB2312" w:eastAsia="仿宋_GB2312" w:cs="仿宋_GB2312"/>
                <w:color w:val="auto"/>
                <w:sz w:val="32"/>
                <w:szCs w:val="32"/>
                <w:shd w:val="clear" w:color="auto" w:fill="FFFFFF"/>
                <w:lang w:val="en-US" w:eastAsia="zh-CN"/>
              </w:rPr>
              <w:t>7</w:t>
            </w:r>
            <w:r>
              <w:rPr>
                <w:rFonts w:hint="eastAsia" w:ascii="仿宋_GB2312" w:hAnsi="仿宋_GB2312" w:eastAsia="仿宋_GB2312" w:cs="仿宋_GB2312"/>
                <w:color w:val="auto"/>
                <w:sz w:val="32"/>
                <w:szCs w:val="32"/>
                <w:shd w:val="clear" w:color="auto" w:fill="FFFFFF"/>
              </w:rPr>
              <w:t>%</w:t>
            </w: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rPr>
              <w:t>合同总价</w:t>
            </w:r>
            <w:r>
              <w:rPr>
                <w:rFonts w:hint="eastAsia" w:ascii="仿宋_GB2312" w:hAnsi="仿宋_GB2312" w:eastAsia="仿宋_GB2312" w:cs="仿宋_GB2312"/>
                <w:color w:val="auto"/>
                <w:sz w:val="32"/>
                <w:szCs w:val="32"/>
                <w:shd w:val="clear" w:color="auto" w:fill="FFFFFF"/>
                <w:lang w:val="en-US" w:eastAsia="zh-CN"/>
              </w:rPr>
              <w:t>=预算金额*（1-中标下浮率）</w:t>
            </w:r>
            <w:r>
              <w:rPr>
                <w:rFonts w:hint="eastAsia" w:ascii="仿宋_GB2312" w:hAnsi="仿宋_GB2312" w:eastAsia="仿宋_GB2312" w:cs="仿宋_GB2312"/>
                <w:color w:val="auto"/>
                <w:sz w:val="32"/>
                <w:szCs w:val="32"/>
                <w:shd w:val="clear" w:color="auto" w:fill="FFFFFF"/>
                <w:lang w:eastAsia="zh-CN"/>
              </w:rPr>
              <w:t>）</w:t>
            </w:r>
          </w:p>
          <w:p w14:paraId="454060B6">
            <w:pPr>
              <w:pStyle w:val="23"/>
              <w:keepNext w:val="0"/>
              <w:keepLines w:val="0"/>
              <w:pageBreakBefore w:val="0"/>
              <w:kinsoku/>
              <w:wordWrap/>
              <w:topLinePunct w:val="0"/>
              <w:bidi w:val="0"/>
              <w:spacing w:before="0" w:beforeAutospacing="0" w:after="0" w:afterAutospacing="0" w:line="360" w:lineRule="auto"/>
              <w:rPr>
                <w:rFonts w:hint="default" w:ascii="仿宋_GB2312" w:hAnsi="仿宋_GB2312" w:eastAsia="仿宋_GB2312" w:cs="仿宋_GB2312"/>
                <w:color w:val="auto"/>
                <w:sz w:val="32"/>
                <w:szCs w:val="32"/>
                <w:highlight w:val="none"/>
                <w:shd w:val="clear" w:color="auto" w:fill="FFFFFF"/>
                <w:lang w:val="en-US" w:eastAsia="zh-CN"/>
              </w:rPr>
            </w:pPr>
            <w:r>
              <w:rPr>
                <w:rFonts w:hint="eastAsia" w:ascii="仿宋_GB2312" w:hAnsi="仿宋_GB2312" w:eastAsia="仿宋_GB2312" w:cs="仿宋_GB2312"/>
                <w:color w:val="auto"/>
                <w:sz w:val="32"/>
                <w:szCs w:val="32"/>
                <w:shd w:val="clear" w:color="auto" w:fill="FFFFFF"/>
                <w:lang w:val="zh-CN"/>
              </w:rPr>
              <w:t>履约保证金的形式：</w:t>
            </w:r>
            <w:r>
              <w:rPr>
                <w:rFonts w:hint="eastAsia" w:ascii="仿宋_GB2312" w:hAnsi="仿宋_GB2312" w:eastAsia="仿宋_GB2312" w:cs="仿宋_GB2312"/>
                <w:color w:val="auto"/>
                <w:sz w:val="32"/>
                <w:szCs w:val="32"/>
                <w:shd w:val="clear" w:color="auto" w:fill="FFFFFF"/>
              </w:rPr>
              <w:t>中标供应商在收到成交通知书后，需向采购人</w:t>
            </w:r>
            <w:r>
              <w:rPr>
                <w:rFonts w:hint="eastAsia" w:ascii="仿宋_GB2312" w:hAnsi="仿宋_GB2312" w:eastAsia="仿宋_GB2312" w:cs="仿宋_GB2312"/>
                <w:color w:val="auto"/>
                <w:sz w:val="32"/>
                <w:szCs w:val="32"/>
                <w:shd w:val="clear" w:color="auto" w:fill="FFFFFF"/>
                <w:lang w:val="en-US" w:eastAsia="zh-CN"/>
              </w:rPr>
              <w:t>缴纳</w:t>
            </w:r>
            <w:r>
              <w:rPr>
                <w:rFonts w:hint="eastAsia" w:ascii="仿宋_GB2312" w:hAnsi="仿宋_GB2312" w:eastAsia="仿宋_GB2312" w:cs="仿宋_GB2312"/>
                <w:color w:val="auto"/>
                <w:sz w:val="32"/>
                <w:szCs w:val="32"/>
                <w:shd w:val="clear" w:color="auto" w:fill="FFFFFF"/>
              </w:rPr>
              <w:t>合同总价</w:t>
            </w:r>
            <w:r>
              <w:rPr>
                <w:rFonts w:hint="eastAsia" w:ascii="仿宋_GB2312" w:hAnsi="仿宋_GB2312" w:eastAsia="仿宋_GB2312" w:cs="仿宋_GB2312"/>
                <w:color w:val="auto"/>
                <w:sz w:val="32"/>
                <w:szCs w:val="32"/>
                <w:shd w:val="clear" w:color="auto" w:fill="FFFFFF"/>
                <w:lang w:val="en-US" w:eastAsia="zh-CN"/>
              </w:rPr>
              <w:t>7</w:t>
            </w:r>
            <w:r>
              <w:rPr>
                <w:rFonts w:hint="eastAsia" w:ascii="仿宋_GB2312" w:hAnsi="仿宋_GB2312" w:eastAsia="仿宋_GB2312" w:cs="仿宋_GB2312"/>
                <w:color w:val="auto"/>
                <w:sz w:val="32"/>
                <w:szCs w:val="32"/>
                <w:shd w:val="clear" w:color="auto" w:fill="FFFFFF"/>
              </w:rPr>
              <w:t>%的履约保证金,在中标供应商与采购人签订合同</w:t>
            </w:r>
            <w:r>
              <w:rPr>
                <w:rFonts w:hint="eastAsia" w:ascii="仿宋_GB2312" w:hAnsi="仿宋_GB2312" w:eastAsia="仿宋_GB2312" w:cs="仿宋_GB2312"/>
                <w:color w:val="auto"/>
                <w:sz w:val="32"/>
                <w:szCs w:val="32"/>
                <w:shd w:val="clear" w:color="auto" w:fill="FFFFFF"/>
                <w:lang w:val="en-US" w:eastAsia="zh-CN"/>
              </w:rPr>
              <w:t>前</w:t>
            </w:r>
            <w:r>
              <w:rPr>
                <w:rFonts w:hint="eastAsia" w:ascii="仿宋_GB2312" w:hAnsi="仿宋_GB2312" w:eastAsia="仿宋_GB2312" w:cs="仿宋_GB2312"/>
                <w:color w:val="auto"/>
                <w:sz w:val="32"/>
                <w:szCs w:val="32"/>
                <w:shd w:val="clear" w:color="auto" w:fill="FFFFFF"/>
              </w:rPr>
              <w:t>一天缴纳完毕。</w:t>
            </w:r>
            <w:r>
              <w:rPr>
                <w:rFonts w:hint="eastAsia" w:ascii="仿宋_GB2312" w:hAnsi="仿宋_GB2312" w:eastAsia="仿宋_GB2312" w:cs="仿宋_GB2312"/>
                <w:color w:val="auto"/>
                <w:sz w:val="32"/>
                <w:szCs w:val="32"/>
                <w:highlight w:val="none"/>
                <w:shd w:val="clear" w:color="auto" w:fill="FFFFFF"/>
                <w:lang w:val="en-US" w:eastAsia="zh-CN"/>
              </w:rPr>
              <w:t>若不能按时缴纳，采购人将有充分的理由解除中标人的中标资格并扣除投标保证金。</w:t>
            </w:r>
          </w:p>
          <w:p w14:paraId="412F8848">
            <w:pPr>
              <w:pStyle w:val="23"/>
              <w:keepNext w:val="0"/>
              <w:keepLines w:val="0"/>
              <w:pageBreakBefore w:val="0"/>
              <w:kinsoku/>
              <w:wordWrap/>
              <w:topLinePunct w:val="0"/>
              <w:bidi w:val="0"/>
              <w:spacing w:before="0" w:beforeAutospacing="0" w:after="0" w:afterAutospacing="0" w:line="360" w:lineRule="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中标供应商以支票、汇票、本票或金融机构、担保机构出具的保函等非现金形式提交。</w:t>
            </w:r>
          </w:p>
          <w:p w14:paraId="14B20B99">
            <w:pPr>
              <w:pStyle w:val="23"/>
              <w:keepNext w:val="0"/>
              <w:keepLines w:val="0"/>
              <w:pageBreakBefore w:val="0"/>
              <w:kinsoku/>
              <w:wordWrap/>
              <w:topLinePunct w:val="0"/>
              <w:bidi w:val="0"/>
              <w:spacing w:before="0" w:beforeAutospacing="0" w:after="0" w:afterAutospacing="0" w:line="360" w:lineRule="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color="auto" w:fill="FFFFFF"/>
              </w:rPr>
              <w:t>履约保证金的退还：履约保证金按合同约定的方式、时间退还。</w:t>
            </w:r>
          </w:p>
        </w:tc>
      </w:tr>
      <w:tr w14:paraId="5D4308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73" w:hRule="atLeast"/>
        </w:trPr>
        <w:tc>
          <w:tcPr>
            <w:tcW w:w="746" w:type="dxa"/>
            <w:noWrap w:val="0"/>
            <w:vAlign w:val="center"/>
          </w:tcPr>
          <w:p w14:paraId="5144EF48">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13</w:t>
            </w:r>
          </w:p>
        </w:tc>
        <w:tc>
          <w:tcPr>
            <w:tcW w:w="1937" w:type="dxa"/>
            <w:noWrap w:val="0"/>
            <w:vAlign w:val="center"/>
          </w:tcPr>
          <w:p w14:paraId="041D69ED">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投标人资格</w:t>
            </w:r>
          </w:p>
        </w:tc>
        <w:tc>
          <w:tcPr>
            <w:tcW w:w="7850" w:type="dxa"/>
            <w:gridSpan w:val="4"/>
            <w:noWrap w:val="0"/>
            <w:vAlign w:val="center"/>
          </w:tcPr>
          <w:p w14:paraId="2E05318B">
            <w:pPr>
              <w:pStyle w:val="73"/>
              <w:keepNext w:val="0"/>
              <w:keepLines w:val="0"/>
              <w:pageBreakBefore w:val="0"/>
              <w:kinsoku/>
              <w:wordWrap/>
              <w:topLinePunct w:val="0"/>
              <w:bidi w:val="0"/>
              <w:spacing w:line="360" w:lineRule="auto"/>
              <w:rPr>
                <w:rFonts w:hint="eastAsia" w:ascii="仿宋_GB2312" w:hAnsi="仿宋_GB2312" w:eastAsia="仿宋_GB2312" w:cs="仿宋_GB2312"/>
                <w:color w:val="auto"/>
                <w:kern w:val="2"/>
                <w:sz w:val="32"/>
                <w:szCs w:val="32"/>
                <w:shd w:val="clear" w:color="auto" w:fill="FFFFFF"/>
                <w:lang w:val="en-US" w:eastAsia="zh-CN" w:bidi="ar-SA"/>
              </w:rPr>
            </w:pPr>
            <w:r>
              <w:rPr>
                <w:rFonts w:hint="eastAsia" w:ascii="仿宋_GB2312" w:hAnsi="仿宋_GB2312" w:eastAsia="仿宋_GB2312" w:cs="仿宋_GB2312"/>
                <w:color w:val="auto"/>
                <w:kern w:val="2"/>
                <w:sz w:val="32"/>
                <w:szCs w:val="32"/>
                <w:shd w:val="clear" w:color="auto" w:fill="FFFFFF"/>
                <w:lang w:val="en-US" w:eastAsia="zh-CN" w:bidi="ar-SA"/>
              </w:rPr>
              <w:t>1.满足《中华人民共和国政府采购法》第二十二条规定；</w:t>
            </w:r>
          </w:p>
          <w:p w14:paraId="354C6F56">
            <w:pPr>
              <w:widowControl/>
              <w:shd w:val="clear" w:color="auto" w:fill="FFFFFF"/>
              <w:spacing w:before="0" w:beforeAutospacing="0" w:after="0" w:afterAutospacing="0" w:line="336" w:lineRule="auto"/>
              <w:jc w:val="left"/>
              <w:rPr>
                <w:rFonts w:hint="eastAsia" w:ascii="仿宋_GB2312" w:hAnsi="仿宋_GB2312" w:eastAsia="仿宋_GB2312" w:cs="仿宋_GB2312"/>
                <w:color w:val="auto"/>
                <w:kern w:val="0"/>
                <w:sz w:val="32"/>
                <w:szCs w:val="32"/>
                <w:shd w:val="clear" w:color="auto" w:fill="FFFFFF"/>
                <w:lang w:val="en-US" w:eastAsia="zh-CN" w:bidi="ar-SA"/>
              </w:rPr>
            </w:pPr>
            <w:r>
              <w:rPr>
                <w:rFonts w:hint="eastAsia" w:ascii="仿宋_GB2312" w:hAnsi="仿宋_GB2312" w:eastAsia="仿宋_GB2312" w:cs="仿宋_GB2312"/>
                <w:color w:val="auto"/>
                <w:kern w:val="2"/>
                <w:sz w:val="32"/>
                <w:szCs w:val="32"/>
                <w:shd w:val="clear" w:color="auto" w:fill="FFFFFF"/>
                <w:lang w:val="en-US" w:eastAsia="zh-CN" w:bidi="ar-SA"/>
              </w:rPr>
              <w:t>2.需落实政府采购政策：</w:t>
            </w:r>
            <w:r>
              <w:rPr>
                <w:rFonts w:hint="eastAsia" w:ascii="仿宋_GB2312" w:hAnsi="仿宋_GB2312" w:eastAsia="仿宋_GB2312" w:cs="仿宋_GB2312"/>
                <w:color w:val="auto"/>
                <w:kern w:val="0"/>
                <w:sz w:val="32"/>
                <w:szCs w:val="32"/>
                <w:highlight w:val="none"/>
                <w:shd w:val="clear" w:color="auto" w:fill="FFFFFF"/>
                <w:lang w:val="en-US" w:eastAsia="zh-CN" w:bidi="ar-SA"/>
              </w:rPr>
              <w:t>标项1、4：非专门面向中小微企业；2、3、5：专门面向中小微企业。</w:t>
            </w:r>
          </w:p>
          <w:p w14:paraId="225742A6">
            <w:pPr>
              <w:pStyle w:val="73"/>
              <w:keepNext w:val="0"/>
              <w:keepLines w:val="0"/>
              <w:pageBreakBefore w:val="0"/>
              <w:kinsoku/>
              <w:wordWrap/>
              <w:topLinePunct w:val="0"/>
              <w:bidi w:val="0"/>
              <w:spacing w:line="360" w:lineRule="auto"/>
              <w:rPr>
                <w:rFonts w:hint="eastAsia" w:ascii="仿宋_GB2312" w:hAnsi="仿宋_GB2312" w:eastAsia="仿宋_GB2312" w:cs="仿宋_GB2312"/>
                <w:color w:val="auto"/>
                <w:kern w:val="2"/>
                <w:sz w:val="32"/>
                <w:szCs w:val="32"/>
                <w:shd w:val="clear" w:color="auto" w:fill="FFFFFF"/>
                <w:lang w:val="en-US" w:eastAsia="zh-CN" w:bidi="ar-SA"/>
              </w:rPr>
            </w:pPr>
            <w:r>
              <w:rPr>
                <w:rFonts w:hint="eastAsia" w:ascii="仿宋_GB2312" w:hAnsi="仿宋_GB2312" w:eastAsia="仿宋_GB2312" w:cs="仿宋_GB2312"/>
                <w:color w:val="auto"/>
                <w:kern w:val="2"/>
                <w:sz w:val="32"/>
                <w:szCs w:val="32"/>
                <w:shd w:val="clear" w:color="auto" w:fill="FFFFFF"/>
                <w:lang w:val="en-US" w:eastAsia="zh-CN" w:bidi="ar-SA"/>
              </w:rPr>
              <w:t xml:space="preserve">3.本项目的特定资格要求：【标项1、2、3、4、5】： </w:t>
            </w:r>
          </w:p>
          <w:p w14:paraId="20746335">
            <w:pPr>
              <w:widowControl/>
              <w:shd w:val="clear" w:color="auto" w:fill="FFFFFF"/>
              <w:spacing w:before="0" w:beforeAutospacing="0" w:after="0" w:afterAutospacing="0" w:line="336" w:lineRule="auto"/>
              <w:ind w:firstLine="320" w:firstLineChars="1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2"/>
                <w:sz w:val="32"/>
                <w:szCs w:val="32"/>
                <w:shd w:val="clear" w:color="auto" w:fill="FFFFFF"/>
                <w:lang w:val="en-US" w:eastAsia="zh-CN" w:bidi="ar-SA"/>
              </w:rPr>
              <w:t>（1）法定代表人身份证或法定代表人授权委托书和委托代理人的身份证，法定代表人授权委托书应当与响应文件中所提供的相一致；</w:t>
            </w:r>
            <w:r>
              <w:rPr>
                <w:rFonts w:hint="eastAsia" w:ascii="仿宋_GB2312" w:hAnsi="仿宋_GB2312" w:eastAsia="仿宋_GB2312" w:cs="仿宋_GB2312"/>
                <w:color w:val="auto"/>
                <w:kern w:val="0"/>
                <w:sz w:val="32"/>
                <w:szCs w:val="32"/>
                <w:shd w:val="clear" w:color="auto" w:fill="FFFFFF"/>
                <w:lang w:val="en-US" w:eastAsia="zh-CN" w:bidi="ar-SA"/>
              </w:rPr>
              <w:t>（2）投标人特定资格：①标项1、2、3、4、5投标人为生产厂家须提供《食品生产许可证》、《食品经营许可证》,投标人为经销商则须提供《食品经营许可证》。②标项2肉类物资供应商若为生产厂家或屠宰企业，须提供自有的《屠宰许可证》、《动物防疫条件合格证》，非生产厂家或屠宰企业须提供货物源头厂家的《屠宰许可证》、《动物防疫条件合格证》。</w:t>
            </w:r>
          </w:p>
        </w:tc>
      </w:tr>
      <w:tr w14:paraId="051DE0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746" w:type="dxa"/>
            <w:vMerge w:val="restart"/>
            <w:noWrap w:val="0"/>
            <w:vAlign w:val="center"/>
          </w:tcPr>
          <w:p w14:paraId="7C6F0A3D">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14</w:t>
            </w:r>
          </w:p>
        </w:tc>
        <w:tc>
          <w:tcPr>
            <w:tcW w:w="1937" w:type="dxa"/>
            <w:vMerge w:val="restart"/>
            <w:noWrap w:val="0"/>
            <w:vAlign w:val="center"/>
          </w:tcPr>
          <w:p w14:paraId="1448160A">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缴纳投标</w:t>
            </w:r>
          </w:p>
          <w:p w14:paraId="446809A9">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保证金</w:t>
            </w:r>
          </w:p>
        </w:tc>
        <w:tc>
          <w:tcPr>
            <w:tcW w:w="7850" w:type="dxa"/>
            <w:gridSpan w:val="4"/>
            <w:tcBorders>
              <w:bottom w:val="single" w:color="auto" w:sz="4" w:space="0"/>
            </w:tcBorders>
            <w:noWrap w:val="0"/>
            <w:vAlign w:val="center"/>
          </w:tcPr>
          <w:p w14:paraId="6D13C3B0">
            <w:pPr>
              <w:keepNext w:val="0"/>
              <w:keepLines w:val="0"/>
              <w:pageBreakBefore w:val="0"/>
              <w:kinsoku/>
              <w:wordWrap/>
              <w:topLinePunct w:val="0"/>
              <w:bidi w:val="0"/>
              <w:snapToGrid w:val="0"/>
              <w:spacing w:line="360" w:lineRule="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投标保证金的缴纳形式：投标人必须以支票、汇票、本票或者金融机构、担保机构出具的保函等非现金形式提交（不得为个人账户）。投标保证金必须以投标人名义缴纳。</w:t>
            </w:r>
          </w:p>
          <w:p w14:paraId="439AC37E">
            <w:pPr>
              <w:keepNext w:val="0"/>
              <w:keepLines w:val="0"/>
              <w:pageBreakBefore w:val="0"/>
              <w:kinsoku/>
              <w:wordWrap/>
              <w:topLinePunct w:val="0"/>
              <w:bidi w:val="0"/>
              <w:snapToGrid w:val="0"/>
              <w:spacing w:line="360" w:lineRule="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投标保证金的金额：</w:t>
            </w:r>
            <w:r>
              <w:rPr>
                <w:rFonts w:hint="eastAsia" w:ascii="仿宋_GB2312" w:hAnsi="仿宋_GB2312" w:eastAsia="仿宋_GB2312" w:cs="仿宋_GB2312"/>
                <w:b/>
                <w:color w:val="auto"/>
                <w:sz w:val="32"/>
                <w:szCs w:val="32"/>
                <w:u w:val="single"/>
                <w:lang w:val="en-US" w:eastAsia="zh-CN"/>
              </w:rPr>
              <w:t>20000</w:t>
            </w:r>
            <w:r>
              <w:rPr>
                <w:rFonts w:hint="eastAsia" w:ascii="仿宋_GB2312" w:hAnsi="仿宋_GB2312" w:eastAsia="仿宋_GB2312" w:cs="仿宋_GB2312"/>
                <w:b/>
                <w:color w:val="auto"/>
                <w:sz w:val="32"/>
                <w:szCs w:val="32"/>
                <w:u w:val="single"/>
              </w:rPr>
              <w:t>.00</w:t>
            </w:r>
            <w:r>
              <w:rPr>
                <w:rFonts w:hint="eastAsia" w:ascii="仿宋_GB2312" w:hAnsi="仿宋_GB2312" w:eastAsia="仿宋_GB2312" w:cs="仿宋_GB2312"/>
                <w:color w:val="auto"/>
                <w:sz w:val="32"/>
                <w:szCs w:val="32"/>
              </w:rPr>
              <w:t xml:space="preserve">元人民币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贰万元整</w:t>
            </w:r>
            <w:r>
              <w:rPr>
                <w:rFonts w:hint="eastAsia" w:ascii="仿宋_GB2312" w:hAnsi="仿宋_GB2312" w:eastAsia="仿宋_GB2312" w:cs="仿宋_GB2312"/>
                <w:color w:val="auto"/>
                <w:sz w:val="32"/>
                <w:szCs w:val="32"/>
              </w:rPr>
              <w:t>）</w:t>
            </w:r>
          </w:p>
        </w:tc>
      </w:tr>
      <w:tr w14:paraId="5CAF40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2" w:hRule="atLeast"/>
        </w:trPr>
        <w:tc>
          <w:tcPr>
            <w:tcW w:w="746" w:type="dxa"/>
            <w:vMerge w:val="continue"/>
            <w:noWrap w:val="0"/>
            <w:vAlign w:val="center"/>
          </w:tcPr>
          <w:p w14:paraId="5873170A">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p>
        </w:tc>
        <w:tc>
          <w:tcPr>
            <w:tcW w:w="1937" w:type="dxa"/>
            <w:vMerge w:val="continue"/>
            <w:noWrap w:val="0"/>
            <w:vAlign w:val="center"/>
          </w:tcPr>
          <w:p w14:paraId="4BCE4184">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p>
        </w:tc>
        <w:tc>
          <w:tcPr>
            <w:tcW w:w="7850" w:type="dxa"/>
            <w:gridSpan w:val="4"/>
            <w:tcBorders>
              <w:top w:val="single" w:color="auto" w:sz="4" w:space="0"/>
            </w:tcBorders>
            <w:noWrap w:val="0"/>
            <w:vAlign w:val="center"/>
          </w:tcPr>
          <w:p w14:paraId="5229026A">
            <w:pPr>
              <w:keepNext w:val="0"/>
              <w:keepLines w:val="0"/>
              <w:pageBreakBefore w:val="0"/>
              <w:kinsoku/>
              <w:wordWrap/>
              <w:topLinePunct w:val="0"/>
              <w:autoSpaceDE w:val="0"/>
              <w:autoSpaceDN w:val="0"/>
              <w:bidi w:val="0"/>
              <w:adjustRightInd w:val="0"/>
              <w:snapToGrid w:val="0"/>
              <w:spacing w:line="360" w:lineRule="auto"/>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缴纳方式：以支票、汇票、本票或者金融机构、担保机构出具的保函等非现金形式提交。</w:t>
            </w:r>
          </w:p>
          <w:p w14:paraId="3EEF2793">
            <w:pPr>
              <w:keepNext w:val="0"/>
              <w:keepLines w:val="0"/>
              <w:pageBreakBefore w:val="0"/>
              <w:kinsoku/>
              <w:wordWrap/>
              <w:topLinePunct w:val="0"/>
              <w:autoSpaceDE w:val="0"/>
              <w:autoSpaceDN w:val="0"/>
              <w:bidi w:val="0"/>
              <w:adjustRightInd w:val="0"/>
              <w:snapToGrid w:val="0"/>
              <w:spacing w:line="360" w:lineRule="auto"/>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账户名称：新疆金斌工程项目管理有限公司</w:t>
            </w:r>
          </w:p>
          <w:p w14:paraId="1CF59A00">
            <w:pPr>
              <w:keepNext w:val="0"/>
              <w:keepLines w:val="0"/>
              <w:pageBreakBefore w:val="0"/>
              <w:kinsoku/>
              <w:wordWrap/>
              <w:topLinePunct w:val="0"/>
              <w:autoSpaceDE w:val="0"/>
              <w:autoSpaceDN w:val="0"/>
              <w:bidi w:val="0"/>
              <w:adjustRightInd w:val="0"/>
              <w:snapToGrid w:val="0"/>
              <w:spacing w:line="360" w:lineRule="auto"/>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开户行：交通银行伊犁州分行营业部</w:t>
            </w:r>
          </w:p>
          <w:p w14:paraId="6C98D307">
            <w:pPr>
              <w:keepNext w:val="0"/>
              <w:keepLines w:val="0"/>
              <w:pageBreakBefore w:val="0"/>
              <w:kinsoku/>
              <w:wordWrap/>
              <w:topLinePunct w:val="0"/>
              <w:autoSpaceDE w:val="0"/>
              <w:autoSpaceDN w:val="0"/>
              <w:bidi w:val="0"/>
              <w:adjustRightInd w:val="0"/>
              <w:snapToGrid w:val="0"/>
              <w:spacing w:line="360" w:lineRule="auto"/>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账号：6556 5510 1013 0000 76094</w:t>
            </w:r>
          </w:p>
          <w:p w14:paraId="5387238A">
            <w:pPr>
              <w:keepNext w:val="0"/>
              <w:keepLines w:val="0"/>
              <w:pageBreakBefore w:val="0"/>
              <w:kinsoku/>
              <w:wordWrap/>
              <w:topLinePunct w:val="0"/>
              <w:autoSpaceDE w:val="0"/>
              <w:autoSpaceDN w:val="0"/>
              <w:bidi w:val="0"/>
              <w:adjustRightInd w:val="0"/>
              <w:snapToGrid w:val="0"/>
              <w:spacing w:line="360" w:lineRule="auto"/>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行号：3018 9800 1011 </w:t>
            </w:r>
          </w:p>
          <w:p w14:paraId="3634EE66">
            <w:pPr>
              <w:keepNext w:val="0"/>
              <w:keepLines w:val="0"/>
              <w:pageBreakBefore w:val="0"/>
              <w:kinsoku/>
              <w:wordWrap/>
              <w:topLinePunct w:val="0"/>
              <w:autoSpaceDE w:val="0"/>
              <w:autoSpaceDN w:val="0"/>
              <w:bidi w:val="0"/>
              <w:adjustRightInd w:val="0"/>
              <w:snapToGrid w:val="0"/>
              <w:spacing w:line="360" w:lineRule="auto"/>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递交时间：投标截止时间之前（提交投标保证金应充分考虑资金在途时间、跨行等因素导致的延迟到账情况，由此导致的保证金不能按时到账其责任由投标人单位自行承担。各投标人缴纳投标保证金时需在附加信息及用途栏内注明“投标保证金、项目名称”，以投标保证金接收方银行到账信息为准）</w:t>
            </w:r>
          </w:p>
          <w:p w14:paraId="0989CDCD">
            <w:pPr>
              <w:keepNext w:val="0"/>
              <w:keepLines w:val="0"/>
              <w:pageBreakBefore w:val="0"/>
              <w:kinsoku/>
              <w:wordWrap/>
              <w:topLinePunct w:val="0"/>
              <w:autoSpaceDE w:val="0"/>
              <w:autoSpaceDN w:val="0"/>
              <w:bidi w:val="0"/>
              <w:adjustRightInd w:val="0"/>
              <w:snapToGrid w:val="0"/>
              <w:spacing w:line="360" w:lineRule="auto"/>
              <w:jc w:val="left"/>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友情提示：1、新疆政府采购电子保函操作流程：登录新疆政府采购网,进入“政采贷/电子保函”模块，即可在线完成电子保函的申请。若有任何问题，可以联系政采云金融服务专属客服，电话：400-903-9583。</w:t>
            </w:r>
          </w:p>
          <w:p w14:paraId="1181CDDC">
            <w:pPr>
              <w:keepNext w:val="0"/>
              <w:keepLines w:val="0"/>
              <w:pageBreakBefore w:val="0"/>
              <w:kinsoku/>
              <w:wordWrap/>
              <w:topLinePunct w:val="0"/>
              <w:autoSpaceDE w:val="0"/>
              <w:autoSpaceDN w:val="0"/>
              <w:bidi w:val="0"/>
              <w:adjustRightInd w:val="0"/>
              <w:snapToGrid w:val="0"/>
              <w:spacing w:line="360" w:lineRule="auto"/>
              <w:jc w:val="left"/>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2、潜在供应商可以自主选择以上任一种递交方式提交投标保证金。</w:t>
            </w:r>
          </w:p>
          <w:p w14:paraId="52329D2C">
            <w:pPr>
              <w:keepNext w:val="0"/>
              <w:keepLines w:val="0"/>
              <w:pageBreakBefore w:val="0"/>
              <w:kinsoku/>
              <w:wordWrap/>
              <w:topLinePunct w:val="0"/>
              <w:autoSpaceDE w:val="0"/>
              <w:autoSpaceDN w:val="0"/>
              <w:bidi w:val="0"/>
              <w:adjustRightInd w:val="0"/>
              <w:snapToGrid w:val="0"/>
              <w:spacing w:line="360" w:lineRule="auto"/>
              <w:jc w:val="left"/>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3、银行法定节假日不办理公对公账户电汇业务，请提前办理。投标保证金是否在规定截止时间前到户的风险由投标单位承担，投标保证金在银行的划转需要一定时间，望投标单位尽早缴纳！</w:t>
            </w:r>
          </w:p>
          <w:p w14:paraId="34A77702">
            <w:pPr>
              <w:keepNext w:val="0"/>
              <w:keepLines w:val="0"/>
              <w:pageBreakBefore w:val="0"/>
              <w:kinsoku/>
              <w:wordWrap/>
              <w:topLinePunct w:val="0"/>
              <w:autoSpaceDE w:val="0"/>
              <w:autoSpaceDN w:val="0"/>
              <w:bidi w:val="0"/>
              <w:adjustRightInd w:val="0"/>
              <w:snapToGrid w:val="0"/>
              <w:spacing w:line="360" w:lineRule="auto"/>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4、若投标人未按照上述规定缴纳投标保证金,响应性文件将被拒绝评审。</w:t>
            </w:r>
          </w:p>
        </w:tc>
      </w:tr>
      <w:tr w14:paraId="01F366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97" w:hRule="atLeast"/>
        </w:trPr>
        <w:tc>
          <w:tcPr>
            <w:tcW w:w="746" w:type="dxa"/>
            <w:noWrap w:val="0"/>
            <w:vAlign w:val="center"/>
          </w:tcPr>
          <w:p w14:paraId="7BB3EC9F">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15</w:t>
            </w:r>
          </w:p>
        </w:tc>
        <w:tc>
          <w:tcPr>
            <w:tcW w:w="1937" w:type="dxa"/>
            <w:noWrap w:val="0"/>
            <w:vAlign w:val="center"/>
          </w:tcPr>
          <w:p w14:paraId="6B29981D">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投标保证金</w:t>
            </w:r>
          </w:p>
          <w:p w14:paraId="183CCFD5">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退付</w:t>
            </w:r>
          </w:p>
        </w:tc>
        <w:tc>
          <w:tcPr>
            <w:tcW w:w="7850" w:type="dxa"/>
            <w:gridSpan w:val="4"/>
            <w:tcBorders>
              <w:top w:val="single" w:color="auto" w:sz="4" w:space="0"/>
            </w:tcBorders>
            <w:noWrap w:val="0"/>
            <w:vAlign w:val="center"/>
          </w:tcPr>
          <w:p w14:paraId="7A05A783">
            <w:pPr>
              <w:keepNext w:val="0"/>
              <w:keepLines w:val="0"/>
              <w:pageBreakBefore w:val="0"/>
              <w:kinsoku/>
              <w:wordWrap/>
              <w:topLinePunct w:val="0"/>
              <w:bidi w:val="0"/>
              <w:snapToGrid w:val="0"/>
              <w:spacing w:line="360" w:lineRule="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1.未中标投标人在中标（成交）通知书发出后5个工作日退还；</w:t>
            </w:r>
          </w:p>
          <w:p w14:paraId="18DEED82">
            <w:pPr>
              <w:keepNext w:val="0"/>
              <w:keepLines w:val="0"/>
              <w:pageBreakBefore w:val="0"/>
              <w:kinsoku/>
              <w:wordWrap/>
              <w:topLinePunct w:val="0"/>
              <w:bidi w:val="0"/>
              <w:snapToGrid w:val="0"/>
              <w:spacing w:line="360" w:lineRule="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2.中标投标人在合同签订后5个工作日退还；</w:t>
            </w:r>
          </w:p>
          <w:p w14:paraId="0610B7B0">
            <w:pPr>
              <w:keepNext w:val="0"/>
              <w:keepLines w:val="0"/>
              <w:pageBreakBefore w:val="0"/>
              <w:kinsoku/>
              <w:wordWrap/>
              <w:topLinePunct w:val="0"/>
              <w:bidi w:val="0"/>
              <w:snapToGrid w:val="0"/>
              <w:spacing w:line="360" w:lineRule="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3.投标人须向代理机构提供投标保证金退款收据1份，邮寄至</w:t>
            </w:r>
            <w:r>
              <w:rPr>
                <w:rFonts w:hint="eastAsia" w:ascii="仿宋_GB2312" w:hAnsi="仿宋_GB2312" w:eastAsia="仿宋_GB2312" w:cs="仿宋_GB2312"/>
                <w:color w:val="auto"/>
                <w:sz w:val="32"/>
                <w:szCs w:val="32"/>
              </w:rPr>
              <w:t>伊宁市福安国际1号商业楼413室</w:t>
            </w:r>
            <w:r>
              <w:rPr>
                <w:rFonts w:hint="eastAsia" w:ascii="仿宋_GB2312" w:hAnsi="仿宋_GB2312" w:eastAsia="仿宋_GB2312" w:cs="仿宋_GB2312"/>
                <w:color w:val="auto"/>
                <w:sz w:val="32"/>
                <w:szCs w:val="32"/>
              </w:rPr>
              <w:t>，黄新新（收），联系电话：13201118511。</w:t>
            </w:r>
          </w:p>
          <w:p w14:paraId="3E410CCE">
            <w:pPr>
              <w:keepNext w:val="0"/>
              <w:keepLines w:val="0"/>
              <w:pageBreakBefore w:val="0"/>
              <w:kinsoku/>
              <w:wordWrap/>
              <w:topLinePunct w:val="0"/>
              <w:bidi w:val="0"/>
              <w:spacing w:line="360" w:lineRule="auto"/>
              <w:ind w:right="105" w:rightChars="5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收据格式要求：(正规横线条收据)</w:t>
            </w:r>
          </w:p>
          <w:p w14:paraId="183DEB39">
            <w:pPr>
              <w:keepNext w:val="0"/>
              <w:keepLines w:val="0"/>
              <w:pageBreakBefore w:val="0"/>
              <w:kinsoku/>
              <w:wordWrap/>
              <w:topLinePunct w:val="0"/>
              <w:bidi w:val="0"/>
              <w:spacing w:line="360" w:lineRule="auto"/>
              <w:ind w:right="105" w:rightChars="5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付款方：新疆金斌工程项目管理有限公司</w:t>
            </w:r>
          </w:p>
          <w:p w14:paraId="468B0E55">
            <w:pPr>
              <w:keepNext w:val="0"/>
              <w:keepLines w:val="0"/>
              <w:pageBreakBefore w:val="0"/>
              <w:kinsoku/>
              <w:wordWrap/>
              <w:topLinePunct w:val="0"/>
              <w:bidi w:val="0"/>
              <w:spacing w:line="360" w:lineRule="auto"/>
              <w:ind w:right="105" w:rightChars="5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付款方式：转账</w:t>
            </w:r>
          </w:p>
          <w:p w14:paraId="0A8F2D97">
            <w:pPr>
              <w:keepNext w:val="0"/>
              <w:keepLines w:val="0"/>
              <w:pageBreakBefore w:val="0"/>
              <w:kinsoku/>
              <w:wordWrap/>
              <w:topLinePunct w:val="0"/>
              <w:bidi w:val="0"/>
              <w:spacing w:line="360" w:lineRule="auto"/>
              <w:ind w:right="105" w:rightChars="5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日期：填写收据当日即可</w:t>
            </w:r>
          </w:p>
          <w:p w14:paraId="31D3D68C">
            <w:pPr>
              <w:keepNext w:val="0"/>
              <w:keepLines w:val="0"/>
              <w:pageBreakBefore w:val="0"/>
              <w:kinsoku/>
              <w:wordWrap/>
              <w:topLinePunct w:val="0"/>
              <w:bidi w:val="0"/>
              <w:spacing w:line="360" w:lineRule="auto"/>
              <w:ind w:right="105" w:rightChars="5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事由：退××××××××××××项目投标保证金</w:t>
            </w:r>
          </w:p>
          <w:p w14:paraId="2D9ED2BA">
            <w:pPr>
              <w:keepNext w:val="0"/>
              <w:keepLines w:val="0"/>
              <w:pageBreakBefore w:val="0"/>
              <w:kinsoku/>
              <w:wordWrap/>
              <w:topLinePunct w:val="0"/>
              <w:bidi w:val="0"/>
              <w:spacing w:line="360" w:lineRule="auto"/>
              <w:ind w:right="105" w:rightChars="50"/>
              <w:rPr>
                <w:rFonts w:hint="eastAsia" w:ascii="仿宋_GB2312" w:hAnsi="仿宋_GB2312" w:eastAsia="仿宋_GB2312" w:cs="仿宋_GB2312"/>
                <w:b/>
                <w:color w:val="auto"/>
                <w:sz w:val="32"/>
                <w:szCs w:val="32"/>
              </w:rPr>
            </w:pPr>
            <w:r>
              <w:rPr>
                <w:rFonts w:hint="eastAsia" w:ascii="仿宋_GB2312" w:hAnsi="仿宋_GB2312" w:eastAsia="仿宋_GB2312" w:cs="仿宋_GB2312"/>
                <w:color w:val="auto"/>
                <w:sz w:val="32"/>
                <w:szCs w:val="32"/>
              </w:rPr>
              <w:t>要求字迹清晰，工整，不能涂改。</w:t>
            </w:r>
          </w:p>
        </w:tc>
      </w:tr>
      <w:tr w14:paraId="0CEB34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05" w:hRule="atLeast"/>
        </w:trPr>
        <w:tc>
          <w:tcPr>
            <w:tcW w:w="746" w:type="dxa"/>
            <w:noWrap w:val="0"/>
            <w:vAlign w:val="center"/>
          </w:tcPr>
          <w:p w14:paraId="291C531A">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16</w:t>
            </w:r>
          </w:p>
        </w:tc>
        <w:tc>
          <w:tcPr>
            <w:tcW w:w="1937" w:type="dxa"/>
            <w:noWrap w:val="0"/>
            <w:vAlign w:val="center"/>
          </w:tcPr>
          <w:p w14:paraId="45A618AE">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投标有</w:t>
            </w:r>
          </w:p>
          <w:p w14:paraId="34FD531F">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效期</w:t>
            </w:r>
          </w:p>
        </w:tc>
        <w:tc>
          <w:tcPr>
            <w:tcW w:w="7850" w:type="dxa"/>
            <w:gridSpan w:val="4"/>
            <w:noWrap w:val="0"/>
            <w:vAlign w:val="center"/>
          </w:tcPr>
          <w:p w14:paraId="4540E8F2">
            <w:pPr>
              <w:keepNext w:val="0"/>
              <w:keepLines w:val="0"/>
              <w:pageBreakBefore w:val="0"/>
              <w:kinsoku/>
              <w:wordWrap/>
              <w:topLinePunct w:val="0"/>
              <w:autoSpaceDE w:val="0"/>
              <w:autoSpaceDN w:val="0"/>
              <w:bidi w:val="0"/>
              <w:adjustRightInd w:val="0"/>
              <w:snapToGrid w:val="0"/>
              <w:spacing w:line="360" w:lineRule="auto"/>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90日历日（自投标截止时间起开始计算）</w:t>
            </w:r>
          </w:p>
        </w:tc>
      </w:tr>
      <w:tr w14:paraId="097557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746" w:type="dxa"/>
            <w:noWrap w:val="0"/>
            <w:vAlign w:val="center"/>
          </w:tcPr>
          <w:p w14:paraId="437736F9">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17</w:t>
            </w:r>
          </w:p>
        </w:tc>
        <w:tc>
          <w:tcPr>
            <w:tcW w:w="1937" w:type="dxa"/>
            <w:noWrap w:val="0"/>
            <w:vAlign w:val="center"/>
          </w:tcPr>
          <w:p w14:paraId="76D82D33">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评标办法</w:t>
            </w:r>
          </w:p>
        </w:tc>
        <w:tc>
          <w:tcPr>
            <w:tcW w:w="7850" w:type="dxa"/>
            <w:gridSpan w:val="4"/>
            <w:noWrap w:val="0"/>
            <w:vAlign w:val="center"/>
          </w:tcPr>
          <w:p w14:paraId="092EFACD">
            <w:pPr>
              <w:keepNext w:val="0"/>
              <w:keepLines w:val="0"/>
              <w:pageBreakBefore w:val="0"/>
              <w:kinsoku/>
              <w:wordWrap/>
              <w:topLinePunct w:val="0"/>
              <w:autoSpaceDE w:val="0"/>
              <w:autoSpaceDN w:val="0"/>
              <w:bidi w:val="0"/>
              <w:adjustRightInd w:val="0"/>
              <w:snapToGrid w:val="0"/>
              <w:spacing w:line="360" w:lineRule="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color w:val="auto"/>
                <w:kern w:val="0"/>
                <w:sz w:val="32"/>
                <w:szCs w:val="32"/>
              </w:rPr>
              <w:t>综合评分法</w:t>
            </w:r>
          </w:p>
        </w:tc>
      </w:tr>
      <w:tr w14:paraId="7D916E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31" w:hRule="atLeast"/>
        </w:trPr>
        <w:tc>
          <w:tcPr>
            <w:tcW w:w="746" w:type="dxa"/>
            <w:noWrap w:val="0"/>
            <w:vAlign w:val="center"/>
          </w:tcPr>
          <w:p w14:paraId="08CE5304">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18</w:t>
            </w:r>
          </w:p>
        </w:tc>
        <w:tc>
          <w:tcPr>
            <w:tcW w:w="1937" w:type="dxa"/>
            <w:noWrap w:val="0"/>
            <w:vAlign w:val="center"/>
          </w:tcPr>
          <w:p w14:paraId="28591F0E">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响应文件份数</w:t>
            </w:r>
          </w:p>
        </w:tc>
        <w:tc>
          <w:tcPr>
            <w:tcW w:w="7850" w:type="dxa"/>
            <w:gridSpan w:val="4"/>
            <w:noWrap w:val="0"/>
            <w:vAlign w:val="center"/>
          </w:tcPr>
          <w:p w14:paraId="1C55FF90">
            <w:pPr>
              <w:keepNext w:val="0"/>
              <w:keepLines w:val="0"/>
              <w:pageBreakBefore w:val="0"/>
              <w:kinsoku/>
              <w:wordWrap/>
              <w:topLinePunct w:val="0"/>
              <w:autoSpaceDE w:val="0"/>
              <w:autoSpaceDN w:val="0"/>
              <w:bidi w:val="0"/>
              <w:adjustRightInd w:val="0"/>
              <w:snapToGrid w:val="0"/>
              <w:spacing w:line="360" w:lineRule="auto"/>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Cs/>
                <w:color w:val="auto"/>
                <w:sz w:val="32"/>
                <w:szCs w:val="32"/>
              </w:rPr>
              <w:t>加密的电子投标文件壹份(.jmbs格式)在新疆政府采购网指定位置上传。</w:t>
            </w:r>
          </w:p>
        </w:tc>
      </w:tr>
      <w:tr w14:paraId="35E88F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02" w:hRule="atLeast"/>
        </w:trPr>
        <w:tc>
          <w:tcPr>
            <w:tcW w:w="746" w:type="dxa"/>
            <w:noWrap w:val="0"/>
            <w:vAlign w:val="center"/>
          </w:tcPr>
          <w:p w14:paraId="4218E8F2">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19</w:t>
            </w:r>
          </w:p>
        </w:tc>
        <w:tc>
          <w:tcPr>
            <w:tcW w:w="1937" w:type="dxa"/>
            <w:noWrap w:val="0"/>
            <w:vAlign w:val="center"/>
          </w:tcPr>
          <w:p w14:paraId="2561B3B5">
            <w:pPr>
              <w:keepNext w:val="0"/>
              <w:keepLines w:val="0"/>
              <w:pageBreakBefore w:val="0"/>
              <w:kinsoku/>
              <w:wordWrap/>
              <w:topLinePunct w:val="0"/>
              <w:bidi w:val="0"/>
              <w:adjustRightInd w:val="0"/>
              <w:snapToGrid w:val="0"/>
              <w:spacing w:line="360" w:lineRule="auto"/>
              <w:jc w:val="center"/>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kern w:val="0"/>
                <w:sz w:val="32"/>
                <w:szCs w:val="32"/>
              </w:rPr>
              <w:t>政府采购政策</w:t>
            </w:r>
          </w:p>
        </w:tc>
        <w:tc>
          <w:tcPr>
            <w:tcW w:w="7850" w:type="dxa"/>
            <w:gridSpan w:val="4"/>
            <w:noWrap w:val="0"/>
            <w:vAlign w:val="center"/>
          </w:tcPr>
          <w:p w14:paraId="5B214D0B">
            <w:pPr>
              <w:keepNext w:val="0"/>
              <w:keepLines w:val="0"/>
              <w:pageBreakBefore w:val="0"/>
              <w:kinsoku/>
              <w:wordWrap/>
              <w:topLinePunct w:val="0"/>
              <w:bidi w:val="0"/>
              <w:adjustRightInd w:val="0"/>
              <w:snapToGrid w:val="0"/>
              <w:spacing w:line="360" w:lineRule="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1、执行促进中小型（监狱、残疾人福利）企业发展相关政策（</w:t>
            </w:r>
            <w:r>
              <w:rPr>
                <w:rFonts w:hint="eastAsia" w:ascii="仿宋_GB2312" w:hAnsi="仿宋_GB2312" w:eastAsia="仿宋_GB2312" w:cs="仿宋_GB2312"/>
                <w:color w:val="auto"/>
                <w:sz w:val="32"/>
                <w:szCs w:val="32"/>
              </w:rPr>
              <w:sym w:font="Wingdings" w:char="F0FE"/>
            </w:r>
            <w:r>
              <w:rPr>
                <w:rFonts w:hint="eastAsia" w:ascii="仿宋_GB2312" w:hAnsi="仿宋_GB2312" w:eastAsia="仿宋_GB2312" w:cs="仿宋_GB2312"/>
                <w:color w:val="auto"/>
                <w:sz w:val="32"/>
                <w:szCs w:val="32"/>
              </w:rPr>
              <w:t>是/</w:t>
            </w:r>
            <w:r>
              <w:rPr>
                <w:rFonts w:hint="eastAsia" w:ascii="仿宋_GB2312" w:hAnsi="仿宋_GB2312" w:eastAsia="仿宋_GB2312" w:cs="仿宋_GB2312"/>
                <w:color w:val="auto"/>
                <w:sz w:val="32"/>
                <w:szCs w:val="32"/>
              </w:rPr>
              <w:sym w:font="Wingdings" w:char="F06F"/>
            </w:r>
            <w:r>
              <w:rPr>
                <w:rFonts w:hint="eastAsia" w:ascii="仿宋_GB2312" w:hAnsi="仿宋_GB2312" w:eastAsia="仿宋_GB2312" w:cs="仿宋_GB2312"/>
                <w:color w:val="auto"/>
                <w:sz w:val="32"/>
                <w:szCs w:val="32"/>
              </w:rPr>
              <w:t>否），投标价格给予10%的折扣；</w:t>
            </w:r>
          </w:p>
          <w:p w14:paraId="238D8638">
            <w:pPr>
              <w:keepNext w:val="0"/>
              <w:keepLines w:val="0"/>
              <w:pageBreakBefore w:val="0"/>
              <w:kinsoku/>
              <w:wordWrap/>
              <w:topLinePunct w:val="0"/>
              <w:bidi w:val="0"/>
              <w:adjustRightInd w:val="0"/>
              <w:snapToGrid w:val="0"/>
              <w:spacing w:line="360" w:lineRule="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2、《国务院办公厅关于建立政府强制采购节能产品制度的通知》（国办发〔2007〕51号）；</w:t>
            </w:r>
          </w:p>
          <w:p w14:paraId="0ED008F8">
            <w:pPr>
              <w:keepNext w:val="0"/>
              <w:keepLines w:val="0"/>
              <w:pageBreakBefore w:val="0"/>
              <w:kinsoku/>
              <w:wordWrap/>
              <w:topLinePunct w:val="0"/>
              <w:bidi w:val="0"/>
              <w:adjustRightInd w:val="0"/>
              <w:snapToGrid w:val="0"/>
              <w:spacing w:line="360" w:lineRule="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3、《财政部、国家环保总局关于环境标志产品政府采购实施的意见》（财库[2006]90号）。</w:t>
            </w:r>
          </w:p>
          <w:p w14:paraId="36B73715">
            <w:pPr>
              <w:keepNext w:val="0"/>
              <w:keepLines w:val="0"/>
              <w:pageBreakBefore w:val="0"/>
              <w:kinsoku/>
              <w:wordWrap/>
              <w:topLinePunct w:val="0"/>
              <w:bidi w:val="0"/>
              <w:adjustRightInd w:val="0"/>
              <w:snapToGrid w:val="0"/>
              <w:spacing w:line="360" w:lineRule="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color w:val="auto"/>
                <w:sz w:val="32"/>
                <w:szCs w:val="32"/>
              </w:rPr>
              <w:t>4、采购标的对应的中小微企业划分标准所属行业为：</w:t>
            </w:r>
            <w:r>
              <w:rPr>
                <w:rFonts w:hint="eastAsia" w:ascii="仿宋_GB2312" w:hAnsi="仿宋_GB2312" w:eastAsia="仿宋_GB2312" w:cs="仿宋_GB2312"/>
                <w:b/>
                <w:bCs/>
                <w:color w:val="auto"/>
                <w:sz w:val="32"/>
                <w:szCs w:val="32"/>
              </w:rPr>
              <w:t>工业</w:t>
            </w:r>
          </w:p>
          <w:p w14:paraId="5D4C87F3">
            <w:pPr>
              <w:spacing w:line="360" w:lineRule="auto"/>
              <w:rPr>
                <w:rFonts w:hint="eastAsia" w:ascii="仿宋_GB2312" w:hAnsi="仿宋_GB2312" w:eastAsia="仿宋_GB2312" w:cs="仿宋_GB2312"/>
                <w:color w:val="auto"/>
                <w:sz w:val="32"/>
                <w:szCs w:val="32"/>
              </w:rPr>
            </w:pPr>
            <w:r>
              <w:rPr>
                <w:rFonts w:hint="eastAsia" w:ascii="仿宋_GB2312" w:hAnsi="仿宋_GB2312" w:eastAsia="仿宋_GB2312" w:cs="仿宋_GB2312"/>
                <w:b w:val="0"/>
                <w:bCs w:val="0"/>
                <w:color w:val="auto"/>
                <w:sz w:val="32"/>
                <w:szCs w:val="32"/>
              </w:rPr>
              <w:t>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tc>
      </w:tr>
      <w:tr w14:paraId="0F5F2A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05" w:hRule="atLeast"/>
        </w:trPr>
        <w:tc>
          <w:tcPr>
            <w:tcW w:w="746" w:type="dxa"/>
            <w:noWrap w:val="0"/>
            <w:vAlign w:val="center"/>
          </w:tcPr>
          <w:p w14:paraId="07C65984">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20</w:t>
            </w:r>
          </w:p>
        </w:tc>
        <w:tc>
          <w:tcPr>
            <w:tcW w:w="1937" w:type="dxa"/>
            <w:noWrap w:val="0"/>
            <w:vAlign w:val="center"/>
          </w:tcPr>
          <w:p w14:paraId="3ED915FF">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评标小组</w:t>
            </w:r>
          </w:p>
          <w:p w14:paraId="171EB932">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组成</w:t>
            </w:r>
          </w:p>
        </w:tc>
        <w:tc>
          <w:tcPr>
            <w:tcW w:w="7850" w:type="dxa"/>
            <w:gridSpan w:val="4"/>
            <w:noWrap w:val="0"/>
            <w:vAlign w:val="center"/>
          </w:tcPr>
          <w:p w14:paraId="02BC72B9">
            <w:pPr>
              <w:keepNext w:val="0"/>
              <w:keepLines w:val="0"/>
              <w:pageBreakBefore w:val="0"/>
              <w:kinsoku/>
              <w:wordWrap/>
              <w:topLinePunct w:val="0"/>
              <w:autoSpaceDE w:val="0"/>
              <w:autoSpaceDN w:val="0"/>
              <w:bidi w:val="0"/>
              <w:adjustRightInd w:val="0"/>
              <w:snapToGrid w:val="0"/>
              <w:spacing w:line="360" w:lineRule="auto"/>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小组成员由</w:t>
            </w:r>
            <w:r>
              <w:rPr>
                <w:rFonts w:hint="eastAsia" w:ascii="仿宋_GB2312" w:hAnsi="仿宋_GB2312" w:eastAsia="仿宋_GB2312" w:cs="仿宋_GB2312"/>
                <w:b/>
                <w:color w:val="auto"/>
                <w:kern w:val="0"/>
                <w:sz w:val="32"/>
                <w:szCs w:val="32"/>
                <w:u w:val="single"/>
              </w:rPr>
              <w:t xml:space="preserve"> </w:t>
            </w:r>
            <w:r>
              <w:rPr>
                <w:rFonts w:hint="eastAsia" w:ascii="仿宋_GB2312" w:hAnsi="仿宋_GB2312" w:eastAsia="仿宋_GB2312" w:cs="仿宋_GB2312"/>
                <w:b/>
                <w:color w:val="auto"/>
                <w:kern w:val="0"/>
                <w:sz w:val="32"/>
                <w:szCs w:val="32"/>
                <w:u w:val="single"/>
                <w:lang w:val="en-US" w:eastAsia="zh-CN"/>
              </w:rPr>
              <w:t>5</w:t>
            </w:r>
            <w:r>
              <w:rPr>
                <w:rFonts w:hint="eastAsia" w:ascii="仿宋_GB2312" w:hAnsi="仿宋_GB2312" w:eastAsia="仿宋_GB2312" w:cs="仿宋_GB2312"/>
                <w:b/>
                <w:color w:val="auto"/>
                <w:kern w:val="0"/>
                <w:sz w:val="32"/>
                <w:szCs w:val="32"/>
                <w:u w:val="single"/>
              </w:rPr>
              <w:t xml:space="preserve"> </w:t>
            </w:r>
            <w:r>
              <w:rPr>
                <w:rFonts w:hint="eastAsia" w:ascii="仿宋_GB2312" w:hAnsi="仿宋_GB2312" w:eastAsia="仿宋_GB2312" w:cs="仿宋_GB2312"/>
                <w:color w:val="auto"/>
                <w:kern w:val="0"/>
                <w:sz w:val="32"/>
                <w:szCs w:val="32"/>
              </w:rPr>
              <w:t>人组成，其中采购方代表</w:t>
            </w:r>
            <w:r>
              <w:rPr>
                <w:rFonts w:hint="eastAsia" w:ascii="仿宋_GB2312" w:hAnsi="仿宋_GB2312" w:eastAsia="仿宋_GB2312" w:cs="仿宋_GB2312"/>
                <w:b/>
                <w:color w:val="auto"/>
                <w:kern w:val="0"/>
                <w:sz w:val="32"/>
                <w:szCs w:val="32"/>
                <w:u w:val="single"/>
              </w:rPr>
              <w:t xml:space="preserve">  1 </w:t>
            </w:r>
            <w:r>
              <w:rPr>
                <w:rFonts w:hint="eastAsia" w:ascii="仿宋_GB2312" w:hAnsi="仿宋_GB2312" w:eastAsia="仿宋_GB2312" w:cs="仿宋_GB2312"/>
                <w:color w:val="auto"/>
                <w:kern w:val="0"/>
                <w:sz w:val="32"/>
                <w:szCs w:val="32"/>
              </w:rPr>
              <w:t>人，从新疆政采云专家库中随机抽取的方式确定</w:t>
            </w:r>
            <w:r>
              <w:rPr>
                <w:rFonts w:hint="eastAsia" w:ascii="仿宋_GB2312" w:hAnsi="仿宋_GB2312" w:eastAsia="仿宋_GB2312" w:cs="仿宋_GB2312"/>
                <w:b/>
                <w:color w:val="auto"/>
                <w:kern w:val="0"/>
                <w:sz w:val="32"/>
                <w:szCs w:val="32"/>
                <w:u w:val="single"/>
              </w:rPr>
              <w:t xml:space="preserve">  </w:t>
            </w:r>
            <w:r>
              <w:rPr>
                <w:rFonts w:hint="eastAsia" w:ascii="仿宋_GB2312" w:hAnsi="仿宋_GB2312" w:eastAsia="仿宋_GB2312" w:cs="仿宋_GB2312"/>
                <w:b/>
                <w:color w:val="auto"/>
                <w:kern w:val="0"/>
                <w:sz w:val="32"/>
                <w:szCs w:val="32"/>
                <w:u w:val="single"/>
                <w:lang w:val="en-US" w:eastAsia="zh-CN"/>
              </w:rPr>
              <w:t>4</w:t>
            </w:r>
            <w:r>
              <w:rPr>
                <w:rFonts w:hint="eastAsia" w:ascii="仿宋_GB2312" w:hAnsi="仿宋_GB2312" w:eastAsia="仿宋_GB2312" w:cs="仿宋_GB2312"/>
                <w:b/>
                <w:color w:val="auto"/>
                <w:kern w:val="0"/>
                <w:sz w:val="32"/>
                <w:szCs w:val="32"/>
                <w:u w:val="single"/>
              </w:rPr>
              <w:t xml:space="preserve">  </w:t>
            </w:r>
            <w:r>
              <w:rPr>
                <w:rFonts w:hint="eastAsia" w:ascii="仿宋_GB2312" w:hAnsi="仿宋_GB2312" w:eastAsia="仿宋_GB2312" w:cs="仿宋_GB2312"/>
                <w:color w:val="auto"/>
                <w:kern w:val="0"/>
                <w:sz w:val="32"/>
                <w:szCs w:val="32"/>
              </w:rPr>
              <w:t>人</w:t>
            </w:r>
          </w:p>
        </w:tc>
      </w:tr>
      <w:tr w14:paraId="6BE8A9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746" w:type="dxa"/>
            <w:vMerge w:val="restart"/>
            <w:noWrap w:val="0"/>
            <w:vAlign w:val="center"/>
          </w:tcPr>
          <w:p w14:paraId="454CBA6D">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21</w:t>
            </w:r>
          </w:p>
        </w:tc>
        <w:tc>
          <w:tcPr>
            <w:tcW w:w="1937" w:type="dxa"/>
            <w:vMerge w:val="restart"/>
            <w:tcBorders>
              <w:right w:val="single" w:color="auto" w:sz="4" w:space="0"/>
            </w:tcBorders>
            <w:noWrap w:val="0"/>
            <w:vAlign w:val="center"/>
          </w:tcPr>
          <w:p w14:paraId="532BFD23">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投标截止（开标）时间及地点</w:t>
            </w:r>
          </w:p>
        </w:tc>
        <w:tc>
          <w:tcPr>
            <w:tcW w:w="7850" w:type="dxa"/>
            <w:gridSpan w:val="4"/>
            <w:tcBorders>
              <w:left w:val="single" w:color="auto" w:sz="4" w:space="0"/>
              <w:bottom w:val="single" w:color="auto" w:sz="4" w:space="0"/>
            </w:tcBorders>
            <w:noWrap w:val="0"/>
            <w:vAlign w:val="center"/>
          </w:tcPr>
          <w:p w14:paraId="419AF43E">
            <w:pPr>
              <w:keepNext w:val="0"/>
              <w:keepLines w:val="0"/>
              <w:pageBreakBefore w:val="0"/>
              <w:kinsoku/>
              <w:wordWrap/>
              <w:topLinePunct w:val="0"/>
              <w:autoSpaceDE w:val="0"/>
              <w:autoSpaceDN w:val="0"/>
              <w:bidi w:val="0"/>
              <w:adjustRightInd w:val="0"/>
              <w:snapToGrid w:val="0"/>
              <w:spacing w:line="360" w:lineRule="auto"/>
              <w:jc w:val="left"/>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bCs/>
                <w:color w:val="auto"/>
                <w:kern w:val="0"/>
                <w:sz w:val="32"/>
                <w:szCs w:val="32"/>
              </w:rPr>
              <w:t>投标截止（开标）时间：2026年0</w:t>
            </w:r>
            <w:r>
              <w:rPr>
                <w:rFonts w:hint="eastAsia" w:ascii="仿宋_GB2312" w:hAnsi="仿宋_GB2312" w:eastAsia="仿宋_GB2312" w:cs="仿宋_GB2312"/>
                <w:bCs/>
                <w:color w:val="auto"/>
                <w:kern w:val="0"/>
                <w:sz w:val="32"/>
                <w:szCs w:val="32"/>
                <w:lang w:val="en-US" w:eastAsia="zh-CN"/>
              </w:rPr>
              <w:t>6</w:t>
            </w:r>
            <w:r>
              <w:rPr>
                <w:rFonts w:hint="eastAsia" w:ascii="仿宋_GB2312" w:hAnsi="仿宋_GB2312" w:eastAsia="仿宋_GB2312" w:cs="仿宋_GB2312"/>
                <w:bCs/>
                <w:color w:val="auto"/>
                <w:kern w:val="0"/>
                <w:sz w:val="32"/>
                <w:szCs w:val="32"/>
              </w:rPr>
              <w:t>月</w:t>
            </w:r>
            <w:r>
              <w:rPr>
                <w:rFonts w:hint="eastAsia" w:ascii="仿宋_GB2312" w:hAnsi="仿宋_GB2312" w:eastAsia="仿宋_GB2312" w:cs="仿宋_GB2312"/>
                <w:bCs/>
                <w:color w:val="auto"/>
                <w:kern w:val="0"/>
                <w:sz w:val="32"/>
                <w:szCs w:val="32"/>
                <w:lang w:val="en-US" w:eastAsia="zh-CN"/>
              </w:rPr>
              <w:t>02</w:t>
            </w:r>
            <w:r>
              <w:rPr>
                <w:rFonts w:hint="eastAsia" w:ascii="仿宋_GB2312" w:hAnsi="仿宋_GB2312" w:eastAsia="仿宋_GB2312" w:cs="仿宋_GB2312"/>
                <w:bCs/>
                <w:color w:val="auto"/>
                <w:kern w:val="0"/>
                <w:sz w:val="32"/>
                <w:szCs w:val="32"/>
              </w:rPr>
              <w:t>日1</w:t>
            </w:r>
            <w:r>
              <w:rPr>
                <w:rFonts w:hint="eastAsia" w:ascii="仿宋_GB2312" w:hAnsi="仿宋_GB2312" w:eastAsia="仿宋_GB2312" w:cs="仿宋_GB2312"/>
                <w:bCs/>
                <w:color w:val="auto"/>
                <w:kern w:val="0"/>
                <w:sz w:val="32"/>
                <w:szCs w:val="32"/>
                <w:lang w:val="en-US" w:eastAsia="zh-CN"/>
              </w:rPr>
              <w:t>0</w:t>
            </w:r>
            <w:r>
              <w:rPr>
                <w:rFonts w:hint="eastAsia" w:ascii="仿宋_GB2312" w:hAnsi="仿宋_GB2312" w:eastAsia="仿宋_GB2312" w:cs="仿宋_GB2312"/>
                <w:bCs/>
                <w:color w:val="auto"/>
                <w:kern w:val="0"/>
                <w:sz w:val="32"/>
                <w:szCs w:val="32"/>
              </w:rPr>
              <w:t>:</w:t>
            </w:r>
            <w:r>
              <w:rPr>
                <w:rFonts w:hint="eastAsia" w:ascii="仿宋_GB2312" w:hAnsi="仿宋_GB2312" w:eastAsia="仿宋_GB2312" w:cs="仿宋_GB2312"/>
                <w:bCs/>
                <w:color w:val="auto"/>
                <w:kern w:val="0"/>
                <w:sz w:val="32"/>
                <w:szCs w:val="32"/>
                <w:lang w:val="en-US" w:eastAsia="zh-CN"/>
              </w:rPr>
              <w:t>30</w:t>
            </w:r>
          </w:p>
        </w:tc>
      </w:tr>
      <w:tr w14:paraId="7C0558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05" w:hRule="atLeast"/>
        </w:trPr>
        <w:tc>
          <w:tcPr>
            <w:tcW w:w="746" w:type="dxa"/>
            <w:vMerge w:val="continue"/>
            <w:noWrap w:val="0"/>
            <w:vAlign w:val="center"/>
          </w:tcPr>
          <w:p w14:paraId="477CE9C8">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p>
        </w:tc>
        <w:tc>
          <w:tcPr>
            <w:tcW w:w="1937" w:type="dxa"/>
            <w:vMerge w:val="continue"/>
            <w:tcBorders>
              <w:right w:val="single" w:color="auto" w:sz="4" w:space="0"/>
            </w:tcBorders>
            <w:noWrap w:val="0"/>
            <w:vAlign w:val="center"/>
          </w:tcPr>
          <w:p w14:paraId="31EF9BA1">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p>
        </w:tc>
        <w:tc>
          <w:tcPr>
            <w:tcW w:w="7850" w:type="dxa"/>
            <w:gridSpan w:val="4"/>
            <w:tcBorders>
              <w:top w:val="single" w:color="auto" w:sz="4" w:space="0"/>
              <w:left w:val="single" w:color="auto" w:sz="4" w:space="0"/>
            </w:tcBorders>
            <w:noWrap w:val="0"/>
            <w:vAlign w:val="center"/>
          </w:tcPr>
          <w:p w14:paraId="6AEED250">
            <w:pPr>
              <w:keepNext w:val="0"/>
              <w:keepLines w:val="0"/>
              <w:pageBreakBefore w:val="0"/>
              <w:kinsoku/>
              <w:wordWrap/>
              <w:topLinePunct w:val="0"/>
              <w:bidi w:val="0"/>
              <w:spacing w:line="360" w:lineRule="auto"/>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地点:</w:t>
            </w:r>
            <w:r>
              <w:rPr>
                <w:rFonts w:hint="eastAsia" w:ascii="仿宋_GB2312" w:hAnsi="仿宋_GB2312" w:eastAsia="仿宋_GB2312" w:cs="仿宋_GB2312"/>
                <w:color w:val="auto"/>
                <w:kern w:val="0"/>
                <w:sz w:val="32"/>
                <w:szCs w:val="32"/>
              </w:rPr>
              <w:t xml:space="preserve"> </w:t>
            </w:r>
            <w:r>
              <w:rPr>
                <w:rFonts w:hint="eastAsia" w:ascii="仿宋_GB2312" w:hAnsi="仿宋_GB2312" w:eastAsia="仿宋_GB2312" w:cs="仿宋_GB2312"/>
                <w:color w:val="auto"/>
                <w:sz w:val="32"/>
                <w:szCs w:val="32"/>
              </w:rPr>
              <w:t>请登录政采云投标客户端，在截止时间前将加密的电子响应文件（.jmbs）上传到新疆政府采购网对应的位置（逾期上传或者未上传指定地点的响应文件，采购人不予受理）</w:t>
            </w:r>
          </w:p>
        </w:tc>
      </w:tr>
      <w:tr w14:paraId="54E680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13" w:hRule="atLeast"/>
        </w:trPr>
        <w:tc>
          <w:tcPr>
            <w:tcW w:w="746" w:type="dxa"/>
            <w:noWrap w:val="0"/>
            <w:vAlign w:val="center"/>
          </w:tcPr>
          <w:p w14:paraId="3CE9E4A1">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22</w:t>
            </w:r>
          </w:p>
        </w:tc>
        <w:tc>
          <w:tcPr>
            <w:tcW w:w="1937" w:type="dxa"/>
            <w:tcBorders>
              <w:right w:val="single" w:color="auto" w:sz="4" w:space="0"/>
            </w:tcBorders>
            <w:noWrap w:val="0"/>
            <w:vAlign w:val="center"/>
          </w:tcPr>
          <w:p w14:paraId="44DCEC51">
            <w:pPr>
              <w:keepNext w:val="0"/>
              <w:keepLines w:val="0"/>
              <w:pageBreakBefore w:val="0"/>
              <w:kinsoku/>
              <w:wordWrap/>
              <w:topLinePunct w:val="0"/>
              <w:bidi w:val="0"/>
              <w:adjustRightInd w:val="0"/>
              <w:snapToGrid w:val="0"/>
              <w:spacing w:line="360" w:lineRule="auto"/>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成交原则</w:t>
            </w:r>
          </w:p>
        </w:tc>
        <w:tc>
          <w:tcPr>
            <w:tcW w:w="7850" w:type="dxa"/>
            <w:gridSpan w:val="4"/>
            <w:tcBorders>
              <w:left w:val="single" w:color="auto" w:sz="4" w:space="0"/>
            </w:tcBorders>
            <w:noWrap w:val="0"/>
            <w:vAlign w:val="center"/>
          </w:tcPr>
          <w:p w14:paraId="1BC53D35">
            <w:pPr>
              <w:keepNext w:val="0"/>
              <w:keepLines w:val="0"/>
              <w:pageBreakBefore w:val="0"/>
              <w:kinsoku/>
              <w:wordWrap/>
              <w:topLinePunct w:val="0"/>
              <w:bidi w:val="0"/>
              <w:adjustRightInd w:val="0"/>
              <w:snapToGrid w:val="0"/>
              <w:spacing w:line="360" w:lineRule="auto"/>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最大程度满足招标文件规定的各项综合评价标准即综合得分最高为成交候选投标人。</w:t>
            </w:r>
          </w:p>
        </w:tc>
      </w:tr>
      <w:tr w14:paraId="2B997F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05" w:hRule="atLeast"/>
        </w:trPr>
        <w:tc>
          <w:tcPr>
            <w:tcW w:w="746" w:type="dxa"/>
            <w:vMerge w:val="restart"/>
            <w:noWrap w:val="0"/>
            <w:vAlign w:val="center"/>
          </w:tcPr>
          <w:p w14:paraId="62856516">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23</w:t>
            </w:r>
          </w:p>
        </w:tc>
        <w:tc>
          <w:tcPr>
            <w:tcW w:w="1937" w:type="dxa"/>
            <w:vMerge w:val="restart"/>
            <w:tcBorders>
              <w:right w:val="single" w:color="auto" w:sz="4" w:space="0"/>
            </w:tcBorders>
            <w:noWrap w:val="0"/>
            <w:vAlign w:val="center"/>
          </w:tcPr>
          <w:p w14:paraId="239F4917">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公告及成交公示发布媒介</w:t>
            </w:r>
          </w:p>
        </w:tc>
        <w:tc>
          <w:tcPr>
            <w:tcW w:w="7850" w:type="dxa"/>
            <w:gridSpan w:val="4"/>
            <w:tcBorders>
              <w:left w:val="single" w:color="auto" w:sz="4" w:space="0"/>
              <w:bottom w:val="single" w:color="auto" w:sz="4" w:space="0"/>
            </w:tcBorders>
            <w:noWrap w:val="0"/>
            <w:vAlign w:val="center"/>
          </w:tcPr>
          <w:p w14:paraId="51A5FCFE">
            <w:pPr>
              <w:keepNext w:val="0"/>
              <w:keepLines w:val="0"/>
              <w:pageBreakBefore w:val="0"/>
              <w:kinsoku/>
              <w:wordWrap/>
              <w:topLinePunct w:val="0"/>
              <w:autoSpaceDE w:val="0"/>
              <w:autoSpaceDN w:val="0"/>
              <w:bidi w:val="0"/>
              <w:adjustRightInd w:val="0"/>
              <w:snapToGrid w:val="0"/>
              <w:spacing w:line="360" w:lineRule="auto"/>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color w:val="auto"/>
                <w:kern w:val="0"/>
                <w:sz w:val="32"/>
                <w:szCs w:val="32"/>
              </w:rPr>
              <w:t>新疆政府采购网http://www.ccgp-xinjiang.gov.cn/</w:t>
            </w:r>
          </w:p>
        </w:tc>
      </w:tr>
      <w:tr w14:paraId="096E5D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746" w:type="dxa"/>
            <w:vMerge w:val="continue"/>
            <w:noWrap w:val="0"/>
            <w:vAlign w:val="center"/>
          </w:tcPr>
          <w:p w14:paraId="3C73555D">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p>
        </w:tc>
        <w:tc>
          <w:tcPr>
            <w:tcW w:w="1937" w:type="dxa"/>
            <w:vMerge w:val="continue"/>
            <w:tcBorders>
              <w:right w:val="single" w:color="auto" w:sz="4" w:space="0"/>
            </w:tcBorders>
            <w:noWrap w:val="0"/>
            <w:vAlign w:val="center"/>
          </w:tcPr>
          <w:p w14:paraId="7F98B7FB">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p>
        </w:tc>
        <w:tc>
          <w:tcPr>
            <w:tcW w:w="7850" w:type="dxa"/>
            <w:gridSpan w:val="4"/>
            <w:tcBorders>
              <w:top w:val="single" w:color="auto" w:sz="4" w:space="0"/>
              <w:left w:val="single" w:color="auto" w:sz="4" w:space="0"/>
            </w:tcBorders>
            <w:noWrap w:val="0"/>
            <w:vAlign w:val="center"/>
          </w:tcPr>
          <w:p w14:paraId="7F30660E">
            <w:pPr>
              <w:keepNext w:val="0"/>
              <w:keepLines w:val="0"/>
              <w:pageBreakBefore w:val="0"/>
              <w:kinsoku/>
              <w:wordWrap/>
              <w:topLinePunct w:val="0"/>
              <w:autoSpaceDE w:val="0"/>
              <w:autoSpaceDN w:val="0"/>
              <w:bidi w:val="0"/>
              <w:adjustRightInd w:val="0"/>
              <w:snapToGrid w:val="0"/>
              <w:spacing w:line="360" w:lineRule="auto"/>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公示期不少于1工作日，公示期内无异议将向第一中标候选人发出成交通知书。</w:t>
            </w:r>
          </w:p>
        </w:tc>
      </w:tr>
      <w:tr w14:paraId="2902EF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94" w:hRule="atLeast"/>
        </w:trPr>
        <w:tc>
          <w:tcPr>
            <w:tcW w:w="746" w:type="dxa"/>
            <w:noWrap w:val="0"/>
            <w:vAlign w:val="center"/>
          </w:tcPr>
          <w:p w14:paraId="00FAE6EE">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24</w:t>
            </w:r>
          </w:p>
        </w:tc>
        <w:tc>
          <w:tcPr>
            <w:tcW w:w="1937" w:type="dxa"/>
            <w:noWrap w:val="0"/>
            <w:vAlign w:val="center"/>
          </w:tcPr>
          <w:p w14:paraId="1DA03E12">
            <w:pPr>
              <w:keepNext w:val="0"/>
              <w:keepLines w:val="0"/>
              <w:pageBreakBefore w:val="0"/>
              <w:kinsoku/>
              <w:wordWrap/>
              <w:overflowPunct w:val="0"/>
              <w:topLinePunct w:val="0"/>
              <w:bidi w:val="0"/>
              <w:spacing w:line="360" w:lineRule="auto"/>
              <w:jc w:val="center"/>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中标</w:t>
            </w:r>
          </w:p>
          <w:p w14:paraId="7008F48D">
            <w:pPr>
              <w:keepNext w:val="0"/>
              <w:keepLines w:val="0"/>
              <w:pageBreakBefore w:val="0"/>
              <w:kinsoku/>
              <w:wordWrap/>
              <w:overflowPunct w:val="0"/>
              <w:topLinePunct w:val="0"/>
              <w:bidi w:val="0"/>
              <w:spacing w:line="360" w:lineRule="auto"/>
              <w:jc w:val="center"/>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通知书</w:t>
            </w:r>
          </w:p>
        </w:tc>
        <w:tc>
          <w:tcPr>
            <w:tcW w:w="7850" w:type="dxa"/>
            <w:gridSpan w:val="4"/>
            <w:noWrap w:val="0"/>
            <w:vAlign w:val="center"/>
          </w:tcPr>
          <w:p w14:paraId="039CB55C">
            <w:pPr>
              <w:keepNext w:val="0"/>
              <w:keepLines w:val="0"/>
              <w:pageBreakBefore w:val="0"/>
              <w:widowControl/>
              <w:kinsoku/>
              <w:wordWrap/>
              <w:topLinePunct w:val="0"/>
              <w:bidi w:val="0"/>
              <w:spacing w:line="360" w:lineRule="auto"/>
              <w:ind w:left="50" w:leftChars="-45" w:hanging="144" w:hangingChars="45"/>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中标公示</w:t>
            </w:r>
            <w:r>
              <w:rPr>
                <w:rFonts w:hint="eastAsia" w:ascii="仿宋_GB2312" w:hAnsi="仿宋_GB2312" w:eastAsia="仿宋_GB2312" w:cs="仿宋_GB2312"/>
                <w:b/>
                <w:color w:val="auto"/>
                <w:sz w:val="32"/>
                <w:szCs w:val="32"/>
              </w:rPr>
              <w:t>1</w:t>
            </w:r>
            <w:r>
              <w:rPr>
                <w:rFonts w:hint="eastAsia" w:ascii="仿宋_GB2312" w:hAnsi="仿宋_GB2312" w:eastAsia="仿宋_GB2312" w:cs="仿宋_GB2312"/>
                <w:color w:val="auto"/>
                <w:sz w:val="32"/>
                <w:szCs w:val="32"/>
              </w:rPr>
              <w:t>工作日无异议后发放</w:t>
            </w:r>
          </w:p>
        </w:tc>
      </w:tr>
      <w:tr w14:paraId="371320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09" w:hRule="atLeast"/>
        </w:trPr>
        <w:tc>
          <w:tcPr>
            <w:tcW w:w="746" w:type="dxa"/>
            <w:noWrap w:val="0"/>
            <w:vAlign w:val="center"/>
          </w:tcPr>
          <w:p w14:paraId="6DB445CE">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25</w:t>
            </w:r>
          </w:p>
        </w:tc>
        <w:tc>
          <w:tcPr>
            <w:tcW w:w="1937" w:type="dxa"/>
            <w:noWrap w:val="0"/>
            <w:vAlign w:val="center"/>
          </w:tcPr>
          <w:p w14:paraId="03B03CE6">
            <w:pPr>
              <w:keepNext w:val="0"/>
              <w:keepLines w:val="0"/>
              <w:pageBreakBefore w:val="0"/>
              <w:kinsoku/>
              <w:wordWrap/>
              <w:overflowPunct w:val="0"/>
              <w:topLinePunct w:val="0"/>
              <w:bidi w:val="0"/>
              <w:spacing w:line="360" w:lineRule="auto"/>
              <w:jc w:val="center"/>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合同签订有效期</w:t>
            </w:r>
          </w:p>
        </w:tc>
        <w:tc>
          <w:tcPr>
            <w:tcW w:w="7850" w:type="dxa"/>
            <w:gridSpan w:val="4"/>
            <w:noWrap w:val="0"/>
            <w:vAlign w:val="center"/>
          </w:tcPr>
          <w:p w14:paraId="7B37150C">
            <w:pPr>
              <w:keepNext w:val="0"/>
              <w:keepLines w:val="0"/>
              <w:pageBreakBefore w:val="0"/>
              <w:widowControl/>
              <w:kinsoku/>
              <w:wordWrap/>
              <w:topLinePunct w:val="0"/>
              <w:bidi w:val="0"/>
              <w:spacing w:line="360" w:lineRule="auto"/>
              <w:ind w:left="50" w:leftChars="-45" w:hanging="144" w:hangingChars="45"/>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自成交通知书发出之日起30日内与采购人签订采购合</w:t>
            </w:r>
          </w:p>
          <w:p w14:paraId="45DA1513">
            <w:pPr>
              <w:keepNext w:val="0"/>
              <w:keepLines w:val="0"/>
              <w:pageBreakBefore w:val="0"/>
              <w:widowControl/>
              <w:kinsoku/>
              <w:wordWrap/>
              <w:topLinePunct w:val="0"/>
              <w:bidi w:val="0"/>
              <w:spacing w:line="360" w:lineRule="auto"/>
              <w:ind w:left="50" w:leftChars="-45" w:hanging="144" w:hangingChars="45"/>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同。</w:t>
            </w:r>
          </w:p>
        </w:tc>
      </w:tr>
      <w:tr w14:paraId="75D1A8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746" w:type="dxa"/>
            <w:noWrap w:val="0"/>
            <w:vAlign w:val="center"/>
          </w:tcPr>
          <w:p w14:paraId="3159E319">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26</w:t>
            </w:r>
          </w:p>
        </w:tc>
        <w:tc>
          <w:tcPr>
            <w:tcW w:w="1937" w:type="dxa"/>
            <w:noWrap w:val="0"/>
            <w:vAlign w:val="center"/>
          </w:tcPr>
          <w:p w14:paraId="2D54C850">
            <w:pPr>
              <w:keepNext w:val="0"/>
              <w:keepLines w:val="0"/>
              <w:pageBreakBefore w:val="0"/>
              <w:kinsoku/>
              <w:wordWrap/>
              <w:overflowPunct w:val="0"/>
              <w:topLinePunct w:val="0"/>
              <w:bidi w:val="0"/>
              <w:spacing w:line="360" w:lineRule="auto"/>
              <w:jc w:val="center"/>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代理服务费</w:t>
            </w:r>
          </w:p>
        </w:tc>
        <w:tc>
          <w:tcPr>
            <w:tcW w:w="7850" w:type="dxa"/>
            <w:gridSpan w:val="4"/>
            <w:noWrap w:val="0"/>
            <w:vAlign w:val="center"/>
          </w:tcPr>
          <w:p w14:paraId="1C1D40CA">
            <w:pPr>
              <w:keepNext w:val="0"/>
              <w:keepLines w:val="0"/>
              <w:pageBreakBefore w:val="0"/>
              <w:kinsoku/>
              <w:wordWrap/>
              <w:topLinePunct w:val="0"/>
              <w:bidi w:val="0"/>
              <w:spacing w:before="24" w:line="360" w:lineRule="auto"/>
              <w:ind w:left="33"/>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招标代理服务费：中标人应按本招标文件的规定，在《成交通知书》核发时至核发后 3 天内，向采购代理机构支付中标服务费。其计算标准和方法按照下列表格差额定率累进法计算后下浮30%。代理服务费为</w:t>
            </w:r>
            <w:r>
              <w:rPr>
                <w:rFonts w:hint="eastAsia" w:ascii="仿宋_GB2312" w:hAnsi="仿宋_GB2312" w:eastAsia="仿宋_GB2312" w:cs="仿宋_GB2312"/>
                <w:color w:val="auto"/>
                <w:sz w:val="32"/>
                <w:szCs w:val="32"/>
                <w:lang w:val="en-US" w:eastAsia="zh-CN"/>
              </w:rPr>
              <w:t>13580</w:t>
            </w:r>
            <w:r>
              <w:rPr>
                <w:rFonts w:hint="eastAsia" w:ascii="仿宋_GB2312" w:hAnsi="仿宋_GB2312" w:eastAsia="仿宋_GB2312" w:cs="仿宋_GB2312"/>
                <w:color w:val="auto"/>
                <w:sz w:val="32"/>
                <w:szCs w:val="32"/>
              </w:rPr>
              <w:t>元。</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90"/>
              <w:gridCol w:w="3790"/>
            </w:tblGrid>
            <w:tr w14:paraId="05DA2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trPr>
              <w:tc>
                <w:tcPr>
                  <w:tcW w:w="3790" w:type="dxa"/>
                  <w:noWrap w:val="0"/>
                  <w:vAlign w:val="top"/>
                </w:tcPr>
                <w:p w14:paraId="5D009D04">
                  <w:pPr>
                    <w:keepNext w:val="0"/>
                    <w:keepLines w:val="0"/>
                    <w:pageBreakBefore w:val="0"/>
                    <w:kinsoku/>
                    <w:wordWrap/>
                    <w:topLinePunct w:val="0"/>
                    <w:bidi w:val="0"/>
                    <w:spacing w:before="24" w:line="360" w:lineRule="auto"/>
                    <w:ind w:firstLine="2240" w:firstLineChars="7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mc:AlternateContent>
                      <mc:Choice Requires="wps">
                        <w:drawing>
                          <wp:anchor distT="0" distB="0" distL="114300" distR="114300" simplePos="0" relativeHeight="251661312" behindDoc="0" locked="0" layoutInCell="1" allowOverlap="1">
                            <wp:simplePos x="0" y="0"/>
                            <wp:positionH relativeFrom="column">
                              <wp:posOffset>-53340</wp:posOffset>
                            </wp:positionH>
                            <wp:positionV relativeFrom="paragraph">
                              <wp:posOffset>9525</wp:posOffset>
                            </wp:positionV>
                            <wp:extent cx="2359025" cy="1024255"/>
                            <wp:effectExtent l="1905" t="4445" r="13970" b="12700"/>
                            <wp:wrapNone/>
                            <wp:docPr id="2" name="直接连接符 2"/>
                            <wp:cNvGraphicFramePr/>
                            <a:graphic xmlns:a="http://schemas.openxmlformats.org/drawingml/2006/main">
                              <a:graphicData uri="http://schemas.microsoft.com/office/word/2010/wordprocessingShape">
                                <wps:wsp>
                                  <wps:cNvCnPr/>
                                  <wps:spPr>
                                    <a:xfrm>
                                      <a:off x="0" y="0"/>
                                      <a:ext cx="2359025" cy="1024255"/>
                                    </a:xfrm>
                                    <a:prstGeom prst="straightConnector1">
                                      <a:avLst/>
                                    </a:prstGeom>
                                    <a:ln w="0" cap="flat" cmpd="sng">
                                      <a:solidFill>
                                        <a:srgbClr val="000000"/>
                                      </a:solidFill>
                                      <a:prstDash val="solid"/>
                                      <a:headEnd type="none" w="med" len="med"/>
                                      <a:tailEnd type="none" w="med" len="med"/>
                                    </a:ln>
                                  </wps:spPr>
                                  <wps:bodyPr/>
                                </wps:wsp>
                              </a:graphicData>
                            </a:graphic>
                          </wp:anchor>
                        </w:drawing>
                      </mc:Choice>
                      <mc:Fallback>
                        <w:pict>
                          <v:shape id="直接连接符 2" o:spid="_x0000_s1026" o:spt="32" type="#_x0000_t32" style="position:absolute;left:0pt;margin-left:-4.2pt;margin-top:0.75pt;height:80.65pt;width:185.75pt;z-index:251661312;mso-width-relative:page;mso-height-relative:page;" filled="f" stroked="t" coordsize="21600,21600" o:gfxdata="UEsDBAoAAAAAAIdO4kAAAAAAAAAAAAAAAAAEAAAAZHJzL1BLAwQUAAAACACHTuJAvPiuw9YAAAAI&#10;AQAADwAAAGRycy9kb3ducmV2LnhtbE2PzU7DMBCE70i8g7VI3FrnB9IoxKkQEggJLgRUrtvYJFHt&#10;dRS7aXl7lhMcZ2f07Uy9PTsrFjOH0ZOCdJ2AMNR5PVKv4OP9cVWCCBFJo/VkFHybANvm8qLGSvsT&#10;vZmljb1gCIUKFQwxTpWUoRuMw7D2kyH2vvzsMLKce6lnPDHcWZklSSEdjsQfBpzMw2C6Q3t0TOk+&#10;M5ye20Uf7p+sfck35e51Vur6Kk3uQERzjn9h+K3P1aHhTnt/JB2EVbAqbzjJ91sQbOdFnoLYsy6y&#10;EmRTy/8Dmh9QSwMEFAAAAAgAh07iQKim1OT1AQAA6QMAAA4AAABkcnMvZTJvRG9jLnhtbK1TTa7T&#10;MBDeI3EHy3uaNFAEUdO3aHlsEFQCDjB1nMSS/+Txa9pLcAEkdrBiyZ7b8DgGY6f0wWPTBVk4Y8/M&#10;N/N9Hi+vDkazvQyonG34fFZyJq1wrbJ9w9+/u370jDOMYFvQzsqGHyXyq9XDB8vR17Jyg9OtDIxA&#10;LNajb/gQo6+LAsUgDeDMeWnJ2blgINI29EUbYCR0o4uqLJ8WowutD05IRDrdTE5+QgyXALquU0Ju&#10;nLgx0sYJNUgNkSjhoDzyVe6266SIb7oOZWS64cQ05pWKkL1La7FaQt0H8IMSpxbgkhbucTKgLBU9&#10;Q20gArsJ6h8oo0Rw6Lo4E84UE5GsCLGYl/e0eTuAl5kLSY3+LDr+P1jxer8NTLUNrzizYOjCbz9+&#10;+/Hh88/vn2i9/fqFVUmk0WNNsWu7Dacd+m1IjA9dMOlPXNghC3s8CysPkQk6rB4vnpfVgjNBvnlZ&#10;PakWi4Ra3KX7gPGldIYlo+EYA6h+iGtnLV2iC/MsL+xfYZwSfyek2tqyMZcWQBPZ0SRQKeOJFdo+&#10;J6LTqr1WWqdwDP1urQPbQ5qK/J26+SssVdgADlNcdqUwqAcJ7Qvbsnj0pJelZ8JTfSNbzrSkV5Ws&#10;HBlB6UsiSQhtSY8k8yRssnauPWa98zlNQFbsNK1pxP7c5+y7F7r6B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Lz4rsPWAAAACAEAAA8AAAAAAAAAAQAgAAAAIgAAAGRycy9kb3ducmV2LnhtbFBLAQIU&#10;ABQAAAAIAIdO4kCoptTk9QEAAOkDAAAOAAAAAAAAAAEAIAAAACUBAABkcnMvZTJvRG9jLnhtbFBL&#10;BQYAAAAABgAGAFkBAACMBQAAAAA=&#10;">
                            <v:fill on="f" focussize="0,0"/>
                            <v:stroke weight="0pt" color="#000000" joinstyle="round"/>
                            <v:imagedata o:title=""/>
                            <o:lock v:ext="edit" aspectratio="f"/>
                          </v:shape>
                        </w:pict>
                      </mc:Fallback>
                    </mc:AlternateContent>
                  </w:r>
                  <w:r>
                    <w:rPr>
                      <w:rFonts w:hint="eastAsia" w:ascii="仿宋_GB2312" w:hAnsi="仿宋_GB2312" w:eastAsia="仿宋_GB2312" w:cs="仿宋_GB2312"/>
                      <w:color w:val="auto"/>
                      <w:sz w:val="32"/>
                      <w:szCs w:val="32"/>
                    </w:rPr>
                    <w:t>费用类别</w:t>
                  </w:r>
                </w:p>
                <w:p w14:paraId="41FB3410">
                  <w:pPr>
                    <w:keepNext w:val="0"/>
                    <w:keepLines w:val="0"/>
                    <w:pageBreakBefore w:val="0"/>
                    <w:kinsoku/>
                    <w:wordWrap/>
                    <w:topLinePunct w:val="0"/>
                    <w:bidi w:val="0"/>
                    <w:spacing w:before="24" w:line="360" w:lineRule="auto"/>
                    <w:rPr>
                      <w:rFonts w:hint="eastAsia" w:ascii="仿宋_GB2312" w:hAnsi="仿宋_GB2312" w:eastAsia="仿宋_GB2312" w:cs="仿宋_GB2312"/>
                      <w:color w:val="auto"/>
                      <w:sz w:val="32"/>
                      <w:szCs w:val="32"/>
                    </w:rPr>
                  </w:pPr>
                </w:p>
                <w:p w14:paraId="58686447">
                  <w:pPr>
                    <w:keepNext w:val="0"/>
                    <w:keepLines w:val="0"/>
                    <w:pageBreakBefore w:val="0"/>
                    <w:kinsoku/>
                    <w:wordWrap/>
                    <w:topLinePunct w:val="0"/>
                    <w:bidi w:val="0"/>
                    <w:spacing w:before="24" w:line="360" w:lineRule="auto"/>
                    <w:rPr>
                      <w:rFonts w:hint="eastAsia" w:ascii="仿宋_GB2312" w:hAnsi="仿宋_GB2312" w:eastAsia="仿宋_GB2312" w:cs="仿宋_GB2312"/>
                      <w:color w:val="auto"/>
                      <w:sz w:val="32"/>
                      <w:szCs w:val="32"/>
                    </w:rPr>
                  </w:pPr>
                </w:p>
                <w:p w14:paraId="68DB563C">
                  <w:pPr>
                    <w:keepNext w:val="0"/>
                    <w:keepLines w:val="0"/>
                    <w:pageBreakBefore w:val="0"/>
                    <w:kinsoku/>
                    <w:wordWrap/>
                    <w:topLinePunct w:val="0"/>
                    <w:bidi w:val="0"/>
                    <w:spacing w:before="24" w:line="360" w:lineRule="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中标金额万元（人民币）</w:t>
                  </w:r>
                </w:p>
              </w:tc>
              <w:tc>
                <w:tcPr>
                  <w:tcW w:w="3790" w:type="dxa"/>
                  <w:noWrap w:val="0"/>
                  <w:vAlign w:val="center"/>
                </w:tcPr>
                <w:p w14:paraId="44640DB0">
                  <w:pPr>
                    <w:keepNext w:val="0"/>
                    <w:keepLines w:val="0"/>
                    <w:pageBreakBefore w:val="0"/>
                    <w:kinsoku/>
                    <w:wordWrap/>
                    <w:topLinePunct w:val="0"/>
                    <w:bidi w:val="0"/>
                    <w:spacing w:before="24" w:line="360" w:lineRule="auto"/>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货物招标费率</w:t>
                  </w:r>
                </w:p>
              </w:tc>
            </w:tr>
            <w:tr w14:paraId="73FCB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3790" w:type="dxa"/>
                  <w:noWrap w:val="0"/>
                  <w:vAlign w:val="center"/>
                </w:tcPr>
                <w:p w14:paraId="0C7AE92B">
                  <w:pPr>
                    <w:keepNext w:val="0"/>
                    <w:keepLines w:val="0"/>
                    <w:pageBreakBefore w:val="0"/>
                    <w:kinsoku/>
                    <w:wordWrap/>
                    <w:topLinePunct w:val="0"/>
                    <w:bidi w:val="0"/>
                    <w:spacing w:before="24" w:line="360" w:lineRule="auto"/>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100以下</w:t>
                  </w:r>
                </w:p>
              </w:tc>
              <w:tc>
                <w:tcPr>
                  <w:tcW w:w="3790" w:type="dxa"/>
                  <w:noWrap w:val="0"/>
                  <w:vAlign w:val="center"/>
                </w:tcPr>
                <w:p w14:paraId="251889F7">
                  <w:pPr>
                    <w:keepNext w:val="0"/>
                    <w:keepLines w:val="0"/>
                    <w:pageBreakBefore w:val="0"/>
                    <w:kinsoku/>
                    <w:wordWrap/>
                    <w:topLinePunct w:val="0"/>
                    <w:bidi w:val="0"/>
                    <w:spacing w:before="24" w:line="360" w:lineRule="auto"/>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1.5%</w:t>
                  </w:r>
                </w:p>
              </w:tc>
            </w:tr>
            <w:tr w14:paraId="39A04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3790" w:type="dxa"/>
                  <w:noWrap w:val="0"/>
                  <w:vAlign w:val="center"/>
                </w:tcPr>
                <w:p w14:paraId="0174C9C9">
                  <w:pPr>
                    <w:keepNext w:val="0"/>
                    <w:keepLines w:val="0"/>
                    <w:pageBreakBefore w:val="0"/>
                    <w:kinsoku/>
                    <w:wordWrap/>
                    <w:topLinePunct w:val="0"/>
                    <w:bidi w:val="0"/>
                    <w:spacing w:before="24" w:line="360" w:lineRule="auto"/>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100～500</w:t>
                  </w:r>
                </w:p>
              </w:tc>
              <w:tc>
                <w:tcPr>
                  <w:tcW w:w="3790" w:type="dxa"/>
                  <w:noWrap w:val="0"/>
                  <w:vAlign w:val="center"/>
                </w:tcPr>
                <w:p w14:paraId="3793F654">
                  <w:pPr>
                    <w:keepNext w:val="0"/>
                    <w:keepLines w:val="0"/>
                    <w:pageBreakBefore w:val="0"/>
                    <w:kinsoku/>
                    <w:wordWrap/>
                    <w:topLinePunct w:val="0"/>
                    <w:bidi w:val="0"/>
                    <w:spacing w:before="24" w:line="360" w:lineRule="auto"/>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1.1%</w:t>
                  </w:r>
                </w:p>
              </w:tc>
            </w:tr>
            <w:tr w14:paraId="5A468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3790" w:type="dxa"/>
                  <w:noWrap w:val="0"/>
                  <w:vAlign w:val="center"/>
                </w:tcPr>
                <w:p w14:paraId="1232C31C">
                  <w:pPr>
                    <w:keepNext w:val="0"/>
                    <w:keepLines w:val="0"/>
                    <w:pageBreakBefore w:val="0"/>
                    <w:kinsoku/>
                    <w:wordWrap/>
                    <w:topLinePunct w:val="0"/>
                    <w:bidi w:val="0"/>
                    <w:spacing w:before="24" w:line="360" w:lineRule="auto"/>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500～1000</w:t>
                  </w:r>
                </w:p>
              </w:tc>
              <w:tc>
                <w:tcPr>
                  <w:tcW w:w="3790" w:type="dxa"/>
                  <w:noWrap w:val="0"/>
                  <w:vAlign w:val="center"/>
                </w:tcPr>
                <w:p w14:paraId="572A4EB2">
                  <w:pPr>
                    <w:keepNext w:val="0"/>
                    <w:keepLines w:val="0"/>
                    <w:pageBreakBefore w:val="0"/>
                    <w:kinsoku/>
                    <w:wordWrap/>
                    <w:topLinePunct w:val="0"/>
                    <w:bidi w:val="0"/>
                    <w:spacing w:before="24" w:line="360" w:lineRule="auto"/>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0.8%</w:t>
                  </w:r>
                </w:p>
              </w:tc>
            </w:tr>
            <w:tr w14:paraId="1F43C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3790" w:type="dxa"/>
                  <w:noWrap w:val="0"/>
                  <w:vAlign w:val="center"/>
                </w:tcPr>
                <w:p w14:paraId="52794301">
                  <w:pPr>
                    <w:keepNext w:val="0"/>
                    <w:keepLines w:val="0"/>
                    <w:pageBreakBefore w:val="0"/>
                    <w:kinsoku/>
                    <w:wordWrap/>
                    <w:topLinePunct w:val="0"/>
                    <w:bidi w:val="0"/>
                    <w:spacing w:before="24" w:line="360" w:lineRule="auto"/>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1000～5000</w:t>
                  </w:r>
                </w:p>
              </w:tc>
              <w:tc>
                <w:tcPr>
                  <w:tcW w:w="3790" w:type="dxa"/>
                  <w:noWrap w:val="0"/>
                  <w:vAlign w:val="center"/>
                </w:tcPr>
                <w:p w14:paraId="7552942D">
                  <w:pPr>
                    <w:keepNext w:val="0"/>
                    <w:keepLines w:val="0"/>
                    <w:pageBreakBefore w:val="0"/>
                    <w:kinsoku/>
                    <w:wordWrap/>
                    <w:topLinePunct w:val="0"/>
                    <w:bidi w:val="0"/>
                    <w:spacing w:before="24" w:line="360" w:lineRule="auto"/>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0.5%</w:t>
                  </w:r>
                </w:p>
              </w:tc>
            </w:tr>
            <w:tr w14:paraId="594FA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3790" w:type="dxa"/>
                  <w:noWrap w:val="0"/>
                  <w:vAlign w:val="center"/>
                </w:tcPr>
                <w:p w14:paraId="039B81C3">
                  <w:pPr>
                    <w:keepNext w:val="0"/>
                    <w:keepLines w:val="0"/>
                    <w:pageBreakBefore w:val="0"/>
                    <w:kinsoku/>
                    <w:wordWrap/>
                    <w:topLinePunct w:val="0"/>
                    <w:bidi w:val="0"/>
                    <w:spacing w:before="24" w:line="360" w:lineRule="auto"/>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5000～10000</w:t>
                  </w:r>
                </w:p>
              </w:tc>
              <w:tc>
                <w:tcPr>
                  <w:tcW w:w="3790" w:type="dxa"/>
                  <w:noWrap w:val="0"/>
                  <w:vAlign w:val="center"/>
                </w:tcPr>
                <w:p w14:paraId="16742678">
                  <w:pPr>
                    <w:keepNext w:val="0"/>
                    <w:keepLines w:val="0"/>
                    <w:pageBreakBefore w:val="0"/>
                    <w:kinsoku/>
                    <w:wordWrap/>
                    <w:topLinePunct w:val="0"/>
                    <w:bidi w:val="0"/>
                    <w:spacing w:before="24" w:line="360" w:lineRule="auto"/>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0.25%</w:t>
                  </w:r>
                </w:p>
              </w:tc>
            </w:tr>
            <w:tr w14:paraId="0C3EE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3790" w:type="dxa"/>
                  <w:noWrap w:val="0"/>
                  <w:vAlign w:val="center"/>
                </w:tcPr>
                <w:p w14:paraId="1D7C0A7D">
                  <w:pPr>
                    <w:keepNext w:val="0"/>
                    <w:keepLines w:val="0"/>
                    <w:pageBreakBefore w:val="0"/>
                    <w:kinsoku/>
                    <w:wordWrap/>
                    <w:topLinePunct w:val="0"/>
                    <w:bidi w:val="0"/>
                    <w:spacing w:before="24" w:line="360" w:lineRule="auto"/>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10000～100000</w:t>
                  </w:r>
                </w:p>
              </w:tc>
              <w:tc>
                <w:tcPr>
                  <w:tcW w:w="3790" w:type="dxa"/>
                  <w:noWrap w:val="0"/>
                  <w:vAlign w:val="center"/>
                </w:tcPr>
                <w:p w14:paraId="38CC05FF">
                  <w:pPr>
                    <w:keepNext w:val="0"/>
                    <w:keepLines w:val="0"/>
                    <w:pageBreakBefore w:val="0"/>
                    <w:kinsoku/>
                    <w:wordWrap/>
                    <w:topLinePunct w:val="0"/>
                    <w:bidi w:val="0"/>
                    <w:spacing w:before="24" w:line="360" w:lineRule="auto"/>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0.05%</w:t>
                  </w:r>
                </w:p>
              </w:tc>
            </w:tr>
            <w:tr w14:paraId="40792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3790" w:type="dxa"/>
                  <w:noWrap w:val="0"/>
                  <w:vAlign w:val="center"/>
                </w:tcPr>
                <w:p w14:paraId="3292CB48">
                  <w:pPr>
                    <w:keepNext w:val="0"/>
                    <w:keepLines w:val="0"/>
                    <w:pageBreakBefore w:val="0"/>
                    <w:kinsoku/>
                    <w:wordWrap/>
                    <w:topLinePunct w:val="0"/>
                    <w:bidi w:val="0"/>
                    <w:spacing w:before="24" w:line="360" w:lineRule="auto"/>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1000000以上</w:t>
                  </w:r>
                </w:p>
              </w:tc>
              <w:tc>
                <w:tcPr>
                  <w:tcW w:w="3790" w:type="dxa"/>
                  <w:noWrap w:val="0"/>
                  <w:vAlign w:val="center"/>
                </w:tcPr>
                <w:p w14:paraId="581530AA">
                  <w:pPr>
                    <w:keepNext w:val="0"/>
                    <w:keepLines w:val="0"/>
                    <w:pageBreakBefore w:val="0"/>
                    <w:kinsoku/>
                    <w:wordWrap/>
                    <w:topLinePunct w:val="0"/>
                    <w:bidi w:val="0"/>
                    <w:spacing w:before="24" w:line="360" w:lineRule="auto"/>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0.01%</w:t>
                  </w:r>
                </w:p>
              </w:tc>
            </w:tr>
          </w:tbl>
          <w:p w14:paraId="4D1F6D9D">
            <w:pPr>
              <w:keepNext w:val="0"/>
              <w:keepLines w:val="0"/>
              <w:pageBreakBefore w:val="0"/>
              <w:kinsoku/>
              <w:wordWrap/>
              <w:topLinePunct w:val="0"/>
              <w:bidi w:val="0"/>
              <w:spacing w:before="24" w:line="360" w:lineRule="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支付形式：对公转账</w:t>
            </w:r>
          </w:p>
          <w:p w14:paraId="33C46FDD">
            <w:pPr>
              <w:keepNext w:val="0"/>
              <w:keepLines w:val="0"/>
              <w:pageBreakBefore w:val="0"/>
              <w:kinsoku/>
              <w:wordWrap/>
              <w:topLinePunct w:val="0"/>
              <w:bidi w:val="0"/>
              <w:spacing w:line="360" w:lineRule="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8"/>
                <w:sz w:val="32"/>
                <w:szCs w:val="32"/>
              </w:rPr>
              <w:t>支付</w:t>
            </w:r>
            <w:r>
              <w:rPr>
                <w:rFonts w:hint="eastAsia" w:ascii="仿宋_GB2312" w:hAnsi="仿宋_GB2312" w:eastAsia="仿宋_GB2312" w:cs="仿宋_GB2312"/>
                <w:color w:val="auto"/>
                <w:spacing w:val="8"/>
                <w:sz w:val="32"/>
                <w:szCs w:val="32"/>
                <w:highlight w:val="none"/>
              </w:rPr>
              <w:t>时间：领取成交通知书</w:t>
            </w:r>
            <w:r>
              <w:rPr>
                <w:rFonts w:hint="eastAsia" w:ascii="仿宋_GB2312" w:hAnsi="仿宋_GB2312" w:eastAsia="仿宋_GB2312" w:cs="仿宋_GB2312"/>
                <w:color w:val="auto"/>
                <w:spacing w:val="8"/>
                <w:sz w:val="32"/>
                <w:szCs w:val="32"/>
                <w:highlight w:val="none"/>
                <w:lang w:val="en-US" w:eastAsia="zh-CN"/>
              </w:rPr>
              <w:t>后3日内</w:t>
            </w:r>
            <w:r>
              <w:rPr>
                <w:rFonts w:hint="eastAsia" w:ascii="仿宋_GB2312" w:hAnsi="仿宋_GB2312" w:eastAsia="仿宋_GB2312" w:cs="仿宋_GB2312"/>
                <w:color w:val="auto"/>
                <w:spacing w:val="8"/>
                <w:sz w:val="32"/>
                <w:szCs w:val="32"/>
                <w:highlight w:val="none"/>
              </w:rPr>
              <w:t>由中标方一次性支付</w:t>
            </w:r>
          </w:p>
        </w:tc>
      </w:tr>
      <w:tr w14:paraId="4C9A55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09" w:hRule="atLeast"/>
        </w:trPr>
        <w:tc>
          <w:tcPr>
            <w:tcW w:w="746" w:type="dxa"/>
            <w:noWrap w:val="0"/>
            <w:vAlign w:val="center"/>
          </w:tcPr>
          <w:p w14:paraId="26A67CB1">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27</w:t>
            </w:r>
          </w:p>
        </w:tc>
        <w:tc>
          <w:tcPr>
            <w:tcW w:w="1937" w:type="dxa"/>
            <w:noWrap w:val="0"/>
            <w:vAlign w:val="center"/>
          </w:tcPr>
          <w:p w14:paraId="01305F3F">
            <w:pPr>
              <w:pStyle w:val="15"/>
              <w:keepNext w:val="0"/>
              <w:keepLines w:val="0"/>
              <w:pageBreakBefore w:val="0"/>
              <w:kinsoku/>
              <w:wordWrap/>
              <w:topLinePunct w:val="0"/>
              <w:bidi w:val="0"/>
              <w:spacing w:line="360" w:lineRule="auto"/>
              <w:jc w:val="center"/>
              <w:rPr>
                <w:rFonts w:hint="eastAsia" w:ascii="仿宋_GB2312" w:hAnsi="仿宋_GB2312" w:eastAsia="仿宋_GB2312" w:cs="仿宋_GB2312"/>
                <w:b/>
                <w:color w:val="auto"/>
                <w:kern w:val="2"/>
                <w:sz w:val="32"/>
                <w:szCs w:val="32"/>
                <w:lang w:val="en-US" w:eastAsia="zh-CN"/>
              </w:rPr>
            </w:pPr>
            <w:r>
              <w:rPr>
                <w:rFonts w:hint="eastAsia" w:ascii="仿宋_GB2312" w:hAnsi="仿宋_GB2312" w:eastAsia="仿宋_GB2312" w:cs="仿宋_GB2312"/>
                <w:b/>
                <w:color w:val="auto"/>
                <w:kern w:val="2"/>
                <w:sz w:val="32"/>
                <w:szCs w:val="32"/>
                <w:lang w:val="en-US" w:eastAsia="zh-CN"/>
              </w:rPr>
              <w:t>招标文件的澄清或修改</w:t>
            </w:r>
          </w:p>
        </w:tc>
        <w:tc>
          <w:tcPr>
            <w:tcW w:w="7850" w:type="dxa"/>
            <w:gridSpan w:val="4"/>
            <w:noWrap w:val="0"/>
            <w:vAlign w:val="center"/>
          </w:tcPr>
          <w:p w14:paraId="14B4A777">
            <w:pPr>
              <w:pStyle w:val="15"/>
              <w:keepNext w:val="0"/>
              <w:keepLines w:val="0"/>
              <w:pageBreakBefore w:val="0"/>
              <w:kinsoku/>
              <w:wordWrap/>
              <w:topLinePunct w:val="0"/>
              <w:bidi w:val="0"/>
              <w:spacing w:line="360" w:lineRule="auto"/>
              <w:jc w:val="left"/>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供应商应当在知道或应当知道（即收到采购文件之日或者采购文件公告期限届满之日）其权益受到损害之日起七个工作日内书面提出。</w:t>
            </w:r>
          </w:p>
        </w:tc>
      </w:tr>
      <w:tr w14:paraId="0CFDC1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91" w:hRule="atLeast"/>
        </w:trPr>
        <w:tc>
          <w:tcPr>
            <w:tcW w:w="746" w:type="dxa"/>
            <w:noWrap w:val="0"/>
            <w:vAlign w:val="center"/>
          </w:tcPr>
          <w:p w14:paraId="50C92994">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28</w:t>
            </w:r>
          </w:p>
        </w:tc>
        <w:tc>
          <w:tcPr>
            <w:tcW w:w="1937" w:type="dxa"/>
            <w:noWrap w:val="0"/>
            <w:vAlign w:val="center"/>
          </w:tcPr>
          <w:p w14:paraId="4B4AFAD2">
            <w:pPr>
              <w:keepNext w:val="0"/>
              <w:keepLines w:val="0"/>
              <w:pageBreakBefore w:val="0"/>
              <w:kinsoku/>
              <w:wordWrap/>
              <w:overflowPunct w:val="0"/>
              <w:topLinePunct w:val="0"/>
              <w:bidi w:val="0"/>
              <w:spacing w:line="360" w:lineRule="auto"/>
              <w:jc w:val="center"/>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文件解释权</w:t>
            </w:r>
          </w:p>
        </w:tc>
        <w:tc>
          <w:tcPr>
            <w:tcW w:w="7850" w:type="dxa"/>
            <w:gridSpan w:val="4"/>
            <w:noWrap w:val="0"/>
            <w:vAlign w:val="center"/>
          </w:tcPr>
          <w:p w14:paraId="28BAB954">
            <w:pPr>
              <w:keepNext w:val="0"/>
              <w:keepLines w:val="0"/>
              <w:pageBreakBefore w:val="0"/>
              <w:kinsoku/>
              <w:wordWrap/>
              <w:topLinePunct w:val="0"/>
              <w:bidi w:val="0"/>
              <w:adjustRightInd w:val="0"/>
              <w:snapToGrid w:val="0"/>
              <w:spacing w:line="360" w:lineRule="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本招标文件的解释权归</w:t>
            </w:r>
            <w:r>
              <w:rPr>
                <w:rFonts w:hint="eastAsia" w:ascii="仿宋_GB2312" w:hAnsi="仿宋_GB2312" w:eastAsia="仿宋_GB2312" w:cs="仿宋_GB2312"/>
                <w:b/>
                <w:bCs/>
                <w:color w:val="auto"/>
                <w:sz w:val="32"/>
                <w:szCs w:val="32"/>
                <w:lang w:val="zh-CN"/>
              </w:rPr>
              <w:t>新疆维吾尔自治区伊宁某某某单位</w:t>
            </w:r>
          </w:p>
        </w:tc>
      </w:tr>
      <w:tr w14:paraId="2C8C81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55" w:hRule="atLeast"/>
        </w:trPr>
        <w:tc>
          <w:tcPr>
            <w:tcW w:w="746" w:type="dxa"/>
            <w:noWrap w:val="0"/>
            <w:vAlign w:val="center"/>
          </w:tcPr>
          <w:p w14:paraId="7C2CFDF4">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29</w:t>
            </w:r>
          </w:p>
        </w:tc>
        <w:tc>
          <w:tcPr>
            <w:tcW w:w="1937" w:type="dxa"/>
            <w:noWrap w:val="0"/>
            <w:vAlign w:val="center"/>
          </w:tcPr>
          <w:p w14:paraId="7BFF348E">
            <w:pPr>
              <w:keepNext w:val="0"/>
              <w:keepLines w:val="0"/>
              <w:pageBreakBefore w:val="0"/>
              <w:kinsoku/>
              <w:wordWrap/>
              <w:overflowPunct w:val="0"/>
              <w:topLinePunct w:val="0"/>
              <w:bidi w:val="0"/>
              <w:spacing w:line="360" w:lineRule="auto"/>
              <w:jc w:val="center"/>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补充说明</w:t>
            </w:r>
          </w:p>
        </w:tc>
        <w:tc>
          <w:tcPr>
            <w:tcW w:w="7850" w:type="dxa"/>
            <w:gridSpan w:val="4"/>
            <w:noWrap w:val="0"/>
            <w:vAlign w:val="center"/>
          </w:tcPr>
          <w:p w14:paraId="779B8CB6">
            <w:pPr>
              <w:keepNext w:val="0"/>
              <w:keepLines w:val="0"/>
              <w:pageBreakBefore w:val="0"/>
              <w:kinsoku/>
              <w:wordWrap/>
              <w:topLinePunct w:val="0"/>
              <w:bidi w:val="0"/>
              <w:spacing w:line="360" w:lineRule="auto"/>
              <w:ind w:right="105" w:rightChars="5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项目采用电子招标投标：1、投标文件解密时间：投标文件解密时间30分钟，开标前需投标单位用CA证书登录政采云平台开标大厅签到，在30分钟解密时间内输入CA证书PIN码解密投标文件。在30分钟解密时间内未进行解密的投标单位将导致废标。（解密时间开始时政采云平台将以短信形式向供应商在政采云平台预留的手机号发送短信通知，请供应商及时关注。）</w:t>
            </w:r>
          </w:p>
          <w:p w14:paraId="3B7C4EE5">
            <w:pPr>
              <w:keepNext w:val="0"/>
              <w:keepLines w:val="0"/>
              <w:pageBreakBefore w:val="0"/>
              <w:numPr>
                <w:ilvl w:val="0"/>
                <w:numId w:val="1"/>
              </w:numPr>
              <w:kinsoku/>
              <w:wordWrap/>
              <w:topLinePunct w:val="0"/>
              <w:bidi w:val="0"/>
              <w:spacing w:line="360" w:lineRule="auto"/>
              <w:ind w:right="105" w:rightChars="5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供应商报价CA签字确认：报价文件开启后将开启签字时段，供应商须在30分钟内用CA证书对报价进行签字确认。</w:t>
            </w:r>
          </w:p>
          <w:p w14:paraId="52AA5566">
            <w:pPr>
              <w:keepNext w:val="0"/>
              <w:keepLines w:val="0"/>
              <w:pageBreakBefore w:val="0"/>
              <w:kinsoku/>
              <w:wordWrap/>
              <w:topLinePunct w:val="0"/>
              <w:bidi w:val="0"/>
              <w:spacing w:line="360" w:lineRule="auto"/>
              <w:ind w:right="105" w:rightChars="5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备注：1、本次采购采用电子交易方式，电子交易平台为“</w:t>
            </w:r>
            <w:r>
              <w:rPr>
                <w:rFonts w:hint="eastAsia" w:ascii="仿宋_GB2312" w:hAnsi="仿宋_GB2312" w:eastAsia="仿宋_GB2312" w:cs="仿宋_GB2312"/>
                <w:color w:val="auto"/>
                <w:sz w:val="32"/>
                <w:szCs w:val="32"/>
              </w:rPr>
              <w:t>政府采购云平台（www.zcygov.cn）</w:t>
            </w:r>
            <w:r>
              <w:rPr>
                <w:rFonts w:hint="eastAsia" w:ascii="仿宋_GB2312" w:hAnsi="仿宋_GB2312" w:eastAsia="仿宋_GB2312" w:cs="仿宋_GB2312"/>
                <w:color w:val="auto"/>
                <w:sz w:val="32"/>
                <w:szCs w:val="32"/>
              </w:rPr>
              <w:t>”。供应商参与本项目电子交易活动前，应注册成为</w:t>
            </w:r>
            <w:r>
              <w:rPr>
                <w:rFonts w:hint="eastAsia" w:ascii="仿宋_GB2312" w:hAnsi="仿宋_GB2312" w:eastAsia="仿宋_GB2312" w:cs="仿宋_GB2312"/>
                <w:color w:val="auto"/>
                <w:sz w:val="32"/>
                <w:szCs w:val="32"/>
              </w:rPr>
              <w:t>政府采购云平台供应商</w:t>
            </w:r>
            <w:r>
              <w:rPr>
                <w:rFonts w:hint="eastAsia" w:ascii="仿宋_GB2312" w:hAnsi="仿宋_GB2312" w:eastAsia="仿宋_GB2312" w:cs="仿宋_GB2312"/>
                <w:color w:val="auto"/>
                <w:sz w:val="32"/>
                <w:szCs w:val="32"/>
              </w:rPr>
              <w:t>。编制电子投标文件前还需申领CA证书并绑定帐号。供应商应充分考虑完成平台注册、申领CA证书等所需的时间。因未注册入库、未办理CA数字证书等原因造成无法投标或投标失败等后果由供应商自行承担。</w:t>
            </w:r>
          </w:p>
          <w:p w14:paraId="517E732E">
            <w:pPr>
              <w:keepNext w:val="0"/>
              <w:keepLines w:val="0"/>
              <w:pageBreakBefore w:val="0"/>
              <w:kinsoku/>
              <w:wordWrap/>
              <w:topLinePunct w:val="0"/>
              <w:bidi w:val="0"/>
              <w:spacing w:line="360" w:lineRule="auto"/>
              <w:ind w:right="105" w:rightChars="5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供应商须在在投标截止时间前通过CA在政采云平台上传加密的电子投标文件。供应商在开标时须使用制作加密电子投标文件所使用的CA锁解密，供应商须提前配置好浏览器（建议使用360浏览器或谷歌浏览器），并确保开标期间电脑网络环境畅通，以便开标时解密。本项目解密时间定为30分钟，如因供应商自身原因导致无法正常解密，后果由供应商自行承担。</w:t>
            </w:r>
          </w:p>
          <w:p w14:paraId="4E20D589">
            <w:pPr>
              <w:pStyle w:val="23"/>
              <w:keepNext w:val="0"/>
              <w:keepLines w:val="0"/>
              <w:pageBreakBefore w:val="0"/>
              <w:shd w:val="clear" w:color="auto" w:fill="FFFFFF"/>
              <w:kinsoku/>
              <w:wordWrap/>
              <w:topLinePunct w:val="0"/>
              <w:bidi w:val="0"/>
              <w:spacing w:before="0" w:beforeAutospacing="0" w:after="0" w:afterAutospacing="0" w:line="360" w:lineRule="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kern w:val="2"/>
                <w:sz w:val="32"/>
                <w:szCs w:val="32"/>
              </w:rPr>
              <w:t>各供应商对不见面开评标系统的技术操作咨询，各政府采购代理机构（含集采机构）及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政采云热线人工号码：</w:t>
            </w:r>
            <w:r>
              <w:rPr>
                <w:rFonts w:hint="eastAsia" w:ascii="仿宋_GB2312" w:hAnsi="仿宋_GB2312" w:eastAsia="仿宋_GB2312" w:cs="仿宋_GB2312"/>
                <w:color w:val="auto"/>
                <w:kern w:val="2"/>
                <w:sz w:val="32"/>
                <w:szCs w:val="32"/>
              </w:rPr>
              <w:t>95763</w:t>
            </w:r>
            <w:r>
              <w:rPr>
                <w:rFonts w:hint="eastAsia" w:ascii="仿宋_GB2312" w:hAnsi="仿宋_GB2312" w:eastAsia="仿宋_GB2312" w:cs="仿宋_GB2312"/>
                <w:color w:val="auto"/>
                <w:kern w:val="2"/>
                <w:sz w:val="32"/>
                <w:szCs w:val="32"/>
              </w:rPr>
              <w:t>（工作时间：工作日08:00~20：00）   。</w:t>
            </w:r>
          </w:p>
          <w:p w14:paraId="2813B2AF">
            <w:pPr>
              <w:keepNext w:val="0"/>
              <w:keepLines w:val="0"/>
              <w:pageBreakBefore w:val="0"/>
              <w:kinsoku/>
              <w:wordWrap/>
              <w:topLinePunct w:val="0"/>
              <w:bidi w:val="0"/>
              <w:spacing w:line="360" w:lineRule="auto"/>
              <w:ind w:right="105" w:rightChars="5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5、按评标办法提供材料。</w:t>
            </w:r>
          </w:p>
          <w:p w14:paraId="281DB0A2">
            <w:pPr>
              <w:keepNext w:val="0"/>
              <w:keepLines w:val="0"/>
              <w:pageBreakBefore w:val="0"/>
              <w:widowControl/>
              <w:kinsoku/>
              <w:wordWrap/>
              <w:topLinePunct w:val="0"/>
              <w:bidi w:val="0"/>
              <w:spacing w:line="360" w:lineRule="auto"/>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6、须知前附表与正文描述不一致时，以须知前附表中为主。</w:t>
            </w:r>
          </w:p>
        </w:tc>
      </w:tr>
      <w:tr w14:paraId="48F57A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55" w:hRule="atLeast"/>
        </w:trPr>
        <w:tc>
          <w:tcPr>
            <w:tcW w:w="746" w:type="dxa"/>
            <w:noWrap w:val="0"/>
            <w:vAlign w:val="center"/>
          </w:tcPr>
          <w:p w14:paraId="7E3B2AD3">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30</w:t>
            </w:r>
          </w:p>
        </w:tc>
        <w:tc>
          <w:tcPr>
            <w:tcW w:w="1937" w:type="dxa"/>
            <w:noWrap w:val="0"/>
            <w:vAlign w:val="center"/>
          </w:tcPr>
          <w:p w14:paraId="796B2775">
            <w:pPr>
              <w:keepNext w:val="0"/>
              <w:keepLines w:val="0"/>
              <w:pageBreakBefore w:val="0"/>
              <w:kinsoku/>
              <w:wordWrap/>
              <w:overflowPunct w:val="0"/>
              <w:topLinePunct w:val="0"/>
              <w:bidi w:val="0"/>
              <w:spacing w:line="360" w:lineRule="auto"/>
              <w:jc w:val="center"/>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其他说明</w:t>
            </w:r>
          </w:p>
        </w:tc>
        <w:tc>
          <w:tcPr>
            <w:tcW w:w="7850" w:type="dxa"/>
            <w:gridSpan w:val="4"/>
            <w:noWrap w:val="0"/>
            <w:vAlign w:val="center"/>
          </w:tcPr>
          <w:p w14:paraId="56BCE179">
            <w:pPr>
              <w:keepNext w:val="0"/>
              <w:keepLines w:val="0"/>
              <w:pageBreakBefore w:val="0"/>
              <w:widowControl/>
              <w:kinsoku/>
              <w:wordWrap/>
              <w:topLinePunct w:val="0"/>
              <w:bidi w:val="0"/>
              <w:spacing w:line="360" w:lineRule="auto"/>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财政部87号令第三十一条第一款：采用最低评标价法的采购项目，提供相同品牌产品的不同投标人参加同一合同项下投标的，以其中通过资格审查、符合性审查且报价最低的参加投标；报价相同的，由采购人或采购人委托评标委员会按照招标文件规定的方式确定一个参加评标的投标人，招标文件未规定的采取随机抽取方式确定，其他投标无效。</w:t>
            </w:r>
          </w:p>
          <w:p w14:paraId="08FA23DC">
            <w:pPr>
              <w:keepNext w:val="0"/>
              <w:keepLines w:val="0"/>
              <w:pageBreakBefore w:val="0"/>
              <w:widowControl/>
              <w:kinsoku/>
              <w:wordWrap/>
              <w:topLinePunct w:val="0"/>
              <w:bidi w:val="0"/>
              <w:spacing w:line="360" w:lineRule="auto"/>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财政部87号令第三十一条第二款：使用综合评分法的采购项目，提供相同品牌产品且通过资格审查、符合性审查的不同投标人参加同一合同项下投标的，按一家投标人计算，评审得分最高的同品牌投标人获得中标人推荐资格；评审得分相同的，由采购人或采购人委托评标委员会，按照招标文件规定的方式确定一个投标人获得中标人推荐资格。招标文件未规定的采取随机抽取方式确定，其他同品牌投标人不作为中标候选人。</w:t>
            </w:r>
          </w:p>
          <w:p w14:paraId="56B5618C">
            <w:pPr>
              <w:keepNext w:val="0"/>
              <w:keepLines w:val="0"/>
              <w:pageBreakBefore w:val="0"/>
              <w:widowControl/>
              <w:kinsoku/>
              <w:wordWrap/>
              <w:topLinePunct w:val="0"/>
              <w:bidi w:val="0"/>
              <w:spacing w:line="360" w:lineRule="auto"/>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财政部87号令三十一条第三款：非单一产品采购项目，采购人应当根据采购项目技术构成、产品价格比重等因素，合理确定关键产品，并在招标文件中载明。多家投标人提供的关键产品品牌相同的，按前两款规定处理。</w:t>
            </w:r>
          </w:p>
          <w:p w14:paraId="1A3DB848">
            <w:pPr>
              <w:keepNext w:val="0"/>
              <w:keepLines w:val="0"/>
              <w:pageBreakBefore w:val="0"/>
              <w:widowControl/>
              <w:kinsoku/>
              <w:wordWrap/>
              <w:topLinePunct w:val="0"/>
              <w:bidi w:val="0"/>
              <w:spacing w:line="360" w:lineRule="auto"/>
              <w:jc w:val="left"/>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sz w:val="32"/>
                <w:szCs w:val="32"/>
                <w:lang w:val="en-US" w:eastAsia="zh-CN"/>
              </w:rPr>
              <w:t>4、</w:t>
            </w:r>
            <w:r>
              <w:rPr>
                <w:rFonts w:hint="eastAsia" w:ascii="仿宋_GB2312" w:hAnsi="仿宋_GB2312" w:eastAsia="仿宋_GB2312" w:cs="仿宋_GB2312"/>
                <w:b/>
                <w:bCs/>
                <w:color w:val="auto"/>
                <w:sz w:val="32"/>
                <w:szCs w:val="32"/>
                <w:lang w:eastAsia="zh-CN"/>
              </w:rPr>
              <w:t>（1）本项目一至</w:t>
            </w:r>
            <w:r>
              <w:rPr>
                <w:rFonts w:hint="eastAsia" w:ascii="仿宋_GB2312" w:hAnsi="仿宋_GB2312" w:eastAsia="仿宋_GB2312" w:cs="仿宋_GB2312"/>
                <w:b/>
                <w:bCs/>
                <w:color w:val="auto"/>
                <w:sz w:val="32"/>
                <w:szCs w:val="32"/>
                <w:lang w:val="en-US" w:eastAsia="zh-CN"/>
              </w:rPr>
              <w:t>五</w:t>
            </w:r>
            <w:r>
              <w:rPr>
                <w:rFonts w:hint="eastAsia" w:ascii="仿宋_GB2312" w:hAnsi="仿宋_GB2312" w:eastAsia="仿宋_GB2312" w:cs="仿宋_GB2312"/>
                <w:b/>
                <w:bCs/>
                <w:color w:val="auto"/>
                <w:sz w:val="32"/>
                <w:szCs w:val="32"/>
                <w:lang w:eastAsia="zh-CN"/>
              </w:rPr>
              <w:t>标段不得兼中兼得，一标段中标人不在推荐为二标段中标人，一、二标段中标人不在推荐为三标段中标人，以此类推；</w:t>
            </w:r>
          </w:p>
          <w:p w14:paraId="5272467F">
            <w:pPr>
              <w:keepNext w:val="0"/>
              <w:keepLines w:val="0"/>
              <w:pageBreakBefore w:val="0"/>
              <w:widowControl/>
              <w:kinsoku/>
              <w:wordWrap/>
              <w:topLinePunct w:val="0"/>
              <w:bidi w:val="0"/>
              <w:spacing w:line="360" w:lineRule="auto"/>
              <w:jc w:val="left"/>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sz w:val="32"/>
                <w:szCs w:val="32"/>
                <w:lang w:eastAsia="zh-CN"/>
              </w:rPr>
              <w:t>（2）甲方定期对供应物资进行检测，如检测不合格，退换当批物资，三次检测不合格，甲方有权终止合同，并由乙方赔偿甲方相应损失。检测不合格的检测费用由乙方承担。</w:t>
            </w:r>
          </w:p>
          <w:p w14:paraId="785559A0">
            <w:pPr>
              <w:keepNext w:val="0"/>
              <w:keepLines w:val="0"/>
              <w:pageBreakBefore w:val="0"/>
              <w:widowControl/>
              <w:kinsoku/>
              <w:wordWrap/>
              <w:topLinePunct w:val="0"/>
              <w:bidi w:val="0"/>
              <w:spacing w:line="360" w:lineRule="auto"/>
              <w:jc w:val="left"/>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sz w:val="32"/>
                <w:szCs w:val="32"/>
                <w:lang w:eastAsia="zh-CN"/>
              </w:rPr>
              <w:t>（3）为确保投标人充分了解采购需求，投标人须认真阅读第五章采购项目清单及参数要求；</w:t>
            </w:r>
          </w:p>
          <w:p w14:paraId="77224EA9">
            <w:pPr>
              <w:keepNext w:val="0"/>
              <w:keepLines w:val="0"/>
              <w:pageBreakBefore w:val="0"/>
              <w:widowControl/>
              <w:kinsoku/>
              <w:wordWrap/>
              <w:topLinePunct w:val="0"/>
              <w:bidi w:val="0"/>
              <w:spacing w:line="360" w:lineRule="auto"/>
              <w:jc w:val="left"/>
              <w:rPr>
                <w:rFonts w:hint="eastAsia" w:eastAsia="仿宋_GB2312"/>
                <w:color w:val="auto"/>
                <w:lang w:val="en-US" w:eastAsia="zh-CN"/>
              </w:rPr>
            </w:pPr>
            <w:r>
              <w:rPr>
                <w:rFonts w:hint="eastAsia" w:ascii="仿宋_GB2312" w:hAnsi="仿宋_GB2312" w:eastAsia="仿宋_GB2312" w:cs="仿宋_GB2312"/>
                <w:b/>
                <w:bCs/>
                <w:color w:val="auto"/>
                <w:sz w:val="32"/>
                <w:szCs w:val="32"/>
                <w:lang w:val="en-US" w:eastAsia="zh-CN"/>
              </w:rPr>
              <w:t>（4）投标文件中描述的投标货物参数与投标人提供的产品实物必须完全吻合，严禁弄虚作假以次充好骗取评标加分；如投标人违反上述规定，评标委员会将否决其投标，招标人将没收其投标保证金并提请行业监管部门将该投标人列入“严重违法失信行为记录名单”中，三年内禁止参加政府采购活动。</w:t>
            </w:r>
          </w:p>
        </w:tc>
      </w:tr>
      <w:tr w14:paraId="097A3B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89" w:hRule="atLeast"/>
        </w:trPr>
        <w:tc>
          <w:tcPr>
            <w:tcW w:w="10533" w:type="dxa"/>
            <w:gridSpan w:val="6"/>
            <w:noWrap w:val="0"/>
            <w:vAlign w:val="center"/>
          </w:tcPr>
          <w:p w14:paraId="55F69195">
            <w:pPr>
              <w:keepNext w:val="0"/>
              <w:keepLines w:val="0"/>
              <w:pageBreakBefore w:val="0"/>
              <w:kinsoku/>
              <w:wordWrap/>
              <w:topLinePunct w:val="0"/>
              <w:bidi w:val="0"/>
              <w:spacing w:line="360" w:lineRule="auto"/>
              <w:ind w:right="105" w:rightChars="50"/>
              <w:rPr>
                <w:rFonts w:hint="eastAsia" w:ascii="仿宋_GB2312" w:hAnsi="仿宋_GB2312" w:eastAsia="仿宋_GB2312" w:cs="仿宋_GB2312"/>
                <w:bCs/>
                <w:color w:val="auto"/>
                <w:sz w:val="32"/>
                <w:szCs w:val="32"/>
              </w:rPr>
            </w:pPr>
            <w:r>
              <w:rPr>
                <w:rFonts w:hint="eastAsia" w:ascii="仿宋_GB2312" w:hAnsi="仿宋_GB2312" w:eastAsia="仿宋_GB2312" w:cs="仿宋_GB2312"/>
                <w:b/>
                <w:bCs/>
                <w:color w:val="auto"/>
                <w:sz w:val="32"/>
                <w:szCs w:val="32"/>
              </w:rPr>
              <w:t>特别说明：</w:t>
            </w:r>
          </w:p>
          <w:p w14:paraId="5A046B4F">
            <w:pPr>
              <w:keepNext w:val="0"/>
              <w:keepLines w:val="0"/>
              <w:pageBreakBefore w:val="0"/>
              <w:kinsoku/>
              <w:wordWrap/>
              <w:topLinePunct w:val="0"/>
              <w:bidi w:val="0"/>
              <w:spacing w:line="360" w:lineRule="auto"/>
              <w:ind w:right="105" w:rightChars="50"/>
              <w:rPr>
                <w:rFonts w:hint="eastAsia" w:ascii="仿宋_GB2312" w:hAnsi="仿宋_GB2312" w:eastAsia="仿宋_GB2312" w:cs="仿宋_GB2312"/>
                <w:color w:val="auto"/>
                <w:sz w:val="32"/>
                <w:szCs w:val="32"/>
              </w:rPr>
            </w:pPr>
            <w:r>
              <w:rPr>
                <w:rFonts w:hint="eastAsia" w:ascii="仿宋_GB2312" w:hAnsi="仿宋_GB2312" w:eastAsia="仿宋_GB2312" w:cs="仿宋_GB2312"/>
                <w:bCs/>
                <w:color w:val="auto"/>
                <w:sz w:val="32"/>
                <w:szCs w:val="32"/>
              </w:rPr>
              <w:t>1、</w:t>
            </w:r>
            <w:r>
              <w:rPr>
                <w:rFonts w:hint="eastAsia" w:ascii="仿宋_GB2312" w:hAnsi="仿宋_GB2312" w:eastAsia="仿宋_GB2312" w:cs="仿宋_GB2312"/>
                <w:color w:val="auto"/>
                <w:sz w:val="32"/>
                <w:szCs w:val="32"/>
              </w:rPr>
              <w:t>招标人若发现成交候选人在竞标过程中提供虚假证明文件，故意隐瞒公司不良信誉和财务状况，以及存在可能对合同圆满履行造成风险的其他因素等，则按规定取消其成交资格，监管部门依法进行处理。</w:t>
            </w:r>
          </w:p>
          <w:p w14:paraId="3532A7DC">
            <w:pPr>
              <w:keepNext w:val="0"/>
              <w:keepLines w:val="0"/>
              <w:pageBreakBefore w:val="0"/>
              <w:widowControl/>
              <w:kinsoku/>
              <w:wordWrap/>
              <w:topLinePunct w:val="0"/>
              <w:bidi w:val="0"/>
              <w:spacing w:line="360" w:lineRule="auto"/>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2、招标文件中部分加“</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b/>
                <w:color w:val="auto"/>
                <w:sz w:val="32"/>
                <w:szCs w:val="32"/>
              </w:rPr>
              <w:t>”、加粗、加下划线、废标、无效标、投标被拒绝字样的条款，为招标的实质性要求和条件，着重提醒各投标人注意，并认真查看招标文件中的每一个条款及要求，因误读招标文件而造成的后果，招标人及代理机构概不负责！</w:t>
            </w:r>
          </w:p>
        </w:tc>
      </w:tr>
    </w:tbl>
    <w:p w14:paraId="42C80D82">
      <w:pPr>
        <w:pStyle w:val="24"/>
        <w:spacing w:line="360" w:lineRule="auto"/>
        <w:jc w:val="both"/>
        <w:rPr>
          <w:rFonts w:hint="eastAsia" w:ascii="方正小标宋_GBK" w:hAnsi="方正小标宋_GBK" w:eastAsia="方正小标宋_GBK" w:cs="方正小标宋_GBK"/>
          <w:b w:val="0"/>
          <w:bCs w:val="0"/>
          <w:color w:val="auto"/>
          <w:kern w:val="2"/>
          <w:lang w:val="en-US" w:eastAsia="zh-CN"/>
        </w:rPr>
      </w:pPr>
      <w:bookmarkStart w:id="9" w:name="_Toc3096"/>
    </w:p>
    <w:p w14:paraId="575F6AC4">
      <w:pPr>
        <w:rPr>
          <w:rFonts w:hint="eastAsia" w:ascii="方正小标宋_GBK" w:hAnsi="方正小标宋_GBK" w:eastAsia="方正小标宋_GBK" w:cs="方正小标宋_GBK"/>
          <w:b/>
          <w:bCs/>
          <w:color w:val="auto"/>
          <w:kern w:val="2"/>
          <w:lang w:val="en-US" w:eastAsia="zh-CN"/>
        </w:rPr>
      </w:pPr>
    </w:p>
    <w:p w14:paraId="4A0C99E0">
      <w:pPr>
        <w:rPr>
          <w:rFonts w:hint="eastAsia" w:ascii="方正小标宋_GBK" w:hAnsi="方正小标宋_GBK" w:eastAsia="方正小标宋_GBK" w:cs="方正小标宋_GBK"/>
          <w:b/>
          <w:bCs/>
          <w:color w:val="auto"/>
          <w:kern w:val="2"/>
          <w:lang w:val="en-US" w:eastAsia="zh-CN"/>
        </w:rPr>
      </w:pPr>
    </w:p>
    <w:p w14:paraId="7B91793B">
      <w:pPr>
        <w:rPr>
          <w:rFonts w:hint="eastAsia" w:ascii="方正小标宋_GBK" w:hAnsi="方正小标宋_GBK" w:eastAsia="方正小标宋_GBK" w:cs="方正小标宋_GBK"/>
          <w:b/>
          <w:bCs/>
          <w:color w:val="auto"/>
          <w:kern w:val="2"/>
          <w:lang w:val="en-US" w:eastAsia="zh-CN"/>
        </w:rPr>
      </w:pPr>
    </w:p>
    <w:p w14:paraId="32CC9B90">
      <w:pPr>
        <w:rPr>
          <w:rFonts w:hint="eastAsia" w:ascii="方正小标宋_GBK" w:hAnsi="方正小标宋_GBK" w:eastAsia="方正小标宋_GBK" w:cs="方正小标宋_GBK"/>
          <w:b/>
          <w:bCs/>
          <w:color w:val="auto"/>
          <w:kern w:val="2"/>
          <w:lang w:val="en-US" w:eastAsia="zh-CN"/>
        </w:rPr>
      </w:pPr>
    </w:p>
    <w:p w14:paraId="21C10674">
      <w:pPr>
        <w:pStyle w:val="33"/>
        <w:rPr>
          <w:rFonts w:hint="eastAsia" w:ascii="方正小标宋_GBK" w:hAnsi="方正小标宋_GBK" w:eastAsia="方正小标宋_GBK" w:cs="方正小标宋_GBK"/>
          <w:b/>
          <w:bCs/>
          <w:color w:val="auto"/>
          <w:kern w:val="2"/>
          <w:lang w:val="en-US" w:eastAsia="zh-CN"/>
        </w:rPr>
      </w:pPr>
    </w:p>
    <w:p w14:paraId="64D28EB3">
      <w:pPr>
        <w:pStyle w:val="33"/>
        <w:rPr>
          <w:rFonts w:hint="eastAsia" w:ascii="方正小标宋_GBK" w:hAnsi="方正小标宋_GBK" w:eastAsia="方正小标宋_GBK" w:cs="方正小标宋_GBK"/>
          <w:b/>
          <w:bCs/>
          <w:color w:val="auto"/>
          <w:kern w:val="2"/>
          <w:lang w:val="en-US" w:eastAsia="zh-CN"/>
        </w:rPr>
      </w:pPr>
    </w:p>
    <w:p w14:paraId="28FF9495">
      <w:pPr>
        <w:pStyle w:val="33"/>
        <w:rPr>
          <w:rFonts w:hint="eastAsia" w:ascii="方正小标宋_GBK" w:hAnsi="方正小标宋_GBK" w:eastAsia="方正小标宋_GBK" w:cs="方正小标宋_GBK"/>
          <w:b/>
          <w:bCs/>
          <w:color w:val="auto"/>
          <w:kern w:val="2"/>
          <w:lang w:val="en-US" w:eastAsia="zh-CN"/>
        </w:rPr>
      </w:pPr>
    </w:p>
    <w:p w14:paraId="01F46DFF">
      <w:pPr>
        <w:pStyle w:val="33"/>
        <w:ind w:left="0" w:leftChars="0" w:firstLine="0" w:firstLineChars="0"/>
        <w:rPr>
          <w:rFonts w:hint="eastAsia" w:ascii="方正小标宋_GBK" w:hAnsi="方正小标宋_GBK" w:eastAsia="方正小标宋_GBK" w:cs="方正小标宋_GBK"/>
          <w:b/>
          <w:bCs/>
          <w:color w:val="auto"/>
          <w:kern w:val="2"/>
          <w:lang w:val="en-US" w:eastAsia="zh-CN"/>
        </w:rPr>
      </w:pPr>
    </w:p>
    <w:p w14:paraId="51C400EA">
      <w:pPr>
        <w:rPr>
          <w:rFonts w:hint="eastAsia" w:ascii="方正小标宋_GBK" w:hAnsi="方正小标宋_GBK" w:eastAsia="方正小标宋_GBK" w:cs="方正小标宋_GBK"/>
          <w:b/>
          <w:bCs/>
          <w:color w:val="auto"/>
          <w:kern w:val="2"/>
          <w:lang w:val="en-US" w:eastAsia="zh-CN"/>
        </w:rPr>
      </w:pPr>
    </w:p>
    <w:p w14:paraId="0320D765">
      <w:pPr>
        <w:pStyle w:val="24"/>
        <w:spacing w:line="360" w:lineRule="auto"/>
        <w:rPr>
          <w:rFonts w:hint="eastAsia" w:ascii="方正小标宋_GBK" w:hAnsi="方正小标宋_GBK" w:eastAsia="方正小标宋_GBK" w:cs="方正小标宋_GBK"/>
          <w:b w:val="0"/>
          <w:bCs w:val="0"/>
          <w:color w:val="auto"/>
          <w:kern w:val="2"/>
          <w:lang w:val="en-US" w:eastAsia="zh-CN"/>
        </w:rPr>
      </w:pPr>
      <w:r>
        <w:rPr>
          <w:rFonts w:hint="eastAsia" w:ascii="方正小标宋_GBK" w:hAnsi="方正小标宋_GBK" w:eastAsia="方正小标宋_GBK" w:cs="方正小标宋_GBK"/>
          <w:b w:val="0"/>
          <w:bCs w:val="0"/>
          <w:color w:val="auto"/>
          <w:kern w:val="2"/>
          <w:lang w:val="en-US" w:eastAsia="zh-CN"/>
        </w:rPr>
        <w:t>第三章　投标人须知</w:t>
      </w:r>
      <w:bookmarkEnd w:id="9"/>
    </w:p>
    <w:p w14:paraId="74E13CFC">
      <w:pPr>
        <w:pStyle w:val="3"/>
        <w:spacing w:before="60" w:after="60" w:line="700" w:lineRule="exact"/>
        <w:ind w:left="420" w:hanging="420"/>
        <w:jc w:val="center"/>
        <w:rPr>
          <w:rFonts w:hint="eastAsia" w:ascii="Times New Roman" w:hAnsi="Times New Roman"/>
          <w:b w:val="0"/>
          <w:bCs w:val="0"/>
          <w:color w:val="auto"/>
          <w:lang w:val="zh-CN"/>
        </w:rPr>
      </w:pPr>
      <w:bookmarkStart w:id="10" w:name="_Toc737"/>
      <w:bookmarkStart w:id="11" w:name="_Toc18475"/>
      <w:bookmarkStart w:id="12" w:name="_Toc26890"/>
      <w:r>
        <w:rPr>
          <w:rFonts w:hint="eastAsia" w:ascii="Times New Roman" w:hAnsi="Times New Roman"/>
          <w:b w:val="0"/>
          <w:bCs w:val="0"/>
          <w:color w:val="auto"/>
          <w:lang w:val="zh-CN"/>
        </w:rPr>
        <w:t>一、说明</w:t>
      </w:r>
      <w:bookmarkEnd w:id="10"/>
      <w:bookmarkEnd w:id="11"/>
      <w:bookmarkEnd w:id="12"/>
    </w:p>
    <w:p w14:paraId="4ED07275">
      <w:pPr>
        <w:numPr>
          <w:ilvl w:val="0"/>
          <w:numId w:val="2"/>
        </w:numPr>
        <w:tabs>
          <w:tab w:val="left" w:pos="900"/>
        </w:tabs>
        <w:spacing w:line="500" w:lineRule="exact"/>
        <w:ind w:left="924" w:hanging="924"/>
        <w:outlineLvl w:val="0"/>
        <w:rPr>
          <w:rFonts w:hint="eastAsia" w:ascii="仿宋_GB2312" w:hAnsi="仿宋_GB2312" w:eastAsia="仿宋_GB2312" w:cs="仿宋_GB2312"/>
          <w:b/>
          <w:bCs/>
          <w:color w:val="auto"/>
          <w:kern w:val="44"/>
          <w:sz w:val="32"/>
          <w:szCs w:val="32"/>
        </w:rPr>
      </w:pPr>
      <w:r>
        <w:rPr>
          <w:rFonts w:hint="eastAsia" w:ascii="仿宋_GB2312" w:hAnsi="仿宋_GB2312" w:eastAsia="仿宋_GB2312" w:cs="仿宋_GB2312"/>
          <w:b/>
          <w:bCs/>
          <w:color w:val="auto"/>
          <w:kern w:val="44"/>
          <w:sz w:val="32"/>
          <w:szCs w:val="32"/>
        </w:rPr>
        <w:t xml:space="preserve">   </w:t>
      </w:r>
      <w:bookmarkStart w:id="13" w:name="_Toc28947"/>
      <w:bookmarkStart w:id="14" w:name="_Toc11143"/>
      <w:bookmarkStart w:id="15" w:name="_Toc2890"/>
      <w:bookmarkStart w:id="16" w:name="_Toc32718"/>
      <w:bookmarkStart w:id="17" w:name="_Toc19092"/>
      <w:r>
        <w:rPr>
          <w:rFonts w:hint="eastAsia" w:ascii="仿宋_GB2312" w:hAnsi="仿宋_GB2312" w:eastAsia="仿宋_GB2312" w:cs="仿宋_GB2312"/>
          <w:b/>
          <w:bCs/>
          <w:color w:val="auto"/>
          <w:kern w:val="44"/>
          <w:sz w:val="32"/>
          <w:szCs w:val="32"/>
        </w:rPr>
        <w:t>说明：本招标文件使用的词语有如下定义</w:t>
      </w:r>
      <w:bookmarkEnd w:id="13"/>
      <w:bookmarkEnd w:id="14"/>
      <w:bookmarkEnd w:id="15"/>
      <w:bookmarkEnd w:id="16"/>
      <w:bookmarkEnd w:id="17"/>
    </w:p>
    <w:p w14:paraId="71CFE7AB">
      <w:pPr>
        <w:numPr>
          <w:ilvl w:val="0"/>
          <w:numId w:val="3"/>
        </w:numPr>
        <w:autoSpaceDE w:val="0"/>
        <w:autoSpaceDN w:val="0"/>
        <w:adjustRightInd w:val="0"/>
        <w:snapToGrid w:val="0"/>
        <w:spacing w:line="500" w:lineRule="exact"/>
        <w:ind w:left="794" w:hanging="794"/>
        <w:jc w:val="left"/>
        <w:rPr>
          <w:rFonts w:hint="eastAsia" w:ascii="仿宋_GB2312" w:hAnsi="仿宋_GB2312" w:eastAsia="仿宋_GB2312" w:cs="仿宋_GB2312"/>
          <w:color w:val="auto"/>
          <w:sz w:val="32"/>
          <w:szCs w:val="32"/>
          <w:u w:val="single"/>
          <w:lang w:val="zh-CN"/>
        </w:rPr>
      </w:pPr>
      <w:r>
        <w:rPr>
          <w:rFonts w:hint="eastAsia" w:ascii="仿宋_GB2312" w:hAnsi="仿宋_GB2312" w:eastAsia="仿宋_GB2312" w:cs="仿宋_GB2312"/>
          <w:color w:val="auto"/>
          <w:sz w:val="32"/>
          <w:szCs w:val="32"/>
          <w:lang w:val="zh-CN"/>
        </w:rPr>
        <w:t>“采购人”系指依法进行政府采购的国家机关、事业单位、团体组织。系指：</w:t>
      </w:r>
      <w:r>
        <w:rPr>
          <w:rFonts w:hint="eastAsia" w:ascii="仿宋_GB2312" w:hAnsi="仿宋_GB2312" w:eastAsia="仿宋_GB2312" w:cs="仿宋_GB2312"/>
          <w:color w:val="auto"/>
          <w:sz w:val="32"/>
          <w:szCs w:val="32"/>
          <w:u w:val="single"/>
          <w:lang w:val="zh-CN"/>
        </w:rPr>
        <w:t xml:space="preserve"> 新疆维吾尔自治区伊宁某某某单位 。</w:t>
      </w:r>
    </w:p>
    <w:p w14:paraId="2C4AFD30">
      <w:pPr>
        <w:numPr>
          <w:ilvl w:val="0"/>
          <w:numId w:val="3"/>
        </w:numPr>
        <w:autoSpaceDE w:val="0"/>
        <w:autoSpaceDN w:val="0"/>
        <w:adjustRightInd w:val="0"/>
        <w:snapToGrid w:val="0"/>
        <w:spacing w:line="500" w:lineRule="exact"/>
        <w:ind w:left="794" w:hanging="794"/>
        <w:jc w:val="lef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 xml:space="preserve">“采购代理机构”系指： </w:t>
      </w:r>
      <w:r>
        <w:rPr>
          <w:rFonts w:hint="eastAsia" w:ascii="仿宋_GB2312" w:hAnsi="仿宋_GB2312" w:eastAsia="仿宋_GB2312" w:cs="仿宋_GB2312"/>
          <w:color w:val="auto"/>
          <w:sz w:val="32"/>
          <w:szCs w:val="32"/>
          <w:u w:val="single"/>
          <w:lang w:val="zh-CN"/>
        </w:rPr>
        <w:t>新疆金斌工程项目管理有限公司</w:t>
      </w:r>
      <w:r>
        <w:rPr>
          <w:rFonts w:hint="eastAsia" w:ascii="仿宋_GB2312" w:hAnsi="仿宋_GB2312" w:eastAsia="仿宋_GB2312" w:cs="仿宋_GB2312"/>
          <w:color w:val="auto"/>
          <w:sz w:val="32"/>
          <w:szCs w:val="32"/>
          <w:lang w:val="zh-CN"/>
        </w:rPr>
        <w:t>。</w:t>
      </w:r>
    </w:p>
    <w:p w14:paraId="5B5772A2">
      <w:pPr>
        <w:numPr>
          <w:ilvl w:val="0"/>
          <w:numId w:val="3"/>
        </w:numPr>
        <w:autoSpaceDE w:val="0"/>
        <w:autoSpaceDN w:val="0"/>
        <w:adjustRightInd w:val="0"/>
        <w:snapToGrid w:val="0"/>
        <w:spacing w:line="500" w:lineRule="exact"/>
        <w:ind w:left="794" w:hanging="794"/>
        <w:jc w:val="lef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“投标人”系指响应采购、参加投标竞争的当事人。</w:t>
      </w:r>
    </w:p>
    <w:p w14:paraId="281D8523">
      <w:pPr>
        <w:numPr>
          <w:ilvl w:val="0"/>
          <w:numId w:val="3"/>
        </w:numPr>
        <w:autoSpaceDE w:val="0"/>
        <w:autoSpaceDN w:val="0"/>
        <w:adjustRightInd w:val="0"/>
        <w:snapToGrid w:val="0"/>
        <w:spacing w:line="500" w:lineRule="exact"/>
        <w:ind w:left="794" w:hanging="794"/>
        <w:jc w:val="lef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“成交人”系指由评标小组评审推荐，经法定程序确定获得本项目中标资格的投标人。</w:t>
      </w:r>
    </w:p>
    <w:p w14:paraId="280C83BB">
      <w:pPr>
        <w:numPr>
          <w:ilvl w:val="0"/>
          <w:numId w:val="3"/>
        </w:numPr>
        <w:autoSpaceDE w:val="0"/>
        <w:autoSpaceDN w:val="0"/>
        <w:adjustRightInd w:val="0"/>
        <w:snapToGrid w:val="0"/>
        <w:spacing w:line="500" w:lineRule="exact"/>
        <w:ind w:left="794" w:hanging="794"/>
        <w:jc w:val="lef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“评标小组” 系指依法组建，负责本次采购的评标工作机构。</w:t>
      </w:r>
    </w:p>
    <w:p w14:paraId="697025E8">
      <w:pPr>
        <w:numPr>
          <w:ilvl w:val="0"/>
          <w:numId w:val="3"/>
        </w:numPr>
        <w:autoSpaceDE w:val="0"/>
        <w:autoSpaceDN w:val="0"/>
        <w:adjustRightInd w:val="0"/>
        <w:snapToGrid w:val="0"/>
        <w:spacing w:line="500" w:lineRule="exact"/>
        <w:ind w:left="794" w:hanging="794"/>
        <w:jc w:val="lef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“甲方”系指在合同条款中指明的采购人。</w:t>
      </w:r>
    </w:p>
    <w:p w14:paraId="421D5890">
      <w:pPr>
        <w:numPr>
          <w:ilvl w:val="0"/>
          <w:numId w:val="3"/>
        </w:numPr>
        <w:autoSpaceDE w:val="0"/>
        <w:autoSpaceDN w:val="0"/>
        <w:adjustRightInd w:val="0"/>
        <w:snapToGrid w:val="0"/>
        <w:spacing w:line="500" w:lineRule="exact"/>
        <w:ind w:left="794" w:hanging="794"/>
        <w:jc w:val="lef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“乙方”系指在合同条款中指明的本合同项下提供</w:t>
      </w:r>
      <w:r>
        <w:rPr>
          <w:rFonts w:hint="eastAsia" w:ascii="仿宋_GB2312" w:hAnsi="仿宋_GB2312" w:eastAsia="仿宋_GB2312" w:cs="仿宋_GB2312"/>
          <w:color w:val="auto"/>
          <w:sz w:val="32"/>
          <w:szCs w:val="32"/>
        </w:rPr>
        <w:t>货物</w:t>
      </w:r>
      <w:r>
        <w:rPr>
          <w:rFonts w:hint="eastAsia" w:ascii="仿宋_GB2312" w:hAnsi="仿宋_GB2312" w:eastAsia="仿宋_GB2312" w:cs="仿宋_GB2312"/>
          <w:color w:val="auto"/>
          <w:sz w:val="32"/>
          <w:szCs w:val="32"/>
          <w:lang w:val="zh-CN"/>
        </w:rPr>
        <w:t>的公司或实体。</w:t>
      </w:r>
    </w:p>
    <w:p w14:paraId="131C2861">
      <w:pPr>
        <w:numPr>
          <w:ilvl w:val="0"/>
          <w:numId w:val="3"/>
        </w:numPr>
        <w:autoSpaceDE w:val="0"/>
        <w:autoSpaceDN w:val="0"/>
        <w:adjustRightInd w:val="0"/>
        <w:snapToGrid w:val="0"/>
        <w:spacing w:line="500" w:lineRule="exact"/>
        <w:ind w:left="794" w:hanging="794"/>
        <w:jc w:val="lef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“招标文件”系指由采购代理机构发出的本招标文件，包括全部章节和附件。</w:t>
      </w:r>
    </w:p>
    <w:p w14:paraId="14C0987D">
      <w:pPr>
        <w:numPr>
          <w:ilvl w:val="0"/>
          <w:numId w:val="3"/>
        </w:numPr>
        <w:autoSpaceDE w:val="0"/>
        <w:autoSpaceDN w:val="0"/>
        <w:adjustRightInd w:val="0"/>
        <w:snapToGrid w:val="0"/>
        <w:spacing w:line="500" w:lineRule="exact"/>
        <w:ind w:left="794" w:hanging="794"/>
        <w:jc w:val="lef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“投标文件”系指投标人根据本招标文件向采购代理机构提交的全部文件。</w:t>
      </w:r>
    </w:p>
    <w:p w14:paraId="29ACED49">
      <w:pPr>
        <w:numPr>
          <w:ilvl w:val="0"/>
          <w:numId w:val="3"/>
        </w:numPr>
        <w:autoSpaceDE w:val="0"/>
        <w:autoSpaceDN w:val="0"/>
        <w:adjustRightInd w:val="0"/>
        <w:snapToGrid w:val="0"/>
        <w:spacing w:line="500" w:lineRule="exact"/>
        <w:ind w:left="794" w:hanging="794"/>
        <w:jc w:val="lef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“书面函件” 系指手写、打字或印刷的函件，包括电传、电报和传真。</w:t>
      </w:r>
    </w:p>
    <w:p w14:paraId="5CF05090">
      <w:pPr>
        <w:numPr>
          <w:ilvl w:val="0"/>
          <w:numId w:val="3"/>
        </w:numPr>
        <w:autoSpaceDE w:val="0"/>
        <w:autoSpaceDN w:val="0"/>
        <w:adjustRightInd w:val="0"/>
        <w:snapToGrid w:val="0"/>
        <w:spacing w:line="500" w:lineRule="exact"/>
        <w:ind w:left="794" w:hanging="794"/>
        <w:jc w:val="lef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“合同” 系指由本次采购所产生的合同或合约文件。</w:t>
      </w:r>
    </w:p>
    <w:p w14:paraId="690B8EBE">
      <w:pPr>
        <w:numPr>
          <w:ilvl w:val="0"/>
          <w:numId w:val="3"/>
        </w:numPr>
        <w:autoSpaceDE w:val="0"/>
        <w:autoSpaceDN w:val="0"/>
        <w:adjustRightInd w:val="0"/>
        <w:snapToGrid w:val="0"/>
        <w:spacing w:line="500" w:lineRule="exact"/>
        <w:ind w:left="794" w:hanging="794"/>
        <w:jc w:val="lef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“日期”系指公历日。</w:t>
      </w:r>
    </w:p>
    <w:p w14:paraId="73818264">
      <w:pPr>
        <w:numPr>
          <w:ilvl w:val="0"/>
          <w:numId w:val="3"/>
        </w:numPr>
        <w:autoSpaceDE w:val="0"/>
        <w:autoSpaceDN w:val="0"/>
        <w:adjustRightInd w:val="0"/>
        <w:snapToGrid w:val="0"/>
        <w:spacing w:line="500" w:lineRule="exact"/>
        <w:ind w:left="794" w:hanging="794"/>
        <w:jc w:val="lef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“时间”系指北京时间。</w:t>
      </w:r>
    </w:p>
    <w:p w14:paraId="6EE80641">
      <w:pPr>
        <w:numPr>
          <w:ilvl w:val="0"/>
          <w:numId w:val="3"/>
        </w:numPr>
        <w:autoSpaceDE w:val="0"/>
        <w:autoSpaceDN w:val="0"/>
        <w:adjustRightInd w:val="0"/>
        <w:snapToGrid w:val="0"/>
        <w:spacing w:line="500" w:lineRule="exact"/>
        <w:ind w:left="794" w:hanging="794"/>
        <w:jc w:val="lef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“货物”系指投标人须向采购人提供的符合招标文件要求的货。</w:t>
      </w:r>
    </w:p>
    <w:p w14:paraId="3C870C30">
      <w:pPr>
        <w:numPr>
          <w:ilvl w:val="0"/>
          <w:numId w:val="3"/>
        </w:numPr>
        <w:autoSpaceDE w:val="0"/>
        <w:autoSpaceDN w:val="0"/>
        <w:adjustRightInd w:val="0"/>
        <w:snapToGrid w:val="0"/>
        <w:spacing w:line="500" w:lineRule="exact"/>
        <w:ind w:left="794" w:hanging="794"/>
        <w:jc w:val="lef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“服务”系指投标人须向采购人提供的符合招标文件要求的服务。</w:t>
      </w:r>
    </w:p>
    <w:p w14:paraId="78A14E5D">
      <w:pPr>
        <w:numPr>
          <w:ilvl w:val="0"/>
          <w:numId w:val="3"/>
        </w:numPr>
        <w:autoSpaceDE w:val="0"/>
        <w:autoSpaceDN w:val="0"/>
        <w:adjustRightInd w:val="0"/>
        <w:snapToGrid w:val="0"/>
        <w:spacing w:line="500" w:lineRule="exact"/>
        <w:ind w:left="794" w:hanging="794"/>
        <w:jc w:val="lef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“实质性响应”系指符合招标文件的所有要求、条款、条件和规定，且没有不利于项目实施质量效果和服务保障的重大偏离或保留。</w:t>
      </w:r>
    </w:p>
    <w:p w14:paraId="12C69D94">
      <w:pPr>
        <w:numPr>
          <w:ilvl w:val="0"/>
          <w:numId w:val="3"/>
        </w:numPr>
        <w:autoSpaceDE w:val="0"/>
        <w:autoSpaceDN w:val="0"/>
        <w:adjustRightInd w:val="0"/>
        <w:snapToGrid w:val="0"/>
        <w:spacing w:line="500" w:lineRule="exact"/>
        <w:ind w:left="794" w:hanging="794"/>
        <w:jc w:val="lef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“重大偏离或保留”系指影响到招标文件规定的范围、质量和性能或限制了采购人的权力和投标人义务的规定，而纠正这些偏离将影响到其它投标人的公平竞争地位。</w:t>
      </w:r>
    </w:p>
    <w:p w14:paraId="52FFD816">
      <w:pPr>
        <w:numPr>
          <w:ilvl w:val="0"/>
          <w:numId w:val="3"/>
        </w:numPr>
        <w:autoSpaceDE w:val="0"/>
        <w:autoSpaceDN w:val="0"/>
        <w:adjustRightInd w:val="0"/>
        <w:snapToGrid w:val="0"/>
        <w:spacing w:line="500" w:lineRule="exact"/>
        <w:ind w:left="794" w:hanging="794"/>
        <w:jc w:val="lef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盖章：一般情况指盖投标人的法定</w:t>
      </w:r>
      <w:r>
        <w:rPr>
          <w:rFonts w:hint="eastAsia" w:ascii="仿宋_GB2312" w:hAnsi="仿宋_GB2312" w:eastAsia="仿宋_GB2312" w:cs="仿宋_GB2312"/>
          <w:color w:val="auto"/>
          <w:sz w:val="32"/>
          <w:szCs w:val="32"/>
        </w:rPr>
        <w:t>电子</w:t>
      </w:r>
      <w:r>
        <w:rPr>
          <w:rFonts w:hint="eastAsia" w:ascii="仿宋_GB2312" w:hAnsi="仿宋_GB2312" w:eastAsia="仿宋_GB2312" w:cs="仿宋_GB2312"/>
          <w:color w:val="auto"/>
          <w:sz w:val="32"/>
          <w:szCs w:val="32"/>
          <w:lang w:val="zh-CN"/>
        </w:rPr>
        <w:t>公章，除招标文件特别说明外，使用财务专用章、合同章、投标专用章等非公章的盖章，均作无效盖章处理。</w:t>
      </w:r>
    </w:p>
    <w:p w14:paraId="02DAA917">
      <w:pPr>
        <w:numPr>
          <w:ilvl w:val="0"/>
          <w:numId w:val="3"/>
        </w:numPr>
        <w:autoSpaceDE w:val="0"/>
        <w:autoSpaceDN w:val="0"/>
        <w:adjustRightInd w:val="0"/>
        <w:snapToGrid w:val="0"/>
        <w:spacing w:line="500" w:lineRule="exact"/>
        <w:ind w:left="794" w:hanging="794"/>
        <w:jc w:val="lef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签署：一般情况指亲笔签字或使用盖</w:t>
      </w:r>
      <w:r>
        <w:rPr>
          <w:rFonts w:hint="eastAsia" w:ascii="仿宋_GB2312" w:hAnsi="仿宋_GB2312" w:eastAsia="仿宋_GB2312" w:cs="仿宋_GB2312"/>
          <w:color w:val="auto"/>
          <w:sz w:val="32"/>
          <w:szCs w:val="32"/>
        </w:rPr>
        <w:t>电子</w:t>
      </w:r>
      <w:r>
        <w:rPr>
          <w:rFonts w:hint="eastAsia" w:ascii="仿宋_GB2312" w:hAnsi="仿宋_GB2312" w:eastAsia="仿宋_GB2312" w:cs="仿宋_GB2312"/>
          <w:color w:val="auto"/>
          <w:sz w:val="32"/>
          <w:szCs w:val="32"/>
          <w:lang w:val="zh-CN"/>
        </w:rPr>
        <w:t>私章方式，除招标文件特别说明外，其他方式均作无效签署处理。</w:t>
      </w:r>
    </w:p>
    <w:p w14:paraId="2D887C0A">
      <w:pPr>
        <w:keepNext/>
        <w:keepLines/>
        <w:numPr>
          <w:ilvl w:val="0"/>
          <w:numId w:val="2"/>
        </w:numPr>
        <w:tabs>
          <w:tab w:val="left" w:pos="900"/>
        </w:tabs>
        <w:spacing w:line="500" w:lineRule="exact"/>
        <w:ind w:left="924" w:hanging="924"/>
        <w:outlineLvl w:val="0"/>
        <w:rPr>
          <w:rFonts w:hint="eastAsia" w:ascii="仿宋_GB2312" w:hAnsi="仿宋_GB2312" w:eastAsia="仿宋_GB2312" w:cs="仿宋_GB2312"/>
          <w:b/>
          <w:bCs/>
          <w:color w:val="auto"/>
          <w:kern w:val="44"/>
          <w:sz w:val="32"/>
          <w:szCs w:val="32"/>
        </w:rPr>
      </w:pPr>
      <w:bookmarkStart w:id="18" w:name="_Toc55778675"/>
      <w:r>
        <w:rPr>
          <w:rFonts w:hint="eastAsia" w:ascii="仿宋_GB2312" w:hAnsi="仿宋_GB2312" w:eastAsia="仿宋_GB2312" w:cs="仿宋_GB2312"/>
          <w:b/>
          <w:bCs/>
          <w:color w:val="auto"/>
          <w:kern w:val="44"/>
          <w:sz w:val="32"/>
          <w:szCs w:val="32"/>
        </w:rPr>
        <w:t xml:space="preserve">    </w:t>
      </w:r>
      <w:bookmarkStart w:id="19" w:name="_Toc19223"/>
      <w:bookmarkStart w:id="20" w:name="_Toc26165"/>
      <w:bookmarkStart w:id="21" w:name="_Toc10541"/>
      <w:bookmarkStart w:id="22" w:name="_Toc30404"/>
      <w:bookmarkStart w:id="23" w:name="_Toc2235"/>
      <w:r>
        <w:rPr>
          <w:rFonts w:hint="eastAsia" w:ascii="仿宋_GB2312" w:hAnsi="仿宋_GB2312" w:eastAsia="仿宋_GB2312" w:cs="仿宋_GB2312"/>
          <w:b/>
          <w:bCs/>
          <w:color w:val="auto"/>
          <w:kern w:val="44"/>
          <w:sz w:val="32"/>
          <w:szCs w:val="32"/>
        </w:rPr>
        <w:t>合格的投标人</w:t>
      </w:r>
      <w:bookmarkEnd w:id="18"/>
      <w:bookmarkEnd w:id="19"/>
      <w:bookmarkEnd w:id="20"/>
      <w:bookmarkEnd w:id="21"/>
      <w:bookmarkEnd w:id="22"/>
      <w:bookmarkEnd w:id="23"/>
    </w:p>
    <w:p w14:paraId="422D32A3">
      <w:pPr>
        <w:numPr>
          <w:ilvl w:val="1"/>
          <w:numId w:val="4"/>
        </w:numPr>
        <w:spacing w:line="50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除非另有规定，凡是在中华人民共和国境内注册且为人民币流通区域内的供货人均可投标。</w:t>
      </w:r>
    </w:p>
    <w:p w14:paraId="23802FA2">
      <w:pPr>
        <w:numPr>
          <w:ilvl w:val="1"/>
          <w:numId w:val="4"/>
        </w:numPr>
        <w:spacing w:line="50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投标人符合《中华人民共和国政府采购法》第22条和《中华人民共和国政府采购法实施条例》第17条规定的条件。</w:t>
      </w:r>
    </w:p>
    <w:p w14:paraId="5C86F877">
      <w:pPr>
        <w:numPr>
          <w:ilvl w:val="1"/>
          <w:numId w:val="4"/>
        </w:numPr>
        <w:spacing w:line="50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分支机构投标，须取得具有法人资格的总公司（总所）出具给分支机构的授权书，并提供总公司（总所）和分支机构的营业执照（执业许可证）复印件。已由总公司（总所）授权的，总公司（总所）取得的相关资质证书对分支机构有效，法律法规或者行业另有规定的除外。</w:t>
      </w:r>
    </w:p>
    <w:p w14:paraId="25E83AA2">
      <w:pPr>
        <w:numPr>
          <w:ilvl w:val="1"/>
          <w:numId w:val="4"/>
        </w:numPr>
        <w:spacing w:line="50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与采购人存在利害关系可能影响公正性的法人或其他组织或自然人不得参加投标。</w:t>
      </w:r>
    </w:p>
    <w:p w14:paraId="64CB3004">
      <w:pPr>
        <w:numPr>
          <w:ilvl w:val="1"/>
          <w:numId w:val="4"/>
        </w:numPr>
        <w:spacing w:line="50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招标文件要求的其他条件。</w:t>
      </w:r>
    </w:p>
    <w:p w14:paraId="7FC7C0A9">
      <w:pPr>
        <w:pStyle w:val="2"/>
        <w:numPr>
          <w:ilvl w:val="0"/>
          <w:numId w:val="2"/>
        </w:numPr>
        <w:tabs>
          <w:tab w:val="left" w:pos="900"/>
          <w:tab w:val="clear" w:pos="425"/>
        </w:tabs>
        <w:spacing w:before="0" w:after="0" w:line="500" w:lineRule="exact"/>
        <w:ind w:left="924" w:hanging="924"/>
        <w:rPr>
          <w:rStyle w:val="46"/>
          <w:rFonts w:hint="eastAsia" w:ascii="仿宋_GB2312" w:hAnsi="仿宋_GB2312" w:eastAsia="仿宋_GB2312" w:cs="仿宋_GB2312"/>
          <w:bCs/>
          <w:color w:val="auto"/>
          <w:sz w:val="32"/>
          <w:szCs w:val="32"/>
        </w:rPr>
      </w:pPr>
      <w:bookmarkStart w:id="24" w:name="_Toc2463"/>
      <w:bookmarkStart w:id="25" w:name="_Toc20782"/>
      <w:bookmarkStart w:id="26" w:name="_Toc55778677"/>
      <w:bookmarkStart w:id="27" w:name="_Toc25107"/>
      <w:bookmarkStart w:id="28" w:name="_Toc15216"/>
      <w:bookmarkStart w:id="29" w:name="_Toc28554"/>
      <w:bookmarkStart w:id="30" w:name="_Toc2653"/>
      <w:r>
        <w:rPr>
          <w:rStyle w:val="46"/>
          <w:rFonts w:hint="eastAsia" w:ascii="仿宋_GB2312" w:hAnsi="仿宋_GB2312" w:eastAsia="仿宋_GB2312" w:cs="仿宋_GB2312"/>
          <w:bCs/>
          <w:color w:val="auto"/>
          <w:sz w:val="32"/>
          <w:szCs w:val="32"/>
        </w:rPr>
        <w:t>投标费用</w:t>
      </w:r>
      <w:bookmarkEnd w:id="24"/>
      <w:bookmarkEnd w:id="25"/>
      <w:bookmarkEnd w:id="26"/>
      <w:bookmarkEnd w:id="27"/>
      <w:bookmarkEnd w:id="28"/>
      <w:bookmarkEnd w:id="29"/>
      <w:bookmarkEnd w:id="30"/>
    </w:p>
    <w:p w14:paraId="789A0F86">
      <w:pPr>
        <w:pStyle w:val="76"/>
        <w:numPr>
          <w:ilvl w:val="0"/>
          <w:numId w:val="5"/>
        </w:numPr>
        <w:spacing w:line="500" w:lineRule="exact"/>
        <w:ind w:firstLineChars="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投标人应承担所有与准备和参加投标有关的费用。不论投标的结果如何，采购代理机构和采购人均无义务和责任承担这些费用。</w:t>
      </w:r>
    </w:p>
    <w:p w14:paraId="736301F5">
      <w:pPr>
        <w:pStyle w:val="2"/>
        <w:numPr>
          <w:ilvl w:val="0"/>
          <w:numId w:val="2"/>
        </w:numPr>
        <w:tabs>
          <w:tab w:val="left" w:pos="900"/>
          <w:tab w:val="clear" w:pos="425"/>
        </w:tabs>
        <w:spacing w:before="0" w:after="0" w:line="500" w:lineRule="exact"/>
        <w:ind w:left="924" w:hanging="924"/>
        <w:rPr>
          <w:rFonts w:hint="eastAsia" w:ascii="仿宋_GB2312" w:hAnsi="仿宋_GB2312" w:eastAsia="仿宋_GB2312" w:cs="仿宋_GB2312"/>
          <w:color w:val="auto"/>
          <w:sz w:val="32"/>
          <w:szCs w:val="32"/>
        </w:rPr>
      </w:pPr>
      <w:bookmarkStart w:id="31" w:name="_Toc19746"/>
      <w:bookmarkStart w:id="32" w:name="_Toc2722"/>
      <w:bookmarkStart w:id="33" w:name="_Toc22355"/>
      <w:bookmarkStart w:id="34" w:name="_Toc14265"/>
      <w:bookmarkStart w:id="35" w:name="_Toc9407"/>
      <w:bookmarkStart w:id="36" w:name="_Toc55778678"/>
      <w:r>
        <w:rPr>
          <w:rStyle w:val="46"/>
          <w:rFonts w:hint="eastAsia" w:ascii="仿宋_GB2312" w:hAnsi="仿宋_GB2312" w:eastAsia="仿宋_GB2312" w:cs="仿宋_GB2312"/>
          <w:bCs w:val="0"/>
          <w:color w:val="auto"/>
          <w:sz w:val="32"/>
          <w:szCs w:val="32"/>
        </w:rPr>
        <w:t>现场考察或者召开开标前答疑会</w:t>
      </w:r>
      <w:bookmarkEnd w:id="31"/>
      <w:bookmarkEnd w:id="32"/>
      <w:bookmarkEnd w:id="33"/>
      <w:bookmarkEnd w:id="34"/>
      <w:bookmarkEnd w:id="35"/>
      <w:bookmarkEnd w:id="36"/>
    </w:p>
    <w:p w14:paraId="031DE983">
      <w:pPr>
        <w:numPr>
          <w:ilvl w:val="1"/>
          <w:numId w:val="6"/>
        </w:numPr>
        <w:spacing w:line="500" w:lineRule="exact"/>
        <w:rPr>
          <w:rFonts w:hint="eastAsia" w:ascii="仿宋_GB2312" w:hAnsi="仿宋_GB2312" w:eastAsia="仿宋_GB2312" w:cs="仿宋_GB2312"/>
          <w:color w:val="auto"/>
          <w:sz w:val="32"/>
          <w:szCs w:val="32"/>
        </w:rPr>
      </w:pPr>
      <w:bookmarkStart w:id="37" w:name="_Ref179620557"/>
      <w:r>
        <w:rPr>
          <w:rFonts w:hint="eastAsia" w:ascii="仿宋_GB2312" w:hAnsi="仿宋_GB2312" w:eastAsia="仿宋_GB2312" w:cs="仿宋_GB2312"/>
          <w:color w:val="auto"/>
          <w:sz w:val="32"/>
          <w:szCs w:val="32"/>
        </w:rPr>
        <w:t>除非另有规定，不举行项目现场考察或者召开开标前答疑会，如举行现场考察或者召开开标前答疑会的，则按以下规定</w:t>
      </w:r>
      <w:bookmarkEnd w:id="37"/>
      <w:r>
        <w:rPr>
          <w:rFonts w:hint="eastAsia" w:ascii="仿宋_GB2312" w:hAnsi="仿宋_GB2312" w:eastAsia="仿宋_GB2312" w:cs="仿宋_GB2312"/>
          <w:color w:val="auto"/>
          <w:sz w:val="32"/>
          <w:szCs w:val="32"/>
        </w:rPr>
        <w:t>：</w:t>
      </w:r>
    </w:p>
    <w:p w14:paraId="7F93144A">
      <w:pPr>
        <w:numPr>
          <w:ilvl w:val="0"/>
          <w:numId w:val="7"/>
        </w:numPr>
        <w:spacing w:line="50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在《投标须知前附表》中规定的日期、时间和地点组织现场考察或者召开开标前答疑会，以便投标人获取须自己负责的有关编制投标文件和签署合同所需的所有资料。踏勘现场所发生的费用由投标人自己承担</w:t>
      </w:r>
    </w:p>
    <w:p w14:paraId="641F0BF3">
      <w:pPr>
        <w:numPr>
          <w:ilvl w:val="0"/>
          <w:numId w:val="7"/>
        </w:numPr>
        <w:spacing w:line="50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投标人对本项目提出的疑问，可在现场考察或者召开开标前答疑会召开日前至少一个工作日将问题清单以书面形式（加盖公章）提交至采购代理机构。</w:t>
      </w:r>
    </w:p>
    <w:p w14:paraId="3D14C6A4">
      <w:pPr>
        <w:keepNext/>
        <w:keepLines/>
        <w:numPr>
          <w:ilvl w:val="0"/>
          <w:numId w:val="2"/>
        </w:numPr>
        <w:tabs>
          <w:tab w:val="left" w:pos="900"/>
        </w:tabs>
        <w:spacing w:line="500" w:lineRule="exact"/>
        <w:ind w:left="924" w:hanging="924"/>
        <w:outlineLvl w:val="0"/>
        <w:rPr>
          <w:rFonts w:hint="eastAsia" w:ascii="仿宋_GB2312" w:hAnsi="仿宋_GB2312" w:eastAsia="仿宋_GB2312" w:cs="仿宋_GB2312"/>
          <w:b/>
          <w:bCs/>
          <w:color w:val="auto"/>
          <w:kern w:val="44"/>
          <w:sz w:val="32"/>
          <w:szCs w:val="32"/>
        </w:rPr>
      </w:pPr>
      <w:bookmarkStart w:id="38" w:name="_Toc55778679"/>
      <w:r>
        <w:rPr>
          <w:rFonts w:hint="eastAsia" w:ascii="仿宋_GB2312" w:hAnsi="仿宋_GB2312" w:eastAsia="仿宋_GB2312" w:cs="仿宋_GB2312"/>
          <w:b/>
          <w:bCs/>
          <w:color w:val="auto"/>
          <w:kern w:val="44"/>
          <w:sz w:val="32"/>
          <w:szCs w:val="32"/>
        </w:rPr>
        <w:t xml:space="preserve">    </w:t>
      </w:r>
      <w:bookmarkStart w:id="39" w:name="_Toc2323"/>
      <w:bookmarkStart w:id="40" w:name="_Toc10763"/>
      <w:bookmarkStart w:id="41" w:name="_Toc16839"/>
      <w:bookmarkStart w:id="42" w:name="_Toc15619"/>
      <w:bookmarkStart w:id="43" w:name="_Toc27748"/>
      <w:r>
        <w:rPr>
          <w:rFonts w:hint="eastAsia" w:ascii="仿宋_GB2312" w:hAnsi="仿宋_GB2312" w:eastAsia="仿宋_GB2312" w:cs="仿宋_GB2312"/>
          <w:b/>
          <w:bCs/>
          <w:color w:val="auto"/>
          <w:kern w:val="44"/>
          <w:sz w:val="32"/>
          <w:szCs w:val="32"/>
        </w:rPr>
        <w:t>开标的资质要求、时间及地点</w:t>
      </w:r>
      <w:bookmarkEnd w:id="38"/>
      <w:bookmarkEnd w:id="39"/>
      <w:bookmarkEnd w:id="40"/>
      <w:bookmarkEnd w:id="41"/>
      <w:bookmarkEnd w:id="42"/>
      <w:bookmarkEnd w:id="43"/>
    </w:p>
    <w:p w14:paraId="7B980763">
      <w:pPr>
        <w:numPr>
          <w:ilvl w:val="1"/>
          <w:numId w:val="2"/>
        </w:numPr>
        <w:tabs>
          <w:tab w:val="left" w:pos="907"/>
          <w:tab w:val="clear" w:pos="992"/>
        </w:tabs>
        <w:spacing w:line="50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本项目开标的时间、地点已在第二章《投标须知前附表》列清。</w:t>
      </w:r>
    </w:p>
    <w:p w14:paraId="6A6AB440">
      <w:pPr>
        <w:numPr>
          <w:ilvl w:val="1"/>
          <w:numId w:val="2"/>
        </w:numPr>
        <w:tabs>
          <w:tab w:val="left" w:pos="907"/>
          <w:tab w:val="clear" w:pos="992"/>
        </w:tabs>
        <w:spacing w:line="50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本项目采用不见面开标，投标人需要递交电子投标文件。加密的电子投标文件，在投标截止时间前通过政采云平台上传到指定位置，无需递交纸质文件。开标当日，投标人无需到达开标现场，仅需通过政采云系统完成远程解密、提疑澄清、开标唱标、结果公布等交互环节。投标人必须使用能正确解密响应文件的“CA锁”在规定的时间内完成远程解密，因投标人原因未能解密、解密失败或解密超时，视为投标人撤销其响应文件，系统内响应文件将被退回；因采购人原因或政采云平台发生故障，导致无法按时完成响应文件解密或开、评标工作无法进行的，可根据实际情况相应延迟解密时间或调整开、评标时间。</w:t>
      </w:r>
    </w:p>
    <w:p w14:paraId="49368537">
      <w:pPr>
        <w:keepNext/>
        <w:keepLines/>
        <w:numPr>
          <w:ilvl w:val="0"/>
          <w:numId w:val="2"/>
        </w:numPr>
        <w:tabs>
          <w:tab w:val="left" w:pos="900"/>
        </w:tabs>
        <w:spacing w:line="500" w:lineRule="exact"/>
        <w:ind w:left="924" w:hanging="924"/>
        <w:outlineLvl w:val="0"/>
        <w:rPr>
          <w:rFonts w:hint="eastAsia" w:ascii="仿宋_GB2312" w:hAnsi="仿宋_GB2312" w:eastAsia="仿宋_GB2312" w:cs="仿宋_GB2312"/>
          <w:b/>
          <w:bCs/>
          <w:color w:val="auto"/>
          <w:kern w:val="44"/>
          <w:sz w:val="32"/>
          <w:szCs w:val="32"/>
        </w:rPr>
      </w:pPr>
      <w:bookmarkStart w:id="44" w:name="_Toc55778680"/>
      <w:r>
        <w:rPr>
          <w:rFonts w:hint="eastAsia" w:ascii="仿宋_GB2312" w:hAnsi="仿宋_GB2312" w:eastAsia="仿宋_GB2312" w:cs="仿宋_GB2312"/>
          <w:b/>
          <w:bCs/>
          <w:color w:val="auto"/>
          <w:kern w:val="44"/>
          <w:sz w:val="32"/>
          <w:szCs w:val="32"/>
        </w:rPr>
        <w:t xml:space="preserve">   </w:t>
      </w:r>
      <w:bookmarkStart w:id="45" w:name="_Toc2052"/>
      <w:bookmarkStart w:id="46" w:name="_Toc23617"/>
      <w:bookmarkStart w:id="47" w:name="_Toc12859"/>
      <w:bookmarkStart w:id="48" w:name="_Toc18733"/>
      <w:bookmarkStart w:id="49" w:name="_Toc6954"/>
      <w:r>
        <w:rPr>
          <w:rFonts w:hint="eastAsia" w:ascii="仿宋_GB2312" w:hAnsi="仿宋_GB2312" w:eastAsia="仿宋_GB2312" w:cs="仿宋_GB2312"/>
          <w:b/>
          <w:bCs/>
          <w:color w:val="auto"/>
          <w:kern w:val="44"/>
          <w:sz w:val="32"/>
          <w:szCs w:val="32"/>
        </w:rPr>
        <w:t>纪律与保密事项</w:t>
      </w:r>
      <w:bookmarkEnd w:id="44"/>
      <w:bookmarkEnd w:id="45"/>
      <w:bookmarkEnd w:id="46"/>
      <w:bookmarkEnd w:id="47"/>
      <w:bookmarkEnd w:id="48"/>
      <w:bookmarkEnd w:id="49"/>
    </w:p>
    <w:p w14:paraId="0523F6D0">
      <w:pPr>
        <w:numPr>
          <w:ilvl w:val="1"/>
          <w:numId w:val="8"/>
        </w:numPr>
        <w:spacing w:line="50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凡参与招标工作的有关人员均应自觉接受有关主管部门的监督，不得向他人透露已获得招标文件的潜在投标人的名称、数量以及可能影响公平竞争的有关招标投标的其他情况。</w:t>
      </w:r>
    </w:p>
    <w:p w14:paraId="797D25E6">
      <w:pPr>
        <w:numPr>
          <w:ilvl w:val="1"/>
          <w:numId w:val="8"/>
        </w:numPr>
        <w:spacing w:line="50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开标后，直至向中标的投标人发出《成交通知书》时止，凡与审查、澄清、评价和比较投标的有关资料以及授标意见等，均不得向投标人及与评标无关的其他人透露。</w:t>
      </w:r>
    </w:p>
    <w:p w14:paraId="471B40F3">
      <w:pPr>
        <w:numPr>
          <w:ilvl w:val="1"/>
          <w:numId w:val="8"/>
        </w:numPr>
        <w:spacing w:line="50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除投标人被要求对投标文件进行澄清外，从开标至签订合同期间，投标人不得就与其投标文件有关的事项主动与评标小组、采购代理机构以及采购人联系。</w:t>
      </w:r>
    </w:p>
    <w:p w14:paraId="01719414">
      <w:pPr>
        <w:numPr>
          <w:ilvl w:val="1"/>
          <w:numId w:val="8"/>
        </w:numPr>
        <w:spacing w:line="50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从开标至签订合同期间，投标人试图在投标文件审查、澄清、比较和评价时对评标小组和招标机构施加任何影响或对采购人的比较及授予合同的决定进行影响，都可能导致其投标文件被拒绝。</w:t>
      </w:r>
    </w:p>
    <w:p w14:paraId="67A1FAF1">
      <w:pPr>
        <w:numPr>
          <w:ilvl w:val="1"/>
          <w:numId w:val="8"/>
        </w:numPr>
        <w:spacing w:line="50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投标人不得串通作弊，以不正当的手段妨碍、排挤其他投标人，扰乱招标市场，破坏公平竞争原则。</w:t>
      </w:r>
    </w:p>
    <w:p w14:paraId="41395D36">
      <w:pPr>
        <w:numPr>
          <w:ilvl w:val="1"/>
          <w:numId w:val="8"/>
        </w:numPr>
        <w:spacing w:line="50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获得本招标文件者，应对文件进行保密，不得用作本次投标以外的任何用途。若有要求，开标后，投标人应归还招标文件中的保密的文件和资料。</w:t>
      </w:r>
    </w:p>
    <w:p w14:paraId="7C0B2464">
      <w:pPr>
        <w:keepNext/>
        <w:keepLines/>
        <w:numPr>
          <w:ilvl w:val="0"/>
          <w:numId w:val="2"/>
        </w:numPr>
        <w:tabs>
          <w:tab w:val="left" w:pos="900"/>
        </w:tabs>
        <w:spacing w:line="500" w:lineRule="exact"/>
        <w:ind w:left="924" w:hanging="924"/>
        <w:outlineLvl w:val="0"/>
        <w:rPr>
          <w:rFonts w:hint="eastAsia" w:ascii="仿宋_GB2312" w:hAnsi="仿宋_GB2312" w:eastAsia="仿宋_GB2312" w:cs="仿宋_GB2312"/>
          <w:b/>
          <w:bCs/>
          <w:color w:val="auto"/>
          <w:kern w:val="44"/>
          <w:sz w:val="32"/>
          <w:szCs w:val="32"/>
        </w:rPr>
      </w:pPr>
      <w:bookmarkStart w:id="50" w:name="_Toc55778681"/>
      <w:r>
        <w:rPr>
          <w:rFonts w:hint="eastAsia" w:ascii="仿宋_GB2312" w:hAnsi="仿宋_GB2312" w:eastAsia="仿宋_GB2312" w:cs="仿宋_GB2312"/>
          <w:b/>
          <w:bCs/>
          <w:color w:val="auto"/>
          <w:kern w:val="44"/>
          <w:sz w:val="32"/>
          <w:szCs w:val="32"/>
        </w:rPr>
        <w:t xml:space="preserve">    </w:t>
      </w:r>
      <w:bookmarkStart w:id="51" w:name="_Toc5873"/>
      <w:bookmarkStart w:id="52" w:name="_Toc20462"/>
      <w:bookmarkStart w:id="53" w:name="_Toc20913"/>
      <w:bookmarkStart w:id="54" w:name="_Toc17472"/>
      <w:bookmarkStart w:id="55" w:name="_Toc18189"/>
      <w:r>
        <w:rPr>
          <w:rFonts w:hint="eastAsia" w:ascii="仿宋_GB2312" w:hAnsi="仿宋_GB2312" w:eastAsia="仿宋_GB2312" w:cs="仿宋_GB2312"/>
          <w:b/>
          <w:bCs/>
          <w:color w:val="auto"/>
          <w:kern w:val="44"/>
          <w:sz w:val="32"/>
          <w:szCs w:val="32"/>
        </w:rPr>
        <w:t>保证</w:t>
      </w:r>
      <w:bookmarkEnd w:id="50"/>
      <w:bookmarkEnd w:id="51"/>
      <w:bookmarkEnd w:id="52"/>
      <w:bookmarkEnd w:id="53"/>
      <w:bookmarkEnd w:id="54"/>
      <w:bookmarkEnd w:id="55"/>
    </w:p>
    <w:p w14:paraId="696ABEE0">
      <w:pPr>
        <w:numPr>
          <w:ilvl w:val="1"/>
          <w:numId w:val="9"/>
        </w:numPr>
        <w:spacing w:line="50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投标人必须保证所提交给采购代理机构、采购人的资料和数据是真实的，并承担相应的法律责任。</w:t>
      </w:r>
    </w:p>
    <w:p w14:paraId="1B7A341F">
      <w:pPr>
        <w:pStyle w:val="3"/>
        <w:spacing w:before="60" w:after="60" w:line="700" w:lineRule="exact"/>
        <w:ind w:left="420" w:hanging="420"/>
        <w:jc w:val="center"/>
        <w:rPr>
          <w:rFonts w:hint="eastAsia" w:ascii="Times New Roman" w:hAnsi="Times New Roman"/>
          <w:b w:val="0"/>
          <w:bCs w:val="0"/>
          <w:color w:val="auto"/>
          <w:lang w:val="zh-CN"/>
        </w:rPr>
      </w:pPr>
      <w:bookmarkStart w:id="56" w:name="_Toc30778"/>
      <w:bookmarkStart w:id="57" w:name="_Toc21599"/>
      <w:bookmarkStart w:id="58" w:name="_Toc55778682"/>
      <w:r>
        <w:rPr>
          <w:rFonts w:hint="eastAsia" w:ascii="Times New Roman" w:hAnsi="Times New Roman"/>
          <w:b w:val="0"/>
          <w:bCs w:val="0"/>
          <w:color w:val="auto"/>
          <w:lang w:val="zh-CN"/>
        </w:rPr>
        <w:t>二、招标文件</w:t>
      </w:r>
      <w:bookmarkEnd w:id="56"/>
      <w:bookmarkEnd w:id="57"/>
      <w:bookmarkEnd w:id="58"/>
    </w:p>
    <w:p w14:paraId="5585EA78">
      <w:pPr>
        <w:keepNext/>
        <w:keepLines/>
        <w:numPr>
          <w:ilvl w:val="0"/>
          <w:numId w:val="2"/>
        </w:numPr>
        <w:tabs>
          <w:tab w:val="left" w:pos="900"/>
        </w:tabs>
        <w:spacing w:line="500" w:lineRule="exact"/>
        <w:ind w:left="924" w:hanging="924"/>
        <w:outlineLvl w:val="0"/>
        <w:rPr>
          <w:rFonts w:hint="eastAsia" w:ascii="仿宋_GB2312" w:hAnsi="仿宋_GB2312" w:eastAsia="仿宋_GB2312" w:cs="仿宋_GB2312"/>
          <w:b/>
          <w:bCs/>
          <w:color w:val="auto"/>
          <w:kern w:val="44"/>
          <w:sz w:val="32"/>
          <w:szCs w:val="32"/>
        </w:rPr>
      </w:pPr>
      <w:bookmarkStart w:id="59" w:name="_Toc25851"/>
      <w:bookmarkStart w:id="60" w:name="_Toc55778683"/>
      <w:r>
        <w:rPr>
          <w:rFonts w:hint="eastAsia" w:ascii="仿宋_GB2312" w:hAnsi="仿宋_GB2312" w:eastAsia="仿宋_GB2312" w:cs="仿宋_GB2312"/>
          <w:b/>
          <w:bCs/>
          <w:color w:val="auto"/>
          <w:kern w:val="44"/>
          <w:sz w:val="32"/>
          <w:szCs w:val="32"/>
        </w:rPr>
        <w:t xml:space="preserve">   </w:t>
      </w:r>
      <w:bookmarkStart w:id="61" w:name="_Toc6970"/>
      <w:bookmarkStart w:id="62" w:name="_Toc7611"/>
      <w:bookmarkStart w:id="63" w:name="_Toc4904"/>
      <w:bookmarkStart w:id="64" w:name="_Toc6842"/>
      <w:bookmarkStart w:id="65" w:name="_Toc5513"/>
      <w:r>
        <w:rPr>
          <w:rFonts w:hint="eastAsia" w:ascii="仿宋_GB2312" w:hAnsi="仿宋_GB2312" w:eastAsia="仿宋_GB2312" w:cs="仿宋_GB2312"/>
          <w:b/>
          <w:bCs/>
          <w:color w:val="auto"/>
          <w:kern w:val="44"/>
          <w:sz w:val="32"/>
          <w:szCs w:val="32"/>
        </w:rPr>
        <w:t>招标文件的编制依据与构成</w:t>
      </w:r>
      <w:bookmarkEnd w:id="59"/>
      <w:bookmarkEnd w:id="60"/>
      <w:bookmarkEnd w:id="61"/>
      <w:bookmarkEnd w:id="62"/>
      <w:bookmarkEnd w:id="63"/>
      <w:bookmarkEnd w:id="64"/>
      <w:bookmarkEnd w:id="65"/>
    </w:p>
    <w:p w14:paraId="7AE801DD">
      <w:pPr>
        <w:tabs>
          <w:tab w:val="left" w:pos="907"/>
        </w:tabs>
        <w:spacing w:line="500" w:lineRule="exact"/>
        <w:ind w:left="960" w:hanging="960" w:hangingChars="3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8.1   本招标文件的编制依据是《中华人民共和国政府采购法》、《中华人民共和国政府采购法实施条例》、《政府采购货物和服务招标投标管理办法》及其配套的法规、规章、政策等。</w:t>
      </w:r>
    </w:p>
    <w:p w14:paraId="6AF5CE9F">
      <w:pPr>
        <w:tabs>
          <w:tab w:val="left" w:pos="907"/>
        </w:tabs>
        <w:spacing w:line="500" w:lineRule="exact"/>
        <w:ind w:left="960" w:hanging="960" w:hangingChars="3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8.2   招标文件以中文文字编写。招标文件共六章。招标文件由下列文件以及在招标过程中发出的澄清、修改和补充文件组成，内容如下：</w:t>
      </w:r>
    </w:p>
    <w:p w14:paraId="4DF9EE0E">
      <w:pPr>
        <w:spacing w:line="500" w:lineRule="exact"/>
        <w:ind w:firstLine="960" w:firstLineChars="3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第一章 招标公告</w:t>
      </w:r>
    </w:p>
    <w:p w14:paraId="7236C4D1">
      <w:pPr>
        <w:spacing w:line="500" w:lineRule="exact"/>
        <w:ind w:firstLine="960" w:firstLineChars="3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第二章 投标须知前附表</w:t>
      </w:r>
    </w:p>
    <w:p w14:paraId="7AEAAEA8">
      <w:pPr>
        <w:spacing w:line="500" w:lineRule="exact"/>
        <w:ind w:firstLine="960" w:firstLineChars="3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第三章 投标人须知</w:t>
      </w:r>
    </w:p>
    <w:p w14:paraId="07789E7E">
      <w:pPr>
        <w:spacing w:line="500" w:lineRule="exact"/>
        <w:ind w:firstLine="960" w:firstLineChars="3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第四章 合同格式</w:t>
      </w:r>
    </w:p>
    <w:p w14:paraId="6E037060">
      <w:pPr>
        <w:spacing w:line="500" w:lineRule="exact"/>
        <w:ind w:firstLine="960" w:firstLineChars="3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第五章 采购项目清单及参数要求</w:t>
      </w:r>
    </w:p>
    <w:p w14:paraId="7E2E6EB5">
      <w:pPr>
        <w:spacing w:line="500" w:lineRule="exact"/>
        <w:ind w:firstLine="960" w:firstLineChars="3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第六章 投标文件格式</w:t>
      </w:r>
    </w:p>
    <w:p w14:paraId="2C768387">
      <w:pPr>
        <w:tabs>
          <w:tab w:val="left" w:pos="907"/>
        </w:tabs>
        <w:spacing w:line="500" w:lineRule="exact"/>
        <w:ind w:left="960" w:hanging="960" w:hangingChars="3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8.3   投标人应仔细阅读招标文件的全部内容，按照招标文件要求编制投标文件。任何对招标文件的忽略或误解不能作为投标文件存在缺陷或瑕疵的理由，其风险由投标人承担。投标人对招标文件有疑问的请以书面形式向采购人、采购代理机构提出,提出后，请投标人及时通过新疆政采云平台查看答疑文件或澄清文件。投标人应及时注意新疆政采云发布的澄清或修改通知并下载，因投标人原因未及时获知澄清、修改或补充内容而导致的任何后果将由投标人自行承担。</w:t>
      </w:r>
    </w:p>
    <w:p w14:paraId="5F8290AC">
      <w:pPr>
        <w:keepNext/>
        <w:keepLines/>
        <w:numPr>
          <w:ilvl w:val="0"/>
          <w:numId w:val="2"/>
        </w:numPr>
        <w:tabs>
          <w:tab w:val="left" w:pos="900"/>
        </w:tabs>
        <w:spacing w:line="500" w:lineRule="exact"/>
        <w:ind w:left="924" w:hanging="924"/>
        <w:outlineLvl w:val="0"/>
        <w:rPr>
          <w:rFonts w:hint="eastAsia" w:ascii="仿宋_GB2312" w:hAnsi="仿宋_GB2312" w:eastAsia="仿宋_GB2312" w:cs="仿宋_GB2312"/>
          <w:color w:val="auto"/>
          <w:sz w:val="32"/>
          <w:szCs w:val="32"/>
        </w:rPr>
      </w:pPr>
      <w:bookmarkStart w:id="66" w:name="_Toc55778684"/>
      <w:r>
        <w:rPr>
          <w:rFonts w:hint="eastAsia" w:ascii="仿宋_GB2312" w:hAnsi="仿宋_GB2312" w:eastAsia="仿宋_GB2312" w:cs="仿宋_GB2312"/>
          <w:b/>
          <w:color w:val="auto"/>
          <w:kern w:val="44"/>
          <w:sz w:val="32"/>
          <w:szCs w:val="32"/>
        </w:rPr>
        <w:t xml:space="preserve">   </w:t>
      </w:r>
      <w:bookmarkStart w:id="67" w:name="_Toc18515"/>
      <w:bookmarkStart w:id="68" w:name="_Toc24522"/>
      <w:bookmarkStart w:id="69" w:name="_Toc28706"/>
      <w:bookmarkStart w:id="70" w:name="_Toc5501"/>
      <w:bookmarkStart w:id="71" w:name="_Toc22484"/>
      <w:r>
        <w:rPr>
          <w:rFonts w:hint="eastAsia" w:ascii="仿宋_GB2312" w:hAnsi="仿宋_GB2312" w:eastAsia="仿宋_GB2312" w:cs="仿宋_GB2312"/>
          <w:b/>
          <w:color w:val="auto"/>
          <w:kern w:val="44"/>
          <w:sz w:val="32"/>
          <w:szCs w:val="32"/>
        </w:rPr>
        <w:t>招标文件的澄清或修改</w:t>
      </w:r>
      <w:bookmarkEnd w:id="66"/>
      <w:bookmarkEnd w:id="67"/>
      <w:bookmarkEnd w:id="68"/>
      <w:bookmarkEnd w:id="69"/>
      <w:bookmarkEnd w:id="70"/>
      <w:bookmarkEnd w:id="71"/>
    </w:p>
    <w:p w14:paraId="6A77DB4D">
      <w:pPr>
        <w:tabs>
          <w:tab w:val="left" w:pos="907"/>
        </w:tabs>
        <w:spacing w:line="500" w:lineRule="exact"/>
        <w:ind w:left="960" w:hanging="960" w:hangingChars="3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9.1　投标人应仔细阅读和检查招标文件的全部内容。投标人若对招标文件有任何疑问，应按照招标文件第二章“投标人须知前附表”第27项规定向采购代理机构提出。提出后，请投标人及时通过新疆政采云平台查看答疑文件或澄清文件。必要时，采购代理机构将组织相关专家召开答疑会，如召开，答疑会安排另行通知。并在新疆政采云平台发布更正公告。投标人在规定的时间内未对招标文件提出疑问或要求澄清的，采购代理机构将视其为同意，对在“答疑接受时间”后就招标文件内容提出的疑问及澄清要求将不予受理。</w:t>
      </w:r>
    </w:p>
    <w:p w14:paraId="1C8313A8">
      <w:pPr>
        <w:tabs>
          <w:tab w:val="left" w:pos="907"/>
        </w:tabs>
        <w:spacing w:line="500" w:lineRule="exact"/>
        <w:ind w:left="960" w:hanging="960" w:hangingChars="3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9.2　如果澄清或者修改时间距本章投标人须知前附表规定的投标截止时间不足15日，将相应顺延提交投标文件的截止时间，澄清或者修改时间具体见投标人须知前附表。</w:t>
      </w:r>
    </w:p>
    <w:p w14:paraId="3B517001">
      <w:pPr>
        <w:tabs>
          <w:tab w:val="left" w:pos="907"/>
        </w:tabs>
        <w:spacing w:line="500" w:lineRule="exact"/>
        <w:ind w:left="960" w:hanging="960" w:hangingChars="3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9.3　澄清或者修改内容为招标文件的组成部分，对所有领取了招标文件的潜在投标人均具有约束力。</w:t>
      </w:r>
    </w:p>
    <w:p w14:paraId="2C20A85B">
      <w:pPr>
        <w:tabs>
          <w:tab w:val="left" w:pos="907"/>
        </w:tabs>
        <w:spacing w:line="500" w:lineRule="exact"/>
        <w:ind w:left="960" w:hanging="960" w:hangingChars="3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9.4  投标人应注意及时新疆政采云发布的澄清或修改通知并下载，因投标人原因未及时获知澄清、修改或补充内容而导致的任何后果将由投标人自行承担。</w:t>
      </w:r>
    </w:p>
    <w:p w14:paraId="670EAB51">
      <w:pPr>
        <w:tabs>
          <w:tab w:val="left" w:pos="907"/>
        </w:tabs>
        <w:spacing w:line="500" w:lineRule="exact"/>
        <w:ind w:left="960" w:hanging="960" w:hangingChars="300"/>
        <w:rPr>
          <w:rFonts w:hint="eastAsia" w:ascii="仿宋_GB2312" w:hAnsi="仿宋_GB2312" w:eastAsia="仿宋_GB2312" w:cs="仿宋_GB2312"/>
          <w:color w:val="auto"/>
          <w:sz w:val="32"/>
          <w:szCs w:val="32"/>
        </w:rPr>
      </w:pPr>
    </w:p>
    <w:p w14:paraId="5D389CEB">
      <w:pPr>
        <w:pStyle w:val="3"/>
        <w:spacing w:before="60" w:after="60" w:line="700" w:lineRule="exact"/>
        <w:ind w:left="420" w:hanging="420"/>
        <w:jc w:val="center"/>
        <w:rPr>
          <w:rFonts w:hint="eastAsia" w:ascii="Times New Roman" w:hAnsi="Times New Roman"/>
          <w:b w:val="0"/>
          <w:bCs w:val="0"/>
          <w:color w:val="auto"/>
          <w:lang w:val="zh-CN"/>
        </w:rPr>
      </w:pPr>
      <w:bookmarkStart w:id="72" w:name="_Toc14750"/>
      <w:bookmarkStart w:id="73" w:name="_Toc55778685"/>
      <w:r>
        <w:rPr>
          <w:rFonts w:hint="eastAsia" w:ascii="Times New Roman" w:hAnsi="Times New Roman"/>
          <w:b w:val="0"/>
          <w:bCs w:val="0"/>
          <w:color w:val="auto"/>
          <w:lang w:val="zh-CN"/>
        </w:rPr>
        <w:t>三、投标文件的编制</w:t>
      </w:r>
      <w:bookmarkEnd w:id="72"/>
      <w:bookmarkEnd w:id="73"/>
    </w:p>
    <w:p w14:paraId="677ADCE9">
      <w:pPr>
        <w:pStyle w:val="2"/>
        <w:numPr>
          <w:ilvl w:val="0"/>
          <w:numId w:val="2"/>
        </w:numPr>
        <w:tabs>
          <w:tab w:val="left" w:pos="900"/>
          <w:tab w:val="clear" w:pos="425"/>
        </w:tabs>
        <w:spacing w:before="0" w:after="0" w:line="500" w:lineRule="exact"/>
        <w:ind w:left="924" w:hanging="924"/>
        <w:rPr>
          <w:rStyle w:val="46"/>
          <w:rFonts w:hint="eastAsia" w:ascii="仿宋_GB2312" w:hAnsi="仿宋_GB2312" w:eastAsia="仿宋_GB2312" w:cs="仿宋_GB2312"/>
          <w:bCs/>
          <w:color w:val="auto"/>
          <w:sz w:val="32"/>
          <w:szCs w:val="32"/>
        </w:rPr>
      </w:pPr>
      <w:bookmarkStart w:id="74" w:name="_Toc55778686"/>
      <w:bookmarkStart w:id="75" w:name="_Toc25330"/>
      <w:bookmarkStart w:id="76" w:name="_Toc4795"/>
      <w:bookmarkStart w:id="77" w:name="_Toc19464"/>
      <w:bookmarkStart w:id="78" w:name="_Toc22093"/>
      <w:bookmarkStart w:id="79" w:name="_Toc887"/>
      <w:r>
        <w:rPr>
          <w:rStyle w:val="46"/>
          <w:rFonts w:hint="eastAsia" w:ascii="仿宋_GB2312" w:hAnsi="仿宋_GB2312" w:eastAsia="仿宋_GB2312" w:cs="仿宋_GB2312"/>
          <w:bCs/>
          <w:color w:val="auto"/>
          <w:sz w:val="32"/>
          <w:szCs w:val="32"/>
        </w:rPr>
        <w:t>投标的语言</w:t>
      </w:r>
      <w:bookmarkEnd w:id="74"/>
      <w:bookmarkEnd w:id="75"/>
      <w:bookmarkEnd w:id="76"/>
      <w:bookmarkEnd w:id="77"/>
      <w:bookmarkEnd w:id="78"/>
      <w:bookmarkEnd w:id="79"/>
    </w:p>
    <w:p w14:paraId="522C46DD">
      <w:pPr>
        <w:numPr>
          <w:ilvl w:val="1"/>
          <w:numId w:val="10"/>
        </w:numPr>
        <w:spacing w:line="500" w:lineRule="exact"/>
        <w:rPr>
          <w:rFonts w:hint="eastAsia" w:ascii="仿宋_GB2312" w:hAnsi="仿宋_GB2312" w:eastAsia="仿宋_GB2312" w:cs="仿宋_GB2312"/>
          <w:color w:val="auto"/>
          <w:sz w:val="32"/>
          <w:szCs w:val="32"/>
        </w:rPr>
      </w:pPr>
      <w:bookmarkStart w:id="80" w:name="_Ref179620571"/>
      <w:r>
        <w:rPr>
          <w:rFonts w:hint="eastAsia" w:ascii="仿宋_GB2312" w:hAnsi="仿宋_GB2312" w:eastAsia="仿宋_GB2312" w:cs="仿宋_GB2312"/>
          <w:color w:val="auto"/>
          <w:sz w:val="32"/>
          <w:szCs w:val="32"/>
        </w:rPr>
        <w:t>投标人提交的投标文件以及投标人与采购代理机构和采购人就有关投标的所有来往函电均应使用</w:t>
      </w:r>
      <w:r>
        <w:rPr>
          <w:rFonts w:hint="eastAsia" w:ascii="仿宋_GB2312" w:hAnsi="仿宋_GB2312" w:eastAsia="仿宋_GB2312" w:cs="仿宋_GB2312"/>
          <w:bCs/>
          <w:color w:val="auto"/>
          <w:sz w:val="32"/>
          <w:szCs w:val="32"/>
        </w:rPr>
        <w:t>中文书写。投标人提交的支持文件或印刷的资料可以用另一种语言，但相应内容应附有中文翻译本</w:t>
      </w:r>
      <w:r>
        <w:rPr>
          <w:rFonts w:hint="eastAsia" w:ascii="仿宋_GB2312" w:hAnsi="仿宋_GB2312" w:eastAsia="仿宋_GB2312" w:cs="仿宋_GB2312"/>
          <w:color w:val="auto"/>
          <w:sz w:val="32"/>
          <w:szCs w:val="32"/>
        </w:rPr>
        <w:t>，在解释投标文件时以翻译本为准。</w:t>
      </w:r>
      <w:bookmarkEnd w:id="80"/>
    </w:p>
    <w:p w14:paraId="28B707C2">
      <w:pPr>
        <w:keepNext/>
        <w:keepLines/>
        <w:numPr>
          <w:ilvl w:val="0"/>
          <w:numId w:val="2"/>
        </w:numPr>
        <w:tabs>
          <w:tab w:val="left" w:pos="900"/>
        </w:tabs>
        <w:spacing w:line="500" w:lineRule="exact"/>
        <w:ind w:left="924" w:hanging="924"/>
        <w:outlineLvl w:val="0"/>
        <w:rPr>
          <w:rFonts w:hint="eastAsia" w:ascii="仿宋_GB2312" w:hAnsi="仿宋_GB2312" w:eastAsia="仿宋_GB2312" w:cs="仿宋_GB2312"/>
          <w:b/>
          <w:bCs/>
          <w:color w:val="auto"/>
          <w:kern w:val="44"/>
          <w:sz w:val="32"/>
          <w:szCs w:val="32"/>
        </w:rPr>
      </w:pPr>
      <w:bookmarkStart w:id="81" w:name="_Toc55778688"/>
      <w:bookmarkStart w:id="82" w:name="_Toc15173"/>
      <w:r>
        <w:rPr>
          <w:rFonts w:hint="eastAsia" w:ascii="仿宋_GB2312" w:hAnsi="仿宋_GB2312" w:eastAsia="仿宋_GB2312" w:cs="仿宋_GB2312"/>
          <w:b/>
          <w:bCs/>
          <w:color w:val="auto"/>
          <w:kern w:val="44"/>
          <w:sz w:val="32"/>
          <w:szCs w:val="32"/>
        </w:rPr>
        <w:t xml:space="preserve">    </w:t>
      </w:r>
      <w:bookmarkStart w:id="83" w:name="_Toc21704"/>
      <w:bookmarkStart w:id="84" w:name="_Toc23086"/>
      <w:bookmarkStart w:id="85" w:name="_Toc1469"/>
      <w:bookmarkStart w:id="86" w:name="_Toc2079"/>
      <w:r>
        <w:rPr>
          <w:rFonts w:hint="eastAsia" w:ascii="仿宋_GB2312" w:hAnsi="仿宋_GB2312" w:eastAsia="仿宋_GB2312" w:cs="仿宋_GB2312"/>
          <w:b/>
          <w:bCs/>
          <w:color w:val="auto"/>
          <w:kern w:val="44"/>
          <w:sz w:val="32"/>
          <w:szCs w:val="32"/>
        </w:rPr>
        <w:t>投标文件的构成</w:t>
      </w:r>
      <w:bookmarkEnd w:id="81"/>
      <w:bookmarkEnd w:id="82"/>
      <w:bookmarkEnd w:id="83"/>
      <w:bookmarkEnd w:id="84"/>
      <w:bookmarkEnd w:id="85"/>
      <w:bookmarkEnd w:id="86"/>
    </w:p>
    <w:p w14:paraId="00BE068B">
      <w:pPr>
        <w:pStyle w:val="75"/>
        <w:spacing w:line="500" w:lineRule="exact"/>
        <w:ind w:firstLine="630" w:firstLineChars="197"/>
        <w:rPr>
          <w:rFonts w:hint="eastAsia" w:hAnsi="仿宋_GB2312" w:cs="仿宋_GB2312"/>
          <w:color w:val="auto"/>
          <w:sz w:val="32"/>
          <w:szCs w:val="32"/>
        </w:rPr>
      </w:pPr>
      <w:bookmarkStart w:id="87" w:name="_Toc30134"/>
      <w:bookmarkStart w:id="88" w:name="_Toc55778689"/>
      <w:r>
        <w:rPr>
          <w:rFonts w:hint="eastAsia" w:hAnsi="仿宋_GB2312" w:cs="仿宋_GB2312"/>
          <w:color w:val="auto"/>
          <w:sz w:val="32"/>
          <w:szCs w:val="32"/>
        </w:rPr>
        <w:t>（1）投标承诺书</w:t>
      </w:r>
    </w:p>
    <w:p w14:paraId="339F6B0E">
      <w:pPr>
        <w:pStyle w:val="75"/>
        <w:spacing w:line="500" w:lineRule="exact"/>
        <w:ind w:firstLine="630" w:firstLineChars="197"/>
        <w:rPr>
          <w:rFonts w:hint="eastAsia" w:hAnsi="仿宋_GB2312" w:cs="仿宋_GB2312"/>
          <w:color w:val="auto"/>
          <w:sz w:val="32"/>
          <w:szCs w:val="32"/>
        </w:rPr>
      </w:pPr>
      <w:r>
        <w:rPr>
          <w:rFonts w:hint="eastAsia" w:hAnsi="仿宋_GB2312" w:cs="仿宋_GB2312"/>
          <w:color w:val="auto"/>
          <w:sz w:val="32"/>
          <w:szCs w:val="32"/>
        </w:rPr>
        <w:t>（2）报价一览表</w:t>
      </w:r>
    </w:p>
    <w:p w14:paraId="49CE2E9B">
      <w:pPr>
        <w:pStyle w:val="75"/>
        <w:spacing w:line="500" w:lineRule="exact"/>
        <w:ind w:firstLine="630" w:firstLineChars="197"/>
        <w:rPr>
          <w:rFonts w:hint="eastAsia" w:hAnsi="仿宋_GB2312" w:cs="仿宋_GB2312"/>
          <w:color w:val="auto"/>
          <w:sz w:val="32"/>
          <w:szCs w:val="32"/>
        </w:rPr>
      </w:pPr>
      <w:r>
        <w:rPr>
          <w:rFonts w:hint="eastAsia" w:hAnsi="仿宋_GB2312" w:cs="仿宋_GB2312"/>
          <w:color w:val="auto"/>
          <w:sz w:val="32"/>
          <w:szCs w:val="32"/>
        </w:rPr>
        <w:t>（3）报价一览明细表</w:t>
      </w:r>
    </w:p>
    <w:p w14:paraId="085FE94F">
      <w:pPr>
        <w:pStyle w:val="75"/>
        <w:spacing w:line="500" w:lineRule="exact"/>
        <w:ind w:firstLine="640"/>
        <w:rPr>
          <w:rFonts w:hint="eastAsia" w:hAnsi="仿宋_GB2312" w:cs="仿宋_GB2312"/>
          <w:color w:val="auto"/>
          <w:sz w:val="32"/>
          <w:szCs w:val="32"/>
        </w:rPr>
      </w:pPr>
      <w:r>
        <w:rPr>
          <w:rFonts w:hint="eastAsia" w:hAnsi="仿宋_GB2312" w:cs="仿宋_GB2312"/>
          <w:color w:val="auto"/>
          <w:sz w:val="32"/>
          <w:szCs w:val="32"/>
        </w:rPr>
        <w:t>（4）法定代表人身份证明</w:t>
      </w:r>
    </w:p>
    <w:p w14:paraId="412F6880">
      <w:pPr>
        <w:pStyle w:val="75"/>
        <w:spacing w:line="500" w:lineRule="exact"/>
        <w:ind w:firstLine="640"/>
        <w:rPr>
          <w:rFonts w:hint="eastAsia" w:hAnsi="仿宋_GB2312" w:cs="仿宋_GB2312"/>
          <w:color w:val="auto"/>
          <w:sz w:val="32"/>
          <w:szCs w:val="32"/>
        </w:rPr>
      </w:pPr>
      <w:r>
        <w:rPr>
          <w:rFonts w:hint="eastAsia" w:hAnsi="仿宋_GB2312" w:cs="仿宋_GB2312"/>
          <w:color w:val="auto"/>
          <w:sz w:val="32"/>
          <w:szCs w:val="32"/>
        </w:rPr>
        <w:t>（5）法定代表人授权委托书</w:t>
      </w:r>
    </w:p>
    <w:p w14:paraId="7C6C16CE">
      <w:pPr>
        <w:pStyle w:val="75"/>
        <w:spacing w:line="500" w:lineRule="exact"/>
        <w:ind w:firstLine="640"/>
        <w:rPr>
          <w:rFonts w:hint="eastAsia" w:hAnsi="仿宋_GB2312" w:cs="仿宋_GB2312"/>
          <w:color w:val="auto"/>
          <w:sz w:val="32"/>
          <w:szCs w:val="32"/>
        </w:rPr>
      </w:pPr>
      <w:r>
        <w:rPr>
          <w:rFonts w:hint="eastAsia" w:hAnsi="仿宋_GB2312" w:cs="仿宋_GB2312"/>
          <w:color w:val="auto"/>
          <w:sz w:val="32"/>
          <w:szCs w:val="32"/>
        </w:rPr>
        <w:t>（6）投标保证金打款凭证或投标保函</w:t>
      </w:r>
    </w:p>
    <w:p w14:paraId="62EF7B7F">
      <w:pPr>
        <w:pStyle w:val="75"/>
        <w:spacing w:line="500" w:lineRule="exact"/>
        <w:ind w:firstLine="640"/>
        <w:rPr>
          <w:rFonts w:hint="eastAsia" w:hAnsi="仿宋_GB2312" w:cs="仿宋_GB2312"/>
          <w:color w:val="auto"/>
          <w:sz w:val="32"/>
          <w:szCs w:val="32"/>
        </w:rPr>
      </w:pPr>
      <w:r>
        <w:rPr>
          <w:rFonts w:hint="eastAsia" w:hAnsi="仿宋_GB2312" w:cs="仿宋_GB2312"/>
          <w:color w:val="auto"/>
          <w:sz w:val="32"/>
          <w:szCs w:val="32"/>
        </w:rPr>
        <w:t>（7）技术条件响应/偏离表</w:t>
      </w:r>
    </w:p>
    <w:p w14:paraId="548DA38B">
      <w:pPr>
        <w:pStyle w:val="19"/>
        <w:spacing w:line="500" w:lineRule="exact"/>
        <w:ind w:firstLine="640" w:firstLineChars="200"/>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（8）商务条件响应/偏离表</w:t>
      </w:r>
    </w:p>
    <w:p w14:paraId="7C475AE1">
      <w:pPr>
        <w:pStyle w:val="19"/>
        <w:spacing w:line="500" w:lineRule="exact"/>
        <w:ind w:firstLine="640" w:firstLineChars="200"/>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（9）相应的资格证明文件以及商务因素、技术因素、服务因素所需证明资料（包括不限于企业简介、企业相关证件等）（格式自拟）</w:t>
      </w:r>
    </w:p>
    <w:p w14:paraId="476EE0E8">
      <w:pPr>
        <w:pStyle w:val="19"/>
        <w:spacing w:line="500" w:lineRule="exact"/>
        <w:ind w:firstLine="640" w:firstLineChars="200"/>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（10）投标人近三年（2023年05月01日至今）类似项目业绩（附中标通知书和采购合同及验收单（或甲方评价意见表）</w:t>
      </w:r>
    </w:p>
    <w:p w14:paraId="13D77E2B">
      <w:pPr>
        <w:pStyle w:val="19"/>
        <w:spacing w:line="500" w:lineRule="exact"/>
        <w:ind w:firstLine="640" w:firstLineChars="200"/>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（11）技术部分包括但不限于以下内容：配送方案、货源保障能力、质量安全、服务质量、应急措施、售后服务等内容（格式自拟）</w:t>
      </w:r>
    </w:p>
    <w:p w14:paraId="65EE9811">
      <w:pPr>
        <w:pStyle w:val="75"/>
        <w:autoSpaceDE w:val="0"/>
        <w:autoSpaceDN w:val="0"/>
        <w:adjustRightInd w:val="0"/>
        <w:spacing w:line="500" w:lineRule="exact"/>
        <w:ind w:firstLine="640"/>
        <w:rPr>
          <w:rFonts w:hint="eastAsia" w:hAnsi="仿宋_GB2312" w:cs="仿宋_GB2312"/>
          <w:color w:val="auto"/>
          <w:sz w:val="32"/>
          <w:szCs w:val="32"/>
        </w:rPr>
      </w:pPr>
      <w:r>
        <w:rPr>
          <w:rFonts w:hint="eastAsia" w:hAnsi="仿宋_GB2312" w:cs="仿宋_GB2312"/>
          <w:color w:val="auto"/>
          <w:sz w:val="32"/>
          <w:szCs w:val="32"/>
        </w:rPr>
        <w:t>（12）投标人基本情况说明</w:t>
      </w:r>
    </w:p>
    <w:p w14:paraId="52636D02">
      <w:pPr>
        <w:pStyle w:val="75"/>
        <w:autoSpaceDE w:val="0"/>
        <w:autoSpaceDN w:val="0"/>
        <w:adjustRightInd w:val="0"/>
        <w:spacing w:line="500" w:lineRule="exact"/>
        <w:ind w:firstLine="640"/>
        <w:rPr>
          <w:rFonts w:hint="eastAsia" w:hAnsi="仿宋_GB2312" w:cs="仿宋_GB2312"/>
          <w:color w:val="auto"/>
          <w:sz w:val="32"/>
          <w:szCs w:val="32"/>
        </w:rPr>
      </w:pPr>
      <w:r>
        <w:rPr>
          <w:rFonts w:hint="eastAsia" w:hAnsi="仿宋_GB2312" w:cs="仿宋_GB2312"/>
          <w:color w:val="auto"/>
          <w:sz w:val="32"/>
          <w:szCs w:val="32"/>
        </w:rPr>
        <w:t>（13）项目人员配置情况表</w:t>
      </w:r>
    </w:p>
    <w:p w14:paraId="7DF52784">
      <w:pPr>
        <w:pStyle w:val="75"/>
        <w:autoSpaceDE w:val="0"/>
        <w:autoSpaceDN w:val="0"/>
        <w:adjustRightInd w:val="0"/>
        <w:spacing w:line="500" w:lineRule="exact"/>
        <w:ind w:firstLine="640"/>
        <w:rPr>
          <w:rFonts w:hint="eastAsia" w:hAnsi="仿宋_GB2312" w:cs="仿宋_GB2312"/>
          <w:color w:val="auto"/>
          <w:sz w:val="32"/>
          <w:szCs w:val="32"/>
        </w:rPr>
      </w:pPr>
      <w:r>
        <w:rPr>
          <w:rFonts w:hint="eastAsia" w:hAnsi="仿宋_GB2312" w:cs="仿宋_GB2312"/>
          <w:color w:val="auto"/>
          <w:sz w:val="32"/>
          <w:szCs w:val="32"/>
        </w:rPr>
        <w:t>（14）投标企业关联企业情况说明</w:t>
      </w:r>
    </w:p>
    <w:p w14:paraId="116EB856">
      <w:pPr>
        <w:pStyle w:val="75"/>
        <w:autoSpaceDE w:val="0"/>
        <w:autoSpaceDN w:val="0"/>
        <w:adjustRightInd w:val="0"/>
        <w:spacing w:line="500" w:lineRule="exact"/>
        <w:ind w:firstLine="640"/>
        <w:rPr>
          <w:rFonts w:hint="eastAsia" w:hAnsi="仿宋_GB2312" w:cs="仿宋_GB2312"/>
          <w:color w:val="auto"/>
          <w:sz w:val="32"/>
          <w:szCs w:val="32"/>
        </w:rPr>
      </w:pPr>
      <w:r>
        <w:rPr>
          <w:rFonts w:hint="eastAsia" w:hAnsi="仿宋_GB2312" w:cs="仿宋_GB2312"/>
          <w:color w:val="auto"/>
          <w:sz w:val="32"/>
          <w:szCs w:val="32"/>
        </w:rPr>
        <w:t>（15）不参与围标串标承诺书</w:t>
      </w:r>
    </w:p>
    <w:p w14:paraId="4E44920B">
      <w:pPr>
        <w:pStyle w:val="75"/>
        <w:autoSpaceDE w:val="0"/>
        <w:autoSpaceDN w:val="0"/>
        <w:adjustRightInd w:val="0"/>
        <w:spacing w:line="500" w:lineRule="exact"/>
        <w:ind w:firstLine="640"/>
        <w:rPr>
          <w:rFonts w:hint="eastAsia" w:hAnsi="仿宋_GB2312" w:cs="仿宋_GB2312"/>
          <w:color w:val="auto"/>
          <w:sz w:val="32"/>
          <w:szCs w:val="32"/>
        </w:rPr>
      </w:pPr>
      <w:r>
        <w:rPr>
          <w:rFonts w:hint="eastAsia" w:hAnsi="仿宋_GB2312" w:cs="仿宋_GB2312"/>
          <w:color w:val="auto"/>
          <w:sz w:val="32"/>
          <w:szCs w:val="32"/>
        </w:rPr>
        <w:t>（16）投标人认为需要提供的其他材料说明</w:t>
      </w:r>
    </w:p>
    <w:p w14:paraId="02D09625">
      <w:pPr>
        <w:pStyle w:val="75"/>
        <w:autoSpaceDE w:val="0"/>
        <w:autoSpaceDN w:val="0"/>
        <w:adjustRightInd w:val="0"/>
        <w:spacing w:line="500" w:lineRule="exact"/>
        <w:ind w:firstLine="640"/>
        <w:rPr>
          <w:rFonts w:hint="eastAsia" w:hAnsi="仿宋_GB2312" w:cs="仿宋_GB2312"/>
          <w:color w:val="auto"/>
          <w:sz w:val="32"/>
          <w:szCs w:val="32"/>
        </w:rPr>
      </w:pPr>
      <w:r>
        <w:rPr>
          <w:rFonts w:hint="eastAsia" w:hAnsi="仿宋_GB2312" w:cs="仿宋_GB2312"/>
          <w:color w:val="auto"/>
          <w:sz w:val="32"/>
          <w:szCs w:val="32"/>
        </w:rPr>
        <w:t>附件1、在经营活动中没有重大违法记录的书面声明</w:t>
      </w:r>
    </w:p>
    <w:p w14:paraId="7C9DB4D1">
      <w:pPr>
        <w:pStyle w:val="75"/>
        <w:autoSpaceDE w:val="0"/>
        <w:autoSpaceDN w:val="0"/>
        <w:adjustRightInd w:val="0"/>
        <w:spacing w:line="500" w:lineRule="exact"/>
        <w:ind w:firstLine="640"/>
        <w:rPr>
          <w:rFonts w:hint="eastAsia" w:hAnsi="仿宋_GB2312" w:cs="仿宋_GB2312"/>
          <w:color w:val="auto"/>
          <w:sz w:val="32"/>
          <w:szCs w:val="32"/>
        </w:rPr>
      </w:pPr>
      <w:r>
        <w:rPr>
          <w:rFonts w:hint="eastAsia" w:hAnsi="仿宋_GB2312" w:cs="仿宋_GB2312"/>
          <w:color w:val="auto"/>
          <w:sz w:val="32"/>
          <w:szCs w:val="32"/>
        </w:rPr>
        <w:t>附件2、中小企业声明函（如有）</w:t>
      </w:r>
    </w:p>
    <w:p w14:paraId="3A874E7E">
      <w:pPr>
        <w:pStyle w:val="75"/>
        <w:autoSpaceDE w:val="0"/>
        <w:autoSpaceDN w:val="0"/>
        <w:adjustRightInd w:val="0"/>
        <w:spacing w:line="500" w:lineRule="exact"/>
        <w:ind w:firstLine="640"/>
        <w:rPr>
          <w:rFonts w:hint="eastAsia" w:hAnsi="仿宋_GB2312" w:cs="仿宋_GB2312"/>
          <w:color w:val="auto"/>
          <w:sz w:val="32"/>
          <w:szCs w:val="32"/>
        </w:rPr>
      </w:pPr>
      <w:r>
        <w:rPr>
          <w:rFonts w:hint="eastAsia" w:hAnsi="仿宋_GB2312" w:cs="仿宋_GB2312"/>
          <w:color w:val="auto"/>
          <w:sz w:val="32"/>
          <w:szCs w:val="32"/>
        </w:rPr>
        <w:t>附件3、残疾人福利性单位声明函（如有）</w:t>
      </w:r>
    </w:p>
    <w:p w14:paraId="4A71262D">
      <w:pPr>
        <w:pStyle w:val="75"/>
        <w:autoSpaceDE w:val="0"/>
        <w:autoSpaceDN w:val="0"/>
        <w:adjustRightInd w:val="0"/>
        <w:spacing w:line="500" w:lineRule="exact"/>
        <w:ind w:firstLine="640"/>
        <w:rPr>
          <w:rFonts w:hint="eastAsia" w:hAnsi="仿宋_GB2312" w:cs="仿宋_GB2312"/>
          <w:color w:val="auto"/>
          <w:sz w:val="32"/>
          <w:szCs w:val="32"/>
        </w:rPr>
      </w:pPr>
      <w:r>
        <w:rPr>
          <w:rFonts w:hint="eastAsia" w:hAnsi="仿宋_GB2312" w:cs="仿宋_GB2312"/>
          <w:color w:val="auto"/>
          <w:sz w:val="32"/>
          <w:szCs w:val="32"/>
        </w:rPr>
        <w:t>附件4、省级以上监狱管理局、戒毒管理局（含新疆生产建设兵团）出具的属于监狱企业证明文件（格式自拟）（如有）</w:t>
      </w:r>
    </w:p>
    <w:p w14:paraId="66442490">
      <w:pPr>
        <w:keepNext/>
        <w:keepLines/>
        <w:numPr>
          <w:ilvl w:val="0"/>
          <w:numId w:val="2"/>
        </w:numPr>
        <w:tabs>
          <w:tab w:val="left" w:pos="900"/>
        </w:tabs>
        <w:spacing w:line="500" w:lineRule="exact"/>
        <w:ind w:left="924" w:hanging="924"/>
        <w:outlineLvl w:val="0"/>
        <w:rPr>
          <w:rFonts w:hint="eastAsia" w:ascii="仿宋_GB2312" w:hAnsi="仿宋_GB2312" w:eastAsia="仿宋_GB2312" w:cs="仿宋_GB2312"/>
          <w:b/>
          <w:bCs/>
          <w:color w:val="auto"/>
          <w:kern w:val="44"/>
          <w:sz w:val="32"/>
          <w:szCs w:val="32"/>
        </w:rPr>
      </w:pPr>
      <w:r>
        <w:rPr>
          <w:rFonts w:hint="eastAsia" w:ascii="仿宋_GB2312" w:hAnsi="仿宋_GB2312" w:eastAsia="仿宋_GB2312" w:cs="仿宋_GB2312"/>
          <w:b/>
          <w:bCs/>
          <w:color w:val="auto"/>
          <w:kern w:val="44"/>
          <w:sz w:val="32"/>
          <w:szCs w:val="32"/>
        </w:rPr>
        <w:t xml:space="preserve">    </w:t>
      </w:r>
      <w:bookmarkStart w:id="89" w:name="_Toc24925"/>
      <w:bookmarkStart w:id="90" w:name="_Toc24782"/>
      <w:bookmarkStart w:id="91" w:name="_Toc23426"/>
      <w:bookmarkStart w:id="92" w:name="_Toc17632"/>
      <w:r>
        <w:rPr>
          <w:rFonts w:hint="eastAsia" w:ascii="仿宋_GB2312" w:hAnsi="仿宋_GB2312" w:eastAsia="仿宋_GB2312" w:cs="仿宋_GB2312"/>
          <w:b/>
          <w:bCs/>
          <w:color w:val="auto"/>
          <w:kern w:val="44"/>
          <w:sz w:val="32"/>
          <w:szCs w:val="32"/>
        </w:rPr>
        <w:t>投标文件电子文档</w:t>
      </w:r>
      <w:bookmarkEnd w:id="87"/>
      <w:bookmarkEnd w:id="88"/>
      <w:bookmarkEnd w:id="89"/>
      <w:bookmarkEnd w:id="90"/>
      <w:bookmarkEnd w:id="91"/>
      <w:bookmarkEnd w:id="92"/>
    </w:p>
    <w:p w14:paraId="6D74F868">
      <w:pPr>
        <w:numPr>
          <w:ilvl w:val="1"/>
          <w:numId w:val="11"/>
        </w:numPr>
        <w:spacing w:line="500" w:lineRule="exac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rPr>
        <w:t>投标文件应采用电子形式</w:t>
      </w:r>
      <w:r>
        <w:rPr>
          <w:rFonts w:hint="eastAsia" w:ascii="仿宋_GB2312" w:hAnsi="仿宋_GB2312" w:eastAsia="仿宋_GB2312" w:cs="仿宋_GB2312"/>
          <w:color w:val="auto"/>
          <w:sz w:val="32"/>
          <w:szCs w:val="32"/>
        </w:rPr>
        <w:t>。</w:t>
      </w:r>
      <w:bookmarkStart w:id="93" w:name="_Toc22266"/>
      <w:bookmarkStart w:id="94" w:name="_Toc55778690"/>
    </w:p>
    <w:p w14:paraId="0FFB1C94">
      <w:pPr>
        <w:numPr>
          <w:ilvl w:val="1"/>
          <w:numId w:val="11"/>
        </w:numPr>
        <w:spacing w:line="500" w:lineRule="exac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电子投标文件制作时，应按照统一的“投标文件制作工具”和招标文件中明确的投标文件目录和投标技术规格、参数及相关要求格式进行编制，保证目录清晰、内容完整。</w:t>
      </w:r>
    </w:p>
    <w:p w14:paraId="1BD60B13">
      <w:pPr>
        <w:numPr>
          <w:ilvl w:val="1"/>
          <w:numId w:val="11"/>
        </w:numPr>
        <w:spacing w:line="500" w:lineRule="exac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 xml:space="preserve">投标人因自身原因导致电子投标文件无法导入电子评标系统的，该投标文件视为无效文件。 </w:t>
      </w:r>
    </w:p>
    <w:p w14:paraId="518E5223">
      <w:pPr>
        <w:numPr>
          <w:ilvl w:val="1"/>
          <w:numId w:val="11"/>
        </w:numPr>
        <w:spacing w:line="500" w:lineRule="exac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 xml:space="preserve">电子投标文件具有法律效力,与其他形式的投标文件在内容和格式上等同，若投标文件与招标文件要求不一致，其内容影响成交结果时，责任由投标人自行承担。 </w:t>
      </w:r>
    </w:p>
    <w:p w14:paraId="6D23637B">
      <w:pPr>
        <w:numPr>
          <w:ilvl w:val="1"/>
          <w:numId w:val="11"/>
        </w:numPr>
        <w:spacing w:line="500" w:lineRule="exac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为了保证电子标书的合法性、安全性和完整性，电子投标文件应在规定区域加盖单位和法定代表人CA印章。电子投标文件若无 CA电子签章，则视为无效文件。</w:t>
      </w:r>
    </w:p>
    <w:p w14:paraId="5A60683E">
      <w:pPr>
        <w:numPr>
          <w:ilvl w:val="1"/>
          <w:numId w:val="11"/>
        </w:numPr>
        <w:spacing w:line="500" w:lineRule="exac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 xml:space="preserve">投标人应完整地填写招标文件中提供的《投标承诺书》、《报价一览表》等招标文件中规定的所有内容。 </w:t>
      </w:r>
    </w:p>
    <w:p w14:paraId="1D530A02">
      <w:pPr>
        <w:numPr>
          <w:ilvl w:val="1"/>
          <w:numId w:val="11"/>
        </w:numPr>
        <w:spacing w:line="500" w:lineRule="exac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 xml:space="preserve">投标人必须保证投标人文件所提供的全部资料真实可靠，并接受采购单位对其中任何资料进一步核实的要求。 </w:t>
      </w:r>
    </w:p>
    <w:p w14:paraId="31E9355B">
      <w:pPr>
        <w:keepNext/>
        <w:keepLines/>
        <w:numPr>
          <w:ilvl w:val="0"/>
          <w:numId w:val="2"/>
        </w:numPr>
        <w:tabs>
          <w:tab w:val="left" w:pos="900"/>
        </w:tabs>
        <w:spacing w:line="500" w:lineRule="exact"/>
        <w:ind w:left="924" w:hanging="924"/>
        <w:outlineLvl w:val="0"/>
        <w:rPr>
          <w:rFonts w:hint="eastAsia" w:ascii="仿宋_GB2312" w:hAnsi="仿宋_GB2312" w:eastAsia="仿宋_GB2312" w:cs="仿宋_GB2312"/>
          <w:b/>
          <w:bCs/>
          <w:color w:val="auto"/>
          <w:kern w:val="44"/>
          <w:sz w:val="32"/>
          <w:szCs w:val="32"/>
        </w:rPr>
      </w:pPr>
      <w:r>
        <w:rPr>
          <w:rFonts w:hint="eastAsia" w:ascii="仿宋_GB2312" w:hAnsi="仿宋_GB2312" w:eastAsia="仿宋_GB2312" w:cs="仿宋_GB2312"/>
          <w:b/>
          <w:bCs/>
          <w:color w:val="auto"/>
          <w:kern w:val="44"/>
          <w:sz w:val="32"/>
          <w:szCs w:val="32"/>
        </w:rPr>
        <w:t xml:space="preserve">    </w:t>
      </w:r>
      <w:bookmarkStart w:id="95" w:name="_Toc17013"/>
      <w:bookmarkStart w:id="96" w:name="_Toc17740"/>
      <w:bookmarkStart w:id="97" w:name="_Toc16689"/>
      <w:bookmarkStart w:id="98" w:name="_Toc30931"/>
      <w:r>
        <w:rPr>
          <w:rFonts w:hint="eastAsia" w:ascii="仿宋_GB2312" w:hAnsi="仿宋_GB2312" w:eastAsia="仿宋_GB2312" w:cs="仿宋_GB2312"/>
          <w:b/>
          <w:bCs/>
          <w:color w:val="auto"/>
          <w:kern w:val="44"/>
          <w:sz w:val="32"/>
          <w:szCs w:val="32"/>
        </w:rPr>
        <w:t>投标文件的编写</w:t>
      </w:r>
      <w:bookmarkEnd w:id="93"/>
      <w:bookmarkEnd w:id="94"/>
      <w:bookmarkEnd w:id="95"/>
      <w:bookmarkEnd w:id="96"/>
      <w:bookmarkEnd w:id="97"/>
      <w:bookmarkEnd w:id="98"/>
    </w:p>
    <w:p w14:paraId="41D09B1E">
      <w:pPr>
        <w:numPr>
          <w:ilvl w:val="1"/>
          <w:numId w:val="12"/>
        </w:numPr>
        <w:spacing w:line="50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投标人应按招标文件的规定，及附件要求的内容和格式完整地填写和提供资料，并保证所提供的全部资料的真实性。</w:t>
      </w:r>
    </w:p>
    <w:p w14:paraId="732E299D">
      <w:pPr>
        <w:numPr>
          <w:ilvl w:val="1"/>
          <w:numId w:val="12"/>
        </w:numPr>
        <w:spacing w:line="50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投标人应当按照招标文件要求编制投标文件，并根据自已的商务能力、技术水平等对招标文件提出的要求和条件作出真实的响应。</w:t>
      </w:r>
    </w:p>
    <w:p w14:paraId="125DABFA">
      <w:pPr>
        <w:numPr>
          <w:ilvl w:val="1"/>
          <w:numId w:val="12"/>
        </w:numPr>
        <w:spacing w:line="50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本项目只允许投标人提供一个投标方案，否则，其投标将被拒绝。</w:t>
      </w:r>
    </w:p>
    <w:p w14:paraId="54904D69">
      <w:pPr>
        <w:keepNext/>
        <w:keepLines/>
        <w:numPr>
          <w:ilvl w:val="0"/>
          <w:numId w:val="2"/>
        </w:numPr>
        <w:tabs>
          <w:tab w:val="left" w:pos="900"/>
        </w:tabs>
        <w:spacing w:line="500" w:lineRule="exact"/>
        <w:ind w:left="924" w:hanging="924"/>
        <w:outlineLvl w:val="0"/>
        <w:rPr>
          <w:rFonts w:hint="eastAsia" w:ascii="仿宋_GB2312" w:hAnsi="仿宋_GB2312" w:eastAsia="仿宋_GB2312" w:cs="仿宋_GB2312"/>
          <w:b/>
          <w:bCs/>
          <w:color w:val="auto"/>
          <w:kern w:val="44"/>
          <w:sz w:val="32"/>
          <w:szCs w:val="32"/>
        </w:rPr>
      </w:pPr>
      <w:bookmarkStart w:id="99" w:name="_Toc11544"/>
      <w:bookmarkStart w:id="100" w:name="_Toc55778691"/>
      <w:r>
        <w:rPr>
          <w:rFonts w:hint="eastAsia" w:ascii="仿宋_GB2312" w:hAnsi="仿宋_GB2312" w:eastAsia="仿宋_GB2312" w:cs="仿宋_GB2312"/>
          <w:b/>
          <w:bCs/>
          <w:color w:val="auto"/>
          <w:kern w:val="44"/>
          <w:sz w:val="32"/>
          <w:szCs w:val="32"/>
        </w:rPr>
        <w:t xml:space="preserve">    </w:t>
      </w:r>
      <w:bookmarkStart w:id="101" w:name="_Toc15231"/>
      <w:bookmarkStart w:id="102" w:name="_Toc22522"/>
      <w:bookmarkStart w:id="103" w:name="_Toc22427"/>
      <w:bookmarkStart w:id="104" w:name="_Toc3854"/>
      <w:r>
        <w:rPr>
          <w:rFonts w:hint="eastAsia" w:ascii="仿宋_GB2312" w:hAnsi="仿宋_GB2312" w:eastAsia="仿宋_GB2312" w:cs="仿宋_GB2312"/>
          <w:b/>
          <w:bCs/>
          <w:color w:val="auto"/>
          <w:kern w:val="44"/>
          <w:sz w:val="32"/>
          <w:szCs w:val="32"/>
        </w:rPr>
        <w:t>投标报价</w:t>
      </w:r>
      <w:bookmarkEnd w:id="99"/>
      <w:bookmarkEnd w:id="100"/>
      <w:bookmarkEnd w:id="101"/>
      <w:bookmarkEnd w:id="102"/>
      <w:bookmarkEnd w:id="103"/>
      <w:bookmarkEnd w:id="104"/>
    </w:p>
    <w:p w14:paraId="30902379">
      <w:pPr>
        <w:numPr>
          <w:ilvl w:val="1"/>
          <w:numId w:val="13"/>
        </w:numPr>
        <w:spacing w:line="50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投标人的投标报价应符合《中华人民共和国价格法》的有关规定。</w:t>
      </w:r>
    </w:p>
    <w:p w14:paraId="69A08E0C">
      <w:pPr>
        <w:numPr>
          <w:ilvl w:val="1"/>
          <w:numId w:val="13"/>
        </w:numPr>
        <w:spacing w:line="500" w:lineRule="exact"/>
        <w:rPr>
          <w:rFonts w:hint="eastAsia" w:ascii="仿宋_GB2312" w:hAnsi="仿宋_GB2312" w:eastAsia="仿宋_GB2312" w:cs="仿宋_GB2312"/>
          <w:color w:val="auto"/>
          <w:sz w:val="32"/>
          <w:szCs w:val="32"/>
        </w:rPr>
      </w:pPr>
      <w:bookmarkStart w:id="105" w:name="_Ref179619251"/>
      <w:r>
        <w:rPr>
          <w:rFonts w:hint="eastAsia" w:ascii="仿宋_GB2312" w:hAnsi="仿宋_GB2312" w:eastAsia="仿宋_GB2312" w:cs="仿宋_GB2312"/>
          <w:color w:val="auto"/>
          <w:sz w:val="32"/>
          <w:szCs w:val="32"/>
        </w:rPr>
        <w:t>投标人应按照“采购内容”中要求规定的内容、责任范围进行报价。投标价格应包括投标人为完成本合同所约定的《招标及合同文件》规定的全部责任和义务所发生的各种开支。并认为此项费用已包含在投标报价中并按《报价一览表》（如适用）的要求报出总价和分项价格。投标总价中不得包含招标文件要求以外的内容，否则，在评标时不予核减。投标总价中也不得缺漏招标文件所要求的内容，否则，被视为包含在投标报价中。</w:t>
      </w:r>
    </w:p>
    <w:p w14:paraId="30FC2701">
      <w:pPr>
        <w:numPr>
          <w:ilvl w:val="1"/>
          <w:numId w:val="13"/>
        </w:numPr>
        <w:spacing w:line="50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投标明细报价表内容应包含：</w:t>
      </w:r>
    </w:p>
    <w:p w14:paraId="7542F164">
      <w:pPr>
        <w:numPr>
          <w:ilvl w:val="2"/>
          <w:numId w:val="13"/>
        </w:numPr>
        <w:spacing w:line="50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按招标文件的要求全部货物内容所需的所有费用；</w:t>
      </w:r>
    </w:p>
    <w:p w14:paraId="6266B321">
      <w:pPr>
        <w:numPr>
          <w:ilvl w:val="2"/>
          <w:numId w:val="13"/>
        </w:numPr>
        <w:spacing w:line="50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对于报价免费的内容须标明“免费”；</w:t>
      </w:r>
    </w:p>
    <w:p w14:paraId="2F85E43B">
      <w:pPr>
        <w:numPr>
          <w:ilvl w:val="2"/>
          <w:numId w:val="13"/>
        </w:numPr>
        <w:spacing w:line="50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投标报价均应包含所有的税费；</w:t>
      </w:r>
    </w:p>
    <w:p w14:paraId="660615E2">
      <w:pPr>
        <w:numPr>
          <w:ilvl w:val="2"/>
          <w:numId w:val="13"/>
        </w:numPr>
        <w:spacing w:line="50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其他一切隐含及不可预见的费用。</w:t>
      </w:r>
    </w:p>
    <w:p w14:paraId="681137C6">
      <w:pPr>
        <w:numPr>
          <w:ilvl w:val="1"/>
          <w:numId w:val="13"/>
        </w:numPr>
        <w:spacing w:line="50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除</w:t>
      </w:r>
      <w:r>
        <w:rPr>
          <w:rFonts w:hint="eastAsia" w:ascii="仿宋_GB2312" w:hAnsi="仿宋_GB2312" w:eastAsia="仿宋_GB2312" w:cs="仿宋_GB2312"/>
          <w:b/>
          <w:bCs/>
          <w:color w:val="auto"/>
          <w:sz w:val="32"/>
          <w:szCs w:val="32"/>
        </w:rPr>
        <w:t>招标文件</w:t>
      </w:r>
      <w:r>
        <w:rPr>
          <w:rFonts w:hint="eastAsia" w:ascii="仿宋_GB2312" w:hAnsi="仿宋_GB2312" w:eastAsia="仿宋_GB2312" w:cs="仿宋_GB2312"/>
          <w:color w:val="auto"/>
          <w:sz w:val="32"/>
          <w:szCs w:val="32"/>
        </w:rPr>
        <w:t>另有规定，投标人所报的投标价在合同执行过程中是固定不变的，不得以任何理由予以变更。任何包含价格调整要求的投标被认为是非实质性响应投标而予以拒绝。</w:t>
      </w:r>
    </w:p>
    <w:p w14:paraId="5323D9B9">
      <w:pPr>
        <w:numPr>
          <w:ilvl w:val="1"/>
          <w:numId w:val="13"/>
        </w:numPr>
        <w:spacing w:line="50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投标文件中的总价金额与单价计算出的结果不一致的，以单价金额为准修正总价，但单价金额小数点有明显错误的除外。</w:t>
      </w:r>
    </w:p>
    <w:bookmarkEnd w:id="105"/>
    <w:p w14:paraId="1D9CB35A">
      <w:pPr>
        <w:numPr>
          <w:ilvl w:val="1"/>
          <w:numId w:val="13"/>
        </w:numPr>
        <w:spacing w:line="500" w:lineRule="exact"/>
        <w:rPr>
          <w:rFonts w:hint="eastAsia" w:ascii="仿宋_GB2312" w:hAnsi="仿宋_GB2312" w:eastAsia="仿宋_GB2312" w:cs="仿宋_GB2312"/>
          <w:color w:val="auto"/>
          <w:sz w:val="32"/>
          <w:szCs w:val="32"/>
        </w:rPr>
      </w:pPr>
      <w:bookmarkStart w:id="106" w:name="_Ref179620595"/>
      <w:r>
        <w:rPr>
          <w:rFonts w:hint="eastAsia" w:ascii="仿宋_GB2312" w:hAnsi="仿宋_GB2312" w:eastAsia="仿宋_GB2312" w:cs="仿宋_GB2312"/>
          <w:color w:val="auto"/>
          <w:sz w:val="32"/>
          <w:szCs w:val="32"/>
        </w:rPr>
        <w:t>除</w:t>
      </w:r>
      <w:r>
        <w:rPr>
          <w:rFonts w:hint="eastAsia" w:ascii="仿宋_GB2312" w:hAnsi="仿宋_GB2312" w:eastAsia="仿宋_GB2312" w:cs="仿宋_GB2312"/>
          <w:b/>
          <w:bCs/>
          <w:color w:val="auto"/>
          <w:sz w:val="32"/>
          <w:szCs w:val="32"/>
        </w:rPr>
        <w:t>招标文件</w:t>
      </w:r>
      <w:r>
        <w:rPr>
          <w:rFonts w:hint="eastAsia" w:ascii="仿宋_GB2312" w:hAnsi="仿宋_GB2312" w:eastAsia="仿宋_GB2312" w:cs="仿宋_GB2312"/>
          <w:color w:val="auto"/>
          <w:sz w:val="32"/>
          <w:szCs w:val="32"/>
        </w:rPr>
        <w:t>允许有备选方案外，本次招标不接受选择性报价，否则将被视为无效投标。</w:t>
      </w:r>
      <w:bookmarkEnd w:id="106"/>
    </w:p>
    <w:p w14:paraId="71C9C538">
      <w:pPr>
        <w:numPr>
          <w:ilvl w:val="1"/>
          <w:numId w:val="13"/>
        </w:numPr>
        <w:spacing w:line="50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除</w:t>
      </w:r>
      <w:r>
        <w:rPr>
          <w:rFonts w:hint="eastAsia" w:ascii="仿宋_GB2312" w:hAnsi="仿宋_GB2312" w:eastAsia="仿宋_GB2312" w:cs="仿宋_GB2312"/>
          <w:b/>
          <w:bCs/>
          <w:color w:val="auto"/>
          <w:sz w:val="32"/>
          <w:szCs w:val="32"/>
        </w:rPr>
        <w:t>招标文件</w:t>
      </w:r>
      <w:r>
        <w:rPr>
          <w:rFonts w:hint="eastAsia" w:ascii="仿宋_GB2312" w:hAnsi="仿宋_GB2312" w:eastAsia="仿宋_GB2312" w:cs="仿宋_GB2312"/>
          <w:color w:val="auto"/>
          <w:sz w:val="32"/>
          <w:szCs w:val="32"/>
        </w:rPr>
        <w:t xml:space="preserve">另有规定外，本次招标不接受具有附加条件的报价，否则将被视为无效投标。 </w:t>
      </w:r>
    </w:p>
    <w:p w14:paraId="737EC53E">
      <w:pPr>
        <w:numPr>
          <w:ilvl w:val="1"/>
          <w:numId w:val="13"/>
        </w:numPr>
        <w:spacing w:line="50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投标人应以人民币为单位进行报价。</w:t>
      </w:r>
    </w:p>
    <w:p w14:paraId="2AFF587B">
      <w:pPr>
        <w:keepNext/>
        <w:keepLines/>
        <w:numPr>
          <w:ilvl w:val="0"/>
          <w:numId w:val="2"/>
        </w:numPr>
        <w:tabs>
          <w:tab w:val="left" w:pos="900"/>
        </w:tabs>
        <w:spacing w:line="500" w:lineRule="exact"/>
        <w:ind w:left="924" w:hanging="924"/>
        <w:outlineLvl w:val="0"/>
        <w:rPr>
          <w:rFonts w:hint="eastAsia" w:ascii="仿宋_GB2312" w:hAnsi="仿宋_GB2312" w:eastAsia="仿宋_GB2312" w:cs="仿宋_GB2312"/>
          <w:b/>
          <w:bCs/>
          <w:color w:val="auto"/>
          <w:kern w:val="44"/>
          <w:sz w:val="32"/>
          <w:szCs w:val="32"/>
        </w:rPr>
      </w:pPr>
      <w:bookmarkStart w:id="107" w:name="_Toc24908"/>
      <w:bookmarkStart w:id="108" w:name="_Toc55778694"/>
      <w:r>
        <w:rPr>
          <w:rFonts w:hint="eastAsia" w:ascii="仿宋_GB2312" w:hAnsi="仿宋_GB2312" w:eastAsia="仿宋_GB2312" w:cs="仿宋_GB2312"/>
          <w:b/>
          <w:bCs/>
          <w:color w:val="auto"/>
          <w:kern w:val="44"/>
          <w:sz w:val="32"/>
          <w:szCs w:val="32"/>
        </w:rPr>
        <w:t xml:space="preserve">    </w:t>
      </w:r>
      <w:bookmarkStart w:id="109" w:name="_Toc10724"/>
      <w:bookmarkStart w:id="110" w:name="_Toc14790"/>
      <w:bookmarkStart w:id="111" w:name="_Toc15306"/>
      <w:bookmarkStart w:id="112" w:name="_Toc22983"/>
      <w:r>
        <w:rPr>
          <w:rFonts w:hint="eastAsia" w:ascii="仿宋_GB2312" w:hAnsi="仿宋_GB2312" w:eastAsia="仿宋_GB2312" w:cs="仿宋_GB2312"/>
          <w:b/>
          <w:bCs/>
          <w:color w:val="auto"/>
          <w:kern w:val="44"/>
          <w:sz w:val="32"/>
          <w:szCs w:val="32"/>
        </w:rPr>
        <w:t>投标保证金</w:t>
      </w:r>
      <w:bookmarkEnd w:id="107"/>
      <w:bookmarkEnd w:id="108"/>
      <w:bookmarkEnd w:id="109"/>
      <w:bookmarkEnd w:id="110"/>
      <w:bookmarkEnd w:id="111"/>
      <w:bookmarkEnd w:id="112"/>
    </w:p>
    <w:p w14:paraId="50BC26ED">
      <w:pPr>
        <w:numPr>
          <w:ilvl w:val="1"/>
          <w:numId w:val="14"/>
        </w:numPr>
        <w:spacing w:line="500" w:lineRule="exact"/>
        <w:rPr>
          <w:rFonts w:hint="eastAsia" w:ascii="仿宋_GB2312" w:hAnsi="仿宋_GB2312" w:eastAsia="仿宋_GB2312" w:cs="仿宋_GB2312"/>
          <w:color w:val="auto"/>
          <w:sz w:val="32"/>
          <w:szCs w:val="32"/>
        </w:rPr>
      </w:pPr>
      <w:bookmarkStart w:id="113" w:name="_Ref179619405"/>
      <w:r>
        <w:rPr>
          <w:rFonts w:hint="eastAsia" w:ascii="仿宋_GB2312" w:hAnsi="仿宋_GB2312" w:eastAsia="仿宋_GB2312" w:cs="仿宋_GB2312"/>
          <w:color w:val="auto"/>
          <w:sz w:val="32"/>
          <w:szCs w:val="32"/>
        </w:rPr>
        <w:t>投标人必须按招标文件的规定缴纳投标保证金，并作为其投标文件的组成部分。</w:t>
      </w:r>
      <w:bookmarkEnd w:id="113"/>
    </w:p>
    <w:p w14:paraId="482604C3">
      <w:pPr>
        <w:numPr>
          <w:ilvl w:val="1"/>
          <w:numId w:val="14"/>
        </w:numPr>
        <w:spacing w:line="50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投标保证金是为了保护采购代理机构和采购人免遭因投标人的行为而蒙受损失。采购代理机构和采购人在因投标人的行为受到损害时可根据本须知的规定没收投标人的投标保证金。</w:t>
      </w:r>
    </w:p>
    <w:p w14:paraId="1DCDDD69">
      <w:pPr>
        <w:numPr>
          <w:ilvl w:val="1"/>
          <w:numId w:val="14"/>
        </w:numPr>
        <w:spacing w:line="50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投标保证金必须以投标人名义汇出，采用银行转账形式提交，同时满足下列规定：</w:t>
      </w:r>
    </w:p>
    <w:p w14:paraId="1E709C4E">
      <w:pPr>
        <w:spacing w:line="500" w:lineRule="exact"/>
        <w:ind w:left="840" w:leftChars="4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为保证本采购工作的顺利进行，各投标人应向采购人缴纳不少于</w:t>
      </w:r>
      <w:r>
        <w:rPr>
          <w:rFonts w:hint="eastAsia" w:ascii="仿宋_GB2312" w:hAnsi="仿宋_GB2312" w:eastAsia="仿宋_GB2312" w:cs="仿宋_GB2312"/>
          <w:b/>
          <w:bCs/>
          <w:color w:val="auto"/>
          <w:sz w:val="32"/>
          <w:szCs w:val="32"/>
        </w:rPr>
        <w:t>第二章《投标须知前附表》</w:t>
      </w:r>
      <w:r>
        <w:rPr>
          <w:rFonts w:hint="eastAsia" w:ascii="仿宋_GB2312" w:hAnsi="仿宋_GB2312" w:eastAsia="仿宋_GB2312" w:cs="仿宋_GB2312"/>
          <w:b/>
          <w:color w:val="auto"/>
          <w:sz w:val="32"/>
          <w:szCs w:val="32"/>
        </w:rPr>
        <w:t>规定数额的保证金，保证金金额及缴纳方式详见</w:t>
      </w:r>
      <w:r>
        <w:rPr>
          <w:rFonts w:hint="eastAsia" w:ascii="仿宋_GB2312" w:hAnsi="仿宋_GB2312" w:eastAsia="仿宋_GB2312" w:cs="仿宋_GB2312"/>
          <w:b/>
          <w:bCs/>
          <w:color w:val="auto"/>
          <w:sz w:val="32"/>
          <w:szCs w:val="32"/>
        </w:rPr>
        <w:t>第二章《投标须知前附表》</w:t>
      </w:r>
      <w:r>
        <w:rPr>
          <w:rFonts w:hint="eastAsia" w:ascii="仿宋_GB2312" w:hAnsi="仿宋_GB2312" w:eastAsia="仿宋_GB2312" w:cs="仿宋_GB2312"/>
          <w:b/>
          <w:color w:val="auto"/>
          <w:sz w:val="32"/>
          <w:szCs w:val="32"/>
        </w:rPr>
        <w:t>序号13（缴纳投标保证金）</w:t>
      </w:r>
    </w:p>
    <w:p w14:paraId="68AB9C4C">
      <w:pPr>
        <w:numPr>
          <w:ilvl w:val="1"/>
          <w:numId w:val="14"/>
        </w:numPr>
        <w:spacing w:line="50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凡没有按照招标文件要求提交有效的投标保证金的投标，将视为非响应性投标予以拒绝。</w:t>
      </w:r>
    </w:p>
    <w:p w14:paraId="2E02791C">
      <w:pPr>
        <w:numPr>
          <w:ilvl w:val="1"/>
          <w:numId w:val="14"/>
        </w:numPr>
        <w:spacing w:line="50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凡投标人在投标截止时间前撤回已提交的投标文件的，自收到投标人书面撤回通知之日起5个工作日内，退还已收取的投标保证金，但因投标人自身原因导致无法及时退还的除外。</w:t>
      </w:r>
    </w:p>
    <w:p w14:paraId="0025908A">
      <w:pPr>
        <w:numPr>
          <w:ilvl w:val="1"/>
          <w:numId w:val="14"/>
        </w:numPr>
        <w:spacing w:line="50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自成交通知书发出之日起5个工作日内退还未中标人的投标保证金，但因投标人自身原因导致无法及时退还的除外。</w:t>
      </w:r>
    </w:p>
    <w:p w14:paraId="7D339DA1">
      <w:pPr>
        <w:numPr>
          <w:ilvl w:val="1"/>
          <w:numId w:val="14"/>
        </w:numPr>
        <w:spacing w:line="50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中标人的投标保证金的退还必须同时满足以下要求（但因中标人自身原因导致无法及时退还的除外）：</w:t>
      </w:r>
    </w:p>
    <w:p w14:paraId="758DEB69">
      <w:pPr>
        <w:numPr>
          <w:ilvl w:val="2"/>
          <w:numId w:val="14"/>
        </w:numPr>
        <w:spacing w:line="50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中标人按</w:t>
      </w:r>
      <w:bookmarkStart w:id="114" w:name="_Hlt507937599"/>
      <w:bookmarkEnd w:id="114"/>
      <w:r>
        <w:rPr>
          <w:rFonts w:hint="eastAsia" w:ascii="仿宋_GB2312" w:hAnsi="仿宋_GB2312" w:eastAsia="仿宋_GB2312" w:cs="仿宋_GB2312"/>
          <w:color w:val="auto"/>
          <w:sz w:val="32"/>
          <w:szCs w:val="32"/>
        </w:rPr>
        <w:t>《投标人须知前附表》规定签订合同的，自合同上传自</w:t>
      </w:r>
      <w:r>
        <w:rPr>
          <w:rFonts w:hint="eastAsia" w:ascii="仿宋_GB2312" w:hAnsi="仿宋_GB2312" w:eastAsia="仿宋_GB2312" w:cs="仿宋_GB2312"/>
          <w:b/>
          <w:color w:val="auto"/>
          <w:sz w:val="32"/>
          <w:szCs w:val="32"/>
          <w:u w:val="single"/>
        </w:rPr>
        <w:t>新疆政府采购网http://www.ccgp-xinjiang.gov.cn</w:t>
      </w:r>
      <w:r>
        <w:rPr>
          <w:rFonts w:hint="eastAsia" w:ascii="仿宋_GB2312" w:hAnsi="仿宋_GB2312" w:eastAsia="仿宋_GB2312" w:cs="仿宋_GB2312"/>
          <w:color w:val="auto"/>
          <w:sz w:val="32"/>
          <w:szCs w:val="32"/>
        </w:rPr>
        <w:t>起5个工作日内退还</w:t>
      </w:r>
    </w:p>
    <w:p w14:paraId="01800D2C">
      <w:pPr>
        <w:numPr>
          <w:ilvl w:val="1"/>
          <w:numId w:val="14"/>
        </w:numPr>
        <w:spacing w:line="500" w:lineRule="exact"/>
        <w:rPr>
          <w:rFonts w:hint="eastAsia" w:ascii="仿宋_GB2312" w:hAnsi="仿宋_GB2312" w:eastAsia="仿宋_GB2312" w:cs="仿宋_GB2312"/>
          <w:color w:val="auto"/>
          <w:sz w:val="32"/>
          <w:szCs w:val="32"/>
        </w:rPr>
      </w:pPr>
      <w:bookmarkStart w:id="115" w:name="_Ref179619371"/>
      <w:r>
        <w:rPr>
          <w:rFonts w:hint="eastAsia" w:ascii="仿宋_GB2312" w:hAnsi="仿宋_GB2312" w:eastAsia="仿宋_GB2312" w:cs="仿宋_GB2312"/>
          <w:color w:val="auto"/>
          <w:sz w:val="32"/>
          <w:szCs w:val="32"/>
        </w:rPr>
        <w:t>下列任何情况发生时，投标保证金将被没收：</w:t>
      </w:r>
      <w:bookmarkEnd w:id="115"/>
    </w:p>
    <w:p w14:paraId="70DEB698">
      <w:pPr>
        <w:numPr>
          <w:ilvl w:val="2"/>
          <w:numId w:val="14"/>
        </w:numPr>
        <w:spacing w:line="50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投标人在招标文件中规定的投标有效期内撤销其投标文件；</w:t>
      </w:r>
    </w:p>
    <w:p w14:paraId="1A87FA8F">
      <w:pPr>
        <w:numPr>
          <w:ilvl w:val="2"/>
          <w:numId w:val="14"/>
        </w:numPr>
        <w:spacing w:line="50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中标后无正当理由放弃中标或中标人拒绝与采购人签订合同；</w:t>
      </w:r>
    </w:p>
    <w:p w14:paraId="2970C553">
      <w:pPr>
        <w:numPr>
          <w:ilvl w:val="2"/>
          <w:numId w:val="14"/>
        </w:numPr>
        <w:spacing w:line="50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中标人在规定期限内未能根据本须知规定签订合同；</w:t>
      </w:r>
    </w:p>
    <w:p w14:paraId="637FC0EB">
      <w:pPr>
        <w:numPr>
          <w:ilvl w:val="2"/>
          <w:numId w:val="14"/>
        </w:numPr>
        <w:spacing w:line="50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依法取消中标资格；</w:t>
      </w:r>
    </w:p>
    <w:p w14:paraId="7AD165BA">
      <w:pPr>
        <w:numPr>
          <w:ilvl w:val="2"/>
          <w:numId w:val="14"/>
        </w:numPr>
        <w:spacing w:line="50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法律法规规定的其它情况；</w:t>
      </w:r>
    </w:p>
    <w:p w14:paraId="391FDE37">
      <w:pPr>
        <w:keepNext/>
        <w:keepLines/>
        <w:numPr>
          <w:ilvl w:val="0"/>
          <w:numId w:val="2"/>
        </w:numPr>
        <w:tabs>
          <w:tab w:val="left" w:pos="900"/>
        </w:tabs>
        <w:spacing w:line="500" w:lineRule="exact"/>
        <w:ind w:left="924" w:hanging="924"/>
        <w:outlineLvl w:val="0"/>
        <w:rPr>
          <w:rFonts w:hint="eastAsia" w:ascii="仿宋_GB2312" w:hAnsi="仿宋_GB2312" w:eastAsia="仿宋_GB2312" w:cs="仿宋_GB2312"/>
          <w:b/>
          <w:bCs/>
          <w:color w:val="auto"/>
          <w:kern w:val="44"/>
          <w:sz w:val="32"/>
          <w:szCs w:val="32"/>
        </w:rPr>
      </w:pPr>
      <w:bookmarkStart w:id="116" w:name="_Toc55778695"/>
      <w:bookmarkStart w:id="117" w:name="_Toc10359"/>
      <w:r>
        <w:rPr>
          <w:rFonts w:hint="eastAsia" w:ascii="仿宋_GB2312" w:hAnsi="仿宋_GB2312" w:eastAsia="仿宋_GB2312" w:cs="仿宋_GB2312"/>
          <w:b/>
          <w:bCs/>
          <w:color w:val="auto"/>
          <w:kern w:val="44"/>
          <w:sz w:val="32"/>
          <w:szCs w:val="32"/>
        </w:rPr>
        <w:t xml:space="preserve">    </w:t>
      </w:r>
      <w:bookmarkStart w:id="118" w:name="_Toc32410"/>
      <w:bookmarkStart w:id="119" w:name="_Toc1720"/>
      <w:bookmarkStart w:id="120" w:name="_Toc2453"/>
      <w:bookmarkStart w:id="121" w:name="_Toc30142"/>
      <w:r>
        <w:rPr>
          <w:rFonts w:hint="eastAsia" w:ascii="仿宋_GB2312" w:hAnsi="仿宋_GB2312" w:eastAsia="仿宋_GB2312" w:cs="仿宋_GB2312"/>
          <w:b/>
          <w:bCs/>
          <w:color w:val="auto"/>
          <w:kern w:val="44"/>
          <w:sz w:val="32"/>
          <w:szCs w:val="32"/>
        </w:rPr>
        <w:t>投标有效期</w:t>
      </w:r>
      <w:bookmarkEnd w:id="116"/>
      <w:bookmarkEnd w:id="117"/>
      <w:bookmarkEnd w:id="118"/>
      <w:bookmarkEnd w:id="119"/>
      <w:bookmarkEnd w:id="120"/>
      <w:bookmarkEnd w:id="121"/>
    </w:p>
    <w:p w14:paraId="29F9D80E">
      <w:pPr>
        <w:numPr>
          <w:ilvl w:val="1"/>
          <w:numId w:val="15"/>
        </w:numPr>
        <w:spacing w:line="500" w:lineRule="exact"/>
        <w:rPr>
          <w:rFonts w:hint="eastAsia" w:ascii="仿宋_GB2312" w:hAnsi="仿宋_GB2312" w:eastAsia="仿宋_GB2312" w:cs="仿宋_GB2312"/>
          <w:color w:val="auto"/>
          <w:sz w:val="32"/>
          <w:szCs w:val="32"/>
        </w:rPr>
      </w:pPr>
      <w:bookmarkStart w:id="122" w:name="_Ref179620893"/>
      <w:r>
        <w:rPr>
          <w:rFonts w:hint="eastAsia" w:ascii="仿宋_GB2312" w:hAnsi="仿宋_GB2312" w:eastAsia="仿宋_GB2312" w:cs="仿宋_GB2312"/>
          <w:b/>
          <w:bCs/>
          <w:color w:val="auto"/>
          <w:sz w:val="32"/>
          <w:szCs w:val="32"/>
        </w:rPr>
        <w:t>投标文件应在投标截止日后90日历天内保持有效。</w:t>
      </w:r>
    </w:p>
    <w:p w14:paraId="575B041A">
      <w:pPr>
        <w:numPr>
          <w:ilvl w:val="1"/>
          <w:numId w:val="15"/>
        </w:numPr>
        <w:spacing w:line="50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中标人投标有效期则顺延至项目完成验收之日，在此有效期内未经采购人同意，投标文件的一切内容和补充承诺均为持续有效且不予改变。</w:t>
      </w:r>
      <w:bookmarkEnd w:id="122"/>
    </w:p>
    <w:p w14:paraId="15C0C9E4">
      <w:pPr>
        <w:numPr>
          <w:ilvl w:val="1"/>
          <w:numId w:val="15"/>
        </w:numPr>
        <w:spacing w:line="50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投标有效期从提交投标文件的截止之日起算</w:t>
      </w:r>
      <w:r>
        <w:rPr>
          <w:rFonts w:hint="eastAsia" w:ascii="仿宋_GB2312" w:hAnsi="仿宋_GB2312" w:eastAsia="仿宋_GB2312" w:cs="仿宋_GB2312"/>
          <w:color w:val="auto"/>
          <w:sz w:val="32"/>
          <w:szCs w:val="32"/>
        </w:rPr>
        <w:t>。投标文件中承诺的投标有效期应当不少于招标文件中载明的投标有效期。投标有效期不足的投标将被视为非实质性响应，视为无效投标。</w:t>
      </w:r>
    </w:p>
    <w:p w14:paraId="1BA514A6">
      <w:pPr>
        <w:numPr>
          <w:ilvl w:val="1"/>
          <w:numId w:val="15"/>
        </w:numPr>
        <w:spacing w:line="50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特殊情况下，在原投标有效期截止之前，采购代理机构可要求投标人延长投标有效期。这种要求与答复均应以书面形式提交。投标人可拒绝采购代理机构的这种要求，其投标保证金将予以退还，但其投标在原投标有效期期满后将不再有效。同意延长投标有效期的投标人将不会被要求和允许修正其投标，而只会被要求相应地延长其投标保证金的有效期。在这种情况下，本须知有关投标保证金的退还和没收的规定将在延长了的有效期内继续有效。</w:t>
      </w:r>
    </w:p>
    <w:p w14:paraId="37E1E022">
      <w:pPr>
        <w:keepNext/>
        <w:keepLines/>
        <w:numPr>
          <w:ilvl w:val="0"/>
          <w:numId w:val="2"/>
        </w:numPr>
        <w:tabs>
          <w:tab w:val="left" w:pos="900"/>
        </w:tabs>
        <w:spacing w:line="500" w:lineRule="exact"/>
        <w:ind w:left="924" w:hanging="924"/>
        <w:outlineLvl w:val="0"/>
        <w:rPr>
          <w:rFonts w:hint="eastAsia" w:ascii="仿宋_GB2312" w:hAnsi="仿宋_GB2312" w:eastAsia="仿宋_GB2312" w:cs="仿宋_GB2312"/>
          <w:b/>
          <w:bCs/>
          <w:color w:val="auto"/>
          <w:kern w:val="44"/>
          <w:sz w:val="32"/>
          <w:szCs w:val="32"/>
        </w:rPr>
      </w:pPr>
      <w:bookmarkStart w:id="123" w:name="_Toc55778696"/>
      <w:r>
        <w:rPr>
          <w:rFonts w:hint="eastAsia" w:ascii="仿宋_GB2312" w:hAnsi="仿宋_GB2312" w:eastAsia="仿宋_GB2312" w:cs="仿宋_GB2312"/>
          <w:b/>
          <w:bCs/>
          <w:color w:val="auto"/>
          <w:kern w:val="44"/>
          <w:sz w:val="32"/>
          <w:szCs w:val="32"/>
        </w:rPr>
        <w:t xml:space="preserve">    </w:t>
      </w:r>
      <w:bookmarkStart w:id="124" w:name="_Toc32144"/>
      <w:bookmarkStart w:id="125" w:name="_Toc30820"/>
      <w:bookmarkStart w:id="126" w:name="_Toc8626"/>
      <w:bookmarkStart w:id="127" w:name="_Toc11497"/>
      <w:r>
        <w:rPr>
          <w:rFonts w:hint="eastAsia" w:ascii="仿宋_GB2312" w:hAnsi="仿宋_GB2312" w:eastAsia="仿宋_GB2312" w:cs="仿宋_GB2312"/>
          <w:b/>
          <w:bCs/>
          <w:color w:val="auto"/>
          <w:kern w:val="44"/>
          <w:sz w:val="32"/>
          <w:szCs w:val="32"/>
        </w:rPr>
        <w:t>投标文件的式样和签署、密封</w:t>
      </w:r>
      <w:bookmarkEnd w:id="123"/>
      <w:bookmarkEnd w:id="124"/>
      <w:bookmarkEnd w:id="125"/>
      <w:bookmarkEnd w:id="126"/>
      <w:bookmarkEnd w:id="127"/>
    </w:p>
    <w:p w14:paraId="6D1EDD98">
      <w:pPr>
        <w:numPr>
          <w:ilvl w:val="1"/>
          <w:numId w:val="16"/>
        </w:numPr>
        <w:spacing w:line="50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投标人应根据投标人须知前附表规定提交投标文件</w:t>
      </w:r>
    </w:p>
    <w:p w14:paraId="4A1A6D3B">
      <w:pPr>
        <w:numPr>
          <w:ilvl w:val="1"/>
          <w:numId w:val="16"/>
        </w:numPr>
        <w:spacing w:line="50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投标人应根据投标人须知前附表规定提交投标文件。</w:t>
      </w:r>
      <w:r>
        <w:rPr>
          <w:rFonts w:hint="eastAsia" w:ascii="仿宋_GB2312" w:hAnsi="仿宋_GB2312" w:eastAsia="仿宋_GB2312" w:cs="仿宋_GB2312"/>
          <w:color w:val="auto"/>
          <w:kern w:val="0"/>
          <w:sz w:val="32"/>
          <w:szCs w:val="32"/>
        </w:rPr>
        <w:t>为了保证电子标书的合法性、安全性和完整性，电子投标文件应在规定区域加盖单位和法定代表人CA印章。电子投标文件若无 CA电子签章，则视为无效文件。</w:t>
      </w:r>
    </w:p>
    <w:p w14:paraId="0AF64750">
      <w:pPr>
        <w:numPr>
          <w:ilvl w:val="1"/>
          <w:numId w:val="16"/>
        </w:numPr>
        <w:spacing w:line="50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电子投标文件的内容通过数字证书进行加密并签章。未按要求加密和数字证书认证的投标文件，电子评标系统将无法接受,采购单位不予受理。</w:t>
      </w:r>
    </w:p>
    <w:p w14:paraId="580297FB">
      <w:pPr>
        <w:pStyle w:val="3"/>
        <w:spacing w:before="60" w:after="60" w:line="700" w:lineRule="exact"/>
        <w:ind w:left="420" w:hanging="420"/>
        <w:jc w:val="center"/>
        <w:rPr>
          <w:rFonts w:hint="eastAsia" w:ascii="Times New Roman" w:hAnsi="Times New Roman"/>
          <w:b w:val="0"/>
          <w:bCs w:val="0"/>
          <w:color w:val="auto"/>
          <w:lang w:val="zh-CN"/>
        </w:rPr>
      </w:pPr>
      <w:bookmarkStart w:id="128" w:name="_Toc22727"/>
      <w:r>
        <w:rPr>
          <w:rFonts w:hint="eastAsia" w:ascii="Times New Roman" w:hAnsi="Times New Roman"/>
          <w:b w:val="0"/>
          <w:bCs w:val="0"/>
          <w:color w:val="auto"/>
          <w:lang w:val="zh-CN"/>
        </w:rPr>
        <w:t>四、投标文件的递交</w:t>
      </w:r>
      <w:bookmarkEnd w:id="128"/>
    </w:p>
    <w:p w14:paraId="4E1083FA">
      <w:pPr>
        <w:keepNext/>
        <w:keepLines/>
        <w:numPr>
          <w:ilvl w:val="0"/>
          <w:numId w:val="2"/>
        </w:numPr>
        <w:tabs>
          <w:tab w:val="left" w:pos="900"/>
        </w:tabs>
        <w:spacing w:line="500" w:lineRule="exact"/>
        <w:ind w:left="924" w:hanging="924"/>
        <w:outlineLvl w:val="0"/>
        <w:rPr>
          <w:rFonts w:hint="eastAsia" w:ascii="仿宋_GB2312" w:hAnsi="仿宋_GB2312" w:eastAsia="仿宋_GB2312" w:cs="仿宋_GB2312"/>
          <w:b/>
          <w:color w:val="auto"/>
          <w:kern w:val="44"/>
          <w:sz w:val="32"/>
          <w:szCs w:val="32"/>
        </w:rPr>
      </w:pPr>
      <w:bookmarkStart w:id="129" w:name="_Toc55778697"/>
      <w:r>
        <w:rPr>
          <w:rFonts w:hint="eastAsia" w:ascii="仿宋_GB2312" w:hAnsi="仿宋_GB2312" w:eastAsia="仿宋_GB2312" w:cs="仿宋_GB2312"/>
          <w:b/>
          <w:color w:val="auto"/>
          <w:kern w:val="44"/>
          <w:sz w:val="32"/>
          <w:szCs w:val="32"/>
        </w:rPr>
        <w:t xml:space="preserve">    </w:t>
      </w:r>
      <w:bookmarkStart w:id="130" w:name="_Toc5633"/>
      <w:bookmarkStart w:id="131" w:name="_Toc2542"/>
      <w:bookmarkStart w:id="132" w:name="_Toc8124"/>
      <w:bookmarkStart w:id="133" w:name="_Toc24917"/>
      <w:r>
        <w:rPr>
          <w:rFonts w:hint="eastAsia" w:ascii="仿宋_GB2312" w:hAnsi="仿宋_GB2312" w:eastAsia="仿宋_GB2312" w:cs="仿宋_GB2312"/>
          <w:b/>
          <w:color w:val="auto"/>
          <w:kern w:val="44"/>
          <w:sz w:val="32"/>
          <w:szCs w:val="32"/>
        </w:rPr>
        <w:t>投标文件递交</w:t>
      </w:r>
      <w:bookmarkEnd w:id="129"/>
      <w:bookmarkEnd w:id="130"/>
      <w:bookmarkEnd w:id="131"/>
      <w:bookmarkEnd w:id="132"/>
      <w:bookmarkEnd w:id="133"/>
    </w:p>
    <w:p w14:paraId="3D8AFB0D">
      <w:pPr>
        <w:numPr>
          <w:ilvl w:val="1"/>
          <w:numId w:val="17"/>
        </w:numPr>
        <w:spacing w:line="50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本项目采用不见面开标、投标人需要递交电子响应文件，加密的电子响应文件，在投标截止时间前通过政采云平台上传到指定位置，无需递交纸质文件。</w:t>
      </w:r>
    </w:p>
    <w:p w14:paraId="580995F1">
      <w:pPr>
        <w:keepNext/>
        <w:keepLines/>
        <w:numPr>
          <w:ilvl w:val="0"/>
          <w:numId w:val="2"/>
        </w:numPr>
        <w:tabs>
          <w:tab w:val="left" w:pos="900"/>
        </w:tabs>
        <w:spacing w:line="500" w:lineRule="exact"/>
        <w:ind w:left="924" w:hanging="924"/>
        <w:outlineLvl w:val="0"/>
        <w:rPr>
          <w:rFonts w:hint="eastAsia" w:ascii="仿宋_GB2312" w:hAnsi="仿宋_GB2312" w:eastAsia="仿宋_GB2312" w:cs="仿宋_GB2312"/>
          <w:b/>
          <w:color w:val="auto"/>
          <w:kern w:val="44"/>
          <w:sz w:val="32"/>
          <w:szCs w:val="32"/>
        </w:rPr>
      </w:pPr>
      <w:bookmarkStart w:id="134" w:name="_Toc55778698"/>
      <w:bookmarkStart w:id="135" w:name="_Toc20929"/>
      <w:r>
        <w:rPr>
          <w:rFonts w:hint="eastAsia" w:ascii="仿宋_GB2312" w:hAnsi="仿宋_GB2312" w:eastAsia="仿宋_GB2312" w:cs="仿宋_GB2312"/>
          <w:b/>
          <w:color w:val="auto"/>
          <w:kern w:val="44"/>
          <w:sz w:val="32"/>
          <w:szCs w:val="32"/>
        </w:rPr>
        <w:t xml:space="preserve">    </w:t>
      </w:r>
      <w:bookmarkStart w:id="136" w:name="_Toc28446"/>
      <w:bookmarkStart w:id="137" w:name="_Toc12495"/>
      <w:bookmarkStart w:id="138" w:name="_Toc4909"/>
      <w:bookmarkStart w:id="139" w:name="_Toc20702"/>
      <w:r>
        <w:rPr>
          <w:rFonts w:hint="eastAsia" w:ascii="仿宋_GB2312" w:hAnsi="仿宋_GB2312" w:eastAsia="仿宋_GB2312" w:cs="仿宋_GB2312"/>
          <w:b/>
          <w:color w:val="auto"/>
          <w:kern w:val="44"/>
          <w:sz w:val="32"/>
          <w:szCs w:val="32"/>
        </w:rPr>
        <w:t>投标截止时间</w:t>
      </w:r>
      <w:bookmarkEnd w:id="134"/>
      <w:bookmarkEnd w:id="136"/>
      <w:bookmarkEnd w:id="137"/>
      <w:bookmarkEnd w:id="138"/>
      <w:bookmarkEnd w:id="139"/>
    </w:p>
    <w:p w14:paraId="2F20869D">
      <w:pPr>
        <w:keepNext/>
        <w:keepLines/>
        <w:numPr>
          <w:ilvl w:val="0"/>
          <w:numId w:val="18"/>
        </w:numPr>
        <w:tabs>
          <w:tab w:val="left" w:pos="900"/>
          <w:tab w:val="clear" w:pos="907"/>
        </w:tabs>
        <w:spacing w:line="500" w:lineRule="exact"/>
        <w:outlineLvl w:val="0"/>
        <w:rPr>
          <w:rFonts w:hint="eastAsia" w:ascii="仿宋_GB2312" w:hAnsi="仿宋_GB2312" w:eastAsia="仿宋_GB2312" w:cs="仿宋_GB2312"/>
          <w:color w:val="auto"/>
          <w:kern w:val="44"/>
          <w:sz w:val="32"/>
          <w:szCs w:val="32"/>
        </w:rPr>
      </w:pPr>
      <w:bookmarkStart w:id="140" w:name="_Toc10314"/>
      <w:bookmarkStart w:id="141" w:name="_Toc18539"/>
      <w:bookmarkStart w:id="142" w:name="_Toc5154"/>
      <w:bookmarkStart w:id="143" w:name="_Toc55778699"/>
      <w:bookmarkStart w:id="144" w:name="_Toc30090"/>
      <w:r>
        <w:rPr>
          <w:rFonts w:hint="eastAsia" w:ascii="仿宋_GB2312" w:hAnsi="仿宋_GB2312" w:eastAsia="仿宋_GB2312" w:cs="仿宋_GB2312"/>
          <w:color w:val="auto"/>
          <w:kern w:val="44"/>
          <w:sz w:val="32"/>
          <w:szCs w:val="32"/>
        </w:rPr>
        <w:t>本次招标的投标截止时间见第二章《投标须知前附表》的规定。</w:t>
      </w:r>
      <w:bookmarkEnd w:id="140"/>
      <w:bookmarkEnd w:id="141"/>
      <w:bookmarkEnd w:id="142"/>
      <w:bookmarkEnd w:id="143"/>
      <w:bookmarkEnd w:id="144"/>
    </w:p>
    <w:p w14:paraId="641ED48C">
      <w:pPr>
        <w:keepNext/>
        <w:keepLines/>
        <w:numPr>
          <w:ilvl w:val="0"/>
          <w:numId w:val="2"/>
        </w:numPr>
        <w:tabs>
          <w:tab w:val="left" w:pos="900"/>
        </w:tabs>
        <w:spacing w:line="500" w:lineRule="exact"/>
        <w:ind w:left="924" w:hanging="924"/>
        <w:outlineLvl w:val="0"/>
        <w:rPr>
          <w:rFonts w:hint="eastAsia" w:ascii="仿宋_GB2312" w:hAnsi="仿宋_GB2312" w:eastAsia="仿宋_GB2312" w:cs="仿宋_GB2312"/>
          <w:b/>
          <w:bCs/>
          <w:color w:val="auto"/>
          <w:kern w:val="44"/>
          <w:sz w:val="32"/>
          <w:szCs w:val="32"/>
        </w:rPr>
      </w:pPr>
      <w:bookmarkStart w:id="145" w:name="_Toc55778700"/>
      <w:r>
        <w:rPr>
          <w:rFonts w:hint="eastAsia" w:ascii="仿宋_GB2312" w:hAnsi="仿宋_GB2312" w:eastAsia="仿宋_GB2312" w:cs="仿宋_GB2312"/>
          <w:b/>
          <w:color w:val="auto"/>
          <w:kern w:val="44"/>
          <w:sz w:val="32"/>
          <w:szCs w:val="32"/>
        </w:rPr>
        <w:t xml:space="preserve">    </w:t>
      </w:r>
      <w:bookmarkStart w:id="146" w:name="_Toc9155"/>
      <w:bookmarkStart w:id="147" w:name="_Toc28929"/>
      <w:bookmarkStart w:id="148" w:name="_Toc2461"/>
      <w:bookmarkStart w:id="149" w:name="_Toc1876"/>
      <w:r>
        <w:rPr>
          <w:rFonts w:hint="eastAsia" w:ascii="仿宋_GB2312" w:hAnsi="仿宋_GB2312" w:eastAsia="仿宋_GB2312" w:cs="仿宋_GB2312"/>
          <w:b/>
          <w:color w:val="auto"/>
          <w:kern w:val="44"/>
          <w:sz w:val="32"/>
          <w:szCs w:val="32"/>
        </w:rPr>
        <w:t>迟交的投标文件</w:t>
      </w:r>
      <w:bookmarkEnd w:id="145"/>
      <w:bookmarkEnd w:id="146"/>
      <w:bookmarkEnd w:id="147"/>
      <w:bookmarkEnd w:id="148"/>
      <w:bookmarkEnd w:id="149"/>
    </w:p>
    <w:p w14:paraId="75FE6E4E">
      <w:pPr>
        <w:keepNext/>
        <w:keepLines/>
        <w:numPr>
          <w:ilvl w:val="0"/>
          <w:numId w:val="19"/>
        </w:numPr>
        <w:tabs>
          <w:tab w:val="left" w:pos="900"/>
          <w:tab w:val="clear" w:pos="907"/>
        </w:tabs>
        <w:spacing w:line="500" w:lineRule="exact"/>
        <w:outlineLvl w:val="0"/>
        <w:rPr>
          <w:rFonts w:hint="eastAsia" w:ascii="仿宋_GB2312" w:hAnsi="仿宋_GB2312" w:eastAsia="仿宋_GB2312" w:cs="仿宋_GB2312"/>
          <w:color w:val="auto"/>
          <w:kern w:val="44"/>
          <w:sz w:val="32"/>
          <w:szCs w:val="32"/>
        </w:rPr>
      </w:pPr>
      <w:bookmarkStart w:id="150" w:name="_Toc13418"/>
      <w:bookmarkStart w:id="151" w:name="_Toc7900"/>
      <w:bookmarkStart w:id="152" w:name="_Toc24301"/>
      <w:bookmarkStart w:id="153" w:name="_Toc55778701"/>
      <w:bookmarkStart w:id="154" w:name="_Toc94"/>
      <w:r>
        <w:rPr>
          <w:rFonts w:hint="eastAsia" w:ascii="仿宋_GB2312" w:hAnsi="仿宋_GB2312" w:eastAsia="仿宋_GB2312" w:cs="仿宋_GB2312"/>
          <w:color w:val="auto"/>
          <w:kern w:val="44"/>
          <w:sz w:val="32"/>
          <w:szCs w:val="32"/>
        </w:rPr>
        <w:t>采购代理机构将拒绝并原封退回在其规定的投标截止时刻后收到的任何投标文件。</w:t>
      </w:r>
      <w:bookmarkEnd w:id="150"/>
      <w:bookmarkEnd w:id="151"/>
      <w:bookmarkEnd w:id="152"/>
      <w:bookmarkEnd w:id="153"/>
      <w:bookmarkEnd w:id="154"/>
    </w:p>
    <w:p w14:paraId="2D84EEAF">
      <w:pPr>
        <w:keepNext/>
        <w:keepLines/>
        <w:numPr>
          <w:ilvl w:val="0"/>
          <w:numId w:val="2"/>
        </w:numPr>
        <w:tabs>
          <w:tab w:val="left" w:pos="900"/>
        </w:tabs>
        <w:spacing w:line="500" w:lineRule="exact"/>
        <w:ind w:left="924" w:hanging="924"/>
        <w:outlineLvl w:val="0"/>
        <w:rPr>
          <w:rFonts w:hint="eastAsia" w:ascii="仿宋_GB2312" w:hAnsi="仿宋_GB2312" w:eastAsia="仿宋_GB2312" w:cs="仿宋_GB2312"/>
          <w:b/>
          <w:bCs/>
          <w:color w:val="auto"/>
          <w:kern w:val="44"/>
          <w:sz w:val="32"/>
          <w:szCs w:val="32"/>
        </w:rPr>
      </w:pPr>
      <w:bookmarkStart w:id="155" w:name="_Toc55778702"/>
      <w:r>
        <w:rPr>
          <w:rFonts w:hint="eastAsia" w:ascii="仿宋_GB2312" w:hAnsi="仿宋_GB2312" w:eastAsia="仿宋_GB2312" w:cs="仿宋_GB2312"/>
          <w:b/>
          <w:bCs/>
          <w:color w:val="auto"/>
          <w:kern w:val="44"/>
          <w:sz w:val="32"/>
          <w:szCs w:val="32"/>
        </w:rPr>
        <w:t xml:space="preserve">    </w:t>
      </w:r>
      <w:bookmarkStart w:id="156" w:name="_Toc10185"/>
      <w:bookmarkStart w:id="157" w:name="_Toc21101"/>
      <w:bookmarkStart w:id="158" w:name="_Toc19255"/>
      <w:bookmarkStart w:id="159" w:name="_Toc27265"/>
      <w:r>
        <w:rPr>
          <w:rFonts w:hint="eastAsia" w:ascii="仿宋_GB2312" w:hAnsi="仿宋_GB2312" w:eastAsia="仿宋_GB2312" w:cs="仿宋_GB2312"/>
          <w:b/>
          <w:bCs/>
          <w:color w:val="auto"/>
          <w:kern w:val="44"/>
          <w:sz w:val="32"/>
          <w:szCs w:val="32"/>
        </w:rPr>
        <w:t>投</w:t>
      </w:r>
      <w:bookmarkEnd w:id="135"/>
      <w:r>
        <w:rPr>
          <w:rFonts w:hint="eastAsia" w:ascii="仿宋_GB2312" w:hAnsi="仿宋_GB2312" w:eastAsia="仿宋_GB2312" w:cs="仿宋_GB2312"/>
          <w:b/>
          <w:bCs/>
          <w:color w:val="auto"/>
          <w:kern w:val="44"/>
          <w:sz w:val="32"/>
          <w:szCs w:val="32"/>
        </w:rPr>
        <w:t>标文件的修改和撤回、撤销</w:t>
      </w:r>
      <w:bookmarkEnd w:id="155"/>
      <w:bookmarkEnd w:id="156"/>
      <w:bookmarkEnd w:id="157"/>
      <w:bookmarkEnd w:id="158"/>
      <w:bookmarkEnd w:id="159"/>
    </w:p>
    <w:p w14:paraId="2EE1A5DA">
      <w:pPr>
        <w:numPr>
          <w:ilvl w:val="1"/>
          <w:numId w:val="20"/>
        </w:numPr>
        <w:spacing w:line="50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投标人在投标截止时间前，可以对所递交的投标文件进行补充、修改或者撤回，并书面通知采购代理机构。补充、修改的内容应当按招标文件要求签署、盖章、密封后，并作为投标文件的组成部分。在投标截止时间之后，投标人不得对其投标文件做任何修改和补充。</w:t>
      </w:r>
    </w:p>
    <w:p w14:paraId="1516EB0D">
      <w:pPr>
        <w:numPr>
          <w:ilvl w:val="1"/>
          <w:numId w:val="20"/>
        </w:numPr>
        <w:spacing w:line="50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除非招标文件另有规定或说明，投标人所提交的投标文件在评标结束后，无论中标与否都不退还。</w:t>
      </w:r>
    </w:p>
    <w:p w14:paraId="55F20E63">
      <w:pPr>
        <w:numPr>
          <w:ilvl w:val="1"/>
          <w:numId w:val="20"/>
        </w:numPr>
        <w:spacing w:line="50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投标截止后，投标人不得撤销其投标，否则其投标保证金将按照本须知规定被没收。</w:t>
      </w:r>
    </w:p>
    <w:p w14:paraId="6E47897A">
      <w:pPr>
        <w:pStyle w:val="3"/>
        <w:spacing w:before="60" w:after="60" w:line="700" w:lineRule="exact"/>
        <w:ind w:left="420" w:hanging="420"/>
        <w:jc w:val="center"/>
        <w:rPr>
          <w:rFonts w:hint="eastAsia" w:ascii="Times New Roman" w:hAnsi="Times New Roman"/>
          <w:b w:val="0"/>
          <w:bCs w:val="0"/>
          <w:color w:val="auto"/>
          <w:lang w:val="zh-CN"/>
        </w:rPr>
      </w:pPr>
      <w:bookmarkStart w:id="160" w:name="_Toc55778703"/>
      <w:bookmarkStart w:id="161" w:name="_Toc30087"/>
      <w:bookmarkStart w:id="162" w:name="_Toc14523"/>
      <w:r>
        <w:rPr>
          <w:rFonts w:hint="eastAsia" w:ascii="Times New Roman" w:hAnsi="Times New Roman"/>
          <w:b w:val="0"/>
          <w:bCs w:val="0"/>
          <w:color w:val="auto"/>
          <w:lang w:val="zh-CN"/>
        </w:rPr>
        <w:t>五、开标与评标</w:t>
      </w:r>
      <w:bookmarkEnd w:id="160"/>
      <w:bookmarkEnd w:id="161"/>
      <w:bookmarkEnd w:id="162"/>
    </w:p>
    <w:p w14:paraId="35251798">
      <w:pPr>
        <w:keepNext/>
        <w:keepLines/>
        <w:numPr>
          <w:ilvl w:val="0"/>
          <w:numId w:val="2"/>
        </w:numPr>
        <w:tabs>
          <w:tab w:val="left" w:pos="900"/>
        </w:tabs>
        <w:spacing w:line="500" w:lineRule="exact"/>
        <w:ind w:left="924" w:hanging="924"/>
        <w:outlineLvl w:val="0"/>
        <w:rPr>
          <w:rFonts w:hint="eastAsia" w:ascii="仿宋_GB2312" w:hAnsi="仿宋_GB2312" w:eastAsia="仿宋_GB2312" w:cs="仿宋_GB2312"/>
          <w:b/>
          <w:bCs/>
          <w:color w:val="auto"/>
          <w:kern w:val="44"/>
          <w:sz w:val="32"/>
          <w:szCs w:val="32"/>
        </w:rPr>
      </w:pPr>
      <w:bookmarkStart w:id="163" w:name="_Toc21732"/>
      <w:bookmarkStart w:id="164" w:name="_Toc55778704"/>
      <w:r>
        <w:rPr>
          <w:rFonts w:hint="eastAsia" w:ascii="仿宋_GB2312" w:hAnsi="仿宋_GB2312" w:eastAsia="仿宋_GB2312" w:cs="仿宋_GB2312"/>
          <w:b/>
          <w:bCs/>
          <w:color w:val="auto"/>
          <w:kern w:val="44"/>
          <w:sz w:val="32"/>
          <w:szCs w:val="32"/>
        </w:rPr>
        <w:t xml:space="preserve">    </w:t>
      </w:r>
      <w:bookmarkStart w:id="165" w:name="_Toc4602"/>
      <w:bookmarkStart w:id="166" w:name="_Toc26238"/>
      <w:bookmarkStart w:id="167" w:name="_Toc19246"/>
      <w:bookmarkStart w:id="168" w:name="_Toc930"/>
      <w:r>
        <w:rPr>
          <w:rFonts w:hint="eastAsia" w:ascii="仿宋_GB2312" w:hAnsi="仿宋_GB2312" w:eastAsia="仿宋_GB2312" w:cs="仿宋_GB2312"/>
          <w:b/>
          <w:bCs/>
          <w:color w:val="auto"/>
          <w:kern w:val="44"/>
          <w:sz w:val="32"/>
          <w:szCs w:val="32"/>
        </w:rPr>
        <w:t>开标</w:t>
      </w:r>
      <w:bookmarkEnd w:id="163"/>
      <w:bookmarkEnd w:id="164"/>
      <w:bookmarkEnd w:id="165"/>
      <w:bookmarkEnd w:id="166"/>
      <w:bookmarkEnd w:id="167"/>
      <w:bookmarkEnd w:id="168"/>
    </w:p>
    <w:p w14:paraId="482F323F">
      <w:pPr>
        <w:numPr>
          <w:ilvl w:val="0"/>
          <w:numId w:val="21"/>
        </w:numPr>
        <w:spacing w:line="500" w:lineRule="exact"/>
        <w:rPr>
          <w:rFonts w:hint="eastAsia" w:ascii="仿宋_GB2312" w:hAnsi="仿宋_GB2312" w:eastAsia="仿宋_GB2312" w:cs="仿宋_GB2312"/>
          <w:vanish/>
          <w:color w:val="auto"/>
          <w:sz w:val="32"/>
          <w:szCs w:val="32"/>
        </w:rPr>
      </w:pPr>
    </w:p>
    <w:p w14:paraId="707C6B01">
      <w:pPr>
        <w:numPr>
          <w:ilvl w:val="1"/>
          <w:numId w:val="21"/>
        </w:numPr>
        <w:spacing w:line="50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采购人或采购代理机构在投标人须知前附表规定的开标时间和开标地点组织公开开标，邀请投标人参加。评标委员会成员不得参加开标活动。投标人不足3家的，不得开标。</w:t>
      </w:r>
    </w:p>
    <w:p w14:paraId="12B766B6">
      <w:pPr>
        <w:numPr>
          <w:ilvl w:val="1"/>
          <w:numId w:val="21"/>
        </w:numPr>
        <w:spacing w:line="50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bCs/>
          <w:color w:val="auto"/>
          <w:kern w:val="0"/>
          <w:sz w:val="32"/>
          <w:szCs w:val="32"/>
          <w:lang w:bidi="ar"/>
        </w:rPr>
        <w:t>投</w:t>
      </w:r>
      <w:r>
        <w:rPr>
          <w:rFonts w:hint="eastAsia" w:ascii="仿宋_GB2312" w:hAnsi="仿宋_GB2312" w:eastAsia="仿宋_GB2312" w:cs="仿宋_GB2312"/>
          <w:bCs/>
          <w:color w:val="auto"/>
          <w:kern w:val="0"/>
          <w:sz w:val="32"/>
          <w:szCs w:val="32"/>
          <w:lang w:bidi="ar"/>
        </w:rPr>
        <w:t>标文件以电子形式递交至: 新疆政采云平台；投标人应于</w:t>
      </w:r>
      <w:r>
        <w:rPr>
          <w:rFonts w:hint="eastAsia" w:ascii="仿宋_GB2312" w:hAnsi="仿宋_GB2312" w:eastAsia="仿宋_GB2312" w:cs="仿宋_GB2312"/>
          <w:bCs/>
          <w:color w:val="auto"/>
          <w:kern w:val="0"/>
          <w:sz w:val="32"/>
          <w:szCs w:val="32"/>
          <w:lang w:bidi="ar"/>
        </w:rPr>
        <w:t>2026年0</w:t>
      </w:r>
      <w:r>
        <w:rPr>
          <w:rFonts w:hint="eastAsia" w:ascii="仿宋_GB2312" w:hAnsi="仿宋_GB2312" w:eastAsia="仿宋_GB2312" w:cs="仿宋_GB2312"/>
          <w:bCs/>
          <w:color w:val="auto"/>
          <w:kern w:val="0"/>
          <w:sz w:val="32"/>
          <w:szCs w:val="32"/>
          <w:lang w:val="en-US" w:eastAsia="zh-CN" w:bidi="ar"/>
        </w:rPr>
        <w:t>6</w:t>
      </w:r>
      <w:r>
        <w:rPr>
          <w:rFonts w:hint="eastAsia" w:ascii="仿宋_GB2312" w:hAnsi="仿宋_GB2312" w:eastAsia="仿宋_GB2312" w:cs="仿宋_GB2312"/>
          <w:bCs/>
          <w:color w:val="auto"/>
          <w:kern w:val="0"/>
          <w:sz w:val="32"/>
          <w:szCs w:val="32"/>
          <w:lang w:bidi="ar"/>
        </w:rPr>
        <w:t>月</w:t>
      </w:r>
      <w:r>
        <w:rPr>
          <w:rFonts w:hint="eastAsia" w:ascii="仿宋_GB2312" w:hAnsi="仿宋_GB2312" w:eastAsia="仿宋_GB2312" w:cs="仿宋_GB2312"/>
          <w:bCs/>
          <w:color w:val="auto"/>
          <w:kern w:val="0"/>
          <w:sz w:val="32"/>
          <w:szCs w:val="32"/>
          <w:lang w:val="en-US" w:eastAsia="zh-CN" w:bidi="ar"/>
        </w:rPr>
        <w:t>02</w:t>
      </w:r>
      <w:r>
        <w:rPr>
          <w:rFonts w:hint="eastAsia" w:ascii="仿宋_GB2312" w:hAnsi="仿宋_GB2312" w:eastAsia="仿宋_GB2312" w:cs="仿宋_GB2312"/>
          <w:bCs/>
          <w:color w:val="auto"/>
          <w:kern w:val="0"/>
          <w:sz w:val="32"/>
          <w:szCs w:val="32"/>
          <w:lang w:bidi="ar"/>
        </w:rPr>
        <w:t>日1</w:t>
      </w:r>
      <w:r>
        <w:rPr>
          <w:rFonts w:hint="eastAsia" w:ascii="仿宋_GB2312" w:hAnsi="仿宋_GB2312" w:eastAsia="仿宋_GB2312" w:cs="仿宋_GB2312"/>
          <w:bCs/>
          <w:color w:val="auto"/>
          <w:kern w:val="0"/>
          <w:sz w:val="32"/>
          <w:szCs w:val="32"/>
          <w:lang w:val="en-US" w:eastAsia="zh-CN" w:bidi="ar"/>
        </w:rPr>
        <w:t>0</w:t>
      </w:r>
      <w:r>
        <w:rPr>
          <w:rFonts w:hint="eastAsia" w:ascii="仿宋_GB2312" w:hAnsi="仿宋_GB2312" w:eastAsia="仿宋_GB2312" w:cs="仿宋_GB2312"/>
          <w:bCs/>
          <w:color w:val="auto"/>
          <w:kern w:val="0"/>
          <w:sz w:val="32"/>
          <w:szCs w:val="32"/>
          <w:lang w:bidi="ar"/>
        </w:rPr>
        <w:t xml:space="preserve">: </w:t>
      </w:r>
      <w:r>
        <w:rPr>
          <w:rFonts w:hint="eastAsia" w:ascii="仿宋_GB2312" w:hAnsi="仿宋_GB2312" w:eastAsia="仿宋_GB2312" w:cs="仿宋_GB2312"/>
          <w:bCs/>
          <w:color w:val="auto"/>
          <w:kern w:val="0"/>
          <w:sz w:val="32"/>
          <w:szCs w:val="32"/>
          <w:lang w:val="en-US" w:eastAsia="zh-CN" w:bidi="ar"/>
        </w:rPr>
        <w:t>30</w:t>
      </w:r>
      <w:r>
        <w:rPr>
          <w:rFonts w:hint="eastAsia" w:ascii="仿宋_GB2312" w:hAnsi="仿宋_GB2312" w:eastAsia="仿宋_GB2312" w:cs="仿宋_GB2312"/>
          <w:bCs/>
          <w:color w:val="auto"/>
          <w:kern w:val="0"/>
          <w:sz w:val="32"/>
          <w:szCs w:val="32"/>
          <w:lang w:bidi="ar"/>
        </w:rPr>
        <w:t>(北京时间) 之前将电子投标文件上传到“政采云”平台。开标时间后30分钟内供应商登录“政采云”平台，用“项目采购-开标评标”功能进行解密投标文件。若供应商在规定时间内未按时解密的，视为</w:t>
      </w:r>
      <w:r>
        <w:rPr>
          <w:rFonts w:hint="eastAsia" w:ascii="仿宋_GB2312" w:hAnsi="仿宋_GB2312" w:eastAsia="仿宋_GB2312" w:cs="仿宋_GB2312"/>
          <w:bCs/>
          <w:color w:val="auto"/>
          <w:kern w:val="0"/>
          <w:sz w:val="32"/>
          <w:szCs w:val="32"/>
          <w:lang w:bidi="ar"/>
        </w:rPr>
        <w:t>无效投标。(解密时间开始时政采云平台将以短信形式向供应商在政采云平台预留的手机号发送短信通知，请供应商及时关注。)</w:t>
      </w:r>
    </w:p>
    <w:p w14:paraId="6F13DE8E">
      <w:pPr>
        <w:numPr>
          <w:ilvl w:val="1"/>
          <w:numId w:val="21"/>
        </w:numPr>
        <w:spacing w:line="50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解密成功后由采购人或者采购代理机构工作人员唱电子标，宣布投标人名称、投标价格和招标文件规定的需要宣布的其他内容。</w:t>
      </w:r>
    </w:p>
    <w:p w14:paraId="671C487B">
      <w:pPr>
        <w:numPr>
          <w:ilvl w:val="1"/>
          <w:numId w:val="21"/>
        </w:numPr>
        <w:spacing w:line="50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开标过程应当由采购人或者采购代理机构负责记录，由参加开标的各投标人代表和相关工作人员签字确认。</w:t>
      </w:r>
    </w:p>
    <w:p w14:paraId="7A43A80B">
      <w:pPr>
        <w:numPr>
          <w:ilvl w:val="1"/>
          <w:numId w:val="21"/>
        </w:numPr>
        <w:spacing w:line="50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14:paraId="04672E8E">
      <w:pPr>
        <w:numPr>
          <w:ilvl w:val="1"/>
          <w:numId w:val="21"/>
        </w:numPr>
        <w:spacing w:line="50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投标人未参加开标的，视同认可开标结果。</w:t>
      </w:r>
    </w:p>
    <w:p w14:paraId="46247AE2">
      <w:pPr>
        <w:keepNext/>
        <w:keepLines/>
        <w:numPr>
          <w:ilvl w:val="0"/>
          <w:numId w:val="2"/>
        </w:numPr>
        <w:tabs>
          <w:tab w:val="left" w:pos="900"/>
        </w:tabs>
        <w:spacing w:line="500" w:lineRule="exact"/>
        <w:ind w:left="924" w:hanging="924"/>
        <w:outlineLvl w:val="0"/>
        <w:rPr>
          <w:rFonts w:hint="eastAsia" w:ascii="仿宋_GB2312" w:hAnsi="仿宋_GB2312" w:eastAsia="仿宋_GB2312" w:cs="仿宋_GB2312"/>
          <w:b/>
          <w:bCs/>
          <w:color w:val="auto"/>
          <w:kern w:val="44"/>
          <w:sz w:val="32"/>
          <w:szCs w:val="32"/>
        </w:rPr>
      </w:pPr>
      <w:bookmarkStart w:id="169" w:name="_Toc55778705"/>
      <w:bookmarkStart w:id="170" w:name="_Toc17344"/>
      <w:r>
        <w:rPr>
          <w:rFonts w:hint="eastAsia" w:ascii="仿宋_GB2312" w:hAnsi="仿宋_GB2312" w:eastAsia="仿宋_GB2312" w:cs="仿宋_GB2312"/>
          <w:b/>
          <w:color w:val="auto"/>
          <w:kern w:val="44"/>
          <w:sz w:val="32"/>
          <w:szCs w:val="32"/>
        </w:rPr>
        <w:t xml:space="preserve">    </w:t>
      </w:r>
      <w:bookmarkStart w:id="171" w:name="_Toc24182"/>
      <w:bookmarkStart w:id="172" w:name="_Toc11631"/>
      <w:bookmarkStart w:id="173" w:name="_Toc10826"/>
      <w:bookmarkStart w:id="174" w:name="_Toc1994"/>
      <w:r>
        <w:rPr>
          <w:rFonts w:hint="eastAsia" w:ascii="仿宋_GB2312" w:hAnsi="仿宋_GB2312" w:eastAsia="仿宋_GB2312" w:cs="仿宋_GB2312"/>
          <w:b/>
          <w:color w:val="auto"/>
          <w:kern w:val="44"/>
          <w:sz w:val="32"/>
          <w:szCs w:val="32"/>
        </w:rPr>
        <w:t>公开招标失败后的处理</w:t>
      </w:r>
      <w:bookmarkEnd w:id="169"/>
      <w:bookmarkEnd w:id="171"/>
      <w:bookmarkEnd w:id="172"/>
      <w:bookmarkEnd w:id="173"/>
      <w:bookmarkEnd w:id="174"/>
    </w:p>
    <w:p w14:paraId="106B8CD3">
      <w:pPr>
        <w:numPr>
          <w:ilvl w:val="1"/>
          <w:numId w:val="22"/>
        </w:numPr>
        <w:spacing w:line="50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如果开标当天，投标截止后投标人不足3家或者通过资格审查或符合性审查的投标人不足3家的，除特殊情况外，本项目作废标处理。废标后，除采购任务取消情形外，按照以下方式处理：</w:t>
      </w:r>
    </w:p>
    <w:p w14:paraId="6B1674CA">
      <w:pPr>
        <w:numPr>
          <w:ilvl w:val="0"/>
          <w:numId w:val="23"/>
        </w:numPr>
        <w:spacing w:line="50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招标文件存在不合理条款或者招标程序不符合规定的，采购人、采购代理机构改正后依法重新招标。</w:t>
      </w:r>
    </w:p>
    <w:p w14:paraId="41AEA05E">
      <w:pPr>
        <w:numPr>
          <w:ilvl w:val="0"/>
          <w:numId w:val="23"/>
        </w:numPr>
        <w:spacing w:line="50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招标文件没有不合理条款、招标程序符合规定，采购人需要采用其他采购方式采购的，经财政部门同意后可依法转换采购方式进行。</w:t>
      </w:r>
    </w:p>
    <w:p w14:paraId="61374545">
      <w:pPr>
        <w:keepNext/>
        <w:keepLines/>
        <w:numPr>
          <w:ilvl w:val="0"/>
          <w:numId w:val="2"/>
        </w:numPr>
        <w:tabs>
          <w:tab w:val="left" w:pos="900"/>
        </w:tabs>
        <w:spacing w:line="500" w:lineRule="exact"/>
        <w:ind w:left="924" w:hanging="924"/>
        <w:outlineLvl w:val="0"/>
        <w:rPr>
          <w:rFonts w:hint="eastAsia" w:ascii="仿宋_GB2312" w:hAnsi="仿宋_GB2312" w:eastAsia="仿宋_GB2312" w:cs="仿宋_GB2312"/>
          <w:b/>
          <w:bCs/>
          <w:color w:val="auto"/>
          <w:kern w:val="44"/>
          <w:sz w:val="32"/>
          <w:szCs w:val="32"/>
        </w:rPr>
      </w:pPr>
      <w:bookmarkStart w:id="175" w:name="_Toc55778706"/>
      <w:r>
        <w:rPr>
          <w:rFonts w:hint="eastAsia" w:ascii="仿宋_GB2312" w:hAnsi="仿宋_GB2312" w:eastAsia="仿宋_GB2312" w:cs="仿宋_GB2312"/>
          <w:b/>
          <w:bCs/>
          <w:color w:val="auto"/>
          <w:kern w:val="44"/>
          <w:sz w:val="32"/>
          <w:szCs w:val="32"/>
        </w:rPr>
        <w:t xml:space="preserve">    </w:t>
      </w:r>
      <w:bookmarkStart w:id="176" w:name="_Toc22191"/>
      <w:r>
        <w:rPr>
          <w:rFonts w:hint="eastAsia" w:ascii="仿宋_GB2312" w:hAnsi="仿宋_GB2312" w:eastAsia="仿宋_GB2312" w:cs="仿宋_GB2312"/>
          <w:b/>
          <w:bCs/>
          <w:color w:val="auto"/>
          <w:kern w:val="44"/>
          <w:sz w:val="32"/>
          <w:szCs w:val="32"/>
        </w:rPr>
        <w:t>评标小组</w:t>
      </w:r>
      <w:bookmarkEnd w:id="170"/>
      <w:bookmarkEnd w:id="175"/>
      <w:bookmarkEnd w:id="176"/>
    </w:p>
    <w:p w14:paraId="0E02D801">
      <w:pPr>
        <w:numPr>
          <w:ilvl w:val="1"/>
          <w:numId w:val="24"/>
        </w:numPr>
        <w:spacing w:line="500" w:lineRule="exact"/>
        <w:rPr>
          <w:rFonts w:hint="eastAsia" w:ascii="仿宋_GB2312" w:hAnsi="仿宋_GB2312" w:eastAsia="仿宋_GB2312" w:cs="仿宋_GB2312"/>
          <w:color w:val="auto"/>
          <w:sz w:val="32"/>
          <w:szCs w:val="32"/>
        </w:rPr>
      </w:pPr>
      <w:bookmarkStart w:id="177" w:name="_Ref179621079"/>
      <w:r>
        <w:rPr>
          <w:rFonts w:hint="eastAsia" w:ascii="仿宋_GB2312" w:hAnsi="仿宋_GB2312" w:eastAsia="仿宋_GB2312" w:cs="仿宋_GB2312"/>
          <w:color w:val="auto"/>
          <w:sz w:val="32"/>
          <w:szCs w:val="32"/>
        </w:rPr>
        <w:t>本次招标依《中华人民共和国政府采购法》、实施条例及有关法律法规组建评标小组，评标小组由采购人代表和有关技术、经济等方面的专家组成，采购人代表人数、专家人数及专业构成按政府采购规定确定。评标小组成员依法从</w:t>
      </w:r>
      <w:r>
        <w:rPr>
          <w:rFonts w:hint="eastAsia" w:ascii="仿宋_GB2312" w:hAnsi="仿宋_GB2312" w:eastAsia="仿宋_GB2312" w:cs="仿宋_GB2312"/>
          <w:b/>
          <w:bCs/>
          <w:color w:val="auto"/>
          <w:sz w:val="32"/>
          <w:szCs w:val="32"/>
          <w:u w:val="single"/>
        </w:rPr>
        <w:t>新疆政采云平台</w:t>
      </w:r>
      <w:r>
        <w:rPr>
          <w:rFonts w:hint="eastAsia" w:ascii="仿宋_GB2312" w:hAnsi="仿宋_GB2312" w:eastAsia="仿宋_GB2312" w:cs="仿宋_GB2312"/>
          <w:color w:val="auto"/>
          <w:sz w:val="32"/>
          <w:szCs w:val="32"/>
        </w:rPr>
        <w:t>评审专家库中随机抽取产生。对技术复杂、专业性强的采购项目，通过随机方式难以确定合适评审专家的，经主管预算单位同意，采购人可以自行选定相应专业领域的评审专家。</w:t>
      </w:r>
    </w:p>
    <w:p w14:paraId="336338D9">
      <w:pPr>
        <w:numPr>
          <w:ilvl w:val="1"/>
          <w:numId w:val="24"/>
        </w:numPr>
        <w:spacing w:line="50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评标小组应当按照招标文件中规定的评标方法和标准，对符合性审查合格的投标文件进行商务和技术评估，综合比较与评价，提交评标报告并推荐中标候选人。</w:t>
      </w:r>
    </w:p>
    <w:p w14:paraId="2A95269C">
      <w:pPr>
        <w:numPr>
          <w:ilvl w:val="1"/>
          <w:numId w:val="24"/>
        </w:numPr>
        <w:spacing w:line="50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评标中因评标小组成员缺席、回避或者健康等特殊原因导致评标小组组成不符合法律法规规定的，采购人或者采购代理机构将依法补足后继续评标。被更换的评标小组成员所作出的评标意见无效。无法及时补足评标小组成员的，采购人或者采购代理机构将停止评标活动，封存所有投标文件和开标、评标资料，依法重新组建评标小组进行评标。原评标小组所作出的评标意见无效。采购人或者采购代理机构会将变更、重新组建评标小组的情况予以记录，并随招标文件一并存档。</w:t>
      </w:r>
    </w:p>
    <w:p w14:paraId="694CDAE3">
      <w:pPr>
        <w:numPr>
          <w:ilvl w:val="1"/>
          <w:numId w:val="24"/>
        </w:numPr>
        <w:spacing w:line="50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评标小组成员名单在评标结果公告前严格保密。评审专家有下列情形之一的，受到邀请应主动提出回避，采购当事人也可以要求该评审专家回避：</w:t>
      </w:r>
    </w:p>
    <w:p w14:paraId="20DB42CE">
      <w:pPr>
        <w:numPr>
          <w:ilvl w:val="0"/>
          <w:numId w:val="25"/>
        </w:numPr>
        <w:spacing w:line="50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参加采购活动前3年内与投标人存在劳动关系；</w:t>
      </w:r>
    </w:p>
    <w:p w14:paraId="506D36C0">
      <w:pPr>
        <w:numPr>
          <w:ilvl w:val="0"/>
          <w:numId w:val="25"/>
        </w:numPr>
        <w:spacing w:line="50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参加采购活动前3年内担任投标人的董事、监事；</w:t>
      </w:r>
    </w:p>
    <w:p w14:paraId="565ECD8A">
      <w:pPr>
        <w:numPr>
          <w:ilvl w:val="0"/>
          <w:numId w:val="25"/>
        </w:numPr>
        <w:spacing w:line="50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参加采购活动前3年内是投标人的控股股东或者实际控制人；</w:t>
      </w:r>
    </w:p>
    <w:p w14:paraId="6A908099">
      <w:pPr>
        <w:numPr>
          <w:ilvl w:val="0"/>
          <w:numId w:val="25"/>
        </w:numPr>
        <w:spacing w:line="50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与投标人的法定代表人或者负责人有夫妻、直系血亲、三代以内旁系血          </w:t>
      </w:r>
    </w:p>
    <w:p w14:paraId="14D41B12">
      <w:pPr>
        <w:spacing w:line="500" w:lineRule="exact"/>
        <w:ind w:left="425"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亲或者近姻亲关系；</w:t>
      </w:r>
    </w:p>
    <w:p w14:paraId="4DF58C85">
      <w:pPr>
        <w:numPr>
          <w:ilvl w:val="0"/>
          <w:numId w:val="25"/>
        </w:numPr>
        <w:spacing w:line="50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与投标人有其他可能影响政府采购活动公平、公正进行的关系。</w:t>
      </w:r>
    </w:p>
    <w:p w14:paraId="798C57E1">
      <w:pPr>
        <w:numPr>
          <w:ilvl w:val="1"/>
          <w:numId w:val="24"/>
        </w:numPr>
        <w:spacing w:line="50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评标小组将按综合评分法进行评审，即最大限度地满足招标文件实质性要求前提下，按照招标文件中规定的各项因素进行综合评审后，以评标总得分最高的投标人作为中标候选人。</w:t>
      </w:r>
      <w:bookmarkEnd w:id="177"/>
    </w:p>
    <w:p w14:paraId="64F42581">
      <w:pPr>
        <w:keepNext/>
        <w:keepLines/>
        <w:numPr>
          <w:ilvl w:val="0"/>
          <w:numId w:val="2"/>
        </w:numPr>
        <w:tabs>
          <w:tab w:val="left" w:pos="900"/>
        </w:tabs>
        <w:spacing w:line="500" w:lineRule="exact"/>
        <w:ind w:left="924" w:hanging="924"/>
        <w:outlineLvl w:val="0"/>
        <w:rPr>
          <w:rFonts w:hint="eastAsia" w:ascii="仿宋_GB2312" w:hAnsi="仿宋_GB2312" w:eastAsia="仿宋_GB2312" w:cs="仿宋_GB2312"/>
          <w:b/>
          <w:bCs/>
          <w:color w:val="auto"/>
          <w:kern w:val="44"/>
          <w:sz w:val="32"/>
          <w:szCs w:val="32"/>
        </w:rPr>
      </w:pPr>
      <w:bookmarkStart w:id="178" w:name="_Toc55778707"/>
      <w:r>
        <w:rPr>
          <w:rFonts w:hint="eastAsia" w:ascii="仿宋_GB2312" w:hAnsi="仿宋_GB2312" w:eastAsia="仿宋_GB2312" w:cs="仿宋_GB2312"/>
          <w:b/>
          <w:color w:val="auto"/>
          <w:kern w:val="44"/>
          <w:sz w:val="32"/>
          <w:szCs w:val="32"/>
        </w:rPr>
        <w:t xml:space="preserve">   </w:t>
      </w:r>
      <w:bookmarkStart w:id="179" w:name="_Toc30337"/>
      <w:bookmarkStart w:id="180" w:name="_Toc28109"/>
      <w:bookmarkStart w:id="181" w:name="_Toc14456"/>
      <w:bookmarkStart w:id="182" w:name="_Toc26294"/>
      <w:r>
        <w:rPr>
          <w:rFonts w:hint="eastAsia" w:ascii="仿宋_GB2312" w:hAnsi="仿宋_GB2312" w:eastAsia="仿宋_GB2312" w:cs="仿宋_GB2312"/>
          <w:b/>
          <w:color w:val="auto"/>
          <w:kern w:val="44"/>
          <w:sz w:val="32"/>
          <w:szCs w:val="32"/>
        </w:rPr>
        <w:t>评标原则及评标方法</w:t>
      </w:r>
      <w:bookmarkEnd w:id="178"/>
      <w:bookmarkEnd w:id="179"/>
      <w:bookmarkEnd w:id="180"/>
      <w:bookmarkEnd w:id="181"/>
      <w:bookmarkEnd w:id="182"/>
    </w:p>
    <w:p w14:paraId="4B291EB7">
      <w:pPr>
        <w:numPr>
          <w:ilvl w:val="1"/>
          <w:numId w:val="26"/>
        </w:numPr>
        <w:spacing w:line="50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评标基本原则：评标工作应依据《中华人民共和国政府采购法》、实施条例以及国家和地方政府有关政府采购的有关法规，遵循“公开、公平、公正、择优、信用”的原则进行。</w:t>
      </w:r>
    </w:p>
    <w:p w14:paraId="2A2750AF">
      <w:pPr>
        <w:numPr>
          <w:ilvl w:val="1"/>
          <w:numId w:val="26"/>
        </w:numPr>
        <w:spacing w:line="50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本项目以投标人递交的电子投标文件作为评审依据。</w:t>
      </w:r>
    </w:p>
    <w:p w14:paraId="339F07A8">
      <w:pPr>
        <w:numPr>
          <w:ilvl w:val="1"/>
          <w:numId w:val="26"/>
        </w:numPr>
        <w:spacing w:line="50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评标步骤及定标规定：第一阶段：先进行投标人资格性审查。第二阶段：进行投标人符合性审查。第三阶段：对通过资格性审查、符合性审查的投标人按照评标办法进行详细评审（包括：技术商务评审）。</w:t>
      </w:r>
    </w:p>
    <w:p w14:paraId="1CA4A735">
      <w:pPr>
        <w:numPr>
          <w:ilvl w:val="1"/>
          <w:numId w:val="26"/>
        </w:numPr>
        <w:spacing w:line="50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评标办法：本次招标的评标方式为综合评分法，评审意见不一致时采用少数服从多数的评标方式，详细评审采用百分制综合评分法，分数按四舍五入原则计至小数点后两位</w:t>
      </w:r>
      <w:r>
        <w:rPr>
          <w:rFonts w:hint="eastAsia" w:ascii="仿宋_GB2312" w:hAnsi="仿宋_GB2312" w:eastAsia="仿宋_GB2312" w:cs="仿宋_GB2312"/>
          <w:color w:val="auto"/>
          <w:sz w:val="32"/>
          <w:szCs w:val="32"/>
        </w:rPr>
        <w:t>。</w:t>
      </w:r>
    </w:p>
    <w:p w14:paraId="7E4320A8">
      <w:pPr>
        <w:numPr>
          <w:ilvl w:val="1"/>
          <w:numId w:val="26"/>
        </w:numPr>
        <w:spacing w:line="50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评标小组成员对需要共同认定的事项存在争议的，应当按照少数服从多数的原则作出结论。持不同意见的评标小组成员应当在评标报告上签署不同意见及理由，否则视为同意评标报告</w:t>
      </w:r>
      <w:r>
        <w:rPr>
          <w:rFonts w:hint="eastAsia" w:ascii="仿宋_GB2312" w:hAnsi="仿宋_GB2312" w:eastAsia="仿宋_GB2312" w:cs="仿宋_GB2312"/>
          <w:color w:val="auto"/>
          <w:sz w:val="32"/>
          <w:szCs w:val="32"/>
        </w:rPr>
        <w:t>。</w:t>
      </w:r>
    </w:p>
    <w:p w14:paraId="7AE3C276">
      <w:pPr>
        <w:keepNext/>
        <w:keepLines/>
        <w:numPr>
          <w:ilvl w:val="0"/>
          <w:numId w:val="2"/>
        </w:numPr>
        <w:tabs>
          <w:tab w:val="left" w:pos="900"/>
        </w:tabs>
        <w:spacing w:line="500" w:lineRule="exact"/>
        <w:ind w:left="924" w:hanging="924"/>
        <w:outlineLvl w:val="0"/>
        <w:rPr>
          <w:rFonts w:hint="eastAsia" w:ascii="仿宋_GB2312" w:hAnsi="仿宋_GB2312" w:eastAsia="仿宋_GB2312" w:cs="仿宋_GB2312"/>
          <w:b/>
          <w:bCs/>
          <w:color w:val="auto"/>
          <w:kern w:val="44"/>
          <w:sz w:val="32"/>
          <w:szCs w:val="32"/>
        </w:rPr>
      </w:pPr>
      <w:bookmarkStart w:id="183" w:name="_Toc55778708"/>
      <w:r>
        <w:rPr>
          <w:rFonts w:hint="eastAsia" w:ascii="仿宋_GB2312" w:hAnsi="仿宋_GB2312" w:eastAsia="仿宋_GB2312" w:cs="仿宋_GB2312"/>
          <w:b/>
          <w:color w:val="auto"/>
          <w:kern w:val="44"/>
          <w:sz w:val="32"/>
          <w:szCs w:val="32"/>
        </w:rPr>
        <w:t xml:space="preserve">    </w:t>
      </w:r>
      <w:bookmarkStart w:id="184" w:name="_Toc24483"/>
      <w:bookmarkStart w:id="185" w:name="_Toc29632"/>
      <w:bookmarkStart w:id="186" w:name="_Toc24957"/>
      <w:bookmarkStart w:id="187" w:name="_Toc3188"/>
      <w:r>
        <w:rPr>
          <w:rFonts w:hint="eastAsia" w:ascii="仿宋_GB2312" w:hAnsi="仿宋_GB2312" w:eastAsia="仿宋_GB2312" w:cs="仿宋_GB2312"/>
          <w:b/>
          <w:color w:val="auto"/>
          <w:kern w:val="44"/>
          <w:sz w:val="32"/>
          <w:szCs w:val="32"/>
        </w:rPr>
        <w:t>初步评审</w:t>
      </w:r>
      <w:bookmarkEnd w:id="183"/>
      <w:bookmarkEnd w:id="184"/>
      <w:bookmarkEnd w:id="185"/>
      <w:bookmarkEnd w:id="186"/>
      <w:bookmarkEnd w:id="187"/>
    </w:p>
    <w:p w14:paraId="61B7927C">
      <w:pPr>
        <w:numPr>
          <w:ilvl w:val="1"/>
          <w:numId w:val="27"/>
        </w:numPr>
        <w:spacing w:line="50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资格性审查：开标结束后，采购人依法对投标人的资格进行审查，资格性审查内容详见附表1《资格审查标准表》。对初步被认定为资格性审查不合格的可实行告知投标当事人。未通过资格性审查的投标人，不进入符合性审查。若通过资格性审查的投标人不足3家的，不得进行下一阶段评标。</w:t>
      </w:r>
    </w:p>
    <w:p w14:paraId="700A13FC">
      <w:pPr>
        <w:numPr>
          <w:ilvl w:val="2"/>
          <w:numId w:val="28"/>
        </w:numPr>
        <w:spacing w:line="50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投标人存在下列情况之一的，投标无效：</w:t>
      </w:r>
    </w:p>
    <w:p w14:paraId="5CDFE6EB">
      <w:pPr>
        <w:spacing w:line="500" w:lineRule="exact"/>
        <w:ind w:firstLine="1280" w:firstLineChars="4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不具备招标文件中规定的投标人资格要求的</w:t>
      </w:r>
    </w:p>
    <w:p w14:paraId="5C627E47">
      <w:pPr>
        <w:numPr>
          <w:ilvl w:val="1"/>
          <w:numId w:val="27"/>
        </w:numPr>
        <w:spacing w:line="50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符合性审查：详见附表2《 符合性审查标准表》，以确定其是否满足招标文件的实质性要求。评标小组对初步被认定为符合性审查不合格或无效投标者可实行告知投标当事人。未通过符合性审查的投标人，不进入技术、商务和价格评审。</w:t>
      </w:r>
    </w:p>
    <w:p w14:paraId="22025B26">
      <w:pPr>
        <w:numPr>
          <w:ilvl w:val="1"/>
          <w:numId w:val="27"/>
        </w:numPr>
        <w:spacing w:line="50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评标小组决定投标文件的响应程度指依据投标文件本身的真实无误的内容，而不依据外部的证据。但投标文件有不真实、不正确内容的除外。</w:t>
      </w:r>
    </w:p>
    <w:p w14:paraId="41380320">
      <w:pPr>
        <w:keepNext/>
        <w:keepLines/>
        <w:numPr>
          <w:ilvl w:val="0"/>
          <w:numId w:val="2"/>
        </w:numPr>
        <w:tabs>
          <w:tab w:val="left" w:pos="900"/>
        </w:tabs>
        <w:spacing w:line="500" w:lineRule="exact"/>
        <w:ind w:left="924" w:hanging="924"/>
        <w:outlineLvl w:val="0"/>
        <w:rPr>
          <w:rFonts w:hint="eastAsia" w:ascii="仿宋_GB2312" w:hAnsi="仿宋_GB2312" w:eastAsia="仿宋_GB2312" w:cs="仿宋_GB2312"/>
          <w:b/>
          <w:bCs/>
          <w:color w:val="auto"/>
          <w:kern w:val="44"/>
          <w:sz w:val="32"/>
          <w:szCs w:val="32"/>
        </w:rPr>
      </w:pPr>
      <w:bookmarkStart w:id="188" w:name="_Toc55778709"/>
      <w:r>
        <w:rPr>
          <w:rFonts w:hint="eastAsia" w:ascii="仿宋_GB2312" w:hAnsi="仿宋_GB2312" w:eastAsia="仿宋_GB2312" w:cs="仿宋_GB2312"/>
          <w:b/>
          <w:bCs/>
          <w:color w:val="auto"/>
          <w:kern w:val="44"/>
          <w:sz w:val="32"/>
          <w:szCs w:val="32"/>
        </w:rPr>
        <w:t xml:space="preserve">    </w:t>
      </w:r>
      <w:bookmarkStart w:id="189" w:name="_Toc23646"/>
      <w:bookmarkStart w:id="190" w:name="_Toc21733"/>
      <w:bookmarkStart w:id="191" w:name="_Toc24582"/>
      <w:bookmarkStart w:id="192" w:name="_Toc27075"/>
      <w:r>
        <w:rPr>
          <w:rFonts w:hint="eastAsia" w:ascii="仿宋_GB2312" w:hAnsi="仿宋_GB2312" w:eastAsia="仿宋_GB2312" w:cs="仿宋_GB2312"/>
          <w:b/>
          <w:bCs/>
          <w:color w:val="auto"/>
          <w:kern w:val="44"/>
          <w:sz w:val="32"/>
          <w:szCs w:val="32"/>
        </w:rPr>
        <w:t>详细评审</w:t>
      </w:r>
      <w:bookmarkEnd w:id="188"/>
      <w:bookmarkEnd w:id="189"/>
      <w:bookmarkEnd w:id="190"/>
      <w:bookmarkEnd w:id="191"/>
      <w:bookmarkEnd w:id="192"/>
    </w:p>
    <w:p w14:paraId="2AD6FBBC">
      <w:pPr>
        <w:numPr>
          <w:ilvl w:val="1"/>
          <w:numId w:val="29"/>
        </w:numPr>
        <w:spacing w:line="50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经符合性审查合格的投标文件，评标委员会将根据招标文件确定的评标方法和标准，对其技术部分和商务部分作进一步的比较和评价。</w:t>
      </w:r>
    </w:p>
    <w:p w14:paraId="1A23BB35">
      <w:pPr>
        <w:numPr>
          <w:ilvl w:val="1"/>
          <w:numId w:val="29"/>
        </w:numPr>
        <w:spacing w:line="50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综合评分法，是指投标文件满足招标文件全部实质性要求，且按照评审因素的量化指标评审得分最高的投标人为中标候选人的评标方法，评标严格按照招标文件的要求和条件进行，详细评标标准见附表3《评分细则》。</w:t>
      </w:r>
    </w:p>
    <w:p w14:paraId="1A5017E3">
      <w:pPr>
        <w:numPr>
          <w:ilvl w:val="1"/>
          <w:numId w:val="29"/>
        </w:numPr>
        <w:spacing w:line="50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（一）本项目在政府采购评审中出现下列情形之一的，评审委员会应当启动异常低价投标（响应）审查程序：</w:t>
      </w:r>
    </w:p>
    <w:p w14:paraId="19692375">
      <w:pPr>
        <w:pStyle w:val="26"/>
        <w:spacing w:line="500" w:lineRule="exact"/>
        <w:ind w:left="899" w:leftChars="428" w:firstLine="0" w:firstLineChars="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1.投标（响应）报价低于全部通过符合性审查供应商投标（响应）报价平均值50%的，即投标（响应）报价&lt;全部通过符合性审查供应商投标（响应）报价平均值×50%；</w:t>
      </w:r>
    </w:p>
    <w:p w14:paraId="6C0D1D33">
      <w:pPr>
        <w:pStyle w:val="26"/>
        <w:spacing w:line="500" w:lineRule="exact"/>
        <w:ind w:left="899" w:leftChars="428" w:firstLine="0" w:firstLineChars="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2.投标（响应）报价低于通过符合性审查的次低报价供应商投标（响应）报价50%的，即投标（响应）报价&lt;通过符合性审查的次低报价供应商投标（响应）报价×50%；</w:t>
      </w:r>
    </w:p>
    <w:p w14:paraId="3A06D70D">
      <w:pPr>
        <w:pStyle w:val="26"/>
        <w:spacing w:line="500" w:lineRule="exact"/>
        <w:ind w:left="899" w:leftChars="428" w:firstLine="0" w:firstLineChars="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3.投标（响应）报价低于采购项目最高限价45%的，即投标（响应）报价&lt;采购项目最高限价×45%；</w:t>
      </w:r>
    </w:p>
    <w:p w14:paraId="7BC3D3A3">
      <w:pPr>
        <w:pStyle w:val="26"/>
        <w:spacing w:line="500" w:lineRule="exact"/>
        <w:ind w:left="899" w:leftChars="428" w:firstLine="0" w:firstLineChars="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4.评审委员会基于专业判断，认为供应商报价过低，有可能影响产品质量或者不能诚信履约的其他情形。</w:t>
      </w:r>
    </w:p>
    <w:p w14:paraId="2AB76F9A">
      <w:pPr>
        <w:pStyle w:val="26"/>
        <w:spacing w:line="500" w:lineRule="exact"/>
        <w:ind w:left="899" w:leftChars="428" w:firstLine="0" w:firstLineChars="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采购人可以结合具体项目实际情况，提高上述第1项至第3项中启动异常低价投标（响应）审查的数值标准，但是最高不得超过65%。</w:t>
      </w:r>
    </w:p>
    <w:p w14:paraId="0E07B32F">
      <w:pPr>
        <w:pStyle w:val="26"/>
        <w:spacing w:line="500" w:lineRule="exact"/>
        <w:ind w:left="899" w:leftChars="428" w:firstLine="0" w:firstLineChars="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相关法律法规对供应商报价有规定的，从其规定。</w:t>
      </w:r>
    </w:p>
    <w:p w14:paraId="5674D27F">
      <w:pPr>
        <w:pStyle w:val="26"/>
        <w:spacing w:line="500" w:lineRule="exact"/>
        <w:ind w:left="899" w:leftChars="428" w:firstLine="0" w:firstLineChars="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30F8EAA9">
      <w:pPr>
        <w:pStyle w:val="26"/>
        <w:spacing w:line="500" w:lineRule="exact"/>
        <w:ind w:left="899" w:leftChars="428" w:firstLine="0" w:firstLineChars="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493CCF2A">
      <w:pPr>
        <w:pStyle w:val="26"/>
        <w:spacing w:line="500" w:lineRule="exact"/>
        <w:ind w:left="899" w:leftChars="428" w:firstLine="0" w:firstLineChars="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6BDE6DB4">
      <w:pPr>
        <w:pStyle w:val="26"/>
        <w:spacing w:line="500" w:lineRule="exact"/>
        <w:ind w:left="899" w:leftChars="428" w:firstLine="0" w:firstLineChars="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异常低价投标（响应）审查的启动原因、审查意见和审查结果应当在评审报告中记录，并随供应商提供的相关书面说明及证明材料，以及评审委员会有关互联网浏览、查询历史一并归档。</w:t>
      </w:r>
    </w:p>
    <w:p w14:paraId="055BFFC0">
      <w:pPr>
        <w:numPr>
          <w:ilvl w:val="1"/>
          <w:numId w:val="29"/>
        </w:numPr>
        <w:spacing w:line="50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投标文件报价出现前后不一致的，除招标文件另有规定外，按照下列规定修正：</w:t>
      </w:r>
    </w:p>
    <w:p w14:paraId="46A7F852">
      <w:pPr>
        <w:numPr>
          <w:ilvl w:val="2"/>
          <w:numId w:val="30"/>
        </w:numPr>
        <w:spacing w:line="50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投标文件中报价一览表内容与投标文件中明细表内容不一致的，以报价一览表为准；</w:t>
      </w:r>
    </w:p>
    <w:p w14:paraId="1B2DFEFC">
      <w:pPr>
        <w:numPr>
          <w:ilvl w:val="2"/>
          <w:numId w:val="30"/>
        </w:numPr>
        <w:spacing w:line="50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大写金额和小写金额不一致的，以大写金额为准；</w:t>
      </w:r>
    </w:p>
    <w:p w14:paraId="7DAAE6C4">
      <w:pPr>
        <w:numPr>
          <w:ilvl w:val="2"/>
          <w:numId w:val="30"/>
        </w:numPr>
        <w:spacing w:line="50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单价金额小数点或百分比有明显错位的，以开标一览表的总价为准，并修改单价；</w:t>
      </w:r>
    </w:p>
    <w:p w14:paraId="081B653A">
      <w:pPr>
        <w:numPr>
          <w:ilvl w:val="2"/>
          <w:numId w:val="30"/>
        </w:numPr>
        <w:spacing w:line="50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总价金额与按单价汇总金额不一致的，以单价金额计算结果为准。</w:t>
      </w:r>
    </w:p>
    <w:p w14:paraId="62E2397D">
      <w:pPr>
        <w:numPr>
          <w:ilvl w:val="1"/>
          <w:numId w:val="29"/>
        </w:numPr>
        <w:spacing w:line="500" w:lineRule="exact"/>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投标文件中的缺漏项将按以下方法更正：若投标人的投标报价中有缺漏项内容，评标小组将视为其投标总价已包括缺漏项内容，若其中标，有关该内容的合同价格不予调整。如果投标人不接受对其缺漏项的更正，其投标将被拒绝。</w:t>
      </w:r>
    </w:p>
    <w:p w14:paraId="60584D8C">
      <w:pPr>
        <w:numPr>
          <w:ilvl w:val="1"/>
          <w:numId w:val="29"/>
        </w:numPr>
        <w:spacing w:line="500" w:lineRule="exact"/>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对数量的评审：以《采购内容》所示数量为准；《采购内容》未明示的，由评标小组以其专业知识判断，必要时参考投标人的澄清文件决定。</w:t>
      </w:r>
    </w:p>
    <w:p w14:paraId="267FD678">
      <w:pPr>
        <w:numPr>
          <w:ilvl w:val="1"/>
          <w:numId w:val="29"/>
        </w:numPr>
        <w:spacing w:line="500" w:lineRule="exact"/>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对小型或微型企业的扶持：</w:t>
      </w:r>
    </w:p>
    <w:p w14:paraId="7248AEC1">
      <w:pPr>
        <w:pStyle w:val="26"/>
        <w:spacing w:line="500" w:lineRule="exact"/>
        <w:ind w:left="899" w:leftChars="428" w:firstLine="0" w:firstLineChars="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根据财政部、工业和信息化部制定了《政府采购促进中小企业发展管理办法》的规定，对小型或微型企业产品的价格给予一定比例扣除，用扣除后的价格参与评审本条款所称小型或微型企业应当符合以下条件：符合小型或微型企业划分标准，并且提供本企业承担的服务。投标人认为其为小型或微型企业的应提交《中小企业声明函》格式见附件2，并明确企业类型，否则评审时不能享受相应的价格扣除。提供本企业制造的货物、承担的工程或者服务，或者提供其他小型或微型企业的制造的货物。</w:t>
      </w:r>
    </w:p>
    <w:p w14:paraId="2C787534">
      <w:pPr>
        <w:pStyle w:val="26"/>
        <w:spacing w:line="500" w:lineRule="exact"/>
        <w:ind w:left="899" w:leftChars="428" w:firstLine="0" w:firstLineChars="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（2）投标人为小型、微型企业且投标产品含小型、微型企业产品时，其小型、微型企业产品的价格给予10%的扣除，即评标价=投标报价-小型、微型企业产品投标报价×10%。</w:t>
      </w:r>
    </w:p>
    <w:p w14:paraId="4D162940">
      <w:pPr>
        <w:pStyle w:val="26"/>
        <w:spacing w:line="500" w:lineRule="exact"/>
        <w:ind w:left="899" w:leftChars="428" w:firstLine="0" w:firstLineChars="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（3）根据财政部《政府采购促进中小企业发展管理办法》（财库[2020]46号文）规定，在货物类采购项目中，投标人提供的货物既有中小企业制造货物，也有大型企业制造货物的，不享受中小企业扶持政策。</w:t>
      </w:r>
    </w:p>
    <w:p w14:paraId="7938CDC3">
      <w:pPr>
        <w:numPr>
          <w:ilvl w:val="1"/>
          <w:numId w:val="29"/>
        </w:numPr>
        <w:spacing w:line="500" w:lineRule="exact"/>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监狱企业产品价格扣除</w:t>
      </w:r>
    </w:p>
    <w:p w14:paraId="4D93CD8C">
      <w:pPr>
        <w:spacing w:line="500" w:lineRule="exact"/>
        <w:ind w:left="907"/>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1）监狱企业视同小型、微型企业，按上述</w:t>
      </w:r>
      <w:r>
        <w:rPr>
          <w:rFonts w:hint="eastAsia" w:ascii="仿宋_GB2312" w:hAnsi="仿宋_GB2312" w:eastAsia="仿宋_GB2312" w:cs="仿宋_GB2312"/>
          <w:b/>
          <w:bCs/>
          <w:color w:val="auto"/>
          <w:sz w:val="32"/>
          <w:szCs w:val="32"/>
        </w:rPr>
        <w:t>27.7条款</w:t>
      </w:r>
      <w:r>
        <w:rPr>
          <w:rFonts w:hint="eastAsia" w:ascii="仿宋_GB2312" w:hAnsi="仿宋_GB2312" w:eastAsia="仿宋_GB2312" w:cs="仿宋_GB2312"/>
          <w:color w:val="auto"/>
          <w:sz w:val="32"/>
          <w:szCs w:val="32"/>
        </w:rPr>
        <w:t>享受评审中价格扣除。</w:t>
      </w:r>
    </w:p>
    <w:p w14:paraId="2ABE9435">
      <w:pPr>
        <w:spacing w:line="500" w:lineRule="exact"/>
        <w:ind w:left="907"/>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3F85D656">
      <w:pPr>
        <w:spacing w:line="500" w:lineRule="exact"/>
        <w:ind w:left="907"/>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3）监狱企业参加政府采购活动时，应当提供由省级以上监狱管理局、戒毒管理局（含新疆生产建设兵团）出具的属于监狱企业的证明文件，否则不予认可。</w:t>
      </w:r>
    </w:p>
    <w:p w14:paraId="07C48C8B">
      <w:pPr>
        <w:numPr>
          <w:ilvl w:val="1"/>
          <w:numId w:val="29"/>
        </w:numPr>
        <w:spacing w:line="500" w:lineRule="exact"/>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残疾人福利性单位产品价格扣除</w:t>
      </w:r>
    </w:p>
    <w:p w14:paraId="1941D323">
      <w:pPr>
        <w:spacing w:line="500" w:lineRule="exact"/>
        <w:ind w:left="907"/>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1）残疾人福利性单位视同小型、微型企业，按上述</w:t>
      </w:r>
      <w:r>
        <w:rPr>
          <w:rFonts w:hint="eastAsia" w:ascii="仿宋_GB2312" w:hAnsi="仿宋_GB2312" w:eastAsia="仿宋_GB2312" w:cs="仿宋_GB2312"/>
          <w:b/>
          <w:bCs/>
          <w:color w:val="auto"/>
          <w:sz w:val="32"/>
          <w:szCs w:val="32"/>
        </w:rPr>
        <w:t>27.7条款</w:t>
      </w:r>
      <w:r>
        <w:rPr>
          <w:rFonts w:hint="eastAsia" w:ascii="仿宋_GB2312" w:hAnsi="仿宋_GB2312" w:eastAsia="仿宋_GB2312" w:cs="仿宋_GB2312"/>
          <w:color w:val="auto"/>
          <w:sz w:val="32"/>
          <w:szCs w:val="32"/>
        </w:rPr>
        <w:t>享受评审中价格扣除。</w:t>
      </w:r>
    </w:p>
    <w:p w14:paraId="61D3AB02">
      <w:pPr>
        <w:spacing w:line="500" w:lineRule="exact"/>
        <w:ind w:left="907"/>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根据财政部、民政部、中国残疾人联合会印发的《关于促进残疾人就业政府采购政策的通知》（财库〔2017〕141号）的规定，符合条件的残疾人福利性单位在参加政府采购活动时，应当提供该通知规定的《残疾人福利性单位声明函》（格式见附件3），并对声明的真实性负责。一旦中标将在中标公告中公告其声明函，接受社会监督。投标人提供的《残疾人福利性单位声明函》与事实不符的，依照《中华人民共和国政府采购法》第七十七条第一款的规定追究法律责任。</w:t>
      </w:r>
    </w:p>
    <w:p w14:paraId="23BED7DE">
      <w:pPr>
        <w:numPr>
          <w:ilvl w:val="1"/>
          <w:numId w:val="29"/>
        </w:numPr>
        <w:spacing w:line="50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投标人同时为小型、微型企业、监狱企业、残疾人福利性单位任两种或以上情况的，评审中只享受一次价格扣除，不重复进行价格扣除。</w:t>
      </w:r>
    </w:p>
    <w:p w14:paraId="3FBE8D99">
      <w:pPr>
        <w:numPr>
          <w:ilvl w:val="1"/>
          <w:numId w:val="29"/>
        </w:numPr>
        <w:spacing w:line="50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节能产品，指属于财政部、发展改革委发布的《节能产品政府采购品目清单》范围内，并具有国家确定的认证机构出具的、处于有效期之内的节能产品认证证书的产品。采用节能产品的，对报价中的节能产品金额给予价格扣除，扣除方法如下：节能产品金额占项目总金额的比重达到30%以上（含30%），扣除2%；节能产品金额占项目总金额的比重达到30%以下，扣除1%；属于强制采购节能产品的，不作价格扣除。</w:t>
      </w:r>
    </w:p>
    <w:p w14:paraId="4A3A2F0C">
      <w:pPr>
        <w:numPr>
          <w:ilvl w:val="1"/>
          <w:numId w:val="29"/>
        </w:numPr>
        <w:spacing w:line="50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环境标志产品，指属于财政部、生态环境部发布的《环境标志产品政府采购品目清单》范围内的，并具有国家确定的认证机构出具的、处于有效期之内的环境标志产品认证证书的产品。采用环境标志产品的，对报价中的环境标志产品金额给予价格扣除，扣除方法如下：环境标志产品金额占项目总金额的比重达到30%以上（含30%），扣除2%；环境标志产品金额占项目总金额的比重达到30%以下，扣除1%。</w:t>
      </w:r>
    </w:p>
    <w:p w14:paraId="0F173159">
      <w:pPr>
        <w:numPr>
          <w:ilvl w:val="1"/>
          <w:numId w:val="29"/>
        </w:numPr>
        <w:spacing w:line="50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评标价的确定：按上述条款校核修正后的价格为评标价。</w:t>
      </w:r>
    </w:p>
    <w:p w14:paraId="4010E709">
      <w:pPr>
        <w:numPr>
          <w:ilvl w:val="1"/>
          <w:numId w:val="29"/>
        </w:numPr>
        <w:spacing w:line="50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评标小组成员对需要共同认定的事项存在争议的，应当按照少数服从多数的原则作出结论。持不同意见的评标小组成员应当在评标报告上签署不同意见及理由，否则视为同意评标报告。</w:t>
      </w:r>
    </w:p>
    <w:p w14:paraId="2D9BE8AC">
      <w:pPr>
        <w:keepNext/>
        <w:keepLines/>
        <w:numPr>
          <w:ilvl w:val="0"/>
          <w:numId w:val="2"/>
        </w:numPr>
        <w:tabs>
          <w:tab w:val="left" w:pos="900"/>
        </w:tabs>
        <w:spacing w:line="500" w:lineRule="exact"/>
        <w:ind w:left="924" w:hanging="924"/>
        <w:outlineLvl w:val="0"/>
        <w:rPr>
          <w:rFonts w:hint="eastAsia" w:ascii="仿宋_GB2312" w:hAnsi="仿宋_GB2312" w:eastAsia="仿宋_GB2312" w:cs="仿宋_GB2312"/>
          <w:color w:val="auto"/>
          <w:sz w:val="32"/>
          <w:szCs w:val="32"/>
        </w:rPr>
      </w:pPr>
      <w:bookmarkStart w:id="193" w:name="_Toc55778710"/>
      <w:r>
        <w:rPr>
          <w:rFonts w:hint="eastAsia" w:ascii="仿宋_GB2312" w:hAnsi="仿宋_GB2312" w:eastAsia="仿宋_GB2312" w:cs="仿宋_GB2312"/>
          <w:b/>
          <w:color w:val="auto"/>
          <w:kern w:val="44"/>
          <w:sz w:val="32"/>
          <w:szCs w:val="32"/>
        </w:rPr>
        <w:t xml:space="preserve">    </w:t>
      </w:r>
      <w:bookmarkStart w:id="194" w:name="_Toc31639"/>
      <w:bookmarkStart w:id="195" w:name="_Toc31812"/>
      <w:bookmarkStart w:id="196" w:name="_Toc25223"/>
      <w:bookmarkStart w:id="197" w:name="_Toc10625"/>
      <w:r>
        <w:rPr>
          <w:rFonts w:hint="eastAsia" w:ascii="仿宋_GB2312" w:hAnsi="仿宋_GB2312" w:eastAsia="仿宋_GB2312" w:cs="仿宋_GB2312"/>
          <w:b/>
          <w:color w:val="auto"/>
          <w:kern w:val="44"/>
          <w:sz w:val="32"/>
          <w:szCs w:val="32"/>
        </w:rPr>
        <w:t>投标文件的修正和澄清</w:t>
      </w:r>
      <w:bookmarkEnd w:id="193"/>
      <w:bookmarkEnd w:id="194"/>
      <w:bookmarkEnd w:id="195"/>
      <w:bookmarkEnd w:id="196"/>
      <w:bookmarkEnd w:id="197"/>
      <w:r>
        <w:rPr>
          <w:rFonts w:hint="eastAsia" w:ascii="仿宋_GB2312" w:hAnsi="仿宋_GB2312" w:eastAsia="仿宋_GB2312" w:cs="仿宋_GB2312"/>
          <w:b/>
          <w:color w:val="auto"/>
          <w:kern w:val="44"/>
          <w:sz w:val="32"/>
          <w:szCs w:val="32"/>
        </w:rPr>
        <w:t>、</w:t>
      </w:r>
    </w:p>
    <w:p w14:paraId="79713AF2">
      <w:pPr>
        <w:numPr>
          <w:ilvl w:val="1"/>
          <w:numId w:val="31"/>
        </w:numPr>
        <w:spacing w:line="50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评审小组在对投标文件(包括首次投标文件、重新提交的投标文件)的有效性、完整性和对招标文件的投标程度进行审查时，可以要求投标人对投标文件中含义不明确、同类问题表述不一致或者有明显文字和计算错误的内容等作出必要的澄清、说明或者更正。各投标人在项目开标、评标（审）期间应随时保持在线状态，及时查阅消息，并根据消息提醒进行投标文件在线解密等操作。随时通过交易系统接受评标（审）委员会发出的询标信息，并在规定时间内作出答复，未能按时答复的，评标（审）委员会将视同其放弃澄清。</w:t>
      </w:r>
    </w:p>
    <w:p w14:paraId="3567B38A">
      <w:pPr>
        <w:keepNext/>
        <w:keepLines/>
        <w:numPr>
          <w:ilvl w:val="0"/>
          <w:numId w:val="2"/>
        </w:numPr>
        <w:tabs>
          <w:tab w:val="left" w:pos="900"/>
        </w:tabs>
        <w:spacing w:line="500" w:lineRule="exact"/>
        <w:ind w:left="924" w:hanging="924"/>
        <w:outlineLvl w:val="0"/>
        <w:rPr>
          <w:rFonts w:hint="eastAsia" w:ascii="仿宋_GB2312" w:hAnsi="仿宋_GB2312" w:eastAsia="仿宋_GB2312" w:cs="仿宋_GB2312"/>
          <w:b/>
          <w:bCs/>
          <w:color w:val="auto"/>
          <w:kern w:val="44"/>
          <w:sz w:val="32"/>
          <w:szCs w:val="32"/>
        </w:rPr>
      </w:pPr>
      <w:bookmarkStart w:id="198" w:name="_Toc55778711"/>
      <w:r>
        <w:rPr>
          <w:rFonts w:hint="eastAsia" w:ascii="仿宋_GB2312" w:hAnsi="仿宋_GB2312" w:eastAsia="仿宋_GB2312" w:cs="仿宋_GB2312"/>
          <w:b/>
          <w:bCs/>
          <w:color w:val="auto"/>
          <w:kern w:val="44"/>
          <w:sz w:val="32"/>
          <w:szCs w:val="32"/>
        </w:rPr>
        <w:t xml:space="preserve">    </w:t>
      </w:r>
      <w:bookmarkStart w:id="199" w:name="_Toc12810"/>
      <w:bookmarkStart w:id="200" w:name="_Toc14816"/>
      <w:bookmarkStart w:id="201" w:name="_Toc30970"/>
      <w:bookmarkStart w:id="202" w:name="_Toc13122"/>
      <w:r>
        <w:rPr>
          <w:rFonts w:hint="eastAsia" w:ascii="仿宋_GB2312" w:hAnsi="仿宋_GB2312" w:eastAsia="仿宋_GB2312" w:cs="仿宋_GB2312"/>
          <w:b/>
          <w:bCs/>
          <w:color w:val="auto"/>
          <w:kern w:val="44"/>
          <w:sz w:val="32"/>
          <w:szCs w:val="32"/>
        </w:rPr>
        <w:t>评标总得分统计及推荐</w:t>
      </w:r>
      <w:bookmarkEnd w:id="198"/>
      <w:bookmarkEnd w:id="199"/>
      <w:bookmarkEnd w:id="200"/>
      <w:bookmarkEnd w:id="201"/>
      <w:bookmarkEnd w:id="202"/>
    </w:p>
    <w:p w14:paraId="2EC738C8">
      <w:pPr>
        <w:numPr>
          <w:ilvl w:val="1"/>
          <w:numId w:val="32"/>
        </w:numPr>
        <w:spacing w:line="50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评标过程中，不得去掉报价中的最高报价和最低报价。</w:t>
      </w:r>
    </w:p>
    <w:p w14:paraId="5F631F14">
      <w:pPr>
        <w:numPr>
          <w:ilvl w:val="1"/>
          <w:numId w:val="32"/>
        </w:numPr>
        <w:spacing w:line="50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评标小组各成员独立对每个投标人的投标文件进行评价，并汇总每个投标人的得分（评标总得分分值按四舍五入原则精确到小数点后两位）。</w:t>
      </w:r>
    </w:p>
    <w:p w14:paraId="497B81E7">
      <w:pPr>
        <w:numPr>
          <w:ilvl w:val="1"/>
          <w:numId w:val="32"/>
        </w:numPr>
        <w:spacing w:line="50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推荐中标候选人：评标小组成员独立对每个投标人分别评出技术、商务得分，评标小组成员的技术、商务评分的算术平均值为该投标人的技术商务得分。价格得分按价格评审办法评分。将投标人的技术商务得分和价格得分相加，计算得出各投标人的综合得分。将综合得分从高到低排序，得出投标人名次，推荐综合得分排名第一的投标人为第一中标候选人，综合得分排名第二的为第二中标候选人（得分相同的，按下列顺序比较：（1）投标报价（由低到高）；（2）技术商务评分（由高到低）；如以上都相同的，名次由评标小组随机抽取确定）。</w:t>
      </w:r>
    </w:p>
    <w:p w14:paraId="01F5E466">
      <w:pPr>
        <w:keepNext/>
        <w:keepLines/>
        <w:numPr>
          <w:ilvl w:val="0"/>
          <w:numId w:val="2"/>
        </w:numPr>
        <w:tabs>
          <w:tab w:val="left" w:pos="900"/>
        </w:tabs>
        <w:spacing w:line="500" w:lineRule="exact"/>
        <w:ind w:left="924" w:hanging="924"/>
        <w:outlineLvl w:val="0"/>
        <w:rPr>
          <w:rFonts w:hint="eastAsia" w:ascii="仿宋_GB2312" w:hAnsi="仿宋_GB2312" w:eastAsia="仿宋_GB2312" w:cs="仿宋_GB2312"/>
          <w:b/>
          <w:bCs/>
          <w:color w:val="auto"/>
          <w:kern w:val="44"/>
          <w:sz w:val="32"/>
          <w:szCs w:val="32"/>
        </w:rPr>
      </w:pPr>
      <w:bookmarkStart w:id="203" w:name="_Toc55778712"/>
      <w:r>
        <w:rPr>
          <w:rFonts w:hint="eastAsia" w:ascii="仿宋_GB2312" w:hAnsi="仿宋_GB2312" w:eastAsia="仿宋_GB2312" w:cs="仿宋_GB2312"/>
          <w:b/>
          <w:color w:val="auto"/>
          <w:kern w:val="44"/>
          <w:sz w:val="32"/>
          <w:szCs w:val="32"/>
        </w:rPr>
        <w:t xml:space="preserve">    </w:t>
      </w:r>
      <w:bookmarkStart w:id="204" w:name="_Toc22167"/>
      <w:bookmarkStart w:id="205" w:name="_Toc10277"/>
      <w:bookmarkStart w:id="206" w:name="_Toc160"/>
      <w:bookmarkStart w:id="207" w:name="_Toc23908"/>
      <w:r>
        <w:rPr>
          <w:rFonts w:hint="eastAsia" w:ascii="仿宋_GB2312" w:hAnsi="仿宋_GB2312" w:eastAsia="仿宋_GB2312" w:cs="仿宋_GB2312"/>
          <w:b/>
          <w:color w:val="auto"/>
          <w:kern w:val="44"/>
          <w:sz w:val="32"/>
          <w:szCs w:val="32"/>
        </w:rPr>
        <w:t>定标</w:t>
      </w:r>
      <w:bookmarkEnd w:id="203"/>
      <w:bookmarkEnd w:id="204"/>
      <w:bookmarkEnd w:id="205"/>
      <w:bookmarkEnd w:id="206"/>
      <w:bookmarkEnd w:id="207"/>
    </w:p>
    <w:p w14:paraId="2569C955">
      <w:pPr>
        <w:numPr>
          <w:ilvl w:val="1"/>
          <w:numId w:val="33"/>
        </w:numPr>
        <w:spacing w:line="50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采购代理机构提交评标报告报采购人确认，采购人在收到评标报告5个工作日内确定中标人，按照评标报告中推荐的中标候选人顺序确定中标人，也可以事先授权评标小组直接确定中标人。确认后采购代理机构将在发布本项目招标公告的法定媒体上发布中标公告。</w:t>
      </w:r>
    </w:p>
    <w:p w14:paraId="20CC0FAA">
      <w:pPr>
        <w:numPr>
          <w:ilvl w:val="1"/>
          <w:numId w:val="33"/>
        </w:numPr>
        <w:spacing w:line="50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中标人拒绝与采购人签订合同的，采购人可以按照评审报告推荐的中标候选人名单排序，确定下一候选人为中标人，也可以重新开展政府采购活动。</w:t>
      </w:r>
    </w:p>
    <w:p w14:paraId="75B88604">
      <w:pPr>
        <w:numPr>
          <w:ilvl w:val="1"/>
          <w:numId w:val="33"/>
        </w:numPr>
        <w:spacing w:line="50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中标人放弃中标或者中标资格被依法确认无效的，采购人可以按照排序从其他中标候选人中确定中标人或重新组织采购活动。</w:t>
      </w:r>
    </w:p>
    <w:p w14:paraId="45EE4CCB">
      <w:pPr>
        <w:keepNext/>
        <w:keepLines/>
        <w:numPr>
          <w:ilvl w:val="0"/>
          <w:numId w:val="2"/>
        </w:numPr>
        <w:tabs>
          <w:tab w:val="left" w:pos="900"/>
        </w:tabs>
        <w:spacing w:line="500" w:lineRule="exact"/>
        <w:ind w:left="924" w:hanging="924"/>
        <w:outlineLvl w:val="0"/>
        <w:rPr>
          <w:rFonts w:hint="eastAsia" w:ascii="仿宋_GB2312" w:hAnsi="仿宋_GB2312" w:eastAsia="仿宋_GB2312" w:cs="仿宋_GB2312"/>
          <w:b/>
          <w:bCs/>
          <w:color w:val="auto"/>
          <w:kern w:val="44"/>
          <w:sz w:val="32"/>
          <w:szCs w:val="32"/>
        </w:rPr>
      </w:pPr>
      <w:bookmarkStart w:id="208" w:name="_Toc55778713"/>
      <w:r>
        <w:rPr>
          <w:rFonts w:hint="eastAsia" w:ascii="仿宋_GB2312" w:hAnsi="仿宋_GB2312" w:eastAsia="仿宋_GB2312" w:cs="仿宋_GB2312"/>
          <w:b/>
          <w:bCs/>
          <w:color w:val="auto"/>
          <w:kern w:val="44"/>
          <w:sz w:val="32"/>
          <w:szCs w:val="32"/>
        </w:rPr>
        <w:t xml:space="preserve">    </w:t>
      </w:r>
      <w:bookmarkStart w:id="209" w:name="_Toc6845"/>
      <w:bookmarkStart w:id="210" w:name="_Toc31442"/>
      <w:bookmarkStart w:id="211" w:name="_Toc14184"/>
      <w:bookmarkStart w:id="212" w:name="_Toc5256"/>
      <w:r>
        <w:rPr>
          <w:rFonts w:hint="eastAsia" w:ascii="仿宋_GB2312" w:hAnsi="仿宋_GB2312" w:eastAsia="仿宋_GB2312" w:cs="仿宋_GB2312"/>
          <w:b/>
          <w:bCs/>
          <w:color w:val="auto"/>
          <w:kern w:val="44"/>
          <w:sz w:val="32"/>
          <w:szCs w:val="32"/>
        </w:rPr>
        <w:t>特别说明</w:t>
      </w:r>
      <w:bookmarkEnd w:id="208"/>
      <w:bookmarkEnd w:id="209"/>
      <w:bookmarkEnd w:id="210"/>
      <w:bookmarkEnd w:id="211"/>
      <w:bookmarkEnd w:id="212"/>
    </w:p>
    <w:p w14:paraId="4048CB6E">
      <w:pPr>
        <w:numPr>
          <w:ilvl w:val="1"/>
          <w:numId w:val="34"/>
        </w:numPr>
        <w:spacing w:line="50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有下列情形之一的，视为投标人串通投标，其投标无效：</w:t>
      </w:r>
    </w:p>
    <w:p w14:paraId="21608FE2">
      <w:pPr>
        <w:numPr>
          <w:ilvl w:val="2"/>
          <w:numId w:val="35"/>
        </w:numPr>
        <w:spacing w:line="50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不同投标人的投标文件由同一单位或者个人编制；</w:t>
      </w:r>
    </w:p>
    <w:p w14:paraId="258EDF66">
      <w:pPr>
        <w:numPr>
          <w:ilvl w:val="2"/>
          <w:numId w:val="35"/>
        </w:numPr>
        <w:spacing w:line="50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不同投标人委托同一单位或者个人办理投标事宜；</w:t>
      </w:r>
    </w:p>
    <w:p w14:paraId="00A5811E">
      <w:pPr>
        <w:numPr>
          <w:ilvl w:val="2"/>
          <w:numId w:val="35"/>
        </w:numPr>
        <w:spacing w:line="50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不同投标人的投标文件载明的项目管理成员或者联系人员为同一人；</w:t>
      </w:r>
    </w:p>
    <w:p w14:paraId="77A589CC">
      <w:pPr>
        <w:numPr>
          <w:ilvl w:val="2"/>
          <w:numId w:val="35"/>
        </w:numPr>
        <w:spacing w:line="50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不同投标人的投标文件异常一致或者投标报价呈规律性差异；</w:t>
      </w:r>
    </w:p>
    <w:p w14:paraId="7E9EED26">
      <w:pPr>
        <w:numPr>
          <w:ilvl w:val="2"/>
          <w:numId w:val="35"/>
        </w:numPr>
        <w:spacing w:line="50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不同投标人的投标文件相互混装；</w:t>
      </w:r>
    </w:p>
    <w:p w14:paraId="7317DADF">
      <w:pPr>
        <w:numPr>
          <w:ilvl w:val="2"/>
          <w:numId w:val="35"/>
        </w:numPr>
        <w:spacing w:line="50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不同投标人的投标保证金从同一单位或者个人的账户转出。</w:t>
      </w:r>
    </w:p>
    <w:p w14:paraId="5DCF28DA">
      <w:pPr>
        <w:numPr>
          <w:ilvl w:val="1"/>
          <w:numId w:val="34"/>
        </w:numPr>
        <w:spacing w:line="50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投标人存在下列情况之一的，投标无效:</w:t>
      </w:r>
    </w:p>
    <w:p w14:paraId="2868D7C4">
      <w:pPr>
        <w:numPr>
          <w:ilvl w:val="2"/>
          <w:numId w:val="36"/>
        </w:numPr>
        <w:spacing w:line="50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未按照招标文件的规定提交投标保证金的；</w:t>
      </w:r>
    </w:p>
    <w:p w14:paraId="5B62285A">
      <w:pPr>
        <w:numPr>
          <w:ilvl w:val="2"/>
          <w:numId w:val="36"/>
        </w:numPr>
        <w:spacing w:line="50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投标文件未按招标文件要求签署、盖章的；</w:t>
      </w:r>
    </w:p>
    <w:p w14:paraId="5BE5500E">
      <w:pPr>
        <w:numPr>
          <w:ilvl w:val="2"/>
          <w:numId w:val="36"/>
        </w:numPr>
        <w:spacing w:line="50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不具备招标文件中规定的资格要求的；</w:t>
      </w:r>
    </w:p>
    <w:p w14:paraId="22996114">
      <w:pPr>
        <w:numPr>
          <w:ilvl w:val="2"/>
          <w:numId w:val="36"/>
        </w:numPr>
        <w:spacing w:line="50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报价超过招标文件中规定的预算金额或者最高限价的；</w:t>
      </w:r>
    </w:p>
    <w:p w14:paraId="17FCC016">
      <w:pPr>
        <w:numPr>
          <w:ilvl w:val="2"/>
          <w:numId w:val="36"/>
        </w:numPr>
        <w:spacing w:line="50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投标文件含有采购人不能接受的附加条件的；</w:t>
      </w:r>
    </w:p>
    <w:p w14:paraId="2F145F2A">
      <w:pPr>
        <w:numPr>
          <w:ilvl w:val="2"/>
          <w:numId w:val="36"/>
        </w:numPr>
        <w:spacing w:line="50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法律、法规和招标文件规定的其他无效情形。</w:t>
      </w:r>
    </w:p>
    <w:p w14:paraId="10D421C9">
      <w:pPr>
        <w:numPr>
          <w:ilvl w:val="1"/>
          <w:numId w:val="34"/>
        </w:numPr>
        <w:spacing w:line="500" w:lineRule="exact"/>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 xml:space="preserve">在招标采购中，出现下列情形之一的，应予废标： </w:t>
      </w:r>
    </w:p>
    <w:p w14:paraId="34859AF0">
      <w:pPr>
        <w:numPr>
          <w:ilvl w:val="2"/>
          <w:numId w:val="37"/>
        </w:numPr>
        <w:spacing w:line="50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符合专业条件的投标人或者对招标文件作实质响应的投标人不足三家的； </w:t>
      </w:r>
    </w:p>
    <w:p w14:paraId="11BC17D0">
      <w:pPr>
        <w:numPr>
          <w:ilvl w:val="2"/>
          <w:numId w:val="37"/>
        </w:numPr>
        <w:spacing w:line="50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出现影响采购公正的违法、违规行为的； </w:t>
      </w:r>
    </w:p>
    <w:p w14:paraId="6127F843">
      <w:pPr>
        <w:numPr>
          <w:ilvl w:val="2"/>
          <w:numId w:val="37"/>
        </w:numPr>
        <w:spacing w:line="50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投标人的报价均超过了采购预算，采购人不能支付的； </w:t>
      </w:r>
    </w:p>
    <w:p w14:paraId="26F7776F">
      <w:pPr>
        <w:numPr>
          <w:ilvl w:val="2"/>
          <w:numId w:val="37"/>
        </w:numPr>
        <w:spacing w:line="50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因重大变故，采购任务取消的。 </w:t>
      </w:r>
    </w:p>
    <w:p w14:paraId="7DF52E23">
      <w:pPr>
        <w:keepNext/>
        <w:keepLines/>
        <w:numPr>
          <w:ilvl w:val="0"/>
          <w:numId w:val="2"/>
        </w:numPr>
        <w:tabs>
          <w:tab w:val="left" w:pos="900"/>
        </w:tabs>
        <w:spacing w:line="500" w:lineRule="exact"/>
        <w:ind w:left="924" w:hanging="924"/>
        <w:outlineLvl w:val="0"/>
        <w:rPr>
          <w:rFonts w:hint="eastAsia" w:ascii="仿宋_GB2312" w:hAnsi="仿宋_GB2312" w:eastAsia="仿宋_GB2312" w:cs="仿宋_GB2312"/>
          <w:b/>
          <w:bCs/>
          <w:color w:val="auto"/>
          <w:kern w:val="44"/>
          <w:sz w:val="32"/>
          <w:szCs w:val="32"/>
        </w:rPr>
      </w:pPr>
      <w:bookmarkStart w:id="213" w:name="_Toc55778714"/>
      <w:r>
        <w:rPr>
          <w:rFonts w:hint="eastAsia" w:ascii="仿宋_GB2312" w:hAnsi="仿宋_GB2312" w:eastAsia="仿宋_GB2312" w:cs="仿宋_GB2312"/>
          <w:b/>
          <w:bCs/>
          <w:color w:val="auto"/>
          <w:kern w:val="44"/>
          <w:sz w:val="32"/>
          <w:szCs w:val="32"/>
        </w:rPr>
        <w:t xml:space="preserve">   </w:t>
      </w:r>
      <w:bookmarkStart w:id="214" w:name="_Toc12971"/>
      <w:bookmarkStart w:id="215" w:name="_Toc14583"/>
      <w:bookmarkStart w:id="216" w:name="_Toc29878"/>
      <w:bookmarkStart w:id="217" w:name="_Toc30472"/>
      <w:r>
        <w:rPr>
          <w:rFonts w:hint="eastAsia" w:ascii="仿宋_GB2312" w:hAnsi="仿宋_GB2312" w:eastAsia="仿宋_GB2312" w:cs="仿宋_GB2312"/>
          <w:b/>
          <w:bCs/>
          <w:color w:val="auto"/>
          <w:kern w:val="44"/>
          <w:sz w:val="32"/>
          <w:szCs w:val="32"/>
        </w:rPr>
        <w:t>与采购代理机构和采购人的接触</w:t>
      </w:r>
      <w:bookmarkEnd w:id="213"/>
      <w:bookmarkEnd w:id="214"/>
      <w:bookmarkEnd w:id="215"/>
      <w:bookmarkEnd w:id="216"/>
      <w:bookmarkEnd w:id="217"/>
    </w:p>
    <w:p w14:paraId="2EE4497C">
      <w:pPr>
        <w:numPr>
          <w:ilvl w:val="1"/>
          <w:numId w:val="38"/>
        </w:numPr>
        <w:spacing w:line="50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除本须知规定外，从开标之日起至授予合同期间，投标人不得就与其投标有关的事项与采购代理机构、采购人和评标小组接触。</w:t>
      </w:r>
    </w:p>
    <w:p w14:paraId="313288D3">
      <w:pPr>
        <w:numPr>
          <w:ilvl w:val="1"/>
          <w:numId w:val="38"/>
        </w:numPr>
        <w:spacing w:line="50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投标人试图对采购代理机构、采购人和评标小组的评标或授予合同的决定进行影响，都可能导致其投标被拒绝。</w:t>
      </w:r>
    </w:p>
    <w:p w14:paraId="3A7D2A36">
      <w:pPr>
        <w:pStyle w:val="3"/>
        <w:spacing w:before="60" w:after="60" w:line="700" w:lineRule="exact"/>
        <w:ind w:left="420" w:hanging="420"/>
        <w:jc w:val="center"/>
        <w:rPr>
          <w:rFonts w:hint="eastAsia" w:ascii="Times New Roman" w:hAnsi="Times New Roman"/>
          <w:b w:val="0"/>
          <w:bCs w:val="0"/>
          <w:color w:val="auto"/>
          <w:lang w:val="zh-CN"/>
        </w:rPr>
      </w:pPr>
      <w:bookmarkStart w:id="218" w:name="_Toc55778715"/>
      <w:bookmarkStart w:id="219" w:name="_Toc8757"/>
      <w:bookmarkStart w:id="220" w:name="_Toc4267"/>
      <w:r>
        <w:rPr>
          <w:rFonts w:hint="eastAsia" w:ascii="Times New Roman" w:hAnsi="Times New Roman"/>
          <w:b w:val="0"/>
          <w:bCs w:val="0"/>
          <w:color w:val="auto"/>
          <w:lang w:val="zh-CN"/>
        </w:rPr>
        <w:t>六、质疑与投诉</w:t>
      </w:r>
      <w:bookmarkEnd w:id="218"/>
      <w:bookmarkEnd w:id="219"/>
      <w:bookmarkEnd w:id="220"/>
    </w:p>
    <w:p w14:paraId="7E3E9F00">
      <w:pPr>
        <w:keepNext/>
        <w:keepLines/>
        <w:numPr>
          <w:ilvl w:val="0"/>
          <w:numId w:val="2"/>
        </w:numPr>
        <w:tabs>
          <w:tab w:val="left" w:pos="900"/>
        </w:tabs>
        <w:spacing w:line="500" w:lineRule="exact"/>
        <w:ind w:left="924" w:hanging="924"/>
        <w:outlineLvl w:val="0"/>
        <w:rPr>
          <w:rFonts w:hint="eastAsia" w:ascii="仿宋_GB2312" w:hAnsi="仿宋_GB2312" w:eastAsia="仿宋_GB2312" w:cs="仿宋_GB2312"/>
          <w:b/>
          <w:bCs/>
          <w:color w:val="auto"/>
          <w:kern w:val="44"/>
          <w:sz w:val="32"/>
          <w:szCs w:val="32"/>
        </w:rPr>
      </w:pPr>
      <w:bookmarkStart w:id="221" w:name="_Toc28035"/>
      <w:bookmarkStart w:id="222" w:name="_Toc55778716"/>
      <w:r>
        <w:rPr>
          <w:rFonts w:hint="eastAsia" w:ascii="仿宋_GB2312" w:hAnsi="仿宋_GB2312" w:eastAsia="仿宋_GB2312" w:cs="仿宋_GB2312"/>
          <w:b/>
          <w:bCs/>
          <w:color w:val="auto"/>
          <w:kern w:val="44"/>
          <w:sz w:val="32"/>
          <w:szCs w:val="32"/>
        </w:rPr>
        <w:t xml:space="preserve">    </w:t>
      </w:r>
      <w:bookmarkStart w:id="223" w:name="_Toc22749"/>
      <w:bookmarkStart w:id="224" w:name="_Toc5828"/>
      <w:bookmarkStart w:id="225" w:name="_Toc26722"/>
      <w:bookmarkStart w:id="226" w:name="_Toc6727"/>
      <w:r>
        <w:rPr>
          <w:rFonts w:hint="eastAsia" w:ascii="仿宋_GB2312" w:hAnsi="仿宋_GB2312" w:eastAsia="仿宋_GB2312" w:cs="仿宋_GB2312"/>
          <w:b/>
          <w:bCs/>
          <w:color w:val="auto"/>
          <w:kern w:val="44"/>
          <w:sz w:val="32"/>
          <w:szCs w:val="32"/>
        </w:rPr>
        <w:t>询问</w:t>
      </w:r>
      <w:bookmarkEnd w:id="221"/>
      <w:bookmarkEnd w:id="222"/>
      <w:bookmarkEnd w:id="223"/>
      <w:bookmarkEnd w:id="224"/>
      <w:bookmarkEnd w:id="225"/>
      <w:bookmarkEnd w:id="226"/>
    </w:p>
    <w:p w14:paraId="328183A2">
      <w:pPr>
        <w:numPr>
          <w:ilvl w:val="1"/>
          <w:numId w:val="39"/>
        </w:numPr>
        <w:spacing w:line="50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投标人对招标活动事项（招标文件、招标过程和中标结果）有疑问的，可以向采购代理机构和采购人提出询问，采购代理机构和采购人将及时作出答复，但答复的内容不涉及商业秘密。询问可以口头方式提出，也可以书面方式提出，书面方式包括但不限于传真、信函、电子邮件。</w:t>
      </w:r>
    </w:p>
    <w:p w14:paraId="2F593818">
      <w:pPr>
        <w:numPr>
          <w:ilvl w:val="1"/>
          <w:numId w:val="39"/>
        </w:numPr>
        <w:spacing w:line="50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如采用书面方式提出询问，投标人为自然人的，询问函应当由本人签字；投标人为法人或者其他组织的，应当由法定代表人、主要负责人或授权代表签字或者盖章，并加盖公章。投标人递交询问函时非法定代表人亲自办理的需提供法定代表人授权委托书（应载明授权代表的姓名或者名称、代理事项、具体权限、期限和相关事项）及授权代表身份证复印件。</w:t>
      </w:r>
    </w:p>
    <w:p w14:paraId="542008BC">
      <w:pPr>
        <w:numPr>
          <w:ilvl w:val="1"/>
          <w:numId w:val="39"/>
        </w:numPr>
        <w:spacing w:line="50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招标采购单位在三个工作日内对投标人依法提出的询问作出答复。</w:t>
      </w:r>
    </w:p>
    <w:p w14:paraId="25DC9ED5">
      <w:pPr>
        <w:keepNext/>
        <w:keepLines/>
        <w:numPr>
          <w:ilvl w:val="0"/>
          <w:numId w:val="2"/>
        </w:numPr>
        <w:tabs>
          <w:tab w:val="left" w:pos="900"/>
        </w:tabs>
        <w:spacing w:line="500" w:lineRule="exact"/>
        <w:ind w:left="924" w:hanging="924"/>
        <w:outlineLvl w:val="0"/>
        <w:rPr>
          <w:rFonts w:hint="eastAsia" w:ascii="仿宋_GB2312" w:hAnsi="仿宋_GB2312" w:eastAsia="仿宋_GB2312" w:cs="仿宋_GB2312"/>
          <w:b/>
          <w:bCs/>
          <w:color w:val="auto"/>
          <w:kern w:val="44"/>
          <w:sz w:val="32"/>
          <w:szCs w:val="32"/>
        </w:rPr>
      </w:pPr>
      <w:bookmarkStart w:id="227" w:name="_Toc922"/>
      <w:bookmarkStart w:id="228" w:name="_Toc55778717"/>
      <w:r>
        <w:rPr>
          <w:rFonts w:hint="eastAsia" w:ascii="仿宋_GB2312" w:hAnsi="仿宋_GB2312" w:eastAsia="仿宋_GB2312" w:cs="仿宋_GB2312"/>
          <w:b/>
          <w:bCs/>
          <w:color w:val="auto"/>
          <w:kern w:val="44"/>
          <w:sz w:val="32"/>
          <w:szCs w:val="32"/>
        </w:rPr>
        <w:t xml:space="preserve">    </w:t>
      </w:r>
      <w:bookmarkStart w:id="229" w:name="_Toc31010"/>
      <w:bookmarkStart w:id="230" w:name="_Toc2109"/>
      <w:bookmarkStart w:id="231" w:name="_Toc9977"/>
      <w:bookmarkStart w:id="232" w:name="_Toc16083"/>
      <w:r>
        <w:rPr>
          <w:rFonts w:hint="eastAsia" w:ascii="仿宋_GB2312" w:hAnsi="仿宋_GB2312" w:eastAsia="仿宋_GB2312" w:cs="仿宋_GB2312"/>
          <w:b/>
          <w:bCs/>
          <w:color w:val="auto"/>
          <w:kern w:val="44"/>
          <w:sz w:val="32"/>
          <w:szCs w:val="32"/>
        </w:rPr>
        <w:t>质疑</w:t>
      </w:r>
      <w:bookmarkEnd w:id="227"/>
      <w:bookmarkEnd w:id="228"/>
      <w:bookmarkEnd w:id="229"/>
      <w:bookmarkEnd w:id="230"/>
      <w:bookmarkEnd w:id="231"/>
      <w:bookmarkEnd w:id="232"/>
    </w:p>
    <w:p w14:paraId="5D667A7D">
      <w:pPr>
        <w:numPr>
          <w:ilvl w:val="1"/>
          <w:numId w:val="40"/>
        </w:numPr>
        <w:spacing w:line="50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质疑期限</w:t>
      </w:r>
    </w:p>
    <w:p w14:paraId="313E234F">
      <w:pPr>
        <w:numPr>
          <w:ilvl w:val="2"/>
          <w:numId w:val="41"/>
        </w:numPr>
        <w:spacing w:line="50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投标人认为招标文件的内容损害其权益的，应在收到招标文件之日或者招标文件公告期届满之日起七个工作日内。（注：投标人获取招标文件之日早于招标文件公告期限届满之日的，则以投标人获取招标文件之日为质疑时效期间的起算日期；否则，以招标文件公告期限届满之日为质疑时效期间的起算日期）。</w:t>
      </w:r>
    </w:p>
    <w:p w14:paraId="0C540C3F">
      <w:pPr>
        <w:numPr>
          <w:ilvl w:val="2"/>
          <w:numId w:val="41"/>
        </w:numPr>
        <w:spacing w:line="50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投标人认为采购过程损害其权益的，应在各采购程序环节结束之日起七个工作日内。</w:t>
      </w:r>
    </w:p>
    <w:p w14:paraId="008F41CE">
      <w:pPr>
        <w:numPr>
          <w:ilvl w:val="2"/>
          <w:numId w:val="41"/>
        </w:numPr>
        <w:spacing w:line="50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投标人认为中标或者成交结果损害其权益的，应在中标或者成交结果公告期限届满之日起七个工作日内。</w:t>
      </w:r>
    </w:p>
    <w:p w14:paraId="4C27B8AC">
      <w:pPr>
        <w:numPr>
          <w:ilvl w:val="1"/>
          <w:numId w:val="40"/>
        </w:numPr>
        <w:spacing w:line="50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提交的要求：</w:t>
      </w:r>
    </w:p>
    <w:p w14:paraId="6058A154">
      <w:pPr>
        <w:numPr>
          <w:ilvl w:val="2"/>
          <w:numId w:val="42"/>
        </w:numPr>
        <w:spacing w:line="50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以书面形式（加盖投标人公章，投标人以电话、传真或电邮形式提交的质疑属于无效质疑）向招标采购单位提出质疑。</w:t>
      </w:r>
    </w:p>
    <w:p w14:paraId="1B2C8895">
      <w:pPr>
        <w:numPr>
          <w:ilvl w:val="2"/>
          <w:numId w:val="42"/>
        </w:numPr>
        <w:spacing w:line="50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质疑书内容：应包括具体的质疑项目的名称及编号、具体明确的质疑事项和与质疑事项相关的请求、事实依据、必要的法律依据、提出质疑的日期、投标人名称及地址、授权代表姓名及其联系电话、质疑时间投标人的姓名或者名称、地址、邮编、联系人及联系电话。质疑书应当署名并由法定代表人或授权代表签字并加盖公章。投标人递交质疑书时需提供质疑书原件、法定代表人授权委托书（应载明委托代理的具体权限及事项）及授权代表身份证复印件。</w:t>
      </w:r>
    </w:p>
    <w:p w14:paraId="78AAFDAE">
      <w:pPr>
        <w:numPr>
          <w:ilvl w:val="2"/>
          <w:numId w:val="42"/>
        </w:numPr>
        <w:spacing w:line="50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投标人质疑应当有明确的请求和必要的证明材料，捏造事实、提供虚假材料或者以非法手段取得证明材料不能作为质疑的证明材料。</w:t>
      </w:r>
    </w:p>
    <w:p w14:paraId="31AF4897">
      <w:pPr>
        <w:numPr>
          <w:ilvl w:val="1"/>
          <w:numId w:val="40"/>
        </w:numPr>
        <w:spacing w:line="50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质疑人进行质疑应当符合下列条件：</w:t>
      </w:r>
    </w:p>
    <w:p w14:paraId="26A034A4">
      <w:pPr>
        <w:numPr>
          <w:ilvl w:val="0"/>
          <w:numId w:val="43"/>
        </w:numPr>
        <w:tabs>
          <w:tab w:val="left" w:pos="1272"/>
        </w:tabs>
        <w:spacing w:line="500" w:lineRule="exact"/>
        <w:ind w:left="1272" w:hanging="424"/>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质疑人是参与所质疑政府采购项目的投标人；</w:t>
      </w:r>
    </w:p>
    <w:p w14:paraId="5D4C5F54">
      <w:pPr>
        <w:numPr>
          <w:ilvl w:val="0"/>
          <w:numId w:val="43"/>
        </w:numPr>
        <w:tabs>
          <w:tab w:val="left" w:pos="1272"/>
        </w:tabs>
        <w:spacing w:line="500" w:lineRule="exact"/>
        <w:ind w:left="1272" w:hanging="424"/>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在质疑有效期内提起质疑；</w:t>
      </w:r>
    </w:p>
    <w:p w14:paraId="1215B920">
      <w:pPr>
        <w:numPr>
          <w:ilvl w:val="0"/>
          <w:numId w:val="43"/>
        </w:numPr>
        <w:tabs>
          <w:tab w:val="left" w:pos="1272"/>
        </w:tabs>
        <w:spacing w:line="500" w:lineRule="exact"/>
        <w:ind w:left="1272" w:hanging="424"/>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法律法规规定的其他条件。</w:t>
      </w:r>
    </w:p>
    <w:p w14:paraId="5C8FE44A">
      <w:pPr>
        <w:numPr>
          <w:ilvl w:val="1"/>
          <w:numId w:val="40"/>
        </w:numPr>
        <w:spacing w:line="50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采购代理机构和采购人在收到投标投标人的书面质疑后7个工作日内作出答复，并以书面形式通知质疑投标投标人和其他有关投标投标人，但答复内容不涉及商业秘密。质疑投标投标人须提供相关证明材料，包括但不限于权益受损害的情况说明及受损害的原因、证据内容等，并对质疑内容的真实性承担责任。</w:t>
      </w:r>
    </w:p>
    <w:p w14:paraId="5E14EE1E">
      <w:pPr>
        <w:numPr>
          <w:ilvl w:val="1"/>
          <w:numId w:val="40"/>
        </w:numPr>
        <w:spacing w:line="50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对于捏造事实、滥用维权扰乱采购秩序的恶意质疑者或举证不全查无实据被驳回次数在一年内达三次以上，将纳入不良行为记录名单并承担相应的法律责任。</w:t>
      </w:r>
    </w:p>
    <w:p w14:paraId="20556303">
      <w:pPr>
        <w:numPr>
          <w:ilvl w:val="1"/>
          <w:numId w:val="40"/>
        </w:numPr>
        <w:spacing w:line="50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质疑联系方式：</w:t>
      </w:r>
    </w:p>
    <w:p w14:paraId="40906795">
      <w:pPr>
        <w:spacing w:line="500" w:lineRule="exact"/>
        <w:ind w:left="899" w:leftChars="428"/>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采购代理机构：新疆金斌工程项目管理有限公司</w:t>
      </w:r>
    </w:p>
    <w:p w14:paraId="5C6F658E">
      <w:pPr>
        <w:spacing w:line="500" w:lineRule="exact"/>
        <w:ind w:firstLine="1280" w:firstLineChars="4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联系人：黄新新</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t xml:space="preserve">  电话：13201118511</w:t>
      </w:r>
    </w:p>
    <w:p w14:paraId="73EEB12C">
      <w:pPr>
        <w:spacing w:line="500" w:lineRule="exact"/>
        <w:ind w:left="5118" w:leftChars="456" w:hanging="4160" w:hangingChars="13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邮编：835000        地址：</w:t>
      </w:r>
      <w:r>
        <w:rPr>
          <w:rFonts w:hint="eastAsia" w:ascii="仿宋_GB2312" w:hAnsi="仿宋_GB2312" w:eastAsia="仿宋_GB2312" w:cs="仿宋_GB2312"/>
          <w:color w:val="auto"/>
          <w:sz w:val="32"/>
          <w:szCs w:val="32"/>
          <w:lang w:val="zh-CN"/>
        </w:rPr>
        <w:t>伊宁市开发区河北路福安国际1号商业楼413室</w:t>
      </w:r>
    </w:p>
    <w:p w14:paraId="682921CC">
      <w:pPr>
        <w:numPr>
          <w:ilvl w:val="1"/>
          <w:numId w:val="40"/>
        </w:numPr>
        <w:spacing w:line="50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 xml:space="preserve">质疑函格式 </w:t>
      </w:r>
    </w:p>
    <w:p w14:paraId="7F03F9FB">
      <w:pPr>
        <w:pStyle w:val="4"/>
        <w:spacing w:line="500" w:lineRule="exact"/>
        <w:rPr>
          <w:rFonts w:hint="eastAsia" w:ascii="仿宋_GB2312" w:hAnsi="仿宋_GB2312" w:eastAsia="仿宋_GB2312" w:cs="仿宋_GB2312"/>
          <w:color w:val="auto"/>
          <w:sz w:val="32"/>
          <w:szCs w:val="32"/>
        </w:rPr>
      </w:pPr>
    </w:p>
    <w:p w14:paraId="45841542">
      <w:pPr>
        <w:widowControl/>
        <w:spacing w:line="500" w:lineRule="exact"/>
        <w:jc w:val="center"/>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kern w:val="0"/>
          <w:sz w:val="32"/>
          <w:szCs w:val="32"/>
        </w:rPr>
        <w:t>质疑函范本</w:t>
      </w:r>
    </w:p>
    <w:p w14:paraId="277D23DB">
      <w:pPr>
        <w:adjustRightInd w:val="0"/>
        <w:snapToGrid w:val="0"/>
        <w:spacing w:line="500" w:lineRule="exact"/>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一、质疑投标人基本信息</w:t>
      </w:r>
    </w:p>
    <w:p w14:paraId="2716DA86">
      <w:pPr>
        <w:adjustRightInd w:val="0"/>
        <w:snapToGrid w:val="0"/>
        <w:spacing w:line="500" w:lineRule="exact"/>
        <w:rPr>
          <w:rFonts w:hint="eastAsia" w:ascii="仿宋_GB2312" w:hAnsi="仿宋_GB2312" w:eastAsia="仿宋_GB2312" w:cs="仿宋_GB2312"/>
          <w:color w:val="auto"/>
          <w:sz w:val="32"/>
          <w:szCs w:val="32"/>
          <w:u w:val="dotted"/>
        </w:rPr>
      </w:pPr>
      <w:r>
        <w:rPr>
          <w:rFonts w:hint="eastAsia" w:ascii="仿宋_GB2312" w:hAnsi="仿宋_GB2312" w:eastAsia="仿宋_GB2312" w:cs="仿宋_GB2312"/>
          <w:color w:val="auto"/>
          <w:sz w:val="32"/>
          <w:szCs w:val="32"/>
        </w:rPr>
        <w:t>质疑投标人：</w:t>
      </w:r>
      <w:r>
        <w:rPr>
          <w:rFonts w:hint="eastAsia" w:ascii="仿宋_GB2312" w:hAnsi="仿宋_GB2312" w:eastAsia="仿宋_GB2312" w:cs="仿宋_GB2312"/>
          <w:color w:val="auto"/>
          <w:sz w:val="32"/>
          <w:szCs w:val="32"/>
          <w:u w:val="single"/>
        </w:rPr>
        <w:t xml:space="preserve">                                        </w:t>
      </w:r>
    </w:p>
    <w:p w14:paraId="3E6D410F">
      <w:pPr>
        <w:adjustRightInd w:val="0"/>
        <w:snapToGrid w:val="0"/>
        <w:spacing w:line="50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地址：                          邮编：                                                   </w:t>
      </w:r>
    </w:p>
    <w:p w14:paraId="3FB8EC84">
      <w:pPr>
        <w:adjustRightInd w:val="0"/>
        <w:snapToGrid w:val="0"/>
        <w:spacing w:line="50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联系人：                      联系电话：                              </w:t>
      </w:r>
    </w:p>
    <w:p w14:paraId="18E8C660">
      <w:pPr>
        <w:adjustRightInd w:val="0"/>
        <w:snapToGrid w:val="0"/>
        <w:spacing w:line="50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授权代表：                                          </w:t>
      </w:r>
    </w:p>
    <w:p w14:paraId="0071AC99">
      <w:pPr>
        <w:adjustRightInd w:val="0"/>
        <w:snapToGrid w:val="0"/>
        <w:spacing w:line="50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联系电话：                                            </w:t>
      </w:r>
    </w:p>
    <w:p w14:paraId="14550989">
      <w:pPr>
        <w:adjustRightInd w:val="0"/>
        <w:snapToGrid w:val="0"/>
        <w:spacing w:line="50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地址：                         邮编：                                                </w:t>
      </w:r>
    </w:p>
    <w:p w14:paraId="009D4BED">
      <w:pPr>
        <w:adjustRightInd w:val="0"/>
        <w:snapToGrid w:val="0"/>
        <w:spacing w:line="500" w:lineRule="exact"/>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二、质疑项目基本情况</w:t>
      </w:r>
    </w:p>
    <w:p w14:paraId="13A3C04F">
      <w:pPr>
        <w:adjustRightInd w:val="0"/>
        <w:snapToGrid w:val="0"/>
        <w:spacing w:line="50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质疑项目的名称：                                      </w:t>
      </w:r>
    </w:p>
    <w:p w14:paraId="2576116D">
      <w:pPr>
        <w:adjustRightInd w:val="0"/>
        <w:snapToGrid w:val="0"/>
        <w:spacing w:line="50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质疑项目的编号：               包号：</w:t>
      </w:r>
      <w:r>
        <w:rPr>
          <w:rFonts w:hint="eastAsia" w:ascii="仿宋_GB2312" w:hAnsi="仿宋_GB2312" w:eastAsia="仿宋_GB2312" w:cs="仿宋_GB2312"/>
          <w:color w:val="auto"/>
          <w:sz w:val="32"/>
          <w:szCs w:val="32"/>
          <w:u w:val="single"/>
        </w:rPr>
        <w:t xml:space="preserve">                 </w:t>
      </w:r>
    </w:p>
    <w:p w14:paraId="3849FAB8">
      <w:pPr>
        <w:adjustRightInd w:val="0"/>
        <w:snapToGrid w:val="0"/>
        <w:spacing w:line="500" w:lineRule="exact"/>
        <w:rPr>
          <w:rFonts w:hint="eastAsia" w:ascii="仿宋_GB2312" w:hAnsi="仿宋_GB2312" w:eastAsia="仿宋_GB2312" w:cs="仿宋_GB2312"/>
          <w:color w:val="auto"/>
          <w:sz w:val="32"/>
          <w:szCs w:val="32"/>
          <w:u w:val="single"/>
        </w:rPr>
      </w:pPr>
      <w:r>
        <w:rPr>
          <w:rFonts w:hint="eastAsia" w:ascii="仿宋_GB2312" w:hAnsi="仿宋_GB2312" w:eastAsia="仿宋_GB2312" w:cs="仿宋_GB2312"/>
          <w:color w:val="auto"/>
          <w:sz w:val="32"/>
          <w:szCs w:val="32"/>
        </w:rPr>
        <w:t>采购人名称：</w:t>
      </w:r>
      <w:r>
        <w:rPr>
          <w:rFonts w:hint="eastAsia" w:ascii="仿宋_GB2312" w:hAnsi="仿宋_GB2312" w:eastAsia="仿宋_GB2312" w:cs="仿宋_GB2312"/>
          <w:color w:val="auto"/>
          <w:sz w:val="32"/>
          <w:szCs w:val="32"/>
          <w:u w:val="single"/>
        </w:rPr>
        <w:t xml:space="preserve">                                         </w:t>
      </w:r>
    </w:p>
    <w:p w14:paraId="24064A56">
      <w:pPr>
        <w:adjustRightInd w:val="0"/>
        <w:snapToGrid w:val="0"/>
        <w:spacing w:line="500" w:lineRule="exact"/>
        <w:rPr>
          <w:rFonts w:hint="eastAsia" w:ascii="仿宋_GB2312" w:hAnsi="仿宋_GB2312" w:eastAsia="仿宋_GB2312" w:cs="仿宋_GB2312"/>
          <w:color w:val="auto"/>
          <w:sz w:val="32"/>
          <w:szCs w:val="32"/>
          <w:u w:val="single"/>
        </w:rPr>
      </w:pPr>
      <w:r>
        <w:rPr>
          <w:rFonts w:hint="eastAsia" w:ascii="仿宋_GB2312" w:hAnsi="仿宋_GB2312" w:eastAsia="仿宋_GB2312" w:cs="仿宋_GB2312"/>
          <w:color w:val="auto"/>
          <w:sz w:val="32"/>
          <w:szCs w:val="32"/>
        </w:rPr>
        <w:t>招标文件获取日期：</w:t>
      </w:r>
      <w:r>
        <w:rPr>
          <w:rFonts w:hint="eastAsia" w:ascii="仿宋_GB2312" w:hAnsi="仿宋_GB2312" w:eastAsia="仿宋_GB2312" w:cs="仿宋_GB2312"/>
          <w:color w:val="auto"/>
          <w:sz w:val="32"/>
          <w:szCs w:val="32"/>
          <w:u w:val="single"/>
        </w:rPr>
        <w:t xml:space="preserve">                                           </w:t>
      </w:r>
    </w:p>
    <w:p w14:paraId="4E3B1414">
      <w:pPr>
        <w:adjustRightInd w:val="0"/>
        <w:snapToGrid w:val="0"/>
        <w:spacing w:line="500" w:lineRule="exact"/>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三、质疑事项具体内容</w:t>
      </w:r>
    </w:p>
    <w:p w14:paraId="60F940ED">
      <w:pPr>
        <w:adjustRightInd w:val="0"/>
        <w:snapToGrid w:val="0"/>
        <w:spacing w:line="500" w:lineRule="exact"/>
        <w:rPr>
          <w:rFonts w:hint="eastAsia" w:ascii="仿宋_GB2312" w:hAnsi="仿宋_GB2312" w:eastAsia="仿宋_GB2312" w:cs="仿宋_GB2312"/>
          <w:color w:val="auto"/>
          <w:sz w:val="32"/>
          <w:szCs w:val="32"/>
          <w:u w:val="single"/>
        </w:rPr>
      </w:pPr>
      <w:r>
        <w:rPr>
          <w:rFonts w:hint="eastAsia" w:ascii="仿宋_GB2312" w:hAnsi="仿宋_GB2312" w:eastAsia="仿宋_GB2312" w:cs="仿宋_GB2312"/>
          <w:color w:val="auto"/>
          <w:sz w:val="32"/>
          <w:szCs w:val="32"/>
        </w:rPr>
        <w:t>质疑事项1：</w:t>
      </w:r>
      <w:r>
        <w:rPr>
          <w:rFonts w:hint="eastAsia" w:ascii="仿宋_GB2312" w:hAnsi="仿宋_GB2312" w:eastAsia="仿宋_GB2312" w:cs="仿宋_GB2312"/>
          <w:color w:val="auto"/>
          <w:sz w:val="32"/>
          <w:szCs w:val="32"/>
          <w:u w:val="single"/>
        </w:rPr>
        <w:t xml:space="preserve">                                         </w:t>
      </w:r>
    </w:p>
    <w:p w14:paraId="24B11A6F">
      <w:pPr>
        <w:adjustRightInd w:val="0"/>
        <w:snapToGrid w:val="0"/>
        <w:spacing w:line="500" w:lineRule="exact"/>
        <w:rPr>
          <w:rFonts w:hint="eastAsia" w:ascii="仿宋_GB2312" w:hAnsi="仿宋_GB2312" w:eastAsia="仿宋_GB2312" w:cs="仿宋_GB2312"/>
          <w:color w:val="auto"/>
          <w:sz w:val="32"/>
          <w:szCs w:val="32"/>
          <w:u w:val="single"/>
        </w:rPr>
      </w:pPr>
      <w:r>
        <w:rPr>
          <w:rFonts w:hint="eastAsia" w:ascii="仿宋_GB2312" w:hAnsi="仿宋_GB2312" w:eastAsia="仿宋_GB2312" w:cs="仿宋_GB2312"/>
          <w:color w:val="auto"/>
          <w:sz w:val="32"/>
          <w:szCs w:val="32"/>
        </w:rPr>
        <w:t>事实依据：</w:t>
      </w:r>
      <w:r>
        <w:rPr>
          <w:rFonts w:hint="eastAsia" w:ascii="仿宋_GB2312" w:hAnsi="仿宋_GB2312" w:eastAsia="仿宋_GB2312" w:cs="仿宋_GB2312"/>
          <w:color w:val="auto"/>
          <w:sz w:val="32"/>
          <w:szCs w:val="32"/>
          <w:u w:val="single"/>
        </w:rPr>
        <w:t xml:space="preserve">                                                                                               </w:t>
      </w:r>
    </w:p>
    <w:p w14:paraId="349B5198">
      <w:pPr>
        <w:adjustRightInd w:val="0"/>
        <w:snapToGrid w:val="0"/>
        <w:spacing w:line="500" w:lineRule="exact"/>
        <w:rPr>
          <w:rFonts w:hint="eastAsia" w:ascii="仿宋_GB2312" w:hAnsi="仿宋_GB2312" w:eastAsia="仿宋_GB2312" w:cs="仿宋_GB2312"/>
          <w:color w:val="auto"/>
          <w:sz w:val="32"/>
          <w:szCs w:val="32"/>
          <w:u w:val="single"/>
        </w:rPr>
      </w:pPr>
      <w:r>
        <w:rPr>
          <w:rFonts w:hint="eastAsia" w:ascii="仿宋_GB2312" w:hAnsi="仿宋_GB2312" w:eastAsia="仿宋_GB2312" w:cs="仿宋_GB2312"/>
          <w:color w:val="auto"/>
          <w:sz w:val="32"/>
          <w:szCs w:val="32"/>
        </w:rPr>
        <w:t>法律依据：</w:t>
      </w:r>
      <w:r>
        <w:rPr>
          <w:rFonts w:hint="eastAsia" w:ascii="仿宋_GB2312" w:hAnsi="仿宋_GB2312" w:eastAsia="仿宋_GB2312" w:cs="仿宋_GB2312"/>
          <w:color w:val="auto"/>
          <w:sz w:val="32"/>
          <w:szCs w:val="32"/>
          <w:u w:val="single"/>
        </w:rPr>
        <w:t xml:space="preserve">                                                                                           </w:t>
      </w:r>
    </w:p>
    <w:p w14:paraId="6C7B88EA">
      <w:pPr>
        <w:adjustRightInd w:val="0"/>
        <w:snapToGrid w:val="0"/>
        <w:spacing w:line="500" w:lineRule="exact"/>
        <w:rPr>
          <w:rFonts w:hint="eastAsia" w:ascii="仿宋_GB2312" w:hAnsi="仿宋_GB2312" w:eastAsia="仿宋_GB2312" w:cs="仿宋_GB2312"/>
          <w:color w:val="auto"/>
          <w:sz w:val="32"/>
          <w:szCs w:val="32"/>
          <w:u w:val="dotted"/>
        </w:rPr>
      </w:pPr>
      <w:r>
        <w:rPr>
          <w:rFonts w:hint="eastAsia" w:ascii="仿宋_GB2312" w:hAnsi="仿宋_GB2312" w:eastAsia="仿宋_GB2312" w:cs="仿宋_GB2312"/>
          <w:color w:val="auto"/>
          <w:sz w:val="32"/>
          <w:szCs w:val="32"/>
        </w:rPr>
        <w:t>质疑事项2</w:t>
      </w:r>
    </w:p>
    <w:p w14:paraId="23693C70">
      <w:pPr>
        <w:widowControl/>
        <w:spacing w:line="500" w:lineRule="exact"/>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kern w:val="0"/>
          <w:sz w:val="32"/>
          <w:szCs w:val="32"/>
        </w:rPr>
        <w:t xml:space="preserve"> </w:t>
      </w:r>
    </w:p>
    <w:p w14:paraId="71F44BE0">
      <w:pPr>
        <w:widowControl/>
        <w:spacing w:line="500" w:lineRule="exact"/>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 xml:space="preserve">四、与质疑事项相关的质疑请求 </w:t>
      </w:r>
    </w:p>
    <w:p w14:paraId="61E66BBA">
      <w:pPr>
        <w:widowControl/>
        <w:spacing w:line="500" w:lineRule="exact"/>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请求：</w:t>
      </w:r>
      <w:r>
        <w:rPr>
          <w:rFonts w:hint="eastAsia" w:ascii="仿宋_GB2312" w:hAnsi="仿宋_GB2312" w:eastAsia="仿宋_GB2312" w:cs="仿宋_GB2312"/>
          <w:color w:val="auto"/>
          <w:kern w:val="0"/>
          <w:sz w:val="32"/>
          <w:szCs w:val="32"/>
          <w:u w:val="single"/>
        </w:rPr>
        <w:t xml:space="preserve">                                                      </w:t>
      </w:r>
      <w:r>
        <w:rPr>
          <w:rFonts w:hint="eastAsia" w:ascii="仿宋_GB2312" w:hAnsi="仿宋_GB2312" w:eastAsia="仿宋_GB2312" w:cs="仿宋_GB2312"/>
          <w:color w:val="auto"/>
          <w:kern w:val="0"/>
          <w:sz w:val="32"/>
          <w:szCs w:val="32"/>
        </w:rPr>
        <w:t xml:space="preserve"> </w:t>
      </w:r>
    </w:p>
    <w:p w14:paraId="58746875">
      <w:pPr>
        <w:widowControl/>
        <w:tabs>
          <w:tab w:val="left" w:pos="6300"/>
        </w:tabs>
        <w:snapToGrid w:val="0"/>
        <w:spacing w:line="500" w:lineRule="exact"/>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投标人（盖章）：</w:t>
      </w:r>
    </w:p>
    <w:p w14:paraId="6954C239">
      <w:pPr>
        <w:widowControl/>
        <w:tabs>
          <w:tab w:val="left" w:pos="6300"/>
        </w:tabs>
        <w:snapToGrid w:val="0"/>
        <w:spacing w:line="500" w:lineRule="exact"/>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法定代表人（授权代表）：</w:t>
      </w:r>
    </w:p>
    <w:p w14:paraId="38A0AAA4">
      <w:pPr>
        <w:tabs>
          <w:tab w:val="left" w:pos="6300"/>
        </w:tabs>
        <w:snapToGrid w:val="0"/>
        <w:spacing w:line="500" w:lineRule="exact"/>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地址/邮编：</w:t>
      </w:r>
    </w:p>
    <w:p w14:paraId="602DAD00">
      <w:pPr>
        <w:tabs>
          <w:tab w:val="left" w:pos="6300"/>
        </w:tabs>
        <w:snapToGrid w:val="0"/>
        <w:spacing w:line="500" w:lineRule="exact"/>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电话/传真：</w:t>
      </w:r>
    </w:p>
    <w:p w14:paraId="78EDDEA7">
      <w:pPr>
        <w:widowControl/>
        <w:spacing w:line="500" w:lineRule="exact"/>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日期：  年   月  日</w:t>
      </w:r>
      <w:r>
        <w:rPr>
          <w:rFonts w:hint="eastAsia" w:ascii="仿宋_GB2312" w:hAnsi="仿宋_GB2312" w:eastAsia="仿宋_GB2312" w:cs="仿宋_GB2312"/>
          <w:color w:val="auto"/>
          <w:kern w:val="0"/>
          <w:sz w:val="32"/>
          <w:szCs w:val="32"/>
        </w:rPr>
        <w:t xml:space="preserve"> </w:t>
      </w:r>
    </w:p>
    <w:p w14:paraId="5E153F4F">
      <w:pPr>
        <w:widowControl/>
        <w:spacing w:line="500" w:lineRule="exact"/>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随附相关证明材料如下</w:t>
      </w:r>
      <w:r>
        <w:rPr>
          <w:rFonts w:hint="eastAsia" w:ascii="仿宋_GB2312" w:hAnsi="仿宋_GB2312" w:eastAsia="仿宋_GB2312" w:cs="仿宋_GB2312"/>
          <w:color w:val="auto"/>
          <w:kern w:val="0"/>
          <w:sz w:val="32"/>
          <w:szCs w:val="32"/>
        </w:rPr>
        <w:t xml:space="preserve">： </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7"/>
        <w:gridCol w:w="3105"/>
        <w:gridCol w:w="2325"/>
        <w:gridCol w:w="1935"/>
      </w:tblGrid>
      <w:tr w14:paraId="4B0D7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7" w:type="dxa"/>
            <w:noWrap w:val="0"/>
            <w:vAlign w:val="top"/>
          </w:tcPr>
          <w:p w14:paraId="170E0BF5">
            <w:pPr>
              <w:widowControl/>
              <w:spacing w:line="500" w:lineRule="exact"/>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color w:val="auto"/>
                <w:kern w:val="0"/>
                <w:sz w:val="32"/>
                <w:szCs w:val="32"/>
              </w:rPr>
              <w:t>序号</w:t>
            </w:r>
          </w:p>
        </w:tc>
        <w:tc>
          <w:tcPr>
            <w:tcW w:w="3105" w:type="dxa"/>
            <w:noWrap w:val="0"/>
            <w:vAlign w:val="top"/>
          </w:tcPr>
          <w:p w14:paraId="6676D2D9">
            <w:pPr>
              <w:widowControl/>
              <w:spacing w:line="500" w:lineRule="exact"/>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color w:val="auto"/>
                <w:kern w:val="0"/>
                <w:sz w:val="32"/>
                <w:szCs w:val="32"/>
              </w:rPr>
              <w:t>证明材料名称</w:t>
            </w:r>
          </w:p>
        </w:tc>
        <w:tc>
          <w:tcPr>
            <w:tcW w:w="2325" w:type="dxa"/>
            <w:noWrap w:val="0"/>
            <w:vAlign w:val="top"/>
          </w:tcPr>
          <w:p w14:paraId="58678303">
            <w:pPr>
              <w:widowControl/>
              <w:spacing w:line="500" w:lineRule="exact"/>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color w:val="auto"/>
                <w:kern w:val="0"/>
                <w:sz w:val="32"/>
                <w:szCs w:val="32"/>
              </w:rPr>
              <w:t>证明材料来源</w:t>
            </w:r>
          </w:p>
        </w:tc>
        <w:tc>
          <w:tcPr>
            <w:tcW w:w="1935" w:type="dxa"/>
            <w:noWrap w:val="0"/>
            <w:vAlign w:val="top"/>
          </w:tcPr>
          <w:p w14:paraId="02624338">
            <w:pPr>
              <w:widowControl/>
              <w:spacing w:line="500" w:lineRule="exact"/>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color w:val="auto"/>
                <w:kern w:val="0"/>
                <w:sz w:val="32"/>
                <w:szCs w:val="32"/>
              </w:rPr>
              <w:t>证明对象</w:t>
            </w:r>
          </w:p>
        </w:tc>
      </w:tr>
      <w:tr w14:paraId="2E1AC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7" w:type="dxa"/>
            <w:noWrap w:val="0"/>
            <w:vAlign w:val="top"/>
          </w:tcPr>
          <w:p w14:paraId="2537E512">
            <w:pPr>
              <w:widowControl/>
              <w:spacing w:line="500" w:lineRule="exact"/>
              <w:jc w:val="center"/>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1</w:t>
            </w:r>
          </w:p>
        </w:tc>
        <w:tc>
          <w:tcPr>
            <w:tcW w:w="3105" w:type="dxa"/>
            <w:noWrap w:val="0"/>
            <w:vAlign w:val="top"/>
          </w:tcPr>
          <w:p w14:paraId="04C9DDA3">
            <w:pPr>
              <w:widowControl/>
              <w:spacing w:line="500" w:lineRule="exact"/>
              <w:jc w:val="left"/>
              <w:rPr>
                <w:rFonts w:hint="eastAsia" w:ascii="仿宋_GB2312" w:hAnsi="仿宋_GB2312" w:eastAsia="仿宋_GB2312" w:cs="仿宋_GB2312"/>
                <w:b/>
                <w:color w:val="auto"/>
                <w:kern w:val="0"/>
                <w:sz w:val="32"/>
                <w:szCs w:val="32"/>
              </w:rPr>
            </w:pPr>
          </w:p>
        </w:tc>
        <w:tc>
          <w:tcPr>
            <w:tcW w:w="2325" w:type="dxa"/>
            <w:noWrap w:val="0"/>
            <w:vAlign w:val="top"/>
          </w:tcPr>
          <w:p w14:paraId="58CEB90B">
            <w:pPr>
              <w:widowControl/>
              <w:spacing w:line="500" w:lineRule="exact"/>
              <w:jc w:val="left"/>
              <w:rPr>
                <w:rFonts w:hint="eastAsia" w:ascii="仿宋_GB2312" w:hAnsi="仿宋_GB2312" w:eastAsia="仿宋_GB2312" w:cs="仿宋_GB2312"/>
                <w:b/>
                <w:color w:val="auto"/>
                <w:kern w:val="0"/>
                <w:sz w:val="32"/>
                <w:szCs w:val="32"/>
              </w:rPr>
            </w:pPr>
          </w:p>
        </w:tc>
        <w:tc>
          <w:tcPr>
            <w:tcW w:w="1935" w:type="dxa"/>
            <w:noWrap w:val="0"/>
            <w:vAlign w:val="top"/>
          </w:tcPr>
          <w:p w14:paraId="443E812A">
            <w:pPr>
              <w:widowControl/>
              <w:spacing w:line="500" w:lineRule="exact"/>
              <w:jc w:val="left"/>
              <w:rPr>
                <w:rFonts w:hint="eastAsia" w:ascii="仿宋_GB2312" w:hAnsi="仿宋_GB2312" w:eastAsia="仿宋_GB2312" w:cs="仿宋_GB2312"/>
                <w:b/>
                <w:color w:val="auto"/>
                <w:kern w:val="0"/>
                <w:sz w:val="32"/>
                <w:szCs w:val="32"/>
              </w:rPr>
            </w:pPr>
          </w:p>
        </w:tc>
      </w:tr>
      <w:tr w14:paraId="35826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7" w:type="dxa"/>
            <w:noWrap w:val="0"/>
            <w:vAlign w:val="top"/>
          </w:tcPr>
          <w:p w14:paraId="79281169">
            <w:pPr>
              <w:widowControl/>
              <w:spacing w:line="500" w:lineRule="exact"/>
              <w:jc w:val="center"/>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2</w:t>
            </w:r>
          </w:p>
        </w:tc>
        <w:tc>
          <w:tcPr>
            <w:tcW w:w="3105" w:type="dxa"/>
            <w:noWrap w:val="0"/>
            <w:vAlign w:val="top"/>
          </w:tcPr>
          <w:p w14:paraId="7C911816">
            <w:pPr>
              <w:widowControl/>
              <w:spacing w:line="500" w:lineRule="exact"/>
              <w:jc w:val="left"/>
              <w:rPr>
                <w:rFonts w:hint="eastAsia" w:ascii="仿宋_GB2312" w:hAnsi="仿宋_GB2312" w:eastAsia="仿宋_GB2312" w:cs="仿宋_GB2312"/>
                <w:b/>
                <w:color w:val="auto"/>
                <w:kern w:val="0"/>
                <w:sz w:val="32"/>
                <w:szCs w:val="32"/>
              </w:rPr>
            </w:pPr>
          </w:p>
        </w:tc>
        <w:tc>
          <w:tcPr>
            <w:tcW w:w="2325" w:type="dxa"/>
            <w:noWrap w:val="0"/>
            <w:vAlign w:val="top"/>
          </w:tcPr>
          <w:p w14:paraId="6489AB47">
            <w:pPr>
              <w:widowControl/>
              <w:spacing w:line="500" w:lineRule="exact"/>
              <w:jc w:val="left"/>
              <w:rPr>
                <w:rFonts w:hint="eastAsia" w:ascii="仿宋_GB2312" w:hAnsi="仿宋_GB2312" w:eastAsia="仿宋_GB2312" w:cs="仿宋_GB2312"/>
                <w:b/>
                <w:color w:val="auto"/>
                <w:kern w:val="0"/>
                <w:sz w:val="32"/>
                <w:szCs w:val="32"/>
              </w:rPr>
            </w:pPr>
          </w:p>
        </w:tc>
        <w:tc>
          <w:tcPr>
            <w:tcW w:w="1935" w:type="dxa"/>
            <w:noWrap w:val="0"/>
            <w:vAlign w:val="top"/>
          </w:tcPr>
          <w:p w14:paraId="7E81FCD7">
            <w:pPr>
              <w:widowControl/>
              <w:spacing w:line="500" w:lineRule="exact"/>
              <w:jc w:val="left"/>
              <w:rPr>
                <w:rFonts w:hint="eastAsia" w:ascii="仿宋_GB2312" w:hAnsi="仿宋_GB2312" w:eastAsia="仿宋_GB2312" w:cs="仿宋_GB2312"/>
                <w:b/>
                <w:color w:val="auto"/>
                <w:kern w:val="0"/>
                <w:sz w:val="32"/>
                <w:szCs w:val="32"/>
              </w:rPr>
            </w:pPr>
          </w:p>
        </w:tc>
      </w:tr>
      <w:tr w14:paraId="60D89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7" w:type="dxa"/>
            <w:noWrap w:val="0"/>
            <w:vAlign w:val="top"/>
          </w:tcPr>
          <w:p w14:paraId="1D795973">
            <w:pPr>
              <w:widowControl/>
              <w:spacing w:line="500" w:lineRule="exact"/>
              <w:jc w:val="center"/>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w:t>
            </w:r>
          </w:p>
        </w:tc>
        <w:tc>
          <w:tcPr>
            <w:tcW w:w="3105" w:type="dxa"/>
            <w:noWrap w:val="0"/>
            <w:vAlign w:val="top"/>
          </w:tcPr>
          <w:p w14:paraId="336534B3">
            <w:pPr>
              <w:widowControl/>
              <w:spacing w:line="500" w:lineRule="exact"/>
              <w:jc w:val="left"/>
              <w:rPr>
                <w:rFonts w:hint="eastAsia" w:ascii="仿宋_GB2312" w:hAnsi="仿宋_GB2312" w:eastAsia="仿宋_GB2312" w:cs="仿宋_GB2312"/>
                <w:b/>
                <w:color w:val="auto"/>
                <w:kern w:val="0"/>
                <w:sz w:val="32"/>
                <w:szCs w:val="32"/>
              </w:rPr>
            </w:pPr>
          </w:p>
        </w:tc>
        <w:tc>
          <w:tcPr>
            <w:tcW w:w="2325" w:type="dxa"/>
            <w:noWrap w:val="0"/>
            <w:vAlign w:val="top"/>
          </w:tcPr>
          <w:p w14:paraId="6AAE2FE7">
            <w:pPr>
              <w:widowControl/>
              <w:spacing w:line="500" w:lineRule="exact"/>
              <w:jc w:val="left"/>
              <w:rPr>
                <w:rFonts w:hint="eastAsia" w:ascii="仿宋_GB2312" w:hAnsi="仿宋_GB2312" w:eastAsia="仿宋_GB2312" w:cs="仿宋_GB2312"/>
                <w:b/>
                <w:color w:val="auto"/>
                <w:kern w:val="0"/>
                <w:sz w:val="32"/>
                <w:szCs w:val="32"/>
              </w:rPr>
            </w:pPr>
          </w:p>
        </w:tc>
        <w:tc>
          <w:tcPr>
            <w:tcW w:w="1935" w:type="dxa"/>
            <w:noWrap w:val="0"/>
            <w:vAlign w:val="top"/>
          </w:tcPr>
          <w:p w14:paraId="160BB6FA">
            <w:pPr>
              <w:widowControl/>
              <w:spacing w:line="500" w:lineRule="exact"/>
              <w:jc w:val="left"/>
              <w:rPr>
                <w:rFonts w:hint="eastAsia" w:ascii="仿宋_GB2312" w:hAnsi="仿宋_GB2312" w:eastAsia="仿宋_GB2312" w:cs="仿宋_GB2312"/>
                <w:b/>
                <w:color w:val="auto"/>
                <w:kern w:val="0"/>
                <w:sz w:val="32"/>
                <w:szCs w:val="32"/>
              </w:rPr>
            </w:pPr>
          </w:p>
        </w:tc>
      </w:tr>
    </w:tbl>
    <w:p w14:paraId="4609B7CF">
      <w:pPr>
        <w:widowControl/>
        <w:spacing w:line="500" w:lineRule="exact"/>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 xml:space="preserve">质疑函制作说明： </w:t>
      </w:r>
    </w:p>
    <w:p w14:paraId="0039C1A1">
      <w:pPr>
        <w:widowControl/>
        <w:spacing w:line="500" w:lineRule="exact"/>
        <w:ind w:firstLine="636" w:firstLineChars="199"/>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 xml:space="preserve">1.投标人提出质疑时，应提交质疑函和必要的证明材料。 </w:t>
      </w:r>
    </w:p>
    <w:p w14:paraId="7A302866">
      <w:pPr>
        <w:widowControl/>
        <w:spacing w:line="500" w:lineRule="exact"/>
        <w:ind w:firstLine="636" w:firstLineChars="199"/>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 xml:space="preserve">2.质疑投标人若委托代理人进行质疑的，质疑函应按要求列明“授权代表”的有关内容，并在附件中提交由质疑投标人签署的授权委托书。授权委托书应载明代理人的姓名或者名称、代理事项、具体权限、期限和相关事项。 </w:t>
      </w:r>
    </w:p>
    <w:p w14:paraId="75A2F865">
      <w:pPr>
        <w:widowControl/>
        <w:spacing w:line="500" w:lineRule="exact"/>
        <w:ind w:firstLine="636" w:firstLineChars="199"/>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 xml:space="preserve">3.质疑投标人若对项目的某一分包进行质疑，质疑函中应列明具体分包号。 </w:t>
      </w:r>
    </w:p>
    <w:p w14:paraId="6DFB1819">
      <w:pPr>
        <w:widowControl/>
        <w:spacing w:line="500" w:lineRule="exact"/>
        <w:ind w:firstLine="636" w:firstLineChars="199"/>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 xml:space="preserve">4.质疑函的质疑事项应具体、明确，并有必要的事实依据和法律依据。 </w:t>
      </w:r>
    </w:p>
    <w:p w14:paraId="2626FF99">
      <w:pPr>
        <w:widowControl/>
        <w:spacing w:line="500" w:lineRule="exact"/>
        <w:ind w:firstLine="636" w:firstLineChars="199"/>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 xml:space="preserve">5.质疑函的质疑请求应与质疑事项相关。 </w:t>
      </w:r>
    </w:p>
    <w:p w14:paraId="34A113B7">
      <w:pPr>
        <w:widowControl/>
        <w:spacing w:line="500" w:lineRule="exact"/>
        <w:ind w:firstLine="636" w:firstLineChars="199"/>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 xml:space="preserve">6.质疑投标人为自然人的，质疑函应由本人签字；质疑投标人为法人或者其他组织的，质疑函应由法定代表人、主要负责人，或者其授权代表签字或者盖章，并加盖公章。 </w:t>
      </w:r>
    </w:p>
    <w:p w14:paraId="6DF0F452">
      <w:pPr>
        <w:spacing w:line="50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7. 投标人应在提交的证明材料中对质疑点的内容作出相应的标识或以醒目的方式标明。</w:t>
      </w:r>
    </w:p>
    <w:p w14:paraId="6013F28A">
      <w:pPr>
        <w:keepNext/>
        <w:keepLines/>
        <w:numPr>
          <w:ilvl w:val="0"/>
          <w:numId w:val="2"/>
        </w:numPr>
        <w:tabs>
          <w:tab w:val="left" w:pos="900"/>
        </w:tabs>
        <w:spacing w:line="500" w:lineRule="exact"/>
        <w:ind w:left="924" w:hanging="924"/>
        <w:outlineLvl w:val="0"/>
        <w:rPr>
          <w:rFonts w:hint="eastAsia" w:ascii="仿宋_GB2312" w:hAnsi="仿宋_GB2312" w:eastAsia="仿宋_GB2312" w:cs="仿宋_GB2312"/>
          <w:b/>
          <w:bCs/>
          <w:color w:val="auto"/>
          <w:kern w:val="44"/>
          <w:sz w:val="32"/>
          <w:szCs w:val="32"/>
        </w:rPr>
      </w:pPr>
      <w:bookmarkStart w:id="233" w:name="_Toc13170"/>
      <w:bookmarkStart w:id="234" w:name="_Toc3059"/>
      <w:bookmarkStart w:id="235" w:name="_Toc7547"/>
      <w:bookmarkStart w:id="236" w:name="_Toc55778718"/>
      <w:bookmarkStart w:id="237" w:name="_Toc11190"/>
      <w:bookmarkStart w:id="238" w:name="_Toc2395"/>
      <w:r>
        <w:rPr>
          <w:rFonts w:hint="eastAsia" w:ascii="仿宋_GB2312" w:hAnsi="仿宋_GB2312" w:eastAsia="仿宋_GB2312" w:cs="仿宋_GB2312"/>
          <w:b/>
          <w:bCs/>
          <w:color w:val="auto"/>
          <w:kern w:val="44"/>
          <w:sz w:val="32"/>
          <w:szCs w:val="32"/>
        </w:rPr>
        <w:t>投诉</w:t>
      </w:r>
      <w:bookmarkEnd w:id="233"/>
      <w:bookmarkEnd w:id="234"/>
      <w:bookmarkEnd w:id="235"/>
      <w:bookmarkEnd w:id="236"/>
      <w:bookmarkEnd w:id="237"/>
      <w:bookmarkEnd w:id="238"/>
    </w:p>
    <w:p w14:paraId="6F463BAC">
      <w:pPr>
        <w:numPr>
          <w:ilvl w:val="1"/>
          <w:numId w:val="44"/>
        </w:numPr>
        <w:spacing w:line="50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投标投标人对采购代理机构和采购人的质疑答复不满意或在规定时间内未得到答复的，可以在答复期满后15个工作日内，向政府采购监督管理机构投诉。</w:t>
      </w:r>
    </w:p>
    <w:p w14:paraId="266B910B">
      <w:pPr>
        <w:numPr>
          <w:ilvl w:val="1"/>
          <w:numId w:val="44"/>
        </w:numPr>
        <w:spacing w:line="50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政府采购监督管理机构联系方式：</w:t>
      </w:r>
    </w:p>
    <w:p w14:paraId="323E0D65">
      <w:pPr>
        <w:numPr>
          <w:ilvl w:val="1"/>
          <w:numId w:val="44"/>
        </w:numPr>
        <w:spacing w:line="500" w:lineRule="exact"/>
        <w:ind w:left="907" w:hanging="907"/>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政府采购监督管理机构名称：</w:t>
      </w:r>
      <w:bookmarkStart w:id="239" w:name="_Toc11991"/>
      <w:bookmarkStart w:id="240" w:name="_Toc55778719"/>
      <w:r>
        <w:rPr>
          <w:rFonts w:hint="eastAsia" w:ascii="仿宋_GB2312" w:hAnsi="仿宋_GB2312" w:eastAsia="仿宋_GB2312" w:cs="仿宋_GB2312"/>
          <w:color w:val="auto"/>
          <w:sz w:val="32"/>
          <w:szCs w:val="32"/>
        </w:rPr>
        <w:t>自治区财政厅政府采购管理处</w:t>
      </w:r>
    </w:p>
    <w:p w14:paraId="0E358C86">
      <w:pPr>
        <w:numPr>
          <w:ilvl w:val="0"/>
          <w:numId w:val="0"/>
        </w:numPr>
        <w:spacing w:line="500" w:lineRule="exact"/>
        <w:ind w:leftChars="0" w:firstLine="640" w:firstLineChars="200"/>
        <w:rPr>
          <w:rFonts w:hint="eastAsia" w:ascii="仿宋_GB2312" w:hAnsi="仿宋_GB2312" w:eastAsia="仿宋_GB2312" w:cs="仿宋_GB2312"/>
          <w:b/>
          <w:bCs/>
          <w:color w:val="auto"/>
          <w:sz w:val="32"/>
          <w:szCs w:val="32"/>
        </w:rPr>
      </w:pPr>
      <w:r>
        <w:rPr>
          <w:rFonts w:hint="eastAsia" w:ascii="仿宋_GB2312" w:hAnsi="仿宋_GB2312" w:eastAsia="仿宋_GB2312" w:cs="仿宋_GB2312"/>
          <w:color w:val="auto"/>
          <w:sz w:val="32"/>
          <w:szCs w:val="32"/>
        </w:rPr>
        <w:t>联系方式：0991-2359482</w:t>
      </w:r>
    </w:p>
    <w:p w14:paraId="611CE6D3">
      <w:pPr>
        <w:pStyle w:val="3"/>
        <w:spacing w:before="60" w:after="60" w:line="700" w:lineRule="exact"/>
        <w:ind w:left="420" w:hanging="420"/>
        <w:jc w:val="center"/>
        <w:rPr>
          <w:rFonts w:hint="eastAsia" w:ascii="Times New Roman" w:hAnsi="Times New Roman"/>
          <w:b w:val="0"/>
          <w:bCs w:val="0"/>
          <w:color w:val="auto"/>
          <w:lang w:val="zh-CN"/>
        </w:rPr>
      </w:pPr>
      <w:bookmarkStart w:id="241" w:name="_Toc21033"/>
      <w:r>
        <w:rPr>
          <w:rFonts w:hint="eastAsia" w:ascii="Times New Roman" w:hAnsi="Times New Roman"/>
          <w:b w:val="0"/>
          <w:bCs w:val="0"/>
          <w:color w:val="auto"/>
          <w:lang w:val="zh-CN"/>
        </w:rPr>
        <w:t>七、授予合同</w:t>
      </w:r>
      <w:bookmarkEnd w:id="239"/>
      <w:bookmarkEnd w:id="240"/>
      <w:bookmarkEnd w:id="241"/>
    </w:p>
    <w:p w14:paraId="0B7DDBFD">
      <w:pPr>
        <w:keepNext/>
        <w:keepLines/>
        <w:numPr>
          <w:ilvl w:val="0"/>
          <w:numId w:val="2"/>
        </w:numPr>
        <w:tabs>
          <w:tab w:val="left" w:pos="900"/>
        </w:tabs>
        <w:spacing w:line="500" w:lineRule="exact"/>
        <w:ind w:left="924" w:hanging="924"/>
        <w:outlineLvl w:val="0"/>
        <w:rPr>
          <w:rFonts w:hint="eastAsia" w:ascii="仿宋_GB2312" w:hAnsi="仿宋_GB2312" w:eastAsia="仿宋_GB2312" w:cs="仿宋_GB2312"/>
          <w:b/>
          <w:bCs/>
          <w:color w:val="auto"/>
          <w:kern w:val="44"/>
          <w:sz w:val="32"/>
          <w:szCs w:val="32"/>
        </w:rPr>
      </w:pPr>
      <w:bookmarkStart w:id="242" w:name="_Toc17273"/>
      <w:bookmarkStart w:id="243" w:name="_Toc55778720"/>
      <w:r>
        <w:rPr>
          <w:rFonts w:hint="eastAsia" w:ascii="仿宋_GB2312" w:hAnsi="仿宋_GB2312" w:eastAsia="仿宋_GB2312" w:cs="仿宋_GB2312"/>
          <w:b/>
          <w:bCs/>
          <w:color w:val="auto"/>
          <w:kern w:val="44"/>
          <w:sz w:val="32"/>
          <w:szCs w:val="32"/>
        </w:rPr>
        <w:t xml:space="preserve">    </w:t>
      </w:r>
      <w:bookmarkStart w:id="244" w:name="_Toc32369"/>
      <w:bookmarkStart w:id="245" w:name="_Toc30579"/>
      <w:bookmarkStart w:id="246" w:name="_Toc27860"/>
      <w:bookmarkStart w:id="247" w:name="_Toc28231"/>
      <w:r>
        <w:rPr>
          <w:rFonts w:hint="eastAsia" w:ascii="仿宋_GB2312" w:hAnsi="仿宋_GB2312" w:eastAsia="仿宋_GB2312" w:cs="仿宋_GB2312"/>
          <w:b/>
          <w:bCs/>
          <w:color w:val="auto"/>
          <w:kern w:val="44"/>
          <w:sz w:val="32"/>
          <w:szCs w:val="32"/>
        </w:rPr>
        <w:t>确定中标</w:t>
      </w:r>
      <w:bookmarkEnd w:id="242"/>
      <w:r>
        <w:rPr>
          <w:rFonts w:hint="eastAsia" w:ascii="仿宋_GB2312" w:hAnsi="仿宋_GB2312" w:eastAsia="仿宋_GB2312" w:cs="仿宋_GB2312"/>
          <w:b/>
          <w:bCs/>
          <w:color w:val="auto"/>
          <w:kern w:val="44"/>
          <w:sz w:val="32"/>
          <w:szCs w:val="32"/>
        </w:rPr>
        <w:t>人</w:t>
      </w:r>
      <w:bookmarkEnd w:id="243"/>
      <w:bookmarkEnd w:id="244"/>
      <w:bookmarkEnd w:id="245"/>
      <w:bookmarkEnd w:id="246"/>
      <w:bookmarkEnd w:id="247"/>
    </w:p>
    <w:p w14:paraId="1A2019DA">
      <w:pPr>
        <w:numPr>
          <w:ilvl w:val="1"/>
          <w:numId w:val="45"/>
        </w:numPr>
        <w:spacing w:line="50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评标小组按照招标文件确定的评标方法、步骤、标准，对投标文件进行评审，提出书面评标报告，按照综合评分得分由高到低的顺序推荐一到三名中标候选人名单。</w:t>
      </w:r>
    </w:p>
    <w:p w14:paraId="22054862">
      <w:pPr>
        <w:numPr>
          <w:ilvl w:val="1"/>
          <w:numId w:val="45"/>
        </w:numPr>
        <w:spacing w:line="50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采购人在收到评标报告后的法定时间内，按照评标报告中推荐的中标候选人顺序确定中标人。</w:t>
      </w:r>
    </w:p>
    <w:p w14:paraId="5BB0476F">
      <w:pPr>
        <w:numPr>
          <w:ilvl w:val="1"/>
          <w:numId w:val="45"/>
        </w:numPr>
        <w:spacing w:line="50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中标投标人放弃中标或者中标资格被依法确认无效的，采购人可以按照排序从其他中标候选投标人中确定中标投标人或重新组织招标活动。</w:t>
      </w:r>
    </w:p>
    <w:p w14:paraId="1D7AD0A5">
      <w:pPr>
        <w:keepNext/>
        <w:keepLines/>
        <w:numPr>
          <w:ilvl w:val="0"/>
          <w:numId w:val="2"/>
        </w:numPr>
        <w:tabs>
          <w:tab w:val="left" w:pos="900"/>
        </w:tabs>
        <w:spacing w:line="500" w:lineRule="exact"/>
        <w:ind w:left="924" w:hanging="924"/>
        <w:outlineLvl w:val="0"/>
        <w:rPr>
          <w:rFonts w:hint="eastAsia" w:ascii="仿宋_GB2312" w:hAnsi="仿宋_GB2312" w:eastAsia="仿宋_GB2312" w:cs="仿宋_GB2312"/>
          <w:b/>
          <w:bCs/>
          <w:color w:val="auto"/>
          <w:kern w:val="44"/>
          <w:sz w:val="32"/>
          <w:szCs w:val="32"/>
        </w:rPr>
      </w:pPr>
      <w:bookmarkStart w:id="248" w:name="_Toc55778721"/>
      <w:bookmarkStart w:id="249" w:name="_Ref179619923"/>
      <w:bookmarkStart w:id="250" w:name="_Toc14943"/>
      <w:r>
        <w:rPr>
          <w:rFonts w:hint="eastAsia" w:ascii="仿宋_GB2312" w:hAnsi="仿宋_GB2312" w:eastAsia="仿宋_GB2312" w:cs="仿宋_GB2312"/>
          <w:b/>
          <w:bCs/>
          <w:color w:val="auto"/>
          <w:kern w:val="44"/>
          <w:sz w:val="32"/>
          <w:szCs w:val="32"/>
        </w:rPr>
        <w:t xml:space="preserve">    </w:t>
      </w:r>
      <w:bookmarkStart w:id="251" w:name="_Toc7161"/>
      <w:bookmarkStart w:id="252" w:name="_Toc29372"/>
      <w:bookmarkStart w:id="253" w:name="_Toc17309"/>
      <w:bookmarkStart w:id="254" w:name="_Toc19166"/>
      <w:r>
        <w:rPr>
          <w:rFonts w:hint="eastAsia" w:ascii="仿宋_GB2312" w:hAnsi="仿宋_GB2312" w:eastAsia="仿宋_GB2312" w:cs="仿宋_GB2312"/>
          <w:b/>
          <w:bCs/>
          <w:color w:val="auto"/>
          <w:kern w:val="44"/>
          <w:sz w:val="32"/>
          <w:szCs w:val="32"/>
        </w:rPr>
        <w:t>接受和拒绝任何或所有投标的权力</w:t>
      </w:r>
      <w:bookmarkEnd w:id="248"/>
      <w:bookmarkEnd w:id="249"/>
      <w:bookmarkEnd w:id="250"/>
      <w:bookmarkEnd w:id="251"/>
      <w:bookmarkEnd w:id="252"/>
      <w:bookmarkEnd w:id="253"/>
      <w:bookmarkEnd w:id="254"/>
    </w:p>
    <w:p w14:paraId="72C7A757">
      <w:pPr>
        <w:numPr>
          <w:ilvl w:val="1"/>
          <w:numId w:val="46"/>
        </w:numPr>
        <w:spacing w:line="50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在特殊情况下，采购代理机构和采购人保留在定标之前依法拒绝任何投标以及宣布招标程序无效或拒绝所有投标的权力，且对受影响的投标人不承担任何责任，也无义务向受影响的投标人解释采取这一行动的理由。</w:t>
      </w:r>
    </w:p>
    <w:p w14:paraId="65559403">
      <w:pPr>
        <w:keepNext/>
        <w:keepLines/>
        <w:numPr>
          <w:ilvl w:val="0"/>
          <w:numId w:val="2"/>
        </w:numPr>
        <w:tabs>
          <w:tab w:val="left" w:pos="900"/>
        </w:tabs>
        <w:spacing w:line="500" w:lineRule="exact"/>
        <w:ind w:left="924" w:hanging="924"/>
        <w:outlineLvl w:val="0"/>
        <w:rPr>
          <w:rFonts w:hint="eastAsia" w:ascii="仿宋_GB2312" w:hAnsi="仿宋_GB2312" w:eastAsia="仿宋_GB2312" w:cs="仿宋_GB2312"/>
          <w:b/>
          <w:bCs/>
          <w:color w:val="auto"/>
          <w:kern w:val="44"/>
          <w:sz w:val="32"/>
          <w:szCs w:val="32"/>
        </w:rPr>
      </w:pPr>
      <w:bookmarkStart w:id="255" w:name="_Toc19068"/>
      <w:bookmarkStart w:id="256" w:name="_Toc55778722"/>
      <w:r>
        <w:rPr>
          <w:rFonts w:hint="eastAsia" w:ascii="仿宋_GB2312" w:hAnsi="仿宋_GB2312" w:eastAsia="仿宋_GB2312" w:cs="仿宋_GB2312"/>
          <w:b/>
          <w:bCs/>
          <w:color w:val="auto"/>
          <w:kern w:val="44"/>
          <w:sz w:val="32"/>
          <w:szCs w:val="32"/>
        </w:rPr>
        <w:t xml:space="preserve">    </w:t>
      </w:r>
      <w:bookmarkStart w:id="257" w:name="_Toc8040"/>
      <w:bookmarkStart w:id="258" w:name="_Toc9402"/>
      <w:bookmarkStart w:id="259" w:name="_Toc444"/>
      <w:bookmarkStart w:id="260" w:name="_Toc26407"/>
      <w:r>
        <w:rPr>
          <w:rFonts w:hint="eastAsia" w:ascii="仿宋_GB2312" w:hAnsi="仿宋_GB2312" w:eastAsia="仿宋_GB2312" w:cs="仿宋_GB2312"/>
          <w:b/>
          <w:bCs/>
          <w:color w:val="auto"/>
          <w:kern w:val="44"/>
          <w:sz w:val="32"/>
          <w:szCs w:val="32"/>
        </w:rPr>
        <w:t>成交通知书</w:t>
      </w:r>
      <w:bookmarkEnd w:id="255"/>
      <w:bookmarkEnd w:id="256"/>
      <w:bookmarkEnd w:id="257"/>
      <w:bookmarkEnd w:id="258"/>
      <w:bookmarkEnd w:id="259"/>
      <w:bookmarkEnd w:id="260"/>
    </w:p>
    <w:p w14:paraId="1E95EEE7">
      <w:pPr>
        <w:numPr>
          <w:ilvl w:val="1"/>
          <w:numId w:val="47"/>
        </w:numPr>
        <w:spacing w:line="50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中标人确定后，采购代理机构按本须知规定网站发布中标公告，并同时向中标人发出《成交通知书》。</w:t>
      </w:r>
    </w:p>
    <w:p w14:paraId="277A12B1">
      <w:pPr>
        <w:numPr>
          <w:ilvl w:val="1"/>
          <w:numId w:val="47"/>
        </w:numPr>
        <w:spacing w:line="50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《成交通知书》是合同的一个组成部分。</w:t>
      </w:r>
    </w:p>
    <w:p w14:paraId="2D1397BF">
      <w:pPr>
        <w:keepNext/>
        <w:keepLines/>
        <w:numPr>
          <w:ilvl w:val="0"/>
          <w:numId w:val="2"/>
        </w:numPr>
        <w:tabs>
          <w:tab w:val="left" w:pos="900"/>
        </w:tabs>
        <w:spacing w:line="500" w:lineRule="exact"/>
        <w:ind w:left="924" w:hanging="924"/>
        <w:outlineLvl w:val="0"/>
        <w:rPr>
          <w:rFonts w:hint="eastAsia" w:ascii="仿宋_GB2312" w:hAnsi="仿宋_GB2312" w:eastAsia="仿宋_GB2312" w:cs="仿宋_GB2312"/>
          <w:b/>
          <w:bCs/>
          <w:color w:val="auto"/>
          <w:kern w:val="44"/>
          <w:sz w:val="32"/>
          <w:szCs w:val="32"/>
        </w:rPr>
      </w:pPr>
      <w:bookmarkStart w:id="261" w:name="_Toc16935"/>
      <w:bookmarkStart w:id="262" w:name="_Toc55778723"/>
      <w:r>
        <w:rPr>
          <w:rFonts w:hint="eastAsia" w:ascii="仿宋_GB2312" w:hAnsi="仿宋_GB2312" w:eastAsia="仿宋_GB2312" w:cs="仿宋_GB2312"/>
          <w:b/>
          <w:bCs/>
          <w:color w:val="auto"/>
          <w:kern w:val="44"/>
          <w:sz w:val="32"/>
          <w:szCs w:val="32"/>
        </w:rPr>
        <w:t xml:space="preserve">    </w:t>
      </w:r>
      <w:bookmarkStart w:id="263" w:name="_Toc18897"/>
      <w:bookmarkStart w:id="264" w:name="_Toc14729"/>
      <w:bookmarkStart w:id="265" w:name="_Toc22710"/>
      <w:bookmarkStart w:id="266" w:name="_Toc7012"/>
      <w:r>
        <w:rPr>
          <w:rFonts w:hint="eastAsia" w:ascii="仿宋_GB2312" w:hAnsi="仿宋_GB2312" w:eastAsia="仿宋_GB2312" w:cs="仿宋_GB2312"/>
          <w:b/>
          <w:bCs/>
          <w:color w:val="auto"/>
          <w:kern w:val="44"/>
          <w:sz w:val="32"/>
          <w:szCs w:val="32"/>
        </w:rPr>
        <w:t>合同的订立</w:t>
      </w:r>
      <w:bookmarkEnd w:id="261"/>
      <w:bookmarkEnd w:id="262"/>
      <w:bookmarkEnd w:id="263"/>
      <w:bookmarkEnd w:id="264"/>
      <w:bookmarkEnd w:id="265"/>
      <w:bookmarkEnd w:id="266"/>
    </w:p>
    <w:p w14:paraId="11E0BBDD">
      <w:pPr>
        <w:numPr>
          <w:ilvl w:val="1"/>
          <w:numId w:val="48"/>
        </w:numPr>
        <w:spacing w:line="50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采购人与中标投标人自成交通知书发出之日起三十日内，按招标文件要求和中标投标人投标文件承诺签订政府采购合同，但不得超出招标文件和中标投标人投标文件的范围、也不得再行订立背离合同实质性内容的其他协议。</w:t>
      </w:r>
    </w:p>
    <w:p w14:paraId="5CC2B3EF">
      <w:pPr>
        <w:numPr>
          <w:ilvl w:val="1"/>
          <w:numId w:val="48"/>
        </w:numPr>
        <w:spacing w:line="50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招标文件、中标人的投标文件及其澄清文件等，均为签订合同的依据。</w:t>
      </w:r>
    </w:p>
    <w:p w14:paraId="4D0369D0">
      <w:pPr>
        <w:numPr>
          <w:ilvl w:val="1"/>
          <w:numId w:val="48"/>
        </w:numPr>
        <w:spacing w:line="50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签订政府采购合同后7个工作日内，采购人应将合同副本报同级政府采购监督管理部门和有关部门备案，采购人应在政府采购合同签订之日起2个工作日内在新疆政府采购网http://www.ccgp-xinjiang.gov.cn/上公告。</w:t>
      </w:r>
    </w:p>
    <w:p w14:paraId="261CD319">
      <w:pPr>
        <w:keepNext/>
        <w:keepLines/>
        <w:numPr>
          <w:ilvl w:val="0"/>
          <w:numId w:val="2"/>
        </w:numPr>
        <w:tabs>
          <w:tab w:val="left" w:pos="900"/>
        </w:tabs>
        <w:spacing w:line="500" w:lineRule="exact"/>
        <w:ind w:left="924" w:hanging="924"/>
        <w:outlineLvl w:val="0"/>
        <w:rPr>
          <w:rFonts w:hint="eastAsia" w:ascii="仿宋_GB2312" w:hAnsi="仿宋_GB2312" w:eastAsia="仿宋_GB2312" w:cs="仿宋_GB2312"/>
          <w:b/>
          <w:bCs/>
          <w:color w:val="auto"/>
          <w:kern w:val="44"/>
          <w:sz w:val="32"/>
          <w:szCs w:val="32"/>
        </w:rPr>
      </w:pPr>
      <w:bookmarkStart w:id="267" w:name="_Toc4044"/>
      <w:bookmarkStart w:id="268" w:name="_Toc55778724"/>
      <w:r>
        <w:rPr>
          <w:rFonts w:hint="eastAsia" w:ascii="仿宋_GB2312" w:hAnsi="仿宋_GB2312" w:eastAsia="仿宋_GB2312" w:cs="仿宋_GB2312"/>
          <w:b/>
          <w:bCs/>
          <w:color w:val="auto"/>
          <w:kern w:val="44"/>
          <w:sz w:val="32"/>
          <w:szCs w:val="32"/>
        </w:rPr>
        <w:t xml:space="preserve">   </w:t>
      </w:r>
      <w:bookmarkStart w:id="269" w:name="_Toc19474"/>
      <w:bookmarkStart w:id="270" w:name="_Toc7064"/>
      <w:bookmarkStart w:id="271" w:name="_Toc9738"/>
      <w:bookmarkStart w:id="272" w:name="_Toc1719"/>
      <w:r>
        <w:rPr>
          <w:rFonts w:hint="eastAsia" w:ascii="仿宋_GB2312" w:hAnsi="仿宋_GB2312" w:eastAsia="仿宋_GB2312" w:cs="仿宋_GB2312"/>
          <w:b/>
          <w:bCs/>
          <w:color w:val="auto"/>
          <w:kern w:val="44"/>
          <w:sz w:val="32"/>
          <w:szCs w:val="32"/>
        </w:rPr>
        <w:t>合同的履行</w:t>
      </w:r>
      <w:bookmarkEnd w:id="267"/>
      <w:bookmarkEnd w:id="268"/>
      <w:bookmarkEnd w:id="269"/>
      <w:bookmarkEnd w:id="270"/>
      <w:bookmarkEnd w:id="271"/>
      <w:bookmarkEnd w:id="272"/>
    </w:p>
    <w:p w14:paraId="2AD7AC65">
      <w:pPr>
        <w:numPr>
          <w:ilvl w:val="1"/>
          <w:numId w:val="49"/>
        </w:numPr>
        <w:spacing w:line="50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政府采购合同订立后，合同各方不得擅自变更、中止或者终止合同。政府采购合同需要变更的，采购人应将有关合同变更内容，以书面形式报政府采购监督管理机关备案；因特殊情况需要中止或终止合同的，采购人应将中止或终止合同的理由以及相应措施，以书面形式报政府采购监督管理机关备案。</w:t>
      </w:r>
    </w:p>
    <w:p w14:paraId="3F0687A7">
      <w:pPr>
        <w:numPr>
          <w:ilvl w:val="1"/>
          <w:numId w:val="49"/>
        </w:numPr>
        <w:spacing w:line="50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政府采购合同履行中，采购人需追加与合同标的相同的货物、工程或者服务的，在不改变合同其他条款的前提下，可以与中标投标人签订补充合同，但所补充合同的采购金额不得超过原采购金额的10%，签订补充合同的必须按规定备案。</w:t>
      </w:r>
    </w:p>
    <w:p w14:paraId="35BB2668">
      <w:pPr>
        <w:keepNext/>
        <w:keepLines/>
        <w:numPr>
          <w:ilvl w:val="0"/>
          <w:numId w:val="2"/>
        </w:numPr>
        <w:tabs>
          <w:tab w:val="left" w:pos="900"/>
        </w:tabs>
        <w:spacing w:line="500" w:lineRule="exact"/>
        <w:ind w:left="924" w:hanging="924"/>
        <w:outlineLvl w:val="0"/>
        <w:rPr>
          <w:rFonts w:hint="eastAsia" w:ascii="仿宋_GB2312" w:hAnsi="仿宋_GB2312" w:eastAsia="仿宋_GB2312" w:cs="仿宋_GB2312"/>
          <w:color w:val="auto"/>
          <w:sz w:val="32"/>
          <w:szCs w:val="32"/>
        </w:rPr>
      </w:pPr>
      <w:bookmarkStart w:id="273" w:name="_Toc55778726"/>
      <w:r>
        <w:rPr>
          <w:rFonts w:hint="eastAsia" w:ascii="仿宋_GB2312" w:hAnsi="仿宋_GB2312" w:eastAsia="仿宋_GB2312" w:cs="仿宋_GB2312"/>
          <w:b/>
          <w:bCs/>
          <w:color w:val="auto"/>
          <w:kern w:val="44"/>
          <w:sz w:val="32"/>
          <w:szCs w:val="32"/>
        </w:rPr>
        <w:t xml:space="preserve">   </w:t>
      </w:r>
      <w:bookmarkStart w:id="274" w:name="_Toc23462"/>
      <w:bookmarkStart w:id="275" w:name="_Toc28418"/>
      <w:bookmarkStart w:id="276" w:name="_Toc18199"/>
      <w:bookmarkStart w:id="277" w:name="_Toc12016"/>
      <w:r>
        <w:rPr>
          <w:rFonts w:hint="eastAsia" w:ascii="仿宋_GB2312" w:hAnsi="仿宋_GB2312" w:eastAsia="仿宋_GB2312" w:cs="仿宋_GB2312"/>
          <w:b/>
          <w:bCs/>
          <w:color w:val="auto"/>
          <w:kern w:val="44"/>
          <w:sz w:val="32"/>
          <w:szCs w:val="32"/>
        </w:rPr>
        <w:t>采购代理服务费</w:t>
      </w:r>
      <w:bookmarkEnd w:id="273"/>
      <w:bookmarkEnd w:id="274"/>
      <w:bookmarkEnd w:id="275"/>
      <w:bookmarkEnd w:id="276"/>
      <w:bookmarkEnd w:id="277"/>
      <w:bookmarkStart w:id="278" w:name="_Toc55778727"/>
      <w:bookmarkStart w:id="279" w:name="_Toc18355"/>
    </w:p>
    <w:p w14:paraId="3019E796">
      <w:pPr>
        <w:spacing w:before="24" w:line="500" w:lineRule="exact"/>
        <w:ind w:left="33"/>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kern w:val="44"/>
          <w:sz w:val="32"/>
          <w:szCs w:val="32"/>
        </w:rPr>
        <w:tab/>
      </w:r>
      <w:r>
        <w:rPr>
          <w:rFonts w:hint="eastAsia" w:ascii="仿宋_GB2312" w:hAnsi="仿宋_GB2312" w:eastAsia="仿宋_GB2312" w:cs="仿宋_GB2312"/>
          <w:color w:val="auto"/>
          <w:sz w:val="32"/>
          <w:szCs w:val="32"/>
        </w:rPr>
        <w:t>招标代理服务费：中标人应按本招标文件的规定，在《成交通知书》核发时至核发后 3 天内，向采购代理机构支付中标服务费。其计算标准和方法按照下列表格差额定率累进法计算后下浮30%。代理服务费为</w:t>
      </w:r>
      <w:r>
        <w:rPr>
          <w:rFonts w:hint="eastAsia" w:ascii="仿宋_GB2312" w:hAnsi="仿宋_GB2312" w:eastAsia="仿宋_GB2312" w:cs="仿宋_GB2312"/>
          <w:color w:val="auto"/>
          <w:sz w:val="32"/>
          <w:szCs w:val="32"/>
          <w:lang w:val="en-US" w:eastAsia="zh-CN"/>
        </w:rPr>
        <w:t>13580</w:t>
      </w:r>
      <w:r>
        <w:rPr>
          <w:rFonts w:hint="eastAsia" w:ascii="仿宋_GB2312" w:hAnsi="仿宋_GB2312" w:eastAsia="仿宋_GB2312" w:cs="仿宋_GB2312"/>
          <w:color w:val="auto"/>
          <w:sz w:val="32"/>
          <w:szCs w:val="32"/>
        </w:rPr>
        <w:t>元。</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10"/>
        <w:gridCol w:w="4410"/>
      </w:tblGrid>
      <w:tr w14:paraId="32826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trPr>
        <w:tc>
          <w:tcPr>
            <w:tcW w:w="4410" w:type="dxa"/>
            <w:noWrap w:val="0"/>
            <w:vAlign w:val="top"/>
          </w:tcPr>
          <w:p w14:paraId="2B84BE07">
            <w:pPr>
              <w:spacing w:before="24" w:line="440" w:lineRule="exact"/>
              <w:ind w:firstLine="2880" w:firstLineChars="9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mc:AlternateContent>
                <mc:Choice Requires="wps">
                  <w:drawing>
                    <wp:anchor distT="0" distB="0" distL="114300" distR="114300" simplePos="0" relativeHeight="251662336" behindDoc="0" locked="0" layoutInCell="1" allowOverlap="1">
                      <wp:simplePos x="0" y="0"/>
                      <wp:positionH relativeFrom="column">
                        <wp:posOffset>-60325</wp:posOffset>
                      </wp:positionH>
                      <wp:positionV relativeFrom="paragraph">
                        <wp:posOffset>4445</wp:posOffset>
                      </wp:positionV>
                      <wp:extent cx="2805430" cy="610870"/>
                      <wp:effectExtent l="1270" t="4445" r="12700" b="6985"/>
                      <wp:wrapNone/>
                      <wp:docPr id="7" name="直接连接符 7"/>
                      <wp:cNvGraphicFramePr/>
                      <a:graphic xmlns:a="http://schemas.openxmlformats.org/drawingml/2006/main">
                        <a:graphicData uri="http://schemas.microsoft.com/office/word/2010/wordprocessingShape">
                          <wps:wsp>
                            <wps:cNvCnPr/>
                            <wps:spPr>
                              <a:xfrm>
                                <a:off x="1472565" y="7124065"/>
                                <a:ext cx="2805430" cy="610870"/>
                              </a:xfrm>
                              <a:prstGeom prst="line">
                                <a:avLst/>
                              </a:prstGeom>
                              <a:noFill/>
                              <a:ln w="0" cap="flat" cmpd="sng" algn="ctr">
                                <a:solidFill>
                                  <a:srgbClr val="000000"/>
                                </a:solidFill>
                                <a:prstDash val="solid"/>
                              </a:ln>
                              <a:effectLst/>
                            </wps:spPr>
                            <wps:bodyPr/>
                          </wps:wsp>
                        </a:graphicData>
                      </a:graphic>
                    </wp:anchor>
                  </w:drawing>
                </mc:Choice>
                <mc:Fallback>
                  <w:pict>
                    <v:line id="_x0000_s1026" o:spid="_x0000_s1026" o:spt="20" style="position:absolute;left:0pt;margin-left:-4.75pt;margin-top:0.35pt;height:48.1pt;width:220.9pt;z-index:251662336;mso-width-relative:page;mso-height-relative:page;" filled="f" stroked="t" coordsize="21600,21600" o:gfxdata="UEsDBAoAAAAAAIdO4kAAAAAAAAAAAAAAAAAEAAAAZHJzL1BLAwQUAAAACACHTuJAYSE+T9YAAAAG&#10;AQAADwAAAGRycy9kb3ducmV2LnhtbE2OTU/DMBBE70j8B2uRuLV2GghNiNNDERdAQg1I5biNlyQl&#10;Xkex+8G/x5zgOJrRm1euznYQR5p871hDMlcgiBtnem41vL89zpYgfEA2ODgmDd/kYVVdXpRYGHfi&#10;DR3r0IoIYV+ghi6EsZDSNx1Z9HM3Esfu000WQ4xTK82Epwi3g1wolUmLPceHDkdad9R81QerQb0+&#10;Zx/yZb3fb58eNgrTelBJrfX1VaLuQQQ6h78x/OpHdaii084d2HgxaJjlt3Gp4Q5EbG/SRQpipyHP&#10;cpBVKf/rVz9QSwMEFAAAAAgAh07iQEe6BlfsAQAAtgMAAA4AAABkcnMvZTJvRG9jLnhtbK1TS47U&#10;MBDdI3EHy3s66aZ/ijo9i2kNGwQtAQdwO3ZiyT+5PJ3uS3ABJHawYsme2zBzDMpOGOazmQVZOFV2&#10;5VW955fNxclochQBlLM1nU5KSoTlrlG2remnj1ev1pRAZLZh2llR07MAerF9+WLT+0rMXOd0IwJB&#10;EAtV72vaxeirogDeCcNg4ryweChdMCxiGtqiCaxHdKOLWVkui96FxgfHBQDu7oZDOiKG5wA6KRUX&#10;O8evjbBxQA1Cs4iUoFMe6DZPK6Xg8b2UICLRNUWmMa/YBONDWovthlVtYL5TfByBPWeER5wMUxab&#10;3kHtWGTkOqgnUEbx4MDJOOHOFAORrAiymJaPtPnQMS8yF5Qa/J3o8P9g+bvjPhDV1HRFiWUGL/zm&#10;y8/fn7/d/vqK682P72SVROo9VFh7afdhzMDvQ2J8ksGkN3IhJzTUfDVbLBeUnBFyOpuXGGeRxSkS&#10;jgWzdbmYv0b9OVYsp+V6lW+h+IfkA8Q3whmSgppqZZMIrGLHtxARC0v/lqRt666U1rmHtqTPd8sZ&#10;OlOiI7CN8cgObEsJ0y1anseQ4cBp1aRPEwiE9nCpAzmyZJT8pLGx1YOy1HfHoBvq8tFYpm2CEdly&#10;45hJs0GlFB1cc87iFSnD68zoo/WSX+7nGN//3bZ/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GEh&#10;Pk/WAAAABgEAAA8AAAAAAAAAAQAgAAAAIgAAAGRycy9kb3ducmV2LnhtbFBLAQIUABQAAAAIAIdO&#10;4kBHugZX7AEAALYDAAAOAAAAAAAAAAEAIAAAACUBAABkcnMvZTJvRG9jLnhtbFBLBQYAAAAABgAG&#10;AFkBAACDBQAAAAA=&#10;">
                      <v:fill on="f" focussize="0,0"/>
                      <v:stroke weight="0pt" color="#000000" joinstyle="round"/>
                      <v:imagedata o:title=""/>
                      <o:lock v:ext="edit" aspectratio="f"/>
                    </v:line>
                  </w:pict>
                </mc:Fallback>
              </mc:AlternateContent>
            </w:r>
            <w:r>
              <w:rPr>
                <w:rFonts w:hint="eastAsia" w:ascii="仿宋_GB2312" w:hAnsi="仿宋_GB2312" w:eastAsia="仿宋_GB2312" w:cs="仿宋_GB2312"/>
                <w:color w:val="auto"/>
                <w:sz w:val="32"/>
                <w:szCs w:val="32"/>
              </w:rPr>
              <w:t>费用类别</w:t>
            </w:r>
          </w:p>
          <w:p w14:paraId="72117350">
            <w:pPr>
              <w:spacing w:before="24" w:line="44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中标金额万元（人民币）</w:t>
            </w:r>
          </w:p>
        </w:tc>
        <w:tc>
          <w:tcPr>
            <w:tcW w:w="4410" w:type="dxa"/>
            <w:noWrap w:val="0"/>
            <w:vAlign w:val="center"/>
          </w:tcPr>
          <w:p w14:paraId="544B8F55">
            <w:pPr>
              <w:spacing w:before="24" w:line="440" w:lineRule="exact"/>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货物招标费率</w:t>
            </w:r>
          </w:p>
        </w:tc>
      </w:tr>
      <w:tr w14:paraId="5B2F8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4410" w:type="dxa"/>
            <w:noWrap w:val="0"/>
            <w:vAlign w:val="center"/>
          </w:tcPr>
          <w:p w14:paraId="6AB09ACB">
            <w:pPr>
              <w:snapToGrid w:val="0"/>
              <w:spacing w:line="40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100以下</w:t>
            </w:r>
          </w:p>
        </w:tc>
        <w:tc>
          <w:tcPr>
            <w:tcW w:w="4410" w:type="dxa"/>
            <w:noWrap w:val="0"/>
            <w:vAlign w:val="center"/>
          </w:tcPr>
          <w:p w14:paraId="6EF7B583">
            <w:pPr>
              <w:snapToGrid w:val="0"/>
              <w:spacing w:line="40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1.5%</w:t>
            </w:r>
          </w:p>
        </w:tc>
      </w:tr>
      <w:tr w14:paraId="65D3D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4410" w:type="dxa"/>
            <w:noWrap w:val="0"/>
            <w:vAlign w:val="center"/>
          </w:tcPr>
          <w:p w14:paraId="162EBBF5">
            <w:pPr>
              <w:snapToGrid w:val="0"/>
              <w:spacing w:line="400" w:lineRule="exact"/>
              <w:jc w:val="center"/>
              <w:rPr>
                <w:rFonts w:hint="eastAsia" w:ascii="仿宋" w:hAnsi="仿宋" w:eastAsia="仿宋" w:cs="仿宋"/>
                <w:color w:val="auto"/>
                <w:sz w:val="32"/>
                <w:szCs w:val="32"/>
                <w:highlight w:val="magenta"/>
              </w:rPr>
            </w:pPr>
            <w:r>
              <w:rPr>
                <w:rFonts w:hint="eastAsia" w:ascii="仿宋" w:hAnsi="仿宋" w:eastAsia="仿宋" w:cs="仿宋"/>
                <w:color w:val="auto"/>
                <w:sz w:val="32"/>
                <w:szCs w:val="32"/>
                <w:lang w:val="en-US" w:eastAsia="zh-CN"/>
              </w:rPr>
              <w:t>100～500</w:t>
            </w:r>
          </w:p>
        </w:tc>
        <w:tc>
          <w:tcPr>
            <w:tcW w:w="4410" w:type="dxa"/>
            <w:noWrap w:val="0"/>
            <w:vAlign w:val="center"/>
          </w:tcPr>
          <w:p w14:paraId="27FC46E4">
            <w:pPr>
              <w:snapToGrid w:val="0"/>
              <w:spacing w:line="400" w:lineRule="exact"/>
              <w:jc w:val="center"/>
              <w:rPr>
                <w:rFonts w:hint="eastAsia" w:ascii="仿宋" w:hAnsi="仿宋" w:eastAsia="仿宋" w:cs="仿宋"/>
                <w:color w:val="auto"/>
                <w:sz w:val="32"/>
                <w:szCs w:val="32"/>
                <w:highlight w:val="magenta"/>
              </w:rPr>
            </w:pPr>
            <w:r>
              <w:rPr>
                <w:rFonts w:hint="eastAsia" w:ascii="仿宋" w:hAnsi="仿宋" w:eastAsia="仿宋" w:cs="仿宋"/>
                <w:color w:val="auto"/>
                <w:sz w:val="32"/>
                <w:szCs w:val="32"/>
                <w:lang w:val="en-US" w:eastAsia="zh-CN"/>
              </w:rPr>
              <w:t>1.1%</w:t>
            </w:r>
          </w:p>
        </w:tc>
      </w:tr>
      <w:tr w14:paraId="4508F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4410" w:type="dxa"/>
            <w:noWrap w:val="0"/>
            <w:vAlign w:val="center"/>
          </w:tcPr>
          <w:p w14:paraId="252AA962">
            <w:pPr>
              <w:snapToGrid w:val="0"/>
              <w:spacing w:line="40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500～1000</w:t>
            </w:r>
          </w:p>
        </w:tc>
        <w:tc>
          <w:tcPr>
            <w:tcW w:w="4410" w:type="dxa"/>
            <w:noWrap w:val="0"/>
            <w:vAlign w:val="center"/>
          </w:tcPr>
          <w:p w14:paraId="13FE31B1">
            <w:pPr>
              <w:snapToGrid w:val="0"/>
              <w:spacing w:line="40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0.8%</w:t>
            </w:r>
          </w:p>
        </w:tc>
      </w:tr>
      <w:tr w14:paraId="14D79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4410" w:type="dxa"/>
            <w:noWrap w:val="0"/>
            <w:vAlign w:val="center"/>
          </w:tcPr>
          <w:p w14:paraId="6C1DE05E">
            <w:pPr>
              <w:snapToGrid w:val="0"/>
              <w:spacing w:line="40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1000～5000</w:t>
            </w:r>
          </w:p>
        </w:tc>
        <w:tc>
          <w:tcPr>
            <w:tcW w:w="4410" w:type="dxa"/>
            <w:noWrap w:val="0"/>
            <w:vAlign w:val="center"/>
          </w:tcPr>
          <w:p w14:paraId="20ACE00F">
            <w:pPr>
              <w:snapToGrid w:val="0"/>
              <w:spacing w:line="40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0.5%</w:t>
            </w:r>
          </w:p>
        </w:tc>
      </w:tr>
      <w:tr w14:paraId="47796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4410" w:type="dxa"/>
            <w:noWrap w:val="0"/>
            <w:vAlign w:val="center"/>
          </w:tcPr>
          <w:p w14:paraId="16F0CA57">
            <w:pPr>
              <w:snapToGrid w:val="0"/>
              <w:spacing w:line="40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5000～10000</w:t>
            </w:r>
          </w:p>
        </w:tc>
        <w:tc>
          <w:tcPr>
            <w:tcW w:w="4410" w:type="dxa"/>
            <w:noWrap w:val="0"/>
            <w:vAlign w:val="center"/>
          </w:tcPr>
          <w:p w14:paraId="499ED98D">
            <w:pPr>
              <w:snapToGrid w:val="0"/>
              <w:spacing w:line="40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0.25%</w:t>
            </w:r>
          </w:p>
        </w:tc>
      </w:tr>
      <w:tr w14:paraId="280AB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4410" w:type="dxa"/>
            <w:noWrap w:val="0"/>
            <w:vAlign w:val="center"/>
          </w:tcPr>
          <w:p w14:paraId="750C5408">
            <w:pPr>
              <w:snapToGrid w:val="0"/>
              <w:spacing w:line="40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10000～100000</w:t>
            </w:r>
          </w:p>
        </w:tc>
        <w:tc>
          <w:tcPr>
            <w:tcW w:w="4410" w:type="dxa"/>
            <w:noWrap w:val="0"/>
            <w:vAlign w:val="center"/>
          </w:tcPr>
          <w:p w14:paraId="4C09D099">
            <w:pPr>
              <w:snapToGrid w:val="0"/>
              <w:spacing w:line="40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0.05%</w:t>
            </w:r>
          </w:p>
        </w:tc>
      </w:tr>
      <w:tr w14:paraId="070E8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4410" w:type="dxa"/>
            <w:noWrap w:val="0"/>
            <w:vAlign w:val="center"/>
          </w:tcPr>
          <w:p w14:paraId="6259B379">
            <w:pPr>
              <w:snapToGrid w:val="0"/>
              <w:spacing w:line="40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1000000以上</w:t>
            </w:r>
          </w:p>
        </w:tc>
        <w:tc>
          <w:tcPr>
            <w:tcW w:w="4410" w:type="dxa"/>
            <w:noWrap w:val="0"/>
            <w:vAlign w:val="center"/>
          </w:tcPr>
          <w:p w14:paraId="4FE61DB7">
            <w:pPr>
              <w:snapToGrid w:val="0"/>
              <w:spacing w:line="40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0.01%</w:t>
            </w:r>
          </w:p>
        </w:tc>
      </w:tr>
    </w:tbl>
    <w:p w14:paraId="2ADCCEC9">
      <w:pPr>
        <w:spacing w:before="24" w:line="500" w:lineRule="exact"/>
        <w:ind w:firstLine="42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支付形式：对公转账</w:t>
      </w:r>
    </w:p>
    <w:p w14:paraId="23CB3B07">
      <w:pPr>
        <w:spacing w:before="24" w:line="500" w:lineRule="exact"/>
        <w:ind w:firstLine="420"/>
        <w:jc w:val="left"/>
        <w:rPr>
          <w:rFonts w:hint="eastAsia" w:ascii="仿宋_GB2312" w:hAnsi="仿宋_GB2312" w:eastAsia="仿宋_GB2312" w:cs="仿宋_GB2312"/>
          <w:b/>
          <w:bCs/>
          <w:color w:val="auto"/>
          <w:kern w:val="44"/>
          <w:sz w:val="32"/>
          <w:szCs w:val="32"/>
          <w:highlight w:val="none"/>
        </w:rPr>
      </w:pPr>
      <w:r>
        <w:rPr>
          <w:rFonts w:hint="eastAsia" w:ascii="仿宋_GB2312" w:hAnsi="仿宋_GB2312" w:eastAsia="仿宋_GB2312" w:cs="仿宋_GB2312"/>
          <w:color w:val="auto"/>
          <w:spacing w:val="8"/>
          <w:sz w:val="32"/>
          <w:szCs w:val="32"/>
          <w:highlight w:val="none"/>
        </w:rPr>
        <w:t>支付时间：领取成交通知书</w:t>
      </w:r>
      <w:r>
        <w:rPr>
          <w:rFonts w:hint="eastAsia" w:ascii="仿宋_GB2312" w:hAnsi="仿宋_GB2312" w:eastAsia="仿宋_GB2312" w:cs="仿宋_GB2312"/>
          <w:color w:val="auto"/>
          <w:spacing w:val="8"/>
          <w:sz w:val="32"/>
          <w:szCs w:val="32"/>
          <w:highlight w:val="none"/>
          <w:lang w:val="en-US" w:eastAsia="zh-CN"/>
        </w:rPr>
        <w:t>后3日内</w:t>
      </w:r>
      <w:r>
        <w:rPr>
          <w:rFonts w:hint="eastAsia" w:ascii="仿宋_GB2312" w:hAnsi="仿宋_GB2312" w:eastAsia="仿宋_GB2312" w:cs="仿宋_GB2312"/>
          <w:color w:val="auto"/>
          <w:spacing w:val="8"/>
          <w:sz w:val="32"/>
          <w:szCs w:val="32"/>
          <w:highlight w:val="none"/>
        </w:rPr>
        <w:t>由中标方一次性支付</w:t>
      </w:r>
      <w:r>
        <w:rPr>
          <w:rFonts w:hint="eastAsia" w:ascii="仿宋_GB2312" w:hAnsi="仿宋_GB2312" w:eastAsia="仿宋_GB2312" w:cs="仿宋_GB2312"/>
          <w:b/>
          <w:bCs/>
          <w:color w:val="auto"/>
          <w:kern w:val="44"/>
          <w:sz w:val="32"/>
          <w:szCs w:val="32"/>
          <w:highlight w:val="none"/>
        </w:rPr>
        <w:t xml:space="preserve">    </w:t>
      </w:r>
      <w:bookmarkStart w:id="280" w:name="_Toc8428"/>
      <w:bookmarkStart w:id="281" w:name="_Toc11945"/>
      <w:bookmarkStart w:id="282" w:name="_Toc3865"/>
      <w:bookmarkStart w:id="283" w:name="_Toc29629"/>
    </w:p>
    <w:p w14:paraId="283F6035">
      <w:pPr>
        <w:keepNext/>
        <w:keepLines/>
        <w:numPr>
          <w:ilvl w:val="0"/>
          <w:numId w:val="2"/>
        </w:numPr>
        <w:tabs>
          <w:tab w:val="left" w:pos="900"/>
        </w:tabs>
        <w:spacing w:line="500" w:lineRule="exact"/>
        <w:ind w:left="924" w:hanging="924"/>
        <w:outlineLvl w:val="0"/>
        <w:rPr>
          <w:rFonts w:hint="eastAsia" w:ascii="仿宋_GB2312" w:hAnsi="仿宋_GB2312" w:eastAsia="仿宋_GB2312" w:cs="仿宋_GB2312"/>
          <w:b/>
          <w:bCs/>
          <w:color w:val="auto"/>
          <w:kern w:val="44"/>
          <w:sz w:val="32"/>
          <w:szCs w:val="32"/>
          <w:highlight w:val="none"/>
        </w:rPr>
      </w:pPr>
      <w:r>
        <w:rPr>
          <w:rFonts w:hint="eastAsia" w:ascii="仿宋_GB2312" w:hAnsi="仿宋_GB2312" w:eastAsia="仿宋_GB2312" w:cs="仿宋_GB2312"/>
          <w:b/>
          <w:bCs/>
          <w:color w:val="auto"/>
          <w:kern w:val="44"/>
          <w:sz w:val="32"/>
          <w:szCs w:val="32"/>
          <w:highlight w:val="none"/>
        </w:rPr>
        <w:t>适用法律</w:t>
      </w:r>
      <w:bookmarkEnd w:id="278"/>
      <w:bookmarkEnd w:id="279"/>
      <w:bookmarkEnd w:id="280"/>
      <w:bookmarkEnd w:id="281"/>
      <w:bookmarkEnd w:id="282"/>
      <w:bookmarkEnd w:id="283"/>
    </w:p>
    <w:p w14:paraId="403535C0">
      <w:pPr>
        <w:numPr>
          <w:ilvl w:val="1"/>
          <w:numId w:val="50"/>
        </w:numPr>
        <w:spacing w:line="50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highlight w:val="none"/>
        </w:rPr>
        <w:t>采购人、采购代理机构及投</w:t>
      </w:r>
      <w:r>
        <w:rPr>
          <w:rFonts w:hint="eastAsia" w:ascii="仿宋_GB2312" w:hAnsi="仿宋_GB2312" w:eastAsia="仿宋_GB2312" w:cs="仿宋_GB2312"/>
          <w:color w:val="auto"/>
          <w:sz w:val="32"/>
          <w:szCs w:val="32"/>
        </w:rPr>
        <w:t>标人的一切采购活动均适用《中华人民共和国政府采购法》、《中华人民共和国政府采购法实施条例》及其配套的法规、规章、政策。</w:t>
      </w:r>
    </w:p>
    <w:p w14:paraId="531D1B00">
      <w:pPr>
        <w:keepNext/>
        <w:keepLines/>
        <w:numPr>
          <w:ilvl w:val="0"/>
          <w:numId w:val="2"/>
        </w:numPr>
        <w:tabs>
          <w:tab w:val="left" w:pos="900"/>
        </w:tabs>
        <w:spacing w:line="500" w:lineRule="exact"/>
        <w:ind w:left="924" w:hanging="924"/>
        <w:outlineLvl w:val="0"/>
        <w:rPr>
          <w:rFonts w:hint="eastAsia" w:ascii="仿宋_GB2312" w:hAnsi="仿宋_GB2312" w:eastAsia="仿宋_GB2312" w:cs="仿宋_GB2312"/>
          <w:b/>
          <w:bCs/>
          <w:color w:val="auto"/>
          <w:kern w:val="44"/>
          <w:sz w:val="32"/>
          <w:szCs w:val="32"/>
        </w:rPr>
      </w:pPr>
      <w:bookmarkStart w:id="284" w:name="_Toc24416"/>
      <w:bookmarkStart w:id="285" w:name="_Toc55778728"/>
      <w:r>
        <w:rPr>
          <w:rFonts w:hint="eastAsia" w:ascii="仿宋_GB2312" w:hAnsi="仿宋_GB2312" w:eastAsia="仿宋_GB2312" w:cs="仿宋_GB2312"/>
          <w:b/>
          <w:bCs/>
          <w:color w:val="auto"/>
          <w:kern w:val="44"/>
          <w:sz w:val="32"/>
          <w:szCs w:val="32"/>
        </w:rPr>
        <w:t xml:space="preserve">    </w:t>
      </w:r>
      <w:bookmarkStart w:id="286" w:name="_Toc10876"/>
      <w:bookmarkStart w:id="287" w:name="_Toc7754"/>
      <w:bookmarkStart w:id="288" w:name="_Toc22475"/>
      <w:bookmarkStart w:id="289" w:name="_Toc22798"/>
      <w:r>
        <w:rPr>
          <w:rFonts w:hint="eastAsia" w:ascii="仿宋_GB2312" w:hAnsi="仿宋_GB2312" w:eastAsia="仿宋_GB2312" w:cs="仿宋_GB2312"/>
          <w:b/>
          <w:bCs/>
          <w:color w:val="auto"/>
          <w:kern w:val="44"/>
          <w:sz w:val="32"/>
          <w:szCs w:val="32"/>
        </w:rPr>
        <w:t>政府采购政策</w:t>
      </w:r>
      <w:bookmarkEnd w:id="284"/>
      <w:bookmarkEnd w:id="285"/>
      <w:bookmarkEnd w:id="286"/>
      <w:bookmarkEnd w:id="287"/>
      <w:bookmarkEnd w:id="288"/>
      <w:bookmarkEnd w:id="289"/>
    </w:p>
    <w:p w14:paraId="4EF5DD0C">
      <w:pPr>
        <w:numPr>
          <w:ilvl w:val="1"/>
          <w:numId w:val="51"/>
        </w:numPr>
        <w:wordWrap w:val="0"/>
        <w:spacing w:line="500" w:lineRule="exact"/>
        <w:ind w:left="1382" w:hanging="1382" w:hangingChars="432"/>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节能产品，指属于财政部、发展改革委发布的《节能产品政府采购品目清单》范围内，并具有国家确定的认证机构出具的、处于有效期之内的节能产品认证证书的产品，提供有效期内的中国节能产品认证证书复印件及《节能产品政府采购品目清单》中投标产品所在清单页并均加盖投标人公章，节能清单在中国政府采购网（http：//www.ccgp.gov .cn/）、国家发展改革委网站（http://hzs.nd rc.gv.cn/）和中国质量认证中心网站（http://www.cqc.com.cn/）上发布。</w:t>
      </w:r>
    </w:p>
    <w:p w14:paraId="61BE833D">
      <w:pPr>
        <w:numPr>
          <w:ilvl w:val="1"/>
          <w:numId w:val="51"/>
        </w:numPr>
        <w:wordWrap w:val="0"/>
        <w:spacing w:line="500" w:lineRule="exact"/>
        <w:ind w:left="1382" w:hanging="1382" w:hangingChars="432"/>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环境标志产品，指属于财政部、生态环境部发布的《环境标志产品政府采购品目清单》范围内的，并具有国家确定的认证机构出具的、处于有效期之内的环境标志产品认证证书的产品，提供有效期内的中国环境标志产品认证证书复印件及《环境标志产品政府采购品目清单》中投标产品所在清单页并均加盖投标人公章，清单在中国政府采购网（http://www.ccgp.gov.cn/）、国家环境保护总局网（http://www.sepa.gov.cn/）、中国绿色采购网（http://www.cgpn. cn/）上发布。</w:t>
      </w:r>
    </w:p>
    <w:p w14:paraId="38D374F9">
      <w:pPr>
        <w:numPr>
          <w:ilvl w:val="1"/>
          <w:numId w:val="51"/>
        </w:numPr>
        <w:spacing w:line="50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根据《政府采购促进中小企业发展管理办法》（财库[2020]46号文）的规定，投标人投标时需注意：</w:t>
      </w:r>
    </w:p>
    <w:p w14:paraId="23422CC0">
      <w:pPr>
        <w:numPr>
          <w:ilvl w:val="2"/>
          <w:numId w:val="52"/>
        </w:numPr>
        <w:spacing w:line="50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[2011]300号）执行。</w:t>
      </w:r>
    </w:p>
    <w:p w14:paraId="34313174">
      <w:pPr>
        <w:numPr>
          <w:ilvl w:val="2"/>
          <w:numId w:val="52"/>
        </w:numPr>
        <w:spacing w:line="50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参加政府采购活动的中小企业投标时需提供《中小企业声明函》。否则不予认可。</w:t>
      </w:r>
    </w:p>
    <w:p w14:paraId="4E70CF46">
      <w:pPr>
        <w:numPr>
          <w:ilvl w:val="2"/>
          <w:numId w:val="52"/>
        </w:numPr>
        <w:spacing w:line="50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政府采购货物时，若投标产品仅部分符合优惠评审要求，投标人应提供满足要求的货物的名称和分项报价（详见投标投标明细报价表），否则不予认可。</w:t>
      </w:r>
    </w:p>
    <w:p w14:paraId="47738D92">
      <w:pPr>
        <w:numPr>
          <w:ilvl w:val="1"/>
          <w:numId w:val="51"/>
        </w:numPr>
        <w:spacing w:line="50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监狱企业产品价格扣除</w:t>
      </w:r>
    </w:p>
    <w:p w14:paraId="576F44D8">
      <w:pPr>
        <w:spacing w:line="500" w:lineRule="exact"/>
        <w:ind w:left="840" w:leftChars="4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根据财政部印发的《司法部关于政府采购支持监狱企业发展有关问题》的通知（财库</w:t>
      </w:r>
      <w:r>
        <w:rPr>
          <w:rFonts w:hint="eastAsia" w:ascii="仿宋_GB2312" w:hAnsi="仿宋_GB2312" w:eastAsia="仿宋_GB2312" w:cs="仿宋_GB2312"/>
          <w:color w:val="auto"/>
          <w:sz w:val="32"/>
          <w:szCs w:val="32"/>
        </w:rPr>
        <w:t>〔2014〕</w:t>
      </w:r>
      <w:r>
        <w:rPr>
          <w:rFonts w:hint="eastAsia" w:ascii="仿宋_GB2312" w:hAnsi="仿宋_GB2312" w:eastAsia="仿宋_GB2312" w:cs="仿宋_GB2312"/>
          <w:bCs/>
          <w:color w:val="auto"/>
          <w:sz w:val="32"/>
          <w:szCs w:val="32"/>
        </w:rPr>
        <w:t>68号）的规定，支持监狱和戒毒企业（简称“监狱企业”）发展，监狱企业视同中小企业给予相当中小企业的价格扣除。监狱企业参加政府采购活动时，应当提供由省级以上监狱管理局、戒毒管理局（含新疆生产建设兵团）出具的属于监狱企业的证明文件，否则视为非监狱企业。</w:t>
      </w:r>
    </w:p>
    <w:p w14:paraId="13BB32D4">
      <w:pPr>
        <w:numPr>
          <w:ilvl w:val="1"/>
          <w:numId w:val="51"/>
        </w:numPr>
        <w:spacing w:line="50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残疾人福利性单位产品价格扣除</w:t>
      </w:r>
    </w:p>
    <w:p w14:paraId="2529D711">
      <w:pPr>
        <w:spacing w:line="500" w:lineRule="exact"/>
        <w:ind w:left="840" w:leftChars="400"/>
        <w:rPr>
          <w:rFonts w:hint="eastAsia" w:ascii="仿宋_GB2312" w:hAnsi="仿宋_GB2312" w:eastAsia="仿宋_GB2312" w:cs="仿宋_GB2312"/>
          <w:bCs/>
          <w:color w:val="auto"/>
          <w:sz w:val="32"/>
          <w:szCs w:val="32"/>
        </w:rPr>
      </w:pPr>
      <w:r>
        <w:rPr>
          <w:rFonts w:hint="eastAsia" w:ascii="仿宋_GB2312" w:hAnsi="仿宋_GB2312" w:eastAsia="仿宋_GB2312" w:cs="仿宋_GB2312"/>
          <w:color w:val="auto"/>
          <w:sz w:val="32"/>
          <w:szCs w:val="32"/>
        </w:rPr>
        <w:t>根据</w:t>
      </w:r>
      <w:r>
        <w:rPr>
          <w:rFonts w:hint="eastAsia" w:ascii="仿宋_GB2312" w:hAnsi="仿宋_GB2312" w:eastAsia="仿宋_GB2312" w:cs="仿宋_GB2312"/>
          <w:bCs/>
          <w:color w:val="auto"/>
          <w:sz w:val="32"/>
          <w:szCs w:val="32"/>
        </w:rPr>
        <w:t>财政部印发的</w:t>
      </w:r>
      <w:r>
        <w:rPr>
          <w:rFonts w:hint="eastAsia" w:ascii="仿宋_GB2312" w:hAnsi="仿宋_GB2312" w:eastAsia="仿宋_GB2312" w:cs="仿宋_GB2312"/>
          <w:color w:val="auto"/>
          <w:sz w:val="32"/>
          <w:szCs w:val="32"/>
        </w:rPr>
        <w:t>《关于促进残疾人就业政府采购政策的通知》（财库〔2017〕141号）的规定，</w:t>
      </w:r>
      <w:r>
        <w:rPr>
          <w:rFonts w:hint="eastAsia" w:ascii="仿宋_GB2312" w:hAnsi="仿宋_GB2312" w:eastAsia="仿宋_GB2312" w:cs="仿宋_GB2312"/>
          <w:bCs/>
          <w:color w:val="auto"/>
          <w:sz w:val="32"/>
          <w:szCs w:val="32"/>
        </w:rPr>
        <w:t>残疾人福利性单位视同中小企业给予相当中小企业的价格扣除。残疾人福利性单位参加政府采购活动时，应当提供《残疾人福利性单位声明函》，否则视为非残疾人福利性单位。</w:t>
      </w:r>
    </w:p>
    <w:p w14:paraId="222CCC2D">
      <w:pPr>
        <w:spacing w:line="500" w:lineRule="exact"/>
        <w:ind w:left="840" w:leftChars="400"/>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注1：投标人若同时为中小企业、监狱企业、残疾人福利性单位或其中两种，均只能享受一次价格扣除。</w:t>
      </w:r>
    </w:p>
    <w:p w14:paraId="0AEFC374">
      <w:pPr>
        <w:spacing w:line="500" w:lineRule="exact"/>
        <w:ind w:left="840" w:leftChars="400"/>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注2：中小企业、残疾人福利性单位提供其他企业制造的货物的，则该货物的制造商也必须为上述企业，否则不能享受价格优惠。</w:t>
      </w:r>
    </w:p>
    <w:p w14:paraId="499E34E1">
      <w:pPr>
        <w:spacing w:line="500" w:lineRule="exact"/>
        <w:ind w:firstLine="1285" w:firstLineChars="400"/>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注3：中小企业声明函注意事项：</w:t>
      </w:r>
    </w:p>
    <w:p w14:paraId="258E0624">
      <w:pPr>
        <w:spacing w:line="500" w:lineRule="exact"/>
        <w:ind w:left="950" w:leftChars="300" w:hanging="320" w:hangingChars="1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（1）投标人在此声明函未填写“小型、微型”其中之一的，将视为非中小企业，不能享受价格扣除。</w:t>
      </w:r>
    </w:p>
    <w:p w14:paraId="7E389502">
      <w:pPr>
        <w:spacing w:line="500" w:lineRule="exact"/>
        <w:ind w:left="630" w:leftChars="3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投标人提供其他制造商（生产厂家）制作的货物投标，需要同时提供《中小企业声明函》及《制造商中小企业声明函》（其中《中小企业声明函》加盖投标人公章，《制造商中小企业声明函》加盖制造商公章），中小企业优惠标准以制造商企业类型为准。具有多个制造商的货物须提供相应制造商的《制造商中小企业声明函》。提供资料不齐全的视为非中小企业。</w:t>
      </w:r>
    </w:p>
    <w:p w14:paraId="22096F50">
      <w:pPr>
        <w:spacing w:line="50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（3）投标人提供自己制造的货物投标，则提供《中小企业声明函》。</w:t>
      </w:r>
    </w:p>
    <w:p w14:paraId="343B3F94">
      <w:pPr>
        <w:pStyle w:val="4"/>
        <w:rPr>
          <w:rFonts w:hint="eastAsia" w:ascii="仿宋" w:hAnsi="仿宋" w:eastAsia="仿宋" w:cs="仿宋"/>
          <w:color w:val="auto"/>
          <w:kern w:val="44"/>
          <w:sz w:val="24"/>
          <w:szCs w:val="24"/>
        </w:rPr>
      </w:pPr>
      <w:bookmarkStart w:id="290" w:name="_Toc16833"/>
      <w:bookmarkStart w:id="291" w:name="_Toc55778730"/>
    </w:p>
    <w:p w14:paraId="5D33CA23">
      <w:pPr>
        <w:spacing w:line="360" w:lineRule="auto"/>
        <w:outlineLvl w:val="0"/>
        <w:rPr>
          <w:rFonts w:hint="eastAsia" w:ascii="仿宋" w:hAnsi="仿宋" w:eastAsia="仿宋" w:cs="仿宋"/>
          <w:b/>
          <w:bCs/>
          <w:color w:val="auto"/>
          <w:kern w:val="44"/>
          <w:sz w:val="24"/>
          <w:szCs w:val="24"/>
        </w:rPr>
      </w:pPr>
      <w:bookmarkStart w:id="292" w:name="_Toc28078"/>
    </w:p>
    <w:p w14:paraId="5A2BF19F">
      <w:pPr>
        <w:spacing w:line="360" w:lineRule="auto"/>
        <w:outlineLvl w:val="0"/>
        <w:rPr>
          <w:rFonts w:hint="eastAsia" w:ascii="仿宋" w:hAnsi="仿宋" w:eastAsia="仿宋" w:cs="仿宋"/>
          <w:b/>
          <w:bCs/>
          <w:color w:val="auto"/>
          <w:kern w:val="44"/>
          <w:sz w:val="24"/>
          <w:szCs w:val="24"/>
        </w:rPr>
      </w:pPr>
    </w:p>
    <w:p w14:paraId="67F3C231">
      <w:pPr>
        <w:spacing w:line="360" w:lineRule="auto"/>
        <w:outlineLvl w:val="0"/>
        <w:rPr>
          <w:rFonts w:hint="eastAsia" w:ascii="仿宋" w:hAnsi="仿宋" w:eastAsia="仿宋" w:cs="仿宋"/>
          <w:b/>
          <w:bCs/>
          <w:color w:val="auto"/>
          <w:kern w:val="44"/>
          <w:sz w:val="24"/>
          <w:szCs w:val="24"/>
        </w:rPr>
      </w:pPr>
    </w:p>
    <w:p w14:paraId="6B451790">
      <w:pPr>
        <w:spacing w:line="360" w:lineRule="auto"/>
        <w:outlineLvl w:val="0"/>
        <w:rPr>
          <w:rFonts w:hint="eastAsia" w:ascii="仿宋" w:hAnsi="仿宋" w:eastAsia="仿宋" w:cs="仿宋"/>
          <w:b/>
          <w:bCs/>
          <w:color w:val="auto"/>
          <w:kern w:val="44"/>
          <w:sz w:val="24"/>
          <w:szCs w:val="24"/>
        </w:rPr>
      </w:pPr>
    </w:p>
    <w:p w14:paraId="20884A0D">
      <w:pPr>
        <w:spacing w:line="360" w:lineRule="auto"/>
        <w:outlineLvl w:val="0"/>
        <w:rPr>
          <w:rFonts w:hint="eastAsia" w:ascii="仿宋" w:hAnsi="仿宋" w:eastAsia="仿宋" w:cs="仿宋"/>
          <w:b/>
          <w:bCs/>
          <w:color w:val="auto"/>
          <w:kern w:val="44"/>
          <w:sz w:val="24"/>
          <w:szCs w:val="24"/>
        </w:rPr>
      </w:pPr>
    </w:p>
    <w:p w14:paraId="2D1E5188">
      <w:pPr>
        <w:spacing w:line="700" w:lineRule="exact"/>
        <w:jc w:val="center"/>
        <w:rPr>
          <w:rFonts w:hint="eastAsia" w:ascii="方正小标宋_GBK" w:hAnsi="方正小标宋_GBK" w:eastAsia="方正小标宋_GBK" w:cs="方正小标宋_GBK"/>
          <w:color w:val="auto"/>
          <w:sz w:val="32"/>
          <w:szCs w:val="32"/>
        </w:rPr>
      </w:pPr>
      <w:r>
        <w:rPr>
          <w:rFonts w:hint="eastAsia" w:ascii="方正小标宋_GBK" w:hAnsi="方正小标宋_GBK" w:eastAsia="方正小标宋_GBK" w:cs="方正小标宋_GBK"/>
          <w:color w:val="auto"/>
          <w:sz w:val="32"/>
          <w:szCs w:val="32"/>
        </w:rPr>
        <w:t>第四章 合同格式</w:t>
      </w:r>
      <w:bookmarkEnd w:id="290"/>
      <w:bookmarkEnd w:id="291"/>
      <w:bookmarkEnd w:id="292"/>
    </w:p>
    <w:p w14:paraId="2EEF0E9B">
      <w:pPr>
        <w:pStyle w:val="19"/>
        <w:kinsoku w:val="0"/>
        <w:overflowPunct w:val="0"/>
        <w:spacing w:line="360" w:lineRule="auto"/>
        <w:rPr>
          <w:rFonts w:hint="eastAsia" w:ascii="仿宋" w:hAnsi="仿宋" w:eastAsia="仿宋" w:cs="仿宋"/>
          <w:color w:val="auto"/>
          <w:sz w:val="24"/>
          <w:szCs w:val="24"/>
        </w:rPr>
      </w:pPr>
    </w:p>
    <w:p w14:paraId="6A4E3B36">
      <w:pPr>
        <w:pStyle w:val="23"/>
        <w:shd w:val="clear" w:color="auto" w:fill="FFFFFF"/>
        <w:spacing w:before="0" w:beforeAutospacing="0" w:after="0" w:afterAutospacing="0" w:line="336" w:lineRule="auto"/>
        <w:ind w:firstLine="420"/>
        <w:jc w:val="center"/>
        <w:rPr>
          <w:rFonts w:hint="eastAsia" w:ascii="Arial" w:hAnsi="Arial" w:eastAsia="黑体" w:cs="Times New Roman"/>
          <w:b/>
          <w:color w:val="auto"/>
          <w:kern w:val="2"/>
          <w:sz w:val="32"/>
          <w:szCs w:val="24"/>
          <w:lang w:val="en-US" w:eastAsia="zh-CN" w:bidi="ar-SA"/>
        </w:rPr>
      </w:pPr>
      <w:r>
        <w:rPr>
          <w:rFonts w:hint="eastAsia" w:ascii="Arial" w:hAnsi="Arial" w:eastAsia="黑体" w:cs="Times New Roman"/>
          <w:b/>
          <w:color w:val="auto"/>
          <w:kern w:val="2"/>
          <w:sz w:val="32"/>
          <w:szCs w:val="24"/>
          <w:lang w:val="en-US" w:eastAsia="zh-CN" w:bidi="ar-SA"/>
        </w:rPr>
        <w:t>生活物资供货合同（一标段米、面、油类）</w:t>
      </w:r>
    </w:p>
    <w:p w14:paraId="24EB46C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为保证食材采购和配送工作正规有序进行，</w:t>
      </w:r>
      <w:r>
        <w:rPr>
          <w:rFonts w:hint="eastAsia" w:ascii="仿宋_GB2312" w:hAnsi="仿宋_GB2312" w:eastAsia="仿宋_GB2312" w:cs="仿宋_GB2312"/>
          <w:color w:val="auto"/>
          <w:sz w:val="32"/>
          <w:szCs w:val="32"/>
        </w:rPr>
        <w:t>甲方与乙方就采购配送事宜,根据《中华人民共和国民法典》《中华人民共和国政府采购法》等规定,本着平等、自愿、互利、互惠的原则,经</w:t>
      </w:r>
      <w:r>
        <w:rPr>
          <w:rFonts w:hint="eastAsia" w:ascii="仿宋_GB2312" w:hAnsi="仿宋_GB2312" w:eastAsia="仿宋_GB2312" w:cs="仿宋_GB2312"/>
          <w:color w:val="auto"/>
          <w:sz w:val="32"/>
          <w:szCs w:val="32"/>
          <w:lang w:eastAsia="zh-CN"/>
        </w:rPr>
        <w:t>双</w:t>
      </w:r>
      <w:r>
        <w:rPr>
          <w:rFonts w:hint="eastAsia" w:ascii="仿宋_GB2312" w:hAnsi="仿宋_GB2312" w:eastAsia="仿宋_GB2312" w:cs="仿宋_GB2312"/>
          <w:color w:val="auto"/>
          <w:sz w:val="32"/>
          <w:szCs w:val="32"/>
        </w:rPr>
        <w:t>方协商一致,订立本合同。</w:t>
      </w:r>
    </w:p>
    <w:p w14:paraId="519148B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1.采购物品名称、品牌、规格、金额(人民币/元)</w:t>
      </w:r>
    </w:p>
    <w:p w14:paraId="731677E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1.1 价格清单(名称、品牌、规格及价格):</w:t>
      </w:r>
    </w:p>
    <w:tbl>
      <w:tblPr>
        <w:tblStyle w:val="28"/>
        <w:tblW w:w="0" w:type="auto"/>
        <w:tblInd w:w="2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0"/>
        <w:gridCol w:w="1262"/>
        <w:gridCol w:w="1709"/>
        <w:gridCol w:w="1066"/>
        <w:gridCol w:w="1225"/>
        <w:gridCol w:w="1900"/>
      </w:tblGrid>
      <w:tr w14:paraId="1ECD9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0" w:type="dxa"/>
            <w:noWrap w:val="0"/>
            <w:vAlign w:val="top"/>
          </w:tcPr>
          <w:p w14:paraId="21448203">
            <w:pPr>
              <w:keepNext w:val="0"/>
              <w:keepLines w:val="0"/>
              <w:pageBreakBefore w:val="0"/>
              <w:widowControl w:val="0"/>
              <w:kinsoku/>
              <w:wordWrap/>
              <w:overflowPunct/>
              <w:topLinePunct w:val="0"/>
              <w:autoSpaceDE/>
              <w:autoSpaceDN/>
              <w:bidi w:val="0"/>
              <w:adjustRightInd/>
              <w:snapToGrid/>
              <w:spacing w:line="560" w:lineRule="exact"/>
              <w:ind w:firstLine="320" w:firstLineChars="100"/>
              <w:jc w:val="center"/>
              <w:textAlignment w:val="auto"/>
              <w:rPr>
                <w:rFonts w:hint="eastAsia" w:ascii="仿宋_GB2312" w:hAnsi="仿宋_GB2312" w:eastAsia="仿宋_GB2312" w:cs="仿宋_GB2312"/>
                <w:color w:val="auto"/>
                <w:sz w:val="32"/>
                <w:szCs w:val="32"/>
                <w:vertAlign w:val="baseline"/>
                <w:lang w:eastAsia="zh-CN"/>
              </w:rPr>
            </w:pPr>
            <w:r>
              <w:rPr>
                <w:rFonts w:hint="eastAsia" w:ascii="仿宋_GB2312" w:hAnsi="仿宋_GB2312" w:eastAsia="仿宋_GB2312" w:cs="仿宋_GB2312"/>
                <w:color w:val="auto"/>
                <w:sz w:val="32"/>
                <w:szCs w:val="32"/>
                <w:vertAlign w:val="baseline"/>
                <w:lang w:eastAsia="zh-CN"/>
              </w:rPr>
              <w:t>序号</w:t>
            </w:r>
          </w:p>
        </w:tc>
        <w:tc>
          <w:tcPr>
            <w:tcW w:w="1262" w:type="dxa"/>
            <w:noWrap w:val="0"/>
            <w:vAlign w:val="top"/>
          </w:tcPr>
          <w:p w14:paraId="516DEE1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32"/>
                <w:szCs w:val="32"/>
                <w:vertAlign w:val="baseline"/>
                <w:lang w:eastAsia="zh-CN"/>
              </w:rPr>
            </w:pPr>
            <w:r>
              <w:rPr>
                <w:rFonts w:hint="eastAsia" w:ascii="仿宋_GB2312" w:hAnsi="仿宋_GB2312" w:eastAsia="仿宋_GB2312" w:cs="仿宋_GB2312"/>
                <w:color w:val="auto"/>
                <w:sz w:val="32"/>
                <w:szCs w:val="32"/>
                <w:vertAlign w:val="baseline"/>
                <w:lang w:eastAsia="zh-CN"/>
              </w:rPr>
              <w:t>名称</w:t>
            </w:r>
          </w:p>
        </w:tc>
        <w:tc>
          <w:tcPr>
            <w:tcW w:w="1709" w:type="dxa"/>
            <w:noWrap w:val="0"/>
            <w:vAlign w:val="top"/>
          </w:tcPr>
          <w:p w14:paraId="4BE3742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eastAsia="zh-CN"/>
              </w:rPr>
              <w:t>规格</w:t>
            </w:r>
            <w:r>
              <w:rPr>
                <w:rFonts w:hint="eastAsia" w:ascii="仿宋_GB2312" w:hAnsi="仿宋_GB2312" w:eastAsia="仿宋_GB2312" w:cs="仿宋_GB2312"/>
                <w:color w:val="auto"/>
                <w:sz w:val="32"/>
                <w:szCs w:val="32"/>
                <w:vertAlign w:val="baseline"/>
                <w:lang w:val="en-US" w:eastAsia="zh-CN"/>
              </w:rPr>
              <w:t>/单位</w:t>
            </w:r>
          </w:p>
        </w:tc>
        <w:tc>
          <w:tcPr>
            <w:tcW w:w="1066" w:type="dxa"/>
            <w:noWrap w:val="0"/>
            <w:vAlign w:val="top"/>
          </w:tcPr>
          <w:p w14:paraId="606EE40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32"/>
                <w:szCs w:val="32"/>
                <w:vertAlign w:val="baseline"/>
                <w:lang w:eastAsia="zh-CN"/>
              </w:rPr>
            </w:pPr>
            <w:r>
              <w:rPr>
                <w:rFonts w:hint="eastAsia" w:ascii="仿宋_GB2312" w:hAnsi="仿宋_GB2312" w:eastAsia="仿宋_GB2312" w:cs="仿宋_GB2312"/>
                <w:color w:val="auto"/>
                <w:sz w:val="32"/>
                <w:szCs w:val="32"/>
                <w:vertAlign w:val="baseline"/>
                <w:lang w:eastAsia="zh-CN"/>
              </w:rPr>
              <w:t>单价</w:t>
            </w:r>
          </w:p>
        </w:tc>
        <w:tc>
          <w:tcPr>
            <w:tcW w:w="1225" w:type="dxa"/>
            <w:noWrap w:val="0"/>
            <w:vAlign w:val="top"/>
          </w:tcPr>
          <w:p w14:paraId="46D8F3F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32"/>
                <w:szCs w:val="32"/>
                <w:vertAlign w:val="baseline"/>
                <w:lang w:eastAsia="zh-CN"/>
              </w:rPr>
            </w:pPr>
            <w:r>
              <w:rPr>
                <w:rFonts w:hint="eastAsia" w:ascii="仿宋_GB2312" w:hAnsi="仿宋_GB2312" w:eastAsia="仿宋_GB2312" w:cs="仿宋_GB2312"/>
                <w:color w:val="auto"/>
                <w:sz w:val="32"/>
                <w:szCs w:val="32"/>
                <w:vertAlign w:val="baseline"/>
                <w:lang w:eastAsia="zh-CN"/>
              </w:rPr>
              <w:t>下浮率</w:t>
            </w:r>
          </w:p>
        </w:tc>
        <w:tc>
          <w:tcPr>
            <w:tcW w:w="1900" w:type="dxa"/>
            <w:noWrap w:val="0"/>
            <w:vAlign w:val="top"/>
          </w:tcPr>
          <w:p w14:paraId="311EC34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32"/>
                <w:szCs w:val="32"/>
                <w:vertAlign w:val="baseline"/>
                <w:lang w:eastAsia="zh-CN"/>
              </w:rPr>
            </w:pPr>
            <w:r>
              <w:rPr>
                <w:rFonts w:hint="eastAsia" w:ascii="仿宋_GB2312" w:hAnsi="仿宋_GB2312" w:eastAsia="仿宋_GB2312" w:cs="仿宋_GB2312"/>
                <w:color w:val="auto"/>
                <w:sz w:val="32"/>
                <w:szCs w:val="32"/>
                <w:vertAlign w:val="baseline"/>
                <w:lang w:eastAsia="zh-CN"/>
              </w:rPr>
              <w:t>下浮后单价</w:t>
            </w:r>
          </w:p>
        </w:tc>
      </w:tr>
      <w:tr w14:paraId="0BC90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0" w:type="dxa"/>
            <w:noWrap w:val="0"/>
            <w:vAlign w:val="top"/>
          </w:tcPr>
          <w:p w14:paraId="1D20096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32"/>
                <w:szCs w:val="32"/>
                <w:vertAlign w:val="baseline"/>
              </w:rPr>
            </w:pPr>
          </w:p>
        </w:tc>
        <w:tc>
          <w:tcPr>
            <w:tcW w:w="1262" w:type="dxa"/>
            <w:noWrap w:val="0"/>
            <w:vAlign w:val="top"/>
          </w:tcPr>
          <w:p w14:paraId="775C9EE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32"/>
                <w:szCs w:val="32"/>
                <w:vertAlign w:val="baseline"/>
              </w:rPr>
            </w:pPr>
          </w:p>
        </w:tc>
        <w:tc>
          <w:tcPr>
            <w:tcW w:w="1709" w:type="dxa"/>
            <w:noWrap w:val="0"/>
            <w:vAlign w:val="top"/>
          </w:tcPr>
          <w:p w14:paraId="1C004F4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32"/>
                <w:szCs w:val="32"/>
                <w:vertAlign w:val="baseline"/>
              </w:rPr>
            </w:pPr>
          </w:p>
        </w:tc>
        <w:tc>
          <w:tcPr>
            <w:tcW w:w="1066" w:type="dxa"/>
            <w:noWrap w:val="0"/>
            <w:vAlign w:val="top"/>
          </w:tcPr>
          <w:p w14:paraId="519566D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32"/>
                <w:szCs w:val="32"/>
                <w:vertAlign w:val="baseline"/>
              </w:rPr>
            </w:pPr>
          </w:p>
        </w:tc>
        <w:tc>
          <w:tcPr>
            <w:tcW w:w="1225" w:type="dxa"/>
            <w:noWrap w:val="0"/>
            <w:vAlign w:val="top"/>
          </w:tcPr>
          <w:p w14:paraId="693D7E4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32"/>
                <w:szCs w:val="32"/>
                <w:vertAlign w:val="baseline"/>
              </w:rPr>
            </w:pPr>
          </w:p>
        </w:tc>
        <w:tc>
          <w:tcPr>
            <w:tcW w:w="1900" w:type="dxa"/>
            <w:noWrap w:val="0"/>
            <w:vAlign w:val="top"/>
          </w:tcPr>
          <w:p w14:paraId="37D7072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32"/>
                <w:szCs w:val="32"/>
                <w:vertAlign w:val="baseline"/>
              </w:rPr>
            </w:pPr>
          </w:p>
        </w:tc>
      </w:tr>
      <w:tr w14:paraId="023FB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200" w:type="dxa"/>
            <w:noWrap w:val="0"/>
            <w:vAlign w:val="top"/>
          </w:tcPr>
          <w:p w14:paraId="05EFE72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32"/>
                <w:szCs w:val="32"/>
                <w:vertAlign w:val="baseline"/>
              </w:rPr>
            </w:pPr>
          </w:p>
        </w:tc>
        <w:tc>
          <w:tcPr>
            <w:tcW w:w="1262" w:type="dxa"/>
            <w:noWrap w:val="0"/>
            <w:vAlign w:val="top"/>
          </w:tcPr>
          <w:p w14:paraId="5AE8D5A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32"/>
                <w:szCs w:val="32"/>
                <w:vertAlign w:val="baseline"/>
              </w:rPr>
            </w:pPr>
          </w:p>
        </w:tc>
        <w:tc>
          <w:tcPr>
            <w:tcW w:w="1709" w:type="dxa"/>
            <w:noWrap w:val="0"/>
            <w:vAlign w:val="top"/>
          </w:tcPr>
          <w:p w14:paraId="049AA64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32"/>
                <w:szCs w:val="32"/>
                <w:vertAlign w:val="baseline"/>
              </w:rPr>
            </w:pPr>
          </w:p>
        </w:tc>
        <w:tc>
          <w:tcPr>
            <w:tcW w:w="1066" w:type="dxa"/>
            <w:noWrap w:val="0"/>
            <w:vAlign w:val="top"/>
          </w:tcPr>
          <w:p w14:paraId="160B4E7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32"/>
                <w:szCs w:val="32"/>
                <w:vertAlign w:val="baseline"/>
              </w:rPr>
            </w:pPr>
          </w:p>
        </w:tc>
        <w:tc>
          <w:tcPr>
            <w:tcW w:w="1225" w:type="dxa"/>
            <w:noWrap w:val="0"/>
            <w:vAlign w:val="top"/>
          </w:tcPr>
          <w:p w14:paraId="1F3D906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32"/>
                <w:szCs w:val="32"/>
                <w:vertAlign w:val="baseline"/>
              </w:rPr>
            </w:pPr>
          </w:p>
        </w:tc>
        <w:tc>
          <w:tcPr>
            <w:tcW w:w="1900" w:type="dxa"/>
            <w:noWrap w:val="0"/>
            <w:vAlign w:val="top"/>
          </w:tcPr>
          <w:p w14:paraId="4F5E956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32"/>
                <w:szCs w:val="32"/>
                <w:vertAlign w:val="baseline"/>
              </w:rPr>
            </w:pPr>
          </w:p>
        </w:tc>
      </w:tr>
      <w:tr w14:paraId="07447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0" w:type="dxa"/>
            <w:noWrap w:val="0"/>
            <w:vAlign w:val="top"/>
          </w:tcPr>
          <w:p w14:paraId="5B595D9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32"/>
                <w:szCs w:val="32"/>
                <w:vertAlign w:val="baseline"/>
              </w:rPr>
            </w:pPr>
          </w:p>
        </w:tc>
        <w:tc>
          <w:tcPr>
            <w:tcW w:w="1262" w:type="dxa"/>
            <w:noWrap w:val="0"/>
            <w:vAlign w:val="top"/>
          </w:tcPr>
          <w:p w14:paraId="46304BF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32"/>
                <w:szCs w:val="32"/>
                <w:vertAlign w:val="baseline"/>
              </w:rPr>
            </w:pPr>
          </w:p>
        </w:tc>
        <w:tc>
          <w:tcPr>
            <w:tcW w:w="1709" w:type="dxa"/>
            <w:noWrap w:val="0"/>
            <w:vAlign w:val="top"/>
          </w:tcPr>
          <w:p w14:paraId="166C3A9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32"/>
                <w:szCs w:val="32"/>
                <w:vertAlign w:val="baseline"/>
              </w:rPr>
            </w:pPr>
          </w:p>
        </w:tc>
        <w:tc>
          <w:tcPr>
            <w:tcW w:w="1066" w:type="dxa"/>
            <w:noWrap w:val="0"/>
            <w:vAlign w:val="top"/>
          </w:tcPr>
          <w:p w14:paraId="7F0FFE7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32"/>
                <w:szCs w:val="32"/>
                <w:vertAlign w:val="baseline"/>
              </w:rPr>
            </w:pPr>
          </w:p>
        </w:tc>
        <w:tc>
          <w:tcPr>
            <w:tcW w:w="1225" w:type="dxa"/>
            <w:noWrap w:val="0"/>
            <w:vAlign w:val="top"/>
          </w:tcPr>
          <w:p w14:paraId="3F7A002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32"/>
                <w:szCs w:val="32"/>
                <w:vertAlign w:val="baseline"/>
              </w:rPr>
            </w:pPr>
          </w:p>
        </w:tc>
        <w:tc>
          <w:tcPr>
            <w:tcW w:w="1900" w:type="dxa"/>
            <w:noWrap w:val="0"/>
            <w:vAlign w:val="top"/>
          </w:tcPr>
          <w:p w14:paraId="2F7E253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32"/>
                <w:szCs w:val="32"/>
                <w:vertAlign w:val="baseline"/>
              </w:rPr>
            </w:pPr>
          </w:p>
        </w:tc>
      </w:tr>
      <w:tr w14:paraId="24D67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0" w:type="dxa"/>
            <w:noWrap w:val="0"/>
            <w:vAlign w:val="top"/>
          </w:tcPr>
          <w:p w14:paraId="2E6EA51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vertAlign w:val="baseline"/>
              </w:rPr>
            </w:pPr>
          </w:p>
        </w:tc>
        <w:tc>
          <w:tcPr>
            <w:tcW w:w="1262" w:type="dxa"/>
            <w:noWrap w:val="0"/>
            <w:vAlign w:val="top"/>
          </w:tcPr>
          <w:p w14:paraId="4D372D4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vertAlign w:val="baseline"/>
              </w:rPr>
            </w:pPr>
          </w:p>
        </w:tc>
        <w:tc>
          <w:tcPr>
            <w:tcW w:w="1709" w:type="dxa"/>
            <w:noWrap w:val="0"/>
            <w:vAlign w:val="top"/>
          </w:tcPr>
          <w:p w14:paraId="490636D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vertAlign w:val="baseline"/>
              </w:rPr>
            </w:pPr>
          </w:p>
        </w:tc>
        <w:tc>
          <w:tcPr>
            <w:tcW w:w="1066" w:type="dxa"/>
            <w:noWrap w:val="0"/>
            <w:vAlign w:val="top"/>
          </w:tcPr>
          <w:p w14:paraId="6D10871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vertAlign w:val="baseline"/>
              </w:rPr>
            </w:pPr>
          </w:p>
        </w:tc>
        <w:tc>
          <w:tcPr>
            <w:tcW w:w="1225" w:type="dxa"/>
            <w:noWrap w:val="0"/>
            <w:vAlign w:val="top"/>
          </w:tcPr>
          <w:p w14:paraId="2E37F37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vertAlign w:val="baseline"/>
              </w:rPr>
            </w:pPr>
          </w:p>
        </w:tc>
        <w:tc>
          <w:tcPr>
            <w:tcW w:w="1900" w:type="dxa"/>
            <w:noWrap w:val="0"/>
            <w:vAlign w:val="top"/>
          </w:tcPr>
          <w:p w14:paraId="26BC5AB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vertAlign w:val="baseline"/>
              </w:rPr>
            </w:pPr>
          </w:p>
        </w:tc>
      </w:tr>
    </w:tbl>
    <w:p w14:paraId="0F31358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1.2 </w:t>
      </w:r>
      <w:r>
        <w:rPr>
          <w:rFonts w:hint="eastAsia" w:ascii="仿宋_GB2312" w:hAnsi="仿宋_GB2312" w:eastAsia="仿宋_GB2312" w:cs="仿宋_GB2312"/>
          <w:color w:val="auto"/>
          <w:sz w:val="32"/>
          <w:szCs w:val="32"/>
          <w:lang w:eastAsia="zh-CN"/>
        </w:rPr>
        <w:t>乙方提供的米面油，</w:t>
      </w:r>
      <w:r>
        <w:rPr>
          <w:rFonts w:hint="eastAsia" w:ascii="仿宋_GB2312" w:hAnsi="仿宋_GB2312" w:eastAsia="仿宋_GB2312" w:cs="仿宋_GB2312"/>
          <w:color w:val="auto"/>
          <w:sz w:val="32"/>
          <w:szCs w:val="32"/>
          <w:lang w:eastAsia="zh-CN"/>
        </w:rPr>
        <w:t>具体以甲方实际需求</w:t>
      </w:r>
      <w:r>
        <w:rPr>
          <w:rFonts w:hint="eastAsia" w:ascii="仿宋_GB2312" w:hAnsi="仿宋_GB2312" w:eastAsia="仿宋_GB2312" w:cs="仿宋_GB2312"/>
          <w:color w:val="auto"/>
          <w:sz w:val="32"/>
          <w:szCs w:val="32"/>
          <w:highlight w:val="none"/>
          <w:lang w:eastAsia="zh-CN"/>
        </w:rPr>
        <w:t>为准，</w:t>
      </w:r>
      <w:r>
        <w:rPr>
          <w:rFonts w:hint="eastAsia" w:ascii="仿宋_GB2312" w:hAnsi="仿宋_GB2312" w:eastAsia="仿宋_GB2312" w:cs="仿宋_GB2312"/>
          <w:color w:val="auto"/>
          <w:sz w:val="32"/>
          <w:szCs w:val="32"/>
          <w:highlight w:val="none"/>
          <w:lang w:val="en-US" w:eastAsia="zh-CN"/>
        </w:rPr>
        <w:t>以中标的品牌为准，</w:t>
      </w:r>
      <w:r>
        <w:rPr>
          <w:rFonts w:hint="eastAsia" w:ascii="仿宋_GB2312" w:hAnsi="仿宋_GB2312" w:eastAsia="仿宋_GB2312" w:cs="仿宋_GB2312"/>
          <w:color w:val="auto"/>
          <w:sz w:val="32"/>
          <w:szCs w:val="32"/>
          <w:highlight w:val="none"/>
          <w:lang w:eastAsia="zh-CN"/>
        </w:rPr>
        <w:t>按照中标价格作为合同期内供货价格</w:t>
      </w:r>
      <w:r>
        <w:rPr>
          <w:rFonts w:hint="eastAsia" w:ascii="仿宋_GB2312" w:hAnsi="仿宋_GB2312" w:eastAsia="仿宋_GB2312" w:cs="仿宋_GB2312"/>
          <w:color w:val="auto"/>
          <w:sz w:val="32"/>
          <w:szCs w:val="32"/>
          <w:highlight w:val="none"/>
          <w:lang w:val="en-US" w:eastAsia="zh-CN"/>
        </w:rPr>
        <w:t>结算当月货款</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以上供货价格系指包括全部货品、税费、包装费、运</w:t>
      </w:r>
      <w:r>
        <w:rPr>
          <w:rFonts w:hint="eastAsia" w:ascii="仿宋_GB2312" w:hAnsi="仿宋_GB2312" w:eastAsia="仿宋_GB2312" w:cs="仿宋_GB2312"/>
          <w:color w:val="auto"/>
          <w:sz w:val="32"/>
          <w:szCs w:val="32"/>
        </w:rPr>
        <w:t>输费、装卸以及最终将货物卸载、运送、搬货交付到甲方指定区域待甲方验收的全部费用,其他存在或可能存在的各类税、费、成本等亦由乙方承担。合同总额按照甲方验收合格的数量结合上述供货单价进行结算。</w:t>
      </w:r>
    </w:p>
    <w:p w14:paraId="7E4F56F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1.3 </w:t>
      </w:r>
      <w:r>
        <w:rPr>
          <w:rFonts w:hint="eastAsia" w:ascii="仿宋_GB2312" w:hAnsi="仿宋_GB2312" w:eastAsia="仿宋_GB2312" w:cs="仿宋_GB2312"/>
          <w:color w:val="auto"/>
          <w:sz w:val="32"/>
          <w:szCs w:val="32"/>
          <w:lang w:eastAsia="zh-CN"/>
        </w:rPr>
        <w:t>进货单</w:t>
      </w:r>
      <w:r>
        <w:rPr>
          <w:rFonts w:hint="eastAsia" w:ascii="仿宋_GB2312" w:hAnsi="仿宋_GB2312" w:eastAsia="仿宋_GB2312" w:cs="仿宋_GB2312"/>
          <w:color w:val="auto"/>
          <w:sz w:val="32"/>
          <w:szCs w:val="32"/>
        </w:rPr>
        <w:t>是基于乙方在完全理解本项目所需为前提,甲方对</w:t>
      </w:r>
      <w:r>
        <w:rPr>
          <w:rFonts w:hint="eastAsia" w:ascii="仿宋_GB2312" w:hAnsi="仿宋_GB2312" w:eastAsia="仿宋_GB2312" w:cs="仿宋_GB2312"/>
          <w:color w:val="auto"/>
          <w:sz w:val="32"/>
          <w:szCs w:val="32"/>
          <w:lang w:eastAsia="zh-CN"/>
        </w:rPr>
        <w:t>货品</w:t>
      </w:r>
      <w:r>
        <w:rPr>
          <w:rFonts w:hint="eastAsia" w:ascii="仿宋_GB2312" w:hAnsi="仿宋_GB2312" w:eastAsia="仿宋_GB2312" w:cs="仿宋_GB2312"/>
          <w:color w:val="auto"/>
          <w:sz w:val="32"/>
          <w:szCs w:val="32"/>
        </w:rPr>
        <w:t>的名称、规格、技术参数及数量等有核对验收的权利,且每批货物价格以合同约定</w:t>
      </w:r>
      <w:r>
        <w:rPr>
          <w:rFonts w:hint="eastAsia" w:ascii="仿宋_GB2312" w:hAnsi="仿宋_GB2312" w:eastAsia="仿宋_GB2312" w:cs="仿宋_GB2312"/>
          <w:color w:val="auto"/>
          <w:sz w:val="32"/>
          <w:szCs w:val="32"/>
          <w:lang w:eastAsia="zh-CN"/>
        </w:rPr>
        <w:t>的</w:t>
      </w:r>
      <w:r>
        <w:rPr>
          <w:rFonts w:hint="eastAsia" w:ascii="仿宋_GB2312" w:hAnsi="仿宋_GB2312" w:eastAsia="仿宋_GB2312" w:cs="仿宋_GB2312"/>
          <w:color w:val="auto"/>
          <w:sz w:val="32"/>
          <w:szCs w:val="32"/>
        </w:rPr>
        <w:t>计算方式(小数点两位后均不计入价款),乙方在合同有效期内不得对</w:t>
      </w:r>
      <w:r>
        <w:rPr>
          <w:rFonts w:hint="eastAsia" w:ascii="仿宋_GB2312" w:hAnsi="仿宋_GB2312" w:eastAsia="仿宋_GB2312" w:cs="仿宋_GB2312"/>
          <w:color w:val="auto"/>
          <w:sz w:val="32"/>
          <w:szCs w:val="32"/>
          <w:lang w:eastAsia="zh-CN"/>
        </w:rPr>
        <w:t>进货单</w:t>
      </w:r>
      <w:r>
        <w:rPr>
          <w:rFonts w:hint="eastAsia" w:ascii="仿宋_GB2312" w:hAnsi="仿宋_GB2312" w:eastAsia="仿宋_GB2312" w:cs="仿宋_GB2312"/>
          <w:color w:val="auto"/>
          <w:sz w:val="32"/>
          <w:szCs w:val="32"/>
        </w:rPr>
        <w:t>提出任何费用的增加。实际供货数量以甲方通知乙方配送到位的验收合格且净重数量为准,结算数量按照甲方对货物称重并清点合格后的净重数量进行结算。</w:t>
      </w:r>
    </w:p>
    <w:p w14:paraId="265470E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2.质量标准及质保期</w:t>
      </w:r>
    </w:p>
    <w:p w14:paraId="3CB685D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2.1</w:t>
      </w:r>
      <w:r>
        <w:rPr>
          <w:rFonts w:hint="eastAsia" w:ascii="仿宋_GB2312" w:hAnsi="仿宋_GB2312" w:eastAsia="仿宋_GB2312" w:cs="仿宋_GB2312"/>
          <w:color w:val="auto"/>
          <w:sz w:val="32"/>
          <w:szCs w:val="32"/>
        </w:rPr>
        <w:t>总体要求:投标人所提供的产品,各项指标必须符合中华人民共和国食品安全国家标准及采购人采购需求的标准。</w:t>
      </w:r>
    </w:p>
    <w:p w14:paraId="1DA7BEA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卫生指标:</w:t>
      </w:r>
      <w:r>
        <w:rPr>
          <w:rFonts w:hint="eastAsia" w:ascii="仿宋_GB2312" w:hAnsi="仿宋_GB2312" w:eastAsia="仿宋_GB2312" w:cs="仿宋_GB2312"/>
          <w:color w:val="auto"/>
          <w:sz w:val="32"/>
          <w:szCs w:val="32"/>
          <w:lang w:eastAsia="zh-CN"/>
        </w:rPr>
        <w:t>面粉</w:t>
      </w:r>
      <w:r>
        <w:rPr>
          <w:rFonts w:hint="eastAsia" w:ascii="仿宋_GB2312" w:hAnsi="仿宋_GB2312" w:eastAsia="仿宋_GB2312" w:cs="仿宋_GB2312"/>
          <w:color w:val="auto"/>
          <w:sz w:val="32"/>
          <w:szCs w:val="32"/>
        </w:rPr>
        <w:t>卫生指标应符合 GB2715</w:t>
      </w:r>
      <w:r>
        <w:rPr>
          <w:rFonts w:hint="eastAsia" w:ascii="仿宋_GB2312" w:hAnsi="仿宋_GB2312" w:eastAsia="仿宋_GB2312" w:cs="仿宋_GB2312"/>
          <w:color w:val="auto"/>
          <w:sz w:val="32"/>
          <w:szCs w:val="32"/>
          <w:lang w:val="en-US" w:eastAsia="zh-CN"/>
        </w:rPr>
        <w:t>-2016</w:t>
      </w:r>
      <w:r>
        <w:rPr>
          <w:rFonts w:hint="eastAsia" w:ascii="仿宋_GB2312" w:hAnsi="仿宋_GB2312" w:eastAsia="仿宋_GB2312" w:cs="仿宋_GB2312"/>
          <w:color w:val="auto"/>
          <w:sz w:val="32"/>
          <w:szCs w:val="32"/>
        </w:rPr>
        <w:t>《粮食卫生标准》以及 GB2761</w:t>
      </w:r>
      <w:r>
        <w:rPr>
          <w:rFonts w:hint="eastAsia" w:ascii="仿宋_GB2312" w:hAnsi="仿宋_GB2312" w:eastAsia="仿宋_GB2312" w:cs="仿宋_GB2312"/>
          <w:color w:val="auto"/>
          <w:sz w:val="32"/>
          <w:szCs w:val="32"/>
          <w:lang w:val="en-US" w:eastAsia="zh-CN"/>
        </w:rPr>
        <w:t>-2017</w:t>
      </w:r>
      <w:r>
        <w:rPr>
          <w:rFonts w:hint="eastAsia" w:ascii="仿宋_GB2312" w:hAnsi="仿宋_GB2312" w:eastAsia="仿宋_GB2312" w:cs="仿宋_GB2312"/>
          <w:color w:val="auto"/>
          <w:sz w:val="32"/>
          <w:szCs w:val="32"/>
        </w:rPr>
        <w:t>《食品安全国家标准食品中真菌毒素限量》、GB2762</w:t>
      </w:r>
      <w:r>
        <w:rPr>
          <w:rFonts w:hint="eastAsia" w:ascii="仿宋_GB2312" w:hAnsi="仿宋_GB2312" w:eastAsia="仿宋_GB2312" w:cs="仿宋_GB2312"/>
          <w:color w:val="auto"/>
          <w:sz w:val="32"/>
          <w:szCs w:val="32"/>
          <w:lang w:val="en-US" w:eastAsia="zh-CN"/>
        </w:rPr>
        <w:t>-2022</w:t>
      </w:r>
      <w:r>
        <w:rPr>
          <w:rFonts w:hint="eastAsia" w:ascii="仿宋_GB2312" w:hAnsi="仿宋_GB2312" w:eastAsia="仿宋_GB2312" w:cs="仿宋_GB2312"/>
          <w:color w:val="auto"/>
          <w:sz w:val="32"/>
          <w:szCs w:val="32"/>
        </w:rPr>
        <w:t>《食品安全国家标准食品中污染物限量》等相关标准</w:t>
      </w:r>
      <w:r>
        <w:rPr>
          <w:rFonts w:hint="eastAsia" w:ascii="仿宋_GB2312" w:hAnsi="仿宋_GB2312" w:eastAsia="仿宋_GB2312" w:cs="仿宋_GB2312"/>
          <w:color w:val="auto"/>
          <w:sz w:val="32"/>
          <w:szCs w:val="32"/>
          <w:lang w:eastAsia="zh-CN"/>
        </w:rPr>
        <w:t>。大米卫生指标</w:t>
      </w:r>
      <w:r>
        <w:rPr>
          <w:rFonts w:hint="eastAsia" w:ascii="仿宋_GB2312" w:hAnsi="仿宋_GB2312" w:eastAsia="仿宋_GB2312" w:cs="仿宋_GB2312"/>
          <w:color w:val="auto"/>
          <w:sz w:val="32"/>
          <w:szCs w:val="32"/>
        </w:rPr>
        <w:t>符合 GB/T1354-2018《大米》标准和 GB2715《粮食卫生标准》相关标准。清油卫生指标符合 GB2716-2018《食品安全国家标准植物油》相关标准</w:t>
      </w:r>
      <w:r>
        <w:rPr>
          <w:rFonts w:hint="eastAsia" w:ascii="仿宋_GB2312" w:hAnsi="仿宋_GB2312" w:eastAsia="仿宋_GB2312" w:cs="仿宋_GB2312"/>
          <w:color w:val="auto"/>
          <w:sz w:val="32"/>
          <w:szCs w:val="32"/>
          <w:lang w:eastAsia="zh-CN"/>
        </w:rPr>
        <w:t>。</w:t>
      </w:r>
    </w:p>
    <w:p w14:paraId="4904976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2.3面粉</w:t>
      </w:r>
      <w:r>
        <w:rPr>
          <w:rFonts w:hint="eastAsia" w:ascii="仿宋_GB2312" w:hAnsi="仿宋_GB2312" w:eastAsia="仿宋_GB2312" w:cs="仿宋_GB2312"/>
          <w:color w:val="auto"/>
          <w:sz w:val="32"/>
          <w:szCs w:val="32"/>
        </w:rPr>
        <w:t>质量要求:</w:t>
      </w:r>
    </w:p>
    <w:p w14:paraId="18E8E28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2.3.1</w:t>
      </w:r>
      <w:r>
        <w:rPr>
          <w:rFonts w:hint="eastAsia" w:ascii="仿宋_GB2312" w:hAnsi="仿宋_GB2312" w:eastAsia="仿宋_GB2312" w:cs="仿宋_GB2312"/>
          <w:color w:val="auto"/>
          <w:sz w:val="32"/>
          <w:szCs w:val="32"/>
        </w:rPr>
        <w:t>质量标准符合GB/T1355-2021。</w:t>
      </w:r>
    </w:p>
    <w:p w14:paraId="64BFA8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2.3.2</w:t>
      </w:r>
      <w:r>
        <w:rPr>
          <w:rFonts w:hint="eastAsia" w:ascii="仿宋_GB2312" w:hAnsi="仿宋_GB2312" w:eastAsia="仿宋_GB2312" w:cs="仿宋_GB2312"/>
          <w:color w:val="auto"/>
          <w:sz w:val="32"/>
          <w:szCs w:val="32"/>
        </w:rPr>
        <w:t>色泽呈白色或微黄色,均匀一致,无发灰、发黑等异常颜色;</w:t>
      </w:r>
    </w:p>
    <w:p w14:paraId="5987762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2.3.3</w:t>
      </w:r>
      <w:r>
        <w:rPr>
          <w:rFonts w:hint="eastAsia" w:ascii="仿宋_GB2312" w:hAnsi="仿宋_GB2312" w:eastAsia="仿宋_GB2312" w:cs="仿宋_GB2312"/>
          <w:color w:val="auto"/>
          <w:sz w:val="32"/>
          <w:szCs w:val="32"/>
        </w:rPr>
        <w:t>气味具有面粉的麦香味,无霉味、酸味、哈喇味;</w:t>
      </w:r>
    </w:p>
    <w:p w14:paraId="719598D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2.3.4</w:t>
      </w:r>
      <w:r>
        <w:rPr>
          <w:rFonts w:hint="eastAsia" w:ascii="仿宋_GB2312" w:hAnsi="仿宋_GB2312" w:eastAsia="仿宋_GB2312" w:cs="仿宋_GB2312"/>
          <w:color w:val="auto"/>
          <w:sz w:val="32"/>
          <w:szCs w:val="32"/>
        </w:rPr>
        <w:t>质地均匀、细腻,呈粉末状,无结块、杂质等;</w:t>
      </w:r>
    </w:p>
    <w:p w14:paraId="0EA6F18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2.3.5</w:t>
      </w:r>
      <w:r>
        <w:rPr>
          <w:rFonts w:hint="eastAsia" w:ascii="仿宋_GB2312" w:hAnsi="仿宋_GB2312" w:eastAsia="仿宋_GB2312" w:cs="仿宋_GB2312"/>
          <w:color w:val="auto"/>
          <w:sz w:val="32"/>
          <w:szCs w:val="32"/>
        </w:rPr>
        <w:t>每批次货物提供所供产品的有效检测报告。</w:t>
      </w:r>
    </w:p>
    <w:p w14:paraId="7FBE48C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2.4</w:t>
      </w:r>
      <w:r>
        <w:rPr>
          <w:rFonts w:hint="eastAsia" w:ascii="仿宋_GB2312" w:hAnsi="仿宋_GB2312" w:eastAsia="仿宋_GB2312" w:cs="仿宋_GB2312"/>
          <w:color w:val="auto"/>
          <w:sz w:val="32"/>
          <w:szCs w:val="32"/>
        </w:rPr>
        <w:t>大米质量要求:</w:t>
      </w:r>
    </w:p>
    <w:p w14:paraId="71938CF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2.4.1</w:t>
      </w:r>
      <w:r>
        <w:rPr>
          <w:rFonts w:hint="eastAsia" w:ascii="仿宋_GB2312" w:hAnsi="仿宋_GB2312" w:eastAsia="仿宋_GB2312" w:cs="仿宋_GB2312"/>
          <w:color w:val="auto"/>
          <w:sz w:val="32"/>
          <w:szCs w:val="32"/>
        </w:rPr>
        <w:t>质量标准符合 GB/T1354</w:t>
      </w:r>
      <w:r>
        <w:rPr>
          <w:rFonts w:hint="eastAsia" w:ascii="仿宋_GB2312" w:hAnsi="仿宋_GB2312" w:eastAsia="仿宋_GB2312" w:cs="仿宋_GB2312"/>
          <w:color w:val="auto"/>
          <w:sz w:val="32"/>
          <w:szCs w:val="32"/>
          <w:lang w:val="en-US" w:eastAsia="zh-CN"/>
        </w:rPr>
        <w:t>-2018</w:t>
      </w:r>
      <w:r>
        <w:rPr>
          <w:rFonts w:hint="eastAsia" w:ascii="仿宋_GB2312" w:hAnsi="仿宋_GB2312" w:eastAsia="仿宋_GB2312" w:cs="仿宋_GB2312"/>
          <w:color w:val="auto"/>
          <w:sz w:val="32"/>
          <w:szCs w:val="32"/>
        </w:rPr>
        <w:t>;一级</w:t>
      </w:r>
      <w:r>
        <w:rPr>
          <w:rFonts w:hint="eastAsia" w:ascii="仿宋_GB2312" w:hAnsi="仿宋_GB2312" w:eastAsia="仿宋_GB2312" w:cs="仿宋_GB2312"/>
          <w:color w:val="auto"/>
          <w:sz w:val="32"/>
          <w:szCs w:val="32"/>
          <w:lang w:eastAsia="zh-CN"/>
        </w:rPr>
        <w:t>晚</w:t>
      </w:r>
      <w:r>
        <w:rPr>
          <w:rFonts w:hint="eastAsia" w:ascii="仿宋_GB2312" w:hAnsi="仿宋_GB2312" w:eastAsia="仿宋_GB2312" w:cs="仿宋_GB2312"/>
          <w:color w:val="auto"/>
          <w:sz w:val="32"/>
          <w:szCs w:val="32"/>
        </w:rPr>
        <w:t>粳米</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碎米率不高于 7.5%。</w:t>
      </w:r>
    </w:p>
    <w:p w14:paraId="41FEBC2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2.4.2</w:t>
      </w:r>
      <w:r>
        <w:rPr>
          <w:rFonts w:hint="eastAsia" w:ascii="仿宋_GB2312" w:hAnsi="仿宋_GB2312" w:eastAsia="仿宋_GB2312" w:cs="仿宋_GB2312"/>
          <w:color w:val="auto"/>
          <w:sz w:val="32"/>
          <w:szCs w:val="32"/>
        </w:rPr>
        <w:t>米粒表面光亮,无发灰,发黄等异常颜色;</w:t>
      </w:r>
    </w:p>
    <w:p w14:paraId="69D279B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2.4.3</w:t>
      </w:r>
      <w:r>
        <w:rPr>
          <w:rFonts w:hint="eastAsia" w:ascii="仿宋_GB2312" w:hAnsi="仿宋_GB2312" w:eastAsia="仿宋_GB2312" w:cs="仿宋_GB2312"/>
          <w:color w:val="auto"/>
          <w:sz w:val="32"/>
          <w:szCs w:val="32"/>
        </w:rPr>
        <w:t>气味正常,无霉味、酸味、哈喇味;</w:t>
      </w:r>
    </w:p>
    <w:p w14:paraId="661805A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2.4.4</w:t>
      </w:r>
      <w:r>
        <w:rPr>
          <w:rFonts w:hint="eastAsia" w:ascii="仿宋_GB2312" w:hAnsi="仿宋_GB2312" w:eastAsia="仿宋_GB2312" w:cs="仿宋_GB2312"/>
          <w:color w:val="auto"/>
          <w:sz w:val="32"/>
          <w:szCs w:val="32"/>
        </w:rPr>
        <w:t>米粒饱满,大小均匀,无虫蚀、病斑粒、生霉粒、杂质等;</w:t>
      </w:r>
    </w:p>
    <w:p w14:paraId="3C0CD0A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2.4.5</w:t>
      </w:r>
      <w:r>
        <w:rPr>
          <w:rFonts w:hint="eastAsia" w:ascii="仿宋_GB2312" w:hAnsi="仿宋_GB2312" w:eastAsia="仿宋_GB2312" w:cs="仿宋_GB2312"/>
          <w:color w:val="auto"/>
          <w:sz w:val="32"/>
          <w:szCs w:val="32"/>
        </w:rPr>
        <w:t>普通一级大米碎米率不高于</w:t>
      </w: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.5%;</w:t>
      </w:r>
    </w:p>
    <w:p w14:paraId="3A208CC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2.4.6</w:t>
      </w:r>
      <w:r>
        <w:rPr>
          <w:rFonts w:hint="eastAsia" w:ascii="仿宋_GB2312" w:hAnsi="仿宋_GB2312" w:eastAsia="仿宋_GB2312" w:cs="仿宋_GB2312"/>
          <w:color w:val="auto"/>
          <w:sz w:val="32"/>
          <w:szCs w:val="32"/>
        </w:rPr>
        <w:t>每批次货物提供所供产品的有效检测报告。</w:t>
      </w:r>
    </w:p>
    <w:p w14:paraId="347EC85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2.5</w:t>
      </w:r>
      <w:r>
        <w:rPr>
          <w:rFonts w:hint="eastAsia" w:ascii="仿宋_GB2312" w:hAnsi="仿宋_GB2312" w:eastAsia="仿宋_GB2312" w:cs="仿宋_GB2312"/>
          <w:color w:val="auto"/>
          <w:sz w:val="32"/>
          <w:szCs w:val="32"/>
        </w:rPr>
        <w:t>清油质量要求:</w:t>
      </w:r>
    </w:p>
    <w:p w14:paraId="089EF42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2.5.1</w:t>
      </w:r>
      <w:r>
        <w:rPr>
          <w:rFonts w:hint="eastAsia" w:ascii="仿宋_GB2312" w:hAnsi="仿宋_GB2312" w:eastAsia="仿宋_GB2312" w:cs="仿宋_GB2312"/>
          <w:color w:val="auto"/>
          <w:sz w:val="32"/>
          <w:szCs w:val="32"/>
        </w:rPr>
        <w:t>菜籽油质量标准符合 GB/T1536</w:t>
      </w:r>
      <w:r>
        <w:rPr>
          <w:rFonts w:hint="eastAsia" w:ascii="仿宋_GB2312" w:hAnsi="仿宋_GB2312" w:eastAsia="仿宋_GB2312" w:cs="仿宋_GB2312"/>
          <w:color w:val="auto"/>
          <w:sz w:val="32"/>
          <w:szCs w:val="32"/>
          <w:lang w:val="en-US" w:eastAsia="zh-CN"/>
        </w:rPr>
        <w:t>-2021，非转基因、一级压榨菜籽油</w:t>
      </w:r>
      <w:r>
        <w:rPr>
          <w:rFonts w:hint="eastAsia" w:ascii="仿宋_GB2312" w:hAnsi="仿宋_GB2312" w:eastAsia="仿宋_GB2312" w:cs="仿宋_GB2312"/>
          <w:color w:val="auto"/>
          <w:sz w:val="32"/>
          <w:szCs w:val="32"/>
        </w:rPr>
        <w:t>;</w:t>
      </w:r>
    </w:p>
    <w:p w14:paraId="0E36B34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2.5.2</w:t>
      </w:r>
      <w:r>
        <w:rPr>
          <w:rFonts w:hint="eastAsia" w:ascii="仿宋_GB2312" w:hAnsi="仿宋_GB2312" w:eastAsia="仿宋_GB2312" w:cs="仿宋_GB2312"/>
          <w:color w:val="auto"/>
          <w:sz w:val="32"/>
          <w:szCs w:val="32"/>
        </w:rPr>
        <w:t>色泽应有正常色泽,呈黄至棕色;</w:t>
      </w:r>
    </w:p>
    <w:p w14:paraId="19ACD7F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2.5.3</w:t>
      </w:r>
      <w:r>
        <w:rPr>
          <w:rFonts w:hint="eastAsia" w:ascii="仿宋_GB2312" w:hAnsi="仿宋_GB2312" w:eastAsia="仿宋_GB2312" w:cs="仿宋_GB2312"/>
          <w:color w:val="auto"/>
          <w:sz w:val="32"/>
          <w:szCs w:val="32"/>
        </w:rPr>
        <w:t>气味正常,无酸败味、焦臭味、哈喇味;</w:t>
      </w:r>
    </w:p>
    <w:p w14:paraId="28BE7BC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2.5.4</w:t>
      </w:r>
      <w:r>
        <w:rPr>
          <w:rFonts w:hint="eastAsia" w:ascii="仿宋_GB2312" w:hAnsi="仿宋_GB2312" w:eastAsia="仿宋_GB2312" w:cs="仿宋_GB2312"/>
          <w:color w:val="auto"/>
          <w:sz w:val="32"/>
          <w:szCs w:val="32"/>
        </w:rPr>
        <w:t>透明度澄清、透明(常温下),无明显悬浮物、沉淀物;</w:t>
      </w:r>
    </w:p>
    <w:p w14:paraId="318BB56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2.5.5</w:t>
      </w:r>
      <w:r>
        <w:rPr>
          <w:rFonts w:hint="eastAsia" w:ascii="仿宋_GB2312" w:hAnsi="仿宋_GB2312" w:eastAsia="仿宋_GB2312" w:cs="仿宋_GB2312"/>
          <w:color w:val="auto"/>
          <w:sz w:val="32"/>
          <w:szCs w:val="32"/>
        </w:rPr>
        <w:t>不得掺有其他种类油脂或非食用油脂,不得添加任何香精、香料;</w:t>
      </w:r>
    </w:p>
    <w:p w14:paraId="4D16217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2.5.6</w:t>
      </w:r>
      <w:r>
        <w:rPr>
          <w:rFonts w:hint="eastAsia" w:ascii="仿宋_GB2312" w:hAnsi="仿宋_GB2312" w:eastAsia="仿宋_GB2312" w:cs="仿宋_GB2312"/>
          <w:color w:val="auto"/>
          <w:sz w:val="32"/>
          <w:szCs w:val="32"/>
        </w:rPr>
        <w:t>每批次货物提供所供产品的检测报告。</w:t>
      </w:r>
    </w:p>
    <w:p w14:paraId="5A6252B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2.6</w:t>
      </w:r>
      <w:r>
        <w:rPr>
          <w:rFonts w:hint="eastAsia" w:ascii="仿宋_GB2312" w:hAnsi="仿宋_GB2312" w:eastAsia="仿宋_GB2312" w:cs="仿宋_GB2312"/>
          <w:color w:val="auto"/>
          <w:sz w:val="32"/>
          <w:szCs w:val="32"/>
        </w:rPr>
        <w:t>包装要求:</w:t>
      </w:r>
    </w:p>
    <w:p w14:paraId="1F7BCE7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2.6.1大米、</w:t>
      </w:r>
      <w:r>
        <w:rPr>
          <w:rFonts w:hint="eastAsia" w:ascii="仿宋_GB2312" w:hAnsi="仿宋_GB2312" w:eastAsia="仿宋_GB2312" w:cs="仿宋_GB2312"/>
          <w:color w:val="auto"/>
          <w:sz w:val="32"/>
          <w:szCs w:val="32"/>
        </w:rPr>
        <w:t>面粉包装需符合相关国家标准及行业规范,具有良好密封性,防止面粉受潮、受污染及虫蛀;清油不得使用回收塑料,非食品级材料可能污染油脂的包装</w:t>
      </w:r>
      <w:r>
        <w:rPr>
          <w:rFonts w:hint="eastAsia" w:ascii="仿宋_GB2312" w:hAnsi="仿宋_GB2312" w:eastAsia="仿宋_GB2312" w:cs="仿宋_GB2312"/>
          <w:color w:val="auto"/>
          <w:sz w:val="32"/>
          <w:szCs w:val="32"/>
          <w:lang w:eastAsia="zh-CN"/>
        </w:rPr>
        <w:t>；</w:t>
      </w:r>
    </w:p>
    <w:p w14:paraId="2C29363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2.6.2</w:t>
      </w:r>
      <w:r>
        <w:rPr>
          <w:rFonts w:hint="eastAsia" w:ascii="仿宋_GB2312" w:hAnsi="仿宋_GB2312" w:eastAsia="仿宋_GB2312" w:cs="仿宋_GB2312"/>
          <w:color w:val="auto"/>
          <w:sz w:val="32"/>
          <w:szCs w:val="32"/>
        </w:rPr>
        <w:t>包装材料不得与</w:t>
      </w:r>
      <w:r>
        <w:rPr>
          <w:rFonts w:hint="eastAsia" w:ascii="仿宋_GB2312" w:hAnsi="仿宋_GB2312" w:eastAsia="仿宋_GB2312" w:cs="仿宋_GB2312"/>
          <w:color w:val="auto"/>
          <w:sz w:val="32"/>
          <w:szCs w:val="32"/>
          <w:lang w:eastAsia="zh-CN"/>
        </w:rPr>
        <w:t>货物</w:t>
      </w:r>
      <w:r>
        <w:rPr>
          <w:rFonts w:hint="eastAsia" w:ascii="仿宋_GB2312" w:hAnsi="仿宋_GB2312" w:eastAsia="仿宋_GB2312" w:cs="仿宋_GB2312"/>
          <w:color w:val="auto"/>
          <w:sz w:val="32"/>
          <w:szCs w:val="32"/>
        </w:rPr>
        <w:t>发生化学反应,避免产生异味或有害物质;</w:t>
      </w:r>
    </w:p>
    <w:p w14:paraId="7827259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2.6.3</w:t>
      </w:r>
      <w:r>
        <w:rPr>
          <w:rFonts w:hint="eastAsia" w:ascii="仿宋_GB2312" w:hAnsi="仿宋_GB2312" w:eastAsia="仿宋_GB2312" w:cs="仿宋_GB2312"/>
          <w:color w:val="auto"/>
          <w:sz w:val="32"/>
          <w:szCs w:val="32"/>
        </w:rPr>
        <w:t>包装标注产品信息,包括:产品名称、等级、净含量、生产日期、保质期、生产批号、贮存条件、厂家名称、地址、联系方式及产品执行标准编号。</w:t>
      </w:r>
    </w:p>
    <w:p w14:paraId="2064175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乙方保证本合同项下所提供的货物来源安全可靠,质量符合国家质量安全标准及招投标文件、答疑附件的质量要求,干净卫生、新鲜、无杂质,无过期、变质、腐烂、以假充真、以次充好等现象,并保证其销售的产品不存在有造成甲方或任何第三人人身损害的现实或潜在的危险;乙方承诺对货物质量承担终身追溯责任。若因此造成任何损失,由乙方承担全部赔偿责任及违约责任。</w:t>
      </w:r>
    </w:p>
    <w:p w14:paraId="388E1A3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乙方应保证其配送的每一个批次的货物符合上述质量标准及相应的</w:t>
      </w:r>
      <w:r>
        <w:rPr>
          <w:rFonts w:hint="eastAsia" w:ascii="仿宋_GB2312" w:hAnsi="仿宋_GB2312" w:eastAsia="仿宋_GB2312" w:cs="仿宋_GB2312"/>
          <w:color w:val="auto"/>
          <w:sz w:val="32"/>
          <w:szCs w:val="32"/>
          <w:lang w:eastAsia="zh-CN"/>
        </w:rPr>
        <w:t>食品</w:t>
      </w:r>
      <w:r>
        <w:rPr>
          <w:rFonts w:hint="eastAsia" w:ascii="仿宋_GB2312" w:hAnsi="仿宋_GB2312" w:eastAsia="仿宋_GB2312" w:cs="仿宋_GB2312"/>
          <w:color w:val="auto"/>
          <w:sz w:val="32"/>
          <w:szCs w:val="32"/>
        </w:rPr>
        <w:t>安全标准,并在交付时提供</w:t>
      </w:r>
      <w:r>
        <w:rPr>
          <w:rFonts w:hint="eastAsia" w:ascii="仿宋_GB2312" w:hAnsi="仿宋_GB2312" w:eastAsia="仿宋_GB2312" w:cs="仿宋_GB2312"/>
          <w:color w:val="auto"/>
          <w:sz w:val="32"/>
          <w:szCs w:val="32"/>
          <w:lang w:eastAsia="zh-CN"/>
        </w:rPr>
        <w:t>检测报告</w:t>
      </w:r>
      <w:r>
        <w:rPr>
          <w:rFonts w:hint="eastAsia" w:ascii="仿宋_GB2312" w:hAnsi="仿宋_GB2312" w:eastAsia="仿宋_GB2312" w:cs="仿宋_GB2312"/>
          <w:color w:val="auto"/>
          <w:sz w:val="32"/>
          <w:szCs w:val="32"/>
        </w:rPr>
        <w:t>。无</w:t>
      </w:r>
      <w:r>
        <w:rPr>
          <w:rFonts w:hint="eastAsia" w:ascii="仿宋_GB2312" w:hAnsi="仿宋_GB2312" w:eastAsia="仿宋_GB2312" w:cs="仿宋_GB2312"/>
          <w:color w:val="auto"/>
          <w:sz w:val="32"/>
          <w:szCs w:val="32"/>
          <w:lang w:eastAsia="zh-CN"/>
        </w:rPr>
        <w:t>检测报告</w:t>
      </w:r>
      <w:r>
        <w:rPr>
          <w:rFonts w:hint="eastAsia" w:ascii="仿宋_GB2312" w:hAnsi="仿宋_GB2312" w:eastAsia="仿宋_GB2312" w:cs="仿宋_GB2312"/>
          <w:color w:val="auto"/>
          <w:sz w:val="32"/>
          <w:szCs w:val="32"/>
        </w:rPr>
        <w:t>未达到投标资料标准,即认定为违约行为,甲方</w:t>
      </w:r>
      <w:r>
        <w:rPr>
          <w:rFonts w:hint="eastAsia" w:ascii="仿宋_GB2312" w:hAnsi="仿宋_GB2312" w:eastAsia="仿宋_GB2312" w:cs="仿宋_GB2312"/>
          <w:color w:val="auto"/>
          <w:sz w:val="32"/>
          <w:szCs w:val="32"/>
          <w:lang w:eastAsia="zh-CN"/>
        </w:rPr>
        <w:t>有权</w:t>
      </w:r>
      <w:r>
        <w:rPr>
          <w:rFonts w:hint="eastAsia" w:ascii="仿宋_GB2312" w:hAnsi="仿宋_GB2312" w:eastAsia="仿宋_GB2312" w:cs="仿宋_GB2312"/>
          <w:color w:val="auto"/>
          <w:sz w:val="32"/>
          <w:szCs w:val="32"/>
        </w:rPr>
        <w:t>终止乙方供货资格</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解除合同,并追究乙方的违约责任和赔偿责任。</w:t>
      </w:r>
    </w:p>
    <w:p w14:paraId="5AA7EC8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乙方保证所供货物质量新鲜</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如乙方所供货物不符合双方约定质量标准的,甲方有权拒收货物并要求乙方自行收回,</w:t>
      </w:r>
      <w:r>
        <w:rPr>
          <w:rFonts w:hint="eastAsia" w:ascii="仿宋_GB2312" w:hAnsi="仿宋_GB2312" w:eastAsia="仿宋_GB2312" w:cs="仿宋_GB2312"/>
          <w:color w:val="auto"/>
          <w:sz w:val="32"/>
          <w:szCs w:val="32"/>
          <w:lang w:eastAsia="zh-CN"/>
        </w:rPr>
        <w:t>应在甲方规定的时间内</w:t>
      </w:r>
      <w:r>
        <w:rPr>
          <w:rFonts w:hint="eastAsia" w:ascii="仿宋_GB2312" w:hAnsi="仿宋_GB2312" w:eastAsia="仿宋_GB2312" w:cs="仿宋_GB2312"/>
          <w:color w:val="auto"/>
          <w:sz w:val="32"/>
          <w:szCs w:val="32"/>
        </w:rPr>
        <w:t>更换符合要求退换的货物,费用由乙方承担</w:t>
      </w:r>
      <w:r>
        <w:rPr>
          <w:rFonts w:hint="eastAsia" w:ascii="仿宋_GB2312" w:hAnsi="仿宋_GB2312" w:eastAsia="仿宋_GB2312" w:cs="仿宋_GB2312"/>
          <w:color w:val="auto"/>
          <w:sz w:val="32"/>
          <w:szCs w:val="32"/>
          <w:lang w:eastAsia="zh-CN"/>
        </w:rPr>
        <w:t>，并</w:t>
      </w:r>
      <w:r>
        <w:rPr>
          <w:rFonts w:hint="eastAsia" w:ascii="仿宋_GB2312" w:hAnsi="仿宋_GB2312" w:eastAsia="仿宋_GB2312" w:cs="仿宋_GB2312"/>
          <w:color w:val="auto"/>
          <w:sz w:val="32"/>
          <w:szCs w:val="32"/>
          <w:lang w:eastAsia="zh-CN"/>
        </w:rPr>
        <w:t>扣</w:t>
      </w:r>
      <w:r>
        <w:rPr>
          <w:rFonts w:hint="eastAsia" w:ascii="仿宋_GB2312" w:hAnsi="仿宋_GB2312" w:eastAsia="仿宋_GB2312" w:cs="仿宋_GB2312"/>
          <w:color w:val="auto"/>
          <w:sz w:val="32"/>
          <w:szCs w:val="32"/>
          <w:highlight w:val="none"/>
          <w:lang w:eastAsia="zh-CN"/>
        </w:rPr>
        <w:t>除</w:t>
      </w:r>
      <w:r>
        <w:rPr>
          <w:rFonts w:hint="eastAsia" w:ascii="仿宋_GB2312" w:hAnsi="仿宋_GB2312" w:eastAsia="仿宋_GB2312" w:cs="仿宋_GB2312"/>
          <w:color w:val="auto"/>
          <w:sz w:val="32"/>
          <w:szCs w:val="32"/>
          <w:highlight w:val="none"/>
          <w:lang w:val="en-US" w:eastAsia="zh-CN"/>
        </w:rPr>
        <w:t>本合同</w:t>
      </w:r>
      <w:r>
        <w:rPr>
          <w:rFonts w:hint="eastAsia" w:ascii="仿宋_GB2312" w:hAnsi="仿宋_GB2312" w:eastAsia="仿宋_GB2312" w:cs="仿宋_GB2312"/>
          <w:color w:val="auto"/>
          <w:sz w:val="32"/>
          <w:szCs w:val="32"/>
          <w:highlight w:val="none"/>
          <w:lang w:eastAsia="zh-CN"/>
        </w:rPr>
        <w:t>履约保证金的</w:t>
      </w:r>
      <w:r>
        <w:rPr>
          <w:rFonts w:hint="eastAsia" w:ascii="仿宋_GB2312" w:hAnsi="仿宋_GB2312" w:eastAsia="仿宋_GB2312" w:cs="仿宋_GB2312"/>
          <w:color w:val="auto"/>
          <w:sz w:val="32"/>
          <w:szCs w:val="32"/>
          <w:highlight w:val="none"/>
          <w:lang w:val="en-US" w:eastAsia="zh-CN"/>
        </w:rPr>
        <w:t>10</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，乙方在</w:t>
      </w:r>
      <w:r>
        <w:rPr>
          <w:rFonts w:hint="eastAsia" w:ascii="仿宋_GB2312" w:hAnsi="仿宋_GB2312" w:eastAsia="仿宋_GB2312" w:cs="仿宋_GB2312"/>
          <w:color w:val="auto"/>
          <w:sz w:val="32"/>
          <w:szCs w:val="32"/>
          <w:highlight w:val="none"/>
          <w:lang w:val="en-US" w:eastAsia="zh-CN"/>
        </w:rPr>
        <w:t>10个工作日内补交齐履约保证金。</w:t>
      </w:r>
      <w:r>
        <w:rPr>
          <w:rFonts w:hint="eastAsia" w:ascii="仿宋_GB2312" w:hAnsi="仿宋_GB2312" w:eastAsia="仿宋_GB2312" w:cs="仿宋_GB2312"/>
          <w:color w:val="auto"/>
          <w:sz w:val="32"/>
          <w:szCs w:val="32"/>
          <w:highlight w:val="none"/>
          <w:lang w:eastAsia="zh-CN"/>
        </w:rPr>
        <w:t>如</w:t>
      </w:r>
      <w:r>
        <w:rPr>
          <w:rFonts w:hint="eastAsia" w:ascii="仿宋_GB2312" w:hAnsi="仿宋_GB2312" w:eastAsia="仿宋_GB2312" w:cs="仿宋_GB2312"/>
          <w:color w:val="auto"/>
          <w:sz w:val="32"/>
          <w:szCs w:val="32"/>
          <w:highlight w:val="none"/>
        </w:rPr>
        <w:t>造成甲方损失的应由乙</w:t>
      </w:r>
      <w:r>
        <w:rPr>
          <w:rFonts w:hint="eastAsia" w:ascii="仿宋_GB2312" w:hAnsi="仿宋_GB2312" w:eastAsia="仿宋_GB2312" w:cs="仿宋_GB2312"/>
          <w:color w:val="auto"/>
          <w:sz w:val="32"/>
          <w:szCs w:val="32"/>
        </w:rPr>
        <w:t>方承担,并按照</w:t>
      </w:r>
      <w:r>
        <w:rPr>
          <w:rFonts w:hint="eastAsia" w:ascii="仿宋_GB2312" w:hAnsi="仿宋_GB2312" w:eastAsia="仿宋_GB2312" w:cs="仿宋_GB2312"/>
          <w:color w:val="auto"/>
          <w:sz w:val="32"/>
          <w:szCs w:val="32"/>
          <w:lang w:eastAsia="zh-CN"/>
        </w:rPr>
        <w:t>该批货物</w:t>
      </w:r>
      <w:r>
        <w:rPr>
          <w:rFonts w:hint="eastAsia" w:ascii="仿宋_GB2312" w:hAnsi="仿宋_GB2312" w:eastAsia="仿宋_GB2312" w:cs="仿宋_GB2312"/>
          <w:color w:val="auto"/>
          <w:sz w:val="32"/>
          <w:szCs w:val="32"/>
        </w:rPr>
        <w:t>总金额的20%支付违约金。双方无法确定产品质量问题的,甲方有权通过第三方机构进行检测或鉴定,如确实存在非因甲方原因造成的质量问题,由此产生的费用包括但不限于检测费、鉴定费、运输费、人工费等费用由乙方承担。</w:t>
      </w:r>
    </w:p>
    <w:p w14:paraId="68BCE91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3.交货时间、地点及风险转移</w:t>
      </w:r>
    </w:p>
    <w:p w14:paraId="4A04C38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3.1 乙方按甲方要求配送货物的日期将货物送达至指定地点:甲方指定地点,并确保及时配合甲方完成验收工作。</w:t>
      </w:r>
    </w:p>
    <w:p w14:paraId="426CC3A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3.2 供货时间:</w:t>
      </w:r>
    </w:p>
    <w:p w14:paraId="35A7571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3.2.1 甲方向乙方发送订货单时起,乙方应在约定时间或甲方指定的时间将货物送至甲方指定地点(特殊商品除外),甲方将根据订货单进行严格验收,超出订货单范围或质量不合格的货物甲方有权拒收,乙方应在甲方通知的期限内取走,否则甲方将视为乙方无偿提供超出部分货物,有权处置该部分货物并向乙方收取仓储费</w:t>
      </w:r>
      <w:r>
        <w:rPr>
          <w:rFonts w:hint="eastAsia" w:ascii="仿宋_GB2312" w:hAnsi="仿宋_GB2312" w:eastAsia="仿宋_GB2312" w:cs="仿宋_GB2312"/>
          <w:color w:val="auto"/>
          <w:sz w:val="32"/>
          <w:szCs w:val="32"/>
          <w:highlight w:val="none"/>
        </w:rPr>
        <w:t>用;如乙方不能及时送货造成甲方保障无法正常运行,甲方有权扣除本合同履约保证金的</w:t>
      </w:r>
      <w:r>
        <w:rPr>
          <w:rFonts w:hint="eastAsia" w:ascii="仿宋_GB2312" w:hAnsi="仿宋_GB2312" w:eastAsia="仿宋_GB2312" w:cs="仿宋_GB2312"/>
          <w:color w:val="auto"/>
          <w:sz w:val="32"/>
          <w:szCs w:val="32"/>
          <w:highlight w:val="none"/>
          <w:lang w:val="en-US" w:eastAsia="zh-CN"/>
        </w:rPr>
        <w:t>50</w:t>
      </w:r>
      <w:r>
        <w:rPr>
          <w:rFonts w:hint="eastAsia" w:ascii="仿宋_GB2312" w:hAnsi="仿宋_GB2312" w:eastAsia="仿宋_GB2312" w:cs="仿宋_GB2312"/>
          <w:color w:val="auto"/>
          <w:sz w:val="32"/>
          <w:szCs w:val="32"/>
          <w:highlight w:val="none"/>
        </w:rPr>
        <w:t>%,甲方委托第三方配送货物的,由此产生的一切费用由乙方承担。第</w:t>
      </w:r>
      <w:r>
        <w:rPr>
          <w:rFonts w:hint="eastAsia" w:ascii="仿宋_GB2312" w:hAnsi="仿宋_GB2312" w:eastAsia="仿宋_GB2312" w:cs="仿宋_GB2312"/>
          <w:color w:val="auto"/>
          <w:sz w:val="32"/>
          <w:szCs w:val="32"/>
        </w:rPr>
        <w:t>二次再出现同样情况的,甲方有权单方解除合同并扣除全额履约保证金。有特殊需求的供货时间,由甲方指定供货时间与频次。</w:t>
      </w:r>
    </w:p>
    <w:p w14:paraId="56409A0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3.2.2 如甲方应急临时需购货品,乙方必须按指定的品种、数量,并保证货物符合国家相关食品安全标准。在接到甲方的</w:t>
      </w:r>
      <w:r>
        <w:rPr>
          <w:rFonts w:hint="eastAsia" w:ascii="仿宋_GB2312" w:hAnsi="仿宋_GB2312" w:eastAsia="仿宋_GB2312" w:cs="仿宋_GB2312"/>
          <w:color w:val="auto"/>
          <w:sz w:val="32"/>
          <w:szCs w:val="32"/>
          <w:lang w:eastAsia="zh-CN"/>
        </w:rPr>
        <w:t>订单</w:t>
      </w:r>
      <w:r>
        <w:rPr>
          <w:rFonts w:hint="eastAsia" w:ascii="仿宋_GB2312" w:hAnsi="仿宋_GB2312" w:eastAsia="仿宋_GB2312" w:cs="仿宋_GB2312"/>
          <w:color w:val="auto"/>
          <w:sz w:val="32"/>
          <w:szCs w:val="32"/>
        </w:rPr>
        <w:t xml:space="preserve">通知后 </w:t>
      </w:r>
      <w:r>
        <w:rPr>
          <w:rFonts w:hint="eastAsia" w:ascii="仿宋_GB2312" w:hAnsi="仿宋_GB2312" w:eastAsia="仿宋_GB2312" w:cs="仿宋_GB2312"/>
          <w:color w:val="auto"/>
          <w:sz w:val="32"/>
          <w:szCs w:val="32"/>
          <w:lang w:eastAsia="zh-CN"/>
        </w:rPr>
        <w:t>在规定时间内</w:t>
      </w:r>
      <w:r>
        <w:rPr>
          <w:rFonts w:hint="eastAsia" w:ascii="仿宋_GB2312" w:hAnsi="仿宋_GB2312" w:eastAsia="仿宋_GB2312" w:cs="仿宋_GB2312"/>
          <w:color w:val="auto"/>
          <w:sz w:val="32"/>
          <w:szCs w:val="32"/>
        </w:rPr>
        <w:t>送货至甲方指定地点。</w:t>
      </w:r>
    </w:p>
    <w:p w14:paraId="74CC731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3.3 交货完成前(即货物交付完毕且经甲方书面验收合格前),本合同项下货物的损毁灭失风险由乙方承担,交货完成后(货物交付完毕且经过甲方书面验收合格后),非因甲方原因,出现质量问题,甲方要求乙方在 24 小时内更换货物或退货处理,并保留追偿全部损失的权利。</w:t>
      </w:r>
    </w:p>
    <w:p w14:paraId="4C2716F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3.4 供货方式:按甲方需求及要求(质量要求、送货方式及卸货要求)供货,送达指定地点。</w:t>
      </w:r>
    </w:p>
    <w:p w14:paraId="01C0C63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3.5 在紧急需求特殊情况下,乙方有责任配合甲方做好人员、车辆等安全检查、卫生防疫等相关要求,未经检测达标的,甲方有权禁止其入场供货,乙方应当立即整改,由此所造成的逾期视为乙方违约。</w:t>
      </w:r>
    </w:p>
    <w:p w14:paraId="7841A32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4.货物的包装及运输</w:t>
      </w:r>
    </w:p>
    <w:p w14:paraId="3E23117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4.1 包装必须与运输方式相适应,包装方式的确定和包装费用均由乙方负责;乙方应在货物交付前提供包装方案供甲方审核,未经甲方书面同意不得变更包装方式。由于不适当的包装而造成的货物有任何损坏由乙方负责。</w:t>
      </w:r>
    </w:p>
    <w:p w14:paraId="4C6F099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采用定型包装的货物,包装必须符合国家对产品包装的有关规定。货品由生产厂家使用符合国家食品卫生要求的包装箱或包装袋进行完整包装,包装上必须有清晰的厂家信息、生产日期、保质期、净重量;必须有 SC 编码;包装破损甲方有权拒绝接收,自然破损除外。</w:t>
      </w:r>
    </w:p>
    <w:p w14:paraId="0FE6443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乙方保证运输周转的容器与车辆的清洁卫生和防止货物在运输过程中受到污染,否则甲方有权拒绝接收。</w:t>
      </w:r>
    </w:p>
    <w:p w14:paraId="4F8C5D4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乙方根据运送货物的需求,运送车辆及方式须符合《中华人民共和国道路交通安全法》《中华人民共和国道路运输条例》及国家相关行业标准(如 GB/T 26772-2011 等),乙方承运车辆到达甲方指定地点后必须服从甲方管理,并确保货物按要求安全放置在指定区域。</w:t>
      </w:r>
    </w:p>
    <w:p w14:paraId="5409C8E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5.验收</w:t>
      </w:r>
    </w:p>
    <w:p w14:paraId="0D484D1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5.1 验收标准:以招投标文件及本合同甲、乙双方约定的质量标准为货物的验收标准。甲方仅对乙方交付货物的数量、规格、外观等进行初步验收,初步验收合格不代表乙方对所交付货物潜在质量安全问题免责。甲方有权对货物进行破坏性抽样检测,检测费用和产生的成本由乙方承担。验收合格后若发现质量问题(如保质期内变质),乙方仍需无条件退换并赔偿损失,且甲方有权从货款中直接扣除相关费用。</w:t>
      </w:r>
    </w:p>
    <w:p w14:paraId="2124EAD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5.2 数量的认定:乙方依据甲方提供的物资计划单中品种数量进行配送;甲方工作人员和乙方人员现场称重或点数完毕后,共同在送货单上核准并签字,并加盖乙方公章作为结帐凭证,乙方验收人员为法定代表人或乙方书面授权的委托人,乙方将授权委托书一并提交给甲方,授权委托书应加盖乙方公章并由法定代表人签字。结算数量按照实际进货数量(净重),除去未通过验收数量进行结算。计量单位:按合同签订的规格。</w:t>
      </w:r>
    </w:p>
    <w:p w14:paraId="45E242F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6.货款支付</w:t>
      </w:r>
    </w:p>
    <w:p w14:paraId="78B0B73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6.1 乙方应按照甲方的通知开具符合国家税务规定的正规普通发票(发票内容需与验收单一致,不能在税务局代开发票)交甲方查验,否则视为自行放弃供货资格。如发票被税务机关认定为无效或不符合规定,乙方应在收到甲方通知后 3 个工作日内重新开具有效发票,否则甲方有权延迟支付相应货款直至收到有效发票,且不承担延迟付款责任。</w:t>
      </w:r>
    </w:p>
    <w:p w14:paraId="2F074B0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6.2</w:t>
      </w:r>
      <w:r>
        <w:rPr>
          <w:rFonts w:hint="eastAsia" w:ascii="仿宋_GB2312" w:hAnsi="仿宋_GB2312" w:eastAsia="仿宋_GB2312" w:cs="仿宋_GB2312"/>
          <w:color w:val="auto"/>
          <w:sz w:val="32"/>
          <w:szCs w:val="32"/>
          <w:lang w:val="en-US" w:eastAsia="zh-CN"/>
        </w:rPr>
        <w:t>甲</w:t>
      </w:r>
      <w:r>
        <w:rPr>
          <w:rFonts w:hint="eastAsia" w:ascii="仿宋_GB2312" w:hAnsi="仿宋_GB2312" w:eastAsia="仿宋_GB2312" w:cs="仿宋_GB2312"/>
          <w:color w:val="auto"/>
          <w:kern w:val="2"/>
          <w:sz w:val="32"/>
          <w:szCs w:val="32"/>
          <w:shd w:val="clear" w:color="auto" w:fill="FFFFFF"/>
          <w:lang w:val="en-US" w:eastAsia="zh-CN" w:bidi="ar-SA"/>
        </w:rPr>
        <w:t>乙双方应在当月月底完成当月供货数量核对工作，乙方接到甲方通知后，向甲方提供上月货款的正规发票及相关材料，甲方核实无异议后，</w:t>
      </w:r>
      <w:r>
        <w:rPr>
          <w:rFonts w:hint="eastAsia" w:ascii="仿宋_GB2312" w:hAnsi="仿宋_GB2312" w:eastAsia="仿宋_GB2312" w:cs="仿宋_GB2312"/>
          <w:color w:val="auto"/>
          <w:sz w:val="32"/>
          <w:szCs w:val="32"/>
        </w:rPr>
        <w:t>支付货款以上级财政管理部门审批拨付到位为准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kern w:val="2"/>
          <w:sz w:val="32"/>
          <w:szCs w:val="32"/>
          <w:shd w:val="clear" w:color="auto" w:fill="FFFFFF"/>
          <w:lang w:val="en-US" w:eastAsia="zh-CN" w:bidi="ar-SA"/>
        </w:rPr>
        <w:t>15个工作日内将货款通过银行转账的方式支付给乙方。</w:t>
      </w:r>
      <w:r>
        <w:rPr>
          <w:rFonts w:hint="eastAsia" w:ascii="仿宋_GB2312" w:hAnsi="仿宋_GB2312" w:eastAsia="仿宋_GB2312" w:cs="仿宋_GB2312"/>
          <w:color w:val="auto"/>
          <w:sz w:val="32"/>
          <w:szCs w:val="32"/>
        </w:rPr>
        <w:t>因乙方银行账户存在问题导致甲方延迟付款的,甲方不承担迟延付款责任。</w:t>
      </w:r>
    </w:p>
    <w:p w14:paraId="529B28A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shd w:val="clear" w:color="auto" w:fill="FFFFFF"/>
          <w:lang w:val="en-US" w:eastAsia="zh-CN" w:bidi="ar-SA"/>
        </w:rPr>
      </w:pPr>
      <w:r>
        <w:rPr>
          <w:rFonts w:hint="eastAsia" w:ascii="仿宋_GB2312" w:hAnsi="仿宋_GB2312" w:eastAsia="仿宋_GB2312" w:cs="仿宋_GB2312"/>
          <w:color w:val="auto"/>
          <w:kern w:val="2"/>
          <w:sz w:val="32"/>
          <w:szCs w:val="32"/>
          <w:shd w:val="clear" w:color="auto" w:fill="FFFFFF"/>
          <w:lang w:val="en-US" w:eastAsia="zh-CN" w:bidi="ar-SA"/>
        </w:rPr>
        <w:t>6.3合同履约保证金为中标标段合同总价7%（合同总价=预算金额*（1-中标下浮率）），保证金金额XXX元（大写：XXX元整）在中标供应商与采购人签订合同前一天缴纳完毕。若不能按时缴纳，采购人将有充分的理由解除中标人的中标资格并扣除投标保证金。中标供应商以支票、汇票、本票或金融机构、担保机构出具的保函等非现金形式提交。若不能按时缴纳，采购人将有充分的理由解除中标人的中标资格并扣除投标保证金。</w:t>
      </w:r>
    </w:p>
    <w:p w14:paraId="589D1BA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7.违约责任</w:t>
      </w:r>
    </w:p>
    <w:p w14:paraId="5E9FA30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7.1 合同期满且乙方未出现任何违约情形的,甲方无息退还履约保证金。如乙方有任何违约行为,甲方有权按照合同约定从履约保证金中扣除乙方应赔偿部分金额,剩余部分合同期满或合同解除时无息退还给至乙方账户;保证金不足以支付违约金或不足以弥补甲方损失的,由乙方另行向甲方赔偿。因乙方违约扣除保证金的乙方应在扣除后</w:t>
      </w: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sz w:val="32"/>
          <w:szCs w:val="32"/>
        </w:rPr>
        <w:t>个工作日内补足,逾期不补足视为违约,并视为放弃继续供货资格</w:t>
      </w:r>
      <w:r>
        <w:rPr>
          <w:rFonts w:hint="eastAsia" w:ascii="仿宋_GB2312" w:hAnsi="仿宋_GB2312" w:eastAsia="仿宋_GB2312" w:cs="仿宋_GB2312"/>
          <w:color w:val="auto"/>
          <w:sz w:val="32"/>
          <w:szCs w:val="32"/>
          <w:lang w:eastAsia="zh-CN"/>
        </w:rPr>
        <w:t>、解除合同</w:t>
      </w:r>
      <w:r>
        <w:rPr>
          <w:rFonts w:hint="eastAsia" w:ascii="仿宋_GB2312" w:hAnsi="仿宋_GB2312" w:eastAsia="仿宋_GB2312" w:cs="仿宋_GB2312"/>
          <w:color w:val="auto"/>
          <w:sz w:val="32"/>
          <w:szCs w:val="32"/>
        </w:rPr>
        <w:t>。</w:t>
      </w:r>
    </w:p>
    <w:p w14:paraId="5E52FA0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7.2 乙方必须满足对在发生突发公共安全等不可抗力事件时,对甲方无条件提供货物保障供应,如不能满足极端特殊条件下的供应,应提前7日以书面形式通知甲方,并提供官方具有证明效力的相关证明文件。乙方如未及时通知甲方则视为违约,赔偿甲方所需物资总额的30%作为违约金(由未结算货款进行抵扣,如货款不足,从履约保证金中扣除),并自动终止合同。</w:t>
      </w:r>
    </w:p>
    <w:p w14:paraId="3989049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7.3 乙方需在本合同签署之日向甲方提供各种有效证照的复印件(需加盖乙方公章),包括但不限于:统一社会信用代码、法定代表人身份证、法定代表人身份证明书、授权委托书、营业执照、税务登记证、营业执照、食品卫生许可证、</w:t>
      </w:r>
      <w:r>
        <w:rPr>
          <w:rFonts w:hint="eastAsia" w:ascii="仿宋_GB2312" w:hAnsi="仿宋_GB2312" w:eastAsia="仿宋_GB2312" w:cs="仿宋_GB2312"/>
          <w:color w:val="auto"/>
          <w:sz w:val="32"/>
          <w:szCs w:val="32"/>
          <w:lang w:eastAsia="zh-CN"/>
        </w:rPr>
        <w:t>检测</w:t>
      </w:r>
      <w:r>
        <w:rPr>
          <w:rFonts w:hint="eastAsia" w:ascii="仿宋_GB2312" w:hAnsi="仿宋_GB2312" w:eastAsia="仿宋_GB2312" w:cs="仿宋_GB2312"/>
          <w:color w:val="auto"/>
          <w:sz w:val="32"/>
          <w:szCs w:val="32"/>
        </w:rPr>
        <w:t>报告等自身主体资格证明和与食品销售要求相关的资质证明,否则,甲方有权解除合同且不承担违约责任。在本合同有效期内,乙方必须保证上述各类证照始终处于合法、有效状态,乙方如不按上述要求提供,或乙方在合同期限内相关证照被吊销、注销、过期失效等,甲方有权解除合同并将追究乙方的违约责任和赔偿责任。乙方每批次货品提供所需证件及产品检验报告单,否则甲方有权单方终止合同,同时扣除乙方全额履约保证金。</w:t>
      </w:r>
    </w:p>
    <w:p w14:paraId="75C2589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7.4 合同签订后,乙方应严格履行合同,如乙方因价格原因寻找借口,拒绝供货或不能根据合同约定的品种、规格、数量、质量等标准和要求向甲方配送货物,无法满足甲方采购需要,甲方有权直接以电话、邮箱、微信等途径通知的方式解除合同,同时扣除乙方履约保证金</w:t>
      </w:r>
      <w:r>
        <w:rPr>
          <w:rFonts w:hint="eastAsia" w:ascii="仿宋_GB2312" w:hAnsi="仿宋_GB2312" w:eastAsia="仿宋_GB2312" w:cs="仿宋_GB2312"/>
          <w:color w:val="auto"/>
          <w:sz w:val="32"/>
          <w:szCs w:val="32"/>
        </w:rPr>
        <w:t>的50%向</w:t>
      </w:r>
      <w:r>
        <w:rPr>
          <w:rFonts w:hint="eastAsia" w:ascii="仿宋_GB2312" w:hAnsi="仿宋_GB2312" w:eastAsia="仿宋_GB2312" w:cs="仿宋_GB2312"/>
          <w:color w:val="auto"/>
          <w:sz w:val="32"/>
          <w:szCs w:val="32"/>
        </w:rPr>
        <w:t>甲方承担违约责任。合同解除后,甲方有权临时性应急与第三方供应商另行签订合同,进行保障性供货。</w:t>
      </w:r>
    </w:p>
    <w:p w14:paraId="2E35854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7.5</w:t>
      </w:r>
      <w:r>
        <w:rPr>
          <w:rFonts w:hint="eastAsia" w:ascii="仿宋_GB2312" w:hAnsi="仿宋_GB2312" w:eastAsia="仿宋_GB2312" w:cs="仿宋_GB2312"/>
          <w:color w:val="auto"/>
          <w:sz w:val="32"/>
          <w:szCs w:val="32"/>
          <w:lang w:eastAsia="zh-CN"/>
        </w:rPr>
        <w:t>因乙方不按合同约定的标准进行配送，出现缺斤少两、以次充好、保质期临期等情况，第一次扣除履约保证金</w:t>
      </w:r>
      <w:r>
        <w:rPr>
          <w:rFonts w:hint="eastAsia" w:ascii="仿宋_GB2312" w:hAnsi="仿宋_GB2312" w:eastAsia="仿宋_GB2312" w:cs="仿宋_GB2312"/>
          <w:color w:val="auto"/>
          <w:sz w:val="32"/>
          <w:szCs w:val="32"/>
          <w:lang w:val="en-US" w:eastAsia="zh-CN"/>
        </w:rPr>
        <w:t>10%，第二次扣除履约保证金30%，第三次扣除履约保证金50%。</w:t>
      </w:r>
    </w:p>
    <w:p w14:paraId="547EB93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7.6 经甲方验收入库,若非甲方保管不到位的情况,货物出现融化、变质、过期及其他质量问题等,乙方负责免费无条件更换。如遇不可抗力或情势变更导致乙方货物质量不符合甲方标准要求,乙方负责无偿更换,退回货物暂由甲方保管,待甲方具备退回条件时,通知乙方退回,退回货物所产生的包装、运费等一切相关费用由乙方承担。</w:t>
      </w:r>
    </w:p>
    <w:p w14:paraId="6ABD50D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7.7</w:t>
      </w:r>
      <w:r>
        <w:rPr>
          <w:rFonts w:hint="eastAsia" w:ascii="仿宋_GB2312" w:hAnsi="仿宋_GB2312" w:eastAsia="仿宋_GB2312" w:cs="仿宋_GB2312"/>
          <w:color w:val="auto"/>
          <w:sz w:val="32"/>
          <w:szCs w:val="32"/>
          <w:lang w:eastAsia="zh-CN"/>
        </w:rPr>
        <w:t>乙方未按合同约定时间供货的，每延迟一次按延迟供货金额</w:t>
      </w:r>
      <w:r>
        <w:rPr>
          <w:rFonts w:hint="eastAsia" w:ascii="仿宋_GB2312" w:hAnsi="仿宋_GB2312" w:eastAsia="仿宋_GB2312" w:cs="仿宋_GB2312"/>
          <w:color w:val="auto"/>
          <w:sz w:val="32"/>
          <w:szCs w:val="32"/>
          <w:lang w:val="en-US" w:eastAsia="zh-CN"/>
        </w:rPr>
        <w:t>10%支付违约金，如发生3次延迟供货，甲方有权解除合同。</w:t>
      </w:r>
    </w:p>
    <w:p w14:paraId="7212B02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7.8在履行合同过程中,如果乙方遇到妨碍按时交货和提供服务等不可抗力的情况,乙方至迟提前</w:t>
      </w: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日以书面形式将拖延的事实,可能拖延的时间和原因通知甲方,甲方根据实际情况决定是否同意延期交货后,及时采取补救措施,不得无故断货;自上述不可抗力情形消除后,24 小时内继续履行交货义务。</w:t>
      </w:r>
    </w:p>
    <w:p w14:paraId="2880FE2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7.9若乙方提供的产品不符合质量标准,导致食品安全事故,乙方应支付产品价格十倍或实际损失三倍的赔偿金,最低赔偿金额为一万元。此外,乙方还应支付合同总金额的50%作为违约金,并承担所有相关费用;赔偿金的金额不足一万元的,按一万元计算;赔偿款甲方有权直接从履约保证金中扣除,不足部分乙方应另行支付。甲方向第三方垫付赔偿款的,有权向乙方追偿;甲方或第三人由此支出的鉴定、调查取证等为维护权益支出的费用均由乙方承担,且甲方有权直接从履约保证金或未结货款中扣除相关费用。</w:t>
      </w:r>
    </w:p>
    <w:p w14:paraId="2265A06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7.10乙方保证在供货时遵从甲方关于本项目的采购程序,保证不会将合同及(或)其中的权利、义务转让,保证不会转包、分包。如发现转包、分包现象,甲方有权扣除全额履约保证金及解除合同。</w:t>
      </w:r>
    </w:p>
    <w:p w14:paraId="64B26F4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7.11乙方在供应过程中,乙方人员及送货车辆应履行安全保证义务,如发生任何问题应由乙方承担全部责任,如在甲方场所内发生事故或问题,经相关部门鉴定,属乙方责任的,乙方承担全部责任(除不可抗力外),并赔偿给甲方造成的全部损失,甲方有权在确定损失通知乙方后,赔偿款甲方有权直接从未结货款或履约保证金中扣除,不足部分乙方应在3 个工作日内另行支付,且甲方保留追究其法律责任。</w:t>
      </w:r>
    </w:p>
    <w:p w14:paraId="2E38860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7.12乙方无条件执行甲方进出大门的管理要求,乙方及配送司机不得携带违禁、危险品(包括但不限于烟、打火机、手机、酒、现金、电子设备等甲方规定视为存在安全风险的物品)进入甲方场所,如出现上述情况,甲方有权禁止司机和车辆再次进入甲方场所,并要求乙方整改,乙方拒不整改或整改不到位而由此产生的货品损失,由乙方自行承担。 乙方确认知悉甲方有关监管安全的各项措施,包括但不限于违禁、危险品,人员出入、车辆出入、搜身检查、通讯工具管理、电子设备管理等。</w:t>
      </w:r>
    </w:p>
    <w:p w14:paraId="50E72C7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7.13在合同履行期间,乙方配送人员及所属人员不得向甲方任何人员提供违禁(危)品,如有发生甲方有权根据情节轻重采取相应的处罚措施,包括但不限于警告、罚款、部分或全部扣除履约保证金、暂停合作或解除合同。如造成严重后果的,甲方有权追究其法律责任。</w:t>
      </w:r>
    </w:p>
    <w:p w14:paraId="1EEFD7A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7.14如乙方违反合同有关保密约定,向第三方披露本采购项目或合同相关资料或情况的,甲方有权立即解除合同,扣除全部履约保证金,并要求乙方支付合同总金额的10%作为违约金,给造成甲方损失的应由乙方赔偿,且乙方还应承担甲方因此产生的所有合理费用; 如涉及违法犯罪行为,将移送司法机关依法追究乙方的法律责任。</w:t>
      </w:r>
    </w:p>
    <w:p w14:paraId="622718D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7.15 如乙方出现违约行为的,乙方承担全部赔偿责任,并承担甲方维权产生的全部支出等(包括但不限于第三方索赔、退货运输费、诉讼费、律师服务费、鉴定费、公告费、公证费、调查取证费、差旅费、交通费、保全保险费、财产保全费、强制执行费等与之相关的一切费用)以及相关法律责任。</w:t>
      </w:r>
    </w:p>
    <w:p w14:paraId="2C704A4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7.16 在本合同履行期间,未经甲方书面同意,乙方不得提出解除本合同(除不可抗力外),如因乙方自身原因导致合同解除,甲方有权扣除全额履约保证金,并有权向乙方追偿因解除合同造成的全部损失,包括但不限于预期利润损失。</w:t>
      </w:r>
    </w:p>
    <w:p w14:paraId="5BEFE88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8.通知和送达条款</w:t>
      </w:r>
    </w:p>
    <w:p w14:paraId="7BF73AD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8.1 任何一方合同当事人根据本合同向对方发出的通知、信件或数据电文均应采用书面形式。书信形式包括信件、电传、传真等可有形地表现所载内容的形式,以电子数据交换、电子邮件等方式能有形地表现所载内容,并可以随时调取查用的数据电文,视为书面形式。</w:t>
      </w:r>
    </w:p>
    <w:p w14:paraId="148BE28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8.2 双方确认,在本合同签署盖章页关于甲方、乙方主体信息中所载明的各方地址、电话、传真、微信、邮箱地址和联系人为各方的有效送达地址和联系人。该有效送达地址和联系人的适用范围包括双方根据本合同向对方发出的通知、信件和数据电文,以及在合同发生纠纷时相关文件和法律文书的送达,还包括在合同争议进入仲裁、民事诉讼程序后的一审、二审、再审和执行程序的送达。</w:t>
      </w:r>
    </w:p>
    <w:p w14:paraId="3D52DB0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8.3 任何一方变更本合同所载明的有效送达地址或联系人时,须在变更前十五日以书面形式通知对方。否则,因有效送达地址或联系人变更而导致无法送达或迟延送达的法律后果均由未通知一方承担。</w:t>
      </w:r>
    </w:p>
    <w:p w14:paraId="7554EB2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8.4 双方按以下约定,根据不同的送达方式,确定送达时间。</w:t>
      </w:r>
    </w:p>
    <w:p w14:paraId="733A24A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8.4.1 当面送达的,受送达人签收时视为送达。若受送达人拒绝签收的,送达人将送达文件留在受送达人的有效送达地址之时,视为送达。</w:t>
      </w:r>
    </w:p>
    <w:p w14:paraId="456438D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8.4.2 以平信、挂号信、特快专递或快递方式送达的,甲方送达至乙方时到达注册地址、主要营业地或合同所载明的地址即视为送达;乙方送达至甲方时需实际签收方视为送达。若因受送达人自己提供或确认的送达地址不准确,拒不提供送达地址,送达地址变更未及时告知送达人,受送达人或者受送达人指定的代收人、代理人、受送达人的工作人员拒绝签收,导致通知或文书未能被受送达人实际签收的,通知或文书退回之日视为送达之日。</w:t>
      </w:r>
    </w:p>
    <w:p w14:paraId="719B727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8.4.3 以传真方式送达的,以发送方打印的传真发送确认单显示的时间为送达时间。</w:t>
      </w:r>
    </w:p>
    <w:p w14:paraId="4E1FD7E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8.4.4 以电子邮件方式送达的,系统发送成功的时间视为送达时间,若乙方作为受送达人,则邮件发送至乙方在本合同签署盖章页载明的邮箱地址即视为送达。</w:t>
      </w:r>
    </w:p>
    <w:p w14:paraId="0D74A2D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9.争议解决</w:t>
      </w:r>
    </w:p>
    <w:p w14:paraId="2D15FFF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本合同如发生纠纷,双方当事人应当及时协商解决,协商不成时,向甲方所在地有管辖权的人民法院起诉。</w:t>
      </w:r>
    </w:p>
    <w:p w14:paraId="6F78CA7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10.合同生效</w:t>
      </w:r>
    </w:p>
    <w:p w14:paraId="4F8A0DA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10.1 本合同壹式</w:t>
      </w:r>
      <w:r>
        <w:rPr>
          <w:rFonts w:hint="eastAsia" w:ascii="仿宋_GB2312" w:hAnsi="仿宋_GB2312" w:eastAsia="仿宋_GB2312" w:cs="仿宋_GB2312"/>
          <w:color w:val="auto"/>
          <w:sz w:val="32"/>
          <w:szCs w:val="32"/>
          <w:lang w:eastAsia="zh-CN"/>
        </w:rPr>
        <w:t>肆</w:t>
      </w:r>
      <w:r>
        <w:rPr>
          <w:rFonts w:hint="eastAsia" w:ascii="仿宋_GB2312" w:hAnsi="仿宋_GB2312" w:eastAsia="仿宋_GB2312" w:cs="仿宋_GB2312"/>
          <w:color w:val="auto"/>
          <w:sz w:val="32"/>
          <w:szCs w:val="32"/>
        </w:rPr>
        <w:t>份,甲方</w:t>
      </w:r>
      <w:r>
        <w:rPr>
          <w:rFonts w:hint="eastAsia" w:ascii="仿宋_GB2312" w:hAnsi="仿宋_GB2312" w:eastAsia="仿宋_GB2312" w:cs="仿宋_GB2312"/>
          <w:color w:val="auto"/>
          <w:sz w:val="32"/>
          <w:szCs w:val="32"/>
          <w:lang w:eastAsia="zh-CN"/>
        </w:rPr>
        <w:t>叁</w:t>
      </w:r>
      <w:r>
        <w:rPr>
          <w:rFonts w:hint="eastAsia" w:ascii="仿宋_GB2312" w:hAnsi="仿宋_GB2312" w:eastAsia="仿宋_GB2312" w:cs="仿宋_GB2312"/>
          <w:color w:val="auto"/>
          <w:sz w:val="32"/>
          <w:szCs w:val="32"/>
        </w:rPr>
        <w:t>份、乙方执壹份,具有同等法律效力。</w:t>
      </w:r>
    </w:p>
    <w:p w14:paraId="56BFD69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10.2 本合同经双方法定代表人或授权代表签名且加盖单位公章之日起生效,授权应当提供书面授权委托书。</w:t>
      </w:r>
    </w:p>
    <w:p w14:paraId="5D59BE91">
      <w:pPr>
        <w:keepNext w:val="0"/>
        <w:keepLines w:val="0"/>
        <w:pageBreakBefore w:val="0"/>
        <w:widowControl w:val="0"/>
        <w:kinsoku/>
        <w:wordWrap/>
        <w:overflowPunct/>
        <w:topLinePunct w:val="0"/>
        <w:autoSpaceDE/>
        <w:autoSpaceDN/>
        <w:bidi w:val="0"/>
        <w:adjustRightInd/>
        <w:snapToGrid/>
        <w:spacing w:line="560" w:lineRule="exact"/>
        <w:ind w:left="319" w:leftChars="152" w:firstLine="320" w:firstLineChars="1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10.3 本合同有效期:</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日至</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日。</w:t>
      </w:r>
    </w:p>
    <w:p w14:paraId="5B0AB8F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10.4 本合同所称不可抗力包括但不限于:天灾、罢工、停工、战争、暴乱、内乱、恐怖行为、恶意破坏、流行病、检疫、火灾、洪水、风暴、自然灾害或对任何法律或政府命令、规则、条例或指示的遵守,无论其后来是否被认定为无效或不适用。</w:t>
      </w:r>
    </w:p>
    <w:p w14:paraId="3537847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11.保密条款</w:t>
      </w:r>
    </w:p>
    <w:p w14:paraId="5BA8112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11.1 乙方应签订《保密协议》,乙方应对在合同签订和履行过程中知悉的甲方国家秘密、工作秘密、内部信息、商业秘密、技术信息、经营信息等予以保密,未经甲方书面同意,不得向任何第三方披露或使用。保密条款、保密协议在合同履行完成后,依旧有效。</w:t>
      </w:r>
    </w:p>
    <w:p w14:paraId="47D4AE0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11.2 因单位特殊性和保密性,乙方与甲方形成的合同、协议、文件资料及合同履行过程中形成的全部资料内容,均应当保密,未经甲方书面同意,不得以任何方式向任何第三方公开、披露、使用,也不得作为乙方的业绩、成果等对外宣传和使用。乙方违反本条款应承担甲方因此遭受的全部损失。</w:t>
      </w:r>
    </w:p>
    <w:p w14:paraId="3D329E3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11.3 本合同保密条款永久有效,不因合同的无效、被撤销、被解除或终止而丧失法律效力。</w:t>
      </w:r>
    </w:p>
    <w:p w14:paraId="274192F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12.反商业贿赂条款</w:t>
      </w:r>
    </w:p>
    <w:p w14:paraId="5404456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rPr>
      </w:pPr>
      <w:r>
        <w:rPr>
          <w:rFonts w:hint="eastAsia" w:ascii="仿宋_GB2312" w:hAnsi="仿宋_GB2312" w:eastAsia="仿宋_GB2312" w:cs="仿宋_GB2312"/>
          <w:color w:val="auto"/>
          <w:sz w:val="32"/>
          <w:szCs w:val="32"/>
        </w:rPr>
        <w:t>12.1 乙方承诺不得进行任何形式的行贿及其他不正当交易行为。乙方严禁为谋取利益向甲方赠送礼品、现金、样品等任何形式的利益,造成的损失由乙方承担,且甲方有权解除合同并</w:t>
      </w:r>
      <w:r>
        <w:rPr>
          <w:rFonts w:hint="eastAsia" w:ascii="仿宋_GB2312" w:hAnsi="仿宋_GB2312" w:eastAsia="仿宋_GB2312" w:cs="仿宋_GB2312"/>
          <w:color w:val="auto"/>
          <w:sz w:val="32"/>
          <w:szCs w:val="32"/>
          <w:lang w:eastAsia="zh-CN"/>
        </w:rPr>
        <w:t>扣除履约保证金作为违约金。</w:t>
      </w:r>
    </w:p>
    <w:p w14:paraId="0CDA520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12.2 若发现存在任何形式的商业贿赂及其他不正当方式贿赂甲方工作人员,以获取订单、更有利的价格,或虚报送货量,或降低货物质量,或缩短付款期限时,甲方有权立即解除合同,并要求乙方退还已支付的货款,同时甲方有权向有关执法部门举报。</w:t>
      </w:r>
    </w:p>
    <w:p w14:paraId="0977539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12.3 如有甲方工作人员向乙方索取贿赂的,乙方有义务及时向甲方告知,并提供相关证据。乙方承诺已充分了解并严格遵守甲方《反商业贿赂管理制度》及相关规定,乙方违反本条规定的,甲方有权扣除</w:t>
      </w:r>
      <w:r>
        <w:rPr>
          <w:rFonts w:hint="eastAsia" w:ascii="仿宋_GB2312" w:hAnsi="仿宋_GB2312" w:eastAsia="仿宋_GB2312" w:cs="仿宋_GB2312"/>
          <w:color w:val="auto"/>
          <w:sz w:val="32"/>
          <w:szCs w:val="32"/>
          <w:lang w:eastAsia="zh-CN"/>
        </w:rPr>
        <w:t>履约保证金</w:t>
      </w:r>
      <w:r>
        <w:rPr>
          <w:rFonts w:hint="eastAsia" w:ascii="仿宋_GB2312" w:hAnsi="仿宋_GB2312" w:eastAsia="仿宋_GB2312" w:cs="仿宋_GB2312"/>
          <w:color w:val="auto"/>
          <w:sz w:val="32"/>
          <w:szCs w:val="32"/>
          <w:lang w:val="en-US" w:eastAsia="zh-CN"/>
        </w:rPr>
        <w:t>20</w:t>
      </w:r>
      <w:r>
        <w:rPr>
          <w:rFonts w:hint="eastAsia" w:ascii="仿宋_GB2312" w:hAnsi="仿宋_GB2312" w:eastAsia="仿宋_GB2312" w:cs="仿宋_GB2312"/>
          <w:color w:val="auto"/>
          <w:sz w:val="32"/>
          <w:szCs w:val="32"/>
        </w:rPr>
        <w:t>%作为违约金,并保留追究法律责任的权利。</w:t>
      </w:r>
    </w:p>
    <w:p w14:paraId="5B05DA6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13.其他约定事项</w:t>
      </w:r>
    </w:p>
    <w:p w14:paraId="6C4460C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若本合同中任何条款被认定为无效或不可执行,该条款的无效性不影响其他条款的效力,特别是已履行部分的价款结算条款效力。</w:t>
      </w:r>
    </w:p>
    <w:p w14:paraId="0F07C70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13.1 乙方具有签订和履行本合同所需要的一切权利、资质和资格,不因本合同的签订和履行而侵害任何第三方的权利或利益。</w:t>
      </w:r>
    </w:p>
    <w:p w14:paraId="4F6E7CB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13.2 乙方不存在已经发生或正在发生的对签订和履行本合同能力可能产生影响的诉讼、仲裁等各类案件,不存在已经启动但尚未终结的行政程序、司法程序或其他法律程序。如乙方违反本条款的陈述与保证,应向甲方支付相当于合同总金额10%的违约金,并赔偿甲方因此遭受的全部损失(包括但不限于直接损失、间接损失、律师费、诉讼费等)。</w:t>
      </w:r>
    </w:p>
    <w:p w14:paraId="26CAD3A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13.3 未经对方书面同意,任何一方合同当事人不得转让(抵押)本合同项下任何权利和义务。</w:t>
      </w:r>
    </w:p>
    <w:p w14:paraId="575BCDB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13.4 本合同的任何变更、修改或补充,须经双方协商一致同意并签订书面补充协议,否则不发生法律效力。</w:t>
      </w:r>
    </w:p>
    <w:p w14:paraId="619F65F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13.5 本合同附件包括但不限于与本合同有关的补充协议、投标(响应)文件、答疑附件、澄清文件、《供货承诺书》《食品安全承诺书》《保密协议》《质量标准》等,与本合同具有同等法律效力。</w:t>
      </w:r>
    </w:p>
    <w:p w14:paraId="773F31D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13.6 甲乙双方约定在实际供应过程中,若出现解释等情形,以本合同的甲方解释为优先准则。本合同如与其他补充合同或各合同内容之间存在冲突或异议的,甲方具有最终解释权,且有权选择适用于己有利的条款和内容,乙方对此予以认可并承诺执行。</w:t>
      </w:r>
    </w:p>
    <w:p w14:paraId="1920AB2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13.7 本合同未尽事宜,由甲方单方解释并制定补充规定,补充规定与本合同具有同等法律效力。</w:t>
      </w:r>
    </w:p>
    <w:p w14:paraId="1547288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13.8 本合同条款标题仅为方便阅读而设,不影响条款内容的解释。</w:t>
      </w:r>
    </w:p>
    <w:p w14:paraId="2FF9C2D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(以下无正文,为本合同签署页!)</w:t>
      </w:r>
    </w:p>
    <w:p w14:paraId="7B8B63A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甲方(盖章):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乙方(盖章):</w:t>
      </w:r>
    </w:p>
    <w:p w14:paraId="16AC729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法定代表人或授权代表(签名): </w:t>
      </w:r>
      <w:r>
        <w:rPr>
          <w:rFonts w:hint="eastAsia" w:ascii="仿宋_GB2312" w:hAnsi="仿宋_GB2312" w:eastAsia="仿宋_GB2312" w:cs="仿宋_GB2312"/>
          <w:color w:val="auto"/>
          <w:sz w:val="32"/>
          <w:szCs w:val="32"/>
          <w:lang w:val="en-US"/>
        </w:rPr>
        <w:t xml:space="preserve">    </w:t>
      </w:r>
      <w:r>
        <w:rPr>
          <w:rFonts w:hint="eastAsia" w:ascii="仿宋_GB2312" w:hAnsi="仿宋_GB2312" w:eastAsia="仿宋_GB2312" w:cs="仿宋_GB2312"/>
          <w:color w:val="auto"/>
          <w:sz w:val="32"/>
          <w:szCs w:val="32"/>
        </w:rPr>
        <w:t>法定代表人或授权代表(签名):</w:t>
      </w:r>
    </w:p>
    <w:p w14:paraId="41FC5DD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p>
    <w:p w14:paraId="6592D32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地址: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地址:</w:t>
      </w:r>
    </w:p>
    <w:p w14:paraId="263A7EE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账户:</w:t>
      </w:r>
      <w:r>
        <w:rPr>
          <w:rFonts w:hint="eastAsia" w:ascii="仿宋_GB2312" w:hAnsi="仿宋_GB2312" w:eastAsia="仿宋_GB2312" w:cs="仿宋_GB2312"/>
          <w:color w:val="auto"/>
          <w:sz w:val="32"/>
          <w:szCs w:val="32"/>
          <w:lang w:val="en-US"/>
        </w:rPr>
        <w:t xml:space="preserve">                           </w:t>
      </w:r>
      <w:r>
        <w:rPr>
          <w:rFonts w:hint="eastAsia" w:ascii="仿宋_GB2312" w:hAnsi="仿宋_GB2312" w:eastAsia="仿宋_GB2312" w:cs="仿宋_GB2312"/>
          <w:color w:val="auto"/>
          <w:sz w:val="32"/>
          <w:szCs w:val="32"/>
        </w:rPr>
        <w:t>账户</w:t>
      </w:r>
      <w:r>
        <w:rPr>
          <w:rFonts w:hint="eastAsia" w:ascii="仿宋_GB2312" w:hAnsi="仿宋_GB2312" w:eastAsia="仿宋_GB2312" w:cs="仿宋_GB2312"/>
          <w:color w:val="auto"/>
          <w:sz w:val="32"/>
          <w:szCs w:val="32"/>
          <w:lang w:eastAsia="zh-CN"/>
        </w:rPr>
        <w:t>：</w:t>
      </w:r>
    </w:p>
    <w:p w14:paraId="1FF6E45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账号:</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账号:</w:t>
      </w:r>
    </w:p>
    <w:p w14:paraId="1B5FC606">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邮箱：                          邮箱：  </w:t>
      </w:r>
    </w:p>
    <w:p w14:paraId="6CDC728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微信：                          微信：</w:t>
      </w:r>
    </w:p>
    <w:p w14:paraId="2E3F94E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开户行信息:</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开户行信息:</w:t>
      </w:r>
    </w:p>
    <w:p w14:paraId="1C8EC570">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统一社会信用代码:</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统一社会信用代码:</w:t>
      </w:r>
    </w:p>
    <w:p w14:paraId="5A29453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联系人：</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联系人:</w:t>
      </w:r>
    </w:p>
    <w:p w14:paraId="13A2B3C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电话:</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eastAsia="zh-CN"/>
        </w:rPr>
        <w:t>电话：</w:t>
      </w:r>
    </w:p>
    <w:p w14:paraId="32DBAA2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日期:</w:t>
      </w:r>
      <w:r>
        <w:rPr>
          <w:rFonts w:hint="eastAsia" w:ascii="仿宋_GB2312" w:hAnsi="仿宋_GB2312" w:eastAsia="仿宋_GB2312" w:cs="仿宋_GB2312"/>
          <w:color w:val="auto"/>
          <w:sz w:val="32"/>
          <w:szCs w:val="32"/>
          <w:lang w:val="en-US" w:eastAsia="zh-CN"/>
        </w:rPr>
        <w:t xml:space="preserve">    年   月   日           日期：    年   月   日</w:t>
      </w:r>
    </w:p>
    <w:p w14:paraId="73B43999">
      <w:pPr>
        <w:pStyle w:val="19"/>
        <w:spacing w:line="360" w:lineRule="auto"/>
        <w:rPr>
          <w:rFonts w:hint="eastAsia" w:ascii="仿宋" w:hAnsi="仿宋" w:eastAsia="仿宋" w:cs="仿宋"/>
          <w:b/>
          <w:bCs/>
          <w:color w:val="auto"/>
          <w:sz w:val="24"/>
          <w:szCs w:val="24"/>
        </w:rPr>
      </w:pPr>
    </w:p>
    <w:p w14:paraId="43798C6F">
      <w:pPr>
        <w:numPr>
          <w:ilvl w:val="0"/>
          <w:numId w:val="53"/>
        </w:numPr>
        <w:spacing w:line="700" w:lineRule="exact"/>
        <w:jc w:val="center"/>
        <w:rPr>
          <w:rFonts w:hint="eastAsia" w:ascii="方正小标宋_GBK" w:hAnsi="方正小标宋_GBK" w:eastAsia="方正小标宋_GBK" w:cs="方正小标宋_GBK"/>
          <w:color w:val="auto"/>
          <w:sz w:val="32"/>
          <w:szCs w:val="32"/>
        </w:rPr>
      </w:pPr>
      <w:r>
        <w:rPr>
          <w:rFonts w:hint="eastAsia" w:ascii="方正小标宋_GBK" w:hAnsi="方正小标宋_GBK" w:eastAsia="方正小标宋_GBK" w:cs="方正小标宋_GBK"/>
          <w:color w:val="auto"/>
          <w:sz w:val="32"/>
          <w:szCs w:val="32"/>
        </w:rPr>
        <w:t>采购项目清单及参数要求</w:t>
      </w:r>
      <w:r>
        <w:rPr>
          <w:rFonts w:hint="eastAsia" w:ascii="方正小标宋_GBK" w:hAnsi="方正小标宋_GBK" w:eastAsia="方正小标宋_GBK" w:cs="方正小标宋_GBK"/>
          <w:color w:val="auto"/>
          <w:sz w:val="32"/>
          <w:szCs w:val="32"/>
          <w:lang w:val="en-US" w:eastAsia="zh-CN"/>
        </w:rPr>
        <w:t>（一标段米、面、油类）</w:t>
      </w:r>
    </w:p>
    <w:p w14:paraId="013ACEB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eastAsia="仿宋_GB2312" w:cs="仿宋_GB2312"/>
          <w:b/>
          <w:bCs/>
          <w:color w:val="auto"/>
          <w:kern w:val="0"/>
          <w:sz w:val="32"/>
          <w:szCs w:val="32"/>
          <w:lang w:val="en-US" w:eastAsia="zh-CN"/>
        </w:rPr>
      </w:pPr>
      <w:r>
        <w:rPr>
          <w:rFonts w:hint="eastAsia" w:ascii="Times New Roman" w:hAnsi="Times New Roman" w:eastAsia="仿宋_GB2312" w:cs="仿宋_GB2312"/>
          <w:b/>
          <w:bCs/>
          <w:color w:val="auto"/>
          <w:kern w:val="0"/>
          <w:sz w:val="32"/>
          <w:szCs w:val="32"/>
          <w:lang w:val="en-US" w:eastAsia="zh-CN"/>
        </w:rPr>
        <w:t>一、产品类型：</w:t>
      </w:r>
    </w:p>
    <w:p w14:paraId="586B62FD">
      <w:pPr>
        <w:wordWrap w:val="0"/>
        <w:spacing w:line="240" w:lineRule="auto"/>
        <w:jc w:val="both"/>
        <w:textAlignment w:val="baseline"/>
        <w:rPr>
          <w:rFonts w:hint="eastAsia" w:ascii="Times New Roman" w:hAnsi="Times New Roman" w:eastAsia="宋体" w:cs="Times New Roman"/>
          <w:color w:val="auto"/>
          <w:kern w:val="0"/>
          <w:sz w:val="21"/>
          <w:szCs w:val="20"/>
          <w:lang w:val="en-US" w:eastAsia="zh-CN" w:bidi="ar-SA"/>
        </w:rPr>
      </w:pPr>
      <w:bookmarkStart w:id="293" w:name="_Toc10572"/>
    </w:p>
    <w:tbl>
      <w:tblPr>
        <w:tblStyle w:val="28"/>
        <w:tblpPr w:leftFromText="180" w:rightFromText="180" w:vertAnchor="page" w:horzAnchor="page" w:tblpX="1079" w:tblpY="3002"/>
        <w:tblOverlap w:val="never"/>
        <w:tblW w:w="94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1035"/>
        <w:gridCol w:w="1363"/>
        <w:gridCol w:w="1262"/>
        <w:gridCol w:w="2688"/>
        <w:gridCol w:w="1397"/>
        <w:gridCol w:w="1007"/>
      </w:tblGrid>
      <w:tr w14:paraId="514A6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7" w:hRule="atLeast"/>
          <w:jc w:val="center"/>
        </w:trPr>
        <w:tc>
          <w:tcPr>
            <w:tcW w:w="665" w:type="dxa"/>
            <w:noWrap w:val="0"/>
            <w:vAlign w:val="center"/>
          </w:tcPr>
          <w:p w14:paraId="1B15C452">
            <w:pPr>
              <w:pStyle w:val="16"/>
              <w:jc w:val="center"/>
              <w:rPr>
                <w:rFonts w:hint="eastAsia" w:ascii="Times New Roman" w:hAnsi="Times New Roman" w:eastAsia="黑体" w:cs="黑体"/>
                <w:color w:val="auto"/>
                <w:kern w:val="0"/>
                <w:sz w:val="24"/>
                <w:szCs w:val="24"/>
                <w:vertAlign w:val="baseline"/>
                <w:lang w:val="en-US" w:eastAsia="zh-CN" w:bidi="ar-SA"/>
              </w:rPr>
            </w:pPr>
            <w:r>
              <w:rPr>
                <w:rFonts w:hint="eastAsia" w:ascii="Times New Roman" w:hAnsi="Times New Roman" w:eastAsia="黑体" w:cs="黑体"/>
                <w:color w:val="auto"/>
                <w:kern w:val="0"/>
                <w:sz w:val="24"/>
                <w:szCs w:val="24"/>
                <w:vertAlign w:val="baseline"/>
                <w:lang w:val="en-US" w:eastAsia="zh-CN" w:bidi="ar-SA"/>
              </w:rPr>
              <w:t>序号</w:t>
            </w:r>
          </w:p>
        </w:tc>
        <w:tc>
          <w:tcPr>
            <w:tcW w:w="1035" w:type="dxa"/>
            <w:noWrap w:val="0"/>
            <w:vAlign w:val="center"/>
          </w:tcPr>
          <w:p w14:paraId="45F6D358">
            <w:pPr>
              <w:pStyle w:val="16"/>
              <w:jc w:val="center"/>
              <w:rPr>
                <w:rFonts w:hint="eastAsia" w:eastAsia="黑体" w:cs="黑体"/>
                <w:color w:val="auto"/>
                <w:kern w:val="0"/>
                <w:sz w:val="24"/>
                <w:szCs w:val="24"/>
                <w:vertAlign w:val="baseline"/>
                <w:lang w:val="en-US" w:eastAsia="zh-CN" w:bidi="ar-SA"/>
              </w:rPr>
            </w:pPr>
            <w:r>
              <w:rPr>
                <w:rFonts w:hint="eastAsia" w:eastAsia="黑体" w:cs="黑体"/>
                <w:color w:val="auto"/>
                <w:kern w:val="0"/>
                <w:sz w:val="24"/>
                <w:szCs w:val="24"/>
                <w:vertAlign w:val="baseline"/>
                <w:lang w:val="en-US" w:eastAsia="zh-CN" w:bidi="ar-SA"/>
              </w:rPr>
              <w:t>产品</w:t>
            </w:r>
          </w:p>
          <w:p w14:paraId="2C952BD3">
            <w:pPr>
              <w:pStyle w:val="16"/>
              <w:jc w:val="center"/>
              <w:rPr>
                <w:rFonts w:hint="default" w:ascii="Times New Roman" w:hAnsi="Times New Roman" w:eastAsia="黑体" w:cs="黑体"/>
                <w:color w:val="auto"/>
                <w:kern w:val="0"/>
                <w:sz w:val="24"/>
                <w:szCs w:val="24"/>
                <w:vertAlign w:val="baseline"/>
                <w:lang w:val="en-US" w:eastAsia="zh-CN" w:bidi="ar-SA"/>
              </w:rPr>
            </w:pPr>
            <w:r>
              <w:rPr>
                <w:rFonts w:hint="eastAsia" w:eastAsia="黑体" w:cs="黑体"/>
                <w:color w:val="auto"/>
                <w:kern w:val="0"/>
                <w:sz w:val="24"/>
                <w:szCs w:val="24"/>
                <w:vertAlign w:val="baseline"/>
                <w:lang w:val="en-US" w:eastAsia="zh-CN" w:bidi="ar-SA"/>
              </w:rPr>
              <w:t>名称</w:t>
            </w:r>
          </w:p>
        </w:tc>
        <w:tc>
          <w:tcPr>
            <w:tcW w:w="1363" w:type="dxa"/>
            <w:noWrap w:val="0"/>
            <w:vAlign w:val="center"/>
          </w:tcPr>
          <w:p w14:paraId="06690714">
            <w:pPr>
              <w:pStyle w:val="16"/>
              <w:jc w:val="center"/>
              <w:rPr>
                <w:rFonts w:hint="eastAsia" w:ascii="Times New Roman" w:hAnsi="Times New Roman" w:eastAsia="黑体" w:cs="黑体"/>
                <w:color w:val="auto"/>
                <w:kern w:val="0"/>
                <w:sz w:val="24"/>
                <w:szCs w:val="24"/>
                <w:vertAlign w:val="baseline"/>
                <w:lang w:val="en-US" w:eastAsia="zh-CN" w:bidi="ar-SA"/>
              </w:rPr>
            </w:pPr>
            <w:r>
              <w:rPr>
                <w:rFonts w:hint="eastAsia" w:ascii="Times New Roman" w:hAnsi="Times New Roman" w:eastAsia="黑体" w:cs="黑体"/>
                <w:color w:val="auto"/>
                <w:kern w:val="0"/>
                <w:sz w:val="24"/>
                <w:szCs w:val="24"/>
                <w:vertAlign w:val="baseline"/>
                <w:lang w:val="en-US" w:eastAsia="zh-CN" w:bidi="ar-SA"/>
              </w:rPr>
              <w:t>生产厂家/</w:t>
            </w:r>
          </w:p>
          <w:p w14:paraId="3D11F3ED">
            <w:pPr>
              <w:pStyle w:val="16"/>
              <w:jc w:val="center"/>
              <w:rPr>
                <w:rFonts w:hint="default" w:ascii="Times New Roman" w:hAnsi="Times New Roman" w:eastAsia="黑体" w:cs="黑体"/>
                <w:color w:val="auto"/>
                <w:kern w:val="0"/>
                <w:sz w:val="24"/>
                <w:szCs w:val="24"/>
                <w:vertAlign w:val="baseline"/>
                <w:lang w:val="en-US" w:eastAsia="zh-CN" w:bidi="ar-SA"/>
              </w:rPr>
            </w:pPr>
            <w:r>
              <w:rPr>
                <w:rFonts w:hint="eastAsia" w:ascii="Times New Roman" w:hAnsi="Times New Roman" w:eastAsia="黑体" w:cs="黑体"/>
                <w:color w:val="auto"/>
                <w:kern w:val="0"/>
                <w:sz w:val="24"/>
                <w:szCs w:val="24"/>
                <w:vertAlign w:val="baseline"/>
                <w:lang w:val="en-US" w:eastAsia="zh-CN" w:bidi="ar-SA"/>
              </w:rPr>
              <w:t>供应商</w:t>
            </w:r>
          </w:p>
        </w:tc>
        <w:tc>
          <w:tcPr>
            <w:tcW w:w="1262" w:type="dxa"/>
            <w:noWrap w:val="0"/>
            <w:vAlign w:val="center"/>
          </w:tcPr>
          <w:p w14:paraId="2624C36A">
            <w:pPr>
              <w:pStyle w:val="16"/>
              <w:jc w:val="center"/>
              <w:rPr>
                <w:rFonts w:hint="eastAsia" w:ascii="Times New Roman" w:hAnsi="Times New Roman" w:eastAsia="黑体" w:cs="黑体"/>
                <w:color w:val="auto"/>
                <w:kern w:val="0"/>
                <w:sz w:val="24"/>
                <w:szCs w:val="24"/>
                <w:vertAlign w:val="baseline"/>
                <w:lang w:val="en-US" w:eastAsia="zh-CN" w:bidi="ar-SA"/>
              </w:rPr>
            </w:pPr>
            <w:r>
              <w:rPr>
                <w:rFonts w:hint="eastAsia" w:ascii="Times New Roman" w:hAnsi="Times New Roman" w:eastAsia="黑体" w:cs="黑体"/>
                <w:color w:val="auto"/>
                <w:kern w:val="0"/>
                <w:sz w:val="24"/>
                <w:szCs w:val="24"/>
                <w:vertAlign w:val="baseline"/>
                <w:lang w:val="en-US" w:eastAsia="zh-CN" w:bidi="ar-SA"/>
              </w:rPr>
              <w:t>规格/单位</w:t>
            </w:r>
          </w:p>
        </w:tc>
        <w:tc>
          <w:tcPr>
            <w:tcW w:w="2688" w:type="dxa"/>
            <w:noWrap w:val="0"/>
            <w:vAlign w:val="center"/>
          </w:tcPr>
          <w:p w14:paraId="54383A3F">
            <w:pPr>
              <w:keepNext w:val="0"/>
              <w:keepLines w:val="0"/>
              <w:widowControl/>
              <w:suppressLineNumbers w:val="0"/>
              <w:jc w:val="center"/>
              <w:textAlignment w:val="center"/>
              <w:rPr>
                <w:rFonts w:hint="eastAsia" w:ascii="Times New Roman" w:hAnsi="Times New Roman" w:eastAsia="黑体" w:cs="黑体"/>
                <w:color w:val="auto"/>
                <w:kern w:val="0"/>
                <w:sz w:val="24"/>
                <w:szCs w:val="24"/>
                <w:vertAlign w:val="baseline"/>
                <w:lang w:val="en-US" w:eastAsia="zh-CN" w:bidi="ar-SA"/>
              </w:rPr>
            </w:pPr>
            <w:r>
              <w:rPr>
                <w:rFonts w:hint="eastAsia" w:ascii="Times New Roman" w:hAnsi="Times New Roman" w:eastAsia="黑体" w:cs="黑体"/>
                <w:color w:val="auto"/>
                <w:kern w:val="0"/>
                <w:sz w:val="24"/>
                <w:szCs w:val="24"/>
                <w:vertAlign w:val="baseline"/>
                <w:lang w:val="en-US" w:eastAsia="zh-CN" w:bidi="ar-SA"/>
              </w:rPr>
              <w:t>质量要求</w:t>
            </w:r>
          </w:p>
        </w:tc>
        <w:tc>
          <w:tcPr>
            <w:tcW w:w="1397" w:type="dxa"/>
            <w:noWrap w:val="0"/>
            <w:vAlign w:val="center"/>
          </w:tcPr>
          <w:p w14:paraId="2835386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黑体" w:cs="黑体"/>
                <w:color w:val="auto"/>
                <w:kern w:val="0"/>
                <w:sz w:val="24"/>
                <w:szCs w:val="24"/>
                <w:vertAlign w:val="baseline"/>
                <w:lang w:val="en-US" w:eastAsia="zh-CN" w:bidi="ar-SA"/>
              </w:rPr>
            </w:pPr>
            <w:r>
              <w:rPr>
                <w:rFonts w:hint="eastAsia" w:ascii="Times New Roman" w:hAnsi="Times New Roman" w:eastAsia="黑体" w:cs="黑体"/>
                <w:color w:val="auto"/>
                <w:kern w:val="0"/>
                <w:sz w:val="24"/>
                <w:szCs w:val="24"/>
                <w:vertAlign w:val="baseline"/>
                <w:lang w:val="en-US" w:eastAsia="zh-CN" w:bidi="ar-SA"/>
              </w:rPr>
              <w:t>最高限价（单价/元）</w:t>
            </w:r>
          </w:p>
        </w:tc>
        <w:tc>
          <w:tcPr>
            <w:tcW w:w="1007" w:type="dxa"/>
            <w:noWrap w:val="0"/>
            <w:vAlign w:val="center"/>
          </w:tcPr>
          <w:p w14:paraId="44E649A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黑体" w:cs="黑体"/>
                <w:color w:val="auto"/>
                <w:kern w:val="0"/>
                <w:sz w:val="24"/>
                <w:szCs w:val="24"/>
                <w:vertAlign w:val="baseline"/>
                <w:lang w:val="en-US" w:eastAsia="zh-CN" w:bidi="ar-SA"/>
              </w:rPr>
            </w:pPr>
            <w:r>
              <w:rPr>
                <w:rFonts w:hint="eastAsia" w:ascii="Times New Roman" w:hAnsi="Times New Roman" w:eastAsia="黑体" w:cs="黑体"/>
                <w:color w:val="auto"/>
                <w:kern w:val="0"/>
                <w:sz w:val="24"/>
                <w:szCs w:val="24"/>
                <w:vertAlign w:val="baseline"/>
                <w:lang w:val="en-US" w:eastAsia="zh-CN" w:bidi="ar-SA"/>
              </w:rPr>
              <w:t>备注</w:t>
            </w:r>
          </w:p>
        </w:tc>
      </w:tr>
      <w:tr w14:paraId="7C09E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0" w:hRule="exact"/>
          <w:jc w:val="center"/>
        </w:trPr>
        <w:tc>
          <w:tcPr>
            <w:tcW w:w="665" w:type="dxa"/>
            <w:noWrap w:val="0"/>
            <w:vAlign w:val="center"/>
          </w:tcPr>
          <w:p w14:paraId="5D06CC1D">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1</w:t>
            </w:r>
          </w:p>
        </w:tc>
        <w:tc>
          <w:tcPr>
            <w:tcW w:w="1035" w:type="dxa"/>
            <w:noWrap w:val="0"/>
            <w:vAlign w:val="center"/>
          </w:tcPr>
          <w:p w14:paraId="0E45F51C">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精制粉</w:t>
            </w:r>
          </w:p>
        </w:tc>
        <w:tc>
          <w:tcPr>
            <w:tcW w:w="1363" w:type="dxa"/>
            <w:noWrap w:val="0"/>
            <w:vAlign w:val="center"/>
          </w:tcPr>
          <w:p w14:paraId="2E7922FD">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c>
          <w:tcPr>
            <w:tcW w:w="1262" w:type="dxa"/>
            <w:noWrap w:val="0"/>
            <w:vAlign w:val="center"/>
          </w:tcPr>
          <w:p w14:paraId="3096C85F">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25kg/袋</w:t>
            </w:r>
          </w:p>
        </w:tc>
        <w:tc>
          <w:tcPr>
            <w:tcW w:w="2688" w:type="dxa"/>
            <w:noWrap w:val="0"/>
            <w:vAlign w:val="center"/>
          </w:tcPr>
          <w:p w14:paraId="1FA93D14">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质量标准符合GB/T1355-2021，并具有“QS”食品质量安全认证</w:t>
            </w:r>
          </w:p>
        </w:tc>
        <w:tc>
          <w:tcPr>
            <w:tcW w:w="1397" w:type="dxa"/>
            <w:noWrap w:val="0"/>
            <w:vAlign w:val="center"/>
          </w:tcPr>
          <w:p w14:paraId="0A3B5DDF">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94</w:t>
            </w:r>
          </w:p>
        </w:tc>
        <w:tc>
          <w:tcPr>
            <w:tcW w:w="1007" w:type="dxa"/>
            <w:noWrap w:val="0"/>
            <w:vAlign w:val="center"/>
          </w:tcPr>
          <w:p w14:paraId="16EE55E6">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r>
      <w:tr w14:paraId="05EAA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5" w:hRule="exact"/>
          <w:jc w:val="center"/>
        </w:trPr>
        <w:tc>
          <w:tcPr>
            <w:tcW w:w="665" w:type="dxa"/>
            <w:noWrap w:val="0"/>
            <w:vAlign w:val="center"/>
          </w:tcPr>
          <w:p w14:paraId="129F03F6">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2</w:t>
            </w:r>
          </w:p>
        </w:tc>
        <w:tc>
          <w:tcPr>
            <w:tcW w:w="1035" w:type="dxa"/>
            <w:noWrap w:val="0"/>
            <w:vAlign w:val="center"/>
          </w:tcPr>
          <w:p w14:paraId="1A7C41AD">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标粉</w:t>
            </w:r>
          </w:p>
        </w:tc>
        <w:tc>
          <w:tcPr>
            <w:tcW w:w="1363" w:type="dxa"/>
            <w:noWrap w:val="0"/>
            <w:vAlign w:val="center"/>
          </w:tcPr>
          <w:p w14:paraId="6BCE24CD">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c>
          <w:tcPr>
            <w:tcW w:w="1262" w:type="dxa"/>
            <w:noWrap w:val="0"/>
            <w:vAlign w:val="center"/>
          </w:tcPr>
          <w:p w14:paraId="67FCDFDB">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25kg/袋</w:t>
            </w:r>
          </w:p>
        </w:tc>
        <w:tc>
          <w:tcPr>
            <w:tcW w:w="2688" w:type="dxa"/>
            <w:noWrap w:val="0"/>
            <w:vAlign w:val="center"/>
          </w:tcPr>
          <w:p w14:paraId="76908E24">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质量标准符合GB/T1355-2021，并具有“QS”食品质量安全认证</w:t>
            </w:r>
          </w:p>
        </w:tc>
        <w:tc>
          <w:tcPr>
            <w:tcW w:w="1397" w:type="dxa"/>
            <w:noWrap w:val="0"/>
            <w:vAlign w:val="center"/>
          </w:tcPr>
          <w:p w14:paraId="2961C961">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84</w:t>
            </w:r>
          </w:p>
        </w:tc>
        <w:tc>
          <w:tcPr>
            <w:tcW w:w="1007" w:type="dxa"/>
            <w:noWrap w:val="0"/>
            <w:vAlign w:val="center"/>
          </w:tcPr>
          <w:p w14:paraId="535B5BA8">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r>
      <w:tr w14:paraId="00839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5" w:hRule="exact"/>
          <w:jc w:val="center"/>
        </w:trPr>
        <w:tc>
          <w:tcPr>
            <w:tcW w:w="665" w:type="dxa"/>
            <w:noWrap w:val="0"/>
            <w:vAlign w:val="center"/>
          </w:tcPr>
          <w:p w14:paraId="4DC48099">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3</w:t>
            </w:r>
          </w:p>
        </w:tc>
        <w:tc>
          <w:tcPr>
            <w:tcW w:w="1035" w:type="dxa"/>
            <w:noWrap w:val="0"/>
            <w:vAlign w:val="center"/>
          </w:tcPr>
          <w:p w14:paraId="705CE262">
            <w:pPr>
              <w:widowControl w:val="0"/>
              <w:spacing w:line="357" w:lineRule="atLeast"/>
              <w:jc w:val="center"/>
              <w:textAlignment w:val="baseline"/>
              <w:rPr>
                <w:rFonts w:hint="default"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一级菜籽油</w:t>
            </w:r>
            <w:r>
              <w:rPr>
                <w:rFonts w:hint="eastAsia" w:ascii="仿宋" w:hAnsi="仿宋" w:eastAsia="仿宋" w:cs="仿宋"/>
                <w:b/>
                <w:bCs/>
                <w:color w:val="auto"/>
                <w:kern w:val="0"/>
                <w:sz w:val="24"/>
                <w:szCs w:val="24"/>
                <w:vertAlign w:val="baseline"/>
                <w:lang w:val="en-US" w:eastAsia="zh-CN"/>
              </w:rPr>
              <w:t>(核心产品)</w:t>
            </w:r>
          </w:p>
        </w:tc>
        <w:tc>
          <w:tcPr>
            <w:tcW w:w="1363" w:type="dxa"/>
            <w:noWrap w:val="0"/>
            <w:vAlign w:val="center"/>
          </w:tcPr>
          <w:p w14:paraId="4D719B34">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c>
          <w:tcPr>
            <w:tcW w:w="1262" w:type="dxa"/>
            <w:noWrap w:val="0"/>
            <w:vAlign w:val="center"/>
          </w:tcPr>
          <w:p w14:paraId="0D712A67">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20L/桶</w:t>
            </w:r>
          </w:p>
        </w:tc>
        <w:tc>
          <w:tcPr>
            <w:tcW w:w="2688" w:type="dxa"/>
            <w:noWrap w:val="0"/>
            <w:vAlign w:val="center"/>
          </w:tcPr>
          <w:p w14:paraId="697527B2">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菜籽油质量标准符合 GB/T1536-2021，非转基因、一级压榨菜籽油;</w:t>
            </w:r>
          </w:p>
        </w:tc>
        <w:tc>
          <w:tcPr>
            <w:tcW w:w="1397" w:type="dxa"/>
            <w:noWrap w:val="0"/>
            <w:vAlign w:val="center"/>
          </w:tcPr>
          <w:p w14:paraId="548E3417">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235</w:t>
            </w:r>
          </w:p>
        </w:tc>
        <w:tc>
          <w:tcPr>
            <w:tcW w:w="1007" w:type="dxa"/>
            <w:noWrap w:val="0"/>
            <w:vAlign w:val="center"/>
          </w:tcPr>
          <w:p w14:paraId="693113FD">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r>
      <w:tr w14:paraId="39301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3" w:hRule="exact"/>
          <w:jc w:val="center"/>
        </w:trPr>
        <w:tc>
          <w:tcPr>
            <w:tcW w:w="665" w:type="dxa"/>
            <w:noWrap w:val="0"/>
            <w:vAlign w:val="center"/>
          </w:tcPr>
          <w:p w14:paraId="4721273E">
            <w:pPr>
              <w:widowControl w:val="0"/>
              <w:spacing w:line="357" w:lineRule="atLeast"/>
              <w:jc w:val="center"/>
              <w:textAlignment w:val="baseline"/>
              <w:rPr>
                <w:rFonts w:hint="default"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4</w:t>
            </w:r>
          </w:p>
        </w:tc>
        <w:tc>
          <w:tcPr>
            <w:tcW w:w="1035" w:type="dxa"/>
            <w:noWrap w:val="0"/>
            <w:vAlign w:val="center"/>
          </w:tcPr>
          <w:p w14:paraId="0E68CC7E">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一级大米</w:t>
            </w:r>
          </w:p>
        </w:tc>
        <w:tc>
          <w:tcPr>
            <w:tcW w:w="1363" w:type="dxa"/>
            <w:noWrap w:val="0"/>
            <w:vAlign w:val="center"/>
          </w:tcPr>
          <w:p w14:paraId="3F96AC41">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c>
          <w:tcPr>
            <w:tcW w:w="1262" w:type="dxa"/>
            <w:noWrap w:val="0"/>
            <w:vAlign w:val="center"/>
          </w:tcPr>
          <w:p w14:paraId="1F8531B2">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25kg/袋</w:t>
            </w:r>
          </w:p>
        </w:tc>
        <w:tc>
          <w:tcPr>
            <w:tcW w:w="2688" w:type="dxa"/>
            <w:noWrap w:val="0"/>
            <w:vAlign w:val="center"/>
          </w:tcPr>
          <w:p w14:paraId="52E7A847">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质量标准符合 GB/T1354-2018，一级晚粳米，碎米率不高于 7.5%。</w:t>
            </w:r>
          </w:p>
        </w:tc>
        <w:tc>
          <w:tcPr>
            <w:tcW w:w="1397" w:type="dxa"/>
            <w:noWrap w:val="0"/>
            <w:vAlign w:val="center"/>
          </w:tcPr>
          <w:p w14:paraId="2CFCDA0C">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135</w:t>
            </w:r>
          </w:p>
        </w:tc>
        <w:tc>
          <w:tcPr>
            <w:tcW w:w="1007" w:type="dxa"/>
            <w:noWrap w:val="0"/>
            <w:vAlign w:val="center"/>
          </w:tcPr>
          <w:p w14:paraId="2C44C39D">
            <w:pPr>
              <w:widowControl w:val="0"/>
              <w:spacing w:line="357" w:lineRule="atLeast"/>
              <w:jc w:val="center"/>
              <w:textAlignment w:val="baseline"/>
              <w:rPr>
                <w:rFonts w:hint="eastAsia" w:ascii="仿宋" w:hAnsi="仿宋" w:eastAsia="仿宋" w:cs="仿宋"/>
                <w:color w:val="auto"/>
                <w:kern w:val="0"/>
                <w:sz w:val="24"/>
                <w:szCs w:val="24"/>
                <w:vertAlign w:val="baseline"/>
                <w:lang w:val="en-US" w:eastAsia="zh-CN"/>
              </w:rPr>
            </w:pPr>
          </w:p>
        </w:tc>
      </w:tr>
    </w:tbl>
    <w:p w14:paraId="01D2303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仿宋_GB2312"/>
          <w:b/>
          <w:bCs/>
          <w:color w:val="auto"/>
          <w:kern w:val="0"/>
          <w:sz w:val="32"/>
          <w:szCs w:val="32"/>
          <w:lang w:val="en-US" w:eastAsia="zh-CN"/>
        </w:rPr>
      </w:pPr>
      <w:r>
        <w:rPr>
          <w:rFonts w:hint="eastAsia" w:ascii="Times New Roman" w:hAnsi="Times New Roman" w:eastAsia="仿宋_GB2312" w:cs="仿宋_GB2312"/>
          <w:b/>
          <w:bCs/>
          <w:color w:val="auto"/>
          <w:kern w:val="0"/>
          <w:sz w:val="32"/>
          <w:szCs w:val="32"/>
          <w:lang w:val="en-US" w:eastAsia="zh-CN"/>
        </w:rPr>
        <w:t>二、</w:t>
      </w:r>
      <w:r>
        <w:rPr>
          <w:rFonts w:hint="eastAsia" w:eastAsia="仿宋_GB2312" w:cs="仿宋_GB2312"/>
          <w:b/>
          <w:bCs/>
          <w:color w:val="auto"/>
          <w:kern w:val="0"/>
          <w:sz w:val="32"/>
          <w:szCs w:val="32"/>
          <w:lang w:val="en-US" w:eastAsia="zh-CN"/>
        </w:rPr>
        <w:t>商务要求</w:t>
      </w:r>
    </w:p>
    <w:p w14:paraId="7664719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color w:val="auto"/>
          <w:kern w:val="2"/>
          <w:sz w:val="32"/>
          <w:szCs w:val="32"/>
          <w:lang w:val="en-US" w:eastAsia="zh-CN"/>
        </w:rPr>
        <w:t>★</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总体要求:</w:t>
      </w:r>
      <w:r>
        <w:rPr>
          <w:rFonts w:hint="eastAsia" w:ascii="仿宋_GB2312" w:hAnsi="仿宋_GB2312" w:eastAsia="仿宋_GB2312" w:cs="仿宋_GB2312"/>
          <w:color w:val="auto"/>
          <w:sz w:val="32"/>
          <w:szCs w:val="32"/>
          <w:lang w:val="en-US" w:eastAsia="zh-CN"/>
        </w:rPr>
        <w:t>供应商</w:t>
      </w:r>
      <w:r>
        <w:rPr>
          <w:rFonts w:hint="eastAsia" w:ascii="仿宋_GB2312" w:hAnsi="仿宋_GB2312" w:eastAsia="仿宋_GB2312" w:cs="仿宋_GB2312"/>
          <w:color w:val="auto"/>
          <w:sz w:val="32"/>
          <w:szCs w:val="32"/>
        </w:rPr>
        <w:t>所提供的产品,各项指标必须符合中华人民共和国食品安全国家标准及采购人采购需求的标准。</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供应商需提供相关承诺函，格式自拟</w:t>
      </w:r>
      <w:r>
        <w:rPr>
          <w:rFonts w:hint="eastAsia" w:ascii="仿宋_GB2312" w:hAnsi="仿宋_GB2312" w:eastAsia="仿宋_GB2312" w:cs="仿宋_GB2312"/>
          <w:b/>
          <w:bCs/>
          <w:color w:val="auto"/>
          <w:sz w:val="32"/>
          <w:szCs w:val="32"/>
          <w:lang w:eastAsia="zh-CN"/>
        </w:rPr>
        <w:t>）</w:t>
      </w:r>
    </w:p>
    <w:p w14:paraId="69ED4F0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kern w:val="2"/>
          <w:sz w:val="32"/>
          <w:szCs w:val="32"/>
          <w:lang w:val="en-US" w:eastAsia="zh-CN"/>
        </w:rPr>
        <w:t>★</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卫生指标:</w:t>
      </w:r>
      <w:r>
        <w:rPr>
          <w:rFonts w:hint="eastAsia" w:ascii="仿宋_GB2312" w:hAnsi="仿宋_GB2312" w:eastAsia="仿宋_GB2312" w:cs="仿宋_GB2312"/>
          <w:color w:val="auto"/>
          <w:sz w:val="32"/>
          <w:szCs w:val="32"/>
          <w:lang w:eastAsia="zh-CN"/>
        </w:rPr>
        <w:t>面粉</w:t>
      </w:r>
      <w:r>
        <w:rPr>
          <w:rFonts w:hint="eastAsia" w:ascii="仿宋_GB2312" w:hAnsi="仿宋_GB2312" w:eastAsia="仿宋_GB2312" w:cs="仿宋_GB2312"/>
          <w:color w:val="auto"/>
          <w:sz w:val="32"/>
          <w:szCs w:val="32"/>
        </w:rPr>
        <w:t>卫生指标应符合 GB2715</w:t>
      </w:r>
      <w:r>
        <w:rPr>
          <w:rFonts w:hint="eastAsia" w:ascii="仿宋_GB2312" w:hAnsi="仿宋_GB2312" w:eastAsia="仿宋_GB2312" w:cs="仿宋_GB2312"/>
          <w:color w:val="auto"/>
          <w:sz w:val="32"/>
          <w:szCs w:val="32"/>
          <w:lang w:val="en-US" w:eastAsia="zh-CN"/>
        </w:rPr>
        <w:t>-2016</w:t>
      </w:r>
      <w:r>
        <w:rPr>
          <w:rFonts w:hint="eastAsia" w:ascii="仿宋_GB2312" w:hAnsi="仿宋_GB2312" w:eastAsia="仿宋_GB2312" w:cs="仿宋_GB2312"/>
          <w:color w:val="auto"/>
          <w:sz w:val="32"/>
          <w:szCs w:val="32"/>
        </w:rPr>
        <w:t>《粮食卫生标准》以及 GB2761</w:t>
      </w:r>
      <w:r>
        <w:rPr>
          <w:rFonts w:hint="eastAsia" w:ascii="仿宋_GB2312" w:hAnsi="仿宋_GB2312" w:eastAsia="仿宋_GB2312" w:cs="仿宋_GB2312"/>
          <w:color w:val="auto"/>
          <w:sz w:val="32"/>
          <w:szCs w:val="32"/>
          <w:lang w:val="en-US" w:eastAsia="zh-CN"/>
        </w:rPr>
        <w:t>-2017</w:t>
      </w:r>
      <w:r>
        <w:rPr>
          <w:rFonts w:hint="eastAsia" w:ascii="仿宋_GB2312" w:hAnsi="仿宋_GB2312" w:eastAsia="仿宋_GB2312" w:cs="仿宋_GB2312"/>
          <w:color w:val="auto"/>
          <w:sz w:val="32"/>
          <w:szCs w:val="32"/>
        </w:rPr>
        <w:t>《食品安全国家标准食品中真菌毒素限量》、GB2762</w:t>
      </w:r>
      <w:r>
        <w:rPr>
          <w:rFonts w:hint="eastAsia" w:ascii="仿宋_GB2312" w:hAnsi="仿宋_GB2312" w:eastAsia="仿宋_GB2312" w:cs="仿宋_GB2312"/>
          <w:color w:val="auto"/>
          <w:sz w:val="32"/>
          <w:szCs w:val="32"/>
          <w:lang w:val="en-US" w:eastAsia="zh-CN"/>
        </w:rPr>
        <w:t>-2022</w:t>
      </w:r>
      <w:r>
        <w:rPr>
          <w:rFonts w:hint="eastAsia" w:ascii="仿宋_GB2312" w:hAnsi="仿宋_GB2312" w:eastAsia="仿宋_GB2312" w:cs="仿宋_GB2312"/>
          <w:color w:val="auto"/>
          <w:sz w:val="32"/>
          <w:szCs w:val="32"/>
        </w:rPr>
        <w:t>《食品安全国家标准食品中污染物限量》等相关标准</w:t>
      </w:r>
      <w:r>
        <w:rPr>
          <w:rFonts w:hint="eastAsia" w:ascii="仿宋_GB2312" w:hAnsi="仿宋_GB2312" w:eastAsia="仿宋_GB2312" w:cs="仿宋_GB2312"/>
          <w:color w:val="auto"/>
          <w:sz w:val="32"/>
          <w:szCs w:val="32"/>
          <w:lang w:eastAsia="zh-CN"/>
        </w:rPr>
        <w:t>。大米卫生指标</w:t>
      </w:r>
      <w:r>
        <w:rPr>
          <w:rFonts w:hint="eastAsia" w:ascii="仿宋_GB2312" w:hAnsi="仿宋_GB2312" w:eastAsia="仿宋_GB2312" w:cs="仿宋_GB2312"/>
          <w:color w:val="auto"/>
          <w:sz w:val="32"/>
          <w:szCs w:val="32"/>
        </w:rPr>
        <w:t>符合 GB/T1354-2018《大米》标准和 GB2715《粮食卫生标准》相关标准。清油卫生指标符合 GB2716-2018《食品安全国家标准植物油》相关标准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供应商需提供相关承诺函，格式自拟</w:t>
      </w:r>
      <w:r>
        <w:rPr>
          <w:rFonts w:hint="eastAsia" w:ascii="仿宋_GB2312" w:hAnsi="仿宋_GB2312" w:eastAsia="仿宋_GB2312" w:cs="仿宋_GB2312"/>
          <w:b/>
          <w:bCs/>
          <w:color w:val="auto"/>
          <w:sz w:val="32"/>
          <w:szCs w:val="32"/>
          <w:lang w:eastAsia="zh-CN"/>
        </w:rPr>
        <w:t>）</w:t>
      </w:r>
    </w:p>
    <w:p w14:paraId="7322BDD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3、面粉</w:t>
      </w:r>
      <w:r>
        <w:rPr>
          <w:rFonts w:hint="eastAsia" w:ascii="仿宋_GB2312" w:hAnsi="仿宋_GB2312" w:eastAsia="仿宋_GB2312" w:cs="仿宋_GB2312"/>
          <w:color w:val="auto"/>
          <w:sz w:val="32"/>
          <w:szCs w:val="32"/>
        </w:rPr>
        <w:t>质量要求:</w:t>
      </w:r>
    </w:p>
    <w:p w14:paraId="0DCC73B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3.1</w:t>
      </w:r>
      <w:r>
        <w:rPr>
          <w:rFonts w:hint="eastAsia" w:ascii="仿宋_GB2312" w:hAnsi="仿宋_GB2312" w:eastAsia="仿宋_GB2312" w:cs="仿宋_GB2312"/>
          <w:color w:val="auto"/>
          <w:sz w:val="32"/>
          <w:szCs w:val="32"/>
        </w:rPr>
        <w:t>质量标准符合GB/T1355-2021。</w:t>
      </w:r>
    </w:p>
    <w:p w14:paraId="29AEDF7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3.2</w:t>
      </w:r>
      <w:r>
        <w:rPr>
          <w:rFonts w:hint="eastAsia" w:ascii="仿宋_GB2312" w:hAnsi="仿宋_GB2312" w:eastAsia="仿宋_GB2312" w:cs="仿宋_GB2312"/>
          <w:color w:val="auto"/>
          <w:sz w:val="32"/>
          <w:szCs w:val="32"/>
        </w:rPr>
        <w:t>色泽呈白色或微黄色,均匀一致,无发灰、发黑等异常颜色;</w:t>
      </w:r>
    </w:p>
    <w:p w14:paraId="0172F8C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3.3</w:t>
      </w:r>
      <w:r>
        <w:rPr>
          <w:rFonts w:hint="eastAsia" w:ascii="仿宋_GB2312" w:hAnsi="仿宋_GB2312" w:eastAsia="仿宋_GB2312" w:cs="仿宋_GB2312"/>
          <w:color w:val="auto"/>
          <w:sz w:val="32"/>
          <w:szCs w:val="32"/>
        </w:rPr>
        <w:t>气味具有面粉的麦香味,无霉味、酸味、哈喇味;</w:t>
      </w:r>
    </w:p>
    <w:p w14:paraId="0765AFE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3.4</w:t>
      </w:r>
      <w:r>
        <w:rPr>
          <w:rFonts w:hint="eastAsia" w:ascii="仿宋_GB2312" w:hAnsi="仿宋_GB2312" w:eastAsia="仿宋_GB2312" w:cs="仿宋_GB2312"/>
          <w:color w:val="auto"/>
          <w:sz w:val="32"/>
          <w:szCs w:val="32"/>
        </w:rPr>
        <w:t>质地均匀、细腻,呈粉末状,无结块、杂质等;</w:t>
      </w:r>
    </w:p>
    <w:p w14:paraId="4548FDD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3.5</w:t>
      </w:r>
      <w:r>
        <w:rPr>
          <w:rFonts w:hint="eastAsia" w:ascii="仿宋_GB2312" w:hAnsi="仿宋_GB2312" w:eastAsia="仿宋_GB2312" w:cs="仿宋_GB2312"/>
          <w:color w:val="auto"/>
          <w:sz w:val="32"/>
          <w:szCs w:val="32"/>
        </w:rPr>
        <w:t>每批次货物提供所供产品的有效检测报告。</w:t>
      </w:r>
    </w:p>
    <w:p w14:paraId="6FC6139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大米质量要求:</w:t>
      </w:r>
    </w:p>
    <w:p w14:paraId="2E2C017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4.1</w:t>
      </w:r>
      <w:r>
        <w:rPr>
          <w:rFonts w:hint="eastAsia" w:ascii="仿宋_GB2312" w:hAnsi="仿宋_GB2312" w:eastAsia="仿宋_GB2312" w:cs="仿宋_GB2312"/>
          <w:color w:val="auto"/>
          <w:sz w:val="32"/>
          <w:szCs w:val="32"/>
        </w:rPr>
        <w:t>质量标准符合 GB/T1354</w:t>
      </w:r>
      <w:r>
        <w:rPr>
          <w:rFonts w:hint="eastAsia" w:ascii="仿宋_GB2312" w:hAnsi="仿宋_GB2312" w:eastAsia="仿宋_GB2312" w:cs="仿宋_GB2312"/>
          <w:color w:val="auto"/>
          <w:sz w:val="32"/>
          <w:szCs w:val="32"/>
          <w:lang w:val="en-US" w:eastAsia="zh-CN"/>
        </w:rPr>
        <w:t>-2018</w:t>
      </w:r>
      <w:r>
        <w:rPr>
          <w:rFonts w:hint="eastAsia" w:ascii="仿宋_GB2312" w:hAnsi="仿宋_GB2312" w:eastAsia="仿宋_GB2312" w:cs="仿宋_GB2312"/>
          <w:color w:val="auto"/>
          <w:sz w:val="32"/>
          <w:szCs w:val="32"/>
        </w:rPr>
        <w:t>;一级</w:t>
      </w:r>
      <w:r>
        <w:rPr>
          <w:rFonts w:hint="eastAsia" w:ascii="仿宋_GB2312" w:hAnsi="仿宋_GB2312" w:eastAsia="仿宋_GB2312" w:cs="仿宋_GB2312"/>
          <w:color w:val="auto"/>
          <w:sz w:val="32"/>
          <w:szCs w:val="32"/>
          <w:lang w:eastAsia="zh-CN"/>
        </w:rPr>
        <w:t>晚</w:t>
      </w:r>
      <w:r>
        <w:rPr>
          <w:rFonts w:hint="eastAsia" w:ascii="仿宋_GB2312" w:hAnsi="仿宋_GB2312" w:eastAsia="仿宋_GB2312" w:cs="仿宋_GB2312"/>
          <w:color w:val="auto"/>
          <w:sz w:val="32"/>
          <w:szCs w:val="32"/>
        </w:rPr>
        <w:t>粳米</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碎米率不高于 7.5%。</w:t>
      </w:r>
    </w:p>
    <w:p w14:paraId="7194CAB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4.2</w:t>
      </w:r>
      <w:r>
        <w:rPr>
          <w:rFonts w:hint="eastAsia" w:ascii="仿宋_GB2312" w:hAnsi="仿宋_GB2312" w:eastAsia="仿宋_GB2312" w:cs="仿宋_GB2312"/>
          <w:color w:val="auto"/>
          <w:sz w:val="32"/>
          <w:szCs w:val="32"/>
        </w:rPr>
        <w:t>米粒表面光亮,无发灰,发黄等异常颜色;</w:t>
      </w:r>
    </w:p>
    <w:p w14:paraId="2A577A7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4.3</w:t>
      </w:r>
      <w:r>
        <w:rPr>
          <w:rFonts w:hint="eastAsia" w:ascii="仿宋_GB2312" w:hAnsi="仿宋_GB2312" w:eastAsia="仿宋_GB2312" w:cs="仿宋_GB2312"/>
          <w:color w:val="auto"/>
          <w:sz w:val="32"/>
          <w:szCs w:val="32"/>
        </w:rPr>
        <w:t>气味正常,无霉味、酸味、哈喇味;</w:t>
      </w:r>
    </w:p>
    <w:p w14:paraId="11EED7D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4.4</w:t>
      </w:r>
      <w:r>
        <w:rPr>
          <w:rFonts w:hint="eastAsia" w:ascii="仿宋_GB2312" w:hAnsi="仿宋_GB2312" w:eastAsia="仿宋_GB2312" w:cs="仿宋_GB2312"/>
          <w:color w:val="auto"/>
          <w:sz w:val="32"/>
          <w:szCs w:val="32"/>
        </w:rPr>
        <w:t>米粒饱满,大小均匀,无虫蚀、病斑粒、生霉粒、杂质等;</w:t>
      </w:r>
    </w:p>
    <w:p w14:paraId="6C034E0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4.5</w:t>
      </w:r>
      <w:r>
        <w:rPr>
          <w:rFonts w:hint="eastAsia" w:ascii="仿宋_GB2312" w:hAnsi="仿宋_GB2312" w:eastAsia="仿宋_GB2312" w:cs="仿宋_GB2312"/>
          <w:color w:val="auto"/>
          <w:sz w:val="32"/>
          <w:szCs w:val="32"/>
        </w:rPr>
        <w:t>普通一级大米碎米率不高于</w:t>
      </w: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.5%;</w:t>
      </w:r>
    </w:p>
    <w:p w14:paraId="4C2B531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4.6</w:t>
      </w:r>
      <w:r>
        <w:rPr>
          <w:rFonts w:hint="eastAsia" w:ascii="仿宋_GB2312" w:hAnsi="仿宋_GB2312" w:eastAsia="仿宋_GB2312" w:cs="仿宋_GB2312"/>
          <w:color w:val="auto"/>
          <w:sz w:val="32"/>
          <w:szCs w:val="32"/>
        </w:rPr>
        <w:t>每批次货物提供所供产品的有效检测报告。</w:t>
      </w:r>
    </w:p>
    <w:p w14:paraId="7336ED1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清油质量要求:</w:t>
      </w:r>
    </w:p>
    <w:p w14:paraId="4ADA07F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5.1</w:t>
      </w:r>
      <w:r>
        <w:rPr>
          <w:rFonts w:hint="eastAsia" w:ascii="仿宋_GB2312" w:hAnsi="仿宋_GB2312" w:eastAsia="仿宋_GB2312" w:cs="仿宋_GB2312"/>
          <w:color w:val="auto"/>
          <w:sz w:val="32"/>
          <w:szCs w:val="32"/>
        </w:rPr>
        <w:t>菜籽油质量标准符合 GB/T1536</w:t>
      </w:r>
      <w:r>
        <w:rPr>
          <w:rFonts w:hint="eastAsia" w:ascii="仿宋_GB2312" w:hAnsi="仿宋_GB2312" w:eastAsia="仿宋_GB2312" w:cs="仿宋_GB2312"/>
          <w:color w:val="auto"/>
          <w:sz w:val="32"/>
          <w:szCs w:val="32"/>
          <w:lang w:val="en-US" w:eastAsia="zh-CN"/>
        </w:rPr>
        <w:t>-2021，非转基因、一级压榨菜籽油</w:t>
      </w:r>
      <w:r>
        <w:rPr>
          <w:rFonts w:hint="eastAsia" w:ascii="仿宋_GB2312" w:hAnsi="仿宋_GB2312" w:eastAsia="仿宋_GB2312" w:cs="仿宋_GB2312"/>
          <w:color w:val="auto"/>
          <w:sz w:val="32"/>
          <w:szCs w:val="32"/>
        </w:rPr>
        <w:t>;</w:t>
      </w:r>
    </w:p>
    <w:p w14:paraId="22C60E2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5.1</w:t>
      </w:r>
      <w:r>
        <w:rPr>
          <w:rFonts w:hint="eastAsia" w:ascii="仿宋_GB2312" w:hAnsi="仿宋_GB2312" w:eastAsia="仿宋_GB2312" w:cs="仿宋_GB2312"/>
          <w:color w:val="auto"/>
          <w:sz w:val="32"/>
          <w:szCs w:val="32"/>
        </w:rPr>
        <w:t>色泽应有正常色泽,呈黄至棕色;</w:t>
      </w:r>
    </w:p>
    <w:p w14:paraId="1541572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5.3</w:t>
      </w:r>
      <w:r>
        <w:rPr>
          <w:rFonts w:hint="eastAsia" w:ascii="仿宋_GB2312" w:hAnsi="仿宋_GB2312" w:eastAsia="仿宋_GB2312" w:cs="仿宋_GB2312"/>
          <w:color w:val="auto"/>
          <w:sz w:val="32"/>
          <w:szCs w:val="32"/>
        </w:rPr>
        <w:t>气味正常,无酸败味、焦臭味、哈喇味;</w:t>
      </w:r>
    </w:p>
    <w:p w14:paraId="236050F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5.4</w:t>
      </w:r>
      <w:r>
        <w:rPr>
          <w:rFonts w:hint="eastAsia" w:ascii="仿宋_GB2312" w:hAnsi="仿宋_GB2312" w:eastAsia="仿宋_GB2312" w:cs="仿宋_GB2312"/>
          <w:color w:val="auto"/>
          <w:sz w:val="32"/>
          <w:szCs w:val="32"/>
        </w:rPr>
        <w:t>透明度澄清、透明(常温下),无明显悬浮物、沉淀物;</w:t>
      </w:r>
    </w:p>
    <w:p w14:paraId="6AE02A5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5.5</w:t>
      </w:r>
      <w:r>
        <w:rPr>
          <w:rFonts w:hint="eastAsia" w:ascii="仿宋_GB2312" w:hAnsi="仿宋_GB2312" w:eastAsia="仿宋_GB2312" w:cs="仿宋_GB2312"/>
          <w:color w:val="auto"/>
          <w:sz w:val="32"/>
          <w:szCs w:val="32"/>
        </w:rPr>
        <w:t>不得掺有其他种类油脂或非食用油脂,不得添加任何香精、香料;</w:t>
      </w:r>
    </w:p>
    <w:p w14:paraId="42DFF90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2"/>
          <w:sz w:val="32"/>
          <w:szCs w:val="32"/>
          <w:lang w:val="en-US" w:eastAsia="zh-CN"/>
        </w:rPr>
        <w:t>★</w:t>
      </w:r>
      <w:r>
        <w:rPr>
          <w:rFonts w:hint="eastAsia" w:ascii="仿宋_GB2312" w:hAnsi="仿宋_GB2312" w:eastAsia="仿宋_GB2312" w:cs="仿宋_GB2312"/>
          <w:color w:val="auto"/>
          <w:sz w:val="32"/>
          <w:szCs w:val="32"/>
          <w:lang w:val="en-US" w:eastAsia="zh-CN"/>
        </w:rPr>
        <w:t>5.6</w:t>
      </w:r>
      <w:r>
        <w:rPr>
          <w:rFonts w:hint="eastAsia" w:ascii="仿宋_GB2312" w:hAnsi="仿宋_GB2312" w:eastAsia="仿宋_GB2312" w:cs="仿宋_GB2312"/>
          <w:color w:val="auto"/>
          <w:sz w:val="32"/>
          <w:szCs w:val="32"/>
        </w:rPr>
        <w:t>每批次货物提供所供产品的检测报告。</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bCs/>
          <w:color w:val="auto"/>
          <w:sz w:val="32"/>
          <w:szCs w:val="32"/>
          <w:lang w:val="en-US" w:eastAsia="zh-CN"/>
        </w:rPr>
        <w:t>供应商需提供相关承诺函，格式自拟</w:t>
      </w:r>
      <w:r>
        <w:rPr>
          <w:rFonts w:hint="eastAsia" w:ascii="仿宋_GB2312" w:hAnsi="仿宋_GB2312" w:eastAsia="仿宋_GB2312" w:cs="仿宋_GB2312"/>
          <w:b/>
          <w:bCs/>
          <w:color w:val="auto"/>
          <w:sz w:val="32"/>
          <w:szCs w:val="32"/>
          <w:lang w:eastAsia="zh-CN"/>
        </w:rPr>
        <w:t>）</w:t>
      </w:r>
    </w:p>
    <w:p w14:paraId="7E16BD1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color w:val="auto"/>
          <w:sz w:val="32"/>
          <w:szCs w:val="32"/>
        </w:rPr>
      </w:pPr>
      <w:r>
        <w:rPr>
          <w:rFonts w:hint="eastAsia" w:ascii="Times New Roman" w:hAnsi="Times New Roman" w:eastAsia="仿宋_GB2312" w:cs="仿宋_GB2312"/>
          <w:b/>
          <w:bCs/>
          <w:color w:val="auto"/>
          <w:kern w:val="0"/>
          <w:sz w:val="32"/>
          <w:szCs w:val="32"/>
          <w:lang w:val="en-US" w:eastAsia="zh-CN"/>
        </w:rPr>
        <w:t>三、其他标准及要求</w:t>
      </w:r>
    </w:p>
    <w:p w14:paraId="1CDBFAE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包装要求:</w:t>
      </w:r>
    </w:p>
    <w:p w14:paraId="176A5A8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6.1大米、</w:t>
      </w:r>
      <w:r>
        <w:rPr>
          <w:rFonts w:hint="eastAsia" w:ascii="仿宋_GB2312" w:hAnsi="仿宋_GB2312" w:eastAsia="仿宋_GB2312" w:cs="仿宋_GB2312"/>
          <w:color w:val="auto"/>
          <w:sz w:val="32"/>
          <w:szCs w:val="32"/>
        </w:rPr>
        <w:t>面粉包装需符合相关国家标准及行业规范,具有良好密封性,防止面粉受潮、受污染及虫蛀;清油不得使用回收塑料,非食品级材料可能污染油脂的包装</w:t>
      </w:r>
      <w:r>
        <w:rPr>
          <w:rFonts w:hint="eastAsia" w:ascii="仿宋_GB2312" w:hAnsi="仿宋_GB2312" w:eastAsia="仿宋_GB2312" w:cs="仿宋_GB2312"/>
          <w:color w:val="auto"/>
          <w:sz w:val="32"/>
          <w:szCs w:val="32"/>
          <w:lang w:eastAsia="zh-CN"/>
        </w:rPr>
        <w:t>；</w:t>
      </w:r>
    </w:p>
    <w:p w14:paraId="0E4CC56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6.2</w:t>
      </w:r>
      <w:r>
        <w:rPr>
          <w:rFonts w:hint="eastAsia" w:ascii="仿宋_GB2312" w:hAnsi="仿宋_GB2312" w:eastAsia="仿宋_GB2312" w:cs="仿宋_GB2312"/>
          <w:color w:val="auto"/>
          <w:sz w:val="32"/>
          <w:szCs w:val="32"/>
        </w:rPr>
        <w:t>包装材料不得与</w:t>
      </w:r>
      <w:r>
        <w:rPr>
          <w:rFonts w:hint="eastAsia" w:ascii="仿宋_GB2312" w:hAnsi="仿宋_GB2312" w:eastAsia="仿宋_GB2312" w:cs="仿宋_GB2312"/>
          <w:color w:val="auto"/>
          <w:sz w:val="32"/>
          <w:szCs w:val="32"/>
          <w:lang w:eastAsia="zh-CN"/>
        </w:rPr>
        <w:t>货物</w:t>
      </w:r>
      <w:r>
        <w:rPr>
          <w:rFonts w:hint="eastAsia" w:ascii="仿宋_GB2312" w:hAnsi="仿宋_GB2312" w:eastAsia="仿宋_GB2312" w:cs="仿宋_GB2312"/>
          <w:color w:val="auto"/>
          <w:sz w:val="32"/>
          <w:szCs w:val="32"/>
        </w:rPr>
        <w:t>发生化学反应,避免产生异味或有害物质;</w:t>
      </w:r>
    </w:p>
    <w:p w14:paraId="0CD59A7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6.3</w:t>
      </w:r>
      <w:r>
        <w:rPr>
          <w:rFonts w:hint="eastAsia" w:ascii="仿宋_GB2312" w:hAnsi="仿宋_GB2312" w:eastAsia="仿宋_GB2312" w:cs="仿宋_GB2312"/>
          <w:color w:val="auto"/>
          <w:sz w:val="32"/>
          <w:szCs w:val="32"/>
        </w:rPr>
        <w:t>包装标注产品信息,包括:产品名称、等级、净含量、生产日期、保质期、生产批号、贮存条件、厂家名称、地址、联系方式及产品执行标准编号。</w:t>
      </w:r>
    </w:p>
    <w:p w14:paraId="4EA4B39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2"/>
          <w:sz w:val="32"/>
          <w:szCs w:val="32"/>
          <w:lang w:val="en-US" w:eastAsia="zh-CN"/>
        </w:rPr>
        <w:t>★7、</w:t>
      </w:r>
      <w:r>
        <w:rPr>
          <w:rFonts w:hint="eastAsia" w:ascii="仿宋_GB2312" w:hAnsi="仿宋_GB2312" w:eastAsia="仿宋_GB2312" w:cs="仿宋_GB2312"/>
          <w:color w:val="auto"/>
          <w:sz w:val="32"/>
          <w:szCs w:val="32"/>
          <w:lang w:val="en-US" w:eastAsia="zh-CN"/>
        </w:rPr>
        <w:t>供应商须</w:t>
      </w:r>
      <w:r>
        <w:rPr>
          <w:rFonts w:hint="eastAsia" w:ascii="仿宋_GB2312" w:hAnsi="仿宋_GB2312" w:eastAsia="仿宋_GB2312" w:cs="仿宋_GB2312"/>
          <w:color w:val="auto"/>
          <w:sz w:val="32"/>
          <w:szCs w:val="32"/>
        </w:rPr>
        <w:t>保证本项提供的货物来源安全可靠,质量符合国家质量安全标准及招投标文件、答疑附件的质量要求,干净卫生、新鲜、无杂质,无过期、变质、腐烂、以假充真、以次充好等现象,并保证其销售的产品不存在有造成甲方或任何第三人人身损害的现实或潜在的危险;</w:t>
      </w:r>
      <w:r>
        <w:rPr>
          <w:rFonts w:hint="eastAsia" w:ascii="仿宋_GB2312" w:hAnsi="仿宋_GB2312" w:eastAsia="仿宋_GB2312" w:cs="仿宋_GB2312"/>
          <w:color w:val="auto"/>
          <w:sz w:val="32"/>
          <w:szCs w:val="32"/>
          <w:lang w:val="en-US" w:eastAsia="zh-CN"/>
        </w:rPr>
        <w:t>供应商需</w:t>
      </w:r>
      <w:r>
        <w:rPr>
          <w:rFonts w:hint="eastAsia" w:ascii="仿宋_GB2312" w:hAnsi="仿宋_GB2312" w:eastAsia="仿宋_GB2312" w:cs="仿宋_GB2312"/>
          <w:color w:val="auto"/>
          <w:sz w:val="32"/>
          <w:szCs w:val="32"/>
        </w:rPr>
        <w:t>承诺对货物质量承担终身追溯责任。</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供应商需提供相关承诺函，格式自拟</w:t>
      </w:r>
      <w:r>
        <w:rPr>
          <w:rFonts w:hint="eastAsia" w:ascii="仿宋_GB2312" w:hAnsi="仿宋_GB2312" w:eastAsia="仿宋_GB2312" w:cs="仿宋_GB2312"/>
          <w:b/>
          <w:bCs/>
          <w:color w:val="auto"/>
          <w:sz w:val="32"/>
          <w:szCs w:val="32"/>
          <w:lang w:eastAsia="zh-CN"/>
        </w:rPr>
        <w:t>）</w:t>
      </w:r>
    </w:p>
    <w:p w14:paraId="07DED0A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2"/>
          <w:sz w:val="32"/>
          <w:szCs w:val="32"/>
          <w:lang w:val="en-US" w:eastAsia="zh-CN"/>
        </w:rPr>
        <w:t>★</w:t>
      </w:r>
      <w:r>
        <w:rPr>
          <w:rFonts w:hint="eastAsia" w:ascii="仿宋_GB2312" w:hAnsi="仿宋_GB2312" w:eastAsia="仿宋_GB2312" w:cs="仿宋_GB2312"/>
          <w:color w:val="auto"/>
          <w:sz w:val="32"/>
          <w:szCs w:val="32"/>
          <w:lang w:val="en-US" w:eastAsia="zh-CN"/>
        </w:rPr>
        <w:t>8、供应商</w:t>
      </w:r>
      <w:r>
        <w:rPr>
          <w:rFonts w:hint="eastAsia" w:ascii="仿宋_GB2312" w:hAnsi="仿宋_GB2312" w:eastAsia="仿宋_GB2312" w:cs="仿宋_GB2312"/>
          <w:color w:val="auto"/>
          <w:sz w:val="32"/>
          <w:szCs w:val="32"/>
        </w:rPr>
        <w:t>应保证其配送的每一个批次的货物符合上述质量标准及相应的</w:t>
      </w:r>
      <w:r>
        <w:rPr>
          <w:rFonts w:hint="eastAsia" w:ascii="仿宋_GB2312" w:hAnsi="仿宋_GB2312" w:eastAsia="仿宋_GB2312" w:cs="仿宋_GB2312"/>
          <w:color w:val="auto"/>
          <w:sz w:val="32"/>
          <w:szCs w:val="32"/>
          <w:lang w:eastAsia="zh-CN"/>
        </w:rPr>
        <w:t>食品</w:t>
      </w:r>
      <w:r>
        <w:rPr>
          <w:rFonts w:hint="eastAsia" w:ascii="仿宋_GB2312" w:hAnsi="仿宋_GB2312" w:eastAsia="仿宋_GB2312" w:cs="仿宋_GB2312"/>
          <w:color w:val="auto"/>
          <w:sz w:val="32"/>
          <w:szCs w:val="32"/>
        </w:rPr>
        <w:t>安全标准,并在交付时提供</w:t>
      </w:r>
      <w:r>
        <w:rPr>
          <w:rFonts w:hint="eastAsia" w:ascii="仿宋_GB2312" w:hAnsi="仿宋_GB2312" w:eastAsia="仿宋_GB2312" w:cs="仿宋_GB2312"/>
          <w:color w:val="auto"/>
          <w:sz w:val="32"/>
          <w:szCs w:val="32"/>
          <w:lang w:eastAsia="zh-CN"/>
        </w:rPr>
        <w:t>检测报告</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供应商需提供相关承诺函，格式自拟</w:t>
      </w:r>
      <w:r>
        <w:rPr>
          <w:rFonts w:hint="eastAsia" w:ascii="仿宋_GB2312" w:hAnsi="仿宋_GB2312" w:eastAsia="仿宋_GB2312" w:cs="仿宋_GB2312"/>
          <w:b/>
          <w:bCs/>
          <w:color w:val="auto"/>
          <w:sz w:val="32"/>
          <w:szCs w:val="32"/>
          <w:lang w:eastAsia="zh-CN"/>
        </w:rPr>
        <w:t>）</w:t>
      </w:r>
    </w:p>
    <w:p w14:paraId="2D1F8EF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交货时间、地点及风险转移</w:t>
      </w:r>
    </w:p>
    <w:p w14:paraId="3889616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9.1供应商</w:t>
      </w:r>
      <w:r>
        <w:rPr>
          <w:rFonts w:hint="eastAsia" w:ascii="仿宋_GB2312" w:hAnsi="仿宋_GB2312" w:eastAsia="仿宋_GB2312" w:cs="仿宋_GB2312"/>
          <w:color w:val="auto"/>
          <w:sz w:val="32"/>
          <w:szCs w:val="32"/>
        </w:rPr>
        <w:t>按</w:t>
      </w:r>
      <w:r>
        <w:rPr>
          <w:rFonts w:hint="eastAsia" w:ascii="仿宋_GB2312" w:hAnsi="仿宋_GB2312" w:eastAsia="仿宋_GB2312" w:cs="仿宋_GB2312"/>
          <w:color w:val="auto"/>
          <w:sz w:val="32"/>
          <w:szCs w:val="32"/>
          <w:lang w:val="en-US" w:eastAsia="zh-CN"/>
        </w:rPr>
        <w:t>采购人</w:t>
      </w:r>
      <w:r>
        <w:rPr>
          <w:rFonts w:hint="eastAsia" w:ascii="仿宋_GB2312" w:hAnsi="仿宋_GB2312" w:eastAsia="仿宋_GB2312" w:cs="仿宋_GB2312"/>
          <w:color w:val="auto"/>
          <w:sz w:val="32"/>
          <w:szCs w:val="32"/>
        </w:rPr>
        <w:t>要求配送货物的日期将货物送达至指定地点:</w:t>
      </w:r>
      <w:r>
        <w:rPr>
          <w:rFonts w:hint="eastAsia" w:ascii="仿宋_GB2312" w:hAnsi="仿宋_GB2312" w:eastAsia="仿宋_GB2312" w:cs="仿宋_GB2312"/>
          <w:color w:val="auto"/>
          <w:sz w:val="32"/>
          <w:szCs w:val="32"/>
          <w:lang w:val="en-US" w:eastAsia="zh-CN"/>
        </w:rPr>
        <w:t>采购人</w:t>
      </w:r>
      <w:r>
        <w:rPr>
          <w:rFonts w:hint="eastAsia" w:ascii="仿宋_GB2312" w:hAnsi="仿宋_GB2312" w:eastAsia="仿宋_GB2312" w:cs="仿宋_GB2312"/>
          <w:color w:val="auto"/>
          <w:sz w:val="32"/>
          <w:szCs w:val="32"/>
        </w:rPr>
        <w:t>指定地点,并确保及时配合</w:t>
      </w:r>
      <w:r>
        <w:rPr>
          <w:rFonts w:hint="eastAsia" w:ascii="仿宋_GB2312" w:hAnsi="仿宋_GB2312" w:eastAsia="仿宋_GB2312" w:cs="仿宋_GB2312"/>
          <w:color w:val="auto"/>
          <w:sz w:val="32"/>
          <w:szCs w:val="32"/>
          <w:lang w:val="en-US" w:eastAsia="zh-CN"/>
        </w:rPr>
        <w:t>采购人</w:t>
      </w:r>
      <w:r>
        <w:rPr>
          <w:rFonts w:hint="eastAsia" w:ascii="仿宋_GB2312" w:hAnsi="仿宋_GB2312" w:eastAsia="仿宋_GB2312" w:cs="仿宋_GB2312"/>
          <w:color w:val="auto"/>
          <w:sz w:val="32"/>
          <w:szCs w:val="32"/>
        </w:rPr>
        <w:t>完成验收工作。</w:t>
      </w:r>
    </w:p>
    <w:p w14:paraId="3E955E2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sz w:val="32"/>
          <w:szCs w:val="32"/>
        </w:rPr>
        <w:t>供货时间:</w:t>
      </w:r>
    </w:p>
    <w:p w14:paraId="582F707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10.1采购人</w:t>
      </w:r>
      <w:r>
        <w:rPr>
          <w:rFonts w:hint="eastAsia" w:ascii="仿宋_GB2312" w:hAnsi="仿宋_GB2312" w:eastAsia="仿宋_GB2312" w:cs="仿宋_GB2312"/>
          <w:color w:val="auto"/>
          <w:sz w:val="32"/>
          <w:szCs w:val="32"/>
        </w:rPr>
        <w:t>向乙方发送订货单时起,乙方应在约定时间或</w:t>
      </w:r>
      <w:r>
        <w:rPr>
          <w:rFonts w:hint="eastAsia" w:ascii="仿宋_GB2312" w:hAnsi="仿宋_GB2312" w:eastAsia="仿宋_GB2312" w:cs="仿宋_GB2312"/>
          <w:color w:val="auto"/>
          <w:sz w:val="32"/>
          <w:szCs w:val="32"/>
          <w:lang w:val="en-US" w:eastAsia="zh-CN"/>
        </w:rPr>
        <w:t>采购人</w:t>
      </w:r>
      <w:r>
        <w:rPr>
          <w:rFonts w:hint="eastAsia" w:ascii="仿宋_GB2312" w:hAnsi="仿宋_GB2312" w:eastAsia="仿宋_GB2312" w:cs="仿宋_GB2312"/>
          <w:color w:val="auto"/>
          <w:sz w:val="32"/>
          <w:szCs w:val="32"/>
        </w:rPr>
        <w:t>指定的时间将货物送至</w:t>
      </w:r>
      <w:r>
        <w:rPr>
          <w:rFonts w:hint="eastAsia" w:ascii="仿宋_GB2312" w:hAnsi="仿宋_GB2312" w:eastAsia="仿宋_GB2312" w:cs="仿宋_GB2312"/>
          <w:color w:val="auto"/>
          <w:sz w:val="32"/>
          <w:szCs w:val="32"/>
          <w:lang w:val="en-US" w:eastAsia="zh-CN"/>
        </w:rPr>
        <w:t>采购人</w:t>
      </w:r>
      <w:r>
        <w:rPr>
          <w:rFonts w:hint="eastAsia" w:ascii="仿宋_GB2312" w:hAnsi="仿宋_GB2312" w:eastAsia="仿宋_GB2312" w:cs="仿宋_GB2312"/>
          <w:color w:val="auto"/>
          <w:sz w:val="32"/>
          <w:szCs w:val="32"/>
        </w:rPr>
        <w:t>指定地点(特殊商品除外),</w:t>
      </w:r>
      <w:r>
        <w:rPr>
          <w:rFonts w:hint="eastAsia" w:ascii="仿宋_GB2312" w:hAnsi="仿宋_GB2312" w:eastAsia="仿宋_GB2312" w:cs="仿宋_GB2312"/>
          <w:color w:val="auto"/>
          <w:sz w:val="32"/>
          <w:szCs w:val="32"/>
          <w:lang w:val="en-US" w:eastAsia="zh-CN"/>
        </w:rPr>
        <w:t>采购人</w:t>
      </w:r>
      <w:r>
        <w:rPr>
          <w:rFonts w:hint="eastAsia" w:ascii="仿宋_GB2312" w:hAnsi="仿宋_GB2312" w:eastAsia="仿宋_GB2312" w:cs="仿宋_GB2312"/>
          <w:color w:val="auto"/>
          <w:sz w:val="32"/>
          <w:szCs w:val="32"/>
        </w:rPr>
        <w:t>将根据订货单进行严格验收,超出订货单范围或质量不合格的货物</w:t>
      </w:r>
      <w:r>
        <w:rPr>
          <w:rFonts w:hint="eastAsia" w:ascii="仿宋_GB2312" w:hAnsi="仿宋_GB2312" w:eastAsia="仿宋_GB2312" w:cs="仿宋_GB2312"/>
          <w:color w:val="auto"/>
          <w:sz w:val="32"/>
          <w:szCs w:val="32"/>
          <w:lang w:val="en-US" w:eastAsia="zh-CN"/>
        </w:rPr>
        <w:t>采购人</w:t>
      </w:r>
      <w:r>
        <w:rPr>
          <w:rFonts w:hint="eastAsia" w:ascii="仿宋_GB2312" w:hAnsi="仿宋_GB2312" w:eastAsia="仿宋_GB2312" w:cs="仿宋_GB2312"/>
          <w:color w:val="auto"/>
          <w:sz w:val="32"/>
          <w:szCs w:val="32"/>
        </w:rPr>
        <w:t>有权拒收,</w:t>
      </w:r>
      <w:r>
        <w:rPr>
          <w:rFonts w:hint="eastAsia" w:ascii="仿宋_GB2312" w:hAnsi="仿宋_GB2312" w:eastAsia="仿宋_GB2312" w:cs="仿宋_GB2312"/>
          <w:color w:val="auto"/>
          <w:sz w:val="32"/>
          <w:szCs w:val="32"/>
          <w:lang w:val="en-US" w:eastAsia="zh-CN"/>
        </w:rPr>
        <w:t>供应商</w:t>
      </w:r>
      <w:r>
        <w:rPr>
          <w:rFonts w:hint="eastAsia" w:ascii="仿宋_GB2312" w:hAnsi="仿宋_GB2312" w:eastAsia="仿宋_GB2312" w:cs="仿宋_GB2312"/>
          <w:color w:val="auto"/>
          <w:sz w:val="32"/>
          <w:szCs w:val="32"/>
        </w:rPr>
        <w:t>应在甲方通知的期限内取走,否则</w:t>
      </w:r>
      <w:r>
        <w:rPr>
          <w:rFonts w:hint="eastAsia" w:ascii="仿宋_GB2312" w:hAnsi="仿宋_GB2312" w:eastAsia="仿宋_GB2312" w:cs="仿宋_GB2312"/>
          <w:color w:val="auto"/>
          <w:sz w:val="32"/>
          <w:szCs w:val="32"/>
          <w:lang w:val="en-US" w:eastAsia="zh-CN"/>
        </w:rPr>
        <w:t>采购人</w:t>
      </w:r>
      <w:r>
        <w:rPr>
          <w:rFonts w:hint="eastAsia" w:ascii="仿宋_GB2312" w:hAnsi="仿宋_GB2312" w:eastAsia="仿宋_GB2312" w:cs="仿宋_GB2312"/>
          <w:color w:val="auto"/>
          <w:sz w:val="32"/>
          <w:szCs w:val="32"/>
        </w:rPr>
        <w:t>将视为</w:t>
      </w:r>
      <w:r>
        <w:rPr>
          <w:rFonts w:hint="eastAsia" w:ascii="仿宋_GB2312" w:hAnsi="仿宋_GB2312" w:eastAsia="仿宋_GB2312" w:cs="仿宋_GB2312"/>
          <w:color w:val="auto"/>
          <w:sz w:val="32"/>
          <w:szCs w:val="32"/>
          <w:lang w:val="en-US" w:eastAsia="zh-CN"/>
        </w:rPr>
        <w:t>供应商</w:t>
      </w:r>
      <w:r>
        <w:rPr>
          <w:rFonts w:hint="eastAsia" w:ascii="仿宋_GB2312" w:hAnsi="仿宋_GB2312" w:eastAsia="仿宋_GB2312" w:cs="仿宋_GB2312"/>
          <w:color w:val="auto"/>
          <w:sz w:val="32"/>
          <w:szCs w:val="32"/>
        </w:rPr>
        <w:t>无偿提供超出部分货物,有权处置该部分货物并向</w:t>
      </w:r>
      <w:r>
        <w:rPr>
          <w:rFonts w:hint="eastAsia" w:ascii="仿宋_GB2312" w:hAnsi="仿宋_GB2312" w:eastAsia="仿宋_GB2312" w:cs="仿宋_GB2312"/>
          <w:color w:val="auto"/>
          <w:sz w:val="32"/>
          <w:szCs w:val="32"/>
          <w:lang w:val="en-US" w:eastAsia="zh-CN"/>
        </w:rPr>
        <w:t>供应商</w:t>
      </w:r>
      <w:r>
        <w:rPr>
          <w:rFonts w:hint="eastAsia" w:ascii="仿宋_GB2312" w:hAnsi="仿宋_GB2312" w:eastAsia="仿宋_GB2312" w:cs="仿宋_GB2312"/>
          <w:color w:val="auto"/>
          <w:sz w:val="32"/>
          <w:szCs w:val="32"/>
        </w:rPr>
        <w:t>收取仓储费用</w:t>
      </w:r>
      <w:r>
        <w:rPr>
          <w:rFonts w:hint="eastAsia" w:ascii="仿宋_GB2312" w:hAnsi="仿宋_GB2312" w:eastAsia="仿宋_GB2312" w:cs="仿宋_GB2312"/>
          <w:color w:val="auto"/>
          <w:sz w:val="32"/>
          <w:szCs w:val="32"/>
          <w:lang w:eastAsia="zh-CN"/>
        </w:rPr>
        <w:t>。</w:t>
      </w:r>
    </w:p>
    <w:p w14:paraId="623DE51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10.2</w:t>
      </w:r>
      <w:r>
        <w:rPr>
          <w:rFonts w:hint="eastAsia" w:ascii="仿宋_GB2312" w:hAnsi="仿宋_GB2312" w:eastAsia="仿宋_GB2312" w:cs="仿宋_GB2312"/>
          <w:color w:val="auto"/>
          <w:sz w:val="32"/>
          <w:szCs w:val="32"/>
        </w:rPr>
        <w:t>如</w:t>
      </w:r>
      <w:r>
        <w:rPr>
          <w:rFonts w:hint="eastAsia" w:ascii="仿宋_GB2312" w:hAnsi="仿宋_GB2312" w:eastAsia="仿宋_GB2312" w:cs="仿宋_GB2312"/>
          <w:color w:val="auto"/>
          <w:sz w:val="32"/>
          <w:szCs w:val="32"/>
          <w:lang w:val="en-US" w:eastAsia="zh-CN"/>
        </w:rPr>
        <w:t>采购人</w:t>
      </w:r>
      <w:r>
        <w:rPr>
          <w:rFonts w:hint="eastAsia" w:ascii="仿宋_GB2312" w:hAnsi="仿宋_GB2312" w:eastAsia="仿宋_GB2312" w:cs="仿宋_GB2312"/>
          <w:color w:val="auto"/>
          <w:sz w:val="32"/>
          <w:szCs w:val="32"/>
        </w:rPr>
        <w:t>应急临时需购货品,</w:t>
      </w:r>
      <w:r>
        <w:rPr>
          <w:rFonts w:hint="eastAsia" w:ascii="仿宋_GB2312" w:hAnsi="仿宋_GB2312" w:eastAsia="仿宋_GB2312" w:cs="仿宋_GB2312"/>
          <w:color w:val="auto"/>
          <w:sz w:val="32"/>
          <w:szCs w:val="32"/>
          <w:lang w:val="en-US" w:eastAsia="zh-CN"/>
        </w:rPr>
        <w:t>供应商</w:t>
      </w:r>
      <w:r>
        <w:rPr>
          <w:rFonts w:hint="eastAsia" w:ascii="仿宋_GB2312" w:hAnsi="仿宋_GB2312" w:eastAsia="仿宋_GB2312" w:cs="仿宋_GB2312"/>
          <w:color w:val="auto"/>
          <w:sz w:val="32"/>
          <w:szCs w:val="32"/>
        </w:rPr>
        <w:t>必须按指定的品种、数量,并保证货物符合国家相关食品安全标准。在接到</w:t>
      </w:r>
      <w:r>
        <w:rPr>
          <w:rFonts w:hint="eastAsia" w:ascii="仿宋_GB2312" w:hAnsi="仿宋_GB2312" w:eastAsia="仿宋_GB2312" w:cs="仿宋_GB2312"/>
          <w:color w:val="auto"/>
          <w:sz w:val="32"/>
          <w:szCs w:val="32"/>
          <w:lang w:val="en-US" w:eastAsia="zh-CN"/>
        </w:rPr>
        <w:t>采购人</w:t>
      </w:r>
      <w:r>
        <w:rPr>
          <w:rFonts w:hint="eastAsia" w:ascii="仿宋_GB2312" w:hAnsi="仿宋_GB2312" w:eastAsia="仿宋_GB2312" w:cs="仿宋_GB2312"/>
          <w:color w:val="auto"/>
          <w:sz w:val="32"/>
          <w:szCs w:val="32"/>
        </w:rPr>
        <w:t>的</w:t>
      </w:r>
      <w:r>
        <w:rPr>
          <w:rFonts w:hint="eastAsia" w:ascii="仿宋_GB2312" w:hAnsi="仿宋_GB2312" w:eastAsia="仿宋_GB2312" w:cs="仿宋_GB2312"/>
          <w:color w:val="auto"/>
          <w:sz w:val="32"/>
          <w:szCs w:val="32"/>
          <w:lang w:eastAsia="zh-CN"/>
        </w:rPr>
        <w:t>订单</w:t>
      </w:r>
      <w:r>
        <w:rPr>
          <w:rFonts w:hint="eastAsia" w:ascii="仿宋_GB2312" w:hAnsi="仿宋_GB2312" w:eastAsia="仿宋_GB2312" w:cs="仿宋_GB2312"/>
          <w:color w:val="auto"/>
          <w:sz w:val="32"/>
          <w:szCs w:val="32"/>
        </w:rPr>
        <w:t xml:space="preserve">通知后 </w:t>
      </w:r>
      <w:r>
        <w:rPr>
          <w:rFonts w:hint="eastAsia" w:ascii="仿宋_GB2312" w:hAnsi="仿宋_GB2312" w:eastAsia="仿宋_GB2312" w:cs="仿宋_GB2312"/>
          <w:color w:val="auto"/>
          <w:sz w:val="32"/>
          <w:szCs w:val="32"/>
          <w:lang w:eastAsia="zh-CN"/>
        </w:rPr>
        <w:t>在规定时间内</w:t>
      </w:r>
      <w:r>
        <w:rPr>
          <w:rFonts w:hint="eastAsia" w:ascii="仿宋_GB2312" w:hAnsi="仿宋_GB2312" w:eastAsia="仿宋_GB2312" w:cs="仿宋_GB2312"/>
          <w:color w:val="auto"/>
          <w:sz w:val="32"/>
          <w:szCs w:val="32"/>
        </w:rPr>
        <w:t>送货至</w:t>
      </w:r>
      <w:r>
        <w:rPr>
          <w:rFonts w:hint="eastAsia" w:ascii="仿宋_GB2312" w:hAnsi="仿宋_GB2312" w:eastAsia="仿宋_GB2312" w:cs="仿宋_GB2312"/>
          <w:color w:val="auto"/>
          <w:sz w:val="32"/>
          <w:szCs w:val="32"/>
          <w:lang w:val="en-US" w:eastAsia="zh-CN"/>
        </w:rPr>
        <w:t>采购人</w:t>
      </w:r>
      <w:r>
        <w:rPr>
          <w:rFonts w:hint="eastAsia" w:ascii="仿宋_GB2312" w:hAnsi="仿宋_GB2312" w:eastAsia="仿宋_GB2312" w:cs="仿宋_GB2312"/>
          <w:color w:val="auto"/>
          <w:sz w:val="32"/>
          <w:szCs w:val="32"/>
        </w:rPr>
        <w:t>指定地点。</w:t>
      </w:r>
    </w:p>
    <w:p w14:paraId="7FF488E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11、</w:t>
      </w:r>
      <w:r>
        <w:rPr>
          <w:rFonts w:hint="eastAsia" w:ascii="仿宋_GB2312" w:hAnsi="仿宋_GB2312" w:eastAsia="仿宋_GB2312" w:cs="仿宋_GB2312"/>
          <w:color w:val="auto"/>
          <w:sz w:val="32"/>
          <w:szCs w:val="32"/>
        </w:rPr>
        <w:t>供货方式:按</w:t>
      </w:r>
      <w:r>
        <w:rPr>
          <w:rFonts w:hint="eastAsia" w:ascii="仿宋_GB2312" w:hAnsi="仿宋_GB2312" w:eastAsia="仿宋_GB2312" w:cs="仿宋_GB2312"/>
          <w:color w:val="auto"/>
          <w:sz w:val="32"/>
          <w:szCs w:val="32"/>
          <w:lang w:val="en-US" w:eastAsia="zh-CN"/>
        </w:rPr>
        <w:t>采购人</w:t>
      </w:r>
      <w:r>
        <w:rPr>
          <w:rFonts w:hint="eastAsia" w:ascii="仿宋_GB2312" w:hAnsi="仿宋_GB2312" w:eastAsia="仿宋_GB2312" w:cs="仿宋_GB2312"/>
          <w:color w:val="auto"/>
          <w:sz w:val="32"/>
          <w:szCs w:val="32"/>
        </w:rPr>
        <w:t>需求及要求(质量要求、送货方式及卸货要求)供货,送达指定地点。</w:t>
      </w:r>
    </w:p>
    <w:p w14:paraId="0399894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11.1</w:t>
      </w:r>
      <w:r>
        <w:rPr>
          <w:rFonts w:hint="eastAsia" w:ascii="仿宋_GB2312" w:hAnsi="仿宋_GB2312" w:eastAsia="仿宋_GB2312" w:cs="仿宋_GB2312"/>
          <w:color w:val="auto"/>
          <w:sz w:val="32"/>
          <w:szCs w:val="32"/>
        </w:rPr>
        <w:t xml:space="preserve"> 在紧急需求特殊情况下,</w:t>
      </w:r>
      <w:r>
        <w:rPr>
          <w:rFonts w:hint="eastAsia" w:ascii="仿宋_GB2312" w:hAnsi="仿宋_GB2312" w:eastAsia="仿宋_GB2312" w:cs="仿宋_GB2312"/>
          <w:color w:val="auto"/>
          <w:sz w:val="32"/>
          <w:szCs w:val="32"/>
          <w:lang w:val="en-US" w:eastAsia="zh-CN"/>
        </w:rPr>
        <w:t>供应商</w:t>
      </w:r>
      <w:r>
        <w:rPr>
          <w:rFonts w:hint="eastAsia" w:ascii="仿宋_GB2312" w:hAnsi="仿宋_GB2312" w:eastAsia="仿宋_GB2312" w:cs="仿宋_GB2312"/>
          <w:color w:val="auto"/>
          <w:sz w:val="32"/>
          <w:szCs w:val="32"/>
        </w:rPr>
        <w:t>有责任配合</w:t>
      </w:r>
      <w:r>
        <w:rPr>
          <w:rFonts w:hint="eastAsia" w:ascii="仿宋_GB2312" w:hAnsi="仿宋_GB2312" w:eastAsia="仿宋_GB2312" w:cs="仿宋_GB2312"/>
          <w:color w:val="auto"/>
          <w:sz w:val="32"/>
          <w:szCs w:val="32"/>
          <w:lang w:val="en-US" w:eastAsia="zh-CN"/>
        </w:rPr>
        <w:t>采购人</w:t>
      </w:r>
      <w:r>
        <w:rPr>
          <w:rFonts w:hint="eastAsia" w:ascii="仿宋_GB2312" w:hAnsi="仿宋_GB2312" w:eastAsia="仿宋_GB2312" w:cs="仿宋_GB2312"/>
          <w:color w:val="auto"/>
          <w:sz w:val="32"/>
          <w:szCs w:val="32"/>
        </w:rPr>
        <w:t>做好人员、车辆等安全检查、卫生防疫等相关要求,未经检测达标的,</w:t>
      </w:r>
      <w:r>
        <w:rPr>
          <w:rFonts w:hint="eastAsia" w:ascii="仿宋_GB2312" w:hAnsi="仿宋_GB2312" w:eastAsia="仿宋_GB2312" w:cs="仿宋_GB2312"/>
          <w:color w:val="auto"/>
          <w:sz w:val="32"/>
          <w:szCs w:val="32"/>
          <w:lang w:val="en-US" w:eastAsia="zh-CN"/>
        </w:rPr>
        <w:t>采购人</w:t>
      </w:r>
      <w:r>
        <w:rPr>
          <w:rFonts w:hint="eastAsia" w:ascii="仿宋_GB2312" w:hAnsi="仿宋_GB2312" w:eastAsia="仿宋_GB2312" w:cs="仿宋_GB2312"/>
          <w:color w:val="auto"/>
          <w:sz w:val="32"/>
          <w:szCs w:val="32"/>
        </w:rPr>
        <w:t>有权禁止其入场供货,</w:t>
      </w:r>
      <w:r>
        <w:rPr>
          <w:rFonts w:hint="eastAsia" w:ascii="仿宋_GB2312" w:hAnsi="仿宋_GB2312" w:eastAsia="仿宋_GB2312" w:cs="仿宋_GB2312"/>
          <w:color w:val="auto"/>
          <w:sz w:val="32"/>
          <w:szCs w:val="32"/>
          <w:lang w:val="en-US" w:eastAsia="zh-CN"/>
        </w:rPr>
        <w:t>供应商</w:t>
      </w:r>
      <w:r>
        <w:rPr>
          <w:rFonts w:hint="eastAsia" w:ascii="仿宋_GB2312" w:hAnsi="仿宋_GB2312" w:eastAsia="仿宋_GB2312" w:cs="仿宋_GB2312"/>
          <w:color w:val="auto"/>
          <w:sz w:val="32"/>
          <w:szCs w:val="32"/>
        </w:rPr>
        <w:t>应当立即整改。</w:t>
      </w:r>
    </w:p>
    <w:p w14:paraId="6E2DD9C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12</w:t>
      </w:r>
      <w:r>
        <w:rPr>
          <w:rFonts w:hint="eastAsia" w:ascii="仿宋_GB2312" w:hAnsi="仿宋_GB2312" w:eastAsia="仿宋_GB2312" w:cs="仿宋_GB2312"/>
          <w:color w:val="auto"/>
          <w:sz w:val="32"/>
          <w:szCs w:val="32"/>
        </w:rPr>
        <w:t>货物的包装及运输</w:t>
      </w:r>
    </w:p>
    <w:p w14:paraId="53BF8C5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12.1</w:t>
      </w:r>
      <w:r>
        <w:rPr>
          <w:rFonts w:hint="eastAsia" w:ascii="仿宋_GB2312" w:hAnsi="仿宋_GB2312" w:eastAsia="仿宋_GB2312" w:cs="仿宋_GB2312"/>
          <w:color w:val="auto"/>
          <w:sz w:val="32"/>
          <w:szCs w:val="32"/>
        </w:rPr>
        <w:t>包装必须与运输方式相适应,包装方式的确定和包装费用均由</w:t>
      </w:r>
      <w:r>
        <w:rPr>
          <w:rFonts w:hint="eastAsia" w:ascii="仿宋_GB2312" w:hAnsi="仿宋_GB2312" w:eastAsia="仿宋_GB2312" w:cs="仿宋_GB2312"/>
          <w:color w:val="auto"/>
          <w:sz w:val="32"/>
          <w:szCs w:val="32"/>
          <w:lang w:val="en-US" w:eastAsia="zh-CN"/>
        </w:rPr>
        <w:t>供应商</w:t>
      </w:r>
      <w:r>
        <w:rPr>
          <w:rFonts w:hint="eastAsia" w:ascii="仿宋_GB2312" w:hAnsi="仿宋_GB2312" w:eastAsia="仿宋_GB2312" w:cs="仿宋_GB2312"/>
          <w:color w:val="auto"/>
          <w:sz w:val="32"/>
          <w:szCs w:val="32"/>
        </w:rPr>
        <w:t>负责;</w:t>
      </w:r>
      <w:r>
        <w:rPr>
          <w:rFonts w:hint="eastAsia" w:ascii="仿宋_GB2312" w:hAnsi="仿宋_GB2312" w:eastAsia="仿宋_GB2312" w:cs="仿宋_GB2312"/>
          <w:color w:val="auto"/>
          <w:sz w:val="32"/>
          <w:szCs w:val="32"/>
          <w:lang w:val="en-US" w:eastAsia="zh-CN"/>
        </w:rPr>
        <w:t>供应商</w:t>
      </w:r>
      <w:r>
        <w:rPr>
          <w:rFonts w:hint="eastAsia" w:ascii="仿宋_GB2312" w:hAnsi="仿宋_GB2312" w:eastAsia="仿宋_GB2312" w:cs="仿宋_GB2312"/>
          <w:color w:val="auto"/>
          <w:sz w:val="32"/>
          <w:szCs w:val="32"/>
        </w:rPr>
        <w:t>应在货物交付前提供包装方案供</w:t>
      </w:r>
      <w:r>
        <w:rPr>
          <w:rFonts w:hint="eastAsia" w:ascii="仿宋_GB2312" w:hAnsi="仿宋_GB2312" w:eastAsia="仿宋_GB2312" w:cs="仿宋_GB2312"/>
          <w:color w:val="auto"/>
          <w:sz w:val="32"/>
          <w:szCs w:val="32"/>
          <w:lang w:val="en-US" w:eastAsia="zh-CN"/>
        </w:rPr>
        <w:t>采购人</w:t>
      </w:r>
      <w:r>
        <w:rPr>
          <w:rFonts w:hint="eastAsia" w:ascii="仿宋_GB2312" w:hAnsi="仿宋_GB2312" w:eastAsia="仿宋_GB2312" w:cs="仿宋_GB2312"/>
          <w:color w:val="auto"/>
          <w:sz w:val="32"/>
          <w:szCs w:val="32"/>
        </w:rPr>
        <w:t>审核,未经</w:t>
      </w:r>
      <w:r>
        <w:rPr>
          <w:rFonts w:hint="eastAsia" w:ascii="仿宋_GB2312" w:hAnsi="仿宋_GB2312" w:eastAsia="仿宋_GB2312" w:cs="仿宋_GB2312"/>
          <w:color w:val="auto"/>
          <w:sz w:val="32"/>
          <w:szCs w:val="32"/>
          <w:lang w:val="en-US" w:eastAsia="zh-CN"/>
        </w:rPr>
        <w:t>采购人</w:t>
      </w:r>
      <w:r>
        <w:rPr>
          <w:rFonts w:hint="eastAsia" w:ascii="仿宋_GB2312" w:hAnsi="仿宋_GB2312" w:eastAsia="仿宋_GB2312" w:cs="仿宋_GB2312"/>
          <w:color w:val="auto"/>
          <w:sz w:val="32"/>
          <w:szCs w:val="32"/>
        </w:rPr>
        <w:t>书面同意不得变更包装方式。</w:t>
      </w:r>
    </w:p>
    <w:p w14:paraId="7A76FD9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12.2</w:t>
      </w:r>
      <w:r>
        <w:rPr>
          <w:rFonts w:hint="eastAsia" w:ascii="仿宋_GB2312" w:hAnsi="仿宋_GB2312" w:eastAsia="仿宋_GB2312" w:cs="仿宋_GB2312"/>
          <w:color w:val="auto"/>
          <w:sz w:val="32"/>
          <w:szCs w:val="32"/>
        </w:rPr>
        <w:t>采用定型包装的货物,包装必须符合国家对产品包装的有关规定。货品由生产厂家使用符合国家食品卫生要求的包装箱或包装袋进行完整包装,包装上必须有清晰的厂家信息、生产日期、保质期、净重量;必须有 SC 编码;包装破损甲方有权拒绝接收,自然破损除外。</w:t>
      </w:r>
    </w:p>
    <w:p w14:paraId="6A956D9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12.3供应商</w:t>
      </w:r>
      <w:r>
        <w:rPr>
          <w:rFonts w:hint="eastAsia" w:ascii="仿宋_GB2312" w:hAnsi="仿宋_GB2312" w:eastAsia="仿宋_GB2312" w:cs="仿宋_GB2312"/>
          <w:color w:val="auto"/>
          <w:sz w:val="32"/>
          <w:szCs w:val="32"/>
        </w:rPr>
        <w:t>保证运输周转的容器与车辆的清洁卫生和防止货物在运输过程中受到污染,否则</w:t>
      </w:r>
      <w:r>
        <w:rPr>
          <w:rFonts w:hint="eastAsia" w:ascii="仿宋_GB2312" w:hAnsi="仿宋_GB2312" w:eastAsia="仿宋_GB2312" w:cs="仿宋_GB2312"/>
          <w:color w:val="auto"/>
          <w:sz w:val="32"/>
          <w:szCs w:val="32"/>
          <w:lang w:val="en-US" w:eastAsia="zh-CN"/>
        </w:rPr>
        <w:t>采购人</w:t>
      </w:r>
      <w:r>
        <w:rPr>
          <w:rFonts w:hint="eastAsia" w:ascii="仿宋_GB2312" w:hAnsi="仿宋_GB2312" w:eastAsia="仿宋_GB2312" w:cs="仿宋_GB2312"/>
          <w:color w:val="auto"/>
          <w:sz w:val="32"/>
          <w:szCs w:val="32"/>
        </w:rPr>
        <w:t>有权拒绝接收。</w:t>
      </w:r>
    </w:p>
    <w:p w14:paraId="4AD3777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12.4</w:t>
      </w:r>
      <w:r>
        <w:rPr>
          <w:rFonts w:hint="eastAsia" w:ascii="仿宋_GB2312" w:hAnsi="仿宋_GB2312" w:eastAsia="仿宋_GB2312" w:cs="仿宋_GB2312"/>
          <w:color w:val="auto"/>
          <w:sz w:val="32"/>
          <w:szCs w:val="32"/>
        </w:rPr>
        <w:t>乙方根据运送货物的需求,运送车辆及方式须符合《中华人民共和国道路交通安全法》《中华人民共和国道路运输条例》及国家相关行业标准(如 GB/T 26772-2011 等),</w:t>
      </w:r>
      <w:r>
        <w:rPr>
          <w:rFonts w:hint="eastAsia" w:ascii="仿宋_GB2312" w:hAnsi="仿宋_GB2312" w:eastAsia="仿宋_GB2312" w:cs="仿宋_GB2312"/>
          <w:color w:val="auto"/>
          <w:sz w:val="32"/>
          <w:szCs w:val="32"/>
          <w:lang w:val="en-US" w:eastAsia="zh-CN"/>
        </w:rPr>
        <w:t>供应商</w:t>
      </w:r>
      <w:r>
        <w:rPr>
          <w:rFonts w:hint="eastAsia" w:ascii="仿宋_GB2312" w:hAnsi="仿宋_GB2312" w:eastAsia="仿宋_GB2312" w:cs="仿宋_GB2312"/>
          <w:color w:val="auto"/>
          <w:sz w:val="32"/>
          <w:szCs w:val="32"/>
        </w:rPr>
        <w:t>承运车辆到达</w:t>
      </w:r>
      <w:r>
        <w:rPr>
          <w:rFonts w:hint="eastAsia" w:ascii="仿宋_GB2312" w:hAnsi="仿宋_GB2312" w:eastAsia="仿宋_GB2312" w:cs="仿宋_GB2312"/>
          <w:color w:val="auto"/>
          <w:sz w:val="32"/>
          <w:szCs w:val="32"/>
          <w:lang w:val="en-US" w:eastAsia="zh-CN"/>
        </w:rPr>
        <w:t>采购人</w:t>
      </w:r>
      <w:r>
        <w:rPr>
          <w:rFonts w:hint="eastAsia" w:ascii="仿宋_GB2312" w:hAnsi="仿宋_GB2312" w:eastAsia="仿宋_GB2312" w:cs="仿宋_GB2312"/>
          <w:color w:val="auto"/>
          <w:sz w:val="32"/>
          <w:szCs w:val="32"/>
        </w:rPr>
        <w:t>指定地点后必须服从</w:t>
      </w:r>
      <w:r>
        <w:rPr>
          <w:rFonts w:hint="eastAsia" w:ascii="仿宋_GB2312" w:hAnsi="仿宋_GB2312" w:eastAsia="仿宋_GB2312" w:cs="仿宋_GB2312"/>
          <w:color w:val="auto"/>
          <w:sz w:val="32"/>
          <w:szCs w:val="32"/>
          <w:lang w:val="en-US" w:eastAsia="zh-CN"/>
        </w:rPr>
        <w:t>采购人</w:t>
      </w:r>
      <w:r>
        <w:rPr>
          <w:rFonts w:hint="eastAsia" w:ascii="仿宋_GB2312" w:hAnsi="仿宋_GB2312" w:eastAsia="仿宋_GB2312" w:cs="仿宋_GB2312"/>
          <w:color w:val="auto"/>
          <w:sz w:val="32"/>
          <w:szCs w:val="32"/>
        </w:rPr>
        <w:t>管理,并确保货物按要求安全放置在指定区域。</w:t>
      </w:r>
    </w:p>
    <w:p w14:paraId="2404587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15、</w:t>
      </w:r>
      <w:r>
        <w:rPr>
          <w:rFonts w:hint="eastAsia" w:ascii="仿宋_GB2312" w:hAnsi="仿宋_GB2312" w:eastAsia="仿宋_GB2312" w:cs="仿宋_GB2312"/>
          <w:color w:val="auto"/>
          <w:sz w:val="32"/>
          <w:szCs w:val="32"/>
        </w:rPr>
        <w:t>验收</w:t>
      </w:r>
    </w:p>
    <w:p w14:paraId="0C006BC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15.1</w:t>
      </w:r>
      <w:r>
        <w:rPr>
          <w:rFonts w:hint="eastAsia" w:ascii="仿宋_GB2312" w:hAnsi="仿宋_GB2312" w:eastAsia="仿宋_GB2312" w:cs="仿宋_GB2312"/>
          <w:color w:val="auto"/>
          <w:sz w:val="32"/>
          <w:szCs w:val="32"/>
        </w:rPr>
        <w:t>验收标准:以招投标文件及</w:t>
      </w:r>
      <w:r>
        <w:rPr>
          <w:rFonts w:hint="eastAsia" w:ascii="仿宋_GB2312" w:hAnsi="仿宋_GB2312" w:eastAsia="仿宋_GB2312" w:cs="仿宋_GB2312"/>
          <w:color w:val="auto"/>
          <w:sz w:val="32"/>
          <w:szCs w:val="32"/>
          <w:lang w:val="en-US" w:eastAsia="zh-CN"/>
        </w:rPr>
        <w:t>合同签订时</w:t>
      </w:r>
      <w:r>
        <w:rPr>
          <w:rFonts w:hint="eastAsia" w:ascii="仿宋_GB2312" w:hAnsi="仿宋_GB2312" w:eastAsia="仿宋_GB2312" w:cs="仿宋_GB2312"/>
          <w:color w:val="auto"/>
          <w:sz w:val="32"/>
          <w:szCs w:val="32"/>
        </w:rPr>
        <w:t>约定的质量标准为货物的验收标准。</w:t>
      </w:r>
      <w:r>
        <w:rPr>
          <w:rFonts w:hint="eastAsia" w:ascii="仿宋_GB2312" w:hAnsi="仿宋_GB2312" w:eastAsia="仿宋_GB2312" w:cs="仿宋_GB2312"/>
          <w:color w:val="auto"/>
          <w:sz w:val="32"/>
          <w:szCs w:val="32"/>
          <w:lang w:val="en-US" w:eastAsia="zh-CN"/>
        </w:rPr>
        <w:t>采购人</w:t>
      </w:r>
      <w:r>
        <w:rPr>
          <w:rFonts w:hint="eastAsia" w:ascii="仿宋_GB2312" w:hAnsi="仿宋_GB2312" w:eastAsia="仿宋_GB2312" w:cs="仿宋_GB2312"/>
          <w:color w:val="auto"/>
          <w:sz w:val="32"/>
          <w:szCs w:val="32"/>
        </w:rPr>
        <w:t>仅对</w:t>
      </w:r>
      <w:r>
        <w:rPr>
          <w:rFonts w:hint="eastAsia" w:ascii="仿宋_GB2312" w:hAnsi="仿宋_GB2312" w:eastAsia="仿宋_GB2312" w:cs="仿宋_GB2312"/>
          <w:color w:val="auto"/>
          <w:sz w:val="32"/>
          <w:szCs w:val="32"/>
          <w:lang w:val="en-US" w:eastAsia="zh-CN"/>
        </w:rPr>
        <w:t>供货商</w:t>
      </w:r>
      <w:r>
        <w:rPr>
          <w:rFonts w:hint="eastAsia" w:ascii="仿宋_GB2312" w:hAnsi="仿宋_GB2312" w:eastAsia="仿宋_GB2312" w:cs="仿宋_GB2312"/>
          <w:color w:val="auto"/>
          <w:sz w:val="32"/>
          <w:szCs w:val="32"/>
        </w:rPr>
        <w:t>交付货物的数量、规格、外观等进行初步验收,初步验收合格不代表</w:t>
      </w:r>
      <w:r>
        <w:rPr>
          <w:rFonts w:hint="eastAsia" w:ascii="仿宋_GB2312" w:hAnsi="仿宋_GB2312" w:eastAsia="仿宋_GB2312" w:cs="仿宋_GB2312"/>
          <w:color w:val="auto"/>
          <w:sz w:val="32"/>
          <w:szCs w:val="32"/>
          <w:lang w:val="en-US" w:eastAsia="zh-CN"/>
        </w:rPr>
        <w:t>供货商</w:t>
      </w:r>
      <w:r>
        <w:rPr>
          <w:rFonts w:hint="eastAsia" w:ascii="仿宋_GB2312" w:hAnsi="仿宋_GB2312" w:eastAsia="仿宋_GB2312" w:cs="仿宋_GB2312"/>
          <w:color w:val="auto"/>
          <w:sz w:val="32"/>
          <w:szCs w:val="32"/>
        </w:rPr>
        <w:t>对所交付货物潜在质量安全问题免责。</w:t>
      </w:r>
      <w:r>
        <w:rPr>
          <w:rFonts w:hint="eastAsia" w:ascii="仿宋_GB2312" w:hAnsi="仿宋_GB2312" w:eastAsia="仿宋_GB2312" w:cs="仿宋_GB2312"/>
          <w:color w:val="auto"/>
          <w:sz w:val="32"/>
          <w:szCs w:val="32"/>
          <w:lang w:val="en-US" w:eastAsia="zh-CN"/>
        </w:rPr>
        <w:t>采购人</w:t>
      </w:r>
      <w:r>
        <w:rPr>
          <w:rFonts w:hint="eastAsia" w:ascii="仿宋_GB2312" w:hAnsi="仿宋_GB2312" w:eastAsia="仿宋_GB2312" w:cs="仿宋_GB2312"/>
          <w:color w:val="auto"/>
          <w:sz w:val="32"/>
          <w:szCs w:val="32"/>
        </w:rPr>
        <w:t>有权对货物进行破坏性抽样检测,检测费用和产生的成本由</w:t>
      </w:r>
      <w:r>
        <w:rPr>
          <w:rFonts w:hint="eastAsia" w:ascii="仿宋_GB2312" w:hAnsi="仿宋_GB2312" w:eastAsia="仿宋_GB2312" w:cs="仿宋_GB2312"/>
          <w:color w:val="auto"/>
          <w:sz w:val="32"/>
          <w:szCs w:val="32"/>
          <w:lang w:val="en-US" w:eastAsia="zh-CN"/>
        </w:rPr>
        <w:t>供应商</w:t>
      </w:r>
      <w:r>
        <w:rPr>
          <w:rFonts w:hint="eastAsia" w:ascii="仿宋_GB2312" w:hAnsi="仿宋_GB2312" w:eastAsia="仿宋_GB2312" w:cs="仿宋_GB2312"/>
          <w:color w:val="auto"/>
          <w:sz w:val="32"/>
          <w:szCs w:val="32"/>
        </w:rPr>
        <w:t>承担。</w:t>
      </w:r>
    </w:p>
    <w:p w14:paraId="6DBDD9B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15.2</w:t>
      </w:r>
      <w:r>
        <w:rPr>
          <w:rFonts w:hint="eastAsia" w:ascii="仿宋_GB2312" w:hAnsi="仿宋_GB2312" w:eastAsia="仿宋_GB2312" w:cs="仿宋_GB2312"/>
          <w:color w:val="auto"/>
          <w:sz w:val="32"/>
          <w:szCs w:val="32"/>
        </w:rPr>
        <w:t>数量的认定:</w:t>
      </w:r>
      <w:r>
        <w:rPr>
          <w:rFonts w:hint="eastAsia" w:ascii="仿宋_GB2312" w:hAnsi="仿宋_GB2312" w:eastAsia="仿宋_GB2312" w:cs="仿宋_GB2312"/>
          <w:color w:val="auto"/>
          <w:sz w:val="32"/>
          <w:szCs w:val="32"/>
          <w:lang w:val="en-US" w:eastAsia="zh-CN"/>
        </w:rPr>
        <w:t>供应商</w:t>
      </w:r>
      <w:r>
        <w:rPr>
          <w:rFonts w:hint="eastAsia" w:ascii="仿宋_GB2312" w:hAnsi="仿宋_GB2312" w:eastAsia="仿宋_GB2312" w:cs="仿宋_GB2312"/>
          <w:color w:val="auto"/>
          <w:sz w:val="32"/>
          <w:szCs w:val="32"/>
        </w:rPr>
        <w:t>依据</w:t>
      </w:r>
      <w:r>
        <w:rPr>
          <w:rFonts w:hint="eastAsia" w:ascii="仿宋_GB2312" w:hAnsi="仿宋_GB2312" w:eastAsia="仿宋_GB2312" w:cs="仿宋_GB2312"/>
          <w:color w:val="auto"/>
          <w:sz w:val="32"/>
          <w:szCs w:val="32"/>
          <w:lang w:val="en-US" w:eastAsia="zh-CN"/>
        </w:rPr>
        <w:t>采购人</w:t>
      </w:r>
      <w:r>
        <w:rPr>
          <w:rFonts w:hint="eastAsia" w:ascii="仿宋_GB2312" w:hAnsi="仿宋_GB2312" w:eastAsia="仿宋_GB2312" w:cs="仿宋_GB2312"/>
          <w:color w:val="auto"/>
          <w:sz w:val="32"/>
          <w:szCs w:val="32"/>
        </w:rPr>
        <w:t>提供的物资计划单中品种数量进行配送;</w:t>
      </w:r>
      <w:r>
        <w:rPr>
          <w:rFonts w:hint="eastAsia" w:ascii="仿宋_GB2312" w:hAnsi="仿宋_GB2312" w:eastAsia="仿宋_GB2312" w:cs="仿宋_GB2312"/>
          <w:color w:val="auto"/>
          <w:sz w:val="32"/>
          <w:szCs w:val="32"/>
          <w:lang w:val="en-US" w:eastAsia="zh-CN"/>
        </w:rPr>
        <w:t>采购人</w:t>
      </w:r>
      <w:r>
        <w:rPr>
          <w:rFonts w:hint="eastAsia" w:ascii="仿宋_GB2312" w:hAnsi="仿宋_GB2312" w:eastAsia="仿宋_GB2312" w:cs="仿宋_GB2312"/>
          <w:color w:val="auto"/>
          <w:sz w:val="32"/>
          <w:szCs w:val="32"/>
        </w:rPr>
        <w:t>工作人员和</w:t>
      </w:r>
      <w:r>
        <w:rPr>
          <w:rFonts w:hint="eastAsia" w:ascii="仿宋_GB2312" w:hAnsi="仿宋_GB2312" w:eastAsia="仿宋_GB2312" w:cs="仿宋_GB2312"/>
          <w:color w:val="auto"/>
          <w:sz w:val="32"/>
          <w:szCs w:val="32"/>
          <w:lang w:val="en-US" w:eastAsia="zh-CN"/>
        </w:rPr>
        <w:t>供应商</w:t>
      </w:r>
      <w:r>
        <w:rPr>
          <w:rFonts w:hint="eastAsia" w:ascii="仿宋_GB2312" w:hAnsi="仿宋_GB2312" w:eastAsia="仿宋_GB2312" w:cs="仿宋_GB2312"/>
          <w:color w:val="auto"/>
          <w:sz w:val="32"/>
          <w:szCs w:val="32"/>
        </w:rPr>
        <w:t>人员现场称重或点数完毕后,共同在送货单上核准并签字,并加盖</w:t>
      </w:r>
      <w:r>
        <w:rPr>
          <w:rFonts w:hint="eastAsia" w:ascii="仿宋_GB2312" w:hAnsi="仿宋_GB2312" w:eastAsia="仿宋_GB2312" w:cs="仿宋_GB2312"/>
          <w:color w:val="auto"/>
          <w:sz w:val="32"/>
          <w:szCs w:val="32"/>
          <w:lang w:val="en-US" w:eastAsia="zh-CN"/>
        </w:rPr>
        <w:t>供应商</w:t>
      </w:r>
      <w:r>
        <w:rPr>
          <w:rFonts w:hint="eastAsia" w:ascii="仿宋_GB2312" w:hAnsi="仿宋_GB2312" w:eastAsia="仿宋_GB2312" w:cs="仿宋_GB2312"/>
          <w:color w:val="auto"/>
          <w:sz w:val="32"/>
          <w:szCs w:val="32"/>
        </w:rPr>
        <w:t>公章作为结帐凭证,</w:t>
      </w:r>
      <w:r>
        <w:rPr>
          <w:rFonts w:hint="eastAsia" w:ascii="仿宋_GB2312" w:hAnsi="仿宋_GB2312" w:eastAsia="仿宋_GB2312" w:cs="仿宋_GB2312"/>
          <w:color w:val="auto"/>
          <w:sz w:val="32"/>
          <w:szCs w:val="32"/>
          <w:lang w:val="en-US" w:eastAsia="zh-CN"/>
        </w:rPr>
        <w:t>供应商</w:t>
      </w:r>
      <w:r>
        <w:rPr>
          <w:rFonts w:hint="eastAsia" w:ascii="仿宋_GB2312" w:hAnsi="仿宋_GB2312" w:eastAsia="仿宋_GB2312" w:cs="仿宋_GB2312"/>
          <w:color w:val="auto"/>
          <w:sz w:val="32"/>
          <w:szCs w:val="32"/>
        </w:rPr>
        <w:t>验收人员为法定代表人或</w:t>
      </w:r>
      <w:r>
        <w:rPr>
          <w:rFonts w:hint="eastAsia" w:ascii="仿宋_GB2312" w:hAnsi="仿宋_GB2312" w:eastAsia="仿宋_GB2312" w:cs="仿宋_GB2312"/>
          <w:color w:val="auto"/>
          <w:sz w:val="32"/>
          <w:szCs w:val="32"/>
          <w:lang w:val="en-US" w:eastAsia="zh-CN"/>
        </w:rPr>
        <w:t>供应商</w:t>
      </w:r>
      <w:r>
        <w:rPr>
          <w:rFonts w:hint="eastAsia" w:ascii="仿宋_GB2312" w:hAnsi="仿宋_GB2312" w:eastAsia="仿宋_GB2312" w:cs="仿宋_GB2312"/>
          <w:color w:val="auto"/>
          <w:sz w:val="32"/>
          <w:szCs w:val="32"/>
        </w:rPr>
        <w:t>书面授权的委托人,</w:t>
      </w:r>
      <w:r>
        <w:rPr>
          <w:rFonts w:hint="eastAsia" w:ascii="仿宋_GB2312" w:hAnsi="仿宋_GB2312" w:eastAsia="仿宋_GB2312" w:cs="仿宋_GB2312"/>
          <w:color w:val="auto"/>
          <w:sz w:val="32"/>
          <w:szCs w:val="32"/>
          <w:lang w:val="en-US" w:eastAsia="zh-CN"/>
        </w:rPr>
        <w:t>供应商</w:t>
      </w:r>
      <w:r>
        <w:rPr>
          <w:rFonts w:hint="eastAsia" w:ascii="仿宋_GB2312" w:hAnsi="仿宋_GB2312" w:eastAsia="仿宋_GB2312" w:cs="仿宋_GB2312"/>
          <w:color w:val="auto"/>
          <w:sz w:val="32"/>
          <w:szCs w:val="32"/>
        </w:rPr>
        <w:t>将授权委托书一并提交给</w:t>
      </w:r>
      <w:r>
        <w:rPr>
          <w:rFonts w:hint="eastAsia" w:ascii="仿宋_GB2312" w:hAnsi="仿宋_GB2312" w:eastAsia="仿宋_GB2312" w:cs="仿宋_GB2312"/>
          <w:color w:val="auto"/>
          <w:sz w:val="32"/>
          <w:szCs w:val="32"/>
          <w:lang w:val="en-US" w:eastAsia="zh-CN"/>
        </w:rPr>
        <w:t>采购人</w:t>
      </w:r>
      <w:r>
        <w:rPr>
          <w:rFonts w:hint="eastAsia" w:ascii="仿宋_GB2312" w:hAnsi="仿宋_GB2312" w:eastAsia="仿宋_GB2312" w:cs="仿宋_GB2312"/>
          <w:color w:val="auto"/>
          <w:sz w:val="32"/>
          <w:szCs w:val="32"/>
        </w:rPr>
        <w:t>,授权委托书应加盖</w:t>
      </w:r>
      <w:r>
        <w:rPr>
          <w:rFonts w:hint="eastAsia" w:ascii="仿宋_GB2312" w:hAnsi="仿宋_GB2312" w:eastAsia="仿宋_GB2312" w:cs="仿宋_GB2312"/>
          <w:color w:val="auto"/>
          <w:sz w:val="32"/>
          <w:szCs w:val="32"/>
          <w:lang w:val="en-US" w:eastAsia="zh-CN"/>
        </w:rPr>
        <w:t>供应商</w:t>
      </w:r>
      <w:r>
        <w:rPr>
          <w:rFonts w:hint="eastAsia" w:ascii="仿宋_GB2312" w:hAnsi="仿宋_GB2312" w:eastAsia="仿宋_GB2312" w:cs="仿宋_GB2312"/>
          <w:color w:val="auto"/>
          <w:sz w:val="32"/>
          <w:szCs w:val="32"/>
        </w:rPr>
        <w:t>公章并由法定代表人签字。结算数量按照实际进货数量(净重),除去未通过验收数量进行结算。</w:t>
      </w:r>
    </w:p>
    <w:p w14:paraId="6259B37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16</w:t>
      </w:r>
      <w:r>
        <w:rPr>
          <w:rFonts w:hint="eastAsia" w:ascii="仿宋_GB2312" w:hAnsi="仿宋_GB2312" w:eastAsia="仿宋_GB2312" w:cs="仿宋_GB2312"/>
          <w:color w:val="auto"/>
          <w:sz w:val="32"/>
          <w:szCs w:val="32"/>
        </w:rPr>
        <w:t>货款支付</w:t>
      </w:r>
    </w:p>
    <w:p w14:paraId="646840F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 xml:space="preserve">6.1 </w:t>
      </w:r>
      <w:r>
        <w:rPr>
          <w:rFonts w:hint="eastAsia" w:ascii="仿宋_GB2312" w:hAnsi="仿宋_GB2312" w:eastAsia="仿宋_GB2312" w:cs="仿宋_GB2312"/>
          <w:color w:val="auto"/>
          <w:sz w:val="32"/>
          <w:szCs w:val="32"/>
          <w:lang w:val="en-US" w:eastAsia="zh-CN"/>
        </w:rPr>
        <w:t>供应商</w:t>
      </w:r>
      <w:r>
        <w:rPr>
          <w:rFonts w:hint="eastAsia" w:ascii="仿宋_GB2312" w:hAnsi="仿宋_GB2312" w:eastAsia="仿宋_GB2312" w:cs="仿宋_GB2312"/>
          <w:color w:val="auto"/>
          <w:sz w:val="32"/>
          <w:szCs w:val="32"/>
        </w:rPr>
        <w:t>应按照</w:t>
      </w:r>
      <w:r>
        <w:rPr>
          <w:rFonts w:hint="eastAsia" w:ascii="仿宋_GB2312" w:hAnsi="仿宋_GB2312" w:eastAsia="仿宋_GB2312" w:cs="仿宋_GB2312"/>
          <w:color w:val="auto"/>
          <w:sz w:val="32"/>
          <w:szCs w:val="32"/>
          <w:lang w:val="en-US" w:eastAsia="zh-CN"/>
        </w:rPr>
        <w:t>采购人</w:t>
      </w:r>
      <w:r>
        <w:rPr>
          <w:rFonts w:hint="eastAsia" w:ascii="仿宋_GB2312" w:hAnsi="仿宋_GB2312" w:eastAsia="仿宋_GB2312" w:cs="仿宋_GB2312"/>
          <w:color w:val="auto"/>
          <w:sz w:val="32"/>
          <w:szCs w:val="32"/>
        </w:rPr>
        <w:t>的通知开具符合国家税务规定的正规普通发票(发票内容需与验收单一致,不能在税务局代开发票)交甲方查验,否则视为自行放弃供货资格。</w:t>
      </w:r>
    </w:p>
    <w:p w14:paraId="00EF22E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17其他要求</w:t>
      </w:r>
    </w:p>
    <w:p w14:paraId="6E91C25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17.1、采购</w:t>
      </w:r>
      <w:r>
        <w:rPr>
          <w:rFonts w:hint="eastAsia" w:ascii="仿宋_GB2312" w:hAnsi="仿宋_GB2312" w:eastAsia="仿宋_GB2312" w:cs="仿宋_GB2312"/>
          <w:color w:val="auto"/>
          <w:sz w:val="32"/>
          <w:szCs w:val="32"/>
        </w:rPr>
        <w:t>人保留</w:t>
      </w:r>
      <w:r>
        <w:rPr>
          <w:rFonts w:hint="eastAsia" w:ascii="仿宋_GB2312" w:hAnsi="仿宋_GB2312" w:eastAsia="仿宋_GB2312" w:cs="仿宋_GB2312"/>
          <w:color w:val="auto"/>
          <w:sz w:val="32"/>
          <w:szCs w:val="32"/>
          <w:highlight w:val="none"/>
        </w:rPr>
        <w:t>对</w:t>
      </w:r>
      <w:r>
        <w:rPr>
          <w:rFonts w:hint="eastAsia" w:ascii="仿宋_GB2312" w:hAnsi="仿宋_GB2312" w:eastAsia="仿宋_GB2312" w:cs="仿宋_GB2312"/>
          <w:color w:val="auto"/>
          <w:sz w:val="32"/>
          <w:szCs w:val="32"/>
          <w:highlight w:val="none"/>
          <w:lang w:val="en-US" w:eastAsia="zh-CN"/>
        </w:rPr>
        <w:t>中标</w:t>
      </w:r>
      <w:r>
        <w:rPr>
          <w:rFonts w:hint="eastAsia" w:ascii="仿宋_GB2312" w:hAnsi="仿宋_GB2312" w:eastAsia="仿宋_GB2312" w:cs="仿宋_GB2312"/>
          <w:color w:val="auto"/>
          <w:sz w:val="32"/>
          <w:szCs w:val="32"/>
          <w:highlight w:val="none"/>
        </w:rPr>
        <w:t>企业进一步</w:t>
      </w:r>
      <w:r>
        <w:rPr>
          <w:rFonts w:hint="eastAsia" w:ascii="仿宋_GB2312" w:hAnsi="仿宋_GB2312" w:eastAsia="仿宋_GB2312" w:cs="仿宋_GB2312"/>
          <w:color w:val="auto"/>
          <w:sz w:val="32"/>
          <w:szCs w:val="32"/>
        </w:rPr>
        <w:t>实地考察的权利，经查实</w:t>
      </w:r>
      <w:r>
        <w:rPr>
          <w:rFonts w:hint="eastAsia" w:ascii="仿宋_GB2312" w:hAnsi="仿宋_GB2312" w:eastAsia="仿宋_GB2312" w:cs="仿宋_GB2312"/>
          <w:color w:val="auto"/>
          <w:sz w:val="32"/>
          <w:szCs w:val="32"/>
          <w:lang w:val="en-US" w:eastAsia="zh-CN"/>
        </w:rPr>
        <w:t>成交供应商</w:t>
      </w:r>
      <w:r>
        <w:rPr>
          <w:rFonts w:hint="eastAsia" w:ascii="仿宋_GB2312" w:hAnsi="仿宋_GB2312" w:eastAsia="仿宋_GB2312" w:cs="仿宋_GB2312"/>
          <w:color w:val="auto"/>
          <w:sz w:val="32"/>
          <w:szCs w:val="32"/>
        </w:rPr>
        <w:t>提供的资料同</w:t>
      </w:r>
      <w:r>
        <w:rPr>
          <w:rFonts w:hint="eastAsia" w:ascii="仿宋_GB2312" w:hAnsi="仿宋_GB2312" w:eastAsia="仿宋_GB2312" w:cs="仿宋_GB2312"/>
          <w:color w:val="auto"/>
          <w:sz w:val="32"/>
          <w:szCs w:val="32"/>
          <w:lang w:val="en-US" w:eastAsia="zh-CN"/>
        </w:rPr>
        <w:t>招标文件</w:t>
      </w:r>
      <w:r>
        <w:rPr>
          <w:rFonts w:hint="eastAsia" w:ascii="仿宋_GB2312" w:hAnsi="仿宋_GB2312" w:eastAsia="仿宋_GB2312" w:cs="仿宋_GB2312"/>
          <w:color w:val="auto"/>
          <w:sz w:val="32"/>
          <w:szCs w:val="32"/>
        </w:rPr>
        <w:t>所要求内容与事实不符，有虚假行为的，招标人有权拒绝投标企业的</w:t>
      </w:r>
      <w:r>
        <w:rPr>
          <w:rFonts w:hint="eastAsia" w:ascii="仿宋_GB2312" w:hAnsi="仿宋_GB2312" w:eastAsia="仿宋_GB2312" w:cs="仿宋_GB2312"/>
          <w:color w:val="auto"/>
          <w:sz w:val="32"/>
          <w:szCs w:val="32"/>
          <w:lang w:val="en-US" w:eastAsia="zh-CN"/>
        </w:rPr>
        <w:t>合同签订并报监管单位处理</w:t>
      </w:r>
      <w:r>
        <w:rPr>
          <w:rFonts w:hint="eastAsia" w:ascii="仿宋_GB2312" w:hAnsi="仿宋_GB2312" w:eastAsia="仿宋_GB2312" w:cs="仿宋_GB2312"/>
          <w:color w:val="auto"/>
          <w:sz w:val="32"/>
          <w:szCs w:val="32"/>
        </w:rPr>
        <w:t>。</w:t>
      </w:r>
    </w:p>
    <w:p w14:paraId="44093BE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p>
    <w:p w14:paraId="24C126F3">
      <w:pPr>
        <w:pStyle w:val="2"/>
        <w:spacing w:line="360" w:lineRule="auto"/>
        <w:jc w:val="center"/>
        <w:rPr>
          <w:rFonts w:hint="eastAsia" w:ascii="方正小标宋_GBK" w:hAnsi="方正小标宋_GBK" w:eastAsia="方正小标宋_GBK" w:cs="方正小标宋_GBK"/>
          <w:b w:val="0"/>
          <w:bCs w:val="0"/>
          <w:color w:val="auto"/>
          <w:kern w:val="2"/>
          <w:sz w:val="32"/>
          <w:szCs w:val="32"/>
        </w:rPr>
      </w:pPr>
    </w:p>
    <w:p w14:paraId="29EC586D">
      <w:pPr>
        <w:rPr>
          <w:rFonts w:hint="eastAsia" w:ascii="方正小标宋_GBK" w:hAnsi="方正小标宋_GBK" w:eastAsia="方正小标宋_GBK" w:cs="方正小标宋_GBK"/>
          <w:b/>
          <w:bCs/>
          <w:color w:val="auto"/>
          <w:kern w:val="2"/>
          <w:sz w:val="32"/>
          <w:szCs w:val="32"/>
        </w:rPr>
      </w:pPr>
    </w:p>
    <w:p w14:paraId="302914D6">
      <w:pPr>
        <w:rPr>
          <w:rFonts w:hint="eastAsia" w:ascii="方正小标宋_GBK" w:hAnsi="方正小标宋_GBK" w:eastAsia="方正小标宋_GBK" w:cs="方正小标宋_GBK"/>
          <w:b/>
          <w:bCs/>
          <w:color w:val="auto"/>
          <w:kern w:val="2"/>
          <w:sz w:val="32"/>
          <w:szCs w:val="32"/>
        </w:rPr>
      </w:pPr>
    </w:p>
    <w:p w14:paraId="5557A1FB">
      <w:pPr>
        <w:rPr>
          <w:rFonts w:hint="eastAsia" w:ascii="方正小标宋_GBK" w:hAnsi="方正小标宋_GBK" w:eastAsia="方正小标宋_GBK" w:cs="方正小标宋_GBK"/>
          <w:b/>
          <w:bCs/>
          <w:color w:val="auto"/>
          <w:kern w:val="2"/>
          <w:sz w:val="32"/>
          <w:szCs w:val="32"/>
        </w:rPr>
      </w:pPr>
    </w:p>
    <w:p w14:paraId="5F1C329C">
      <w:pPr>
        <w:rPr>
          <w:rFonts w:hint="eastAsia" w:ascii="方正小标宋_GBK" w:hAnsi="方正小标宋_GBK" w:eastAsia="方正小标宋_GBK" w:cs="方正小标宋_GBK"/>
          <w:b/>
          <w:bCs/>
          <w:color w:val="auto"/>
          <w:kern w:val="2"/>
          <w:sz w:val="32"/>
          <w:szCs w:val="32"/>
        </w:rPr>
      </w:pPr>
    </w:p>
    <w:p w14:paraId="59E58044">
      <w:pPr>
        <w:rPr>
          <w:rFonts w:hint="eastAsia" w:ascii="方正小标宋_GBK" w:hAnsi="方正小标宋_GBK" w:eastAsia="方正小标宋_GBK" w:cs="方正小标宋_GBK"/>
          <w:b/>
          <w:bCs/>
          <w:color w:val="auto"/>
          <w:kern w:val="2"/>
          <w:sz w:val="32"/>
          <w:szCs w:val="32"/>
        </w:rPr>
      </w:pPr>
    </w:p>
    <w:p w14:paraId="381BC3CF">
      <w:pPr>
        <w:rPr>
          <w:rFonts w:hint="eastAsia" w:ascii="方正小标宋_GBK" w:hAnsi="方正小标宋_GBK" w:eastAsia="方正小标宋_GBK" w:cs="方正小标宋_GBK"/>
          <w:b/>
          <w:bCs/>
          <w:color w:val="auto"/>
          <w:kern w:val="2"/>
          <w:sz w:val="32"/>
          <w:szCs w:val="32"/>
        </w:rPr>
      </w:pPr>
    </w:p>
    <w:p w14:paraId="0B4E5AD4">
      <w:pPr>
        <w:rPr>
          <w:rFonts w:hint="eastAsia" w:ascii="方正小标宋_GBK" w:hAnsi="方正小标宋_GBK" w:eastAsia="方正小标宋_GBK" w:cs="方正小标宋_GBK"/>
          <w:b/>
          <w:bCs/>
          <w:color w:val="auto"/>
          <w:kern w:val="2"/>
          <w:sz w:val="32"/>
          <w:szCs w:val="32"/>
        </w:rPr>
      </w:pPr>
    </w:p>
    <w:p w14:paraId="3121468A">
      <w:pPr>
        <w:rPr>
          <w:rFonts w:hint="eastAsia" w:ascii="方正小标宋_GBK" w:hAnsi="方正小标宋_GBK" w:eastAsia="方正小标宋_GBK" w:cs="方正小标宋_GBK"/>
          <w:b/>
          <w:bCs/>
          <w:color w:val="auto"/>
          <w:kern w:val="2"/>
          <w:sz w:val="32"/>
          <w:szCs w:val="32"/>
        </w:rPr>
      </w:pPr>
    </w:p>
    <w:p w14:paraId="144DD984">
      <w:pPr>
        <w:rPr>
          <w:rFonts w:hint="eastAsia" w:ascii="方正小标宋_GBK" w:hAnsi="方正小标宋_GBK" w:eastAsia="方正小标宋_GBK" w:cs="方正小标宋_GBK"/>
          <w:b/>
          <w:bCs/>
          <w:color w:val="auto"/>
          <w:kern w:val="2"/>
          <w:sz w:val="32"/>
          <w:szCs w:val="32"/>
        </w:rPr>
      </w:pPr>
    </w:p>
    <w:p w14:paraId="49DA9505">
      <w:pPr>
        <w:rPr>
          <w:rFonts w:hint="eastAsia" w:ascii="方正小标宋_GBK" w:hAnsi="方正小标宋_GBK" w:eastAsia="方正小标宋_GBK" w:cs="方正小标宋_GBK"/>
          <w:b/>
          <w:bCs/>
          <w:color w:val="auto"/>
          <w:kern w:val="2"/>
          <w:sz w:val="32"/>
          <w:szCs w:val="32"/>
        </w:rPr>
      </w:pPr>
    </w:p>
    <w:p w14:paraId="3CDCC1C2">
      <w:pPr>
        <w:rPr>
          <w:rFonts w:hint="eastAsia" w:ascii="方正小标宋_GBK" w:hAnsi="方正小标宋_GBK" w:eastAsia="方正小标宋_GBK" w:cs="方正小标宋_GBK"/>
          <w:b/>
          <w:bCs/>
          <w:color w:val="auto"/>
          <w:kern w:val="2"/>
          <w:sz w:val="32"/>
          <w:szCs w:val="32"/>
        </w:rPr>
      </w:pPr>
    </w:p>
    <w:p w14:paraId="1ED6F61C">
      <w:pPr>
        <w:rPr>
          <w:rFonts w:hint="eastAsia"/>
          <w:color w:val="auto"/>
        </w:rPr>
      </w:pPr>
    </w:p>
    <w:p w14:paraId="5644989C">
      <w:pPr>
        <w:pStyle w:val="2"/>
        <w:spacing w:line="360" w:lineRule="auto"/>
        <w:jc w:val="center"/>
        <w:rPr>
          <w:rFonts w:hint="eastAsia" w:ascii="方正小标宋_GBK" w:hAnsi="方正小标宋_GBK" w:eastAsia="方正小标宋_GBK" w:cs="方正小标宋_GBK"/>
          <w:b w:val="0"/>
          <w:bCs w:val="0"/>
          <w:color w:val="auto"/>
          <w:kern w:val="2"/>
          <w:sz w:val="32"/>
          <w:szCs w:val="32"/>
        </w:rPr>
      </w:pPr>
      <w:r>
        <w:rPr>
          <w:rFonts w:hint="eastAsia" w:ascii="方正小标宋_GBK" w:hAnsi="方正小标宋_GBK" w:eastAsia="方正小标宋_GBK" w:cs="方正小标宋_GBK"/>
          <w:b w:val="0"/>
          <w:bCs w:val="0"/>
          <w:color w:val="auto"/>
          <w:kern w:val="2"/>
          <w:sz w:val="32"/>
          <w:szCs w:val="32"/>
        </w:rPr>
        <w:t>第六章   投标文件部分格式</w:t>
      </w:r>
      <w:bookmarkEnd w:id="293"/>
    </w:p>
    <w:p w14:paraId="2ACF59BA">
      <w:pPr>
        <w:spacing w:line="360" w:lineRule="auto"/>
        <w:jc w:val="center"/>
        <w:rPr>
          <w:rFonts w:hint="eastAsia" w:ascii="仿宋" w:hAnsi="仿宋" w:eastAsia="仿宋" w:cs="仿宋"/>
          <w:color w:val="auto"/>
          <w:sz w:val="32"/>
          <w:szCs w:val="32"/>
        </w:rPr>
      </w:pPr>
      <w:r>
        <w:rPr>
          <w:rFonts w:hint="eastAsia" w:ascii="仿宋" w:hAnsi="仿宋" w:eastAsia="仿宋" w:cs="仿宋"/>
          <w:color w:val="auto"/>
          <w:sz w:val="24"/>
          <w:szCs w:val="24"/>
        </w:rPr>
        <w:t xml:space="preserve">                                </w:t>
      </w:r>
      <w:r>
        <w:rPr>
          <w:rFonts w:hint="eastAsia" w:ascii="仿宋" w:hAnsi="仿宋" w:eastAsia="仿宋" w:cs="仿宋"/>
          <w:color w:val="auto"/>
          <w:sz w:val="32"/>
          <w:szCs w:val="32"/>
        </w:rPr>
        <w:t xml:space="preserve">    </w:t>
      </w:r>
      <w:bookmarkStart w:id="294" w:name="_Toc8812_WPSOffice_Level1"/>
      <w:bookmarkStart w:id="295" w:name="_Toc4221_WPSOffice_Level1"/>
      <w:r>
        <w:rPr>
          <w:rFonts w:hint="eastAsia" w:ascii="仿宋" w:hAnsi="仿宋" w:eastAsia="仿宋" w:cs="仿宋"/>
          <w:color w:val="auto"/>
          <w:sz w:val="32"/>
          <w:szCs w:val="32"/>
        </w:rPr>
        <w:t>正本/副本</w:t>
      </w:r>
      <w:bookmarkEnd w:id="294"/>
      <w:bookmarkEnd w:id="295"/>
    </w:p>
    <w:p w14:paraId="06DC54CB">
      <w:pPr>
        <w:pStyle w:val="19"/>
        <w:spacing w:line="360" w:lineRule="auto"/>
        <w:rPr>
          <w:rFonts w:hint="eastAsia" w:ascii="仿宋" w:hAnsi="仿宋" w:eastAsia="仿宋" w:cs="仿宋"/>
          <w:color w:val="auto"/>
          <w:sz w:val="32"/>
          <w:szCs w:val="32"/>
        </w:rPr>
      </w:pPr>
    </w:p>
    <w:p w14:paraId="19A6CB39">
      <w:pPr>
        <w:pStyle w:val="19"/>
        <w:spacing w:line="360" w:lineRule="auto"/>
        <w:rPr>
          <w:rFonts w:hint="eastAsia" w:ascii="仿宋" w:hAnsi="仿宋" w:eastAsia="仿宋" w:cs="仿宋"/>
          <w:color w:val="auto"/>
          <w:sz w:val="32"/>
          <w:szCs w:val="32"/>
        </w:rPr>
      </w:pPr>
    </w:p>
    <w:p w14:paraId="136ECA10">
      <w:pPr>
        <w:spacing w:line="360" w:lineRule="auto"/>
        <w:ind w:firstLine="1920" w:firstLineChars="600"/>
        <w:rPr>
          <w:rFonts w:hint="eastAsia" w:ascii="仿宋" w:hAnsi="仿宋" w:eastAsia="仿宋" w:cs="仿宋"/>
          <w:color w:val="auto"/>
          <w:sz w:val="32"/>
          <w:szCs w:val="32"/>
        </w:rPr>
      </w:pPr>
      <w:r>
        <w:rPr>
          <w:rFonts w:hint="eastAsia" w:ascii="仿宋" w:hAnsi="仿宋" w:eastAsia="仿宋" w:cs="仿宋"/>
          <w:color w:val="auto"/>
          <w:sz w:val="32"/>
          <w:szCs w:val="32"/>
          <w:u w:val="single"/>
        </w:rPr>
        <w:t xml:space="preserve">             （项目名称）                </w:t>
      </w:r>
    </w:p>
    <w:p w14:paraId="645399B6">
      <w:pPr>
        <w:spacing w:line="360" w:lineRule="auto"/>
        <w:rPr>
          <w:rFonts w:hint="eastAsia" w:ascii="仿宋" w:hAnsi="仿宋" w:eastAsia="仿宋" w:cs="仿宋"/>
          <w:color w:val="auto"/>
          <w:sz w:val="32"/>
          <w:szCs w:val="32"/>
        </w:rPr>
      </w:pPr>
    </w:p>
    <w:p w14:paraId="36AE43E4">
      <w:pPr>
        <w:spacing w:line="360" w:lineRule="auto"/>
        <w:rPr>
          <w:rFonts w:hint="eastAsia" w:ascii="仿宋" w:hAnsi="仿宋" w:eastAsia="仿宋" w:cs="仿宋"/>
          <w:color w:val="auto"/>
          <w:sz w:val="32"/>
          <w:szCs w:val="32"/>
        </w:rPr>
      </w:pPr>
    </w:p>
    <w:p w14:paraId="4155BEEF">
      <w:pPr>
        <w:pStyle w:val="19"/>
        <w:spacing w:line="360" w:lineRule="auto"/>
        <w:rPr>
          <w:rFonts w:hint="eastAsia" w:ascii="仿宋" w:hAnsi="仿宋" w:eastAsia="仿宋" w:cs="仿宋"/>
          <w:color w:val="auto"/>
          <w:sz w:val="32"/>
          <w:szCs w:val="32"/>
        </w:rPr>
      </w:pPr>
    </w:p>
    <w:p w14:paraId="30351D0D">
      <w:pPr>
        <w:spacing w:line="360" w:lineRule="auto"/>
        <w:jc w:val="center"/>
        <w:rPr>
          <w:rFonts w:hint="eastAsia" w:ascii="仿宋" w:hAnsi="仿宋" w:eastAsia="仿宋" w:cs="仿宋"/>
          <w:b/>
          <w:bCs/>
          <w:color w:val="auto"/>
          <w:sz w:val="32"/>
          <w:szCs w:val="32"/>
        </w:rPr>
      </w:pPr>
      <w:r>
        <w:rPr>
          <w:rFonts w:hint="eastAsia" w:ascii="仿宋" w:hAnsi="仿宋" w:eastAsia="仿宋" w:cs="仿宋"/>
          <w:b/>
          <w:bCs/>
          <w:color w:val="auto"/>
          <w:sz w:val="32"/>
          <w:szCs w:val="32"/>
        </w:rPr>
        <w:t>投标文件</w:t>
      </w:r>
    </w:p>
    <w:p w14:paraId="1B9C1E1F">
      <w:pPr>
        <w:pStyle w:val="72"/>
        <w:spacing w:line="360" w:lineRule="auto"/>
        <w:ind w:firstLine="643"/>
        <w:rPr>
          <w:rFonts w:hint="eastAsia" w:ascii="仿宋" w:hAnsi="仿宋" w:eastAsia="仿宋" w:cs="仿宋"/>
          <w:b/>
          <w:bCs/>
          <w:color w:val="auto"/>
          <w:sz w:val="32"/>
          <w:szCs w:val="32"/>
        </w:rPr>
      </w:pPr>
    </w:p>
    <w:p w14:paraId="19203615">
      <w:pPr>
        <w:pStyle w:val="72"/>
        <w:spacing w:line="360" w:lineRule="auto"/>
        <w:ind w:firstLine="643"/>
        <w:rPr>
          <w:rFonts w:hint="eastAsia" w:ascii="仿宋" w:hAnsi="仿宋" w:eastAsia="仿宋" w:cs="仿宋"/>
          <w:b/>
          <w:bCs/>
          <w:color w:val="auto"/>
          <w:sz w:val="32"/>
          <w:szCs w:val="32"/>
        </w:rPr>
      </w:pPr>
    </w:p>
    <w:p w14:paraId="5C7C98A7">
      <w:pPr>
        <w:pStyle w:val="72"/>
        <w:spacing w:line="360" w:lineRule="auto"/>
        <w:ind w:firstLine="643"/>
        <w:rPr>
          <w:rFonts w:hint="eastAsia" w:ascii="仿宋" w:hAnsi="仿宋" w:eastAsia="仿宋" w:cs="仿宋"/>
          <w:b/>
          <w:bCs/>
          <w:color w:val="auto"/>
          <w:sz w:val="32"/>
          <w:szCs w:val="32"/>
        </w:rPr>
      </w:pPr>
    </w:p>
    <w:p w14:paraId="2806E3F3">
      <w:pPr>
        <w:pStyle w:val="72"/>
        <w:spacing w:line="360" w:lineRule="auto"/>
        <w:ind w:firstLine="643"/>
        <w:rPr>
          <w:rFonts w:hint="eastAsia" w:ascii="仿宋" w:hAnsi="仿宋" w:eastAsia="仿宋" w:cs="仿宋"/>
          <w:b/>
          <w:bCs/>
          <w:color w:val="auto"/>
          <w:sz w:val="32"/>
          <w:szCs w:val="32"/>
        </w:rPr>
      </w:pPr>
    </w:p>
    <w:p w14:paraId="32C8182F">
      <w:pPr>
        <w:spacing w:line="360" w:lineRule="auto"/>
        <w:rPr>
          <w:rFonts w:hint="eastAsia" w:ascii="仿宋" w:hAnsi="仿宋" w:eastAsia="仿宋" w:cs="仿宋"/>
          <w:color w:val="auto"/>
          <w:kern w:val="0"/>
          <w:sz w:val="32"/>
          <w:szCs w:val="32"/>
        </w:rPr>
      </w:pPr>
    </w:p>
    <w:p w14:paraId="2152F52D">
      <w:pPr>
        <w:spacing w:line="360" w:lineRule="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投标单位名称（盖章）：</w:t>
      </w:r>
      <w:r>
        <w:rPr>
          <w:rFonts w:hint="eastAsia" w:ascii="仿宋" w:hAnsi="仿宋" w:eastAsia="仿宋" w:cs="仿宋"/>
          <w:color w:val="auto"/>
          <w:kern w:val="0"/>
          <w:sz w:val="32"/>
          <w:szCs w:val="32"/>
          <w:u w:val="single"/>
        </w:rPr>
        <w:t xml:space="preserve">                                 </w:t>
      </w:r>
      <w:r>
        <w:rPr>
          <w:rFonts w:hint="eastAsia" w:ascii="仿宋" w:hAnsi="仿宋" w:eastAsia="仿宋" w:cs="仿宋"/>
          <w:color w:val="auto"/>
          <w:kern w:val="0"/>
          <w:sz w:val="32"/>
          <w:szCs w:val="32"/>
        </w:rPr>
        <w:t xml:space="preserve">                               </w:t>
      </w:r>
    </w:p>
    <w:p w14:paraId="1B147730">
      <w:pPr>
        <w:spacing w:line="360" w:lineRule="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法人或委托代理人（签字或盖章）：</w:t>
      </w:r>
      <w:r>
        <w:rPr>
          <w:rFonts w:hint="eastAsia" w:ascii="仿宋" w:hAnsi="仿宋" w:eastAsia="仿宋" w:cs="仿宋"/>
          <w:color w:val="auto"/>
          <w:kern w:val="0"/>
          <w:sz w:val="32"/>
          <w:szCs w:val="32"/>
          <w:u w:val="single"/>
        </w:rPr>
        <w:t xml:space="preserve">                             </w:t>
      </w:r>
      <w:r>
        <w:rPr>
          <w:rFonts w:hint="eastAsia" w:ascii="仿宋" w:hAnsi="仿宋" w:eastAsia="仿宋" w:cs="仿宋"/>
          <w:color w:val="auto"/>
          <w:kern w:val="0"/>
          <w:sz w:val="32"/>
          <w:szCs w:val="32"/>
        </w:rPr>
        <w:t xml:space="preserve"> </w:t>
      </w:r>
    </w:p>
    <w:p w14:paraId="5CD2BEFC">
      <w:pPr>
        <w:spacing w:line="360" w:lineRule="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单 位 地  址：</w:t>
      </w:r>
      <w:r>
        <w:rPr>
          <w:rFonts w:hint="eastAsia" w:ascii="仿宋" w:hAnsi="仿宋" w:eastAsia="仿宋" w:cs="仿宋"/>
          <w:color w:val="auto"/>
          <w:kern w:val="0"/>
          <w:sz w:val="32"/>
          <w:szCs w:val="32"/>
          <w:u w:val="single"/>
        </w:rPr>
        <w:t xml:space="preserve">                                         </w:t>
      </w:r>
      <w:r>
        <w:rPr>
          <w:rFonts w:hint="eastAsia" w:ascii="仿宋" w:hAnsi="仿宋" w:eastAsia="仿宋" w:cs="仿宋"/>
          <w:color w:val="auto"/>
          <w:kern w:val="0"/>
          <w:sz w:val="32"/>
          <w:szCs w:val="32"/>
        </w:rPr>
        <w:t xml:space="preserve"> </w:t>
      </w:r>
    </w:p>
    <w:p w14:paraId="3D63478A">
      <w:pPr>
        <w:spacing w:line="360" w:lineRule="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联   系   人：</w:t>
      </w:r>
      <w:r>
        <w:rPr>
          <w:rFonts w:hint="eastAsia" w:ascii="仿宋" w:hAnsi="仿宋" w:eastAsia="仿宋" w:cs="仿宋"/>
          <w:color w:val="auto"/>
          <w:kern w:val="0"/>
          <w:sz w:val="32"/>
          <w:szCs w:val="32"/>
          <w:u w:val="single"/>
        </w:rPr>
        <w:t xml:space="preserve">                                         </w:t>
      </w:r>
      <w:r>
        <w:rPr>
          <w:rFonts w:hint="eastAsia" w:ascii="仿宋" w:hAnsi="仿宋" w:eastAsia="仿宋" w:cs="仿宋"/>
          <w:color w:val="auto"/>
          <w:kern w:val="0"/>
          <w:sz w:val="32"/>
          <w:szCs w:val="32"/>
        </w:rPr>
        <w:t xml:space="preserve">  </w:t>
      </w:r>
    </w:p>
    <w:p w14:paraId="106CD8FB">
      <w:pPr>
        <w:spacing w:line="360" w:lineRule="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联 系 电  话：</w:t>
      </w:r>
      <w:r>
        <w:rPr>
          <w:rFonts w:hint="eastAsia" w:ascii="仿宋" w:hAnsi="仿宋" w:eastAsia="仿宋" w:cs="仿宋"/>
          <w:color w:val="auto"/>
          <w:kern w:val="0"/>
          <w:sz w:val="32"/>
          <w:szCs w:val="32"/>
          <w:u w:val="single"/>
        </w:rPr>
        <w:t xml:space="preserve">                                         </w:t>
      </w:r>
      <w:r>
        <w:rPr>
          <w:rFonts w:hint="eastAsia" w:ascii="仿宋" w:hAnsi="仿宋" w:eastAsia="仿宋" w:cs="仿宋"/>
          <w:color w:val="auto"/>
          <w:kern w:val="0"/>
          <w:sz w:val="32"/>
          <w:szCs w:val="32"/>
        </w:rPr>
        <w:t xml:space="preserve">  </w:t>
      </w:r>
    </w:p>
    <w:p w14:paraId="57F95166">
      <w:pPr>
        <w:spacing w:line="360" w:lineRule="auto"/>
        <w:rPr>
          <w:rFonts w:hint="eastAsia" w:ascii="仿宋" w:hAnsi="仿宋" w:eastAsia="仿宋" w:cs="仿宋"/>
          <w:color w:val="auto"/>
          <w:kern w:val="0"/>
          <w:sz w:val="24"/>
          <w:szCs w:val="24"/>
        </w:rPr>
      </w:pPr>
      <w:r>
        <w:rPr>
          <w:rFonts w:hint="eastAsia" w:ascii="仿宋" w:hAnsi="仿宋" w:eastAsia="仿宋" w:cs="仿宋"/>
          <w:color w:val="auto"/>
          <w:kern w:val="0"/>
          <w:sz w:val="32"/>
          <w:szCs w:val="32"/>
        </w:rPr>
        <w:t>邮  政 编 码：</w:t>
      </w:r>
      <w:r>
        <w:rPr>
          <w:rFonts w:hint="eastAsia" w:ascii="仿宋" w:hAnsi="仿宋" w:eastAsia="仿宋" w:cs="仿宋"/>
          <w:color w:val="auto"/>
          <w:kern w:val="0"/>
          <w:sz w:val="32"/>
          <w:szCs w:val="32"/>
          <w:u w:val="single"/>
        </w:rPr>
        <w:t xml:space="preserve">                                         </w:t>
      </w:r>
      <w:r>
        <w:rPr>
          <w:rFonts w:hint="eastAsia" w:ascii="仿宋" w:hAnsi="仿宋" w:eastAsia="仿宋" w:cs="仿宋"/>
          <w:color w:val="auto"/>
          <w:kern w:val="0"/>
          <w:sz w:val="24"/>
          <w:szCs w:val="24"/>
        </w:rPr>
        <w:t xml:space="preserve"> </w:t>
      </w:r>
    </w:p>
    <w:p w14:paraId="688DA0B1">
      <w:pPr>
        <w:spacing w:line="360" w:lineRule="auto"/>
        <w:jc w:val="center"/>
        <w:rPr>
          <w:rFonts w:hint="eastAsia" w:ascii="仿宋" w:hAnsi="仿宋" w:eastAsia="仿宋" w:cs="仿宋"/>
          <w:b/>
          <w:color w:val="auto"/>
          <w:sz w:val="24"/>
          <w:szCs w:val="24"/>
        </w:rPr>
      </w:pPr>
      <w:r>
        <w:rPr>
          <w:rFonts w:hint="eastAsia" w:ascii="仿宋" w:hAnsi="仿宋" w:eastAsia="仿宋" w:cs="仿宋"/>
          <w:color w:val="auto"/>
          <w:sz w:val="24"/>
          <w:szCs w:val="24"/>
        </w:rPr>
        <w:t xml:space="preserve">       年        月        日</w:t>
      </w:r>
    </w:p>
    <w:p w14:paraId="6947D7C4">
      <w:pPr>
        <w:pStyle w:val="75"/>
        <w:spacing w:line="360" w:lineRule="auto"/>
        <w:ind w:firstLineChars="83"/>
        <w:jc w:val="center"/>
        <w:rPr>
          <w:rFonts w:hint="eastAsia" w:ascii="仿宋" w:hAnsi="仿宋" w:eastAsia="仿宋" w:cs="仿宋"/>
          <w:b/>
          <w:color w:val="auto"/>
          <w:sz w:val="24"/>
          <w:szCs w:val="24"/>
        </w:rPr>
      </w:pPr>
    </w:p>
    <w:p w14:paraId="6C33DA35">
      <w:pPr>
        <w:pStyle w:val="75"/>
        <w:spacing w:line="360" w:lineRule="auto"/>
        <w:ind w:firstLine="267" w:firstLineChars="83"/>
        <w:jc w:val="center"/>
        <w:rPr>
          <w:rFonts w:hint="eastAsia" w:hAnsi="仿宋_GB2312" w:cs="仿宋_GB2312"/>
          <w:b/>
          <w:color w:val="auto"/>
          <w:sz w:val="32"/>
          <w:szCs w:val="32"/>
        </w:rPr>
      </w:pPr>
      <w:r>
        <w:rPr>
          <w:rFonts w:hint="eastAsia" w:hAnsi="仿宋_GB2312" w:cs="仿宋_GB2312"/>
          <w:b/>
          <w:color w:val="auto"/>
          <w:sz w:val="32"/>
          <w:szCs w:val="32"/>
        </w:rPr>
        <w:t>投标文件目录</w:t>
      </w:r>
    </w:p>
    <w:p w14:paraId="4F66897B">
      <w:pPr>
        <w:pStyle w:val="75"/>
        <w:spacing w:line="360" w:lineRule="auto"/>
        <w:ind w:firstLine="630" w:firstLineChars="197"/>
        <w:rPr>
          <w:rFonts w:hint="eastAsia" w:hAnsi="仿宋_GB2312" w:cs="仿宋_GB2312"/>
          <w:color w:val="auto"/>
          <w:sz w:val="32"/>
          <w:szCs w:val="32"/>
        </w:rPr>
      </w:pPr>
      <w:r>
        <w:rPr>
          <w:rFonts w:hint="eastAsia" w:hAnsi="仿宋_GB2312" w:cs="仿宋_GB2312"/>
          <w:color w:val="auto"/>
          <w:sz w:val="32"/>
          <w:szCs w:val="32"/>
        </w:rPr>
        <w:t>（1）投标承诺书</w:t>
      </w:r>
    </w:p>
    <w:p w14:paraId="5B71D670">
      <w:pPr>
        <w:pStyle w:val="75"/>
        <w:spacing w:line="360" w:lineRule="auto"/>
        <w:ind w:firstLine="630" w:firstLineChars="197"/>
        <w:rPr>
          <w:rFonts w:hint="eastAsia" w:hAnsi="仿宋_GB2312" w:cs="仿宋_GB2312"/>
          <w:color w:val="auto"/>
          <w:sz w:val="32"/>
          <w:szCs w:val="32"/>
        </w:rPr>
      </w:pPr>
      <w:r>
        <w:rPr>
          <w:rFonts w:hint="eastAsia" w:hAnsi="仿宋_GB2312" w:cs="仿宋_GB2312"/>
          <w:color w:val="auto"/>
          <w:sz w:val="32"/>
          <w:szCs w:val="32"/>
        </w:rPr>
        <w:t>（2）报价一览表</w:t>
      </w:r>
    </w:p>
    <w:p w14:paraId="517F7C13">
      <w:pPr>
        <w:pStyle w:val="75"/>
        <w:spacing w:line="360" w:lineRule="auto"/>
        <w:ind w:firstLine="630" w:firstLineChars="197"/>
        <w:rPr>
          <w:rFonts w:hint="eastAsia" w:hAnsi="仿宋_GB2312" w:cs="仿宋_GB2312"/>
          <w:color w:val="auto"/>
          <w:sz w:val="32"/>
          <w:szCs w:val="32"/>
        </w:rPr>
      </w:pPr>
      <w:r>
        <w:rPr>
          <w:rFonts w:hint="eastAsia" w:hAnsi="仿宋_GB2312" w:cs="仿宋_GB2312"/>
          <w:color w:val="auto"/>
          <w:sz w:val="32"/>
          <w:szCs w:val="32"/>
        </w:rPr>
        <w:t>（3）报价一览明细表</w:t>
      </w:r>
    </w:p>
    <w:p w14:paraId="358EFFFA">
      <w:pPr>
        <w:pStyle w:val="75"/>
        <w:spacing w:line="360" w:lineRule="auto"/>
        <w:ind w:firstLine="630" w:firstLineChars="197"/>
        <w:rPr>
          <w:rFonts w:hint="eastAsia" w:hAnsi="仿宋_GB2312" w:cs="仿宋_GB2312"/>
          <w:color w:val="auto"/>
          <w:sz w:val="32"/>
          <w:szCs w:val="32"/>
        </w:rPr>
      </w:pPr>
      <w:r>
        <w:rPr>
          <w:rFonts w:hint="eastAsia" w:hAnsi="仿宋_GB2312" w:cs="仿宋_GB2312"/>
          <w:color w:val="auto"/>
          <w:sz w:val="32"/>
          <w:szCs w:val="32"/>
        </w:rPr>
        <w:t>（4）法定代表人身份证明</w:t>
      </w:r>
    </w:p>
    <w:p w14:paraId="28184046">
      <w:pPr>
        <w:pStyle w:val="75"/>
        <w:spacing w:line="360" w:lineRule="auto"/>
        <w:ind w:firstLine="630" w:firstLineChars="197"/>
        <w:rPr>
          <w:rFonts w:hint="eastAsia" w:hAnsi="仿宋_GB2312" w:cs="仿宋_GB2312"/>
          <w:color w:val="auto"/>
          <w:sz w:val="32"/>
          <w:szCs w:val="32"/>
        </w:rPr>
      </w:pPr>
      <w:r>
        <w:rPr>
          <w:rFonts w:hint="eastAsia" w:hAnsi="仿宋_GB2312" w:cs="仿宋_GB2312"/>
          <w:color w:val="auto"/>
          <w:sz w:val="32"/>
          <w:szCs w:val="32"/>
        </w:rPr>
        <w:t>（5）法定代表人授权委托书</w:t>
      </w:r>
    </w:p>
    <w:p w14:paraId="089FB015">
      <w:pPr>
        <w:pStyle w:val="75"/>
        <w:spacing w:line="360" w:lineRule="auto"/>
        <w:ind w:firstLine="630" w:firstLineChars="197"/>
        <w:rPr>
          <w:rFonts w:hint="eastAsia" w:hAnsi="仿宋_GB2312" w:cs="仿宋_GB2312"/>
          <w:color w:val="auto"/>
          <w:sz w:val="32"/>
          <w:szCs w:val="32"/>
        </w:rPr>
      </w:pPr>
      <w:r>
        <w:rPr>
          <w:rFonts w:hint="eastAsia" w:hAnsi="仿宋_GB2312" w:cs="仿宋_GB2312"/>
          <w:color w:val="auto"/>
          <w:sz w:val="32"/>
          <w:szCs w:val="32"/>
        </w:rPr>
        <w:t>（6）投标保证金打款凭证或投标保函</w:t>
      </w:r>
    </w:p>
    <w:p w14:paraId="6100057D">
      <w:pPr>
        <w:pStyle w:val="75"/>
        <w:spacing w:line="360" w:lineRule="auto"/>
        <w:ind w:firstLine="630" w:firstLineChars="197"/>
        <w:rPr>
          <w:rFonts w:hint="eastAsia" w:hAnsi="仿宋_GB2312" w:cs="仿宋_GB2312"/>
          <w:color w:val="auto"/>
          <w:sz w:val="32"/>
          <w:szCs w:val="32"/>
        </w:rPr>
      </w:pPr>
      <w:r>
        <w:rPr>
          <w:rFonts w:hint="eastAsia" w:hAnsi="仿宋_GB2312" w:cs="仿宋_GB2312"/>
          <w:color w:val="auto"/>
          <w:sz w:val="32"/>
          <w:szCs w:val="32"/>
        </w:rPr>
        <w:t>（7）技术条件响应/偏离表</w:t>
      </w:r>
    </w:p>
    <w:p w14:paraId="1FF67A9C">
      <w:pPr>
        <w:pStyle w:val="19"/>
        <w:spacing w:line="360" w:lineRule="auto"/>
        <w:ind w:firstLine="640" w:firstLineChars="200"/>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（8）商务条件响应/偏离表</w:t>
      </w:r>
    </w:p>
    <w:p w14:paraId="7BC51574">
      <w:pPr>
        <w:pStyle w:val="75"/>
        <w:spacing w:line="360" w:lineRule="auto"/>
        <w:ind w:firstLine="640"/>
        <w:rPr>
          <w:rFonts w:hint="eastAsia" w:hAnsi="仿宋_GB2312" w:cs="仿宋_GB2312"/>
          <w:color w:val="auto"/>
          <w:sz w:val="32"/>
          <w:szCs w:val="32"/>
        </w:rPr>
      </w:pPr>
      <w:r>
        <w:rPr>
          <w:rFonts w:hint="eastAsia" w:hAnsi="仿宋_GB2312" w:cs="仿宋_GB2312"/>
          <w:color w:val="auto"/>
          <w:sz w:val="32"/>
          <w:szCs w:val="32"/>
        </w:rPr>
        <w:t>（9）相应的资格证明文件以及商务因素、技术因素、服务因素所需证明资料（包括不限于企业简介、企业相关证件等）（格式自拟）</w:t>
      </w:r>
    </w:p>
    <w:p w14:paraId="47591741">
      <w:pPr>
        <w:pStyle w:val="75"/>
        <w:spacing w:line="360" w:lineRule="auto"/>
        <w:ind w:firstLine="640"/>
        <w:rPr>
          <w:rFonts w:hint="eastAsia" w:hAnsi="仿宋_GB2312" w:cs="仿宋_GB2312"/>
          <w:color w:val="auto"/>
          <w:sz w:val="32"/>
          <w:szCs w:val="32"/>
        </w:rPr>
      </w:pPr>
      <w:r>
        <w:rPr>
          <w:rFonts w:hint="eastAsia" w:hAnsi="仿宋_GB2312" w:cs="仿宋_GB2312"/>
          <w:color w:val="auto"/>
          <w:sz w:val="32"/>
          <w:szCs w:val="32"/>
        </w:rPr>
        <w:t>（10）投标人近三年（2023年05月01日至今）类似项目业绩（附中标通知书</w:t>
      </w:r>
      <w:r>
        <w:rPr>
          <w:rFonts w:hint="eastAsia" w:hAnsi="仿宋_GB2312" w:cs="仿宋_GB2312"/>
          <w:color w:val="auto"/>
          <w:sz w:val="32"/>
          <w:szCs w:val="32"/>
          <w:lang w:val="en-US" w:eastAsia="zh-CN"/>
        </w:rPr>
        <w:t>和</w:t>
      </w:r>
      <w:r>
        <w:rPr>
          <w:rFonts w:hint="eastAsia" w:hAnsi="仿宋_GB2312" w:cs="仿宋_GB2312"/>
          <w:color w:val="auto"/>
          <w:sz w:val="32"/>
          <w:szCs w:val="32"/>
          <w:lang w:eastAsia="zh-CN"/>
        </w:rPr>
        <w:t>采购合同及验收单（或甲方评价意见表）</w:t>
      </w:r>
    </w:p>
    <w:p w14:paraId="125D929F">
      <w:pPr>
        <w:pStyle w:val="75"/>
        <w:autoSpaceDE w:val="0"/>
        <w:autoSpaceDN w:val="0"/>
        <w:adjustRightInd w:val="0"/>
        <w:spacing w:line="560" w:lineRule="exact"/>
        <w:ind w:firstLine="640"/>
        <w:rPr>
          <w:rFonts w:hint="eastAsia" w:hAnsi="仿宋_GB2312" w:cs="仿宋_GB2312"/>
          <w:color w:val="auto"/>
          <w:sz w:val="32"/>
          <w:szCs w:val="32"/>
        </w:rPr>
      </w:pPr>
      <w:r>
        <w:rPr>
          <w:rFonts w:hint="eastAsia" w:hAnsi="仿宋_GB2312" w:cs="仿宋_GB2312"/>
          <w:color w:val="auto"/>
          <w:sz w:val="32"/>
          <w:szCs w:val="32"/>
        </w:rPr>
        <w:t>（11）技术部分包括但不限于以下内容</w:t>
      </w:r>
      <w:r>
        <w:rPr>
          <w:rFonts w:hint="eastAsia" w:hAnsi="仿宋_GB2312" w:cs="仿宋_GB2312"/>
          <w:color w:val="auto"/>
          <w:sz w:val="32"/>
          <w:szCs w:val="32"/>
        </w:rPr>
        <w:t>：</w:t>
      </w:r>
      <w:r>
        <w:rPr>
          <w:rFonts w:hint="eastAsia" w:ascii="仿宋" w:hAnsi="仿宋" w:eastAsia="仿宋" w:cs="仿宋"/>
          <w:color w:val="auto"/>
          <w:kern w:val="0"/>
          <w:sz w:val="32"/>
          <w:szCs w:val="32"/>
          <w:highlight w:val="none"/>
          <w:lang w:val="en-US" w:eastAsia="zh-CN"/>
        </w:rPr>
        <w:t>配送方案、</w:t>
      </w:r>
      <w:r>
        <w:rPr>
          <w:rFonts w:hint="eastAsia" w:ascii="仿宋" w:hAnsi="仿宋" w:eastAsia="仿宋" w:cs="仿宋"/>
          <w:color w:val="auto"/>
          <w:kern w:val="0"/>
          <w:sz w:val="32"/>
          <w:szCs w:val="32"/>
          <w:highlight w:val="none"/>
          <w:lang w:val="en-US" w:eastAsia="zh-CN" w:bidi="ar-SA"/>
        </w:rPr>
        <w:t>货源保障能力</w:t>
      </w:r>
      <w:r>
        <w:rPr>
          <w:rFonts w:hint="eastAsia" w:hAnsi="仿宋_GB2312" w:cs="仿宋_GB2312"/>
          <w:color w:val="auto"/>
          <w:sz w:val="32"/>
          <w:szCs w:val="32"/>
        </w:rPr>
        <w:t>、</w:t>
      </w:r>
      <w:r>
        <w:rPr>
          <w:rFonts w:hint="eastAsia" w:ascii="仿宋" w:hAnsi="仿宋" w:eastAsia="仿宋" w:cs="仿宋"/>
          <w:color w:val="auto"/>
          <w:kern w:val="0"/>
          <w:sz w:val="32"/>
          <w:szCs w:val="32"/>
          <w:lang w:val="en-US" w:eastAsia="zh-CN"/>
        </w:rPr>
        <w:t>质量安全</w:t>
      </w:r>
      <w:r>
        <w:rPr>
          <w:rFonts w:hint="eastAsia" w:hAnsi="仿宋_GB2312" w:cs="仿宋_GB2312"/>
          <w:color w:val="auto"/>
          <w:sz w:val="32"/>
          <w:szCs w:val="32"/>
        </w:rPr>
        <w:t>、</w:t>
      </w:r>
      <w:r>
        <w:rPr>
          <w:rFonts w:hint="eastAsia" w:ascii="仿宋" w:hAnsi="仿宋" w:eastAsia="仿宋" w:cs="仿宋"/>
          <w:color w:val="auto"/>
          <w:kern w:val="0"/>
          <w:sz w:val="32"/>
          <w:szCs w:val="32"/>
          <w:lang w:val="en-US" w:eastAsia="zh-CN"/>
        </w:rPr>
        <w:t>服务质量</w:t>
      </w:r>
      <w:r>
        <w:rPr>
          <w:rFonts w:hint="eastAsia" w:hAnsi="仿宋_GB2312" w:cs="仿宋_GB2312"/>
          <w:color w:val="auto"/>
          <w:sz w:val="32"/>
          <w:szCs w:val="32"/>
        </w:rPr>
        <w:t>、</w:t>
      </w:r>
      <w:r>
        <w:rPr>
          <w:rFonts w:hint="eastAsia" w:ascii="仿宋" w:hAnsi="仿宋" w:eastAsia="仿宋" w:cs="仿宋"/>
          <w:color w:val="auto"/>
          <w:kern w:val="0"/>
          <w:sz w:val="32"/>
          <w:szCs w:val="32"/>
          <w:lang w:val="en-US" w:eastAsia="zh-CN"/>
        </w:rPr>
        <w:t>应急措施</w:t>
      </w:r>
      <w:r>
        <w:rPr>
          <w:rFonts w:hint="eastAsia" w:hAnsi="仿宋_GB2312" w:cs="仿宋_GB2312"/>
          <w:color w:val="auto"/>
          <w:sz w:val="32"/>
          <w:szCs w:val="32"/>
        </w:rPr>
        <w:t>、</w:t>
      </w:r>
      <w:r>
        <w:rPr>
          <w:rFonts w:hint="eastAsia" w:ascii="仿宋" w:hAnsi="仿宋" w:eastAsia="仿宋" w:cs="仿宋"/>
          <w:color w:val="auto"/>
          <w:kern w:val="0"/>
          <w:sz w:val="32"/>
          <w:szCs w:val="32"/>
          <w:lang w:val="en-US" w:eastAsia="zh-CN"/>
        </w:rPr>
        <w:t>售后服务</w:t>
      </w:r>
      <w:r>
        <w:rPr>
          <w:rFonts w:hint="eastAsia" w:hAnsi="仿宋_GB2312" w:cs="仿宋_GB2312"/>
          <w:color w:val="auto"/>
          <w:sz w:val="32"/>
          <w:szCs w:val="32"/>
        </w:rPr>
        <w:t>等内容（格式自拟）</w:t>
      </w:r>
    </w:p>
    <w:p w14:paraId="63E9C1D9">
      <w:pPr>
        <w:pStyle w:val="75"/>
        <w:spacing w:line="360" w:lineRule="auto"/>
        <w:ind w:firstLine="640"/>
        <w:rPr>
          <w:rFonts w:hint="eastAsia" w:hAnsi="仿宋_GB2312" w:cs="仿宋_GB2312"/>
          <w:color w:val="auto"/>
          <w:sz w:val="32"/>
          <w:szCs w:val="32"/>
        </w:rPr>
      </w:pPr>
      <w:r>
        <w:rPr>
          <w:rFonts w:hint="eastAsia" w:hAnsi="仿宋_GB2312" w:cs="仿宋_GB2312"/>
          <w:color w:val="auto"/>
          <w:sz w:val="32"/>
          <w:szCs w:val="32"/>
        </w:rPr>
        <w:t>（12）投标人基本情况说明</w:t>
      </w:r>
    </w:p>
    <w:p w14:paraId="53D3E2AB">
      <w:pPr>
        <w:pStyle w:val="75"/>
        <w:spacing w:line="360" w:lineRule="auto"/>
        <w:ind w:firstLine="640"/>
        <w:rPr>
          <w:rFonts w:hint="eastAsia" w:hAnsi="仿宋_GB2312" w:cs="仿宋_GB2312"/>
          <w:color w:val="auto"/>
          <w:sz w:val="32"/>
          <w:szCs w:val="32"/>
        </w:rPr>
      </w:pPr>
      <w:r>
        <w:rPr>
          <w:rFonts w:hint="eastAsia" w:hAnsi="仿宋_GB2312" w:cs="仿宋_GB2312"/>
          <w:color w:val="auto"/>
          <w:sz w:val="32"/>
          <w:szCs w:val="32"/>
        </w:rPr>
        <w:t>（13）项目人员配置情况表</w:t>
      </w:r>
    </w:p>
    <w:p w14:paraId="04220AC3">
      <w:pPr>
        <w:pStyle w:val="75"/>
        <w:spacing w:line="360" w:lineRule="auto"/>
        <w:ind w:firstLine="640"/>
        <w:rPr>
          <w:rFonts w:hint="eastAsia" w:hAnsi="仿宋_GB2312" w:cs="仿宋_GB2312"/>
          <w:color w:val="auto"/>
          <w:sz w:val="32"/>
          <w:szCs w:val="32"/>
        </w:rPr>
      </w:pPr>
      <w:r>
        <w:rPr>
          <w:rFonts w:hint="eastAsia" w:hAnsi="仿宋_GB2312" w:cs="仿宋_GB2312"/>
          <w:color w:val="auto"/>
          <w:sz w:val="32"/>
          <w:szCs w:val="32"/>
        </w:rPr>
        <w:t>（14）投标企业关联企业情况说明</w:t>
      </w:r>
    </w:p>
    <w:p w14:paraId="5E3714F9">
      <w:pPr>
        <w:pStyle w:val="75"/>
        <w:spacing w:line="360" w:lineRule="auto"/>
        <w:ind w:firstLine="640"/>
        <w:rPr>
          <w:rFonts w:hint="eastAsia" w:hAnsi="仿宋_GB2312" w:cs="仿宋_GB2312"/>
          <w:color w:val="auto"/>
          <w:sz w:val="32"/>
          <w:szCs w:val="32"/>
        </w:rPr>
      </w:pPr>
      <w:r>
        <w:rPr>
          <w:rFonts w:hint="eastAsia" w:hAnsi="仿宋_GB2312" w:cs="仿宋_GB2312"/>
          <w:color w:val="auto"/>
          <w:sz w:val="32"/>
          <w:szCs w:val="32"/>
        </w:rPr>
        <w:t>（15）不参与围标串标承诺书</w:t>
      </w:r>
    </w:p>
    <w:p w14:paraId="695E3B75">
      <w:pPr>
        <w:pStyle w:val="75"/>
        <w:spacing w:line="360" w:lineRule="auto"/>
        <w:ind w:firstLine="640"/>
        <w:rPr>
          <w:rFonts w:hint="eastAsia" w:hAnsi="仿宋_GB2312" w:cs="仿宋_GB2312"/>
          <w:color w:val="auto"/>
          <w:sz w:val="32"/>
          <w:szCs w:val="32"/>
        </w:rPr>
      </w:pPr>
      <w:r>
        <w:rPr>
          <w:rFonts w:hint="eastAsia" w:hAnsi="仿宋_GB2312" w:cs="仿宋_GB2312"/>
          <w:color w:val="auto"/>
          <w:sz w:val="32"/>
          <w:szCs w:val="32"/>
        </w:rPr>
        <w:t>（16）投标人认为需要提供的其他材料说明</w:t>
      </w:r>
    </w:p>
    <w:p w14:paraId="57B970B3">
      <w:pPr>
        <w:pStyle w:val="75"/>
        <w:spacing w:line="360" w:lineRule="auto"/>
        <w:ind w:firstLine="640"/>
        <w:rPr>
          <w:rFonts w:hint="eastAsia" w:hAnsi="仿宋_GB2312" w:cs="仿宋_GB2312"/>
          <w:color w:val="auto"/>
          <w:sz w:val="32"/>
          <w:szCs w:val="32"/>
        </w:rPr>
      </w:pPr>
      <w:r>
        <w:rPr>
          <w:rFonts w:hint="eastAsia" w:hAnsi="仿宋_GB2312" w:cs="仿宋_GB2312"/>
          <w:color w:val="auto"/>
          <w:sz w:val="32"/>
          <w:szCs w:val="32"/>
        </w:rPr>
        <w:t>附件1、在经营活动中没有重大违法记录的书面声明</w:t>
      </w:r>
    </w:p>
    <w:p w14:paraId="5B3249FB">
      <w:pPr>
        <w:pStyle w:val="75"/>
        <w:spacing w:line="360" w:lineRule="auto"/>
        <w:ind w:firstLine="640"/>
        <w:rPr>
          <w:rFonts w:hint="eastAsia" w:hAnsi="仿宋_GB2312" w:cs="仿宋_GB2312"/>
          <w:color w:val="auto"/>
          <w:sz w:val="32"/>
          <w:szCs w:val="32"/>
        </w:rPr>
      </w:pPr>
      <w:r>
        <w:rPr>
          <w:rFonts w:hint="eastAsia" w:hAnsi="仿宋_GB2312" w:cs="仿宋_GB2312"/>
          <w:color w:val="auto"/>
          <w:sz w:val="32"/>
          <w:szCs w:val="32"/>
        </w:rPr>
        <w:t>附件2、中小企业声明函（如有）</w:t>
      </w:r>
    </w:p>
    <w:p w14:paraId="72DCFD40">
      <w:pPr>
        <w:pStyle w:val="75"/>
        <w:autoSpaceDE w:val="0"/>
        <w:autoSpaceDN w:val="0"/>
        <w:adjustRightInd w:val="0"/>
        <w:spacing w:line="360" w:lineRule="auto"/>
        <w:ind w:firstLine="640"/>
        <w:rPr>
          <w:rFonts w:hint="eastAsia" w:hAnsi="仿宋_GB2312" w:cs="仿宋_GB2312"/>
          <w:color w:val="auto"/>
          <w:sz w:val="32"/>
          <w:szCs w:val="32"/>
        </w:rPr>
      </w:pPr>
      <w:r>
        <w:rPr>
          <w:rFonts w:hint="eastAsia" w:hAnsi="仿宋_GB2312" w:cs="仿宋_GB2312"/>
          <w:color w:val="auto"/>
          <w:sz w:val="32"/>
          <w:szCs w:val="32"/>
        </w:rPr>
        <w:t>附件3、残疾人福利性单位声明函（如有）</w:t>
      </w:r>
    </w:p>
    <w:p w14:paraId="7D42116D">
      <w:pPr>
        <w:pStyle w:val="75"/>
        <w:autoSpaceDE w:val="0"/>
        <w:autoSpaceDN w:val="0"/>
        <w:adjustRightInd w:val="0"/>
        <w:spacing w:line="360" w:lineRule="auto"/>
        <w:ind w:firstLine="640"/>
        <w:rPr>
          <w:rFonts w:hint="eastAsia" w:hAnsi="仿宋_GB2312" w:cs="仿宋_GB2312"/>
          <w:color w:val="auto"/>
          <w:sz w:val="32"/>
          <w:szCs w:val="32"/>
        </w:rPr>
      </w:pPr>
      <w:r>
        <w:rPr>
          <w:rFonts w:hint="eastAsia" w:hAnsi="仿宋_GB2312" w:cs="仿宋_GB2312"/>
          <w:color w:val="auto"/>
          <w:sz w:val="32"/>
          <w:szCs w:val="32"/>
        </w:rPr>
        <w:t>附件4、省级以上监狱管理局、戒毒管理局（含新疆生产建设兵团）出具的属于监狱企业证明文件（格式自拟）（如有）</w:t>
      </w:r>
    </w:p>
    <w:p w14:paraId="4B6D2B09">
      <w:pPr>
        <w:pStyle w:val="75"/>
        <w:autoSpaceDE w:val="0"/>
        <w:autoSpaceDN w:val="0"/>
        <w:adjustRightInd w:val="0"/>
        <w:spacing w:line="360" w:lineRule="auto"/>
        <w:ind w:firstLine="640"/>
        <w:rPr>
          <w:rFonts w:hint="eastAsia" w:hAnsi="仿宋_GB2312" w:cs="仿宋_GB2312"/>
          <w:color w:val="auto"/>
          <w:sz w:val="32"/>
          <w:szCs w:val="32"/>
        </w:rPr>
      </w:pPr>
    </w:p>
    <w:p w14:paraId="4EC0C9F6">
      <w:pPr>
        <w:pStyle w:val="75"/>
        <w:autoSpaceDE w:val="0"/>
        <w:autoSpaceDN w:val="0"/>
        <w:adjustRightInd w:val="0"/>
        <w:spacing w:line="360" w:lineRule="auto"/>
        <w:ind w:firstLine="640"/>
        <w:rPr>
          <w:rFonts w:hint="eastAsia" w:hAnsi="仿宋_GB2312" w:cs="仿宋_GB2312"/>
          <w:color w:val="auto"/>
          <w:sz w:val="32"/>
          <w:szCs w:val="32"/>
        </w:rPr>
      </w:pPr>
    </w:p>
    <w:p w14:paraId="1446DCFE">
      <w:pPr>
        <w:pStyle w:val="75"/>
        <w:autoSpaceDE w:val="0"/>
        <w:autoSpaceDN w:val="0"/>
        <w:adjustRightInd w:val="0"/>
        <w:spacing w:line="360" w:lineRule="auto"/>
        <w:ind w:firstLine="640"/>
        <w:rPr>
          <w:rFonts w:hint="eastAsia" w:hAnsi="仿宋_GB2312" w:cs="仿宋_GB2312"/>
          <w:color w:val="auto"/>
          <w:sz w:val="32"/>
          <w:szCs w:val="32"/>
        </w:rPr>
      </w:pPr>
    </w:p>
    <w:p w14:paraId="49A2A1B2">
      <w:pPr>
        <w:pStyle w:val="75"/>
        <w:autoSpaceDE w:val="0"/>
        <w:autoSpaceDN w:val="0"/>
        <w:adjustRightInd w:val="0"/>
        <w:spacing w:line="360" w:lineRule="auto"/>
        <w:ind w:firstLine="640"/>
        <w:rPr>
          <w:rFonts w:hint="eastAsia" w:hAnsi="仿宋_GB2312" w:cs="仿宋_GB2312"/>
          <w:color w:val="auto"/>
          <w:sz w:val="32"/>
          <w:szCs w:val="32"/>
        </w:rPr>
      </w:pPr>
    </w:p>
    <w:p w14:paraId="52BCA6A6">
      <w:pPr>
        <w:pStyle w:val="75"/>
        <w:autoSpaceDE w:val="0"/>
        <w:autoSpaceDN w:val="0"/>
        <w:adjustRightInd w:val="0"/>
        <w:spacing w:line="360" w:lineRule="auto"/>
        <w:ind w:firstLine="640"/>
        <w:rPr>
          <w:rFonts w:hint="eastAsia" w:hAnsi="仿宋_GB2312" w:cs="仿宋_GB2312"/>
          <w:color w:val="auto"/>
          <w:sz w:val="32"/>
          <w:szCs w:val="32"/>
        </w:rPr>
      </w:pPr>
    </w:p>
    <w:p w14:paraId="02277F4E">
      <w:pPr>
        <w:pStyle w:val="75"/>
        <w:autoSpaceDE w:val="0"/>
        <w:autoSpaceDN w:val="0"/>
        <w:adjustRightInd w:val="0"/>
        <w:spacing w:line="360" w:lineRule="auto"/>
        <w:ind w:firstLine="640"/>
        <w:rPr>
          <w:rFonts w:hint="eastAsia" w:hAnsi="仿宋_GB2312" w:cs="仿宋_GB2312"/>
          <w:color w:val="auto"/>
          <w:sz w:val="32"/>
          <w:szCs w:val="32"/>
        </w:rPr>
      </w:pPr>
    </w:p>
    <w:p w14:paraId="6B7842AC">
      <w:pPr>
        <w:pStyle w:val="75"/>
        <w:autoSpaceDE w:val="0"/>
        <w:autoSpaceDN w:val="0"/>
        <w:adjustRightInd w:val="0"/>
        <w:spacing w:line="360" w:lineRule="auto"/>
        <w:ind w:firstLine="640"/>
        <w:rPr>
          <w:rFonts w:hint="eastAsia" w:hAnsi="仿宋_GB2312" w:cs="仿宋_GB2312"/>
          <w:color w:val="auto"/>
          <w:sz w:val="32"/>
          <w:szCs w:val="32"/>
        </w:rPr>
      </w:pPr>
    </w:p>
    <w:p w14:paraId="132E1F16">
      <w:pPr>
        <w:pStyle w:val="75"/>
        <w:autoSpaceDE w:val="0"/>
        <w:autoSpaceDN w:val="0"/>
        <w:adjustRightInd w:val="0"/>
        <w:spacing w:line="360" w:lineRule="auto"/>
        <w:ind w:firstLine="640"/>
        <w:rPr>
          <w:rFonts w:hint="eastAsia" w:hAnsi="仿宋_GB2312" w:cs="仿宋_GB2312"/>
          <w:color w:val="auto"/>
          <w:sz w:val="32"/>
          <w:szCs w:val="32"/>
        </w:rPr>
      </w:pPr>
    </w:p>
    <w:p w14:paraId="2FC75B67">
      <w:pPr>
        <w:pStyle w:val="75"/>
        <w:autoSpaceDE w:val="0"/>
        <w:autoSpaceDN w:val="0"/>
        <w:adjustRightInd w:val="0"/>
        <w:spacing w:line="360" w:lineRule="auto"/>
        <w:ind w:firstLine="640"/>
        <w:rPr>
          <w:rFonts w:hint="eastAsia" w:hAnsi="仿宋_GB2312" w:cs="仿宋_GB2312"/>
          <w:color w:val="auto"/>
          <w:sz w:val="32"/>
          <w:szCs w:val="32"/>
        </w:rPr>
      </w:pPr>
    </w:p>
    <w:p w14:paraId="4052E1B0">
      <w:pPr>
        <w:pStyle w:val="75"/>
        <w:autoSpaceDE w:val="0"/>
        <w:autoSpaceDN w:val="0"/>
        <w:adjustRightInd w:val="0"/>
        <w:spacing w:line="360" w:lineRule="auto"/>
        <w:ind w:firstLine="640"/>
        <w:rPr>
          <w:rFonts w:hint="eastAsia" w:hAnsi="仿宋_GB2312" w:cs="仿宋_GB2312"/>
          <w:color w:val="auto"/>
          <w:sz w:val="32"/>
          <w:szCs w:val="32"/>
        </w:rPr>
      </w:pPr>
    </w:p>
    <w:p w14:paraId="060A7760">
      <w:pPr>
        <w:pStyle w:val="75"/>
        <w:autoSpaceDE w:val="0"/>
        <w:autoSpaceDN w:val="0"/>
        <w:adjustRightInd w:val="0"/>
        <w:spacing w:line="360" w:lineRule="auto"/>
        <w:ind w:firstLine="640"/>
        <w:rPr>
          <w:rFonts w:hint="eastAsia" w:hAnsi="仿宋_GB2312" w:cs="仿宋_GB2312"/>
          <w:color w:val="auto"/>
          <w:sz w:val="32"/>
          <w:szCs w:val="32"/>
        </w:rPr>
      </w:pPr>
    </w:p>
    <w:p w14:paraId="04E7E9ED">
      <w:pPr>
        <w:pStyle w:val="75"/>
        <w:autoSpaceDE w:val="0"/>
        <w:autoSpaceDN w:val="0"/>
        <w:adjustRightInd w:val="0"/>
        <w:spacing w:line="360" w:lineRule="auto"/>
        <w:ind w:firstLine="640"/>
        <w:rPr>
          <w:rFonts w:hint="eastAsia" w:hAnsi="仿宋_GB2312" w:cs="仿宋_GB2312"/>
          <w:color w:val="auto"/>
          <w:sz w:val="32"/>
          <w:szCs w:val="32"/>
        </w:rPr>
      </w:pPr>
    </w:p>
    <w:p w14:paraId="4472232C">
      <w:pPr>
        <w:pStyle w:val="75"/>
        <w:autoSpaceDE w:val="0"/>
        <w:autoSpaceDN w:val="0"/>
        <w:adjustRightInd w:val="0"/>
        <w:spacing w:line="360" w:lineRule="auto"/>
        <w:ind w:firstLine="640"/>
        <w:rPr>
          <w:rFonts w:hint="eastAsia" w:hAnsi="仿宋_GB2312" w:cs="仿宋_GB2312"/>
          <w:color w:val="auto"/>
          <w:sz w:val="32"/>
          <w:szCs w:val="32"/>
        </w:rPr>
      </w:pPr>
    </w:p>
    <w:p w14:paraId="0E4ED5A1">
      <w:pPr>
        <w:pStyle w:val="75"/>
        <w:autoSpaceDE w:val="0"/>
        <w:autoSpaceDN w:val="0"/>
        <w:adjustRightInd w:val="0"/>
        <w:spacing w:line="360" w:lineRule="auto"/>
        <w:ind w:firstLine="640"/>
        <w:rPr>
          <w:rFonts w:hint="eastAsia" w:hAnsi="仿宋_GB2312" w:cs="仿宋_GB2312"/>
          <w:color w:val="auto"/>
          <w:sz w:val="32"/>
          <w:szCs w:val="32"/>
        </w:rPr>
      </w:pPr>
    </w:p>
    <w:p w14:paraId="4F86A1AC">
      <w:pPr>
        <w:pStyle w:val="75"/>
        <w:autoSpaceDE w:val="0"/>
        <w:autoSpaceDN w:val="0"/>
        <w:adjustRightInd w:val="0"/>
        <w:spacing w:line="360" w:lineRule="auto"/>
        <w:ind w:firstLine="0" w:firstLineChars="0"/>
        <w:rPr>
          <w:rFonts w:hint="eastAsia" w:hAnsi="仿宋_GB2312" w:cs="仿宋_GB2312"/>
          <w:color w:val="auto"/>
          <w:sz w:val="32"/>
          <w:szCs w:val="32"/>
        </w:rPr>
      </w:pPr>
    </w:p>
    <w:p w14:paraId="40A8F7CC">
      <w:pPr>
        <w:pStyle w:val="3"/>
        <w:spacing w:line="360" w:lineRule="auto"/>
        <w:jc w:val="center"/>
        <w:rPr>
          <w:rStyle w:val="53"/>
          <w:rFonts w:hint="eastAsia" w:ascii="仿宋_GB2312" w:hAnsi="仿宋_GB2312" w:eastAsia="仿宋_GB2312" w:cs="仿宋_GB2312"/>
          <w:b/>
          <w:bCs w:val="0"/>
          <w:color w:val="auto"/>
        </w:rPr>
      </w:pPr>
      <w:bookmarkStart w:id="296" w:name="_Toc50459034"/>
      <w:bookmarkStart w:id="297" w:name="_Toc19393"/>
      <w:bookmarkStart w:id="298" w:name="_Toc4030"/>
      <w:bookmarkStart w:id="299" w:name="_Toc11515"/>
      <w:r>
        <w:rPr>
          <w:rStyle w:val="53"/>
          <w:rFonts w:hint="eastAsia" w:ascii="仿宋_GB2312" w:hAnsi="仿宋_GB2312" w:eastAsia="仿宋_GB2312" w:cs="仿宋_GB2312"/>
          <w:b/>
          <w:bCs w:val="0"/>
          <w:color w:val="auto"/>
        </w:rPr>
        <w:t>1、投标承诺书</w:t>
      </w:r>
      <w:bookmarkEnd w:id="296"/>
      <w:bookmarkEnd w:id="297"/>
      <w:bookmarkEnd w:id="298"/>
      <w:bookmarkEnd w:id="299"/>
    </w:p>
    <w:p w14:paraId="1BBA0C9C">
      <w:pPr>
        <w:spacing w:line="360" w:lineRule="auto"/>
        <w:rPr>
          <w:rFonts w:hint="eastAsia" w:ascii="仿宋_GB2312" w:hAnsi="仿宋_GB2312" w:eastAsia="仿宋_GB2312" w:cs="仿宋_GB2312"/>
          <w:color w:val="auto"/>
          <w:sz w:val="32"/>
          <w:szCs w:val="32"/>
          <w:u w:val="single"/>
        </w:rPr>
      </w:pPr>
      <w:r>
        <w:rPr>
          <w:rFonts w:hint="eastAsia" w:ascii="仿宋_GB2312" w:hAnsi="仿宋_GB2312" w:eastAsia="仿宋_GB2312" w:cs="仿宋_GB2312"/>
          <w:color w:val="auto"/>
          <w:sz w:val="32"/>
          <w:szCs w:val="32"/>
        </w:rPr>
        <w:t>致（采购人）：</w:t>
      </w:r>
    </w:p>
    <w:p w14:paraId="1A300198">
      <w:pPr>
        <w:spacing w:line="360"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根据已收到的</w:t>
      </w:r>
      <w:r>
        <w:rPr>
          <w:rFonts w:hint="eastAsia" w:ascii="仿宋_GB2312" w:hAnsi="仿宋_GB2312" w:eastAsia="仿宋_GB2312" w:cs="仿宋_GB2312"/>
          <w:color w:val="auto"/>
          <w:sz w:val="32"/>
          <w:szCs w:val="32"/>
          <w:u w:val="single"/>
        </w:rPr>
        <w:t xml:space="preserve">                   （项目名称）</w:t>
      </w:r>
      <w:r>
        <w:rPr>
          <w:rFonts w:hint="eastAsia" w:ascii="仿宋_GB2312" w:hAnsi="仿宋_GB2312" w:eastAsia="仿宋_GB2312" w:cs="仿宋_GB2312"/>
          <w:color w:val="auto"/>
          <w:sz w:val="32"/>
          <w:szCs w:val="32"/>
        </w:rPr>
        <w:t>招标文件，我单位经研究贵方的招标文件后：</w:t>
      </w:r>
    </w:p>
    <w:p w14:paraId="02DA9D78">
      <w:pPr>
        <w:spacing w:line="360"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1、我方愿以投标报价</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w:t>
      </w:r>
      <w:r>
        <w:rPr>
          <w:rFonts w:hint="eastAsia" w:ascii="仿宋_GB2312" w:hAnsi="仿宋_GB2312" w:eastAsia="仿宋_GB2312" w:cs="仿宋_GB2312"/>
          <w:color w:val="auto"/>
          <w:sz w:val="32"/>
          <w:szCs w:val="32"/>
          <w:u w:val="single"/>
        </w:rPr>
        <w:t xml:space="preserve">（大写：                     ） </w:t>
      </w:r>
      <w:r>
        <w:rPr>
          <w:rFonts w:hint="eastAsia" w:ascii="仿宋_GB2312" w:hAnsi="仿宋_GB2312" w:eastAsia="仿宋_GB2312" w:cs="仿宋_GB2312"/>
          <w:color w:val="auto"/>
          <w:sz w:val="32"/>
          <w:szCs w:val="32"/>
        </w:rPr>
        <w:t>及投标承诺书的承诺承包本招标文件中所述招标范围内的全部内容。</w:t>
      </w:r>
    </w:p>
    <w:p w14:paraId="038FB902">
      <w:pPr>
        <w:autoSpaceDE w:val="0"/>
        <w:autoSpaceDN w:val="0"/>
        <w:spacing w:line="360" w:lineRule="auto"/>
        <w:ind w:firstLine="640" w:firstLineChars="200"/>
        <w:rPr>
          <w:rFonts w:hint="eastAsia" w:ascii="仿宋_GB2312" w:hAnsi="仿宋_GB2312" w:eastAsia="仿宋_GB2312" w:cs="仿宋_GB2312"/>
          <w:color w:val="auto"/>
          <w:sz w:val="32"/>
          <w:szCs w:val="32"/>
          <w:u w:val="single"/>
        </w:rPr>
      </w:pPr>
      <w:r>
        <w:rPr>
          <w:rFonts w:hint="eastAsia" w:ascii="仿宋_GB2312" w:hAnsi="仿宋_GB2312" w:eastAsia="仿宋_GB2312" w:cs="仿宋_GB2312"/>
          <w:color w:val="auto"/>
          <w:sz w:val="32"/>
          <w:szCs w:val="32"/>
        </w:rPr>
        <w:t>2、合同履行期限：</w:t>
      </w:r>
      <w:r>
        <w:rPr>
          <w:rFonts w:hint="eastAsia" w:ascii="仿宋_GB2312" w:hAnsi="仿宋_GB2312" w:eastAsia="仿宋_GB2312" w:cs="仿宋_GB2312"/>
          <w:color w:val="auto"/>
          <w:sz w:val="32"/>
          <w:szCs w:val="32"/>
          <w:u w:val="single"/>
        </w:rPr>
        <w:t xml:space="preserve">                              。</w:t>
      </w:r>
    </w:p>
    <w:p w14:paraId="6C8E8183">
      <w:pPr>
        <w:autoSpaceDE w:val="0"/>
        <w:autoSpaceDN w:val="0"/>
        <w:spacing w:line="360"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3、如果我方中标，非采购人原因，我方保证将按招标文件要求，完成本项目供货 。</w:t>
      </w:r>
    </w:p>
    <w:p w14:paraId="548989D1">
      <w:pPr>
        <w:spacing w:line="360"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4、如果我方中标，我方将按招标文件规定的时间内签订合同。如果违约，我方愿以投标保证金作为赔偿金，同时贵方有权终止我方中标并选择其它投标人。</w:t>
      </w:r>
    </w:p>
    <w:p w14:paraId="488089C3">
      <w:pPr>
        <w:spacing w:line="360"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5、如果我方中标，完成项目的货物与招标文件要求不一致的，服务达不到要求，我方将进行整改直至贵方对服务满意为止。</w:t>
      </w:r>
    </w:p>
    <w:p w14:paraId="7FCBFC96">
      <w:pPr>
        <w:spacing w:line="360"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6、贵方的招标文件、答疑文件、招标文件补充、成交通知书和本投标文件将做为合同附件，具有同等法律效力。</w:t>
      </w:r>
    </w:p>
    <w:p w14:paraId="03AC352D">
      <w:pPr>
        <w:spacing w:line="360"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7、如果我方未中标，贵方没有必要对我方做出任何解释和说明，我方将充分尊重和理解贵方的选择。</w:t>
      </w:r>
    </w:p>
    <w:p w14:paraId="008AC2C1">
      <w:pPr>
        <w:pStyle w:val="70"/>
        <w:spacing w:line="360" w:lineRule="auto"/>
        <w:ind w:right="480" w:firstLine="4480" w:firstLineChars="14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投标人（盖章）：</w:t>
      </w:r>
    </w:p>
    <w:p w14:paraId="7325B28E">
      <w:pPr>
        <w:pStyle w:val="70"/>
        <w:spacing w:line="360" w:lineRule="auto"/>
        <w:ind w:right="840"/>
        <w:jc w:val="righ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法定代表人或委托代理人（签字或盖章）：</w:t>
      </w:r>
    </w:p>
    <w:p w14:paraId="309273D8">
      <w:pPr>
        <w:pStyle w:val="70"/>
        <w:spacing w:line="360" w:lineRule="auto"/>
        <w:ind w:right="840" w:firstLine="4480" w:firstLineChars="14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日   期：  </w:t>
      </w:r>
      <w:bookmarkStart w:id="300" w:name="_Toc6735_WPSOffice_Level1"/>
      <w:bookmarkStart w:id="301" w:name="_Toc28014_WPSOffice_Level1"/>
      <w:bookmarkStart w:id="302" w:name="_Toc3064"/>
    </w:p>
    <w:p w14:paraId="59B82CE4">
      <w:pPr>
        <w:pStyle w:val="3"/>
        <w:spacing w:line="360" w:lineRule="auto"/>
        <w:jc w:val="center"/>
        <w:rPr>
          <w:rStyle w:val="53"/>
          <w:rFonts w:hint="eastAsia" w:ascii="仿宋_GB2312" w:hAnsi="仿宋_GB2312" w:eastAsia="仿宋_GB2312" w:cs="仿宋_GB2312"/>
          <w:b/>
          <w:bCs w:val="0"/>
          <w:color w:val="auto"/>
        </w:rPr>
      </w:pPr>
      <w:r>
        <w:rPr>
          <w:rStyle w:val="53"/>
          <w:rFonts w:hint="eastAsia" w:ascii="仿宋_GB2312" w:hAnsi="仿宋_GB2312" w:eastAsia="仿宋_GB2312" w:cs="仿宋_GB2312"/>
          <w:b/>
          <w:bCs w:val="0"/>
          <w:color w:val="auto"/>
        </w:rPr>
        <w:t>2、</w:t>
      </w:r>
      <w:bookmarkEnd w:id="300"/>
      <w:bookmarkEnd w:id="301"/>
      <w:r>
        <w:rPr>
          <w:rStyle w:val="53"/>
          <w:rFonts w:hint="eastAsia" w:ascii="仿宋_GB2312" w:hAnsi="仿宋_GB2312" w:eastAsia="仿宋_GB2312" w:cs="仿宋_GB2312"/>
          <w:b/>
          <w:bCs w:val="0"/>
          <w:color w:val="auto"/>
        </w:rPr>
        <w:t>报价一览表</w:t>
      </w:r>
      <w:bookmarkEnd w:id="302"/>
    </w:p>
    <w:p w14:paraId="7622FA8E">
      <w:pPr>
        <w:spacing w:line="360" w:lineRule="auto"/>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项目名称:</w:t>
      </w:r>
    </w:p>
    <w:p w14:paraId="3AC97CEA">
      <w:pPr>
        <w:spacing w:line="360" w:lineRule="auto"/>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招标编号：</w:t>
      </w:r>
    </w:p>
    <w:p w14:paraId="1F5138A9">
      <w:pPr>
        <w:spacing w:line="360" w:lineRule="auto"/>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投标人名称：</w:t>
      </w:r>
    </w:p>
    <w:tbl>
      <w:tblPr>
        <w:tblStyle w:val="27"/>
        <w:tblW w:w="9098" w:type="dxa"/>
        <w:jc w:val="center"/>
        <w:tblLayout w:type="fixed"/>
        <w:tblCellMar>
          <w:top w:w="0" w:type="dxa"/>
          <w:left w:w="0" w:type="dxa"/>
          <w:bottom w:w="0" w:type="dxa"/>
          <w:right w:w="0" w:type="dxa"/>
        </w:tblCellMar>
      </w:tblPr>
      <w:tblGrid>
        <w:gridCol w:w="902"/>
        <w:gridCol w:w="1645"/>
        <w:gridCol w:w="5534"/>
        <w:gridCol w:w="1017"/>
      </w:tblGrid>
      <w:tr w14:paraId="0F5394FD">
        <w:tblPrEx>
          <w:tblCellMar>
            <w:top w:w="0" w:type="dxa"/>
            <w:left w:w="0" w:type="dxa"/>
            <w:bottom w:w="0" w:type="dxa"/>
            <w:right w:w="0" w:type="dxa"/>
          </w:tblCellMar>
        </w:tblPrEx>
        <w:trPr>
          <w:trHeight w:val="628" w:hRule="atLeast"/>
          <w:jc w:val="center"/>
        </w:trPr>
        <w:tc>
          <w:tcPr>
            <w:tcW w:w="902" w:type="dxa"/>
            <w:tcBorders>
              <w:top w:val="single" w:color="auto" w:sz="4" w:space="0"/>
              <w:left w:val="single" w:color="auto" w:sz="4" w:space="0"/>
              <w:bottom w:val="single" w:color="auto" w:sz="4" w:space="0"/>
              <w:right w:val="single" w:color="auto" w:sz="4" w:space="0"/>
            </w:tcBorders>
            <w:noWrap w:val="0"/>
            <w:vAlign w:val="center"/>
          </w:tcPr>
          <w:p w14:paraId="7AF91E44">
            <w:pPr>
              <w:widowControl/>
              <w:adjustRightInd w:val="0"/>
              <w:snapToGrid w:val="0"/>
              <w:spacing w:before="100" w:beforeAutospacing="1" w:after="100" w:afterAutospacing="1" w:line="240" w:lineRule="auto"/>
              <w:jc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序号</w:t>
            </w:r>
          </w:p>
        </w:tc>
        <w:tc>
          <w:tcPr>
            <w:tcW w:w="1645" w:type="dxa"/>
            <w:tcBorders>
              <w:top w:val="single" w:color="auto" w:sz="4" w:space="0"/>
              <w:left w:val="single" w:color="auto" w:sz="4" w:space="0"/>
              <w:bottom w:val="single" w:color="auto" w:sz="4" w:space="0"/>
              <w:right w:val="single" w:color="auto" w:sz="4" w:space="0"/>
            </w:tcBorders>
            <w:noWrap w:val="0"/>
            <w:vAlign w:val="center"/>
          </w:tcPr>
          <w:p w14:paraId="3556A226">
            <w:pPr>
              <w:widowControl/>
              <w:adjustRightInd w:val="0"/>
              <w:snapToGrid w:val="0"/>
              <w:spacing w:before="100" w:beforeAutospacing="1" w:after="100" w:afterAutospacing="1" w:line="240" w:lineRule="auto"/>
              <w:jc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条款名称</w:t>
            </w:r>
          </w:p>
        </w:tc>
        <w:tc>
          <w:tcPr>
            <w:tcW w:w="5534" w:type="dxa"/>
            <w:tcBorders>
              <w:top w:val="single" w:color="auto" w:sz="4" w:space="0"/>
              <w:left w:val="single" w:color="auto" w:sz="4" w:space="0"/>
              <w:bottom w:val="single" w:color="auto" w:sz="4" w:space="0"/>
              <w:right w:val="single" w:color="auto" w:sz="4" w:space="0"/>
            </w:tcBorders>
            <w:noWrap w:val="0"/>
            <w:vAlign w:val="center"/>
          </w:tcPr>
          <w:p w14:paraId="0881FE11">
            <w:pPr>
              <w:widowControl/>
              <w:adjustRightInd w:val="0"/>
              <w:snapToGrid w:val="0"/>
              <w:spacing w:before="100" w:beforeAutospacing="1" w:after="100" w:afterAutospacing="1" w:line="240" w:lineRule="auto"/>
              <w:jc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内容</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625CF0C5">
            <w:pPr>
              <w:widowControl/>
              <w:adjustRightInd w:val="0"/>
              <w:snapToGrid w:val="0"/>
              <w:spacing w:before="100" w:beforeAutospacing="1" w:after="100" w:afterAutospacing="1" w:line="240" w:lineRule="auto"/>
              <w:jc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备注</w:t>
            </w:r>
          </w:p>
        </w:tc>
      </w:tr>
      <w:tr w14:paraId="5BEA47D6">
        <w:tblPrEx>
          <w:tblCellMar>
            <w:top w:w="0" w:type="dxa"/>
            <w:left w:w="0" w:type="dxa"/>
            <w:bottom w:w="0" w:type="dxa"/>
            <w:right w:w="0" w:type="dxa"/>
          </w:tblCellMar>
        </w:tblPrEx>
        <w:trPr>
          <w:trHeight w:val="685" w:hRule="atLeast"/>
          <w:jc w:val="center"/>
        </w:trPr>
        <w:tc>
          <w:tcPr>
            <w:tcW w:w="902" w:type="dxa"/>
            <w:tcBorders>
              <w:top w:val="single" w:color="auto" w:sz="4" w:space="0"/>
              <w:left w:val="single" w:color="auto" w:sz="4" w:space="0"/>
              <w:bottom w:val="single" w:color="auto" w:sz="4" w:space="0"/>
              <w:right w:val="single" w:color="auto" w:sz="4" w:space="0"/>
            </w:tcBorders>
            <w:noWrap w:val="0"/>
            <w:vAlign w:val="center"/>
          </w:tcPr>
          <w:p w14:paraId="471E64A2">
            <w:pPr>
              <w:widowControl/>
              <w:adjustRightInd w:val="0"/>
              <w:snapToGrid w:val="0"/>
              <w:spacing w:before="100" w:beforeAutospacing="1" w:after="100" w:afterAutospacing="1" w:line="240" w:lineRule="auto"/>
              <w:jc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w:t>
            </w:r>
          </w:p>
        </w:tc>
        <w:tc>
          <w:tcPr>
            <w:tcW w:w="1645" w:type="dxa"/>
            <w:tcBorders>
              <w:top w:val="single" w:color="auto" w:sz="4" w:space="0"/>
              <w:left w:val="single" w:color="auto" w:sz="4" w:space="0"/>
              <w:bottom w:val="single" w:color="auto" w:sz="4" w:space="0"/>
              <w:right w:val="single" w:color="auto" w:sz="4" w:space="0"/>
            </w:tcBorders>
            <w:noWrap w:val="0"/>
            <w:vAlign w:val="center"/>
          </w:tcPr>
          <w:p w14:paraId="284E3FE0">
            <w:pPr>
              <w:pStyle w:val="60"/>
              <w:snapToGrid w:val="0"/>
              <w:spacing w:line="240" w:lineRule="auto"/>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采购内容</w:t>
            </w:r>
          </w:p>
        </w:tc>
        <w:tc>
          <w:tcPr>
            <w:tcW w:w="5534" w:type="dxa"/>
            <w:tcBorders>
              <w:top w:val="single" w:color="auto" w:sz="4" w:space="0"/>
              <w:left w:val="single" w:color="auto" w:sz="4" w:space="0"/>
              <w:bottom w:val="single" w:color="auto" w:sz="4" w:space="0"/>
              <w:right w:val="single" w:color="auto" w:sz="4" w:space="0"/>
            </w:tcBorders>
            <w:noWrap w:val="0"/>
            <w:vAlign w:val="center"/>
          </w:tcPr>
          <w:p w14:paraId="5E0F047D">
            <w:pPr>
              <w:spacing w:line="240" w:lineRule="auto"/>
              <w:jc w:val="left"/>
              <w:rPr>
                <w:rFonts w:hint="eastAsia" w:ascii="仿宋_GB2312" w:hAnsi="仿宋_GB2312" w:eastAsia="仿宋_GB2312" w:cs="仿宋_GB2312"/>
                <w:color w:val="auto"/>
                <w:kern w:val="0"/>
                <w:sz w:val="32"/>
                <w:szCs w:val="32"/>
              </w:rPr>
            </w:pPr>
          </w:p>
        </w:tc>
        <w:tc>
          <w:tcPr>
            <w:tcW w:w="1017" w:type="dxa"/>
            <w:tcBorders>
              <w:top w:val="single" w:color="auto" w:sz="4" w:space="0"/>
              <w:left w:val="single" w:color="auto" w:sz="4" w:space="0"/>
              <w:bottom w:val="single" w:color="auto" w:sz="4" w:space="0"/>
              <w:right w:val="single" w:color="auto" w:sz="4" w:space="0"/>
            </w:tcBorders>
            <w:noWrap w:val="0"/>
            <w:vAlign w:val="center"/>
          </w:tcPr>
          <w:p w14:paraId="0F76C482">
            <w:pPr>
              <w:widowControl/>
              <w:adjustRightInd w:val="0"/>
              <w:snapToGrid w:val="0"/>
              <w:spacing w:before="100" w:beforeAutospacing="1" w:after="100" w:afterAutospacing="1" w:line="240" w:lineRule="auto"/>
              <w:jc w:val="center"/>
              <w:rPr>
                <w:rFonts w:hint="eastAsia" w:ascii="仿宋_GB2312" w:hAnsi="仿宋_GB2312" w:eastAsia="仿宋_GB2312" w:cs="仿宋_GB2312"/>
                <w:color w:val="auto"/>
                <w:kern w:val="0"/>
                <w:sz w:val="32"/>
                <w:szCs w:val="32"/>
              </w:rPr>
            </w:pPr>
          </w:p>
        </w:tc>
      </w:tr>
      <w:tr w14:paraId="5072A104">
        <w:tblPrEx>
          <w:tblCellMar>
            <w:top w:w="0" w:type="dxa"/>
            <w:left w:w="0" w:type="dxa"/>
            <w:bottom w:w="0" w:type="dxa"/>
            <w:right w:w="0" w:type="dxa"/>
          </w:tblCellMar>
        </w:tblPrEx>
        <w:trPr>
          <w:trHeight w:val="685" w:hRule="atLeast"/>
          <w:jc w:val="center"/>
        </w:trPr>
        <w:tc>
          <w:tcPr>
            <w:tcW w:w="902" w:type="dxa"/>
            <w:tcBorders>
              <w:top w:val="single" w:color="auto" w:sz="4" w:space="0"/>
              <w:left w:val="single" w:color="auto" w:sz="4" w:space="0"/>
              <w:bottom w:val="single" w:color="auto" w:sz="4" w:space="0"/>
              <w:right w:val="single" w:color="auto" w:sz="4" w:space="0"/>
            </w:tcBorders>
            <w:noWrap w:val="0"/>
            <w:vAlign w:val="center"/>
          </w:tcPr>
          <w:p w14:paraId="6FA32C52">
            <w:pPr>
              <w:widowControl/>
              <w:adjustRightInd w:val="0"/>
              <w:snapToGrid w:val="0"/>
              <w:spacing w:before="100" w:beforeAutospacing="1" w:after="100" w:afterAutospacing="1" w:line="240" w:lineRule="auto"/>
              <w:jc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w:t>
            </w:r>
          </w:p>
        </w:tc>
        <w:tc>
          <w:tcPr>
            <w:tcW w:w="1645" w:type="dxa"/>
            <w:tcBorders>
              <w:top w:val="single" w:color="auto" w:sz="4" w:space="0"/>
              <w:left w:val="single" w:color="auto" w:sz="4" w:space="0"/>
              <w:bottom w:val="single" w:color="auto" w:sz="4" w:space="0"/>
              <w:right w:val="single" w:color="auto" w:sz="4" w:space="0"/>
            </w:tcBorders>
            <w:noWrap w:val="0"/>
            <w:vAlign w:val="center"/>
          </w:tcPr>
          <w:p w14:paraId="0E50D218">
            <w:pPr>
              <w:pStyle w:val="60"/>
              <w:snapToGrid w:val="0"/>
              <w:spacing w:line="240" w:lineRule="auto"/>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供货</w:t>
            </w:r>
            <w:r>
              <w:rPr>
                <w:rFonts w:hint="eastAsia" w:ascii="仿宋_GB2312" w:hAnsi="仿宋_GB2312" w:eastAsia="仿宋_GB2312" w:cs="仿宋_GB2312"/>
                <w:color w:val="auto"/>
                <w:sz w:val="32"/>
                <w:szCs w:val="32"/>
                <w:lang w:val="en-US" w:eastAsia="zh-CN"/>
              </w:rPr>
              <w:t>服务</w:t>
            </w:r>
            <w:r>
              <w:rPr>
                <w:rFonts w:hint="eastAsia" w:ascii="仿宋_GB2312" w:hAnsi="仿宋_GB2312" w:eastAsia="仿宋_GB2312" w:cs="仿宋_GB2312"/>
                <w:color w:val="auto"/>
                <w:sz w:val="32"/>
                <w:szCs w:val="32"/>
              </w:rPr>
              <w:t>期</w:t>
            </w:r>
          </w:p>
        </w:tc>
        <w:tc>
          <w:tcPr>
            <w:tcW w:w="5534" w:type="dxa"/>
            <w:tcBorders>
              <w:top w:val="single" w:color="auto" w:sz="4" w:space="0"/>
              <w:left w:val="single" w:color="auto" w:sz="4" w:space="0"/>
              <w:bottom w:val="single" w:color="auto" w:sz="4" w:space="0"/>
              <w:right w:val="single" w:color="auto" w:sz="4" w:space="0"/>
            </w:tcBorders>
            <w:noWrap w:val="0"/>
            <w:vAlign w:val="center"/>
          </w:tcPr>
          <w:p w14:paraId="3D5A2B77">
            <w:pPr>
              <w:tabs>
                <w:tab w:val="left" w:pos="4980"/>
                <w:tab w:val="right" w:pos="9000"/>
              </w:tabs>
              <w:spacing w:line="240" w:lineRule="auto"/>
              <w:jc w:val="left"/>
              <w:rPr>
                <w:rFonts w:hint="eastAsia" w:ascii="仿宋_GB2312" w:hAnsi="仿宋_GB2312" w:eastAsia="仿宋_GB2312" w:cs="仿宋_GB2312"/>
                <w:color w:val="auto"/>
                <w:kern w:val="0"/>
                <w:sz w:val="32"/>
                <w:szCs w:val="32"/>
              </w:rPr>
            </w:pPr>
          </w:p>
        </w:tc>
        <w:tc>
          <w:tcPr>
            <w:tcW w:w="1017" w:type="dxa"/>
            <w:tcBorders>
              <w:top w:val="single" w:color="auto" w:sz="4" w:space="0"/>
              <w:left w:val="single" w:color="auto" w:sz="4" w:space="0"/>
              <w:bottom w:val="single" w:color="auto" w:sz="4" w:space="0"/>
              <w:right w:val="single" w:color="auto" w:sz="4" w:space="0"/>
            </w:tcBorders>
            <w:noWrap w:val="0"/>
            <w:vAlign w:val="center"/>
          </w:tcPr>
          <w:p w14:paraId="3C8FC88E">
            <w:pPr>
              <w:widowControl/>
              <w:adjustRightInd w:val="0"/>
              <w:snapToGrid w:val="0"/>
              <w:spacing w:before="100" w:beforeAutospacing="1" w:after="100" w:afterAutospacing="1" w:line="240" w:lineRule="auto"/>
              <w:jc w:val="center"/>
              <w:rPr>
                <w:rFonts w:hint="eastAsia" w:ascii="仿宋_GB2312" w:hAnsi="仿宋_GB2312" w:eastAsia="仿宋_GB2312" w:cs="仿宋_GB2312"/>
                <w:color w:val="auto"/>
                <w:kern w:val="0"/>
                <w:sz w:val="32"/>
                <w:szCs w:val="32"/>
                <w:u w:val="single"/>
              </w:rPr>
            </w:pPr>
          </w:p>
        </w:tc>
      </w:tr>
      <w:tr w14:paraId="6FA1C12B">
        <w:tblPrEx>
          <w:tblCellMar>
            <w:top w:w="0" w:type="dxa"/>
            <w:left w:w="0" w:type="dxa"/>
            <w:bottom w:w="0" w:type="dxa"/>
            <w:right w:w="0" w:type="dxa"/>
          </w:tblCellMar>
        </w:tblPrEx>
        <w:trPr>
          <w:trHeight w:val="685" w:hRule="atLeast"/>
          <w:jc w:val="center"/>
        </w:trPr>
        <w:tc>
          <w:tcPr>
            <w:tcW w:w="902" w:type="dxa"/>
            <w:tcBorders>
              <w:top w:val="single" w:color="auto" w:sz="4" w:space="0"/>
              <w:left w:val="single" w:color="auto" w:sz="4" w:space="0"/>
              <w:bottom w:val="single" w:color="auto" w:sz="4" w:space="0"/>
              <w:right w:val="single" w:color="auto" w:sz="4" w:space="0"/>
            </w:tcBorders>
            <w:noWrap w:val="0"/>
            <w:vAlign w:val="center"/>
          </w:tcPr>
          <w:p w14:paraId="37623988">
            <w:pPr>
              <w:widowControl/>
              <w:adjustRightInd w:val="0"/>
              <w:snapToGrid w:val="0"/>
              <w:spacing w:before="100" w:beforeAutospacing="1" w:after="100" w:afterAutospacing="1" w:line="240" w:lineRule="auto"/>
              <w:jc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w:t>
            </w:r>
          </w:p>
        </w:tc>
        <w:tc>
          <w:tcPr>
            <w:tcW w:w="1645" w:type="dxa"/>
            <w:tcBorders>
              <w:top w:val="single" w:color="auto" w:sz="4" w:space="0"/>
              <w:left w:val="single" w:color="auto" w:sz="4" w:space="0"/>
              <w:bottom w:val="single" w:color="auto" w:sz="4" w:space="0"/>
              <w:right w:val="single" w:color="auto" w:sz="4" w:space="0"/>
            </w:tcBorders>
            <w:noWrap w:val="0"/>
            <w:vAlign w:val="center"/>
          </w:tcPr>
          <w:p w14:paraId="51671FC0">
            <w:pPr>
              <w:pStyle w:val="60"/>
              <w:snapToGrid w:val="0"/>
              <w:spacing w:line="240" w:lineRule="auto"/>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供货地点</w:t>
            </w:r>
          </w:p>
        </w:tc>
        <w:tc>
          <w:tcPr>
            <w:tcW w:w="5534" w:type="dxa"/>
            <w:tcBorders>
              <w:top w:val="single" w:color="auto" w:sz="4" w:space="0"/>
              <w:left w:val="single" w:color="auto" w:sz="4" w:space="0"/>
              <w:bottom w:val="single" w:color="auto" w:sz="4" w:space="0"/>
              <w:right w:val="single" w:color="auto" w:sz="4" w:space="0"/>
            </w:tcBorders>
            <w:noWrap w:val="0"/>
            <w:vAlign w:val="center"/>
          </w:tcPr>
          <w:p w14:paraId="7E3EBC66">
            <w:pPr>
              <w:spacing w:line="240" w:lineRule="auto"/>
              <w:jc w:val="left"/>
              <w:rPr>
                <w:rFonts w:hint="eastAsia" w:ascii="仿宋_GB2312" w:hAnsi="仿宋_GB2312" w:eastAsia="仿宋_GB2312" w:cs="仿宋_GB2312"/>
                <w:color w:val="auto"/>
                <w:sz w:val="32"/>
                <w:szCs w:val="32"/>
                <w:shd w:val="clear" w:color="auto" w:fill="FFFFFF"/>
              </w:rPr>
            </w:pPr>
          </w:p>
        </w:tc>
        <w:tc>
          <w:tcPr>
            <w:tcW w:w="1017" w:type="dxa"/>
            <w:tcBorders>
              <w:top w:val="single" w:color="auto" w:sz="4" w:space="0"/>
              <w:left w:val="single" w:color="auto" w:sz="4" w:space="0"/>
              <w:bottom w:val="single" w:color="auto" w:sz="4" w:space="0"/>
              <w:right w:val="single" w:color="auto" w:sz="4" w:space="0"/>
            </w:tcBorders>
            <w:noWrap w:val="0"/>
            <w:vAlign w:val="center"/>
          </w:tcPr>
          <w:p w14:paraId="624957B4">
            <w:pPr>
              <w:widowControl/>
              <w:adjustRightInd w:val="0"/>
              <w:snapToGrid w:val="0"/>
              <w:spacing w:before="100" w:beforeAutospacing="1" w:after="100" w:afterAutospacing="1" w:line="240" w:lineRule="auto"/>
              <w:jc w:val="center"/>
              <w:rPr>
                <w:rFonts w:hint="eastAsia" w:ascii="仿宋_GB2312" w:hAnsi="仿宋_GB2312" w:eastAsia="仿宋_GB2312" w:cs="仿宋_GB2312"/>
                <w:color w:val="auto"/>
                <w:kern w:val="0"/>
                <w:sz w:val="32"/>
                <w:szCs w:val="32"/>
                <w:u w:val="single"/>
              </w:rPr>
            </w:pPr>
          </w:p>
        </w:tc>
      </w:tr>
      <w:tr w14:paraId="089ACEA8">
        <w:tblPrEx>
          <w:tblCellMar>
            <w:top w:w="0" w:type="dxa"/>
            <w:left w:w="0" w:type="dxa"/>
            <w:bottom w:w="0" w:type="dxa"/>
            <w:right w:w="0" w:type="dxa"/>
          </w:tblCellMar>
        </w:tblPrEx>
        <w:trPr>
          <w:trHeight w:val="1423" w:hRule="atLeast"/>
          <w:jc w:val="center"/>
        </w:trPr>
        <w:tc>
          <w:tcPr>
            <w:tcW w:w="902" w:type="dxa"/>
            <w:vMerge w:val="restart"/>
            <w:tcBorders>
              <w:top w:val="single" w:color="auto" w:sz="4" w:space="0"/>
              <w:left w:val="single" w:color="auto" w:sz="4" w:space="0"/>
              <w:bottom w:val="single" w:color="auto" w:sz="4" w:space="0"/>
              <w:right w:val="single" w:color="auto" w:sz="4" w:space="0"/>
            </w:tcBorders>
            <w:noWrap w:val="0"/>
            <w:vAlign w:val="center"/>
          </w:tcPr>
          <w:p w14:paraId="016D1A8F">
            <w:pPr>
              <w:widowControl/>
              <w:adjustRightInd w:val="0"/>
              <w:snapToGrid w:val="0"/>
              <w:spacing w:before="100" w:beforeAutospacing="1" w:after="100" w:afterAutospacing="1" w:line="240" w:lineRule="auto"/>
              <w:jc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4</w:t>
            </w:r>
          </w:p>
        </w:tc>
        <w:tc>
          <w:tcPr>
            <w:tcW w:w="1645" w:type="dxa"/>
            <w:vMerge w:val="restart"/>
            <w:tcBorders>
              <w:top w:val="single" w:color="auto" w:sz="4" w:space="0"/>
              <w:left w:val="single" w:color="auto" w:sz="4" w:space="0"/>
              <w:bottom w:val="single" w:color="auto" w:sz="4" w:space="0"/>
              <w:right w:val="single" w:color="auto" w:sz="4" w:space="0"/>
            </w:tcBorders>
            <w:noWrap w:val="0"/>
            <w:vAlign w:val="center"/>
          </w:tcPr>
          <w:p w14:paraId="2699BD4C">
            <w:pPr>
              <w:widowControl/>
              <w:adjustRightInd w:val="0"/>
              <w:snapToGrid w:val="0"/>
              <w:spacing w:before="100" w:beforeAutospacing="1" w:after="100" w:afterAutospacing="1" w:line="240" w:lineRule="auto"/>
              <w:jc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投标</w:t>
            </w:r>
            <w:r>
              <w:rPr>
                <w:rFonts w:hint="eastAsia" w:ascii="仿宋_GB2312" w:hAnsi="仿宋_GB2312" w:eastAsia="仿宋_GB2312" w:cs="仿宋_GB2312"/>
                <w:color w:val="auto"/>
                <w:kern w:val="0"/>
                <w:sz w:val="32"/>
                <w:szCs w:val="32"/>
                <w:lang w:val="en-US" w:eastAsia="zh-CN"/>
              </w:rPr>
              <w:t>单项下浮率</w:t>
            </w:r>
            <w:r>
              <w:rPr>
                <w:rFonts w:hint="eastAsia" w:ascii="仿宋_GB2312" w:hAnsi="仿宋_GB2312" w:eastAsia="仿宋_GB2312" w:cs="仿宋_GB2312"/>
                <w:color w:val="auto"/>
                <w:kern w:val="0"/>
                <w:sz w:val="32"/>
                <w:szCs w:val="32"/>
              </w:rPr>
              <w:t xml:space="preserve"> </w:t>
            </w:r>
          </w:p>
          <w:p w14:paraId="4D5897F3">
            <w:pPr>
              <w:widowControl/>
              <w:adjustRightInd w:val="0"/>
              <w:snapToGrid w:val="0"/>
              <w:spacing w:before="100" w:beforeAutospacing="1" w:after="100" w:afterAutospacing="1" w:line="240" w:lineRule="auto"/>
              <w:jc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val="en-US" w:eastAsia="zh-CN"/>
              </w:rPr>
              <w:t>%</w:t>
            </w:r>
            <w:r>
              <w:rPr>
                <w:rFonts w:hint="eastAsia" w:ascii="仿宋_GB2312" w:hAnsi="仿宋_GB2312" w:eastAsia="仿宋_GB2312" w:cs="仿宋_GB2312"/>
                <w:color w:val="auto"/>
                <w:kern w:val="0"/>
                <w:sz w:val="32"/>
                <w:szCs w:val="32"/>
              </w:rPr>
              <w:t>）</w:t>
            </w:r>
          </w:p>
        </w:tc>
        <w:tc>
          <w:tcPr>
            <w:tcW w:w="5534" w:type="dxa"/>
            <w:tcBorders>
              <w:top w:val="single" w:color="auto" w:sz="4" w:space="0"/>
              <w:left w:val="single" w:color="auto" w:sz="4" w:space="0"/>
              <w:bottom w:val="single" w:color="auto" w:sz="4" w:space="0"/>
              <w:right w:val="single" w:color="auto" w:sz="4" w:space="0"/>
            </w:tcBorders>
            <w:noWrap w:val="0"/>
            <w:vAlign w:val="center"/>
          </w:tcPr>
          <w:p w14:paraId="0661885A">
            <w:pPr>
              <w:widowControl/>
              <w:adjustRightInd w:val="0"/>
              <w:snapToGrid w:val="0"/>
              <w:spacing w:before="100" w:beforeAutospacing="1" w:after="100" w:afterAutospacing="1" w:line="240" w:lineRule="auto"/>
              <w:jc w:val="left"/>
              <w:rPr>
                <w:rFonts w:hint="default" w:ascii="仿宋_GB2312" w:hAnsi="仿宋_GB2312" w:eastAsia="仿宋_GB2312" w:cs="仿宋_GB2312"/>
                <w:color w:val="auto"/>
                <w:kern w:val="0"/>
                <w:sz w:val="32"/>
                <w:szCs w:val="32"/>
                <w:u w:val="single"/>
                <w:lang w:val="en-US" w:eastAsia="zh-CN"/>
              </w:rPr>
            </w:pPr>
            <w:r>
              <w:rPr>
                <w:rFonts w:hint="eastAsia" w:ascii="仿宋_GB2312" w:hAnsi="仿宋_GB2312" w:eastAsia="仿宋_GB2312" w:cs="仿宋_GB2312"/>
                <w:color w:val="auto"/>
                <w:kern w:val="0"/>
                <w:sz w:val="32"/>
                <w:szCs w:val="32"/>
                <w:lang w:val="en-US" w:eastAsia="zh-CN"/>
              </w:rPr>
              <w:t>面粉下浮率</w:t>
            </w:r>
            <w:r>
              <w:rPr>
                <w:rFonts w:hint="eastAsia" w:ascii="仿宋_GB2312" w:hAnsi="仿宋_GB2312" w:eastAsia="仿宋_GB2312" w:cs="仿宋_GB2312"/>
                <w:color w:val="auto"/>
                <w:kern w:val="0"/>
                <w:sz w:val="32"/>
                <w:szCs w:val="32"/>
              </w:rPr>
              <w:t>：小写：</w:t>
            </w:r>
          </w:p>
          <w:p w14:paraId="7A97BCA8">
            <w:pPr>
              <w:widowControl/>
              <w:adjustRightInd w:val="0"/>
              <w:snapToGrid w:val="0"/>
              <w:spacing w:before="100" w:beforeAutospacing="1" w:after="100" w:afterAutospacing="1" w:line="240" w:lineRule="auto"/>
              <w:ind w:firstLine="1920" w:firstLineChars="600"/>
              <w:jc w:val="left"/>
              <w:rPr>
                <w:rFonts w:hint="default" w:ascii="仿宋_GB2312" w:hAnsi="仿宋_GB2312" w:eastAsia="仿宋_GB2312" w:cs="仿宋_GB2312"/>
                <w:color w:val="auto"/>
                <w:kern w:val="0"/>
                <w:sz w:val="32"/>
                <w:szCs w:val="32"/>
                <w:u w:val="single"/>
                <w:lang w:val="en-US" w:eastAsia="zh-CN"/>
              </w:rPr>
            </w:pPr>
            <w:r>
              <w:rPr>
                <w:rFonts w:hint="eastAsia" w:ascii="仿宋_GB2312" w:hAnsi="仿宋_GB2312" w:eastAsia="仿宋_GB2312" w:cs="仿宋_GB2312"/>
                <w:color w:val="auto"/>
                <w:kern w:val="0"/>
                <w:sz w:val="32"/>
                <w:szCs w:val="32"/>
              </w:rPr>
              <w:t>大写：</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4F3D912D">
            <w:pPr>
              <w:widowControl/>
              <w:adjustRightInd w:val="0"/>
              <w:snapToGrid w:val="0"/>
              <w:spacing w:before="100" w:beforeAutospacing="1" w:after="100" w:afterAutospacing="1" w:line="240" w:lineRule="auto"/>
              <w:jc w:val="center"/>
              <w:rPr>
                <w:rFonts w:hint="eastAsia" w:ascii="仿宋_GB2312" w:hAnsi="仿宋_GB2312" w:eastAsia="仿宋_GB2312" w:cs="仿宋_GB2312"/>
                <w:color w:val="auto"/>
                <w:kern w:val="0"/>
                <w:sz w:val="32"/>
                <w:szCs w:val="32"/>
                <w:u w:val="single"/>
              </w:rPr>
            </w:pPr>
          </w:p>
        </w:tc>
      </w:tr>
      <w:tr w14:paraId="3093839D">
        <w:tblPrEx>
          <w:tblCellMar>
            <w:top w:w="0" w:type="dxa"/>
            <w:left w:w="0" w:type="dxa"/>
            <w:bottom w:w="0" w:type="dxa"/>
            <w:right w:w="0" w:type="dxa"/>
          </w:tblCellMar>
        </w:tblPrEx>
        <w:trPr>
          <w:trHeight w:val="1447" w:hRule="atLeast"/>
          <w:jc w:val="center"/>
        </w:trPr>
        <w:tc>
          <w:tcPr>
            <w:tcW w:w="902" w:type="dxa"/>
            <w:vMerge w:val="continue"/>
            <w:tcBorders>
              <w:top w:val="single" w:color="auto" w:sz="4" w:space="0"/>
              <w:left w:val="single" w:color="auto" w:sz="4" w:space="0"/>
              <w:bottom w:val="single" w:color="auto" w:sz="4" w:space="0"/>
              <w:right w:val="single" w:color="auto" w:sz="4" w:space="0"/>
            </w:tcBorders>
            <w:noWrap w:val="0"/>
            <w:vAlign w:val="center"/>
          </w:tcPr>
          <w:p w14:paraId="0F8D7024">
            <w:pPr>
              <w:widowControl/>
              <w:adjustRightInd w:val="0"/>
              <w:snapToGrid w:val="0"/>
              <w:spacing w:before="100" w:beforeAutospacing="1" w:after="100" w:afterAutospacing="1" w:line="240" w:lineRule="auto"/>
              <w:jc w:val="center"/>
              <w:rPr>
                <w:rFonts w:hint="eastAsia" w:ascii="仿宋_GB2312" w:hAnsi="仿宋_GB2312" w:eastAsia="仿宋_GB2312" w:cs="仿宋_GB2312"/>
                <w:color w:val="auto"/>
                <w:kern w:val="0"/>
                <w:sz w:val="32"/>
                <w:szCs w:val="32"/>
              </w:rPr>
            </w:pPr>
          </w:p>
        </w:tc>
        <w:tc>
          <w:tcPr>
            <w:tcW w:w="1645" w:type="dxa"/>
            <w:vMerge w:val="continue"/>
            <w:tcBorders>
              <w:top w:val="single" w:color="auto" w:sz="4" w:space="0"/>
              <w:left w:val="single" w:color="auto" w:sz="4" w:space="0"/>
              <w:bottom w:val="single" w:color="auto" w:sz="4" w:space="0"/>
              <w:right w:val="single" w:color="auto" w:sz="4" w:space="0"/>
            </w:tcBorders>
            <w:noWrap w:val="0"/>
            <w:vAlign w:val="center"/>
          </w:tcPr>
          <w:p w14:paraId="2688F4BB">
            <w:pPr>
              <w:widowControl/>
              <w:adjustRightInd w:val="0"/>
              <w:snapToGrid w:val="0"/>
              <w:spacing w:before="100" w:beforeAutospacing="1" w:after="100" w:afterAutospacing="1" w:line="240" w:lineRule="auto"/>
              <w:jc w:val="center"/>
              <w:rPr>
                <w:rFonts w:hint="eastAsia" w:ascii="仿宋_GB2312" w:hAnsi="仿宋_GB2312" w:eastAsia="仿宋_GB2312" w:cs="仿宋_GB2312"/>
                <w:color w:val="auto"/>
                <w:kern w:val="0"/>
                <w:sz w:val="32"/>
                <w:szCs w:val="32"/>
              </w:rPr>
            </w:pPr>
          </w:p>
        </w:tc>
        <w:tc>
          <w:tcPr>
            <w:tcW w:w="5534" w:type="dxa"/>
            <w:tcBorders>
              <w:top w:val="single" w:color="auto" w:sz="4" w:space="0"/>
              <w:left w:val="single" w:color="auto" w:sz="4" w:space="0"/>
              <w:bottom w:val="single" w:color="auto" w:sz="4" w:space="0"/>
              <w:right w:val="single" w:color="auto" w:sz="4" w:space="0"/>
            </w:tcBorders>
            <w:noWrap w:val="0"/>
            <w:vAlign w:val="center"/>
          </w:tcPr>
          <w:p w14:paraId="1FDC719A">
            <w:pPr>
              <w:widowControl/>
              <w:adjustRightInd w:val="0"/>
              <w:snapToGrid w:val="0"/>
              <w:spacing w:before="100" w:beforeAutospacing="1" w:after="100" w:afterAutospacing="1" w:line="240" w:lineRule="auto"/>
              <w:jc w:val="left"/>
              <w:rPr>
                <w:rFonts w:hint="eastAsia" w:ascii="仿宋_GB2312" w:hAnsi="仿宋_GB2312" w:eastAsia="仿宋_GB2312" w:cs="仿宋_GB2312"/>
                <w:color w:val="auto"/>
                <w:kern w:val="0"/>
                <w:sz w:val="32"/>
                <w:szCs w:val="32"/>
                <w:u w:val="single"/>
              </w:rPr>
            </w:pPr>
            <w:r>
              <w:rPr>
                <w:rFonts w:hint="eastAsia" w:ascii="仿宋_GB2312" w:hAnsi="仿宋_GB2312" w:eastAsia="仿宋_GB2312" w:cs="仿宋_GB2312"/>
                <w:color w:val="auto"/>
                <w:kern w:val="0"/>
                <w:sz w:val="32"/>
                <w:szCs w:val="32"/>
                <w:lang w:val="en-US" w:eastAsia="zh-CN"/>
              </w:rPr>
              <w:t>菜籽油下浮率</w:t>
            </w:r>
            <w:r>
              <w:rPr>
                <w:rFonts w:hint="eastAsia" w:ascii="仿宋_GB2312" w:hAnsi="仿宋_GB2312" w:eastAsia="仿宋_GB2312" w:cs="仿宋_GB2312"/>
                <w:color w:val="auto"/>
                <w:kern w:val="0"/>
                <w:sz w:val="32"/>
                <w:szCs w:val="32"/>
              </w:rPr>
              <w:t>：小写：</w:t>
            </w:r>
          </w:p>
          <w:p w14:paraId="03DE7E20">
            <w:pPr>
              <w:widowControl/>
              <w:adjustRightInd w:val="0"/>
              <w:snapToGrid w:val="0"/>
              <w:spacing w:before="100" w:beforeAutospacing="1" w:after="100" w:afterAutospacing="1" w:line="240" w:lineRule="auto"/>
              <w:ind w:firstLine="1920" w:firstLineChars="60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大写：</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1C0AFB6F">
            <w:pPr>
              <w:widowControl/>
              <w:adjustRightInd w:val="0"/>
              <w:snapToGrid w:val="0"/>
              <w:spacing w:before="100" w:beforeAutospacing="1" w:after="100" w:afterAutospacing="1" w:line="240" w:lineRule="auto"/>
              <w:jc w:val="center"/>
              <w:rPr>
                <w:rFonts w:hint="eastAsia" w:ascii="仿宋_GB2312" w:hAnsi="仿宋_GB2312" w:eastAsia="仿宋_GB2312" w:cs="仿宋_GB2312"/>
                <w:color w:val="auto"/>
                <w:kern w:val="0"/>
                <w:sz w:val="32"/>
                <w:szCs w:val="32"/>
                <w:u w:val="single"/>
              </w:rPr>
            </w:pPr>
          </w:p>
        </w:tc>
      </w:tr>
      <w:tr w14:paraId="21CAE783">
        <w:tblPrEx>
          <w:tblCellMar>
            <w:top w:w="0" w:type="dxa"/>
            <w:left w:w="0" w:type="dxa"/>
            <w:bottom w:w="0" w:type="dxa"/>
            <w:right w:w="0" w:type="dxa"/>
          </w:tblCellMar>
        </w:tblPrEx>
        <w:trPr>
          <w:trHeight w:val="1345" w:hRule="atLeast"/>
          <w:jc w:val="center"/>
        </w:trPr>
        <w:tc>
          <w:tcPr>
            <w:tcW w:w="902" w:type="dxa"/>
            <w:vMerge w:val="continue"/>
            <w:tcBorders>
              <w:top w:val="single" w:color="auto" w:sz="4" w:space="0"/>
              <w:left w:val="single" w:color="auto" w:sz="4" w:space="0"/>
              <w:bottom w:val="single" w:color="auto" w:sz="4" w:space="0"/>
              <w:right w:val="single" w:color="auto" w:sz="4" w:space="0"/>
            </w:tcBorders>
            <w:noWrap w:val="0"/>
            <w:vAlign w:val="center"/>
          </w:tcPr>
          <w:p w14:paraId="53474ADC">
            <w:pPr>
              <w:widowControl/>
              <w:adjustRightInd w:val="0"/>
              <w:snapToGrid w:val="0"/>
              <w:spacing w:before="100" w:beforeAutospacing="1" w:after="100" w:afterAutospacing="1" w:line="240" w:lineRule="auto"/>
              <w:jc w:val="center"/>
              <w:rPr>
                <w:rFonts w:hint="eastAsia" w:ascii="仿宋_GB2312" w:hAnsi="仿宋_GB2312" w:eastAsia="仿宋_GB2312" w:cs="仿宋_GB2312"/>
                <w:color w:val="auto"/>
                <w:kern w:val="0"/>
                <w:sz w:val="32"/>
                <w:szCs w:val="32"/>
              </w:rPr>
            </w:pPr>
          </w:p>
        </w:tc>
        <w:tc>
          <w:tcPr>
            <w:tcW w:w="1645" w:type="dxa"/>
            <w:vMerge w:val="continue"/>
            <w:tcBorders>
              <w:top w:val="single" w:color="auto" w:sz="4" w:space="0"/>
              <w:left w:val="single" w:color="auto" w:sz="4" w:space="0"/>
              <w:bottom w:val="single" w:color="auto" w:sz="4" w:space="0"/>
              <w:right w:val="single" w:color="auto" w:sz="4" w:space="0"/>
            </w:tcBorders>
            <w:noWrap w:val="0"/>
            <w:vAlign w:val="center"/>
          </w:tcPr>
          <w:p w14:paraId="541AABBA">
            <w:pPr>
              <w:widowControl/>
              <w:adjustRightInd w:val="0"/>
              <w:snapToGrid w:val="0"/>
              <w:spacing w:before="100" w:beforeAutospacing="1" w:after="100" w:afterAutospacing="1" w:line="240" w:lineRule="auto"/>
              <w:jc w:val="center"/>
              <w:rPr>
                <w:rFonts w:hint="eastAsia" w:ascii="仿宋_GB2312" w:hAnsi="仿宋_GB2312" w:eastAsia="仿宋_GB2312" w:cs="仿宋_GB2312"/>
                <w:color w:val="auto"/>
                <w:kern w:val="0"/>
                <w:sz w:val="32"/>
                <w:szCs w:val="32"/>
              </w:rPr>
            </w:pPr>
          </w:p>
        </w:tc>
        <w:tc>
          <w:tcPr>
            <w:tcW w:w="5534" w:type="dxa"/>
            <w:tcBorders>
              <w:top w:val="single" w:color="auto" w:sz="4" w:space="0"/>
              <w:left w:val="single" w:color="auto" w:sz="4" w:space="0"/>
              <w:bottom w:val="single" w:color="auto" w:sz="4" w:space="0"/>
              <w:right w:val="single" w:color="auto" w:sz="4" w:space="0"/>
            </w:tcBorders>
            <w:noWrap w:val="0"/>
            <w:vAlign w:val="center"/>
          </w:tcPr>
          <w:p w14:paraId="1BAEF11B">
            <w:pPr>
              <w:widowControl/>
              <w:adjustRightInd w:val="0"/>
              <w:snapToGrid w:val="0"/>
              <w:spacing w:before="100" w:beforeAutospacing="1" w:after="100" w:afterAutospacing="1" w:line="240" w:lineRule="auto"/>
              <w:jc w:val="left"/>
              <w:rPr>
                <w:rFonts w:hint="eastAsia" w:ascii="仿宋_GB2312" w:hAnsi="仿宋_GB2312" w:eastAsia="仿宋_GB2312" w:cs="仿宋_GB2312"/>
                <w:color w:val="auto"/>
                <w:kern w:val="0"/>
                <w:sz w:val="32"/>
                <w:szCs w:val="32"/>
                <w:u w:val="single"/>
              </w:rPr>
            </w:pPr>
            <w:r>
              <w:rPr>
                <w:rFonts w:hint="eastAsia" w:ascii="仿宋_GB2312" w:hAnsi="仿宋_GB2312" w:eastAsia="仿宋_GB2312" w:cs="仿宋_GB2312"/>
                <w:color w:val="auto"/>
                <w:kern w:val="0"/>
                <w:sz w:val="32"/>
                <w:szCs w:val="32"/>
                <w:lang w:val="en-US" w:eastAsia="zh-CN"/>
              </w:rPr>
              <w:t>大米下浮率</w:t>
            </w:r>
            <w:r>
              <w:rPr>
                <w:rFonts w:hint="eastAsia" w:ascii="仿宋_GB2312" w:hAnsi="仿宋_GB2312" w:eastAsia="仿宋_GB2312" w:cs="仿宋_GB2312"/>
                <w:color w:val="auto"/>
                <w:kern w:val="0"/>
                <w:sz w:val="32"/>
                <w:szCs w:val="32"/>
              </w:rPr>
              <w:t>：小写：</w:t>
            </w:r>
          </w:p>
          <w:p w14:paraId="5DDA4372">
            <w:pPr>
              <w:widowControl/>
              <w:adjustRightInd w:val="0"/>
              <w:snapToGrid w:val="0"/>
              <w:spacing w:before="100" w:beforeAutospacing="1" w:after="100" w:afterAutospacing="1" w:line="240" w:lineRule="auto"/>
              <w:ind w:firstLine="1920" w:firstLineChars="60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大写：</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6C37BFFC">
            <w:pPr>
              <w:widowControl/>
              <w:adjustRightInd w:val="0"/>
              <w:snapToGrid w:val="0"/>
              <w:spacing w:before="100" w:beforeAutospacing="1" w:after="100" w:afterAutospacing="1" w:line="240" w:lineRule="auto"/>
              <w:jc w:val="center"/>
              <w:rPr>
                <w:rFonts w:hint="eastAsia" w:ascii="仿宋_GB2312" w:hAnsi="仿宋_GB2312" w:eastAsia="仿宋_GB2312" w:cs="仿宋_GB2312"/>
                <w:color w:val="auto"/>
                <w:kern w:val="0"/>
                <w:sz w:val="32"/>
                <w:szCs w:val="32"/>
                <w:u w:val="single"/>
              </w:rPr>
            </w:pPr>
          </w:p>
        </w:tc>
      </w:tr>
      <w:tr w14:paraId="7771267B">
        <w:tblPrEx>
          <w:tblCellMar>
            <w:top w:w="0" w:type="dxa"/>
            <w:left w:w="0" w:type="dxa"/>
            <w:bottom w:w="0" w:type="dxa"/>
            <w:right w:w="0" w:type="dxa"/>
          </w:tblCellMar>
        </w:tblPrEx>
        <w:trPr>
          <w:trHeight w:val="1064" w:hRule="atLeast"/>
          <w:jc w:val="center"/>
        </w:trPr>
        <w:tc>
          <w:tcPr>
            <w:tcW w:w="902" w:type="dxa"/>
            <w:tcBorders>
              <w:top w:val="single" w:color="auto" w:sz="4" w:space="0"/>
              <w:left w:val="single" w:color="auto" w:sz="4" w:space="0"/>
              <w:bottom w:val="single" w:color="auto" w:sz="4" w:space="0"/>
              <w:right w:val="single" w:color="auto" w:sz="4" w:space="0"/>
            </w:tcBorders>
            <w:noWrap w:val="0"/>
            <w:vAlign w:val="center"/>
          </w:tcPr>
          <w:p w14:paraId="77D91E3B">
            <w:pPr>
              <w:widowControl/>
              <w:adjustRightInd w:val="0"/>
              <w:snapToGrid w:val="0"/>
              <w:spacing w:before="100" w:beforeAutospacing="1" w:after="100" w:afterAutospacing="1" w:line="240" w:lineRule="auto"/>
              <w:jc w:val="center"/>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5</w:t>
            </w:r>
          </w:p>
        </w:tc>
        <w:tc>
          <w:tcPr>
            <w:tcW w:w="7179" w:type="dxa"/>
            <w:gridSpan w:val="2"/>
            <w:tcBorders>
              <w:top w:val="single" w:color="auto" w:sz="4" w:space="0"/>
              <w:left w:val="single" w:color="auto" w:sz="4" w:space="0"/>
              <w:bottom w:val="single" w:color="auto" w:sz="4" w:space="0"/>
              <w:right w:val="single" w:color="auto" w:sz="4" w:space="0"/>
            </w:tcBorders>
            <w:noWrap w:val="0"/>
            <w:vAlign w:val="center"/>
          </w:tcPr>
          <w:p w14:paraId="11B84BDF">
            <w:pPr>
              <w:widowControl/>
              <w:adjustRightInd w:val="0"/>
              <w:snapToGrid w:val="0"/>
              <w:spacing w:before="100" w:beforeAutospacing="1" w:after="100" w:afterAutospacing="1" w:line="240" w:lineRule="auto"/>
              <w:ind w:firstLine="1600" w:firstLineChars="500"/>
              <w:jc w:val="left"/>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rPr>
              <w:t>投标</w:t>
            </w:r>
            <w:r>
              <w:rPr>
                <w:rFonts w:hint="eastAsia" w:ascii="仿宋_GB2312" w:hAnsi="仿宋_GB2312" w:eastAsia="仿宋_GB2312" w:cs="仿宋_GB2312"/>
                <w:color w:val="auto"/>
                <w:kern w:val="0"/>
                <w:sz w:val="32"/>
                <w:szCs w:val="32"/>
                <w:lang w:val="en-US" w:eastAsia="zh-CN"/>
              </w:rPr>
              <w:t>总项下浮率</w:t>
            </w:r>
            <w:r>
              <w:rPr>
                <w:rFonts w:hint="eastAsia" w:ascii="仿宋_GB2312" w:hAnsi="仿宋_GB2312" w:eastAsia="仿宋_GB2312" w:cs="仿宋_GB2312"/>
                <w:color w:val="auto"/>
                <w:kern w:val="0"/>
                <w:sz w:val="32"/>
                <w:szCs w:val="32"/>
              </w:rPr>
              <w:t xml:space="preserve"> （</w:t>
            </w:r>
            <w:r>
              <w:rPr>
                <w:rFonts w:hint="eastAsia" w:ascii="仿宋_GB2312" w:hAnsi="仿宋_GB2312" w:eastAsia="仿宋_GB2312" w:cs="仿宋_GB2312"/>
                <w:color w:val="auto"/>
                <w:kern w:val="0"/>
                <w:sz w:val="32"/>
                <w:szCs w:val="32"/>
                <w:lang w:val="en-US" w:eastAsia="zh-CN"/>
              </w:rPr>
              <w:t>%</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eastAsia="zh-CN"/>
              </w:rPr>
              <w:t>：</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1309E786">
            <w:pPr>
              <w:widowControl/>
              <w:adjustRightInd w:val="0"/>
              <w:snapToGrid w:val="0"/>
              <w:spacing w:before="100" w:beforeAutospacing="1" w:after="100" w:afterAutospacing="1" w:line="240" w:lineRule="auto"/>
              <w:jc w:val="center"/>
              <w:rPr>
                <w:rFonts w:hint="eastAsia" w:ascii="仿宋_GB2312" w:hAnsi="仿宋_GB2312" w:eastAsia="仿宋_GB2312" w:cs="仿宋_GB2312"/>
                <w:color w:val="auto"/>
                <w:kern w:val="0"/>
                <w:sz w:val="32"/>
                <w:szCs w:val="32"/>
                <w:u w:val="single"/>
              </w:rPr>
            </w:pPr>
          </w:p>
        </w:tc>
      </w:tr>
    </w:tbl>
    <w:p w14:paraId="6EFBCC30">
      <w:pPr>
        <w:spacing w:line="360" w:lineRule="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val="en-US" w:eastAsia="zh-CN"/>
        </w:rPr>
        <w:t>注：</w:t>
      </w:r>
      <w:r>
        <w:rPr>
          <w:rFonts w:hint="eastAsia" w:ascii="仿宋_GB2312" w:hAnsi="仿宋_GB2312" w:eastAsia="仿宋_GB2312" w:cs="仿宋_GB2312"/>
          <w:b/>
          <w:bCs/>
          <w:color w:val="auto"/>
          <w:kern w:val="0"/>
          <w:sz w:val="32"/>
          <w:szCs w:val="32"/>
        </w:rPr>
        <w:t>投标</w:t>
      </w:r>
      <w:r>
        <w:rPr>
          <w:rFonts w:hint="eastAsia" w:ascii="仿宋_GB2312" w:hAnsi="仿宋_GB2312" w:eastAsia="仿宋_GB2312" w:cs="仿宋_GB2312"/>
          <w:b/>
          <w:bCs/>
          <w:color w:val="auto"/>
          <w:kern w:val="0"/>
          <w:sz w:val="32"/>
          <w:szCs w:val="32"/>
          <w:lang w:val="en-US" w:eastAsia="zh-CN"/>
        </w:rPr>
        <w:t>总项下浮率</w:t>
      </w:r>
      <w:r>
        <w:rPr>
          <w:rFonts w:hint="eastAsia" w:ascii="仿宋_GB2312" w:hAnsi="仿宋_GB2312" w:eastAsia="仿宋_GB2312" w:cs="仿宋_GB2312"/>
          <w:b/>
          <w:bCs/>
          <w:color w:val="auto"/>
          <w:kern w:val="0"/>
          <w:sz w:val="32"/>
          <w:szCs w:val="32"/>
        </w:rPr>
        <w:t xml:space="preserve"> </w:t>
      </w:r>
      <w:r>
        <w:rPr>
          <w:rFonts w:hint="eastAsia" w:ascii="仿宋_GB2312" w:hAnsi="仿宋_GB2312" w:eastAsia="仿宋_GB2312" w:cs="仿宋_GB2312"/>
          <w:b/>
          <w:bCs/>
          <w:color w:val="auto"/>
          <w:kern w:val="0"/>
          <w:sz w:val="32"/>
          <w:szCs w:val="32"/>
          <w:lang w:val="en-US" w:eastAsia="zh-CN"/>
        </w:rPr>
        <w:t>=面粉下浮率+菜籽油下浮率+大米下浮率之和的下浮率，此下浮率参与本项目价格评审。</w:t>
      </w:r>
    </w:p>
    <w:p w14:paraId="0C0EDA83">
      <w:pPr>
        <w:spacing w:line="360" w:lineRule="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投标单位盖章：</w:t>
      </w:r>
    </w:p>
    <w:p w14:paraId="31858D54">
      <w:pPr>
        <w:spacing w:line="360" w:lineRule="auto"/>
        <w:ind w:left="10240" w:hanging="10240" w:hangingChars="3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投标单位法人或授权代表签字或盖章：                                                                     </w:t>
      </w:r>
    </w:p>
    <w:p w14:paraId="0E4EA744">
      <w:pPr>
        <w:spacing w:line="360" w:lineRule="auto"/>
        <w:ind w:left="10240" w:hanging="10240" w:hangingChars="3200"/>
        <w:jc w:val="right"/>
        <w:rPr>
          <w:rFonts w:hint="eastAsia" w:ascii="仿宋_GB2312" w:hAnsi="仿宋_GB2312" w:eastAsia="仿宋_GB2312" w:cs="仿宋_GB2312"/>
          <w:color w:val="auto"/>
          <w:sz w:val="32"/>
          <w:szCs w:val="32"/>
        </w:rPr>
        <w:sectPr>
          <w:headerReference r:id="rId7" w:type="default"/>
          <w:footerReference r:id="rId8" w:type="default"/>
          <w:pgSz w:w="11905" w:h="16838"/>
          <w:pgMar w:top="1531" w:right="1531" w:bottom="1531" w:left="1531" w:header="1134" w:footer="1134" w:gutter="0"/>
          <w:pgNumType w:start="1"/>
          <w:cols w:space="720" w:num="1"/>
          <w:docGrid w:linePitch="319" w:charSpace="0"/>
        </w:sectPr>
      </w:pPr>
      <w:r>
        <w:rPr>
          <w:rFonts w:hint="eastAsia" w:ascii="仿宋_GB2312" w:hAnsi="仿宋_GB2312" w:eastAsia="仿宋_GB2312" w:cs="仿宋_GB2312"/>
          <w:color w:val="auto"/>
          <w:sz w:val="32"/>
          <w:szCs w:val="32"/>
        </w:rPr>
        <w:t>年   月   日</w:t>
      </w:r>
    </w:p>
    <w:p w14:paraId="47DCA759">
      <w:pPr>
        <w:pStyle w:val="3"/>
        <w:spacing w:line="360" w:lineRule="auto"/>
        <w:jc w:val="center"/>
        <w:rPr>
          <w:rStyle w:val="53"/>
          <w:rFonts w:hint="eastAsia" w:ascii="仿宋_GB2312" w:hAnsi="仿宋_GB2312" w:eastAsia="仿宋_GB2312" w:cs="仿宋_GB2312"/>
          <w:b/>
          <w:bCs w:val="0"/>
          <w:color w:val="auto"/>
        </w:rPr>
      </w:pPr>
      <w:bookmarkStart w:id="303" w:name="_Toc8766"/>
      <w:bookmarkStart w:id="304" w:name="_Toc18030_WPSOffice_Level1"/>
      <w:bookmarkStart w:id="305" w:name="_Toc12705"/>
      <w:bookmarkStart w:id="306" w:name="_Toc18663"/>
      <w:bookmarkStart w:id="307" w:name="_Toc30221_WPSOffice_Level1"/>
      <w:bookmarkStart w:id="308" w:name="_Toc50459035"/>
      <w:bookmarkStart w:id="309" w:name="_Toc16901"/>
      <w:r>
        <w:rPr>
          <w:rStyle w:val="53"/>
          <w:rFonts w:hint="eastAsia" w:ascii="仿宋_GB2312" w:hAnsi="仿宋_GB2312" w:eastAsia="仿宋_GB2312" w:cs="仿宋_GB2312"/>
          <w:b/>
          <w:bCs w:val="0"/>
          <w:color w:val="auto"/>
        </w:rPr>
        <w:t>3、报价一览明细表</w:t>
      </w:r>
      <w:bookmarkEnd w:id="303"/>
    </w:p>
    <w:p w14:paraId="60E35AA6">
      <w:pPr>
        <w:pStyle w:val="16"/>
        <w:spacing w:line="240" w:lineRule="auto"/>
        <w:rPr>
          <w:rFonts w:hint="eastAsia" w:ascii="仿宋" w:hAnsi="仿宋" w:eastAsia="仿宋" w:cs="仿宋"/>
          <w:color w:val="auto"/>
          <w:sz w:val="32"/>
          <w:szCs w:val="32"/>
          <w:u w:val="single"/>
        </w:rPr>
      </w:pPr>
      <w:r>
        <w:rPr>
          <w:rFonts w:hint="eastAsia" w:ascii="仿宋" w:hAnsi="仿宋" w:eastAsia="仿宋" w:cs="仿宋"/>
          <w:color w:val="auto"/>
          <w:sz w:val="32"/>
          <w:szCs w:val="32"/>
        </w:rPr>
        <w:t>投标人名称：</w:t>
      </w:r>
      <w:r>
        <w:rPr>
          <w:rFonts w:hint="eastAsia" w:ascii="仿宋" w:hAnsi="仿宋" w:eastAsia="仿宋" w:cs="仿宋"/>
          <w:color w:val="auto"/>
          <w:sz w:val="32"/>
          <w:szCs w:val="32"/>
          <w:u w:val="single"/>
        </w:rPr>
        <w:t xml:space="preserve">             </w:t>
      </w:r>
    </w:p>
    <w:p w14:paraId="2A780E0F">
      <w:pPr>
        <w:pStyle w:val="16"/>
        <w:spacing w:line="240" w:lineRule="auto"/>
        <w:rPr>
          <w:rFonts w:hint="eastAsia" w:ascii="仿宋" w:hAnsi="仿宋" w:eastAsia="仿宋" w:cs="仿宋"/>
          <w:color w:val="auto"/>
          <w:sz w:val="32"/>
          <w:szCs w:val="32"/>
          <w:u w:val="single"/>
        </w:rPr>
      </w:pPr>
      <w:r>
        <w:rPr>
          <w:rFonts w:hint="eastAsia" w:ascii="仿宋" w:hAnsi="仿宋" w:eastAsia="仿宋" w:cs="仿宋"/>
          <w:color w:val="auto"/>
          <w:sz w:val="32"/>
          <w:szCs w:val="32"/>
        </w:rPr>
        <w:t>招标编号：</w:t>
      </w:r>
      <w:r>
        <w:rPr>
          <w:rFonts w:hint="eastAsia" w:ascii="仿宋" w:hAnsi="仿宋" w:eastAsia="仿宋" w:cs="仿宋"/>
          <w:color w:val="auto"/>
          <w:sz w:val="32"/>
          <w:szCs w:val="32"/>
          <w:u w:val="single"/>
        </w:rPr>
        <w:t xml:space="preserve">               </w:t>
      </w:r>
    </w:p>
    <w:tbl>
      <w:tblPr>
        <w:tblStyle w:val="27"/>
        <w:tblW w:w="98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2011"/>
        <w:gridCol w:w="1876"/>
        <w:gridCol w:w="1169"/>
        <w:gridCol w:w="1830"/>
        <w:gridCol w:w="1464"/>
        <w:gridCol w:w="614"/>
      </w:tblGrid>
      <w:tr w14:paraId="58A00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5" w:hRule="atLeast"/>
          <w:jc w:val="center"/>
        </w:trPr>
        <w:tc>
          <w:tcPr>
            <w:tcW w:w="852" w:type="dxa"/>
            <w:noWrap w:val="0"/>
            <w:vAlign w:val="center"/>
          </w:tcPr>
          <w:p w14:paraId="7E14A1F9">
            <w:pPr>
              <w:pStyle w:val="16"/>
              <w:spacing w:line="240" w:lineRule="auto"/>
              <w:jc w:val="center"/>
              <w:rPr>
                <w:rFonts w:hint="eastAsia" w:ascii="仿宋" w:hAnsi="仿宋" w:eastAsia="仿宋" w:cs="仿宋"/>
                <w:color w:val="auto"/>
                <w:sz w:val="30"/>
                <w:szCs w:val="30"/>
              </w:rPr>
            </w:pPr>
            <w:r>
              <w:rPr>
                <w:rFonts w:hint="eastAsia" w:ascii="仿宋" w:hAnsi="仿宋" w:eastAsia="仿宋" w:cs="仿宋"/>
                <w:color w:val="auto"/>
                <w:sz w:val="30"/>
                <w:szCs w:val="30"/>
              </w:rPr>
              <w:t>序号</w:t>
            </w:r>
          </w:p>
        </w:tc>
        <w:tc>
          <w:tcPr>
            <w:tcW w:w="2011" w:type="dxa"/>
            <w:noWrap w:val="0"/>
            <w:vAlign w:val="center"/>
          </w:tcPr>
          <w:p w14:paraId="312A10B5">
            <w:pPr>
              <w:pStyle w:val="16"/>
              <w:spacing w:line="240" w:lineRule="auto"/>
              <w:jc w:val="center"/>
              <w:rPr>
                <w:rFonts w:hint="eastAsia" w:ascii="仿宋" w:hAnsi="仿宋" w:eastAsia="仿宋" w:cs="仿宋"/>
                <w:color w:val="auto"/>
                <w:sz w:val="30"/>
                <w:szCs w:val="30"/>
              </w:rPr>
            </w:pPr>
            <w:r>
              <w:rPr>
                <w:rFonts w:hint="eastAsia" w:ascii="仿宋" w:hAnsi="仿宋" w:eastAsia="仿宋" w:cs="仿宋"/>
                <w:color w:val="auto"/>
                <w:sz w:val="30"/>
                <w:szCs w:val="30"/>
              </w:rPr>
              <w:t>名称</w:t>
            </w:r>
          </w:p>
        </w:tc>
        <w:tc>
          <w:tcPr>
            <w:tcW w:w="1876" w:type="dxa"/>
            <w:noWrap w:val="0"/>
            <w:vAlign w:val="center"/>
          </w:tcPr>
          <w:p w14:paraId="2148D354">
            <w:pPr>
              <w:pStyle w:val="16"/>
              <w:spacing w:line="240" w:lineRule="auto"/>
              <w:jc w:val="center"/>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rPr>
              <w:t>生产厂家</w:t>
            </w:r>
            <w:r>
              <w:rPr>
                <w:rFonts w:hint="eastAsia" w:ascii="仿宋" w:hAnsi="仿宋" w:eastAsia="仿宋" w:cs="仿宋"/>
                <w:color w:val="auto"/>
                <w:sz w:val="30"/>
                <w:szCs w:val="30"/>
                <w:lang w:val="en-US" w:eastAsia="zh-CN"/>
              </w:rPr>
              <w:t>/</w:t>
            </w:r>
          </w:p>
          <w:p w14:paraId="4CD1A406">
            <w:pPr>
              <w:pStyle w:val="16"/>
              <w:spacing w:line="240" w:lineRule="auto"/>
              <w:jc w:val="center"/>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供应商</w:t>
            </w:r>
          </w:p>
        </w:tc>
        <w:tc>
          <w:tcPr>
            <w:tcW w:w="1169" w:type="dxa"/>
            <w:noWrap w:val="0"/>
            <w:vAlign w:val="center"/>
          </w:tcPr>
          <w:p w14:paraId="5B49614F">
            <w:pPr>
              <w:pStyle w:val="16"/>
              <w:spacing w:line="240" w:lineRule="auto"/>
              <w:jc w:val="center"/>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规格/单位</w:t>
            </w:r>
          </w:p>
        </w:tc>
        <w:tc>
          <w:tcPr>
            <w:tcW w:w="1830" w:type="dxa"/>
            <w:noWrap w:val="0"/>
            <w:vAlign w:val="center"/>
          </w:tcPr>
          <w:p w14:paraId="622E95AA">
            <w:pPr>
              <w:pStyle w:val="16"/>
              <w:spacing w:line="240" w:lineRule="auto"/>
              <w:jc w:val="center"/>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下浮率</w:t>
            </w:r>
          </w:p>
          <w:p w14:paraId="522E8602">
            <w:pPr>
              <w:pStyle w:val="16"/>
              <w:spacing w:line="240" w:lineRule="auto"/>
              <w:jc w:val="center"/>
              <w:rPr>
                <w:rFonts w:hint="eastAsia" w:ascii="仿宋" w:hAnsi="仿宋" w:eastAsia="仿宋" w:cs="仿宋"/>
                <w:color w:val="auto"/>
                <w:sz w:val="30"/>
                <w:szCs w:val="30"/>
              </w:rPr>
            </w:pPr>
            <w:r>
              <w:rPr>
                <w:rFonts w:hint="eastAsia" w:ascii="仿宋" w:hAnsi="仿宋" w:eastAsia="仿宋" w:cs="仿宋"/>
                <w:color w:val="auto"/>
                <w:sz w:val="30"/>
                <w:szCs w:val="30"/>
              </w:rPr>
              <w:t>（</w:t>
            </w:r>
            <w:r>
              <w:rPr>
                <w:rFonts w:hint="eastAsia" w:ascii="仿宋" w:hAnsi="仿宋" w:eastAsia="仿宋" w:cs="仿宋"/>
                <w:color w:val="auto"/>
                <w:sz w:val="30"/>
                <w:szCs w:val="30"/>
                <w:lang w:val="en-US" w:eastAsia="zh-CN"/>
              </w:rPr>
              <w:t>%</w:t>
            </w:r>
            <w:r>
              <w:rPr>
                <w:rFonts w:hint="eastAsia" w:ascii="仿宋" w:hAnsi="仿宋" w:eastAsia="仿宋" w:cs="仿宋"/>
                <w:color w:val="auto"/>
                <w:sz w:val="30"/>
                <w:szCs w:val="30"/>
              </w:rPr>
              <w:t>）</w:t>
            </w:r>
          </w:p>
        </w:tc>
        <w:tc>
          <w:tcPr>
            <w:tcW w:w="1464" w:type="dxa"/>
            <w:noWrap w:val="0"/>
            <w:vAlign w:val="center"/>
          </w:tcPr>
          <w:p w14:paraId="0F05CBDE">
            <w:pPr>
              <w:pStyle w:val="16"/>
              <w:spacing w:line="240" w:lineRule="auto"/>
              <w:jc w:val="center"/>
              <w:rPr>
                <w:rFonts w:hint="eastAsia" w:ascii="仿宋" w:hAnsi="仿宋" w:eastAsia="仿宋" w:cs="仿宋"/>
                <w:color w:val="auto"/>
                <w:sz w:val="30"/>
                <w:szCs w:val="30"/>
                <w:vertAlign w:val="baseline"/>
                <w:lang w:eastAsia="zh-CN"/>
              </w:rPr>
            </w:pPr>
            <w:r>
              <w:rPr>
                <w:rFonts w:hint="eastAsia" w:ascii="仿宋" w:hAnsi="仿宋" w:eastAsia="仿宋" w:cs="仿宋"/>
                <w:color w:val="auto"/>
                <w:sz w:val="30"/>
                <w:szCs w:val="30"/>
                <w:vertAlign w:val="baseline"/>
                <w:lang w:eastAsia="zh-CN"/>
              </w:rPr>
              <w:t>下浮后</w:t>
            </w:r>
          </w:p>
          <w:p w14:paraId="6612A4B1">
            <w:pPr>
              <w:pStyle w:val="16"/>
              <w:spacing w:line="240" w:lineRule="auto"/>
              <w:jc w:val="center"/>
              <w:rPr>
                <w:rFonts w:hint="eastAsia" w:ascii="仿宋" w:hAnsi="仿宋" w:eastAsia="仿宋" w:cs="仿宋"/>
                <w:color w:val="auto"/>
                <w:sz w:val="30"/>
                <w:szCs w:val="30"/>
                <w:vertAlign w:val="baseline"/>
                <w:lang w:eastAsia="zh-CN"/>
              </w:rPr>
            </w:pPr>
            <w:r>
              <w:rPr>
                <w:rFonts w:hint="eastAsia" w:ascii="仿宋" w:hAnsi="仿宋" w:eastAsia="仿宋" w:cs="仿宋"/>
                <w:color w:val="auto"/>
                <w:sz w:val="30"/>
                <w:szCs w:val="30"/>
                <w:vertAlign w:val="baseline"/>
                <w:lang w:eastAsia="zh-CN"/>
              </w:rPr>
              <w:t>单价</w:t>
            </w:r>
          </w:p>
          <w:p w14:paraId="5746D234">
            <w:pPr>
              <w:pStyle w:val="16"/>
              <w:spacing w:line="240" w:lineRule="auto"/>
              <w:jc w:val="center"/>
              <w:rPr>
                <w:rFonts w:hint="eastAsia" w:ascii="仿宋" w:hAnsi="仿宋" w:eastAsia="仿宋" w:cs="仿宋"/>
                <w:color w:val="auto"/>
                <w:sz w:val="30"/>
                <w:szCs w:val="30"/>
              </w:rPr>
            </w:pPr>
            <w:r>
              <w:rPr>
                <w:rFonts w:hint="eastAsia" w:ascii="仿宋" w:hAnsi="仿宋" w:eastAsia="仿宋" w:cs="仿宋"/>
                <w:color w:val="auto"/>
                <w:sz w:val="30"/>
                <w:szCs w:val="30"/>
                <w:vertAlign w:val="baseline"/>
                <w:lang w:eastAsia="zh-CN"/>
              </w:rPr>
              <w:t>（</w:t>
            </w:r>
            <w:r>
              <w:rPr>
                <w:rFonts w:hint="eastAsia" w:ascii="仿宋" w:hAnsi="仿宋" w:eastAsia="仿宋" w:cs="仿宋"/>
                <w:color w:val="auto"/>
                <w:sz w:val="30"/>
                <w:szCs w:val="30"/>
                <w:vertAlign w:val="baseline"/>
                <w:lang w:val="en-US" w:eastAsia="zh-CN"/>
              </w:rPr>
              <w:t>元</w:t>
            </w:r>
            <w:r>
              <w:rPr>
                <w:rFonts w:hint="eastAsia" w:ascii="仿宋" w:hAnsi="仿宋" w:eastAsia="仿宋" w:cs="仿宋"/>
                <w:color w:val="auto"/>
                <w:sz w:val="30"/>
                <w:szCs w:val="30"/>
                <w:vertAlign w:val="baseline"/>
                <w:lang w:eastAsia="zh-CN"/>
              </w:rPr>
              <w:t>）</w:t>
            </w:r>
          </w:p>
        </w:tc>
        <w:tc>
          <w:tcPr>
            <w:tcW w:w="614" w:type="dxa"/>
            <w:noWrap w:val="0"/>
            <w:vAlign w:val="center"/>
          </w:tcPr>
          <w:p w14:paraId="247429F9">
            <w:pPr>
              <w:pStyle w:val="16"/>
              <w:spacing w:line="240" w:lineRule="auto"/>
              <w:jc w:val="center"/>
              <w:rPr>
                <w:rFonts w:hint="eastAsia" w:ascii="仿宋" w:hAnsi="仿宋" w:eastAsia="仿宋" w:cs="仿宋"/>
                <w:color w:val="auto"/>
                <w:sz w:val="30"/>
                <w:szCs w:val="30"/>
              </w:rPr>
            </w:pPr>
            <w:r>
              <w:rPr>
                <w:rFonts w:hint="eastAsia" w:ascii="仿宋" w:hAnsi="仿宋" w:eastAsia="仿宋" w:cs="仿宋"/>
                <w:color w:val="auto"/>
                <w:sz w:val="30"/>
                <w:szCs w:val="30"/>
              </w:rPr>
              <w:t>备注</w:t>
            </w:r>
          </w:p>
        </w:tc>
      </w:tr>
      <w:tr w14:paraId="644A5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852" w:type="dxa"/>
            <w:noWrap w:val="0"/>
            <w:vAlign w:val="center"/>
          </w:tcPr>
          <w:p w14:paraId="3269FB6C">
            <w:pPr>
              <w:pStyle w:val="16"/>
              <w:spacing w:line="240" w:lineRule="auto"/>
              <w:jc w:val="center"/>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1</w:t>
            </w:r>
          </w:p>
        </w:tc>
        <w:tc>
          <w:tcPr>
            <w:tcW w:w="2011" w:type="dxa"/>
            <w:noWrap w:val="0"/>
            <w:vAlign w:val="center"/>
          </w:tcPr>
          <w:p w14:paraId="3F4A58F8">
            <w:pPr>
              <w:keepNext w:val="0"/>
              <w:keepLines w:val="0"/>
              <w:widowControl/>
              <w:suppressLineNumbers w:val="0"/>
              <w:spacing w:line="240" w:lineRule="auto"/>
              <w:jc w:val="center"/>
              <w:textAlignment w:val="center"/>
              <w:rPr>
                <w:rFonts w:hint="eastAsia" w:ascii="仿宋" w:hAnsi="仿宋" w:eastAsia="仿宋" w:cs="仿宋"/>
                <w:color w:val="auto"/>
                <w:kern w:val="2"/>
                <w:sz w:val="30"/>
                <w:szCs w:val="30"/>
                <w:lang w:val="en-US" w:eastAsia="zh-CN" w:bidi="ar-SA"/>
              </w:rPr>
            </w:pPr>
            <w:r>
              <w:rPr>
                <w:rFonts w:hint="eastAsia" w:ascii="仿宋" w:hAnsi="仿宋" w:eastAsia="仿宋" w:cs="仿宋"/>
                <w:color w:val="auto"/>
                <w:kern w:val="2"/>
                <w:sz w:val="30"/>
                <w:szCs w:val="30"/>
                <w:lang w:val="en-US" w:eastAsia="zh-CN" w:bidi="ar-SA"/>
              </w:rPr>
              <w:t>精制粉</w:t>
            </w:r>
          </w:p>
        </w:tc>
        <w:tc>
          <w:tcPr>
            <w:tcW w:w="1876" w:type="dxa"/>
            <w:noWrap w:val="0"/>
            <w:vAlign w:val="center"/>
          </w:tcPr>
          <w:p w14:paraId="2E0F4E98">
            <w:pPr>
              <w:pStyle w:val="16"/>
              <w:spacing w:line="240" w:lineRule="auto"/>
              <w:jc w:val="center"/>
              <w:rPr>
                <w:rFonts w:hint="eastAsia" w:ascii="仿宋" w:hAnsi="仿宋" w:eastAsia="仿宋" w:cs="仿宋"/>
                <w:color w:val="auto"/>
                <w:sz w:val="30"/>
                <w:szCs w:val="30"/>
              </w:rPr>
            </w:pPr>
          </w:p>
        </w:tc>
        <w:tc>
          <w:tcPr>
            <w:tcW w:w="1169" w:type="dxa"/>
            <w:noWrap w:val="0"/>
            <w:vAlign w:val="center"/>
          </w:tcPr>
          <w:p w14:paraId="0EBE7EB5">
            <w:pPr>
              <w:pStyle w:val="16"/>
              <w:spacing w:line="240" w:lineRule="auto"/>
              <w:jc w:val="center"/>
              <w:rPr>
                <w:rFonts w:hint="eastAsia" w:ascii="仿宋" w:hAnsi="仿宋" w:eastAsia="仿宋" w:cs="仿宋"/>
                <w:color w:val="auto"/>
                <w:sz w:val="30"/>
                <w:szCs w:val="30"/>
              </w:rPr>
            </w:pPr>
          </w:p>
        </w:tc>
        <w:tc>
          <w:tcPr>
            <w:tcW w:w="1830" w:type="dxa"/>
            <w:noWrap w:val="0"/>
            <w:vAlign w:val="center"/>
          </w:tcPr>
          <w:p w14:paraId="466404AE">
            <w:pPr>
              <w:pStyle w:val="16"/>
              <w:spacing w:line="240" w:lineRule="auto"/>
              <w:jc w:val="center"/>
              <w:rPr>
                <w:rFonts w:hint="eastAsia" w:ascii="仿宋" w:hAnsi="仿宋" w:eastAsia="仿宋" w:cs="仿宋"/>
                <w:color w:val="auto"/>
                <w:sz w:val="30"/>
                <w:szCs w:val="30"/>
              </w:rPr>
            </w:pPr>
          </w:p>
        </w:tc>
        <w:tc>
          <w:tcPr>
            <w:tcW w:w="1464" w:type="dxa"/>
            <w:noWrap w:val="0"/>
            <w:vAlign w:val="center"/>
          </w:tcPr>
          <w:p w14:paraId="78868FAC">
            <w:pPr>
              <w:pStyle w:val="16"/>
              <w:spacing w:line="240" w:lineRule="auto"/>
              <w:jc w:val="center"/>
              <w:rPr>
                <w:rFonts w:hint="eastAsia" w:ascii="仿宋" w:hAnsi="仿宋" w:eastAsia="仿宋" w:cs="仿宋"/>
                <w:color w:val="auto"/>
                <w:sz w:val="30"/>
                <w:szCs w:val="30"/>
              </w:rPr>
            </w:pPr>
          </w:p>
        </w:tc>
        <w:tc>
          <w:tcPr>
            <w:tcW w:w="614" w:type="dxa"/>
            <w:noWrap w:val="0"/>
            <w:vAlign w:val="center"/>
          </w:tcPr>
          <w:p w14:paraId="49F2AA10">
            <w:pPr>
              <w:pStyle w:val="16"/>
              <w:spacing w:line="240" w:lineRule="auto"/>
              <w:jc w:val="center"/>
              <w:rPr>
                <w:rFonts w:hint="eastAsia" w:ascii="仿宋" w:hAnsi="仿宋" w:eastAsia="仿宋" w:cs="仿宋"/>
                <w:color w:val="auto"/>
                <w:sz w:val="30"/>
                <w:szCs w:val="30"/>
              </w:rPr>
            </w:pPr>
          </w:p>
        </w:tc>
      </w:tr>
      <w:tr w14:paraId="5156A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852" w:type="dxa"/>
            <w:noWrap w:val="0"/>
            <w:vAlign w:val="center"/>
          </w:tcPr>
          <w:p w14:paraId="17C0383A">
            <w:pPr>
              <w:pStyle w:val="16"/>
              <w:spacing w:line="240" w:lineRule="auto"/>
              <w:jc w:val="center"/>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2</w:t>
            </w:r>
          </w:p>
        </w:tc>
        <w:tc>
          <w:tcPr>
            <w:tcW w:w="2011" w:type="dxa"/>
            <w:noWrap w:val="0"/>
            <w:vAlign w:val="center"/>
          </w:tcPr>
          <w:p w14:paraId="79E54A5F">
            <w:pPr>
              <w:keepNext w:val="0"/>
              <w:keepLines w:val="0"/>
              <w:widowControl/>
              <w:suppressLineNumbers w:val="0"/>
              <w:spacing w:line="240" w:lineRule="auto"/>
              <w:jc w:val="center"/>
              <w:textAlignment w:val="center"/>
              <w:rPr>
                <w:rFonts w:hint="eastAsia" w:ascii="仿宋" w:hAnsi="仿宋" w:eastAsia="仿宋" w:cs="仿宋"/>
                <w:color w:val="auto"/>
                <w:kern w:val="2"/>
                <w:sz w:val="30"/>
                <w:szCs w:val="30"/>
                <w:lang w:val="en-US" w:eastAsia="zh-CN" w:bidi="ar-SA"/>
              </w:rPr>
            </w:pPr>
            <w:r>
              <w:rPr>
                <w:rFonts w:hint="eastAsia" w:ascii="仿宋" w:hAnsi="仿宋" w:eastAsia="仿宋" w:cs="仿宋"/>
                <w:color w:val="auto"/>
                <w:kern w:val="2"/>
                <w:sz w:val="30"/>
                <w:szCs w:val="30"/>
                <w:lang w:val="en-US" w:eastAsia="zh-CN" w:bidi="ar-SA"/>
              </w:rPr>
              <w:t>标粉</w:t>
            </w:r>
          </w:p>
        </w:tc>
        <w:tc>
          <w:tcPr>
            <w:tcW w:w="1876" w:type="dxa"/>
            <w:noWrap w:val="0"/>
            <w:vAlign w:val="center"/>
          </w:tcPr>
          <w:p w14:paraId="213C2946">
            <w:pPr>
              <w:pStyle w:val="16"/>
              <w:spacing w:line="240" w:lineRule="auto"/>
              <w:jc w:val="center"/>
              <w:rPr>
                <w:rFonts w:hint="eastAsia" w:ascii="仿宋" w:hAnsi="仿宋" w:eastAsia="仿宋" w:cs="仿宋"/>
                <w:color w:val="auto"/>
                <w:sz w:val="30"/>
                <w:szCs w:val="30"/>
              </w:rPr>
            </w:pPr>
          </w:p>
        </w:tc>
        <w:tc>
          <w:tcPr>
            <w:tcW w:w="1169" w:type="dxa"/>
            <w:noWrap w:val="0"/>
            <w:vAlign w:val="center"/>
          </w:tcPr>
          <w:p w14:paraId="46B4D0A8">
            <w:pPr>
              <w:pStyle w:val="16"/>
              <w:spacing w:line="240" w:lineRule="auto"/>
              <w:jc w:val="center"/>
              <w:rPr>
                <w:rFonts w:hint="eastAsia" w:ascii="仿宋" w:hAnsi="仿宋" w:eastAsia="仿宋" w:cs="仿宋"/>
                <w:color w:val="auto"/>
                <w:sz w:val="30"/>
                <w:szCs w:val="30"/>
              </w:rPr>
            </w:pPr>
          </w:p>
        </w:tc>
        <w:tc>
          <w:tcPr>
            <w:tcW w:w="1830" w:type="dxa"/>
            <w:noWrap w:val="0"/>
            <w:vAlign w:val="center"/>
          </w:tcPr>
          <w:p w14:paraId="258C4AD8">
            <w:pPr>
              <w:pStyle w:val="16"/>
              <w:spacing w:line="240" w:lineRule="auto"/>
              <w:jc w:val="center"/>
              <w:rPr>
                <w:rFonts w:hint="eastAsia" w:ascii="仿宋" w:hAnsi="仿宋" w:eastAsia="仿宋" w:cs="仿宋"/>
                <w:color w:val="auto"/>
                <w:sz w:val="30"/>
                <w:szCs w:val="30"/>
              </w:rPr>
            </w:pPr>
          </w:p>
        </w:tc>
        <w:tc>
          <w:tcPr>
            <w:tcW w:w="1464" w:type="dxa"/>
            <w:noWrap w:val="0"/>
            <w:vAlign w:val="center"/>
          </w:tcPr>
          <w:p w14:paraId="679FE40C">
            <w:pPr>
              <w:pStyle w:val="16"/>
              <w:spacing w:line="240" w:lineRule="auto"/>
              <w:jc w:val="center"/>
              <w:rPr>
                <w:rFonts w:hint="eastAsia" w:ascii="仿宋" w:hAnsi="仿宋" w:eastAsia="仿宋" w:cs="仿宋"/>
                <w:color w:val="auto"/>
                <w:sz w:val="30"/>
                <w:szCs w:val="30"/>
              </w:rPr>
            </w:pPr>
          </w:p>
        </w:tc>
        <w:tc>
          <w:tcPr>
            <w:tcW w:w="614" w:type="dxa"/>
            <w:noWrap w:val="0"/>
            <w:vAlign w:val="center"/>
          </w:tcPr>
          <w:p w14:paraId="1B88258F">
            <w:pPr>
              <w:pStyle w:val="16"/>
              <w:spacing w:line="240" w:lineRule="auto"/>
              <w:jc w:val="center"/>
              <w:rPr>
                <w:rFonts w:hint="eastAsia" w:ascii="仿宋" w:hAnsi="仿宋" w:eastAsia="仿宋" w:cs="仿宋"/>
                <w:color w:val="auto"/>
                <w:sz w:val="30"/>
                <w:szCs w:val="30"/>
              </w:rPr>
            </w:pPr>
          </w:p>
        </w:tc>
      </w:tr>
      <w:tr w14:paraId="7A121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9816" w:type="dxa"/>
            <w:gridSpan w:val="7"/>
            <w:noWrap w:val="0"/>
            <w:vAlign w:val="center"/>
          </w:tcPr>
          <w:p w14:paraId="3BD29D9E">
            <w:pPr>
              <w:pStyle w:val="16"/>
              <w:spacing w:line="240" w:lineRule="auto"/>
              <w:jc w:val="left"/>
              <w:rPr>
                <w:rFonts w:hint="eastAsia" w:ascii="仿宋" w:hAnsi="仿宋" w:eastAsia="仿宋" w:cs="仿宋"/>
                <w:color w:val="auto"/>
                <w:sz w:val="30"/>
                <w:szCs w:val="30"/>
                <w:lang w:eastAsia="zh-CN"/>
              </w:rPr>
            </w:pPr>
            <w:r>
              <w:rPr>
                <w:rFonts w:hint="eastAsia" w:ascii="仿宋" w:hAnsi="仿宋" w:eastAsia="仿宋" w:cs="仿宋"/>
                <w:color w:val="auto"/>
                <w:sz w:val="30"/>
                <w:szCs w:val="30"/>
                <w:lang w:val="en-US" w:eastAsia="zh-CN"/>
              </w:rPr>
              <w:t>下浮率</w:t>
            </w:r>
            <w:r>
              <w:rPr>
                <w:rFonts w:hint="eastAsia" w:ascii="仿宋" w:hAnsi="仿宋" w:eastAsia="仿宋" w:cs="仿宋"/>
                <w:color w:val="auto"/>
                <w:sz w:val="30"/>
                <w:szCs w:val="30"/>
              </w:rPr>
              <w:t>（</w:t>
            </w:r>
            <w:r>
              <w:rPr>
                <w:rFonts w:hint="eastAsia" w:ascii="仿宋" w:hAnsi="仿宋" w:eastAsia="仿宋" w:cs="仿宋"/>
                <w:color w:val="auto"/>
                <w:sz w:val="30"/>
                <w:szCs w:val="30"/>
                <w:lang w:val="en-US" w:eastAsia="zh-CN"/>
              </w:rPr>
              <w:t>%</w:t>
            </w:r>
            <w:r>
              <w:rPr>
                <w:rFonts w:hint="eastAsia" w:ascii="仿宋" w:hAnsi="仿宋" w:eastAsia="仿宋" w:cs="仿宋"/>
                <w:color w:val="auto"/>
                <w:sz w:val="30"/>
                <w:szCs w:val="30"/>
              </w:rPr>
              <w:t>）</w:t>
            </w:r>
            <w:r>
              <w:rPr>
                <w:rFonts w:hint="eastAsia" w:ascii="仿宋" w:hAnsi="仿宋" w:eastAsia="仿宋" w:cs="仿宋"/>
                <w:color w:val="auto"/>
                <w:sz w:val="30"/>
                <w:szCs w:val="30"/>
                <w:lang w:eastAsia="zh-CN"/>
              </w:rPr>
              <w:t>：</w:t>
            </w:r>
          </w:p>
          <w:p w14:paraId="3A086448">
            <w:pPr>
              <w:pStyle w:val="16"/>
              <w:spacing w:line="240" w:lineRule="auto"/>
              <w:jc w:val="left"/>
              <w:rPr>
                <w:rFonts w:hint="eastAsia" w:ascii="仿宋" w:hAnsi="仿宋" w:eastAsia="仿宋" w:cs="仿宋"/>
                <w:color w:val="auto"/>
                <w:sz w:val="30"/>
                <w:szCs w:val="30"/>
                <w:vertAlign w:val="baseline"/>
                <w:lang w:eastAsia="zh-CN"/>
              </w:rPr>
            </w:pPr>
            <w:r>
              <w:rPr>
                <w:rFonts w:hint="eastAsia" w:ascii="仿宋" w:hAnsi="仿宋" w:eastAsia="仿宋" w:cs="仿宋"/>
                <w:color w:val="auto"/>
                <w:sz w:val="30"/>
                <w:szCs w:val="30"/>
                <w:vertAlign w:val="baseline"/>
                <w:lang w:eastAsia="zh-CN"/>
              </w:rPr>
              <w:t>下浮后单价（</w:t>
            </w:r>
            <w:r>
              <w:rPr>
                <w:rFonts w:hint="eastAsia" w:ascii="仿宋" w:hAnsi="仿宋" w:eastAsia="仿宋" w:cs="仿宋"/>
                <w:color w:val="auto"/>
                <w:sz w:val="30"/>
                <w:szCs w:val="30"/>
                <w:vertAlign w:val="baseline"/>
                <w:lang w:val="en-US" w:eastAsia="zh-CN"/>
              </w:rPr>
              <w:t>精制粉</w:t>
            </w:r>
            <w:r>
              <w:rPr>
                <w:rFonts w:hint="eastAsia" w:ascii="仿宋" w:hAnsi="仿宋" w:eastAsia="仿宋" w:cs="仿宋"/>
                <w:color w:val="auto"/>
                <w:sz w:val="30"/>
                <w:szCs w:val="30"/>
                <w:vertAlign w:val="baseline"/>
                <w:lang w:eastAsia="zh-CN"/>
              </w:rPr>
              <w:t>）：</w:t>
            </w:r>
          </w:p>
          <w:p w14:paraId="6264F275">
            <w:pPr>
              <w:pStyle w:val="16"/>
              <w:spacing w:line="240" w:lineRule="auto"/>
              <w:jc w:val="left"/>
              <w:rPr>
                <w:rFonts w:hint="eastAsia" w:ascii="仿宋" w:hAnsi="仿宋" w:eastAsia="仿宋" w:cs="仿宋"/>
                <w:color w:val="auto"/>
                <w:sz w:val="30"/>
                <w:szCs w:val="30"/>
                <w:vertAlign w:val="baseline"/>
                <w:lang w:val="en-US" w:eastAsia="zh-CN"/>
              </w:rPr>
            </w:pPr>
            <w:r>
              <w:rPr>
                <w:rFonts w:hint="eastAsia" w:ascii="仿宋" w:hAnsi="仿宋" w:eastAsia="仿宋" w:cs="仿宋"/>
                <w:color w:val="auto"/>
                <w:sz w:val="30"/>
                <w:szCs w:val="30"/>
                <w:vertAlign w:val="baseline"/>
                <w:lang w:eastAsia="zh-CN"/>
              </w:rPr>
              <w:t>下浮后单价</w:t>
            </w:r>
            <w:r>
              <w:rPr>
                <w:rFonts w:hint="eastAsia" w:ascii="仿宋" w:hAnsi="仿宋" w:eastAsia="仿宋" w:cs="仿宋"/>
                <w:color w:val="auto"/>
                <w:kern w:val="2"/>
                <w:sz w:val="30"/>
                <w:szCs w:val="30"/>
                <w:lang w:val="en-US" w:eastAsia="zh-CN" w:bidi="ar-SA"/>
              </w:rPr>
              <w:t>（标粉）：</w:t>
            </w:r>
          </w:p>
        </w:tc>
      </w:tr>
      <w:tr w14:paraId="6B8DC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9816" w:type="dxa"/>
            <w:gridSpan w:val="7"/>
            <w:noWrap w:val="0"/>
            <w:vAlign w:val="center"/>
          </w:tcPr>
          <w:p w14:paraId="03B3AB39">
            <w:pPr>
              <w:pStyle w:val="16"/>
              <w:spacing w:line="240" w:lineRule="auto"/>
              <w:jc w:val="center"/>
              <w:rPr>
                <w:rFonts w:hint="eastAsia" w:ascii="仿宋" w:hAnsi="仿宋" w:eastAsia="仿宋" w:cs="仿宋"/>
                <w:color w:val="auto"/>
                <w:sz w:val="30"/>
                <w:szCs w:val="30"/>
                <w:vertAlign w:val="baseline"/>
                <w:lang w:eastAsia="zh-CN"/>
              </w:rPr>
            </w:pPr>
            <w:r>
              <w:rPr>
                <w:rFonts w:hint="eastAsia" w:ascii="仿宋" w:hAnsi="仿宋" w:eastAsia="仿宋" w:cs="仿宋"/>
                <w:b/>
                <w:bCs/>
                <w:color w:val="auto"/>
                <w:sz w:val="30"/>
                <w:szCs w:val="30"/>
                <w:vertAlign w:val="baseline"/>
                <w:lang w:val="en-US" w:eastAsia="zh-CN"/>
              </w:rPr>
              <w:t>面粉类合计</w:t>
            </w:r>
          </w:p>
        </w:tc>
      </w:tr>
      <w:tr w14:paraId="3F233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9816" w:type="dxa"/>
            <w:gridSpan w:val="7"/>
            <w:noWrap w:val="0"/>
            <w:vAlign w:val="center"/>
          </w:tcPr>
          <w:p w14:paraId="5EAFBCE4">
            <w:pPr>
              <w:pStyle w:val="16"/>
              <w:spacing w:line="240" w:lineRule="auto"/>
              <w:jc w:val="both"/>
              <w:rPr>
                <w:rFonts w:hint="eastAsia" w:ascii="仿宋" w:hAnsi="仿宋" w:eastAsia="仿宋" w:cs="仿宋"/>
                <w:color w:val="auto"/>
                <w:sz w:val="30"/>
                <w:szCs w:val="30"/>
                <w:vertAlign w:val="baseline"/>
                <w:lang w:eastAsia="zh-CN"/>
              </w:rPr>
            </w:pPr>
            <w:r>
              <w:rPr>
                <w:rFonts w:hint="eastAsia" w:ascii="仿宋" w:hAnsi="仿宋" w:eastAsia="仿宋" w:cs="仿宋"/>
                <w:b/>
                <w:bCs/>
                <w:color w:val="auto"/>
                <w:sz w:val="30"/>
                <w:szCs w:val="30"/>
                <w:vertAlign w:val="baseline"/>
                <w:lang w:val="en-US" w:eastAsia="zh-CN"/>
              </w:rPr>
              <w:t>面粉类</w:t>
            </w:r>
            <w:r>
              <w:rPr>
                <w:rFonts w:hint="eastAsia" w:ascii="仿宋" w:hAnsi="仿宋" w:eastAsia="仿宋" w:cs="仿宋"/>
                <w:b/>
                <w:bCs/>
                <w:color w:val="auto"/>
                <w:sz w:val="30"/>
                <w:szCs w:val="30"/>
                <w:vertAlign w:val="baseline"/>
                <w:lang w:eastAsia="zh-CN"/>
              </w:rPr>
              <w:t>下浮(%)：</w:t>
            </w:r>
          </w:p>
        </w:tc>
      </w:tr>
      <w:tr w14:paraId="2BDD3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9816" w:type="dxa"/>
            <w:gridSpan w:val="7"/>
            <w:noWrap w:val="0"/>
            <w:vAlign w:val="center"/>
          </w:tcPr>
          <w:p w14:paraId="4B568960">
            <w:pPr>
              <w:pStyle w:val="16"/>
              <w:spacing w:line="240" w:lineRule="auto"/>
              <w:jc w:val="both"/>
              <w:rPr>
                <w:rFonts w:hint="eastAsia" w:ascii="仿宋" w:hAnsi="仿宋" w:eastAsia="仿宋" w:cs="仿宋"/>
                <w:color w:val="auto"/>
                <w:sz w:val="30"/>
                <w:szCs w:val="30"/>
                <w:vertAlign w:val="baseline"/>
                <w:lang w:eastAsia="zh-CN"/>
              </w:rPr>
            </w:pPr>
            <w:r>
              <w:rPr>
                <w:rFonts w:hint="eastAsia" w:ascii="仿宋" w:hAnsi="仿宋" w:eastAsia="仿宋" w:cs="仿宋"/>
                <w:b/>
                <w:bCs/>
                <w:color w:val="auto"/>
                <w:sz w:val="30"/>
                <w:szCs w:val="30"/>
                <w:vertAlign w:val="baseline"/>
                <w:lang w:val="en-US" w:eastAsia="zh-CN"/>
              </w:rPr>
              <w:t>面粉类下浮后</w:t>
            </w:r>
            <w:r>
              <w:rPr>
                <w:rFonts w:hint="eastAsia" w:ascii="仿宋" w:hAnsi="仿宋" w:eastAsia="仿宋" w:cs="仿宋"/>
                <w:b/>
                <w:bCs/>
                <w:color w:val="auto"/>
                <w:sz w:val="30"/>
                <w:szCs w:val="30"/>
                <w:vertAlign w:val="baseline"/>
                <w:lang w:eastAsia="zh-CN"/>
              </w:rPr>
              <w:t>单价合计(元)：</w:t>
            </w:r>
          </w:p>
        </w:tc>
      </w:tr>
      <w:tr w14:paraId="04097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852" w:type="dxa"/>
            <w:noWrap w:val="0"/>
            <w:vAlign w:val="center"/>
          </w:tcPr>
          <w:p w14:paraId="62C27870">
            <w:pPr>
              <w:pStyle w:val="16"/>
              <w:spacing w:line="240" w:lineRule="auto"/>
              <w:jc w:val="center"/>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3</w:t>
            </w:r>
          </w:p>
        </w:tc>
        <w:tc>
          <w:tcPr>
            <w:tcW w:w="2011" w:type="dxa"/>
            <w:noWrap w:val="0"/>
            <w:vAlign w:val="center"/>
          </w:tcPr>
          <w:p w14:paraId="35CA8968">
            <w:pPr>
              <w:keepNext w:val="0"/>
              <w:keepLines w:val="0"/>
              <w:widowControl/>
              <w:suppressLineNumbers w:val="0"/>
              <w:spacing w:line="240" w:lineRule="auto"/>
              <w:jc w:val="center"/>
              <w:textAlignment w:val="center"/>
              <w:rPr>
                <w:rFonts w:hint="eastAsia" w:ascii="仿宋" w:hAnsi="仿宋" w:eastAsia="仿宋" w:cs="仿宋"/>
                <w:color w:val="auto"/>
                <w:kern w:val="2"/>
                <w:sz w:val="30"/>
                <w:szCs w:val="30"/>
                <w:lang w:val="en-US" w:eastAsia="zh-CN" w:bidi="ar-SA"/>
              </w:rPr>
            </w:pPr>
            <w:r>
              <w:rPr>
                <w:rFonts w:hint="eastAsia" w:ascii="仿宋" w:hAnsi="仿宋" w:eastAsia="仿宋" w:cs="仿宋"/>
                <w:color w:val="auto"/>
                <w:kern w:val="2"/>
                <w:sz w:val="30"/>
                <w:szCs w:val="30"/>
                <w:lang w:val="en-US" w:eastAsia="zh-CN" w:bidi="ar-SA"/>
              </w:rPr>
              <w:t>一级菜籽油</w:t>
            </w:r>
          </w:p>
        </w:tc>
        <w:tc>
          <w:tcPr>
            <w:tcW w:w="1876" w:type="dxa"/>
            <w:noWrap w:val="0"/>
            <w:vAlign w:val="center"/>
          </w:tcPr>
          <w:p w14:paraId="47C3CDEE">
            <w:pPr>
              <w:pStyle w:val="16"/>
              <w:spacing w:line="240" w:lineRule="auto"/>
              <w:jc w:val="center"/>
              <w:rPr>
                <w:rFonts w:hint="eastAsia" w:ascii="仿宋" w:hAnsi="仿宋" w:eastAsia="仿宋" w:cs="仿宋"/>
                <w:color w:val="auto"/>
                <w:sz w:val="30"/>
                <w:szCs w:val="30"/>
              </w:rPr>
            </w:pPr>
          </w:p>
        </w:tc>
        <w:tc>
          <w:tcPr>
            <w:tcW w:w="1169" w:type="dxa"/>
            <w:noWrap w:val="0"/>
            <w:vAlign w:val="center"/>
          </w:tcPr>
          <w:p w14:paraId="1A578F67">
            <w:pPr>
              <w:pStyle w:val="16"/>
              <w:spacing w:line="240" w:lineRule="auto"/>
              <w:jc w:val="center"/>
              <w:rPr>
                <w:rFonts w:hint="eastAsia" w:ascii="仿宋" w:hAnsi="仿宋" w:eastAsia="仿宋" w:cs="仿宋"/>
                <w:color w:val="auto"/>
                <w:sz w:val="30"/>
                <w:szCs w:val="30"/>
              </w:rPr>
            </w:pPr>
          </w:p>
        </w:tc>
        <w:tc>
          <w:tcPr>
            <w:tcW w:w="1830" w:type="dxa"/>
            <w:noWrap w:val="0"/>
            <w:vAlign w:val="center"/>
          </w:tcPr>
          <w:p w14:paraId="3C2280D2">
            <w:pPr>
              <w:pStyle w:val="16"/>
              <w:spacing w:line="240" w:lineRule="auto"/>
              <w:jc w:val="center"/>
              <w:rPr>
                <w:rFonts w:hint="eastAsia" w:ascii="仿宋" w:hAnsi="仿宋" w:eastAsia="仿宋" w:cs="仿宋"/>
                <w:color w:val="auto"/>
                <w:sz w:val="30"/>
                <w:szCs w:val="30"/>
              </w:rPr>
            </w:pPr>
          </w:p>
        </w:tc>
        <w:tc>
          <w:tcPr>
            <w:tcW w:w="1464" w:type="dxa"/>
            <w:noWrap w:val="0"/>
            <w:vAlign w:val="center"/>
          </w:tcPr>
          <w:p w14:paraId="3D01BF45">
            <w:pPr>
              <w:pStyle w:val="16"/>
              <w:spacing w:line="240" w:lineRule="auto"/>
              <w:jc w:val="center"/>
              <w:rPr>
                <w:rFonts w:hint="eastAsia" w:ascii="仿宋" w:hAnsi="仿宋" w:eastAsia="仿宋" w:cs="仿宋"/>
                <w:color w:val="auto"/>
                <w:sz w:val="30"/>
                <w:szCs w:val="30"/>
              </w:rPr>
            </w:pPr>
          </w:p>
        </w:tc>
        <w:tc>
          <w:tcPr>
            <w:tcW w:w="614" w:type="dxa"/>
            <w:noWrap w:val="0"/>
            <w:vAlign w:val="center"/>
          </w:tcPr>
          <w:p w14:paraId="1AB63188">
            <w:pPr>
              <w:pStyle w:val="16"/>
              <w:spacing w:line="240" w:lineRule="auto"/>
              <w:jc w:val="center"/>
              <w:rPr>
                <w:rFonts w:hint="eastAsia" w:ascii="仿宋" w:hAnsi="仿宋" w:eastAsia="仿宋" w:cs="仿宋"/>
                <w:color w:val="auto"/>
                <w:sz w:val="30"/>
                <w:szCs w:val="30"/>
              </w:rPr>
            </w:pPr>
          </w:p>
        </w:tc>
      </w:tr>
      <w:tr w14:paraId="46FDF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9816" w:type="dxa"/>
            <w:gridSpan w:val="7"/>
            <w:noWrap w:val="0"/>
            <w:vAlign w:val="center"/>
          </w:tcPr>
          <w:p w14:paraId="1AB25086">
            <w:pPr>
              <w:pStyle w:val="16"/>
              <w:spacing w:line="240" w:lineRule="auto"/>
              <w:jc w:val="left"/>
              <w:rPr>
                <w:rFonts w:hint="eastAsia" w:ascii="仿宋" w:hAnsi="仿宋" w:eastAsia="仿宋" w:cs="仿宋"/>
                <w:color w:val="auto"/>
                <w:sz w:val="30"/>
                <w:szCs w:val="30"/>
                <w:lang w:eastAsia="zh-CN"/>
              </w:rPr>
            </w:pPr>
            <w:r>
              <w:rPr>
                <w:rFonts w:hint="eastAsia" w:ascii="仿宋" w:hAnsi="仿宋" w:eastAsia="仿宋" w:cs="仿宋"/>
                <w:color w:val="auto"/>
                <w:sz w:val="30"/>
                <w:szCs w:val="30"/>
                <w:lang w:val="en-US" w:eastAsia="zh-CN"/>
              </w:rPr>
              <w:t>下浮率</w:t>
            </w:r>
            <w:r>
              <w:rPr>
                <w:rFonts w:hint="eastAsia" w:ascii="仿宋" w:hAnsi="仿宋" w:eastAsia="仿宋" w:cs="仿宋"/>
                <w:color w:val="auto"/>
                <w:sz w:val="30"/>
                <w:szCs w:val="30"/>
              </w:rPr>
              <w:t>（</w:t>
            </w:r>
            <w:r>
              <w:rPr>
                <w:rFonts w:hint="eastAsia" w:ascii="仿宋" w:hAnsi="仿宋" w:eastAsia="仿宋" w:cs="仿宋"/>
                <w:color w:val="auto"/>
                <w:sz w:val="30"/>
                <w:szCs w:val="30"/>
                <w:lang w:val="en-US" w:eastAsia="zh-CN"/>
              </w:rPr>
              <w:t>%</w:t>
            </w:r>
            <w:r>
              <w:rPr>
                <w:rFonts w:hint="eastAsia" w:ascii="仿宋" w:hAnsi="仿宋" w:eastAsia="仿宋" w:cs="仿宋"/>
                <w:color w:val="auto"/>
                <w:sz w:val="30"/>
                <w:szCs w:val="30"/>
              </w:rPr>
              <w:t>）</w:t>
            </w:r>
            <w:r>
              <w:rPr>
                <w:rFonts w:hint="eastAsia" w:ascii="仿宋" w:hAnsi="仿宋" w:eastAsia="仿宋" w:cs="仿宋"/>
                <w:color w:val="auto"/>
                <w:sz w:val="30"/>
                <w:szCs w:val="30"/>
                <w:lang w:eastAsia="zh-CN"/>
              </w:rPr>
              <w:t>：</w:t>
            </w:r>
          </w:p>
          <w:p w14:paraId="1F4B0294">
            <w:pPr>
              <w:pStyle w:val="16"/>
              <w:spacing w:line="240" w:lineRule="auto"/>
              <w:jc w:val="left"/>
              <w:rPr>
                <w:rFonts w:hint="eastAsia" w:ascii="仿宋" w:hAnsi="仿宋" w:eastAsia="仿宋" w:cs="仿宋"/>
                <w:color w:val="auto"/>
                <w:sz w:val="30"/>
                <w:szCs w:val="30"/>
              </w:rPr>
            </w:pPr>
            <w:r>
              <w:rPr>
                <w:rFonts w:hint="eastAsia" w:ascii="仿宋" w:hAnsi="仿宋" w:eastAsia="仿宋" w:cs="仿宋"/>
                <w:color w:val="auto"/>
                <w:sz w:val="30"/>
                <w:szCs w:val="30"/>
                <w:vertAlign w:val="baseline"/>
                <w:lang w:eastAsia="zh-CN"/>
              </w:rPr>
              <w:t>下浮后单价（</w:t>
            </w:r>
            <w:r>
              <w:rPr>
                <w:rFonts w:hint="eastAsia" w:ascii="仿宋" w:hAnsi="仿宋" w:eastAsia="仿宋" w:cs="仿宋"/>
                <w:color w:val="auto"/>
                <w:kern w:val="2"/>
                <w:sz w:val="30"/>
                <w:szCs w:val="30"/>
                <w:lang w:val="en-US" w:eastAsia="zh-CN" w:bidi="ar-SA"/>
              </w:rPr>
              <w:t>一级菜籽油</w:t>
            </w:r>
            <w:r>
              <w:rPr>
                <w:rFonts w:hint="eastAsia" w:ascii="仿宋" w:hAnsi="仿宋" w:eastAsia="仿宋" w:cs="仿宋"/>
                <w:color w:val="auto"/>
                <w:sz w:val="30"/>
                <w:szCs w:val="30"/>
                <w:vertAlign w:val="baseline"/>
                <w:lang w:eastAsia="zh-CN"/>
              </w:rPr>
              <w:t>）：</w:t>
            </w:r>
          </w:p>
        </w:tc>
      </w:tr>
      <w:tr w14:paraId="45F1B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9816" w:type="dxa"/>
            <w:gridSpan w:val="7"/>
            <w:noWrap w:val="0"/>
            <w:vAlign w:val="center"/>
          </w:tcPr>
          <w:p w14:paraId="21C4F324">
            <w:pPr>
              <w:pStyle w:val="16"/>
              <w:spacing w:line="240" w:lineRule="auto"/>
              <w:jc w:val="center"/>
              <w:rPr>
                <w:rFonts w:hint="eastAsia" w:ascii="仿宋" w:hAnsi="仿宋" w:eastAsia="仿宋" w:cs="仿宋"/>
                <w:color w:val="auto"/>
                <w:sz w:val="30"/>
                <w:szCs w:val="30"/>
                <w:vertAlign w:val="baseline"/>
                <w:lang w:eastAsia="zh-CN"/>
              </w:rPr>
            </w:pPr>
            <w:r>
              <w:rPr>
                <w:rFonts w:hint="eastAsia" w:ascii="仿宋" w:hAnsi="仿宋" w:eastAsia="仿宋" w:cs="仿宋"/>
                <w:b/>
                <w:bCs/>
                <w:color w:val="auto"/>
                <w:sz w:val="30"/>
                <w:szCs w:val="30"/>
                <w:vertAlign w:val="baseline"/>
                <w:lang w:val="en-US" w:eastAsia="zh-CN"/>
              </w:rPr>
              <w:t>油类合计</w:t>
            </w:r>
          </w:p>
        </w:tc>
      </w:tr>
      <w:tr w14:paraId="0B220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9816" w:type="dxa"/>
            <w:gridSpan w:val="7"/>
            <w:noWrap w:val="0"/>
            <w:vAlign w:val="center"/>
          </w:tcPr>
          <w:p w14:paraId="346CE70A">
            <w:pPr>
              <w:pStyle w:val="16"/>
              <w:spacing w:line="240" w:lineRule="auto"/>
              <w:jc w:val="both"/>
              <w:rPr>
                <w:rFonts w:hint="eastAsia" w:ascii="仿宋" w:hAnsi="仿宋" w:eastAsia="仿宋" w:cs="仿宋"/>
                <w:color w:val="auto"/>
                <w:sz w:val="30"/>
                <w:szCs w:val="30"/>
                <w:vertAlign w:val="baseline"/>
                <w:lang w:eastAsia="zh-CN"/>
              </w:rPr>
            </w:pPr>
            <w:r>
              <w:rPr>
                <w:rFonts w:hint="eastAsia" w:ascii="仿宋" w:hAnsi="仿宋" w:eastAsia="仿宋" w:cs="仿宋"/>
                <w:b/>
                <w:bCs/>
                <w:color w:val="auto"/>
                <w:sz w:val="30"/>
                <w:szCs w:val="30"/>
                <w:vertAlign w:val="baseline"/>
                <w:lang w:val="en-US" w:eastAsia="zh-CN"/>
              </w:rPr>
              <w:t>油类</w:t>
            </w:r>
            <w:r>
              <w:rPr>
                <w:rFonts w:hint="eastAsia" w:ascii="仿宋" w:hAnsi="仿宋" w:eastAsia="仿宋" w:cs="仿宋"/>
                <w:b/>
                <w:bCs/>
                <w:color w:val="auto"/>
                <w:sz w:val="30"/>
                <w:szCs w:val="30"/>
                <w:vertAlign w:val="baseline"/>
                <w:lang w:eastAsia="zh-CN"/>
              </w:rPr>
              <w:t>下浮(%)：</w:t>
            </w:r>
          </w:p>
        </w:tc>
      </w:tr>
      <w:tr w14:paraId="7CE75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9816" w:type="dxa"/>
            <w:gridSpan w:val="7"/>
            <w:noWrap w:val="0"/>
            <w:vAlign w:val="center"/>
          </w:tcPr>
          <w:p w14:paraId="0908F54C">
            <w:pPr>
              <w:pStyle w:val="16"/>
              <w:spacing w:line="240" w:lineRule="auto"/>
              <w:jc w:val="both"/>
              <w:rPr>
                <w:rFonts w:hint="eastAsia" w:ascii="仿宋" w:hAnsi="仿宋" w:eastAsia="仿宋" w:cs="仿宋"/>
                <w:color w:val="auto"/>
                <w:sz w:val="30"/>
                <w:szCs w:val="30"/>
                <w:vertAlign w:val="baseline"/>
                <w:lang w:eastAsia="zh-CN"/>
              </w:rPr>
            </w:pPr>
            <w:r>
              <w:rPr>
                <w:rFonts w:hint="eastAsia" w:ascii="仿宋" w:hAnsi="仿宋" w:eastAsia="仿宋" w:cs="仿宋"/>
                <w:b/>
                <w:bCs/>
                <w:color w:val="auto"/>
                <w:sz w:val="30"/>
                <w:szCs w:val="30"/>
                <w:vertAlign w:val="baseline"/>
                <w:lang w:val="en-US" w:eastAsia="zh-CN"/>
              </w:rPr>
              <w:t>油类下浮后</w:t>
            </w:r>
            <w:r>
              <w:rPr>
                <w:rFonts w:hint="eastAsia" w:ascii="仿宋" w:hAnsi="仿宋" w:eastAsia="仿宋" w:cs="仿宋"/>
                <w:b/>
                <w:bCs/>
                <w:color w:val="auto"/>
                <w:sz w:val="30"/>
                <w:szCs w:val="30"/>
                <w:vertAlign w:val="baseline"/>
                <w:lang w:eastAsia="zh-CN"/>
              </w:rPr>
              <w:t>单价合计(元)：</w:t>
            </w:r>
          </w:p>
        </w:tc>
      </w:tr>
      <w:tr w14:paraId="4E378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852" w:type="dxa"/>
            <w:noWrap w:val="0"/>
            <w:vAlign w:val="center"/>
          </w:tcPr>
          <w:p w14:paraId="2EE5DB06">
            <w:pPr>
              <w:pStyle w:val="16"/>
              <w:spacing w:line="240" w:lineRule="auto"/>
              <w:jc w:val="center"/>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4</w:t>
            </w:r>
          </w:p>
        </w:tc>
        <w:tc>
          <w:tcPr>
            <w:tcW w:w="2011" w:type="dxa"/>
            <w:noWrap w:val="0"/>
            <w:vAlign w:val="center"/>
          </w:tcPr>
          <w:p w14:paraId="697F6297">
            <w:pPr>
              <w:keepNext w:val="0"/>
              <w:keepLines w:val="0"/>
              <w:widowControl/>
              <w:suppressLineNumbers w:val="0"/>
              <w:spacing w:line="240" w:lineRule="auto"/>
              <w:jc w:val="center"/>
              <w:textAlignment w:val="center"/>
              <w:rPr>
                <w:rFonts w:hint="eastAsia" w:ascii="仿宋" w:hAnsi="仿宋" w:eastAsia="仿宋" w:cs="仿宋"/>
                <w:color w:val="auto"/>
                <w:kern w:val="2"/>
                <w:sz w:val="30"/>
                <w:szCs w:val="30"/>
                <w:lang w:val="en-US" w:eastAsia="zh-CN" w:bidi="ar-SA"/>
              </w:rPr>
            </w:pPr>
            <w:r>
              <w:rPr>
                <w:rFonts w:hint="eastAsia" w:ascii="仿宋" w:hAnsi="仿宋" w:eastAsia="仿宋" w:cs="仿宋"/>
                <w:color w:val="auto"/>
                <w:kern w:val="2"/>
                <w:sz w:val="30"/>
                <w:szCs w:val="30"/>
                <w:lang w:val="en-US" w:eastAsia="zh-CN" w:bidi="ar-SA"/>
              </w:rPr>
              <w:t>一级大米</w:t>
            </w:r>
          </w:p>
        </w:tc>
        <w:tc>
          <w:tcPr>
            <w:tcW w:w="1876" w:type="dxa"/>
            <w:noWrap w:val="0"/>
            <w:vAlign w:val="center"/>
          </w:tcPr>
          <w:p w14:paraId="3954B120">
            <w:pPr>
              <w:pStyle w:val="16"/>
              <w:spacing w:line="240" w:lineRule="auto"/>
              <w:jc w:val="center"/>
              <w:rPr>
                <w:rFonts w:hint="eastAsia" w:ascii="仿宋" w:hAnsi="仿宋" w:eastAsia="仿宋" w:cs="仿宋"/>
                <w:color w:val="auto"/>
                <w:sz w:val="30"/>
                <w:szCs w:val="30"/>
              </w:rPr>
            </w:pPr>
          </w:p>
        </w:tc>
        <w:tc>
          <w:tcPr>
            <w:tcW w:w="1169" w:type="dxa"/>
            <w:noWrap w:val="0"/>
            <w:vAlign w:val="center"/>
          </w:tcPr>
          <w:p w14:paraId="4F58B509">
            <w:pPr>
              <w:pStyle w:val="16"/>
              <w:spacing w:line="240" w:lineRule="auto"/>
              <w:jc w:val="center"/>
              <w:rPr>
                <w:rFonts w:hint="eastAsia" w:ascii="仿宋" w:hAnsi="仿宋" w:eastAsia="仿宋" w:cs="仿宋"/>
                <w:color w:val="auto"/>
                <w:sz w:val="30"/>
                <w:szCs w:val="30"/>
              </w:rPr>
            </w:pPr>
          </w:p>
        </w:tc>
        <w:tc>
          <w:tcPr>
            <w:tcW w:w="1830" w:type="dxa"/>
            <w:noWrap w:val="0"/>
            <w:vAlign w:val="center"/>
          </w:tcPr>
          <w:p w14:paraId="3C8B3A38">
            <w:pPr>
              <w:pStyle w:val="16"/>
              <w:spacing w:line="240" w:lineRule="auto"/>
              <w:jc w:val="center"/>
              <w:rPr>
                <w:rFonts w:hint="eastAsia" w:ascii="仿宋" w:hAnsi="仿宋" w:eastAsia="仿宋" w:cs="仿宋"/>
                <w:color w:val="auto"/>
                <w:sz w:val="30"/>
                <w:szCs w:val="30"/>
              </w:rPr>
            </w:pPr>
          </w:p>
        </w:tc>
        <w:tc>
          <w:tcPr>
            <w:tcW w:w="1464" w:type="dxa"/>
            <w:noWrap w:val="0"/>
            <w:vAlign w:val="center"/>
          </w:tcPr>
          <w:p w14:paraId="5A44A68E">
            <w:pPr>
              <w:pStyle w:val="16"/>
              <w:spacing w:line="240" w:lineRule="auto"/>
              <w:jc w:val="center"/>
              <w:rPr>
                <w:rFonts w:hint="eastAsia" w:ascii="仿宋" w:hAnsi="仿宋" w:eastAsia="仿宋" w:cs="仿宋"/>
                <w:color w:val="auto"/>
                <w:sz w:val="30"/>
                <w:szCs w:val="30"/>
              </w:rPr>
            </w:pPr>
          </w:p>
        </w:tc>
        <w:tc>
          <w:tcPr>
            <w:tcW w:w="614" w:type="dxa"/>
            <w:noWrap w:val="0"/>
            <w:vAlign w:val="center"/>
          </w:tcPr>
          <w:p w14:paraId="31640790">
            <w:pPr>
              <w:pStyle w:val="16"/>
              <w:spacing w:line="240" w:lineRule="auto"/>
              <w:jc w:val="center"/>
              <w:rPr>
                <w:rFonts w:hint="eastAsia" w:ascii="仿宋" w:hAnsi="仿宋" w:eastAsia="仿宋" w:cs="仿宋"/>
                <w:color w:val="auto"/>
                <w:sz w:val="30"/>
                <w:szCs w:val="30"/>
              </w:rPr>
            </w:pPr>
          </w:p>
        </w:tc>
      </w:tr>
      <w:tr w14:paraId="2BF26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9816" w:type="dxa"/>
            <w:gridSpan w:val="7"/>
            <w:noWrap w:val="0"/>
            <w:vAlign w:val="center"/>
          </w:tcPr>
          <w:p w14:paraId="6E756B8B">
            <w:pPr>
              <w:pStyle w:val="16"/>
              <w:spacing w:line="240" w:lineRule="auto"/>
              <w:jc w:val="left"/>
              <w:rPr>
                <w:rFonts w:hint="eastAsia" w:ascii="仿宋" w:hAnsi="仿宋" w:eastAsia="仿宋" w:cs="仿宋"/>
                <w:color w:val="auto"/>
                <w:sz w:val="30"/>
                <w:szCs w:val="30"/>
                <w:lang w:eastAsia="zh-CN"/>
              </w:rPr>
            </w:pPr>
            <w:r>
              <w:rPr>
                <w:rFonts w:hint="eastAsia" w:ascii="仿宋" w:hAnsi="仿宋" w:eastAsia="仿宋" w:cs="仿宋"/>
                <w:color w:val="auto"/>
                <w:sz w:val="30"/>
                <w:szCs w:val="30"/>
                <w:lang w:val="en-US" w:eastAsia="zh-CN"/>
              </w:rPr>
              <w:t>下浮率</w:t>
            </w:r>
            <w:r>
              <w:rPr>
                <w:rFonts w:hint="eastAsia" w:ascii="仿宋" w:hAnsi="仿宋" w:eastAsia="仿宋" w:cs="仿宋"/>
                <w:color w:val="auto"/>
                <w:sz w:val="30"/>
                <w:szCs w:val="30"/>
              </w:rPr>
              <w:t>（</w:t>
            </w:r>
            <w:r>
              <w:rPr>
                <w:rFonts w:hint="eastAsia" w:ascii="仿宋" w:hAnsi="仿宋" w:eastAsia="仿宋" w:cs="仿宋"/>
                <w:color w:val="auto"/>
                <w:sz w:val="30"/>
                <w:szCs w:val="30"/>
                <w:lang w:val="en-US" w:eastAsia="zh-CN"/>
              </w:rPr>
              <w:t>%</w:t>
            </w:r>
            <w:r>
              <w:rPr>
                <w:rFonts w:hint="eastAsia" w:ascii="仿宋" w:hAnsi="仿宋" w:eastAsia="仿宋" w:cs="仿宋"/>
                <w:color w:val="auto"/>
                <w:sz w:val="30"/>
                <w:szCs w:val="30"/>
              </w:rPr>
              <w:t>）</w:t>
            </w:r>
            <w:r>
              <w:rPr>
                <w:rFonts w:hint="eastAsia" w:ascii="仿宋" w:hAnsi="仿宋" w:eastAsia="仿宋" w:cs="仿宋"/>
                <w:color w:val="auto"/>
                <w:sz w:val="30"/>
                <w:szCs w:val="30"/>
                <w:lang w:eastAsia="zh-CN"/>
              </w:rPr>
              <w:t>：</w:t>
            </w:r>
          </w:p>
          <w:p w14:paraId="24161880">
            <w:pPr>
              <w:pStyle w:val="16"/>
              <w:spacing w:line="240" w:lineRule="auto"/>
              <w:jc w:val="both"/>
              <w:rPr>
                <w:rFonts w:hint="eastAsia" w:ascii="仿宋" w:hAnsi="仿宋" w:eastAsia="仿宋" w:cs="仿宋"/>
                <w:color w:val="auto"/>
                <w:sz w:val="30"/>
                <w:szCs w:val="30"/>
              </w:rPr>
            </w:pPr>
            <w:r>
              <w:rPr>
                <w:rFonts w:hint="eastAsia" w:ascii="仿宋" w:hAnsi="仿宋" w:eastAsia="仿宋" w:cs="仿宋"/>
                <w:color w:val="auto"/>
                <w:sz w:val="30"/>
                <w:szCs w:val="30"/>
                <w:vertAlign w:val="baseline"/>
                <w:lang w:eastAsia="zh-CN"/>
              </w:rPr>
              <w:t>下浮后单价（</w:t>
            </w:r>
            <w:r>
              <w:rPr>
                <w:rFonts w:hint="eastAsia" w:ascii="仿宋" w:hAnsi="仿宋" w:eastAsia="仿宋" w:cs="仿宋"/>
                <w:color w:val="auto"/>
                <w:kern w:val="2"/>
                <w:sz w:val="30"/>
                <w:szCs w:val="30"/>
                <w:lang w:val="en-US" w:eastAsia="zh-CN" w:bidi="ar-SA"/>
              </w:rPr>
              <w:t>一级大米</w:t>
            </w:r>
            <w:r>
              <w:rPr>
                <w:rFonts w:hint="eastAsia" w:ascii="仿宋" w:hAnsi="仿宋" w:eastAsia="仿宋" w:cs="仿宋"/>
                <w:color w:val="auto"/>
                <w:sz w:val="30"/>
                <w:szCs w:val="30"/>
                <w:vertAlign w:val="baseline"/>
                <w:lang w:eastAsia="zh-CN"/>
              </w:rPr>
              <w:t>）：</w:t>
            </w:r>
          </w:p>
        </w:tc>
      </w:tr>
      <w:tr w14:paraId="0184A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9816" w:type="dxa"/>
            <w:gridSpan w:val="7"/>
            <w:noWrap w:val="0"/>
            <w:vAlign w:val="center"/>
          </w:tcPr>
          <w:p w14:paraId="3BD133DE">
            <w:pPr>
              <w:pStyle w:val="16"/>
              <w:spacing w:line="240" w:lineRule="auto"/>
              <w:jc w:val="center"/>
              <w:rPr>
                <w:rFonts w:hint="eastAsia" w:ascii="仿宋" w:hAnsi="仿宋" w:eastAsia="仿宋" w:cs="仿宋"/>
                <w:color w:val="auto"/>
                <w:sz w:val="30"/>
                <w:szCs w:val="30"/>
                <w:vertAlign w:val="baseline"/>
                <w:lang w:eastAsia="zh-CN"/>
              </w:rPr>
            </w:pPr>
            <w:r>
              <w:rPr>
                <w:rFonts w:hint="eastAsia" w:ascii="仿宋" w:hAnsi="仿宋" w:eastAsia="仿宋" w:cs="仿宋"/>
                <w:b/>
                <w:bCs/>
                <w:color w:val="auto"/>
                <w:sz w:val="30"/>
                <w:szCs w:val="30"/>
                <w:vertAlign w:val="baseline"/>
                <w:lang w:val="en-US" w:eastAsia="zh-CN"/>
              </w:rPr>
              <w:t>大米类合计</w:t>
            </w:r>
          </w:p>
        </w:tc>
      </w:tr>
      <w:tr w14:paraId="3FB0F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9816" w:type="dxa"/>
            <w:gridSpan w:val="7"/>
            <w:noWrap w:val="0"/>
            <w:vAlign w:val="center"/>
          </w:tcPr>
          <w:p w14:paraId="6E31E55D">
            <w:pPr>
              <w:pStyle w:val="16"/>
              <w:spacing w:line="240" w:lineRule="auto"/>
              <w:jc w:val="both"/>
              <w:rPr>
                <w:rFonts w:hint="eastAsia" w:ascii="仿宋" w:hAnsi="仿宋" w:eastAsia="仿宋" w:cs="仿宋"/>
                <w:color w:val="auto"/>
                <w:sz w:val="30"/>
                <w:szCs w:val="30"/>
                <w:vertAlign w:val="baseline"/>
                <w:lang w:eastAsia="zh-CN"/>
              </w:rPr>
            </w:pPr>
            <w:r>
              <w:rPr>
                <w:rFonts w:hint="eastAsia" w:ascii="仿宋" w:hAnsi="仿宋" w:eastAsia="仿宋" w:cs="仿宋"/>
                <w:b/>
                <w:bCs/>
                <w:color w:val="auto"/>
                <w:sz w:val="30"/>
                <w:szCs w:val="30"/>
                <w:vertAlign w:val="baseline"/>
                <w:lang w:val="en-US" w:eastAsia="zh-CN"/>
              </w:rPr>
              <w:t>大米类</w:t>
            </w:r>
            <w:r>
              <w:rPr>
                <w:rFonts w:hint="eastAsia" w:ascii="仿宋" w:hAnsi="仿宋" w:eastAsia="仿宋" w:cs="仿宋"/>
                <w:b/>
                <w:bCs/>
                <w:color w:val="auto"/>
                <w:sz w:val="30"/>
                <w:szCs w:val="30"/>
                <w:vertAlign w:val="baseline"/>
                <w:lang w:eastAsia="zh-CN"/>
              </w:rPr>
              <w:t>下浮(%)：</w:t>
            </w:r>
          </w:p>
        </w:tc>
      </w:tr>
      <w:tr w14:paraId="31DAC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9816" w:type="dxa"/>
            <w:gridSpan w:val="7"/>
            <w:noWrap w:val="0"/>
            <w:vAlign w:val="center"/>
          </w:tcPr>
          <w:p w14:paraId="7A3B315B">
            <w:pPr>
              <w:pStyle w:val="16"/>
              <w:spacing w:line="240" w:lineRule="auto"/>
              <w:jc w:val="both"/>
              <w:rPr>
                <w:rFonts w:hint="eastAsia" w:ascii="仿宋" w:hAnsi="仿宋" w:eastAsia="仿宋" w:cs="仿宋"/>
                <w:color w:val="auto"/>
                <w:sz w:val="30"/>
                <w:szCs w:val="30"/>
                <w:vertAlign w:val="baseline"/>
                <w:lang w:eastAsia="zh-CN"/>
              </w:rPr>
            </w:pPr>
            <w:r>
              <w:rPr>
                <w:rFonts w:hint="eastAsia" w:ascii="仿宋" w:hAnsi="仿宋" w:eastAsia="仿宋" w:cs="仿宋"/>
                <w:b/>
                <w:bCs/>
                <w:color w:val="auto"/>
                <w:sz w:val="30"/>
                <w:szCs w:val="30"/>
                <w:vertAlign w:val="baseline"/>
                <w:lang w:val="en-US" w:eastAsia="zh-CN"/>
              </w:rPr>
              <w:t>大米类下浮后</w:t>
            </w:r>
            <w:r>
              <w:rPr>
                <w:rFonts w:hint="eastAsia" w:ascii="仿宋" w:hAnsi="仿宋" w:eastAsia="仿宋" w:cs="仿宋"/>
                <w:b/>
                <w:bCs/>
                <w:color w:val="auto"/>
                <w:sz w:val="30"/>
                <w:szCs w:val="30"/>
                <w:vertAlign w:val="baseline"/>
                <w:lang w:eastAsia="zh-CN"/>
              </w:rPr>
              <w:t>单价合计(元)：</w:t>
            </w:r>
          </w:p>
        </w:tc>
      </w:tr>
      <w:tr w14:paraId="50E31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9816" w:type="dxa"/>
            <w:gridSpan w:val="7"/>
            <w:noWrap w:val="0"/>
            <w:vAlign w:val="center"/>
          </w:tcPr>
          <w:p w14:paraId="44977274">
            <w:pPr>
              <w:pStyle w:val="16"/>
              <w:spacing w:line="240" w:lineRule="auto"/>
              <w:jc w:val="center"/>
              <w:rPr>
                <w:rFonts w:hint="eastAsia" w:ascii="仿宋" w:hAnsi="仿宋" w:eastAsia="仿宋" w:cs="仿宋"/>
                <w:color w:val="auto"/>
                <w:sz w:val="30"/>
                <w:szCs w:val="30"/>
                <w:vertAlign w:val="baseline"/>
                <w:lang w:val="en-US" w:eastAsia="zh-CN"/>
              </w:rPr>
            </w:pPr>
            <w:r>
              <w:rPr>
                <w:rFonts w:hint="eastAsia" w:ascii="仿宋" w:hAnsi="仿宋" w:eastAsia="仿宋" w:cs="仿宋"/>
                <w:b/>
                <w:bCs/>
                <w:color w:val="auto"/>
                <w:sz w:val="30"/>
                <w:szCs w:val="30"/>
                <w:vertAlign w:val="baseline"/>
                <w:lang w:val="en-US" w:eastAsia="zh-CN"/>
              </w:rPr>
              <w:t>所有类目（面粉类+油类+大米类）合计</w:t>
            </w:r>
          </w:p>
        </w:tc>
      </w:tr>
      <w:tr w14:paraId="07367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9816" w:type="dxa"/>
            <w:gridSpan w:val="7"/>
            <w:noWrap w:val="0"/>
            <w:vAlign w:val="center"/>
          </w:tcPr>
          <w:p w14:paraId="7F1F01DC">
            <w:pPr>
              <w:pStyle w:val="16"/>
              <w:spacing w:line="240" w:lineRule="auto"/>
              <w:jc w:val="both"/>
              <w:rPr>
                <w:rFonts w:hint="eastAsia" w:ascii="仿宋" w:hAnsi="仿宋" w:eastAsia="仿宋" w:cs="仿宋"/>
                <w:color w:val="auto"/>
                <w:sz w:val="30"/>
                <w:szCs w:val="30"/>
                <w:vertAlign w:val="baseline"/>
                <w:lang w:eastAsia="zh-CN"/>
              </w:rPr>
            </w:pPr>
            <w:r>
              <w:rPr>
                <w:rFonts w:hint="eastAsia" w:ascii="仿宋" w:hAnsi="仿宋" w:eastAsia="仿宋" w:cs="仿宋"/>
                <w:b/>
                <w:bCs/>
                <w:color w:val="auto"/>
                <w:sz w:val="30"/>
                <w:szCs w:val="30"/>
                <w:vertAlign w:val="baseline"/>
                <w:lang w:val="en-US" w:eastAsia="zh-CN"/>
              </w:rPr>
              <w:t>所有类目</w:t>
            </w:r>
            <w:r>
              <w:rPr>
                <w:rFonts w:hint="eastAsia" w:ascii="仿宋" w:hAnsi="仿宋" w:eastAsia="仿宋" w:cs="仿宋"/>
                <w:b/>
                <w:bCs/>
                <w:color w:val="auto"/>
                <w:sz w:val="30"/>
                <w:szCs w:val="30"/>
                <w:vertAlign w:val="baseline"/>
                <w:lang w:eastAsia="zh-CN"/>
              </w:rPr>
              <w:t>下浮合计(%)：</w:t>
            </w:r>
          </w:p>
        </w:tc>
      </w:tr>
      <w:tr w14:paraId="0DFD3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9816" w:type="dxa"/>
            <w:gridSpan w:val="7"/>
            <w:noWrap w:val="0"/>
            <w:vAlign w:val="center"/>
          </w:tcPr>
          <w:p w14:paraId="6CD96CD5">
            <w:pPr>
              <w:pStyle w:val="16"/>
              <w:spacing w:line="240" w:lineRule="auto"/>
              <w:jc w:val="both"/>
              <w:rPr>
                <w:rFonts w:hint="eastAsia" w:ascii="仿宋" w:hAnsi="仿宋" w:eastAsia="仿宋" w:cs="仿宋"/>
                <w:b/>
                <w:bCs/>
                <w:color w:val="auto"/>
                <w:sz w:val="30"/>
                <w:szCs w:val="30"/>
                <w:vertAlign w:val="baseline"/>
                <w:lang w:val="en-US" w:eastAsia="zh-CN"/>
              </w:rPr>
            </w:pPr>
            <w:r>
              <w:rPr>
                <w:rFonts w:hint="eastAsia" w:ascii="仿宋" w:hAnsi="仿宋" w:eastAsia="仿宋" w:cs="仿宋"/>
                <w:b/>
                <w:bCs/>
                <w:color w:val="auto"/>
                <w:sz w:val="30"/>
                <w:szCs w:val="30"/>
                <w:vertAlign w:val="baseline"/>
                <w:lang w:val="en-US" w:eastAsia="zh-CN"/>
              </w:rPr>
              <w:t>所有类目下浮后</w:t>
            </w:r>
            <w:r>
              <w:rPr>
                <w:rFonts w:hint="eastAsia" w:ascii="仿宋" w:hAnsi="仿宋" w:eastAsia="仿宋" w:cs="仿宋"/>
                <w:b/>
                <w:bCs/>
                <w:color w:val="auto"/>
                <w:sz w:val="30"/>
                <w:szCs w:val="30"/>
                <w:vertAlign w:val="baseline"/>
                <w:lang w:eastAsia="zh-CN"/>
              </w:rPr>
              <w:t>单价合计(元)：</w:t>
            </w:r>
          </w:p>
        </w:tc>
      </w:tr>
    </w:tbl>
    <w:p w14:paraId="58B94D4C">
      <w:pPr>
        <w:pStyle w:val="16"/>
        <w:rPr>
          <w:rFonts w:hint="eastAsia" w:ascii="仿宋" w:hAnsi="仿宋" w:eastAsia="仿宋" w:cs="仿宋"/>
          <w:color w:val="auto"/>
          <w:sz w:val="32"/>
          <w:szCs w:val="32"/>
        </w:rPr>
      </w:pPr>
    </w:p>
    <w:p w14:paraId="4C58DA1E">
      <w:pPr>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rPr>
        <w:t>投标单位盖章：</w:t>
      </w:r>
    </w:p>
    <w:p w14:paraId="789CC2E4">
      <w:pPr>
        <w:spacing w:line="360" w:lineRule="auto"/>
        <w:ind w:left="10240" w:hanging="10240" w:hangingChars="3200"/>
        <w:jc w:val="left"/>
        <w:rPr>
          <w:rFonts w:hint="eastAsia" w:ascii="仿宋" w:hAnsi="仿宋" w:eastAsia="仿宋" w:cs="仿宋"/>
          <w:color w:val="auto"/>
          <w:sz w:val="32"/>
          <w:szCs w:val="32"/>
        </w:rPr>
      </w:pPr>
      <w:r>
        <w:rPr>
          <w:rFonts w:hint="eastAsia" w:ascii="仿宋" w:hAnsi="仿宋" w:eastAsia="仿宋" w:cs="仿宋"/>
          <w:color w:val="auto"/>
          <w:sz w:val="32"/>
          <w:szCs w:val="32"/>
        </w:rPr>
        <w:t xml:space="preserve">投标单位法人或授权代表签字或盖章：                                                                     </w:t>
      </w:r>
    </w:p>
    <w:p w14:paraId="05EAB323">
      <w:pPr>
        <w:spacing w:line="360" w:lineRule="auto"/>
        <w:ind w:left="10240" w:hanging="10240" w:hangingChars="3200"/>
        <w:jc w:val="right"/>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0485B57E">
      <w:pPr>
        <w:adjustRightInd w:val="0"/>
        <w:snapToGrid w:val="0"/>
        <w:spacing w:line="360" w:lineRule="auto"/>
        <w:rPr>
          <w:rFonts w:hint="eastAsia" w:ascii="仿宋" w:hAnsi="仿宋" w:eastAsia="仿宋" w:cs="仿宋"/>
          <w:b/>
          <w:bCs/>
          <w:color w:val="auto"/>
          <w:sz w:val="32"/>
          <w:szCs w:val="32"/>
        </w:rPr>
      </w:pPr>
      <w:r>
        <w:rPr>
          <w:rFonts w:hint="eastAsia" w:ascii="仿宋" w:hAnsi="仿宋" w:eastAsia="仿宋" w:cs="仿宋"/>
          <w:b/>
          <w:bCs/>
          <w:color w:val="auto"/>
          <w:sz w:val="32"/>
          <w:szCs w:val="32"/>
          <w:lang w:val="en-US" w:eastAsia="zh-CN"/>
        </w:rPr>
        <w:t>注：以上报价包含</w:t>
      </w:r>
      <w:r>
        <w:rPr>
          <w:rFonts w:hint="eastAsia" w:ascii="仿宋" w:hAnsi="仿宋" w:eastAsia="仿宋" w:cs="仿宋"/>
          <w:b/>
          <w:bCs/>
          <w:color w:val="auto"/>
          <w:sz w:val="32"/>
          <w:szCs w:val="32"/>
          <w:lang w:val="zh-TW" w:eastAsia="zh-CN"/>
        </w:rPr>
        <w:t>全部货品、税费、包装费、运输费、装卸以及最终将货物卸载、运送、搬货交付到</w:t>
      </w:r>
      <w:r>
        <w:rPr>
          <w:rFonts w:hint="eastAsia" w:ascii="仿宋" w:hAnsi="仿宋" w:eastAsia="仿宋" w:cs="仿宋"/>
          <w:b/>
          <w:bCs/>
          <w:color w:val="auto"/>
          <w:sz w:val="32"/>
          <w:szCs w:val="32"/>
          <w:lang w:val="en-US" w:eastAsia="zh-CN"/>
        </w:rPr>
        <w:t>采购人</w:t>
      </w:r>
      <w:r>
        <w:rPr>
          <w:rFonts w:hint="eastAsia" w:ascii="仿宋" w:hAnsi="仿宋" w:eastAsia="仿宋" w:cs="仿宋"/>
          <w:b/>
          <w:bCs/>
          <w:color w:val="auto"/>
          <w:sz w:val="32"/>
          <w:szCs w:val="32"/>
          <w:lang w:val="zh-TW" w:eastAsia="zh-CN"/>
        </w:rPr>
        <w:t>指定区域待</w:t>
      </w:r>
      <w:r>
        <w:rPr>
          <w:rFonts w:hint="eastAsia" w:ascii="仿宋" w:hAnsi="仿宋" w:eastAsia="仿宋" w:cs="仿宋"/>
          <w:b/>
          <w:bCs/>
          <w:color w:val="auto"/>
          <w:sz w:val="32"/>
          <w:szCs w:val="32"/>
          <w:lang w:val="en-US" w:eastAsia="zh-CN"/>
        </w:rPr>
        <w:t>采购人</w:t>
      </w:r>
      <w:r>
        <w:rPr>
          <w:rFonts w:hint="eastAsia" w:ascii="仿宋" w:hAnsi="仿宋" w:eastAsia="仿宋" w:cs="仿宋"/>
          <w:b/>
          <w:bCs/>
          <w:color w:val="auto"/>
          <w:sz w:val="32"/>
          <w:szCs w:val="32"/>
          <w:lang w:val="zh-TW" w:eastAsia="zh-CN"/>
        </w:rPr>
        <w:t>验收的全部费用,其他存在或可能存在的各类税、费、成本等亦由</w:t>
      </w:r>
      <w:r>
        <w:rPr>
          <w:rFonts w:hint="eastAsia" w:ascii="仿宋" w:hAnsi="仿宋" w:eastAsia="仿宋" w:cs="仿宋"/>
          <w:b/>
          <w:bCs/>
          <w:color w:val="auto"/>
          <w:sz w:val="32"/>
          <w:szCs w:val="32"/>
          <w:lang w:val="en-US" w:eastAsia="zh-CN"/>
        </w:rPr>
        <w:t>成交供应商</w:t>
      </w:r>
      <w:r>
        <w:rPr>
          <w:rFonts w:hint="eastAsia" w:ascii="仿宋" w:hAnsi="仿宋" w:eastAsia="仿宋" w:cs="仿宋"/>
          <w:b/>
          <w:bCs/>
          <w:color w:val="auto"/>
          <w:sz w:val="32"/>
          <w:szCs w:val="32"/>
          <w:lang w:val="zh-TW" w:eastAsia="zh-CN"/>
        </w:rPr>
        <w:t>承担。</w:t>
      </w:r>
    </w:p>
    <w:p w14:paraId="5CC2A33A">
      <w:pPr>
        <w:pStyle w:val="3"/>
        <w:spacing w:line="360" w:lineRule="auto"/>
        <w:jc w:val="center"/>
        <w:rPr>
          <w:rStyle w:val="53"/>
          <w:rFonts w:hint="eastAsia" w:ascii="仿宋_GB2312" w:hAnsi="仿宋_GB2312" w:eastAsia="仿宋_GB2312" w:cs="仿宋_GB2312"/>
          <w:b/>
          <w:bCs w:val="0"/>
          <w:color w:val="auto"/>
        </w:rPr>
      </w:pPr>
    </w:p>
    <w:p w14:paraId="40D17B31">
      <w:pPr>
        <w:rPr>
          <w:rStyle w:val="53"/>
          <w:rFonts w:hint="eastAsia" w:ascii="仿宋_GB2312" w:hAnsi="仿宋_GB2312" w:eastAsia="仿宋_GB2312" w:cs="仿宋_GB2312"/>
          <w:b/>
          <w:bCs w:val="0"/>
          <w:color w:val="auto"/>
        </w:rPr>
      </w:pPr>
    </w:p>
    <w:p w14:paraId="296077F9">
      <w:pPr>
        <w:rPr>
          <w:rStyle w:val="53"/>
          <w:rFonts w:hint="eastAsia" w:ascii="仿宋_GB2312" w:hAnsi="仿宋_GB2312" w:eastAsia="仿宋_GB2312" w:cs="仿宋_GB2312"/>
          <w:b/>
          <w:bCs w:val="0"/>
          <w:color w:val="auto"/>
        </w:rPr>
      </w:pPr>
    </w:p>
    <w:p w14:paraId="04D433C3">
      <w:pPr>
        <w:rPr>
          <w:rStyle w:val="53"/>
          <w:rFonts w:hint="eastAsia" w:ascii="仿宋_GB2312" w:hAnsi="仿宋_GB2312" w:eastAsia="仿宋_GB2312" w:cs="仿宋_GB2312"/>
          <w:b/>
          <w:bCs w:val="0"/>
          <w:color w:val="auto"/>
        </w:rPr>
      </w:pPr>
    </w:p>
    <w:p w14:paraId="2EB91328">
      <w:pPr>
        <w:rPr>
          <w:rFonts w:hint="eastAsia"/>
          <w:color w:val="auto"/>
        </w:rPr>
      </w:pPr>
    </w:p>
    <w:p w14:paraId="75E28F15">
      <w:pPr>
        <w:pStyle w:val="3"/>
        <w:spacing w:line="360" w:lineRule="auto"/>
        <w:jc w:val="center"/>
        <w:rPr>
          <w:rStyle w:val="53"/>
          <w:rFonts w:hint="eastAsia" w:ascii="仿宋_GB2312" w:hAnsi="仿宋_GB2312" w:eastAsia="仿宋_GB2312" w:cs="仿宋_GB2312"/>
          <w:b/>
          <w:bCs w:val="0"/>
          <w:color w:val="auto"/>
        </w:rPr>
      </w:pPr>
      <w:r>
        <w:rPr>
          <w:rStyle w:val="53"/>
          <w:rFonts w:hint="eastAsia" w:ascii="仿宋_GB2312" w:hAnsi="仿宋_GB2312" w:eastAsia="仿宋_GB2312" w:cs="仿宋_GB2312"/>
          <w:b/>
          <w:bCs w:val="0"/>
          <w:color w:val="auto"/>
        </w:rPr>
        <w:t>4、法定代表人身份证明</w:t>
      </w:r>
      <w:bookmarkEnd w:id="304"/>
      <w:bookmarkEnd w:id="305"/>
      <w:bookmarkEnd w:id="306"/>
      <w:bookmarkEnd w:id="307"/>
      <w:bookmarkEnd w:id="308"/>
      <w:bookmarkEnd w:id="309"/>
    </w:p>
    <w:p w14:paraId="063B1A8E">
      <w:pPr>
        <w:adjustRightInd w:val="0"/>
        <w:snapToGrid w:val="0"/>
        <w:spacing w:line="360" w:lineRule="auto"/>
        <w:jc w:val="center"/>
        <w:rPr>
          <w:rFonts w:hint="eastAsia" w:ascii="仿宋_GB2312" w:hAnsi="仿宋_GB2312" w:eastAsia="仿宋_GB2312" w:cs="仿宋_GB2312"/>
          <w:color w:val="auto"/>
          <w:sz w:val="32"/>
          <w:szCs w:val="32"/>
        </w:rPr>
      </w:pPr>
    </w:p>
    <w:p w14:paraId="7CCCF332">
      <w:pPr>
        <w:adjustRightInd w:val="0"/>
        <w:snapToGrid w:val="0"/>
        <w:spacing w:line="360" w:lineRule="auto"/>
        <w:rPr>
          <w:rFonts w:hint="eastAsia" w:ascii="仿宋_GB2312" w:hAnsi="仿宋_GB2312" w:eastAsia="仿宋_GB2312" w:cs="仿宋_GB2312"/>
          <w:color w:val="auto"/>
          <w:sz w:val="32"/>
          <w:szCs w:val="32"/>
          <w:u w:val="single"/>
        </w:rPr>
      </w:pPr>
      <w:r>
        <w:rPr>
          <w:rFonts w:hint="eastAsia" w:ascii="仿宋_GB2312" w:hAnsi="仿宋_GB2312" w:eastAsia="仿宋_GB2312" w:cs="仿宋_GB2312"/>
          <w:color w:val="auto"/>
          <w:sz w:val="32"/>
          <w:szCs w:val="32"/>
        </w:rPr>
        <w:t xml:space="preserve">   单位名称：</w:t>
      </w:r>
      <w:r>
        <w:rPr>
          <w:rFonts w:hint="eastAsia" w:ascii="仿宋_GB2312" w:hAnsi="仿宋_GB2312" w:eastAsia="仿宋_GB2312" w:cs="仿宋_GB2312"/>
          <w:color w:val="auto"/>
          <w:sz w:val="32"/>
          <w:szCs w:val="32"/>
          <w:u w:val="single"/>
        </w:rPr>
        <w:t xml:space="preserve">                                                      </w:t>
      </w:r>
    </w:p>
    <w:p w14:paraId="1F43C561">
      <w:pPr>
        <w:adjustRightInd w:val="0"/>
        <w:snapToGrid w:val="0"/>
        <w:spacing w:line="360" w:lineRule="auto"/>
        <w:rPr>
          <w:rFonts w:hint="eastAsia" w:ascii="仿宋_GB2312" w:hAnsi="仿宋_GB2312" w:eastAsia="仿宋_GB2312" w:cs="仿宋_GB2312"/>
          <w:color w:val="auto"/>
          <w:sz w:val="32"/>
          <w:szCs w:val="32"/>
          <w:u w:val="single"/>
        </w:rPr>
      </w:pPr>
      <w:r>
        <w:rPr>
          <w:rFonts w:hint="eastAsia" w:ascii="仿宋_GB2312" w:hAnsi="仿宋_GB2312" w:eastAsia="仿宋_GB2312" w:cs="仿宋_GB2312"/>
          <w:color w:val="auto"/>
          <w:sz w:val="32"/>
          <w:szCs w:val="32"/>
        </w:rPr>
        <w:t xml:space="preserve">   单位性质：</w:t>
      </w:r>
      <w:r>
        <w:rPr>
          <w:rFonts w:hint="eastAsia" w:ascii="仿宋_GB2312" w:hAnsi="仿宋_GB2312" w:eastAsia="仿宋_GB2312" w:cs="仿宋_GB2312"/>
          <w:color w:val="auto"/>
          <w:sz w:val="32"/>
          <w:szCs w:val="32"/>
          <w:u w:val="single"/>
        </w:rPr>
        <w:t xml:space="preserve">                                                      </w:t>
      </w:r>
    </w:p>
    <w:p w14:paraId="2F8B5200">
      <w:pPr>
        <w:adjustRightInd w:val="0"/>
        <w:snapToGrid w:val="0"/>
        <w:spacing w:line="360" w:lineRule="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成立时间：</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 xml:space="preserve"> 月</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 xml:space="preserve">日 </w:t>
      </w:r>
    </w:p>
    <w:p w14:paraId="31EF6047">
      <w:pPr>
        <w:adjustRightInd w:val="0"/>
        <w:snapToGrid w:val="0"/>
        <w:spacing w:line="360" w:lineRule="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经营期限：</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 xml:space="preserve"> </w:t>
      </w:r>
    </w:p>
    <w:p w14:paraId="5AC18226">
      <w:pPr>
        <w:adjustRightInd w:val="0"/>
        <w:snapToGrid w:val="0"/>
        <w:spacing w:line="360" w:lineRule="auto"/>
        <w:rPr>
          <w:rFonts w:hint="eastAsia" w:ascii="仿宋_GB2312" w:hAnsi="仿宋_GB2312" w:eastAsia="仿宋_GB2312" w:cs="仿宋_GB2312"/>
          <w:color w:val="auto"/>
          <w:sz w:val="32"/>
          <w:szCs w:val="32"/>
          <w:u w:val="single"/>
        </w:rPr>
      </w:pPr>
      <w:r>
        <w:rPr>
          <w:rFonts w:hint="eastAsia" w:ascii="仿宋_GB2312" w:hAnsi="仿宋_GB2312" w:eastAsia="仿宋_GB2312" w:cs="仿宋_GB2312"/>
          <w:color w:val="auto"/>
          <w:sz w:val="32"/>
          <w:szCs w:val="32"/>
        </w:rPr>
        <w:t xml:space="preserve">   姓名：</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性别：</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年龄：</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职务：</w:t>
      </w:r>
      <w:r>
        <w:rPr>
          <w:rFonts w:hint="eastAsia" w:ascii="仿宋_GB2312" w:hAnsi="仿宋_GB2312" w:eastAsia="仿宋_GB2312" w:cs="仿宋_GB2312"/>
          <w:color w:val="auto"/>
          <w:sz w:val="32"/>
          <w:szCs w:val="32"/>
          <w:u w:val="single"/>
        </w:rPr>
        <w:t xml:space="preserve">          </w:t>
      </w:r>
    </w:p>
    <w:p w14:paraId="3930B94E">
      <w:pPr>
        <w:adjustRightInd w:val="0"/>
        <w:snapToGrid w:val="0"/>
        <w:spacing w:line="360" w:lineRule="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系</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 xml:space="preserve">的法定代表人。 </w:t>
      </w:r>
    </w:p>
    <w:p w14:paraId="7C530ABB">
      <w:pPr>
        <w:spacing w:line="360" w:lineRule="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特此证明。 </w:t>
      </w:r>
    </w:p>
    <w:p w14:paraId="532653EB">
      <w:pPr>
        <w:spacing w:line="360" w:lineRule="auto"/>
        <w:ind w:firstLine="640" w:firstLineChars="200"/>
        <w:rPr>
          <w:rFonts w:hint="eastAsia" w:ascii="仿宋_GB2312" w:hAnsi="仿宋_GB2312" w:eastAsia="仿宋_GB2312" w:cs="仿宋_GB2312"/>
          <w:color w:val="auto"/>
          <w:sz w:val="32"/>
          <w:szCs w:val="32"/>
        </w:rPr>
      </w:pPr>
    </w:p>
    <w:p w14:paraId="04D9A79B">
      <w:pPr>
        <w:spacing w:line="360" w:lineRule="auto"/>
        <w:ind w:firstLine="640" w:firstLineChars="200"/>
        <w:rPr>
          <w:rFonts w:hint="eastAsia" w:ascii="仿宋_GB2312" w:hAnsi="仿宋_GB2312" w:eastAsia="仿宋_GB2312" w:cs="仿宋_GB2312"/>
          <w:color w:val="auto"/>
          <w:sz w:val="32"/>
          <w:szCs w:val="32"/>
        </w:rPr>
      </w:pPr>
    </w:p>
    <w:p w14:paraId="1AB3D4EC">
      <w:pPr>
        <w:spacing w:line="360" w:lineRule="auto"/>
        <w:ind w:firstLine="640" w:firstLineChars="200"/>
        <w:rPr>
          <w:rFonts w:hint="eastAsia" w:ascii="仿宋_GB2312" w:hAnsi="仿宋_GB2312" w:eastAsia="仿宋_GB2312" w:cs="仿宋_GB2312"/>
          <w:color w:val="auto"/>
          <w:sz w:val="32"/>
          <w:szCs w:val="32"/>
        </w:rPr>
      </w:pPr>
    </w:p>
    <w:p w14:paraId="25C7FAFC">
      <w:pPr>
        <w:spacing w:line="360" w:lineRule="auto"/>
        <w:ind w:firstLine="640" w:firstLineChars="200"/>
        <w:rPr>
          <w:rFonts w:hint="eastAsia" w:ascii="仿宋_GB2312" w:hAnsi="仿宋_GB2312" w:eastAsia="仿宋_GB2312" w:cs="仿宋_GB2312"/>
          <w:color w:val="auto"/>
          <w:sz w:val="32"/>
          <w:szCs w:val="32"/>
        </w:rPr>
      </w:pPr>
    </w:p>
    <w:p w14:paraId="5956384F">
      <w:pPr>
        <w:spacing w:line="360" w:lineRule="auto"/>
        <w:ind w:firstLine="640" w:firstLineChars="200"/>
        <w:rPr>
          <w:rFonts w:hint="eastAsia" w:ascii="仿宋_GB2312" w:hAnsi="仿宋_GB2312" w:eastAsia="仿宋_GB2312" w:cs="仿宋_GB2312"/>
          <w:color w:val="auto"/>
          <w:sz w:val="32"/>
          <w:szCs w:val="32"/>
        </w:rPr>
      </w:pPr>
    </w:p>
    <w:p w14:paraId="1E383560">
      <w:pPr>
        <w:spacing w:line="360" w:lineRule="auto"/>
        <w:ind w:firstLine="640" w:firstLineChars="200"/>
        <w:rPr>
          <w:rFonts w:hint="eastAsia" w:ascii="仿宋_GB2312" w:hAnsi="仿宋_GB2312" w:eastAsia="仿宋_GB2312" w:cs="仿宋_GB2312"/>
          <w:color w:val="auto"/>
          <w:sz w:val="32"/>
          <w:szCs w:val="32"/>
        </w:rPr>
      </w:pPr>
    </w:p>
    <w:p w14:paraId="7D0065C5">
      <w:pPr>
        <w:spacing w:line="360" w:lineRule="auto"/>
        <w:ind w:firstLine="640" w:firstLineChars="200"/>
        <w:rPr>
          <w:rFonts w:hint="eastAsia" w:ascii="仿宋_GB2312" w:hAnsi="仿宋_GB2312" w:eastAsia="仿宋_GB2312" w:cs="仿宋_GB2312"/>
          <w:color w:val="auto"/>
          <w:sz w:val="32"/>
          <w:szCs w:val="32"/>
        </w:rPr>
      </w:pPr>
    </w:p>
    <w:p w14:paraId="408CED06">
      <w:pPr>
        <w:spacing w:line="360" w:lineRule="auto"/>
        <w:ind w:firstLine="640" w:firstLineChars="200"/>
        <w:jc w:val="righ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单位：</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 xml:space="preserve">（盖单位章） </w:t>
      </w:r>
    </w:p>
    <w:p w14:paraId="3E91EDB2">
      <w:pPr>
        <w:spacing w:line="360" w:lineRule="auto"/>
        <w:jc w:val="right"/>
        <w:rPr>
          <w:rFonts w:hint="eastAsia" w:ascii="仿宋_GB2312" w:hAnsi="仿宋_GB2312" w:eastAsia="仿宋_GB2312" w:cs="仿宋_GB2312"/>
          <w:b/>
          <w:color w:val="auto"/>
          <w:sz w:val="32"/>
          <w:szCs w:val="32"/>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日</w:t>
      </w:r>
      <w:r>
        <w:rPr>
          <w:rFonts w:hint="eastAsia" w:ascii="仿宋_GB2312" w:hAnsi="仿宋_GB2312" w:eastAsia="仿宋_GB2312" w:cs="仿宋_GB2312"/>
          <w:b/>
          <w:color w:val="auto"/>
          <w:sz w:val="32"/>
          <w:szCs w:val="32"/>
        </w:rPr>
        <w:t xml:space="preserve"> </w:t>
      </w:r>
    </w:p>
    <w:p w14:paraId="2C89E0CD">
      <w:pPr>
        <w:pStyle w:val="12"/>
        <w:spacing w:line="360" w:lineRule="auto"/>
        <w:rPr>
          <w:rFonts w:hint="eastAsia" w:ascii="仿宋_GB2312" w:hAnsi="仿宋_GB2312" w:eastAsia="仿宋_GB2312" w:cs="仿宋_GB2312"/>
          <w:color w:val="auto"/>
          <w:sz w:val="32"/>
          <w:szCs w:val="32"/>
        </w:rPr>
      </w:pPr>
    </w:p>
    <w:p w14:paraId="5E63A3EA">
      <w:pPr>
        <w:pStyle w:val="25"/>
        <w:spacing w:line="360" w:lineRule="auto"/>
        <w:ind w:firstLine="0" w:firstLineChars="0"/>
        <w:rPr>
          <w:rFonts w:hint="eastAsia" w:ascii="仿宋_GB2312" w:hAnsi="仿宋_GB2312" w:eastAsia="仿宋_GB2312" w:cs="仿宋_GB2312"/>
          <w:color w:val="auto"/>
          <w:sz w:val="32"/>
          <w:szCs w:val="32"/>
        </w:rPr>
      </w:pPr>
    </w:p>
    <w:p w14:paraId="77BC2C02">
      <w:pPr>
        <w:pStyle w:val="3"/>
        <w:spacing w:line="360" w:lineRule="auto"/>
        <w:jc w:val="center"/>
        <w:rPr>
          <w:rStyle w:val="53"/>
          <w:rFonts w:hint="eastAsia" w:ascii="仿宋_GB2312" w:hAnsi="仿宋_GB2312" w:eastAsia="仿宋_GB2312" w:cs="仿宋_GB2312"/>
          <w:b/>
          <w:bCs w:val="0"/>
          <w:color w:val="auto"/>
        </w:rPr>
      </w:pPr>
      <w:bookmarkStart w:id="310" w:name="_Toc24648"/>
      <w:bookmarkStart w:id="311" w:name="_Toc18441"/>
      <w:bookmarkStart w:id="312" w:name="_Toc2043"/>
      <w:bookmarkStart w:id="313" w:name="_Toc50459036"/>
      <w:r>
        <w:rPr>
          <w:rStyle w:val="53"/>
          <w:rFonts w:hint="eastAsia" w:ascii="仿宋_GB2312" w:hAnsi="仿宋_GB2312" w:eastAsia="仿宋_GB2312" w:cs="仿宋_GB2312"/>
          <w:b/>
          <w:bCs w:val="0"/>
          <w:color w:val="auto"/>
        </w:rPr>
        <w:t>5、法定代表人授权委托书</w:t>
      </w:r>
      <w:bookmarkEnd w:id="310"/>
      <w:bookmarkEnd w:id="311"/>
      <w:bookmarkEnd w:id="312"/>
      <w:bookmarkEnd w:id="313"/>
    </w:p>
    <w:p w14:paraId="71BE06D6">
      <w:pPr>
        <w:spacing w:line="360" w:lineRule="auto"/>
        <w:jc w:val="center"/>
        <w:rPr>
          <w:rFonts w:hint="eastAsia" w:ascii="仿宋_GB2312" w:hAnsi="仿宋_GB2312" w:eastAsia="仿宋_GB2312" w:cs="仿宋_GB2312"/>
          <w:b/>
          <w:bCs/>
          <w:color w:val="auto"/>
          <w:sz w:val="32"/>
          <w:szCs w:val="32"/>
        </w:rPr>
      </w:pPr>
    </w:p>
    <w:p w14:paraId="0DC94FE8">
      <w:pPr>
        <w:spacing w:line="360" w:lineRule="auto"/>
        <w:ind w:firstLine="604" w:firstLineChars="189"/>
        <w:jc w:val="left"/>
        <w:rPr>
          <w:rFonts w:hint="eastAsia" w:ascii="仿宋_GB2312" w:hAnsi="仿宋_GB2312" w:eastAsia="仿宋_GB2312" w:cs="仿宋_GB2312"/>
          <w:bCs/>
          <w:color w:val="auto"/>
          <w:sz w:val="32"/>
          <w:szCs w:val="32"/>
          <w:u w:val="single"/>
        </w:rPr>
      </w:pPr>
      <w:r>
        <w:rPr>
          <w:rFonts w:hint="eastAsia" w:ascii="仿宋_GB2312" w:hAnsi="仿宋_GB2312" w:eastAsia="仿宋_GB2312" w:cs="仿宋_GB2312"/>
          <w:bCs/>
          <w:color w:val="auto"/>
          <w:sz w:val="32"/>
          <w:szCs w:val="32"/>
        </w:rPr>
        <w:t>本授权委托书声明：我</w:t>
      </w:r>
      <w:r>
        <w:rPr>
          <w:rFonts w:hint="eastAsia" w:ascii="仿宋_GB2312" w:hAnsi="仿宋_GB2312" w:eastAsia="仿宋_GB2312" w:cs="仿宋_GB2312"/>
          <w:bCs/>
          <w:color w:val="auto"/>
          <w:sz w:val="32"/>
          <w:szCs w:val="32"/>
          <w:u w:val="single"/>
        </w:rPr>
        <w:t xml:space="preserve">              </w:t>
      </w:r>
      <w:r>
        <w:rPr>
          <w:rFonts w:hint="eastAsia" w:ascii="仿宋_GB2312" w:hAnsi="仿宋_GB2312" w:eastAsia="仿宋_GB2312" w:cs="仿宋_GB2312"/>
          <w:bCs/>
          <w:color w:val="auto"/>
          <w:sz w:val="32"/>
          <w:szCs w:val="32"/>
        </w:rPr>
        <w:t>系</w:t>
      </w:r>
      <w:r>
        <w:rPr>
          <w:rFonts w:hint="eastAsia" w:ascii="仿宋_GB2312" w:hAnsi="仿宋_GB2312" w:eastAsia="仿宋_GB2312" w:cs="仿宋_GB2312"/>
          <w:bCs/>
          <w:color w:val="auto"/>
          <w:sz w:val="32"/>
          <w:szCs w:val="32"/>
          <w:u w:val="single"/>
        </w:rPr>
        <w:t xml:space="preserve">                             </w:t>
      </w:r>
      <w:r>
        <w:rPr>
          <w:rFonts w:hint="eastAsia" w:ascii="仿宋_GB2312" w:hAnsi="仿宋_GB2312" w:eastAsia="仿宋_GB2312" w:cs="仿宋_GB2312"/>
          <w:bCs/>
          <w:color w:val="auto"/>
          <w:sz w:val="32"/>
          <w:szCs w:val="32"/>
        </w:rPr>
        <w:t>的法定代表人，现授权委托</w:t>
      </w:r>
      <w:r>
        <w:rPr>
          <w:rFonts w:hint="eastAsia" w:ascii="仿宋_GB2312" w:hAnsi="仿宋_GB2312" w:eastAsia="仿宋_GB2312" w:cs="仿宋_GB2312"/>
          <w:bCs/>
          <w:color w:val="auto"/>
          <w:sz w:val="32"/>
          <w:szCs w:val="32"/>
          <w:u w:val="single"/>
        </w:rPr>
        <w:t xml:space="preserve">                            </w:t>
      </w:r>
      <w:r>
        <w:rPr>
          <w:rFonts w:hint="eastAsia" w:ascii="仿宋_GB2312" w:hAnsi="仿宋_GB2312" w:eastAsia="仿宋_GB2312" w:cs="仿宋_GB2312"/>
          <w:bCs/>
          <w:color w:val="auto"/>
          <w:sz w:val="32"/>
          <w:szCs w:val="32"/>
        </w:rPr>
        <w:t>的</w:t>
      </w:r>
      <w:r>
        <w:rPr>
          <w:rFonts w:hint="eastAsia" w:ascii="仿宋_GB2312" w:hAnsi="仿宋_GB2312" w:eastAsia="仿宋_GB2312" w:cs="仿宋_GB2312"/>
          <w:bCs/>
          <w:color w:val="auto"/>
          <w:sz w:val="32"/>
          <w:szCs w:val="32"/>
          <w:u w:val="single"/>
        </w:rPr>
        <w:t xml:space="preserve">            </w:t>
      </w:r>
      <w:r>
        <w:rPr>
          <w:rFonts w:hint="eastAsia" w:ascii="仿宋_GB2312" w:hAnsi="仿宋_GB2312" w:eastAsia="仿宋_GB2312" w:cs="仿宋_GB2312"/>
          <w:bCs/>
          <w:color w:val="auto"/>
          <w:sz w:val="32"/>
          <w:szCs w:val="32"/>
        </w:rPr>
        <w:t>为我的代理人，以本单位的名义参加</w:t>
      </w:r>
      <w:r>
        <w:rPr>
          <w:rFonts w:hint="eastAsia" w:ascii="仿宋_GB2312" w:hAnsi="仿宋_GB2312" w:eastAsia="仿宋_GB2312" w:cs="仿宋_GB2312"/>
          <w:bCs/>
          <w:color w:val="auto"/>
          <w:sz w:val="32"/>
          <w:szCs w:val="32"/>
          <w:u w:val="single"/>
        </w:rPr>
        <w:t xml:space="preserve">                                 </w:t>
      </w:r>
      <w:r>
        <w:rPr>
          <w:rFonts w:hint="eastAsia" w:ascii="仿宋_GB2312" w:hAnsi="仿宋_GB2312" w:eastAsia="仿宋_GB2312" w:cs="仿宋_GB2312"/>
          <w:bCs/>
          <w:color w:val="auto"/>
          <w:sz w:val="32"/>
          <w:szCs w:val="32"/>
        </w:rPr>
        <w:t>投标活动。代理人在参加整个招标投标活动、合同签订过程中所签署的一切文件和处理与之相关的一切事物，我均予承认。</w:t>
      </w:r>
    </w:p>
    <w:p w14:paraId="19EA5B14">
      <w:pPr>
        <w:spacing w:line="360" w:lineRule="auto"/>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代理人：</w:t>
      </w:r>
      <w:r>
        <w:rPr>
          <w:rFonts w:hint="eastAsia" w:ascii="仿宋_GB2312" w:hAnsi="仿宋_GB2312" w:eastAsia="仿宋_GB2312" w:cs="仿宋_GB2312"/>
          <w:bCs/>
          <w:color w:val="auto"/>
          <w:sz w:val="32"/>
          <w:szCs w:val="32"/>
          <w:u w:val="single"/>
        </w:rPr>
        <w:t xml:space="preserve">               </w:t>
      </w:r>
      <w:r>
        <w:rPr>
          <w:rFonts w:hint="eastAsia" w:ascii="仿宋_GB2312" w:hAnsi="仿宋_GB2312" w:eastAsia="仿宋_GB2312" w:cs="仿宋_GB2312"/>
          <w:bCs/>
          <w:color w:val="auto"/>
          <w:sz w:val="32"/>
          <w:szCs w:val="32"/>
        </w:rPr>
        <w:t xml:space="preserve">   性别：</w:t>
      </w:r>
      <w:r>
        <w:rPr>
          <w:rFonts w:hint="eastAsia" w:ascii="仿宋_GB2312" w:hAnsi="仿宋_GB2312" w:eastAsia="仿宋_GB2312" w:cs="仿宋_GB2312"/>
          <w:bCs/>
          <w:color w:val="auto"/>
          <w:sz w:val="32"/>
          <w:szCs w:val="32"/>
          <w:u w:val="single"/>
        </w:rPr>
        <w:t xml:space="preserve">            </w:t>
      </w:r>
      <w:r>
        <w:rPr>
          <w:rFonts w:hint="eastAsia" w:ascii="仿宋_GB2312" w:hAnsi="仿宋_GB2312" w:eastAsia="仿宋_GB2312" w:cs="仿宋_GB2312"/>
          <w:bCs/>
          <w:color w:val="auto"/>
          <w:sz w:val="32"/>
          <w:szCs w:val="32"/>
        </w:rPr>
        <w:t xml:space="preserve">  </w:t>
      </w:r>
    </w:p>
    <w:p w14:paraId="5FEEE815">
      <w:pPr>
        <w:spacing w:line="360" w:lineRule="auto"/>
        <w:ind w:firstLine="640" w:firstLineChars="200"/>
        <w:rPr>
          <w:rFonts w:hint="eastAsia" w:ascii="仿宋_GB2312" w:hAnsi="仿宋_GB2312" w:eastAsia="仿宋_GB2312" w:cs="仿宋_GB2312"/>
          <w:bCs/>
          <w:color w:val="auto"/>
          <w:sz w:val="32"/>
          <w:szCs w:val="32"/>
          <w:u w:val="single"/>
        </w:rPr>
      </w:pPr>
      <w:r>
        <w:rPr>
          <w:rFonts w:hint="eastAsia" w:ascii="仿宋_GB2312" w:hAnsi="仿宋_GB2312" w:eastAsia="仿宋_GB2312" w:cs="仿宋_GB2312"/>
          <w:bCs/>
          <w:color w:val="auto"/>
          <w:sz w:val="32"/>
          <w:szCs w:val="32"/>
        </w:rPr>
        <w:t>年龄：</w:t>
      </w:r>
      <w:r>
        <w:rPr>
          <w:rFonts w:hint="eastAsia" w:ascii="仿宋_GB2312" w:hAnsi="仿宋_GB2312" w:eastAsia="仿宋_GB2312" w:cs="仿宋_GB2312"/>
          <w:bCs/>
          <w:color w:val="auto"/>
          <w:sz w:val="32"/>
          <w:szCs w:val="32"/>
          <w:u w:val="single"/>
        </w:rPr>
        <w:t xml:space="preserve">             </w:t>
      </w:r>
    </w:p>
    <w:p w14:paraId="77DA91BB">
      <w:pPr>
        <w:spacing w:line="360" w:lineRule="auto"/>
        <w:ind w:firstLine="320" w:firstLineChars="100"/>
        <w:jc w:val="left"/>
        <w:rPr>
          <w:rFonts w:hint="eastAsia" w:ascii="仿宋_GB2312" w:hAnsi="仿宋_GB2312" w:eastAsia="仿宋_GB2312" w:cs="仿宋_GB2312"/>
          <w:bCs/>
          <w:color w:val="auto"/>
          <w:sz w:val="32"/>
          <w:szCs w:val="32"/>
          <w:u w:val="single"/>
        </w:rPr>
      </w:pPr>
      <w:r>
        <w:rPr>
          <w:rFonts w:hint="eastAsia" w:ascii="仿宋_GB2312" w:hAnsi="仿宋_GB2312" w:eastAsia="仿宋_GB2312" w:cs="仿宋_GB2312"/>
          <w:bCs/>
          <w:color w:val="auto"/>
          <w:sz w:val="32"/>
          <w:szCs w:val="32"/>
        </w:rPr>
        <w:t>部  门：</w:t>
      </w:r>
      <w:r>
        <w:rPr>
          <w:rFonts w:hint="eastAsia" w:ascii="仿宋_GB2312" w:hAnsi="仿宋_GB2312" w:eastAsia="仿宋_GB2312" w:cs="仿宋_GB2312"/>
          <w:bCs/>
          <w:color w:val="auto"/>
          <w:sz w:val="32"/>
          <w:szCs w:val="32"/>
          <w:u w:val="single"/>
        </w:rPr>
        <w:t xml:space="preserve">               </w:t>
      </w:r>
      <w:r>
        <w:rPr>
          <w:rFonts w:hint="eastAsia" w:ascii="仿宋_GB2312" w:hAnsi="仿宋_GB2312" w:eastAsia="仿宋_GB2312" w:cs="仿宋_GB2312"/>
          <w:bCs/>
          <w:color w:val="auto"/>
          <w:sz w:val="32"/>
          <w:szCs w:val="32"/>
        </w:rPr>
        <w:t xml:space="preserve">  职务：</w:t>
      </w:r>
      <w:r>
        <w:rPr>
          <w:rFonts w:hint="eastAsia" w:ascii="仿宋_GB2312" w:hAnsi="仿宋_GB2312" w:eastAsia="仿宋_GB2312" w:cs="仿宋_GB2312"/>
          <w:bCs/>
          <w:color w:val="auto"/>
          <w:sz w:val="32"/>
          <w:szCs w:val="32"/>
          <w:u w:val="single"/>
        </w:rPr>
        <w:t xml:space="preserve">             </w:t>
      </w:r>
    </w:p>
    <w:p w14:paraId="77F9FB9D">
      <w:pPr>
        <w:spacing w:line="360" w:lineRule="auto"/>
        <w:rPr>
          <w:rFonts w:hint="eastAsia" w:ascii="仿宋_GB2312" w:hAnsi="仿宋_GB2312" w:eastAsia="仿宋_GB2312" w:cs="仿宋_GB2312"/>
          <w:bCs/>
          <w:color w:val="auto"/>
          <w:sz w:val="32"/>
          <w:szCs w:val="32"/>
        </w:rPr>
      </w:pPr>
      <w:r>
        <w:rPr>
          <w:rFonts w:hint="eastAsia" w:ascii="仿宋_GB2312" w:hAnsi="仿宋_GB2312" w:eastAsia="仿宋_GB2312" w:cs="仿宋_GB2312"/>
          <w:color w:val="auto"/>
          <w:sz w:val="32"/>
          <w:szCs w:val="32"/>
        </w:rPr>
        <mc:AlternateContent>
          <mc:Choice Requires="wps">
            <w:drawing>
              <wp:anchor distT="0" distB="0" distL="114300" distR="114300" simplePos="0" relativeHeight="251659264" behindDoc="0" locked="0" layoutInCell="1" allowOverlap="1">
                <wp:simplePos x="0" y="0"/>
                <wp:positionH relativeFrom="column">
                  <wp:posOffset>-92710</wp:posOffset>
                </wp:positionH>
                <wp:positionV relativeFrom="paragraph">
                  <wp:posOffset>122555</wp:posOffset>
                </wp:positionV>
                <wp:extent cx="2971800" cy="1895475"/>
                <wp:effectExtent l="4445" t="4445" r="8255" b="5080"/>
                <wp:wrapNone/>
                <wp:docPr id="4" name="文本框 4"/>
                <wp:cNvGraphicFramePr/>
                <a:graphic xmlns:a="http://schemas.openxmlformats.org/drawingml/2006/main">
                  <a:graphicData uri="http://schemas.microsoft.com/office/word/2010/wordprocessingShape">
                    <wps:wsp>
                      <wps:cNvSpPr txBox="1"/>
                      <wps:spPr>
                        <a:xfrm>
                          <a:off x="0" y="0"/>
                          <a:ext cx="2971800" cy="189547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5D02174D">
                            <w:pPr>
                              <w:jc w:val="center"/>
                              <w:rPr>
                                <w:rFonts w:ascii="仿宋" w:hAnsi="仿宋" w:eastAsia="仿宋"/>
                                <w:sz w:val="36"/>
                                <w:szCs w:val="36"/>
                              </w:rPr>
                            </w:pPr>
                          </w:p>
                          <w:p w14:paraId="1AE9933F">
                            <w:pPr>
                              <w:jc w:val="center"/>
                              <w:rPr>
                                <w:rFonts w:ascii="仿宋" w:hAnsi="仿宋" w:eastAsia="仿宋"/>
                                <w:sz w:val="36"/>
                                <w:szCs w:val="36"/>
                              </w:rPr>
                            </w:pPr>
                          </w:p>
                          <w:p w14:paraId="770A7B15">
                            <w:pPr>
                              <w:jc w:val="center"/>
                              <w:rPr>
                                <w:rFonts w:hint="eastAsia" w:ascii="仿宋" w:hAnsi="仿宋" w:eastAsia="仿宋"/>
                                <w:sz w:val="36"/>
                                <w:szCs w:val="36"/>
                              </w:rPr>
                            </w:pPr>
                            <w:r>
                              <w:rPr>
                                <w:rFonts w:hint="eastAsia" w:ascii="仿宋" w:hAnsi="仿宋" w:eastAsia="仿宋"/>
                                <w:sz w:val="36"/>
                                <w:szCs w:val="36"/>
                              </w:rPr>
                              <w:t>法定代表人身份证</w:t>
                            </w:r>
                          </w:p>
                          <w:p w14:paraId="385DBB1C">
                            <w:pPr>
                              <w:jc w:val="center"/>
                              <w:rPr>
                                <w:sz w:val="32"/>
                                <w:szCs w:val="32"/>
                              </w:rPr>
                            </w:pPr>
                            <w:r>
                              <w:rPr>
                                <w:rFonts w:hint="eastAsia" w:ascii="仿宋" w:hAnsi="仿宋" w:eastAsia="仿宋"/>
                                <w:sz w:val="36"/>
                                <w:szCs w:val="36"/>
                              </w:rPr>
                              <w:t>（正反面）</w:t>
                            </w:r>
                          </w:p>
                        </w:txbxContent>
                      </wps:txbx>
                      <wps:bodyPr wrap="square" upright="1"/>
                    </wps:wsp>
                  </a:graphicData>
                </a:graphic>
              </wp:anchor>
            </w:drawing>
          </mc:Choice>
          <mc:Fallback>
            <w:pict>
              <v:shape id="_x0000_s1026" o:spid="_x0000_s1026" o:spt="202" type="#_x0000_t202" style="position:absolute;left:0pt;margin-left:-7.3pt;margin-top:9.65pt;height:149.25pt;width:234pt;z-index:251659264;mso-width-relative:page;mso-height-relative:page;" fillcolor="#FFFFFF" filled="t" stroked="t" coordsize="21600,21600" o:gfxdata="UEsDBAoAAAAAAIdO4kAAAAAAAAAAAAAAAAAEAAAAZHJzL1BLAwQUAAAACACHTuJAt6M8UNkAAAAK&#10;AQAADwAAAGRycy9kb3ducmV2LnhtbE2PwU7DMBBE70j8g7VIXFDrhIQ0DXF6QALBDQqCqxtvk4h4&#10;HWw3LX/PcoLjap5m3tabkx3FjD4MjhSkywQEUuvMQJ2Ct9f7RQkiRE1Gj45QwTcG2DTnZ7WujDvS&#10;C87b2AkuoVBpBX2MUyVlaHu0OizdhMTZ3nmrI5++k8brI5fbUV4nSSGtHogXej3hXY/t5/ZgFZT5&#10;4/wRnrLn97bYj+t4tZofvrxSlxdpcgsi4in+wfCrz+rQsNPOHcgEMSpYpHnBKAfrDAQD+U2Wg9gp&#10;yNJVCbKp5f8Xmh9QSwMEFAAAAAgAh07iQLa8j0wcAgAAUwQAAA4AAABkcnMvZTJvRG9jLnhtbK1U&#10;Ta7TMBDeI3EHy3uatGp5bdT0SVDKBgHSgwO4jpNY8h8et0kvADdgxYY95+o5GDt9pe9n0QVZJGPP&#10;529mvhlnedtrRfbCg7SmpONRTokw3FbSNCX9+mXzak4JBGYqpqwRJT0IoLerly+WnSvExLZWVcIT&#10;JDFQdK6kbQiuyDLgrdAMRtYJg87aes0CLn2TVZ51yK5VNsnz11lnfeW85QIAd9eDk54Y/TWEtq4l&#10;F2vLd1qYMLB6oVjAkqCVDugqZVvXgodPdQ0iEFVSrDSkNwZBexvf2WrJisYz10p+SoFdk8KjmjST&#10;BoOeqdYsMLLz8gmVltxbsHUYcauzoZCkCFYxzh9pc9cyJ1ItKDW4s+jw/2j5x/1nT2RV0iklhmls&#10;+PHnj+OvP8ff38k0ytM5KBB15xAX+je2x6G53wfcjFX3tdfxi/UQ9KO4h7O4og+E4+ZkcTOe5+ji&#10;6BvPF7PpzSzyZP+OOw/hvbCaRKOkHruXRGX7DxAG6D0kRgOrZLWRSqWFb7ZvlSd7hp3epOfE/gCm&#10;DOlKuphNZpgIw/GtcWzQ1A4lANOkeA9OwCVxnp7niGNiawbtkEBiiDBWaBmET1YrWPXOVCQcHMps&#10;8HbRmIwWFSVK4GWMVkIGJtU1SNROmRhEpFE/qRQ7NnQmWqHf9kgaza2tDtjFDscdi/22Yx4z2Dkv&#10;mxblTl3NIg5nLfXldC/iMF+u0b78F6z+A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LejPFDZAAAA&#10;CgEAAA8AAAAAAAAAAQAgAAAAIgAAAGRycy9kb3ducmV2LnhtbFBLAQIUABQAAAAIAIdO4kC2vI9M&#10;HAIAAFMEAAAOAAAAAAAAAAEAIAAAACgBAABkcnMvZTJvRG9jLnhtbFBLBQYAAAAABgAGAFkBAAC2&#10;BQAAAAA=&#10;">
                <v:fill on="t" focussize="0,0"/>
                <v:stroke color="#000000" joinstyle="miter"/>
                <v:imagedata o:title=""/>
                <o:lock v:ext="edit" aspectratio="f"/>
                <v:textbox>
                  <w:txbxContent>
                    <w:p w14:paraId="5D02174D">
                      <w:pPr>
                        <w:jc w:val="center"/>
                        <w:rPr>
                          <w:rFonts w:ascii="仿宋" w:hAnsi="仿宋" w:eastAsia="仿宋"/>
                          <w:sz w:val="36"/>
                          <w:szCs w:val="36"/>
                        </w:rPr>
                      </w:pPr>
                    </w:p>
                    <w:p w14:paraId="1AE9933F">
                      <w:pPr>
                        <w:jc w:val="center"/>
                        <w:rPr>
                          <w:rFonts w:ascii="仿宋" w:hAnsi="仿宋" w:eastAsia="仿宋"/>
                          <w:sz w:val="36"/>
                          <w:szCs w:val="36"/>
                        </w:rPr>
                      </w:pPr>
                    </w:p>
                    <w:p w14:paraId="770A7B15">
                      <w:pPr>
                        <w:jc w:val="center"/>
                        <w:rPr>
                          <w:rFonts w:hint="eastAsia" w:ascii="仿宋" w:hAnsi="仿宋" w:eastAsia="仿宋"/>
                          <w:sz w:val="36"/>
                          <w:szCs w:val="36"/>
                        </w:rPr>
                      </w:pPr>
                      <w:r>
                        <w:rPr>
                          <w:rFonts w:hint="eastAsia" w:ascii="仿宋" w:hAnsi="仿宋" w:eastAsia="仿宋"/>
                          <w:sz w:val="36"/>
                          <w:szCs w:val="36"/>
                        </w:rPr>
                        <w:t>法定代表人身份证</w:t>
                      </w:r>
                    </w:p>
                    <w:p w14:paraId="385DBB1C">
                      <w:pPr>
                        <w:jc w:val="center"/>
                        <w:rPr>
                          <w:sz w:val="32"/>
                          <w:szCs w:val="32"/>
                        </w:rPr>
                      </w:pPr>
                      <w:r>
                        <w:rPr>
                          <w:rFonts w:hint="eastAsia" w:ascii="仿宋" w:hAnsi="仿宋" w:eastAsia="仿宋"/>
                          <w:sz w:val="36"/>
                          <w:szCs w:val="36"/>
                        </w:rPr>
                        <w:t>（正反面）</w:t>
                      </w:r>
                    </w:p>
                  </w:txbxContent>
                </v:textbox>
              </v:shape>
            </w:pict>
          </mc:Fallback>
        </mc:AlternateContent>
      </w:r>
      <w:r>
        <w:rPr>
          <w:rFonts w:hint="eastAsia" w:ascii="仿宋_GB2312" w:hAnsi="仿宋_GB2312" w:eastAsia="仿宋_GB2312" w:cs="仿宋_GB2312"/>
          <w:color w:val="auto"/>
          <w:sz w:val="32"/>
          <w:szCs w:val="32"/>
        </w:rPr>
        <mc:AlternateContent>
          <mc:Choice Requires="wps">
            <w:drawing>
              <wp:anchor distT="0" distB="0" distL="114300" distR="114300" simplePos="0" relativeHeight="251660288" behindDoc="0" locked="0" layoutInCell="1" allowOverlap="1">
                <wp:simplePos x="0" y="0"/>
                <wp:positionH relativeFrom="column">
                  <wp:posOffset>3107690</wp:posOffset>
                </wp:positionH>
                <wp:positionV relativeFrom="paragraph">
                  <wp:posOffset>122555</wp:posOffset>
                </wp:positionV>
                <wp:extent cx="2971800" cy="1895475"/>
                <wp:effectExtent l="4445" t="4445" r="8255" b="5080"/>
                <wp:wrapNone/>
                <wp:docPr id="1" name="文本框 1"/>
                <wp:cNvGraphicFramePr/>
                <a:graphic xmlns:a="http://schemas.openxmlformats.org/drawingml/2006/main">
                  <a:graphicData uri="http://schemas.microsoft.com/office/word/2010/wordprocessingShape">
                    <wps:wsp>
                      <wps:cNvSpPr txBox="1"/>
                      <wps:spPr>
                        <a:xfrm>
                          <a:off x="0" y="0"/>
                          <a:ext cx="2971800" cy="189547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646F952C">
                            <w:pPr>
                              <w:jc w:val="center"/>
                              <w:rPr>
                                <w:rFonts w:ascii="仿宋" w:hAnsi="仿宋" w:eastAsia="仿宋"/>
                                <w:sz w:val="36"/>
                                <w:szCs w:val="36"/>
                              </w:rPr>
                            </w:pPr>
                          </w:p>
                          <w:p w14:paraId="689EA0BA">
                            <w:pPr>
                              <w:jc w:val="center"/>
                              <w:rPr>
                                <w:rFonts w:ascii="仿宋" w:hAnsi="仿宋" w:eastAsia="仿宋"/>
                                <w:sz w:val="36"/>
                                <w:szCs w:val="36"/>
                              </w:rPr>
                            </w:pPr>
                          </w:p>
                          <w:p w14:paraId="78D6EF66">
                            <w:pPr>
                              <w:jc w:val="center"/>
                              <w:rPr>
                                <w:rFonts w:hint="eastAsia" w:ascii="仿宋" w:hAnsi="仿宋" w:eastAsia="仿宋"/>
                                <w:sz w:val="36"/>
                                <w:szCs w:val="36"/>
                              </w:rPr>
                            </w:pPr>
                            <w:r>
                              <w:rPr>
                                <w:rFonts w:hint="eastAsia" w:ascii="仿宋" w:hAnsi="仿宋" w:eastAsia="仿宋"/>
                                <w:sz w:val="36"/>
                                <w:szCs w:val="36"/>
                              </w:rPr>
                              <w:t>代理人身份证</w:t>
                            </w:r>
                          </w:p>
                          <w:p w14:paraId="64CE3F63">
                            <w:pPr>
                              <w:jc w:val="center"/>
                              <w:rPr>
                                <w:rFonts w:ascii="仿宋" w:hAnsi="仿宋" w:eastAsia="仿宋"/>
                                <w:sz w:val="36"/>
                                <w:szCs w:val="36"/>
                              </w:rPr>
                            </w:pPr>
                            <w:r>
                              <w:rPr>
                                <w:rFonts w:hint="eastAsia" w:ascii="仿宋" w:hAnsi="仿宋" w:eastAsia="仿宋"/>
                                <w:sz w:val="36"/>
                                <w:szCs w:val="36"/>
                              </w:rPr>
                              <w:t>（正反面）</w:t>
                            </w:r>
                          </w:p>
                        </w:txbxContent>
                      </wps:txbx>
                      <wps:bodyPr wrap="square" upright="1"/>
                    </wps:wsp>
                  </a:graphicData>
                </a:graphic>
              </wp:anchor>
            </w:drawing>
          </mc:Choice>
          <mc:Fallback>
            <w:pict>
              <v:shape id="_x0000_s1026" o:spid="_x0000_s1026" o:spt="202" type="#_x0000_t202" style="position:absolute;left:0pt;margin-left:244.7pt;margin-top:9.65pt;height:149.25pt;width:234pt;z-index:251660288;mso-width-relative:page;mso-height-relative:page;" fillcolor="#FFFFFF" filled="t" stroked="t" coordsize="21600,21600" o:gfxdata="UEsDBAoAAAAAAIdO4kAAAAAAAAAAAAAAAAAEAAAAZHJzL1BLAwQUAAAACACHTuJA1qiYONkAAAAK&#10;AQAADwAAAGRycy9kb3ducmV2LnhtbE2Py07DMBBF90j8gzVIbBB1QkLzIE4XSCDYlVKVrRu7SYQ9&#10;Drablr9nWMFy5h7dOdOsztawWfswOhSQLhJgGjunRuwFbN+fbktgIUpU0jjUAr51gFV7edHIWrkT&#10;vul5E3tGJRhqKWCIcao5D92grQwLN2mk7OC8lZFG33Pl5YnKreF3SbLkVo5IFwY56cdBd5+boxVQ&#10;5i/zR3jN1rtueTBVvCnm5y8vxPVVmjwAi/oc/2D41Sd1aMlp746oAjMC8rLKCaWgyoARUN0XtNgL&#10;yNKiBN42/P8L7Q9QSwMEFAAAAAgAh07iQPlE8L4bAgAAUwQAAA4AAABkcnMvZTJvRG9jLnhtbK1U&#10;zY7TMBC+I/EOlu80aUXZNmq6EpRyQYC08ACu4ySW/IfHbdIXgDfgxIU7z9XnYOyEbneXQw/kkIw9&#10;n7+Z+Wac1W2vFTkID9Kakk4nOSXCcFtJ05T0y+ftiwUlEJipmLJGlPQogN6unz9bda4QM9taVQlP&#10;kMRA0bmStiG4IsuAt0IzmFgnDDpr6zULuPRNVnnWIbtW2SzPX2Wd9ZXzlgsA3N0MTjoy+msIbV1L&#10;LjaW77UwYWD1QrGAJUErHdB1yrauBQ8f6xpEIKqkWGlIbwyC9i6+s/WKFY1nrpV8TIFdk8KjmjST&#10;BoOeqTYsMLL38gmVltxbsHWYcKuzoZCkCFYxzR9pc9cyJ1ItKDW4s+jw/2j5h8MnT2SFk0CJYRob&#10;fvrx/fTz9+nXNzKN8nQOCkTdOcSF/rXtI3TcB9yMVfe11/GL9RD0o7jHs7iiD4Tj5mx5M13k6OLo&#10;my6W85c388iT3R93HsI7YTWJRkk9di+Jyg7vIQzQv5AYDayS1VYqlRa+2b1RnhwYdnqbnpH9AUwZ&#10;0pV0OZ/NMRGG41vj2KCpHUoApknxHpyAS+I8Pf8ijoltGLRDAokhwlihZRA+Wa1g1VtTkXB0KLPB&#10;20VjMlpUlCiBlzFaCRmYVNcgUTtlYhCRRn1UKXZs6Ey0Qr/rkTSaO1sdsYsdjjsW+3XPPGawd142&#10;LcqduppFHM5a6st4L+IwX67RvvwXrP8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1qiYONkAAAAK&#10;AQAADwAAAAAAAAABACAAAAAiAAAAZHJzL2Rvd25yZXYueG1sUEsBAhQAFAAAAAgAh07iQPlE8L4b&#10;AgAAUwQAAA4AAAAAAAAAAQAgAAAAKAEAAGRycy9lMm9Eb2MueG1sUEsFBgAAAAAGAAYAWQEAALUF&#10;AAAAAA==&#10;">
                <v:fill on="t" focussize="0,0"/>
                <v:stroke color="#000000" joinstyle="miter"/>
                <v:imagedata o:title=""/>
                <o:lock v:ext="edit" aspectratio="f"/>
                <v:textbox>
                  <w:txbxContent>
                    <w:p w14:paraId="646F952C">
                      <w:pPr>
                        <w:jc w:val="center"/>
                        <w:rPr>
                          <w:rFonts w:ascii="仿宋" w:hAnsi="仿宋" w:eastAsia="仿宋"/>
                          <w:sz w:val="36"/>
                          <w:szCs w:val="36"/>
                        </w:rPr>
                      </w:pPr>
                    </w:p>
                    <w:p w14:paraId="689EA0BA">
                      <w:pPr>
                        <w:jc w:val="center"/>
                        <w:rPr>
                          <w:rFonts w:ascii="仿宋" w:hAnsi="仿宋" w:eastAsia="仿宋"/>
                          <w:sz w:val="36"/>
                          <w:szCs w:val="36"/>
                        </w:rPr>
                      </w:pPr>
                    </w:p>
                    <w:p w14:paraId="78D6EF66">
                      <w:pPr>
                        <w:jc w:val="center"/>
                        <w:rPr>
                          <w:rFonts w:hint="eastAsia" w:ascii="仿宋" w:hAnsi="仿宋" w:eastAsia="仿宋"/>
                          <w:sz w:val="36"/>
                          <w:szCs w:val="36"/>
                        </w:rPr>
                      </w:pPr>
                      <w:r>
                        <w:rPr>
                          <w:rFonts w:hint="eastAsia" w:ascii="仿宋" w:hAnsi="仿宋" w:eastAsia="仿宋"/>
                          <w:sz w:val="36"/>
                          <w:szCs w:val="36"/>
                        </w:rPr>
                        <w:t>代理人身份证</w:t>
                      </w:r>
                    </w:p>
                    <w:p w14:paraId="64CE3F63">
                      <w:pPr>
                        <w:jc w:val="center"/>
                        <w:rPr>
                          <w:rFonts w:ascii="仿宋" w:hAnsi="仿宋" w:eastAsia="仿宋"/>
                          <w:sz w:val="36"/>
                          <w:szCs w:val="36"/>
                        </w:rPr>
                      </w:pPr>
                      <w:r>
                        <w:rPr>
                          <w:rFonts w:hint="eastAsia" w:ascii="仿宋" w:hAnsi="仿宋" w:eastAsia="仿宋"/>
                          <w:sz w:val="36"/>
                          <w:szCs w:val="36"/>
                        </w:rPr>
                        <w:t>（正反面）</w:t>
                      </w:r>
                    </w:p>
                  </w:txbxContent>
                </v:textbox>
              </v:shape>
            </w:pict>
          </mc:Fallback>
        </mc:AlternateContent>
      </w:r>
    </w:p>
    <w:p w14:paraId="690803C5">
      <w:pPr>
        <w:spacing w:line="360" w:lineRule="auto"/>
        <w:rPr>
          <w:rFonts w:hint="eastAsia" w:ascii="仿宋_GB2312" w:hAnsi="仿宋_GB2312" w:eastAsia="仿宋_GB2312" w:cs="仿宋_GB2312"/>
          <w:bCs/>
          <w:color w:val="auto"/>
          <w:sz w:val="32"/>
          <w:szCs w:val="32"/>
        </w:rPr>
      </w:pPr>
    </w:p>
    <w:p w14:paraId="588EE94F">
      <w:pPr>
        <w:spacing w:line="360" w:lineRule="auto"/>
        <w:rPr>
          <w:rFonts w:hint="eastAsia" w:ascii="仿宋_GB2312" w:hAnsi="仿宋_GB2312" w:eastAsia="仿宋_GB2312" w:cs="仿宋_GB2312"/>
          <w:bCs/>
          <w:color w:val="auto"/>
          <w:sz w:val="32"/>
          <w:szCs w:val="32"/>
        </w:rPr>
      </w:pPr>
    </w:p>
    <w:p w14:paraId="62B843BD">
      <w:pPr>
        <w:spacing w:line="360" w:lineRule="auto"/>
        <w:rPr>
          <w:rFonts w:hint="eastAsia" w:ascii="仿宋_GB2312" w:hAnsi="仿宋_GB2312" w:eastAsia="仿宋_GB2312" w:cs="仿宋_GB2312"/>
          <w:bCs/>
          <w:color w:val="auto"/>
          <w:sz w:val="32"/>
          <w:szCs w:val="32"/>
        </w:rPr>
      </w:pPr>
    </w:p>
    <w:p w14:paraId="3DDD5643">
      <w:pPr>
        <w:spacing w:line="360" w:lineRule="auto"/>
        <w:rPr>
          <w:rFonts w:hint="eastAsia" w:ascii="仿宋_GB2312" w:hAnsi="仿宋_GB2312" w:eastAsia="仿宋_GB2312" w:cs="仿宋_GB2312"/>
          <w:bCs/>
          <w:color w:val="auto"/>
          <w:sz w:val="32"/>
          <w:szCs w:val="32"/>
        </w:rPr>
      </w:pPr>
    </w:p>
    <w:p w14:paraId="1DE4175E">
      <w:pPr>
        <w:spacing w:line="360" w:lineRule="auto"/>
        <w:rPr>
          <w:rFonts w:hint="eastAsia" w:ascii="仿宋_GB2312" w:hAnsi="仿宋_GB2312" w:eastAsia="仿宋_GB2312" w:cs="仿宋_GB2312"/>
          <w:bCs/>
          <w:color w:val="auto"/>
          <w:sz w:val="32"/>
          <w:szCs w:val="32"/>
        </w:rPr>
      </w:pPr>
    </w:p>
    <w:p w14:paraId="2197D864">
      <w:pPr>
        <w:pStyle w:val="19"/>
        <w:spacing w:line="360" w:lineRule="auto"/>
        <w:ind w:left="1620" w:hanging="420"/>
        <w:rPr>
          <w:rFonts w:hint="eastAsia" w:ascii="仿宋_GB2312" w:hAnsi="仿宋_GB2312" w:eastAsia="仿宋_GB2312" w:cs="仿宋_GB2312"/>
          <w:color w:val="auto"/>
          <w:sz w:val="32"/>
          <w:szCs w:val="32"/>
        </w:rPr>
      </w:pPr>
    </w:p>
    <w:p w14:paraId="6138D9EC">
      <w:pPr>
        <w:spacing w:line="360"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投  标  人：</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（盖章）</w:t>
      </w:r>
    </w:p>
    <w:p w14:paraId="729D1149">
      <w:pPr>
        <w:spacing w:line="360" w:lineRule="auto"/>
        <w:ind w:firstLine="640" w:firstLineChars="200"/>
        <w:rPr>
          <w:rFonts w:hint="eastAsia" w:ascii="仿宋_GB2312" w:hAnsi="仿宋_GB2312" w:eastAsia="仿宋_GB2312" w:cs="仿宋_GB2312"/>
          <w:color w:val="auto"/>
          <w:sz w:val="32"/>
          <w:szCs w:val="32"/>
        </w:rPr>
      </w:pPr>
    </w:p>
    <w:p w14:paraId="425A38B7">
      <w:pPr>
        <w:spacing w:line="360"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法定代表人或其委托代理人：</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（签字或盖章）</w:t>
      </w:r>
    </w:p>
    <w:p w14:paraId="1B3D0911">
      <w:pPr>
        <w:pStyle w:val="19"/>
        <w:spacing w:line="360" w:lineRule="auto"/>
        <w:rPr>
          <w:rFonts w:hint="eastAsia" w:ascii="仿宋_GB2312" w:hAnsi="仿宋_GB2312" w:eastAsia="仿宋_GB2312" w:cs="仿宋_GB2312"/>
          <w:b/>
          <w:bCs/>
          <w:color w:val="auto"/>
          <w:sz w:val="32"/>
          <w:szCs w:val="32"/>
        </w:rPr>
      </w:pPr>
    </w:p>
    <w:p w14:paraId="5B1B3C5A">
      <w:pPr>
        <w:pStyle w:val="19"/>
        <w:spacing w:line="360" w:lineRule="auto"/>
        <w:rPr>
          <w:rFonts w:hint="eastAsia" w:ascii="仿宋_GB2312" w:hAnsi="仿宋_GB2312" w:eastAsia="仿宋_GB2312" w:cs="仿宋_GB2312"/>
          <w:b/>
          <w:bCs/>
          <w:color w:val="auto"/>
          <w:sz w:val="32"/>
          <w:szCs w:val="32"/>
        </w:rPr>
      </w:pPr>
    </w:p>
    <w:p w14:paraId="3BD9E02B">
      <w:pPr>
        <w:pStyle w:val="75"/>
        <w:spacing w:line="360" w:lineRule="auto"/>
        <w:ind w:firstLine="643"/>
        <w:jc w:val="center"/>
        <w:rPr>
          <w:rFonts w:hint="eastAsia" w:hAnsi="仿宋_GB2312" w:cs="仿宋_GB2312"/>
          <w:color w:val="auto"/>
          <w:sz w:val="32"/>
          <w:szCs w:val="32"/>
        </w:rPr>
      </w:pPr>
      <w:bookmarkStart w:id="314" w:name="_Toc17805"/>
      <w:bookmarkStart w:id="315" w:name="_Toc9258"/>
      <w:bookmarkStart w:id="316" w:name="_Toc50459038"/>
      <w:bookmarkStart w:id="317" w:name="_Toc28582"/>
      <w:r>
        <w:rPr>
          <w:rStyle w:val="53"/>
          <w:rFonts w:hint="eastAsia" w:hAnsi="仿宋_GB2312" w:cs="仿宋_GB2312"/>
          <w:bCs w:val="0"/>
          <w:color w:val="auto"/>
        </w:rPr>
        <w:t>6</w:t>
      </w:r>
      <w:r>
        <w:rPr>
          <w:rStyle w:val="53"/>
          <w:rFonts w:hint="eastAsia" w:hAnsi="仿宋_GB2312" w:eastAsia="仿宋_GB2312" w:cs="仿宋_GB2312"/>
          <w:bCs w:val="0"/>
          <w:color w:val="auto"/>
        </w:rPr>
        <w:t>、</w:t>
      </w:r>
      <w:bookmarkEnd w:id="314"/>
      <w:bookmarkEnd w:id="315"/>
      <w:bookmarkEnd w:id="316"/>
      <w:bookmarkEnd w:id="317"/>
      <w:r>
        <w:rPr>
          <w:rFonts w:hint="eastAsia" w:hAnsi="仿宋_GB2312" w:cs="仿宋_GB2312"/>
          <w:b/>
          <w:color w:val="auto"/>
          <w:sz w:val="32"/>
          <w:szCs w:val="32"/>
        </w:rPr>
        <w:t>投标保证金打款凭证或投标保函</w:t>
      </w:r>
    </w:p>
    <w:p w14:paraId="05E537B1">
      <w:pPr>
        <w:spacing w:line="360" w:lineRule="auto"/>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新疆金斌工程项目管理有限公司：</w:t>
      </w:r>
    </w:p>
    <w:p w14:paraId="5040958C">
      <w:pPr>
        <w:spacing w:line="360" w:lineRule="auto"/>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本单位已按</w:t>
      </w:r>
      <w:r>
        <w:rPr>
          <w:rFonts w:hint="eastAsia" w:ascii="仿宋_GB2312" w:hAnsi="仿宋_GB2312" w:eastAsia="仿宋_GB2312" w:cs="仿宋_GB2312"/>
          <w:color w:val="auto"/>
          <w:sz w:val="32"/>
          <w:szCs w:val="32"/>
          <w:u w:val="single"/>
        </w:rPr>
        <w:tab/>
      </w:r>
      <w:r>
        <w:rPr>
          <w:rFonts w:hint="eastAsia" w:ascii="仿宋_GB2312" w:hAnsi="仿宋_GB2312" w:eastAsia="仿宋_GB2312" w:cs="仿宋_GB2312"/>
          <w:color w:val="auto"/>
          <w:sz w:val="32"/>
          <w:szCs w:val="32"/>
          <w:u w:val="single"/>
        </w:rPr>
        <w:t>（项目名称）</w:t>
      </w:r>
      <w:r>
        <w:rPr>
          <w:rFonts w:hint="eastAsia" w:ascii="仿宋_GB2312" w:hAnsi="仿宋_GB2312" w:eastAsia="仿宋_GB2312" w:cs="仿宋_GB2312"/>
          <w:color w:val="auto"/>
          <w:sz w:val="32"/>
          <w:szCs w:val="32"/>
          <w:u w:val="single"/>
        </w:rPr>
        <w:tab/>
      </w:r>
      <w:r>
        <w:rPr>
          <w:rFonts w:hint="eastAsia" w:ascii="仿宋_GB2312" w:hAnsi="仿宋_GB2312" w:eastAsia="仿宋_GB2312" w:cs="仿宋_GB2312"/>
          <w:color w:val="auto"/>
          <w:sz w:val="32"/>
          <w:szCs w:val="32"/>
        </w:rPr>
        <w:t>（采购编号：</w:t>
      </w:r>
      <w:r>
        <w:rPr>
          <w:rFonts w:hint="eastAsia" w:ascii="仿宋_GB2312" w:hAnsi="仿宋_GB2312" w:eastAsia="仿宋_GB2312" w:cs="仿宋_GB2312"/>
          <w:color w:val="auto"/>
          <w:sz w:val="32"/>
          <w:szCs w:val="32"/>
          <w:u w:val="single"/>
        </w:rPr>
        <w:tab/>
      </w:r>
      <w:r>
        <w:rPr>
          <w:rFonts w:hint="eastAsia" w:ascii="仿宋_GB2312" w:hAnsi="仿宋_GB2312" w:eastAsia="仿宋_GB2312" w:cs="仿宋_GB2312"/>
          <w:color w:val="auto"/>
          <w:sz w:val="32"/>
          <w:szCs w:val="32"/>
        </w:rPr>
        <w:t>）的招标文件要求，于年月日前以</w:t>
      </w:r>
      <w:r>
        <w:rPr>
          <w:rFonts w:hint="eastAsia" w:ascii="仿宋_GB2312" w:hAnsi="仿宋_GB2312" w:eastAsia="仿宋_GB2312" w:cs="仿宋_GB2312"/>
          <w:color w:val="auto"/>
          <w:sz w:val="32"/>
          <w:szCs w:val="32"/>
          <w:u w:val="single"/>
        </w:rPr>
        <w:t xml:space="preserve">  （付款形式 ）</w:t>
      </w:r>
      <w:r>
        <w:rPr>
          <w:rFonts w:hint="eastAsia" w:ascii="仿宋_GB2312" w:hAnsi="仿宋_GB2312" w:eastAsia="仿宋_GB2312" w:cs="仿宋_GB2312"/>
          <w:color w:val="auto"/>
          <w:sz w:val="32"/>
          <w:szCs w:val="32"/>
        </w:rPr>
        <w:t>方式汇入指定账户（账户名称：,账号,开户银行：。</w:t>
      </w:r>
    </w:p>
    <w:p w14:paraId="44B79F8E">
      <w:pPr>
        <w:spacing w:line="360" w:lineRule="auto"/>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投标单位投标保证金的汇款情况：（详见附件一投标保证金进账单）</w:t>
      </w:r>
    </w:p>
    <w:p w14:paraId="4E55D330">
      <w:pPr>
        <w:spacing w:line="360" w:lineRule="auto"/>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汇出时间：年月日：</w:t>
      </w:r>
    </w:p>
    <w:p w14:paraId="6B328A8D">
      <w:pPr>
        <w:spacing w:line="360" w:lineRule="auto"/>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汇款金额：（大写）人民币</w:t>
      </w:r>
      <w:r>
        <w:rPr>
          <w:rFonts w:hint="eastAsia" w:ascii="仿宋_GB2312" w:hAnsi="仿宋_GB2312" w:eastAsia="仿宋_GB2312" w:cs="仿宋_GB2312"/>
          <w:color w:val="auto"/>
          <w:sz w:val="32"/>
          <w:szCs w:val="32"/>
          <w:u w:val="single"/>
        </w:rPr>
        <w:tab/>
      </w:r>
      <w:r>
        <w:rPr>
          <w:rFonts w:hint="eastAsia" w:ascii="仿宋_GB2312" w:hAnsi="仿宋_GB2312" w:eastAsia="仿宋_GB2312" w:cs="仿宋_GB2312"/>
          <w:color w:val="auto"/>
          <w:sz w:val="32"/>
          <w:szCs w:val="32"/>
        </w:rPr>
        <w:t>元整</w:t>
      </w:r>
    </w:p>
    <w:p w14:paraId="2FA9EF78">
      <w:pPr>
        <w:spacing w:line="360" w:lineRule="auto"/>
        <w:ind w:firstLine="2240" w:firstLineChars="7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（小写：¥元）</w:t>
      </w:r>
    </w:p>
    <w:p w14:paraId="5BCE1F34">
      <w:pPr>
        <w:spacing w:line="360" w:lineRule="auto"/>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汇款账户名称：</w:t>
      </w:r>
      <w:r>
        <w:rPr>
          <w:rFonts w:hint="eastAsia" w:ascii="仿宋_GB2312" w:hAnsi="仿宋_GB2312" w:eastAsia="仿宋_GB2312" w:cs="仿宋_GB2312"/>
          <w:color w:val="auto"/>
          <w:sz w:val="32"/>
          <w:szCs w:val="32"/>
          <w:u w:val="single"/>
        </w:rPr>
        <w:tab/>
      </w:r>
      <w:r>
        <w:rPr>
          <w:rFonts w:hint="eastAsia" w:ascii="仿宋_GB2312" w:hAnsi="仿宋_GB2312" w:eastAsia="仿宋_GB2312" w:cs="仿宋_GB2312"/>
          <w:color w:val="auto"/>
          <w:sz w:val="32"/>
          <w:szCs w:val="32"/>
          <w:u w:val="single"/>
        </w:rPr>
        <w:t>（必须是投标时使用的单位名称）</w:t>
      </w:r>
    </w:p>
    <w:p w14:paraId="0FB13983">
      <w:pPr>
        <w:spacing w:line="360" w:lineRule="auto"/>
        <w:ind w:firstLine="640" w:firstLineChars="200"/>
        <w:jc w:val="left"/>
        <w:rPr>
          <w:rFonts w:hint="eastAsia" w:ascii="仿宋_GB2312" w:hAnsi="仿宋_GB2312" w:eastAsia="仿宋_GB2312" w:cs="仿宋_GB2312"/>
          <w:color w:val="auto"/>
          <w:sz w:val="32"/>
          <w:szCs w:val="32"/>
          <w:u w:val="single"/>
        </w:rPr>
      </w:pPr>
      <w:r>
        <w:rPr>
          <w:rFonts w:hint="eastAsia" w:ascii="仿宋_GB2312" w:hAnsi="仿宋_GB2312" w:eastAsia="仿宋_GB2312" w:cs="仿宋_GB2312"/>
          <w:color w:val="auto"/>
          <w:sz w:val="32"/>
          <w:szCs w:val="32"/>
        </w:rPr>
        <w:t>帐号：</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u w:val="single"/>
        </w:rPr>
        <w:t>（必须是投标时使用的账号）</w:t>
      </w:r>
    </w:p>
    <w:p w14:paraId="4CDAB28E">
      <w:pPr>
        <w:spacing w:line="360" w:lineRule="auto"/>
        <w:ind w:firstLine="640" w:firstLineChars="200"/>
        <w:jc w:val="left"/>
        <w:rPr>
          <w:rFonts w:hint="eastAsia" w:ascii="仿宋_GB2312" w:hAnsi="仿宋_GB2312" w:eastAsia="仿宋_GB2312" w:cs="仿宋_GB2312"/>
          <w:color w:val="auto"/>
          <w:sz w:val="32"/>
          <w:szCs w:val="32"/>
          <w:u w:val="single"/>
        </w:rPr>
      </w:pPr>
      <w:r>
        <w:rPr>
          <w:rFonts w:hint="eastAsia" w:ascii="仿宋_GB2312" w:hAnsi="仿宋_GB2312" w:eastAsia="仿宋_GB2312" w:cs="仿宋_GB2312"/>
          <w:color w:val="auto"/>
          <w:sz w:val="32"/>
          <w:szCs w:val="32"/>
        </w:rPr>
        <w:t>开户银行：</w:t>
      </w:r>
      <w:r>
        <w:rPr>
          <w:rFonts w:hint="eastAsia" w:ascii="仿宋_GB2312" w:hAnsi="仿宋_GB2312" w:eastAsia="仿宋_GB2312" w:cs="仿宋_GB2312"/>
          <w:color w:val="auto"/>
          <w:sz w:val="32"/>
          <w:szCs w:val="32"/>
          <w:u w:val="single"/>
        </w:rPr>
        <w:t>（银行省市分行/支行）</w:t>
      </w:r>
    </w:p>
    <w:p w14:paraId="06381D03">
      <w:pPr>
        <w:spacing w:line="360" w:lineRule="auto"/>
        <w:ind w:firstLine="640" w:firstLineChars="200"/>
        <w:jc w:val="left"/>
        <w:rPr>
          <w:rFonts w:hint="eastAsia" w:ascii="仿宋_GB2312" w:hAnsi="仿宋_GB2312" w:eastAsia="仿宋_GB2312" w:cs="仿宋_GB2312"/>
          <w:color w:val="auto"/>
          <w:sz w:val="32"/>
          <w:szCs w:val="32"/>
          <w:u w:val="single"/>
        </w:rPr>
      </w:pPr>
      <w:r>
        <w:rPr>
          <w:rFonts w:hint="eastAsia" w:ascii="仿宋_GB2312" w:hAnsi="仿宋_GB2312" w:eastAsia="仿宋_GB2312" w:cs="仿宋_GB2312"/>
          <w:color w:val="auto"/>
          <w:sz w:val="32"/>
          <w:szCs w:val="32"/>
        </w:rPr>
        <w:t xml:space="preserve"> 行 号:</w:t>
      </w:r>
      <w:r>
        <w:rPr>
          <w:rFonts w:hint="eastAsia" w:ascii="仿宋_GB2312" w:hAnsi="仿宋_GB2312" w:eastAsia="仿宋_GB2312" w:cs="仿宋_GB2312"/>
          <w:bCs/>
          <w:color w:val="auto"/>
          <w:sz w:val="32"/>
          <w:szCs w:val="32"/>
          <w:u w:val="single"/>
        </w:rPr>
        <w:t xml:space="preserve">                         </w:t>
      </w:r>
      <w:r>
        <w:rPr>
          <w:rFonts w:hint="eastAsia" w:ascii="仿宋_GB2312" w:hAnsi="仿宋_GB2312" w:eastAsia="仿宋_GB2312" w:cs="仿宋_GB2312"/>
          <w:color w:val="auto"/>
          <w:sz w:val="32"/>
          <w:szCs w:val="32"/>
        </w:rPr>
        <w:t xml:space="preserve">   </w:t>
      </w:r>
    </w:p>
    <w:p w14:paraId="69F67C15">
      <w:pPr>
        <w:spacing w:line="360" w:lineRule="auto"/>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本单位谨承诺上述资料是正确、真实的，如因上述证明与事实不符导致的一切损失，本单位保证承担赔偿等一切法律责任。</w:t>
      </w:r>
    </w:p>
    <w:p w14:paraId="257D6CA7">
      <w:pPr>
        <w:spacing w:line="360" w:lineRule="auto"/>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投标保证金退回时，请按上述资料退回。</w:t>
      </w:r>
    </w:p>
    <w:p w14:paraId="06AA6D90">
      <w:pPr>
        <w:spacing w:line="360" w:lineRule="auto"/>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（单位公章）</w:t>
      </w:r>
    </w:p>
    <w:p w14:paraId="31D27AAF">
      <w:pPr>
        <w:spacing w:line="360" w:lineRule="auto"/>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年月日</w:t>
      </w:r>
    </w:p>
    <w:p w14:paraId="74CD8B88">
      <w:pPr>
        <w:spacing w:line="360" w:lineRule="auto"/>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单位名称：</w:t>
      </w:r>
    </w:p>
    <w:p w14:paraId="52BFFE4F">
      <w:pPr>
        <w:spacing w:line="360" w:lineRule="auto"/>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联系人：</w:t>
      </w:r>
    </w:p>
    <w:p w14:paraId="2E0CF926">
      <w:pPr>
        <w:spacing w:line="360" w:lineRule="auto"/>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单位电话：</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tab/>
      </w:r>
    </w:p>
    <w:p w14:paraId="705A2B51">
      <w:pPr>
        <w:pStyle w:val="3"/>
        <w:spacing w:line="360" w:lineRule="auto"/>
        <w:jc w:val="center"/>
        <w:rPr>
          <w:rStyle w:val="53"/>
          <w:rFonts w:hint="eastAsia" w:ascii="仿宋_GB2312" w:hAnsi="仿宋_GB2312" w:eastAsia="仿宋_GB2312" w:cs="仿宋_GB2312"/>
          <w:b/>
          <w:bCs w:val="0"/>
          <w:color w:val="auto"/>
        </w:rPr>
      </w:pPr>
      <w:bookmarkStart w:id="318" w:name="_Toc8056"/>
      <w:r>
        <w:rPr>
          <w:rStyle w:val="53"/>
          <w:rFonts w:hint="eastAsia" w:ascii="仿宋_GB2312" w:hAnsi="仿宋_GB2312" w:eastAsia="仿宋_GB2312" w:cs="仿宋_GB2312"/>
          <w:b/>
          <w:bCs w:val="0"/>
          <w:color w:val="auto"/>
        </w:rPr>
        <w:t>7、技术条件响应/偏离表</w:t>
      </w:r>
      <w:bookmarkEnd w:id="318"/>
    </w:p>
    <w:p w14:paraId="7B9F002C">
      <w:pPr>
        <w:spacing w:after="120" w:afterLines="50" w:line="360" w:lineRule="auto"/>
        <w:rPr>
          <w:rFonts w:hint="eastAsia" w:ascii="仿宋_GB2312" w:hAnsi="仿宋_GB2312" w:eastAsia="仿宋_GB2312" w:cs="仿宋_GB2312"/>
          <w:color w:val="auto"/>
          <w:sz w:val="32"/>
          <w:szCs w:val="32"/>
          <w:u w:val="single"/>
        </w:rPr>
      </w:pPr>
      <w:r>
        <w:rPr>
          <w:rFonts w:hint="eastAsia" w:ascii="仿宋_GB2312" w:hAnsi="仿宋_GB2312" w:eastAsia="仿宋_GB2312" w:cs="仿宋_GB2312"/>
          <w:color w:val="auto"/>
          <w:sz w:val="32"/>
          <w:szCs w:val="32"/>
        </w:rPr>
        <w:t>投标人名称（公章）：</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招标文件编号：</w:t>
      </w:r>
      <w:r>
        <w:rPr>
          <w:rFonts w:hint="eastAsia" w:ascii="仿宋_GB2312" w:hAnsi="仿宋_GB2312" w:eastAsia="仿宋_GB2312" w:cs="仿宋_GB2312"/>
          <w:color w:val="auto"/>
          <w:sz w:val="32"/>
          <w:szCs w:val="32"/>
          <w:u w:val="single"/>
        </w:rPr>
        <w:t>　　　　　　　　　　</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2037"/>
        <w:gridCol w:w="2279"/>
        <w:gridCol w:w="2167"/>
        <w:gridCol w:w="2279"/>
      </w:tblGrid>
      <w:tr w14:paraId="259D5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815" w:type="dxa"/>
            <w:noWrap w:val="0"/>
            <w:vAlign w:val="center"/>
          </w:tcPr>
          <w:p w14:paraId="3205B910">
            <w:pPr>
              <w:spacing w:line="360" w:lineRule="auto"/>
              <w:ind w:right="105" w:rightChars="50"/>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序号</w:t>
            </w:r>
          </w:p>
        </w:tc>
        <w:tc>
          <w:tcPr>
            <w:tcW w:w="2037" w:type="dxa"/>
            <w:noWrap w:val="0"/>
            <w:vAlign w:val="center"/>
          </w:tcPr>
          <w:p w14:paraId="12801E7B">
            <w:pPr>
              <w:spacing w:line="360" w:lineRule="auto"/>
              <w:ind w:right="105" w:rightChars="50"/>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产品名称</w:t>
            </w:r>
          </w:p>
        </w:tc>
        <w:tc>
          <w:tcPr>
            <w:tcW w:w="2279" w:type="dxa"/>
            <w:noWrap w:val="0"/>
            <w:vAlign w:val="center"/>
          </w:tcPr>
          <w:p w14:paraId="752EEE96">
            <w:pPr>
              <w:spacing w:line="360" w:lineRule="auto"/>
              <w:ind w:right="105" w:rightChars="50"/>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招标文件要求</w:t>
            </w:r>
          </w:p>
        </w:tc>
        <w:tc>
          <w:tcPr>
            <w:tcW w:w="2167" w:type="dxa"/>
            <w:noWrap w:val="0"/>
            <w:vAlign w:val="center"/>
          </w:tcPr>
          <w:p w14:paraId="3E1298EE">
            <w:pPr>
              <w:spacing w:line="360" w:lineRule="auto"/>
              <w:ind w:right="105" w:rightChars="50"/>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投标响应</w:t>
            </w:r>
          </w:p>
        </w:tc>
        <w:tc>
          <w:tcPr>
            <w:tcW w:w="2279" w:type="dxa"/>
            <w:noWrap w:val="0"/>
            <w:vAlign w:val="center"/>
          </w:tcPr>
          <w:p w14:paraId="6EAD4577">
            <w:pPr>
              <w:spacing w:line="360" w:lineRule="auto"/>
              <w:ind w:right="105" w:rightChars="50"/>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偏离对货物或服务的影响</w:t>
            </w:r>
          </w:p>
        </w:tc>
      </w:tr>
      <w:tr w14:paraId="6C50B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15" w:type="dxa"/>
            <w:noWrap w:val="0"/>
            <w:vAlign w:val="top"/>
          </w:tcPr>
          <w:p w14:paraId="68141F85">
            <w:pPr>
              <w:spacing w:line="360" w:lineRule="auto"/>
              <w:ind w:right="105" w:rightChars="50"/>
              <w:rPr>
                <w:rFonts w:hint="eastAsia" w:ascii="仿宋_GB2312" w:hAnsi="仿宋_GB2312" w:eastAsia="仿宋_GB2312" w:cs="仿宋_GB2312"/>
                <w:color w:val="auto"/>
                <w:sz w:val="32"/>
                <w:szCs w:val="32"/>
              </w:rPr>
            </w:pPr>
          </w:p>
        </w:tc>
        <w:tc>
          <w:tcPr>
            <w:tcW w:w="2037" w:type="dxa"/>
            <w:noWrap w:val="0"/>
            <w:vAlign w:val="top"/>
          </w:tcPr>
          <w:p w14:paraId="1C00D1FB">
            <w:pPr>
              <w:spacing w:line="360" w:lineRule="auto"/>
              <w:ind w:right="105" w:rightChars="50"/>
              <w:rPr>
                <w:rFonts w:hint="eastAsia" w:ascii="仿宋_GB2312" w:hAnsi="仿宋_GB2312" w:eastAsia="仿宋_GB2312" w:cs="仿宋_GB2312"/>
                <w:color w:val="auto"/>
                <w:sz w:val="32"/>
                <w:szCs w:val="32"/>
              </w:rPr>
            </w:pPr>
          </w:p>
        </w:tc>
        <w:tc>
          <w:tcPr>
            <w:tcW w:w="2279" w:type="dxa"/>
            <w:noWrap w:val="0"/>
            <w:vAlign w:val="top"/>
          </w:tcPr>
          <w:p w14:paraId="0D2EBF9C">
            <w:pPr>
              <w:spacing w:line="360" w:lineRule="auto"/>
              <w:ind w:right="105" w:rightChars="50"/>
              <w:rPr>
                <w:rFonts w:hint="eastAsia" w:ascii="仿宋_GB2312" w:hAnsi="仿宋_GB2312" w:eastAsia="仿宋_GB2312" w:cs="仿宋_GB2312"/>
                <w:color w:val="auto"/>
                <w:sz w:val="32"/>
                <w:szCs w:val="32"/>
              </w:rPr>
            </w:pPr>
          </w:p>
        </w:tc>
        <w:tc>
          <w:tcPr>
            <w:tcW w:w="2167" w:type="dxa"/>
            <w:noWrap w:val="0"/>
            <w:vAlign w:val="top"/>
          </w:tcPr>
          <w:p w14:paraId="3F94906A">
            <w:pPr>
              <w:spacing w:line="360" w:lineRule="auto"/>
              <w:ind w:right="105" w:rightChars="50"/>
              <w:rPr>
                <w:rFonts w:hint="eastAsia" w:ascii="仿宋_GB2312" w:hAnsi="仿宋_GB2312" w:eastAsia="仿宋_GB2312" w:cs="仿宋_GB2312"/>
                <w:color w:val="auto"/>
                <w:sz w:val="32"/>
                <w:szCs w:val="32"/>
              </w:rPr>
            </w:pPr>
          </w:p>
        </w:tc>
        <w:tc>
          <w:tcPr>
            <w:tcW w:w="2279" w:type="dxa"/>
            <w:noWrap w:val="0"/>
            <w:vAlign w:val="top"/>
          </w:tcPr>
          <w:p w14:paraId="550C1A81">
            <w:pPr>
              <w:spacing w:line="360" w:lineRule="auto"/>
              <w:ind w:right="105" w:rightChars="50"/>
              <w:rPr>
                <w:rFonts w:hint="eastAsia" w:ascii="仿宋_GB2312" w:hAnsi="仿宋_GB2312" w:eastAsia="仿宋_GB2312" w:cs="仿宋_GB2312"/>
                <w:color w:val="auto"/>
                <w:sz w:val="32"/>
                <w:szCs w:val="32"/>
              </w:rPr>
            </w:pPr>
          </w:p>
        </w:tc>
      </w:tr>
      <w:tr w14:paraId="2D944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15" w:type="dxa"/>
            <w:noWrap w:val="0"/>
            <w:vAlign w:val="top"/>
          </w:tcPr>
          <w:p w14:paraId="2C730D5B">
            <w:pPr>
              <w:spacing w:line="360" w:lineRule="auto"/>
              <w:ind w:right="105" w:rightChars="50"/>
              <w:rPr>
                <w:rFonts w:hint="eastAsia" w:ascii="仿宋_GB2312" w:hAnsi="仿宋_GB2312" w:eastAsia="仿宋_GB2312" w:cs="仿宋_GB2312"/>
                <w:color w:val="auto"/>
                <w:sz w:val="32"/>
                <w:szCs w:val="32"/>
              </w:rPr>
            </w:pPr>
          </w:p>
        </w:tc>
        <w:tc>
          <w:tcPr>
            <w:tcW w:w="2037" w:type="dxa"/>
            <w:noWrap w:val="0"/>
            <w:vAlign w:val="top"/>
          </w:tcPr>
          <w:p w14:paraId="07EEF998">
            <w:pPr>
              <w:spacing w:line="360" w:lineRule="auto"/>
              <w:ind w:right="105" w:rightChars="50"/>
              <w:rPr>
                <w:rFonts w:hint="eastAsia" w:ascii="仿宋_GB2312" w:hAnsi="仿宋_GB2312" w:eastAsia="仿宋_GB2312" w:cs="仿宋_GB2312"/>
                <w:color w:val="auto"/>
                <w:sz w:val="32"/>
                <w:szCs w:val="32"/>
              </w:rPr>
            </w:pPr>
          </w:p>
        </w:tc>
        <w:tc>
          <w:tcPr>
            <w:tcW w:w="2279" w:type="dxa"/>
            <w:noWrap w:val="0"/>
            <w:vAlign w:val="top"/>
          </w:tcPr>
          <w:p w14:paraId="400E692E">
            <w:pPr>
              <w:spacing w:line="360" w:lineRule="auto"/>
              <w:ind w:right="105" w:rightChars="50"/>
              <w:rPr>
                <w:rFonts w:hint="eastAsia" w:ascii="仿宋_GB2312" w:hAnsi="仿宋_GB2312" w:eastAsia="仿宋_GB2312" w:cs="仿宋_GB2312"/>
                <w:color w:val="auto"/>
                <w:sz w:val="32"/>
                <w:szCs w:val="32"/>
              </w:rPr>
            </w:pPr>
          </w:p>
        </w:tc>
        <w:tc>
          <w:tcPr>
            <w:tcW w:w="2167" w:type="dxa"/>
            <w:noWrap w:val="0"/>
            <w:vAlign w:val="top"/>
          </w:tcPr>
          <w:p w14:paraId="381DC2C7">
            <w:pPr>
              <w:spacing w:line="360" w:lineRule="auto"/>
              <w:ind w:right="105" w:rightChars="50"/>
              <w:rPr>
                <w:rFonts w:hint="eastAsia" w:ascii="仿宋_GB2312" w:hAnsi="仿宋_GB2312" w:eastAsia="仿宋_GB2312" w:cs="仿宋_GB2312"/>
                <w:color w:val="auto"/>
                <w:sz w:val="32"/>
                <w:szCs w:val="32"/>
              </w:rPr>
            </w:pPr>
          </w:p>
        </w:tc>
        <w:tc>
          <w:tcPr>
            <w:tcW w:w="2279" w:type="dxa"/>
            <w:noWrap w:val="0"/>
            <w:vAlign w:val="top"/>
          </w:tcPr>
          <w:p w14:paraId="7B77F0C5">
            <w:pPr>
              <w:spacing w:line="360" w:lineRule="auto"/>
              <w:ind w:right="105" w:rightChars="50"/>
              <w:rPr>
                <w:rFonts w:hint="eastAsia" w:ascii="仿宋_GB2312" w:hAnsi="仿宋_GB2312" w:eastAsia="仿宋_GB2312" w:cs="仿宋_GB2312"/>
                <w:color w:val="auto"/>
                <w:sz w:val="32"/>
                <w:szCs w:val="32"/>
              </w:rPr>
            </w:pPr>
          </w:p>
        </w:tc>
      </w:tr>
      <w:tr w14:paraId="1F19C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15" w:type="dxa"/>
            <w:noWrap w:val="0"/>
            <w:vAlign w:val="top"/>
          </w:tcPr>
          <w:p w14:paraId="0353BE2A">
            <w:pPr>
              <w:spacing w:line="360" w:lineRule="auto"/>
              <w:ind w:right="105" w:rightChars="50"/>
              <w:rPr>
                <w:rFonts w:hint="eastAsia" w:ascii="仿宋_GB2312" w:hAnsi="仿宋_GB2312" w:eastAsia="仿宋_GB2312" w:cs="仿宋_GB2312"/>
                <w:color w:val="auto"/>
                <w:sz w:val="32"/>
                <w:szCs w:val="32"/>
              </w:rPr>
            </w:pPr>
          </w:p>
        </w:tc>
        <w:tc>
          <w:tcPr>
            <w:tcW w:w="2037" w:type="dxa"/>
            <w:noWrap w:val="0"/>
            <w:vAlign w:val="top"/>
          </w:tcPr>
          <w:p w14:paraId="5A4DE74B">
            <w:pPr>
              <w:spacing w:line="360" w:lineRule="auto"/>
              <w:ind w:right="105" w:rightChars="50"/>
              <w:rPr>
                <w:rFonts w:hint="eastAsia" w:ascii="仿宋_GB2312" w:hAnsi="仿宋_GB2312" w:eastAsia="仿宋_GB2312" w:cs="仿宋_GB2312"/>
                <w:color w:val="auto"/>
                <w:sz w:val="32"/>
                <w:szCs w:val="32"/>
              </w:rPr>
            </w:pPr>
          </w:p>
        </w:tc>
        <w:tc>
          <w:tcPr>
            <w:tcW w:w="2279" w:type="dxa"/>
            <w:noWrap w:val="0"/>
            <w:vAlign w:val="top"/>
          </w:tcPr>
          <w:p w14:paraId="71671F6E">
            <w:pPr>
              <w:spacing w:line="360" w:lineRule="auto"/>
              <w:ind w:right="105" w:rightChars="50"/>
              <w:rPr>
                <w:rFonts w:hint="eastAsia" w:ascii="仿宋_GB2312" w:hAnsi="仿宋_GB2312" w:eastAsia="仿宋_GB2312" w:cs="仿宋_GB2312"/>
                <w:color w:val="auto"/>
                <w:sz w:val="32"/>
                <w:szCs w:val="32"/>
              </w:rPr>
            </w:pPr>
          </w:p>
        </w:tc>
        <w:tc>
          <w:tcPr>
            <w:tcW w:w="2167" w:type="dxa"/>
            <w:noWrap w:val="0"/>
            <w:vAlign w:val="top"/>
          </w:tcPr>
          <w:p w14:paraId="0E8919E2">
            <w:pPr>
              <w:spacing w:line="360" w:lineRule="auto"/>
              <w:ind w:right="105" w:rightChars="50"/>
              <w:rPr>
                <w:rFonts w:hint="eastAsia" w:ascii="仿宋_GB2312" w:hAnsi="仿宋_GB2312" w:eastAsia="仿宋_GB2312" w:cs="仿宋_GB2312"/>
                <w:color w:val="auto"/>
                <w:sz w:val="32"/>
                <w:szCs w:val="32"/>
              </w:rPr>
            </w:pPr>
          </w:p>
        </w:tc>
        <w:tc>
          <w:tcPr>
            <w:tcW w:w="2279" w:type="dxa"/>
            <w:noWrap w:val="0"/>
            <w:vAlign w:val="top"/>
          </w:tcPr>
          <w:p w14:paraId="4654F122">
            <w:pPr>
              <w:spacing w:line="360" w:lineRule="auto"/>
              <w:ind w:right="105" w:rightChars="50"/>
              <w:rPr>
                <w:rFonts w:hint="eastAsia" w:ascii="仿宋_GB2312" w:hAnsi="仿宋_GB2312" w:eastAsia="仿宋_GB2312" w:cs="仿宋_GB2312"/>
                <w:color w:val="auto"/>
                <w:sz w:val="32"/>
                <w:szCs w:val="32"/>
              </w:rPr>
            </w:pPr>
          </w:p>
        </w:tc>
      </w:tr>
      <w:tr w14:paraId="08298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15" w:type="dxa"/>
            <w:noWrap w:val="0"/>
            <w:vAlign w:val="top"/>
          </w:tcPr>
          <w:p w14:paraId="3A0016D4">
            <w:pPr>
              <w:spacing w:line="360" w:lineRule="auto"/>
              <w:ind w:right="105" w:rightChars="50"/>
              <w:rPr>
                <w:rFonts w:hint="eastAsia" w:ascii="仿宋_GB2312" w:hAnsi="仿宋_GB2312" w:eastAsia="仿宋_GB2312" w:cs="仿宋_GB2312"/>
                <w:color w:val="auto"/>
                <w:sz w:val="32"/>
                <w:szCs w:val="32"/>
              </w:rPr>
            </w:pPr>
          </w:p>
        </w:tc>
        <w:tc>
          <w:tcPr>
            <w:tcW w:w="2037" w:type="dxa"/>
            <w:noWrap w:val="0"/>
            <w:vAlign w:val="top"/>
          </w:tcPr>
          <w:p w14:paraId="09266959">
            <w:pPr>
              <w:spacing w:line="360" w:lineRule="auto"/>
              <w:ind w:right="105" w:rightChars="50"/>
              <w:rPr>
                <w:rFonts w:hint="eastAsia" w:ascii="仿宋_GB2312" w:hAnsi="仿宋_GB2312" w:eastAsia="仿宋_GB2312" w:cs="仿宋_GB2312"/>
                <w:color w:val="auto"/>
                <w:sz w:val="32"/>
                <w:szCs w:val="32"/>
              </w:rPr>
            </w:pPr>
          </w:p>
        </w:tc>
        <w:tc>
          <w:tcPr>
            <w:tcW w:w="2279" w:type="dxa"/>
            <w:noWrap w:val="0"/>
            <w:vAlign w:val="top"/>
          </w:tcPr>
          <w:p w14:paraId="52D8BC68">
            <w:pPr>
              <w:spacing w:line="360" w:lineRule="auto"/>
              <w:ind w:right="105" w:rightChars="50"/>
              <w:rPr>
                <w:rFonts w:hint="eastAsia" w:ascii="仿宋_GB2312" w:hAnsi="仿宋_GB2312" w:eastAsia="仿宋_GB2312" w:cs="仿宋_GB2312"/>
                <w:color w:val="auto"/>
                <w:sz w:val="32"/>
                <w:szCs w:val="32"/>
              </w:rPr>
            </w:pPr>
          </w:p>
        </w:tc>
        <w:tc>
          <w:tcPr>
            <w:tcW w:w="2167" w:type="dxa"/>
            <w:noWrap w:val="0"/>
            <w:vAlign w:val="top"/>
          </w:tcPr>
          <w:p w14:paraId="353EB0C4">
            <w:pPr>
              <w:spacing w:line="360" w:lineRule="auto"/>
              <w:ind w:right="105" w:rightChars="50"/>
              <w:rPr>
                <w:rFonts w:hint="eastAsia" w:ascii="仿宋_GB2312" w:hAnsi="仿宋_GB2312" w:eastAsia="仿宋_GB2312" w:cs="仿宋_GB2312"/>
                <w:color w:val="auto"/>
                <w:sz w:val="32"/>
                <w:szCs w:val="32"/>
              </w:rPr>
            </w:pPr>
          </w:p>
        </w:tc>
        <w:tc>
          <w:tcPr>
            <w:tcW w:w="2279" w:type="dxa"/>
            <w:noWrap w:val="0"/>
            <w:vAlign w:val="top"/>
          </w:tcPr>
          <w:p w14:paraId="14A2054B">
            <w:pPr>
              <w:spacing w:line="360" w:lineRule="auto"/>
              <w:ind w:right="105" w:rightChars="50"/>
              <w:rPr>
                <w:rFonts w:hint="eastAsia" w:ascii="仿宋_GB2312" w:hAnsi="仿宋_GB2312" w:eastAsia="仿宋_GB2312" w:cs="仿宋_GB2312"/>
                <w:color w:val="auto"/>
                <w:sz w:val="32"/>
                <w:szCs w:val="32"/>
              </w:rPr>
            </w:pPr>
          </w:p>
        </w:tc>
      </w:tr>
      <w:tr w14:paraId="255C3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15" w:type="dxa"/>
            <w:noWrap w:val="0"/>
            <w:vAlign w:val="top"/>
          </w:tcPr>
          <w:p w14:paraId="7B0BC717">
            <w:pPr>
              <w:spacing w:line="360" w:lineRule="auto"/>
              <w:ind w:right="105" w:rightChars="50"/>
              <w:rPr>
                <w:rFonts w:hint="eastAsia" w:ascii="仿宋_GB2312" w:hAnsi="仿宋_GB2312" w:eastAsia="仿宋_GB2312" w:cs="仿宋_GB2312"/>
                <w:color w:val="auto"/>
                <w:sz w:val="32"/>
                <w:szCs w:val="32"/>
              </w:rPr>
            </w:pPr>
          </w:p>
        </w:tc>
        <w:tc>
          <w:tcPr>
            <w:tcW w:w="2037" w:type="dxa"/>
            <w:noWrap w:val="0"/>
            <w:vAlign w:val="top"/>
          </w:tcPr>
          <w:p w14:paraId="13E4FBD1">
            <w:pPr>
              <w:spacing w:line="360" w:lineRule="auto"/>
              <w:ind w:right="105" w:rightChars="50"/>
              <w:rPr>
                <w:rFonts w:hint="eastAsia" w:ascii="仿宋_GB2312" w:hAnsi="仿宋_GB2312" w:eastAsia="仿宋_GB2312" w:cs="仿宋_GB2312"/>
                <w:color w:val="auto"/>
                <w:sz w:val="32"/>
                <w:szCs w:val="32"/>
              </w:rPr>
            </w:pPr>
          </w:p>
        </w:tc>
        <w:tc>
          <w:tcPr>
            <w:tcW w:w="2279" w:type="dxa"/>
            <w:noWrap w:val="0"/>
            <w:vAlign w:val="top"/>
          </w:tcPr>
          <w:p w14:paraId="5BB40E29">
            <w:pPr>
              <w:spacing w:line="360" w:lineRule="auto"/>
              <w:ind w:right="105" w:rightChars="50"/>
              <w:rPr>
                <w:rFonts w:hint="eastAsia" w:ascii="仿宋_GB2312" w:hAnsi="仿宋_GB2312" w:eastAsia="仿宋_GB2312" w:cs="仿宋_GB2312"/>
                <w:color w:val="auto"/>
                <w:sz w:val="32"/>
                <w:szCs w:val="32"/>
              </w:rPr>
            </w:pPr>
          </w:p>
        </w:tc>
        <w:tc>
          <w:tcPr>
            <w:tcW w:w="2167" w:type="dxa"/>
            <w:noWrap w:val="0"/>
            <w:vAlign w:val="top"/>
          </w:tcPr>
          <w:p w14:paraId="03E8E75A">
            <w:pPr>
              <w:spacing w:line="360" w:lineRule="auto"/>
              <w:ind w:right="105" w:rightChars="50"/>
              <w:rPr>
                <w:rFonts w:hint="eastAsia" w:ascii="仿宋_GB2312" w:hAnsi="仿宋_GB2312" w:eastAsia="仿宋_GB2312" w:cs="仿宋_GB2312"/>
                <w:color w:val="auto"/>
                <w:sz w:val="32"/>
                <w:szCs w:val="32"/>
              </w:rPr>
            </w:pPr>
          </w:p>
        </w:tc>
        <w:tc>
          <w:tcPr>
            <w:tcW w:w="2279" w:type="dxa"/>
            <w:noWrap w:val="0"/>
            <w:vAlign w:val="top"/>
          </w:tcPr>
          <w:p w14:paraId="03ABD053">
            <w:pPr>
              <w:spacing w:line="360" w:lineRule="auto"/>
              <w:ind w:right="105" w:rightChars="50"/>
              <w:rPr>
                <w:rFonts w:hint="eastAsia" w:ascii="仿宋_GB2312" w:hAnsi="仿宋_GB2312" w:eastAsia="仿宋_GB2312" w:cs="仿宋_GB2312"/>
                <w:color w:val="auto"/>
                <w:sz w:val="32"/>
                <w:szCs w:val="32"/>
              </w:rPr>
            </w:pPr>
          </w:p>
        </w:tc>
      </w:tr>
      <w:tr w14:paraId="26B58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15" w:type="dxa"/>
            <w:noWrap w:val="0"/>
            <w:vAlign w:val="top"/>
          </w:tcPr>
          <w:p w14:paraId="625D0BEA">
            <w:pPr>
              <w:spacing w:line="360" w:lineRule="auto"/>
              <w:ind w:right="105" w:rightChars="50"/>
              <w:rPr>
                <w:rFonts w:hint="eastAsia" w:ascii="仿宋_GB2312" w:hAnsi="仿宋_GB2312" w:eastAsia="仿宋_GB2312" w:cs="仿宋_GB2312"/>
                <w:color w:val="auto"/>
                <w:sz w:val="32"/>
                <w:szCs w:val="32"/>
              </w:rPr>
            </w:pPr>
          </w:p>
        </w:tc>
        <w:tc>
          <w:tcPr>
            <w:tcW w:w="2037" w:type="dxa"/>
            <w:noWrap w:val="0"/>
            <w:vAlign w:val="top"/>
          </w:tcPr>
          <w:p w14:paraId="74B80E09">
            <w:pPr>
              <w:spacing w:line="360" w:lineRule="auto"/>
              <w:ind w:right="105" w:rightChars="50"/>
              <w:rPr>
                <w:rFonts w:hint="eastAsia" w:ascii="仿宋_GB2312" w:hAnsi="仿宋_GB2312" w:eastAsia="仿宋_GB2312" w:cs="仿宋_GB2312"/>
                <w:color w:val="auto"/>
                <w:sz w:val="32"/>
                <w:szCs w:val="32"/>
              </w:rPr>
            </w:pPr>
          </w:p>
        </w:tc>
        <w:tc>
          <w:tcPr>
            <w:tcW w:w="2279" w:type="dxa"/>
            <w:noWrap w:val="0"/>
            <w:vAlign w:val="top"/>
          </w:tcPr>
          <w:p w14:paraId="3E3DC481">
            <w:pPr>
              <w:spacing w:line="360" w:lineRule="auto"/>
              <w:ind w:right="105" w:rightChars="50"/>
              <w:rPr>
                <w:rFonts w:hint="eastAsia" w:ascii="仿宋_GB2312" w:hAnsi="仿宋_GB2312" w:eastAsia="仿宋_GB2312" w:cs="仿宋_GB2312"/>
                <w:color w:val="auto"/>
                <w:sz w:val="32"/>
                <w:szCs w:val="32"/>
              </w:rPr>
            </w:pPr>
          </w:p>
        </w:tc>
        <w:tc>
          <w:tcPr>
            <w:tcW w:w="2167" w:type="dxa"/>
            <w:noWrap w:val="0"/>
            <w:vAlign w:val="top"/>
          </w:tcPr>
          <w:p w14:paraId="20F7166D">
            <w:pPr>
              <w:spacing w:line="360" w:lineRule="auto"/>
              <w:ind w:right="105" w:rightChars="50"/>
              <w:rPr>
                <w:rFonts w:hint="eastAsia" w:ascii="仿宋_GB2312" w:hAnsi="仿宋_GB2312" w:eastAsia="仿宋_GB2312" w:cs="仿宋_GB2312"/>
                <w:color w:val="auto"/>
                <w:sz w:val="32"/>
                <w:szCs w:val="32"/>
              </w:rPr>
            </w:pPr>
          </w:p>
        </w:tc>
        <w:tc>
          <w:tcPr>
            <w:tcW w:w="2279" w:type="dxa"/>
            <w:noWrap w:val="0"/>
            <w:vAlign w:val="top"/>
          </w:tcPr>
          <w:p w14:paraId="72153792">
            <w:pPr>
              <w:spacing w:line="360" w:lineRule="auto"/>
              <w:ind w:right="105" w:rightChars="50"/>
              <w:rPr>
                <w:rFonts w:hint="eastAsia" w:ascii="仿宋_GB2312" w:hAnsi="仿宋_GB2312" w:eastAsia="仿宋_GB2312" w:cs="仿宋_GB2312"/>
                <w:color w:val="auto"/>
                <w:sz w:val="32"/>
                <w:szCs w:val="32"/>
              </w:rPr>
            </w:pPr>
          </w:p>
        </w:tc>
      </w:tr>
      <w:tr w14:paraId="3DC33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15" w:type="dxa"/>
            <w:noWrap w:val="0"/>
            <w:vAlign w:val="top"/>
          </w:tcPr>
          <w:p w14:paraId="38D2C8D6">
            <w:pPr>
              <w:spacing w:line="360" w:lineRule="auto"/>
              <w:ind w:right="105" w:rightChars="50"/>
              <w:rPr>
                <w:rFonts w:hint="eastAsia" w:ascii="仿宋_GB2312" w:hAnsi="仿宋_GB2312" w:eastAsia="仿宋_GB2312" w:cs="仿宋_GB2312"/>
                <w:color w:val="auto"/>
                <w:sz w:val="32"/>
                <w:szCs w:val="32"/>
              </w:rPr>
            </w:pPr>
          </w:p>
        </w:tc>
        <w:tc>
          <w:tcPr>
            <w:tcW w:w="2037" w:type="dxa"/>
            <w:noWrap w:val="0"/>
            <w:vAlign w:val="top"/>
          </w:tcPr>
          <w:p w14:paraId="677C45C1">
            <w:pPr>
              <w:spacing w:line="360" w:lineRule="auto"/>
              <w:ind w:right="105" w:rightChars="50"/>
              <w:rPr>
                <w:rFonts w:hint="eastAsia" w:ascii="仿宋_GB2312" w:hAnsi="仿宋_GB2312" w:eastAsia="仿宋_GB2312" w:cs="仿宋_GB2312"/>
                <w:color w:val="auto"/>
                <w:sz w:val="32"/>
                <w:szCs w:val="32"/>
              </w:rPr>
            </w:pPr>
          </w:p>
        </w:tc>
        <w:tc>
          <w:tcPr>
            <w:tcW w:w="2279" w:type="dxa"/>
            <w:noWrap w:val="0"/>
            <w:vAlign w:val="top"/>
          </w:tcPr>
          <w:p w14:paraId="7101759A">
            <w:pPr>
              <w:spacing w:line="360" w:lineRule="auto"/>
              <w:ind w:right="105" w:rightChars="50"/>
              <w:rPr>
                <w:rFonts w:hint="eastAsia" w:ascii="仿宋_GB2312" w:hAnsi="仿宋_GB2312" w:eastAsia="仿宋_GB2312" w:cs="仿宋_GB2312"/>
                <w:color w:val="auto"/>
                <w:sz w:val="32"/>
                <w:szCs w:val="32"/>
              </w:rPr>
            </w:pPr>
          </w:p>
        </w:tc>
        <w:tc>
          <w:tcPr>
            <w:tcW w:w="2167" w:type="dxa"/>
            <w:noWrap w:val="0"/>
            <w:vAlign w:val="top"/>
          </w:tcPr>
          <w:p w14:paraId="5BF5534B">
            <w:pPr>
              <w:spacing w:line="360" w:lineRule="auto"/>
              <w:ind w:right="105" w:rightChars="50"/>
              <w:rPr>
                <w:rFonts w:hint="eastAsia" w:ascii="仿宋_GB2312" w:hAnsi="仿宋_GB2312" w:eastAsia="仿宋_GB2312" w:cs="仿宋_GB2312"/>
                <w:color w:val="auto"/>
                <w:sz w:val="32"/>
                <w:szCs w:val="32"/>
              </w:rPr>
            </w:pPr>
          </w:p>
        </w:tc>
        <w:tc>
          <w:tcPr>
            <w:tcW w:w="2279" w:type="dxa"/>
            <w:noWrap w:val="0"/>
            <w:vAlign w:val="top"/>
          </w:tcPr>
          <w:p w14:paraId="20CB0AED">
            <w:pPr>
              <w:spacing w:line="360" w:lineRule="auto"/>
              <w:ind w:right="105" w:rightChars="50"/>
              <w:rPr>
                <w:rFonts w:hint="eastAsia" w:ascii="仿宋_GB2312" w:hAnsi="仿宋_GB2312" w:eastAsia="仿宋_GB2312" w:cs="仿宋_GB2312"/>
                <w:color w:val="auto"/>
                <w:sz w:val="32"/>
                <w:szCs w:val="32"/>
              </w:rPr>
            </w:pPr>
          </w:p>
        </w:tc>
      </w:tr>
    </w:tbl>
    <w:p w14:paraId="005E366E">
      <w:pPr>
        <w:spacing w:line="360" w:lineRule="auto"/>
        <w:ind w:right="105" w:rightChars="5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注：根据招标文件技术参数要求逐条对应填写，投标人必须根据所提供的</w:t>
      </w:r>
      <w:r>
        <w:rPr>
          <w:rFonts w:hint="eastAsia" w:ascii="仿宋_GB2312" w:hAnsi="仿宋_GB2312" w:eastAsia="仿宋_GB2312" w:cs="仿宋_GB2312"/>
          <w:bCs/>
          <w:color w:val="auto"/>
          <w:sz w:val="32"/>
          <w:szCs w:val="32"/>
        </w:rPr>
        <w:t>相应服务内容如</w:t>
      </w:r>
      <w:r>
        <w:rPr>
          <w:rFonts w:hint="eastAsia" w:ascii="仿宋_GB2312" w:hAnsi="仿宋_GB2312" w:eastAsia="仿宋_GB2312" w:cs="仿宋_GB2312"/>
          <w:color w:val="auto"/>
          <w:sz w:val="32"/>
          <w:szCs w:val="32"/>
        </w:rPr>
        <w:t>实填写，不得虚假响应，否则将取消其投标或中标资格，并按有关规定进行处罚。</w:t>
      </w:r>
    </w:p>
    <w:p w14:paraId="6D7B8B95">
      <w:pPr>
        <w:pStyle w:val="4"/>
        <w:spacing w:line="360" w:lineRule="auto"/>
        <w:rPr>
          <w:rFonts w:hint="eastAsia" w:ascii="仿宋_GB2312" w:hAnsi="仿宋_GB2312" w:eastAsia="仿宋_GB2312" w:cs="仿宋_GB2312"/>
          <w:color w:val="auto"/>
          <w:sz w:val="32"/>
          <w:szCs w:val="32"/>
        </w:rPr>
      </w:pPr>
    </w:p>
    <w:p w14:paraId="63F035F1">
      <w:pPr>
        <w:spacing w:line="360" w:lineRule="auto"/>
        <w:rPr>
          <w:rFonts w:hint="eastAsia" w:ascii="仿宋_GB2312" w:hAnsi="仿宋_GB2312" w:eastAsia="仿宋_GB2312" w:cs="仿宋_GB2312"/>
          <w:color w:val="auto"/>
          <w:sz w:val="32"/>
          <w:szCs w:val="32"/>
        </w:rPr>
      </w:pPr>
    </w:p>
    <w:p w14:paraId="572A4089">
      <w:pPr>
        <w:spacing w:line="360" w:lineRule="auto"/>
        <w:rPr>
          <w:rFonts w:hint="eastAsia" w:ascii="仿宋_GB2312" w:hAnsi="仿宋_GB2312" w:eastAsia="仿宋_GB2312" w:cs="仿宋_GB2312"/>
          <w:color w:val="auto"/>
          <w:sz w:val="32"/>
          <w:szCs w:val="32"/>
          <w:u w:val="single"/>
        </w:rPr>
      </w:pPr>
      <w:r>
        <w:rPr>
          <w:rFonts w:hint="eastAsia" w:ascii="仿宋_GB2312" w:hAnsi="仿宋_GB2312" w:eastAsia="仿宋_GB2312" w:cs="仿宋_GB2312"/>
          <w:color w:val="auto"/>
          <w:sz w:val="32"/>
          <w:szCs w:val="32"/>
        </w:rPr>
        <w:t>投标人代表签字或盖章：</w:t>
      </w:r>
      <w:r>
        <w:rPr>
          <w:rFonts w:hint="eastAsia" w:ascii="仿宋_GB2312" w:hAnsi="仿宋_GB2312" w:eastAsia="仿宋_GB2312" w:cs="仿宋_GB2312"/>
          <w:color w:val="auto"/>
          <w:sz w:val="32"/>
          <w:szCs w:val="32"/>
          <w:u w:val="single"/>
        </w:rPr>
        <w:t>　　　　　　　　　　　　　　　</w:t>
      </w:r>
    </w:p>
    <w:p w14:paraId="177F2AC3">
      <w:pPr>
        <w:pStyle w:val="16"/>
        <w:spacing w:line="360" w:lineRule="auto"/>
        <w:rPr>
          <w:rFonts w:hint="eastAsia" w:ascii="仿宋_GB2312" w:hAnsi="仿宋_GB2312" w:eastAsia="仿宋_GB2312" w:cs="仿宋_GB2312"/>
          <w:color w:val="auto"/>
          <w:sz w:val="32"/>
          <w:szCs w:val="32"/>
        </w:rPr>
      </w:pPr>
    </w:p>
    <w:p w14:paraId="0F3C24BA">
      <w:pPr>
        <w:pStyle w:val="16"/>
        <w:spacing w:line="360" w:lineRule="auto"/>
        <w:rPr>
          <w:rFonts w:hint="eastAsia" w:ascii="仿宋_GB2312" w:hAnsi="仿宋_GB2312" w:eastAsia="仿宋_GB2312" w:cs="仿宋_GB2312"/>
          <w:color w:val="auto"/>
          <w:sz w:val="32"/>
          <w:szCs w:val="32"/>
        </w:rPr>
      </w:pPr>
    </w:p>
    <w:p w14:paraId="5B816EDB">
      <w:pPr>
        <w:pStyle w:val="3"/>
        <w:spacing w:line="360" w:lineRule="auto"/>
        <w:jc w:val="center"/>
        <w:rPr>
          <w:rStyle w:val="53"/>
          <w:rFonts w:hint="eastAsia" w:ascii="仿宋_GB2312" w:hAnsi="仿宋_GB2312" w:eastAsia="仿宋_GB2312" w:cs="仿宋_GB2312"/>
          <w:b/>
          <w:bCs w:val="0"/>
          <w:color w:val="auto"/>
        </w:rPr>
      </w:pPr>
      <w:bookmarkStart w:id="319" w:name="_Toc7233"/>
      <w:r>
        <w:rPr>
          <w:rStyle w:val="53"/>
          <w:rFonts w:hint="eastAsia" w:ascii="仿宋_GB2312" w:hAnsi="仿宋_GB2312" w:eastAsia="仿宋_GB2312" w:cs="仿宋_GB2312"/>
          <w:b/>
          <w:bCs w:val="0"/>
          <w:color w:val="auto"/>
        </w:rPr>
        <w:t>8、商务条件响应/偏离表</w:t>
      </w:r>
      <w:bookmarkEnd w:id="319"/>
    </w:p>
    <w:p w14:paraId="7BD75C3E">
      <w:pPr>
        <w:spacing w:after="120" w:afterLines="50" w:line="360" w:lineRule="auto"/>
        <w:rPr>
          <w:rFonts w:hint="eastAsia" w:ascii="仿宋_GB2312" w:hAnsi="仿宋_GB2312" w:eastAsia="仿宋_GB2312" w:cs="仿宋_GB2312"/>
          <w:color w:val="auto"/>
          <w:sz w:val="32"/>
          <w:szCs w:val="32"/>
          <w:u w:val="single"/>
        </w:rPr>
      </w:pPr>
      <w:r>
        <w:rPr>
          <w:rFonts w:hint="eastAsia" w:ascii="仿宋_GB2312" w:hAnsi="仿宋_GB2312" w:eastAsia="仿宋_GB2312" w:cs="仿宋_GB2312"/>
          <w:color w:val="auto"/>
          <w:sz w:val="32"/>
          <w:szCs w:val="32"/>
        </w:rPr>
        <w:t>投标人名称（公章）：</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招标文件编号：</w:t>
      </w:r>
      <w:r>
        <w:rPr>
          <w:rFonts w:hint="eastAsia" w:ascii="仿宋_GB2312" w:hAnsi="仿宋_GB2312" w:eastAsia="仿宋_GB2312" w:cs="仿宋_GB2312"/>
          <w:color w:val="auto"/>
          <w:sz w:val="32"/>
          <w:szCs w:val="32"/>
          <w:u w:val="single"/>
        </w:rPr>
        <w:t>　　　　　　　　　　</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1704"/>
        <w:gridCol w:w="1704"/>
        <w:gridCol w:w="1705"/>
        <w:gridCol w:w="1705"/>
      </w:tblGrid>
      <w:tr w14:paraId="5320E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704" w:type="dxa"/>
            <w:noWrap w:val="0"/>
            <w:vAlign w:val="center"/>
          </w:tcPr>
          <w:p w14:paraId="15A65545">
            <w:pPr>
              <w:spacing w:line="360" w:lineRule="auto"/>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序号</w:t>
            </w:r>
          </w:p>
        </w:tc>
        <w:tc>
          <w:tcPr>
            <w:tcW w:w="1704" w:type="dxa"/>
            <w:noWrap w:val="0"/>
            <w:vAlign w:val="center"/>
          </w:tcPr>
          <w:p w14:paraId="29201301">
            <w:pPr>
              <w:spacing w:line="360" w:lineRule="auto"/>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招标文件要求</w:t>
            </w:r>
          </w:p>
        </w:tc>
        <w:tc>
          <w:tcPr>
            <w:tcW w:w="1704" w:type="dxa"/>
            <w:noWrap w:val="0"/>
            <w:vAlign w:val="center"/>
          </w:tcPr>
          <w:p w14:paraId="1A82AA69">
            <w:pPr>
              <w:spacing w:line="360" w:lineRule="auto"/>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投标文件响应</w:t>
            </w:r>
          </w:p>
        </w:tc>
        <w:tc>
          <w:tcPr>
            <w:tcW w:w="1705" w:type="dxa"/>
            <w:noWrap w:val="0"/>
            <w:vAlign w:val="center"/>
          </w:tcPr>
          <w:p w14:paraId="0A5E4ED2">
            <w:pPr>
              <w:spacing w:line="360" w:lineRule="auto"/>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响应/偏离</w:t>
            </w:r>
          </w:p>
        </w:tc>
        <w:tc>
          <w:tcPr>
            <w:tcW w:w="1705" w:type="dxa"/>
            <w:noWrap w:val="0"/>
            <w:vAlign w:val="center"/>
          </w:tcPr>
          <w:p w14:paraId="053C267E">
            <w:pPr>
              <w:spacing w:line="360" w:lineRule="auto"/>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说明</w:t>
            </w:r>
          </w:p>
        </w:tc>
      </w:tr>
      <w:tr w14:paraId="2C257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704" w:type="dxa"/>
            <w:noWrap w:val="0"/>
            <w:vAlign w:val="top"/>
          </w:tcPr>
          <w:p w14:paraId="4FAF1ABF">
            <w:pPr>
              <w:spacing w:line="360" w:lineRule="auto"/>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p>
        </w:tc>
        <w:tc>
          <w:tcPr>
            <w:tcW w:w="1704" w:type="dxa"/>
            <w:noWrap w:val="0"/>
            <w:vAlign w:val="top"/>
          </w:tcPr>
          <w:p w14:paraId="2923C910">
            <w:pPr>
              <w:spacing w:line="360" w:lineRule="auto"/>
              <w:jc w:val="center"/>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供货服务期限</w:t>
            </w:r>
          </w:p>
        </w:tc>
        <w:tc>
          <w:tcPr>
            <w:tcW w:w="1704" w:type="dxa"/>
            <w:noWrap w:val="0"/>
            <w:vAlign w:val="top"/>
          </w:tcPr>
          <w:p w14:paraId="4E47E26A">
            <w:pPr>
              <w:spacing w:line="360" w:lineRule="auto"/>
              <w:rPr>
                <w:rFonts w:hint="eastAsia" w:ascii="仿宋_GB2312" w:hAnsi="仿宋_GB2312" w:eastAsia="仿宋_GB2312" w:cs="仿宋_GB2312"/>
                <w:color w:val="auto"/>
                <w:sz w:val="32"/>
                <w:szCs w:val="32"/>
              </w:rPr>
            </w:pPr>
          </w:p>
        </w:tc>
        <w:tc>
          <w:tcPr>
            <w:tcW w:w="1705" w:type="dxa"/>
            <w:noWrap w:val="0"/>
            <w:vAlign w:val="top"/>
          </w:tcPr>
          <w:p w14:paraId="3ABA2975">
            <w:pPr>
              <w:spacing w:line="360" w:lineRule="auto"/>
              <w:rPr>
                <w:rFonts w:hint="eastAsia" w:ascii="仿宋_GB2312" w:hAnsi="仿宋_GB2312" w:eastAsia="仿宋_GB2312" w:cs="仿宋_GB2312"/>
                <w:color w:val="auto"/>
                <w:sz w:val="32"/>
                <w:szCs w:val="32"/>
              </w:rPr>
            </w:pPr>
          </w:p>
        </w:tc>
        <w:tc>
          <w:tcPr>
            <w:tcW w:w="1705" w:type="dxa"/>
            <w:noWrap w:val="0"/>
            <w:vAlign w:val="top"/>
          </w:tcPr>
          <w:p w14:paraId="3728E24E">
            <w:pPr>
              <w:spacing w:line="360" w:lineRule="auto"/>
              <w:rPr>
                <w:rFonts w:hint="eastAsia" w:ascii="仿宋_GB2312" w:hAnsi="仿宋_GB2312" w:eastAsia="仿宋_GB2312" w:cs="仿宋_GB2312"/>
                <w:color w:val="auto"/>
                <w:sz w:val="32"/>
                <w:szCs w:val="32"/>
              </w:rPr>
            </w:pPr>
          </w:p>
        </w:tc>
      </w:tr>
      <w:tr w14:paraId="45D68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704" w:type="dxa"/>
            <w:noWrap w:val="0"/>
            <w:vAlign w:val="top"/>
          </w:tcPr>
          <w:p w14:paraId="3BAC8A24">
            <w:pPr>
              <w:spacing w:line="360" w:lineRule="auto"/>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p>
        </w:tc>
        <w:tc>
          <w:tcPr>
            <w:tcW w:w="1704" w:type="dxa"/>
            <w:noWrap w:val="0"/>
            <w:vAlign w:val="top"/>
          </w:tcPr>
          <w:p w14:paraId="43AE2F83">
            <w:pPr>
              <w:spacing w:line="360" w:lineRule="auto"/>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供货地点</w:t>
            </w:r>
          </w:p>
        </w:tc>
        <w:tc>
          <w:tcPr>
            <w:tcW w:w="1704" w:type="dxa"/>
            <w:noWrap w:val="0"/>
            <w:vAlign w:val="top"/>
          </w:tcPr>
          <w:p w14:paraId="72F163A0">
            <w:pPr>
              <w:spacing w:line="360" w:lineRule="auto"/>
              <w:rPr>
                <w:rFonts w:hint="eastAsia" w:ascii="仿宋_GB2312" w:hAnsi="仿宋_GB2312" w:eastAsia="仿宋_GB2312" w:cs="仿宋_GB2312"/>
                <w:color w:val="auto"/>
                <w:sz w:val="32"/>
                <w:szCs w:val="32"/>
              </w:rPr>
            </w:pPr>
          </w:p>
        </w:tc>
        <w:tc>
          <w:tcPr>
            <w:tcW w:w="1705" w:type="dxa"/>
            <w:noWrap w:val="0"/>
            <w:vAlign w:val="top"/>
          </w:tcPr>
          <w:p w14:paraId="414B4D5B">
            <w:pPr>
              <w:spacing w:line="360" w:lineRule="auto"/>
              <w:rPr>
                <w:rFonts w:hint="eastAsia" w:ascii="仿宋_GB2312" w:hAnsi="仿宋_GB2312" w:eastAsia="仿宋_GB2312" w:cs="仿宋_GB2312"/>
                <w:color w:val="auto"/>
                <w:sz w:val="32"/>
                <w:szCs w:val="32"/>
              </w:rPr>
            </w:pPr>
          </w:p>
        </w:tc>
        <w:tc>
          <w:tcPr>
            <w:tcW w:w="1705" w:type="dxa"/>
            <w:noWrap w:val="0"/>
            <w:vAlign w:val="top"/>
          </w:tcPr>
          <w:p w14:paraId="5B95B14C">
            <w:pPr>
              <w:spacing w:line="360" w:lineRule="auto"/>
              <w:rPr>
                <w:rFonts w:hint="eastAsia" w:ascii="仿宋_GB2312" w:hAnsi="仿宋_GB2312" w:eastAsia="仿宋_GB2312" w:cs="仿宋_GB2312"/>
                <w:color w:val="auto"/>
                <w:sz w:val="32"/>
                <w:szCs w:val="32"/>
              </w:rPr>
            </w:pPr>
          </w:p>
        </w:tc>
      </w:tr>
      <w:tr w14:paraId="6D19F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704" w:type="dxa"/>
            <w:noWrap w:val="0"/>
            <w:vAlign w:val="top"/>
          </w:tcPr>
          <w:p w14:paraId="295B6666">
            <w:pPr>
              <w:spacing w:line="360" w:lineRule="auto"/>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p>
        </w:tc>
        <w:tc>
          <w:tcPr>
            <w:tcW w:w="1704" w:type="dxa"/>
            <w:noWrap w:val="0"/>
            <w:vAlign w:val="top"/>
          </w:tcPr>
          <w:p w14:paraId="12D9C391">
            <w:pPr>
              <w:spacing w:line="360" w:lineRule="auto"/>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付款方式</w:t>
            </w:r>
          </w:p>
        </w:tc>
        <w:tc>
          <w:tcPr>
            <w:tcW w:w="1704" w:type="dxa"/>
            <w:noWrap w:val="0"/>
            <w:vAlign w:val="top"/>
          </w:tcPr>
          <w:p w14:paraId="0A52A76A">
            <w:pPr>
              <w:spacing w:line="360" w:lineRule="auto"/>
              <w:rPr>
                <w:rFonts w:hint="eastAsia" w:ascii="仿宋_GB2312" w:hAnsi="仿宋_GB2312" w:eastAsia="仿宋_GB2312" w:cs="仿宋_GB2312"/>
                <w:color w:val="auto"/>
                <w:sz w:val="32"/>
                <w:szCs w:val="32"/>
              </w:rPr>
            </w:pPr>
          </w:p>
        </w:tc>
        <w:tc>
          <w:tcPr>
            <w:tcW w:w="1705" w:type="dxa"/>
            <w:noWrap w:val="0"/>
            <w:vAlign w:val="top"/>
          </w:tcPr>
          <w:p w14:paraId="0614295E">
            <w:pPr>
              <w:spacing w:line="360" w:lineRule="auto"/>
              <w:rPr>
                <w:rFonts w:hint="eastAsia" w:ascii="仿宋_GB2312" w:hAnsi="仿宋_GB2312" w:eastAsia="仿宋_GB2312" w:cs="仿宋_GB2312"/>
                <w:color w:val="auto"/>
                <w:sz w:val="32"/>
                <w:szCs w:val="32"/>
              </w:rPr>
            </w:pPr>
          </w:p>
        </w:tc>
        <w:tc>
          <w:tcPr>
            <w:tcW w:w="1705" w:type="dxa"/>
            <w:noWrap w:val="0"/>
            <w:vAlign w:val="top"/>
          </w:tcPr>
          <w:p w14:paraId="20C1EEDE">
            <w:pPr>
              <w:spacing w:line="360" w:lineRule="auto"/>
              <w:rPr>
                <w:rFonts w:hint="eastAsia" w:ascii="仿宋_GB2312" w:hAnsi="仿宋_GB2312" w:eastAsia="仿宋_GB2312" w:cs="仿宋_GB2312"/>
                <w:color w:val="auto"/>
                <w:sz w:val="32"/>
                <w:szCs w:val="32"/>
              </w:rPr>
            </w:pPr>
          </w:p>
        </w:tc>
      </w:tr>
      <w:tr w14:paraId="6989D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704" w:type="dxa"/>
            <w:noWrap w:val="0"/>
            <w:vAlign w:val="top"/>
          </w:tcPr>
          <w:p w14:paraId="5A041884">
            <w:pPr>
              <w:spacing w:line="360" w:lineRule="auto"/>
              <w:jc w:val="center"/>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w:t>
            </w:r>
          </w:p>
        </w:tc>
        <w:tc>
          <w:tcPr>
            <w:tcW w:w="1704" w:type="dxa"/>
            <w:noWrap w:val="0"/>
            <w:vAlign w:val="top"/>
          </w:tcPr>
          <w:p w14:paraId="2F297392">
            <w:pPr>
              <w:spacing w:line="360" w:lineRule="auto"/>
              <w:jc w:val="center"/>
              <w:rPr>
                <w:rFonts w:ascii="仿宋_GB2312" w:hAnsi="仿宋_GB2312" w:eastAsia="仿宋_GB2312" w:cs="仿宋_GB2312"/>
                <w:color w:val="auto"/>
                <w:sz w:val="32"/>
                <w:szCs w:val="32"/>
              </w:rPr>
            </w:pPr>
          </w:p>
        </w:tc>
        <w:tc>
          <w:tcPr>
            <w:tcW w:w="1704" w:type="dxa"/>
            <w:noWrap w:val="0"/>
            <w:vAlign w:val="top"/>
          </w:tcPr>
          <w:p w14:paraId="5524D5B3">
            <w:pPr>
              <w:spacing w:line="360" w:lineRule="auto"/>
              <w:rPr>
                <w:rFonts w:hint="eastAsia" w:ascii="仿宋_GB2312" w:hAnsi="仿宋_GB2312" w:eastAsia="仿宋_GB2312" w:cs="仿宋_GB2312"/>
                <w:color w:val="auto"/>
                <w:sz w:val="32"/>
                <w:szCs w:val="32"/>
              </w:rPr>
            </w:pPr>
          </w:p>
        </w:tc>
        <w:tc>
          <w:tcPr>
            <w:tcW w:w="1705" w:type="dxa"/>
            <w:noWrap w:val="0"/>
            <w:vAlign w:val="top"/>
          </w:tcPr>
          <w:p w14:paraId="45B327E7">
            <w:pPr>
              <w:spacing w:line="360" w:lineRule="auto"/>
              <w:rPr>
                <w:rFonts w:hint="eastAsia" w:ascii="仿宋_GB2312" w:hAnsi="仿宋_GB2312" w:eastAsia="仿宋_GB2312" w:cs="仿宋_GB2312"/>
                <w:color w:val="auto"/>
                <w:sz w:val="32"/>
                <w:szCs w:val="32"/>
              </w:rPr>
            </w:pPr>
          </w:p>
        </w:tc>
        <w:tc>
          <w:tcPr>
            <w:tcW w:w="1705" w:type="dxa"/>
            <w:noWrap w:val="0"/>
            <w:vAlign w:val="top"/>
          </w:tcPr>
          <w:p w14:paraId="5444EDA5">
            <w:pPr>
              <w:spacing w:line="360" w:lineRule="auto"/>
              <w:rPr>
                <w:rFonts w:hint="eastAsia" w:ascii="仿宋_GB2312" w:hAnsi="仿宋_GB2312" w:eastAsia="仿宋_GB2312" w:cs="仿宋_GB2312"/>
                <w:color w:val="auto"/>
                <w:sz w:val="32"/>
                <w:szCs w:val="32"/>
              </w:rPr>
            </w:pPr>
          </w:p>
        </w:tc>
      </w:tr>
      <w:tr w14:paraId="55E19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704" w:type="dxa"/>
            <w:noWrap w:val="0"/>
            <w:vAlign w:val="top"/>
          </w:tcPr>
          <w:p w14:paraId="0D48A554">
            <w:pPr>
              <w:spacing w:line="360" w:lineRule="auto"/>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p>
        </w:tc>
        <w:tc>
          <w:tcPr>
            <w:tcW w:w="1704" w:type="dxa"/>
            <w:noWrap w:val="0"/>
            <w:vAlign w:val="top"/>
          </w:tcPr>
          <w:p w14:paraId="7A1C3EAF">
            <w:pPr>
              <w:spacing w:line="360" w:lineRule="auto"/>
              <w:rPr>
                <w:rFonts w:hint="eastAsia" w:ascii="仿宋_GB2312" w:hAnsi="仿宋_GB2312" w:eastAsia="仿宋_GB2312" w:cs="仿宋_GB2312"/>
                <w:color w:val="auto"/>
                <w:sz w:val="32"/>
                <w:szCs w:val="32"/>
              </w:rPr>
            </w:pPr>
          </w:p>
        </w:tc>
        <w:tc>
          <w:tcPr>
            <w:tcW w:w="1704" w:type="dxa"/>
            <w:noWrap w:val="0"/>
            <w:vAlign w:val="top"/>
          </w:tcPr>
          <w:p w14:paraId="201365C4">
            <w:pPr>
              <w:spacing w:line="360" w:lineRule="auto"/>
              <w:rPr>
                <w:rFonts w:hint="eastAsia" w:ascii="仿宋_GB2312" w:hAnsi="仿宋_GB2312" w:eastAsia="仿宋_GB2312" w:cs="仿宋_GB2312"/>
                <w:color w:val="auto"/>
                <w:sz w:val="32"/>
                <w:szCs w:val="32"/>
              </w:rPr>
            </w:pPr>
          </w:p>
        </w:tc>
        <w:tc>
          <w:tcPr>
            <w:tcW w:w="1705" w:type="dxa"/>
            <w:noWrap w:val="0"/>
            <w:vAlign w:val="top"/>
          </w:tcPr>
          <w:p w14:paraId="6AE00F41">
            <w:pPr>
              <w:spacing w:line="360" w:lineRule="auto"/>
              <w:rPr>
                <w:rFonts w:hint="eastAsia" w:ascii="仿宋_GB2312" w:hAnsi="仿宋_GB2312" w:eastAsia="仿宋_GB2312" w:cs="仿宋_GB2312"/>
                <w:color w:val="auto"/>
                <w:sz w:val="32"/>
                <w:szCs w:val="32"/>
              </w:rPr>
            </w:pPr>
          </w:p>
        </w:tc>
        <w:tc>
          <w:tcPr>
            <w:tcW w:w="1705" w:type="dxa"/>
            <w:noWrap w:val="0"/>
            <w:vAlign w:val="top"/>
          </w:tcPr>
          <w:p w14:paraId="1573CDED">
            <w:pPr>
              <w:spacing w:line="360" w:lineRule="auto"/>
              <w:rPr>
                <w:rFonts w:hint="eastAsia" w:ascii="仿宋_GB2312" w:hAnsi="仿宋_GB2312" w:eastAsia="仿宋_GB2312" w:cs="仿宋_GB2312"/>
                <w:color w:val="auto"/>
                <w:sz w:val="32"/>
                <w:szCs w:val="32"/>
              </w:rPr>
            </w:pPr>
          </w:p>
        </w:tc>
      </w:tr>
      <w:tr w14:paraId="2A5BA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704" w:type="dxa"/>
            <w:noWrap w:val="0"/>
            <w:vAlign w:val="top"/>
          </w:tcPr>
          <w:p w14:paraId="4E63389B">
            <w:pPr>
              <w:spacing w:line="360" w:lineRule="auto"/>
              <w:jc w:val="center"/>
              <w:rPr>
                <w:rFonts w:hint="eastAsia" w:ascii="仿宋_GB2312" w:hAnsi="仿宋_GB2312" w:eastAsia="仿宋_GB2312" w:cs="仿宋_GB2312"/>
                <w:color w:val="auto"/>
                <w:sz w:val="32"/>
                <w:szCs w:val="32"/>
              </w:rPr>
            </w:pPr>
          </w:p>
        </w:tc>
        <w:tc>
          <w:tcPr>
            <w:tcW w:w="1704" w:type="dxa"/>
            <w:noWrap w:val="0"/>
            <w:vAlign w:val="top"/>
          </w:tcPr>
          <w:p w14:paraId="31E33072">
            <w:pPr>
              <w:spacing w:line="360" w:lineRule="auto"/>
              <w:rPr>
                <w:rFonts w:hint="eastAsia" w:ascii="仿宋_GB2312" w:hAnsi="仿宋_GB2312" w:eastAsia="仿宋_GB2312" w:cs="仿宋_GB2312"/>
                <w:color w:val="auto"/>
                <w:sz w:val="32"/>
                <w:szCs w:val="32"/>
              </w:rPr>
            </w:pPr>
          </w:p>
        </w:tc>
        <w:tc>
          <w:tcPr>
            <w:tcW w:w="1704" w:type="dxa"/>
            <w:noWrap w:val="0"/>
            <w:vAlign w:val="top"/>
          </w:tcPr>
          <w:p w14:paraId="08D65BD8">
            <w:pPr>
              <w:spacing w:line="360" w:lineRule="auto"/>
              <w:rPr>
                <w:rFonts w:hint="eastAsia" w:ascii="仿宋_GB2312" w:hAnsi="仿宋_GB2312" w:eastAsia="仿宋_GB2312" w:cs="仿宋_GB2312"/>
                <w:color w:val="auto"/>
                <w:sz w:val="32"/>
                <w:szCs w:val="32"/>
              </w:rPr>
            </w:pPr>
          </w:p>
        </w:tc>
        <w:tc>
          <w:tcPr>
            <w:tcW w:w="1705" w:type="dxa"/>
            <w:noWrap w:val="0"/>
            <w:vAlign w:val="top"/>
          </w:tcPr>
          <w:p w14:paraId="15AC8CCF">
            <w:pPr>
              <w:spacing w:line="360" w:lineRule="auto"/>
              <w:rPr>
                <w:rFonts w:hint="eastAsia" w:ascii="仿宋_GB2312" w:hAnsi="仿宋_GB2312" w:eastAsia="仿宋_GB2312" w:cs="仿宋_GB2312"/>
                <w:color w:val="auto"/>
                <w:sz w:val="32"/>
                <w:szCs w:val="32"/>
              </w:rPr>
            </w:pPr>
          </w:p>
        </w:tc>
        <w:tc>
          <w:tcPr>
            <w:tcW w:w="1705" w:type="dxa"/>
            <w:noWrap w:val="0"/>
            <w:vAlign w:val="top"/>
          </w:tcPr>
          <w:p w14:paraId="1F8C7233">
            <w:pPr>
              <w:spacing w:line="360" w:lineRule="auto"/>
              <w:rPr>
                <w:rFonts w:hint="eastAsia" w:ascii="仿宋_GB2312" w:hAnsi="仿宋_GB2312" w:eastAsia="仿宋_GB2312" w:cs="仿宋_GB2312"/>
                <w:color w:val="auto"/>
                <w:sz w:val="32"/>
                <w:szCs w:val="32"/>
              </w:rPr>
            </w:pPr>
          </w:p>
        </w:tc>
      </w:tr>
    </w:tbl>
    <w:p w14:paraId="1234B6EC">
      <w:pPr>
        <w:spacing w:line="360" w:lineRule="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注：与招标文件要求逐条对应填写。</w:t>
      </w:r>
    </w:p>
    <w:p w14:paraId="78AD806E">
      <w:pPr>
        <w:spacing w:line="360" w:lineRule="auto"/>
        <w:rPr>
          <w:rFonts w:hint="eastAsia" w:ascii="仿宋_GB2312" w:hAnsi="仿宋_GB2312" w:eastAsia="仿宋_GB2312" w:cs="仿宋_GB2312"/>
          <w:color w:val="auto"/>
          <w:sz w:val="32"/>
          <w:szCs w:val="32"/>
          <w:u w:val="single"/>
        </w:rPr>
      </w:pPr>
      <w:r>
        <w:rPr>
          <w:rFonts w:hint="eastAsia" w:ascii="仿宋_GB2312" w:hAnsi="仿宋_GB2312" w:eastAsia="仿宋_GB2312" w:cs="仿宋_GB2312"/>
          <w:color w:val="auto"/>
          <w:sz w:val="32"/>
          <w:szCs w:val="32"/>
        </w:rPr>
        <w:t>投标人代表签字：</w:t>
      </w:r>
      <w:r>
        <w:rPr>
          <w:rFonts w:hint="eastAsia" w:ascii="仿宋_GB2312" w:hAnsi="仿宋_GB2312" w:eastAsia="仿宋_GB2312" w:cs="仿宋_GB2312"/>
          <w:color w:val="auto"/>
          <w:sz w:val="32"/>
          <w:szCs w:val="32"/>
          <w:u w:val="single"/>
        </w:rPr>
        <w:t>　　　　　　　　　　　　　　　</w:t>
      </w:r>
    </w:p>
    <w:p w14:paraId="46CDCAE1">
      <w:pPr>
        <w:widowControl/>
        <w:spacing w:line="360" w:lineRule="auto"/>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br w:type="page"/>
      </w:r>
      <w:r>
        <w:rPr>
          <w:rStyle w:val="53"/>
          <w:rFonts w:hint="eastAsia" w:ascii="仿宋_GB2312" w:hAnsi="仿宋_GB2312" w:eastAsia="仿宋_GB2312" w:cs="仿宋_GB2312"/>
          <w:bCs w:val="0"/>
          <w:color w:val="auto"/>
        </w:rPr>
        <w:t>9、相应的资格证明文件以及商务因素、技术因素、服务因素所需证明资料（包括不限于企业简介、企业相关证件等）（格式自拟）</w:t>
      </w:r>
    </w:p>
    <w:p w14:paraId="2DF2DAFE">
      <w:pPr>
        <w:spacing w:line="360" w:lineRule="auto"/>
        <w:rPr>
          <w:rFonts w:hint="eastAsia" w:ascii="仿宋_GB2312" w:hAnsi="仿宋_GB2312" w:eastAsia="仿宋_GB2312" w:cs="仿宋_GB2312"/>
          <w:color w:val="auto"/>
          <w:sz w:val="32"/>
          <w:szCs w:val="32"/>
        </w:rPr>
      </w:pPr>
    </w:p>
    <w:p w14:paraId="3F949DAE">
      <w:pPr>
        <w:pStyle w:val="16"/>
        <w:spacing w:line="360" w:lineRule="auto"/>
        <w:rPr>
          <w:rFonts w:hint="eastAsia" w:ascii="仿宋_GB2312" w:hAnsi="仿宋_GB2312" w:eastAsia="仿宋_GB2312" w:cs="仿宋_GB2312"/>
          <w:color w:val="auto"/>
          <w:sz w:val="32"/>
          <w:szCs w:val="32"/>
        </w:rPr>
      </w:pPr>
    </w:p>
    <w:p w14:paraId="37DA0BDE">
      <w:pPr>
        <w:pStyle w:val="16"/>
        <w:spacing w:line="360" w:lineRule="auto"/>
        <w:rPr>
          <w:rFonts w:hint="eastAsia" w:ascii="仿宋_GB2312" w:hAnsi="仿宋_GB2312" w:eastAsia="仿宋_GB2312" w:cs="仿宋_GB2312"/>
          <w:color w:val="auto"/>
          <w:sz w:val="32"/>
          <w:szCs w:val="32"/>
        </w:rPr>
      </w:pPr>
    </w:p>
    <w:p w14:paraId="28BB2B29">
      <w:pPr>
        <w:pStyle w:val="16"/>
        <w:spacing w:line="360" w:lineRule="auto"/>
        <w:rPr>
          <w:rFonts w:hint="eastAsia" w:ascii="仿宋_GB2312" w:hAnsi="仿宋_GB2312" w:eastAsia="仿宋_GB2312" w:cs="仿宋_GB2312"/>
          <w:color w:val="auto"/>
          <w:sz w:val="32"/>
          <w:szCs w:val="32"/>
        </w:rPr>
      </w:pPr>
    </w:p>
    <w:p w14:paraId="0539BCFA">
      <w:pPr>
        <w:pStyle w:val="16"/>
        <w:spacing w:line="360" w:lineRule="auto"/>
        <w:rPr>
          <w:rFonts w:hint="eastAsia" w:ascii="仿宋_GB2312" w:hAnsi="仿宋_GB2312" w:eastAsia="仿宋_GB2312" w:cs="仿宋_GB2312"/>
          <w:color w:val="auto"/>
          <w:sz w:val="32"/>
          <w:szCs w:val="32"/>
        </w:rPr>
      </w:pPr>
    </w:p>
    <w:p w14:paraId="13B93588">
      <w:pPr>
        <w:pStyle w:val="16"/>
        <w:spacing w:line="360" w:lineRule="auto"/>
        <w:rPr>
          <w:rFonts w:hint="eastAsia" w:ascii="仿宋_GB2312" w:hAnsi="仿宋_GB2312" w:eastAsia="仿宋_GB2312" w:cs="仿宋_GB2312"/>
          <w:color w:val="auto"/>
          <w:sz w:val="32"/>
          <w:szCs w:val="32"/>
        </w:rPr>
      </w:pPr>
    </w:p>
    <w:p w14:paraId="65F7149C">
      <w:pPr>
        <w:pStyle w:val="16"/>
        <w:spacing w:line="360" w:lineRule="auto"/>
        <w:rPr>
          <w:rFonts w:hint="eastAsia" w:ascii="仿宋_GB2312" w:hAnsi="仿宋_GB2312" w:eastAsia="仿宋_GB2312" w:cs="仿宋_GB2312"/>
          <w:color w:val="auto"/>
          <w:sz w:val="32"/>
          <w:szCs w:val="32"/>
        </w:rPr>
      </w:pPr>
    </w:p>
    <w:p w14:paraId="3D814864">
      <w:pPr>
        <w:pStyle w:val="16"/>
        <w:spacing w:line="360" w:lineRule="auto"/>
        <w:rPr>
          <w:rFonts w:hint="eastAsia" w:ascii="仿宋_GB2312" w:hAnsi="仿宋_GB2312" w:eastAsia="仿宋_GB2312" w:cs="仿宋_GB2312"/>
          <w:color w:val="auto"/>
          <w:sz w:val="32"/>
          <w:szCs w:val="32"/>
        </w:rPr>
      </w:pPr>
    </w:p>
    <w:p w14:paraId="2DD2C29F">
      <w:pPr>
        <w:pStyle w:val="16"/>
        <w:spacing w:line="360" w:lineRule="auto"/>
        <w:rPr>
          <w:rFonts w:hint="eastAsia" w:ascii="仿宋_GB2312" w:hAnsi="仿宋_GB2312" w:eastAsia="仿宋_GB2312" w:cs="仿宋_GB2312"/>
          <w:color w:val="auto"/>
          <w:sz w:val="32"/>
          <w:szCs w:val="32"/>
        </w:rPr>
      </w:pPr>
    </w:p>
    <w:p w14:paraId="0469852F">
      <w:pPr>
        <w:pStyle w:val="16"/>
        <w:spacing w:line="360" w:lineRule="auto"/>
        <w:rPr>
          <w:rFonts w:hint="eastAsia" w:ascii="仿宋_GB2312" w:hAnsi="仿宋_GB2312" w:eastAsia="仿宋_GB2312" w:cs="仿宋_GB2312"/>
          <w:color w:val="auto"/>
          <w:sz w:val="32"/>
          <w:szCs w:val="32"/>
        </w:rPr>
      </w:pPr>
    </w:p>
    <w:p w14:paraId="00B4E697">
      <w:pPr>
        <w:pStyle w:val="16"/>
        <w:spacing w:line="360" w:lineRule="auto"/>
        <w:rPr>
          <w:rFonts w:hint="eastAsia" w:ascii="仿宋_GB2312" w:hAnsi="仿宋_GB2312" w:eastAsia="仿宋_GB2312" w:cs="仿宋_GB2312"/>
          <w:color w:val="auto"/>
          <w:sz w:val="32"/>
          <w:szCs w:val="32"/>
        </w:rPr>
      </w:pPr>
    </w:p>
    <w:p w14:paraId="443F1A4C">
      <w:pPr>
        <w:pStyle w:val="16"/>
        <w:spacing w:line="360" w:lineRule="auto"/>
        <w:rPr>
          <w:rFonts w:hint="eastAsia" w:ascii="仿宋_GB2312" w:hAnsi="仿宋_GB2312" w:eastAsia="仿宋_GB2312" w:cs="仿宋_GB2312"/>
          <w:color w:val="auto"/>
          <w:sz w:val="32"/>
          <w:szCs w:val="32"/>
        </w:rPr>
      </w:pPr>
    </w:p>
    <w:p w14:paraId="7313AD07">
      <w:pPr>
        <w:pStyle w:val="16"/>
        <w:spacing w:line="360" w:lineRule="auto"/>
        <w:rPr>
          <w:rFonts w:hint="eastAsia" w:ascii="仿宋_GB2312" w:hAnsi="仿宋_GB2312" w:eastAsia="仿宋_GB2312" w:cs="仿宋_GB2312"/>
          <w:color w:val="auto"/>
          <w:sz w:val="32"/>
          <w:szCs w:val="32"/>
        </w:rPr>
      </w:pPr>
    </w:p>
    <w:p w14:paraId="7210F262">
      <w:pPr>
        <w:pStyle w:val="16"/>
        <w:spacing w:line="360" w:lineRule="auto"/>
        <w:rPr>
          <w:rFonts w:hint="eastAsia" w:ascii="仿宋_GB2312" w:hAnsi="仿宋_GB2312" w:eastAsia="仿宋_GB2312" w:cs="仿宋_GB2312"/>
          <w:color w:val="auto"/>
          <w:sz w:val="32"/>
          <w:szCs w:val="32"/>
        </w:rPr>
      </w:pPr>
    </w:p>
    <w:p w14:paraId="3548F75C">
      <w:pPr>
        <w:pStyle w:val="16"/>
        <w:spacing w:line="360" w:lineRule="auto"/>
        <w:rPr>
          <w:rFonts w:hint="eastAsia" w:ascii="仿宋_GB2312" w:hAnsi="仿宋_GB2312" w:eastAsia="仿宋_GB2312" w:cs="仿宋_GB2312"/>
          <w:color w:val="auto"/>
          <w:sz w:val="32"/>
          <w:szCs w:val="32"/>
        </w:rPr>
      </w:pPr>
    </w:p>
    <w:p w14:paraId="066A1660">
      <w:pPr>
        <w:pStyle w:val="16"/>
        <w:spacing w:line="360" w:lineRule="auto"/>
        <w:rPr>
          <w:rFonts w:hint="eastAsia" w:ascii="仿宋_GB2312" w:hAnsi="仿宋_GB2312" w:eastAsia="仿宋_GB2312" w:cs="仿宋_GB2312"/>
          <w:color w:val="auto"/>
          <w:sz w:val="32"/>
          <w:szCs w:val="32"/>
        </w:rPr>
      </w:pPr>
    </w:p>
    <w:p w14:paraId="02C9C336">
      <w:pPr>
        <w:pStyle w:val="16"/>
        <w:spacing w:line="360" w:lineRule="auto"/>
        <w:rPr>
          <w:rFonts w:hint="eastAsia" w:ascii="仿宋_GB2312" w:hAnsi="仿宋_GB2312" w:eastAsia="仿宋_GB2312" w:cs="仿宋_GB2312"/>
          <w:color w:val="auto"/>
          <w:sz w:val="32"/>
          <w:szCs w:val="32"/>
        </w:rPr>
      </w:pPr>
    </w:p>
    <w:p w14:paraId="19FB09F8">
      <w:pPr>
        <w:pStyle w:val="16"/>
        <w:spacing w:line="360" w:lineRule="auto"/>
        <w:rPr>
          <w:rFonts w:hint="eastAsia" w:ascii="仿宋_GB2312" w:hAnsi="仿宋_GB2312" w:eastAsia="仿宋_GB2312" w:cs="仿宋_GB2312"/>
          <w:color w:val="auto"/>
          <w:sz w:val="32"/>
          <w:szCs w:val="32"/>
        </w:rPr>
      </w:pPr>
    </w:p>
    <w:p w14:paraId="5DA3C361">
      <w:pPr>
        <w:pStyle w:val="16"/>
        <w:spacing w:line="360" w:lineRule="auto"/>
        <w:rPr>
          <w:rFonts w:hint="eastAsia" w:ascii="仿宋_GB2312" w:hAnsi="仿宋_GB2312" w:eastAsia="仿宋_GB2312" w:cs="仿宋_GB2312"/>
          <w:color w:val="auto"/>
          <w:sz w:val="32"/>
          <w:szCs w:val="32"/>
        </w:rPr>
      </w:pPr>
    </w:p>
    <w:p w14:paraId="3D814AC3">
      <w:pPr>
        <w:pStyle w:val="75"/>
        <w:spacing w:line="360" w:lineRule="auto"/>
        <w:ind w:left="0" w:leftChars="0" w:firstLine="0" w:firstLineChars="0"/>
        <w:jc w:val="center"/>
        <w:rPr>
          <w:rFonts w:hint="eastAsia" w:hAnsi="仿宋_GB2312" w:cs="仿宋_GB2312"/>
          <w:b/>
          <w:color w:val="auto"/>
          <w:sz w:val="32"/>
          <w:szCs w:val="32"/>
        </w:rPr>
      </w:pPr>
      <w:bookmarkStart w:id="320" w:name="_Toc5499"/>
      <w:r>
        <w:rPr>
          <w:rStyle w:val="53"/>
          <w:rFonts w:hint="eastAsia" w:hAnsi="仿宋_GB2312" w:cs="仿宋_GB2312"/>
          <w:bCs w:val="0"/>
          <w:color w:val="auto"/>
        </w:rPr>
        <w:t>10</w:t>
      </w:r>
      <w:r>
        <w:rPr>
          <w:rStyle w:val="53"/>
          <w:rFonts w:hint="eastAsia" w:hAnsi="仿宋_GB2312" w:eastAsia="仿宋_GB2312" w:cs="仿宋_GB2312"/>
          <w:bCs w:val="0"/>
          <w:color w:val="auto"/>
        </w:rPr>
        <w:t>、</w:t>
      </w:r>
      <w:bookmarkEnd w:id="320"/>
      <w:r>
        <w:rPr>
          <w:rFonts w:hint="eastAsia" w:hAnsi="仿宋_GB2312" w:cs="仿宋_GB2312"/>
          <w:b/>
          <w:color w:val="auto"/>
          <w:sz w:val="32"/>
          <w:szCs w:val="32"/>
        </w:rPr>
        <w:t>投标人近三年（2023年05月01日至今）类似项目业绩（附中标通知书</w:t>
      </w:r>
      <w:r>
        <w:rPr>
          <w:rFonts w:hint="eastAsia" w:hAnsi="仿宋_GB2312" w:cs="仿宋_GB2312"/>
          <w:b/>
          <w:color w:val="auto"/>
          <w:sz w:val="32"/>
          <w:szCs w:val="32"/>
          <w:lang w:val="en-US" w:eastAsia="zh-CN"/>
        </w:rPr>
        <w:t>和</w:t>
      </w:r>
      <w:r>
        <w:rPr>
          <w:rFonts w:hint="eastAsia" w:hAnsi="仿宋_GB2312" w:cs="仿宋_GB2312"/>
          <w:b/>
          <w:color w:val="auto"/>
          <w:sz w:val="32"/>
          <w:szCs w:val="32"/>
          <w:lang w:eastAsia="zh-CN"/>
        </w:rPr>
        <w:t>采购合同及验收单（或甲方评价意见表）</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2"/>
        <w:gridCol w:w="1512"/>
        <w:gridCol w:w="1512"/>
        <w:gridCol w:w="1512"/>
        <w:gridCol w:w="1514"/>
        <w:gridCol w:w="1514"/>
      </w:tblGrid>
      <w:tr w14:paraId="501AF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1512" w:type="dxa"/>
            <w:noWrap w:val="0"/>
            <w:vAlign w:val="center"/>
          </w:tcPr>
          <w:p w14:paraId="039D454C">
            <w:pPr>
              <w:pStyle w:val="19"/>
              <w:spacing w:line="360" w:lineRule="auto"/>
              <w:jc w:val="center"/>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序号</w:t>
            </w:r>
          </w:p>
        </w:tc>
        <w:tc>
          <w:tcPr>
            <w:tcW w:w="1512" w:type="dxa"/>
            <w:noWrap w:val="0"/>
            <w:vAlign w:val="center"/>
          </w:tcPr>
          <w:p w14:paraId="19508BF4">
            <w:pPr>
              <w:pStyle w:val="19"/>
              <w:spacing w:line="360" w:lineRule="auto"/>
              <w:jc w:val="center"/>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项目名称</w:t>
            </w:r>
          </w:p>
        </w:tc>
        <w:tc>
          <w:tcPr>
            <w:tcW w:w="1512" w:type="dxa"/>
            <w:noWrap w:val="0"/>
            <w:vAlign w:val="center"/>
          </w:tcPr>
          <w:p w14:paraId="70D7D7E5">
            <w:pPr>
              <w:pStyle w:val="19"/>
              <w:spacing w:line="360" w:lineRule="auto"/>
              <w:jc w:val="center"/>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项目内容</w:t>
            </w:r>
          </w:p>
        </w:tc>
        <w:tc>
          <w:tcPr>
            <w:tcW w:w="1512" w:type="dxa"/>
            <w:noWrap w:val="0"/>
            <w:vAlign w:val="center"/>
          </w:tcPr>
          <w:p w14:paraId="3A2D50AD">
            <w:pPr>
              <w:pStyle w:val="19"/>
              <w:spacing w:line="360" w:lineRule="auto"/>
              <w:jc w:val="center"/>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合同总价</w:t>
            </w:r>
          </w:p>
        </w:tc>
        <w:tc>
          <w:tcPr>
            <w:tcW w:w="1514" w:type="dxa"/>
            <w:noWrap w:val="0"/>
            <w:vAlign w:val="center"/>
          </w:tcPr>
          <w:p w14:paraId="0967E639">
            <w:pPr>
              <w:pStyle w:val="19"/>
              <w:spacing w:line="360" w:lineRule="auto"/>
              <w:jc w:val="center"/>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完成时间</w:t>
            </w:r>
          </w:p>
        </w:tc>
        <w:tc>
          <w:tcPr>
            <w:tcW w:w="1514" w:type="dxa"/>
            <w:noWrap w:val="0"/>
            <w:vAlign w:val="center"/>
          </w:tcPr>
          <w:p w14:paraId="36F60A59">
            <w:pPr>
              <w:pStyle w:val="19"/>
              <w:spacing w:line="360" w:lineRule="auto"/>
              <w:jc w:val="center"/>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备注</w:t>
            </w:r>
          </w:p>
        </w:tc>
      </w:tr>
      <w:tr w14:paraId="1F72B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1512" w:type="dxa"/>
            <w:noWrap w:val="0"/>
            <w:vAlign w:val="center"/>
          </w:tcPr>
          <w:p w14:paraId="30407654">
            <w:pPr>
              <w:pStyle w:val="19"/>
              <w:spacing w:line="360" w:lineRule="auto"/>
              <w:jc w:val="center"/>
              <w:rPr>
                <w:rFonts w:hint="eastAsia" w:ascii="仿宋_GB2312" w:hAnsi="仿宋_GB2312" w:eastAsia="仿宋_GB2312" w:cs="仿宋_GB2312"/>
                <w:color w:val="auto"/>
                <w:kern w:val="2"/>
                <w:sz w:val="32"/>
                <w:szCs w:val="32"/>
                <w:lang w:val="en-US" w:eastAsia="zh-CN"/>
              </w:rPr>
            </w:pPr>
          </w:p>
        </w:tc>
        <w:tc>
          <w:tcPr>
            <w:tcW w:w="1512" w:type="dxa"/>
            <w:noWrap w:val="0"/>
            <w:vAlign w:val="center"/>
          </w:tcPr>
          <w:p w14:paraId="67719428">
            <w:pPr>
              <w:pStyle w:val="19"/>
              <w:spacing w:line="360" w:lineRule="auto"/>
              <w:jc w:val="center"/>
              <w:rPr>
                <w:rFonts w:hint="eastAsia" w:ascii="仿宋_GB2312" w:hAnsi="仿宋_GB2312" w:eastAsia="仿宋_GB2312" w:cs="仿宋_GB2312"/>
                <w:color w:val="auto"/>
                <w:kern w:val="2"/>
                <w:sz w:val="32"/>
                <w:szCs w:val="32"/>
                <w:lang w:val="en-US" w:eastAsia="zh-CN"/>
              </w:rPr>
            </w:pPr>
          </w:p>
        </w:tc>
        <w:tc>
          <w:tcPr>
            <w:tcW w:w="1512" w:type="dxa"/>
            <w:noWrap w:val="0"/>
            <w:vAlign w:val="center"/>
          </w:tcPr>
          <w:p w14:paraId="6974F2F2">
            <w:pPr>
              <w:pStyle w:val="19"/>
              <w:spacing w:line="360" w:lineRule="auto"/>
              <w:jc w:val="center"/>
              <w:rPr>
                <w:rFonts w:hint="eastAsia" w:ascii="仿宋_GB2312" w:hAnsi="仿宋_GB2312" w:eastAsia="仿宋_GB2312" w:cs="仿宋_GB2312"/>
                <w:color w:val="auto"/>
                <w:kern w:val="2"/>
                <w:sz w:val="32"/>
                <w:szCs w:val="32"/>
                <w:lang w:val="en-US" w:eastAsia="zh-CN"/>
              </w:rPr>
            </w:pPr>
          </w:p>
        </w:tc>
        <w:tc>
          <w:tcPr>
            <w:tcW w:w="1512" w:type="dxa"/>
            <w:noWrap w:val="0"/>
            <w:vAlign w:val="center"/>
          </w:tcPr>
          <w:p w14:paraId="17280A30">
            <w:pPr>
              <w:pStyle w:val="19"/>
              <w:spacing w:line="360" w:lineRule="auto"/>
              <w:jc w:val="center"/>
              <w:rPr>
                <w:rFonts w:hint="eastAsia" w:ascii="仿宋_GB2312" w:hAnsi="仿宋_GB2312" w:eastAsia="仿宋_GB2312" w:cs="仿宋_GB2312"/>
                <w:color w:val="auto"/>
                <w:kern w:val="2"/>
                <w:sz w:val="32"/>
                <w:szCs w:val="32"/>
                <w:lang w:val="en-US" w:eastAsia="zh-CN"/>
              </w:rPr>
            </w:pPr>
          </w:p>
        </w:tc>
        <w:tc>
          <w:tcPr>
            <w:tcW w:w="1514" w:type="dxa"/>
            <w:noWrap w:val="0"/>
            <w:vAlign w:val="center"/>
          </w:tcPr>
          <w:p w14:paraId="3DF1C739">
            <w:pPr>
              <w:pStyle w:val="19"/>
              <w:spacing w:line="360" w:lineRule="auto"/>
              <w:jc w:val="center"/>
              <w:rPr>
                <w:rFonts w:hint="eastAsia" w:ascii="仿宋_GB2312" w:hAnsi="仿宋_GB2312" w:eastAsia="仿宋_GB2312" w:cs="仿宋_GB2312"/>
                <w:color w:val="auto"/>
                <w:kern w:val="2"/>
                <w:sz w:val="32"/>
                <w:szCs w:val="32"/>
                <w:lang w:val="en-US" w:eastAsia="zh-CN"/>
              </w:rPr>
            </w:pPr>
          </w:p>
        </w:tc>
        <w:tc>
          <w:tcPr>
            <w:tcW w:w="1514" w:type="dxa"/>
            <w:noWrap w:val="0"/>
            <w:vAlign w:val="center"/>
          </w:tcPr>
          <w:p w14:paraId="2310E3E6">
            <w:pPr>
              <w:pStyle w:val="19"/>
              <w:spacing w:line="360" w:lineRule="auto"/>
              <w:jc w:val="center"/>
              <w:rPr>
                <w:rFonts w:hint="eastAsia" w:ascii="仿宋_GB2312" w:hAnsi="仿宋_GB2312" w:eastAsia="仿宋_GB2312" w:cs="仿宋_GB2312"/>
                <w:color w:val="auto"/>
                <w:kern w:val="2"/>
                <w:sz w:val="32"/>
                <w:szCs w:val="32"/>
                <w:lang w:val="en-US" w:eastAsia="zh-CN"/>
              </w:rPr>
            </w:pPr>
          </w:p>
        </w:tc>
      </w:tr>
      <w:tr w14:paraId="278A8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1512" w:type="dxa"/>
            <w:noWrap w:val="0"/>
            <w:vAlign w:val="center"/>
          </w:tcPr>
          <w:p w14:paraId="25E9EE17">
            <w:pPr>
              <w:pStyle w:val="19"/>
              <w:spacing w:line="360" w:lineRule="auto"/>
              <w:jc w:val="center"/>
              <w:rPr>
                <w:rFonts w:hint="eastAsia" w:ascii="仿宋_GB2312" w:hAnsi="仿宋_GB2312" w:eastAsia="仿宋_GB2312" w:cs="仿宋_GB2312"/>
                <w:color w:val="auto"/>
                <w:kern w:val="2"/>
                <w:sz w:val="32"/>
                <w:szCs w:val="32"/>
                <w:lang w:val="en-US" w:eastAsia="zh-CN"/>
              </w:rPr>
            </w:pPr>
          </w:p>
        </w:tc>
        <w:tc>
          <w:tcPr>
            <w:tcW w:w="1512" w:type="dxa"/>
            <w:noWrap w:val="0"/>
            <w:vAlign w:val="center"/>
          </w:tcPr>
          <w:p w14:paraId="418D5D06">
            <w:pPr>
              <w:pStyle w:val="19"/>
              <w:spacing w:line="360" w:lineRule="auto"/>
              <w:jc w:val="center"/>
              <w:rPr>
                <w:rFonts w:hint="eastAsia" w:ascii="仿宋_GB2312" w:hAnsi="仿宋_GB2312" w:eastAsia="仿宋_GB2312" w:cs="仿宋_GB2312"/>
                <w:color w:val="auto"/>
                <w:kern w:val="2"/>
                <w:sz w:val="32"/>
                <w:szCs w:val="32"/>
                <w:lang w:val="en-US" w:eastAsia="zh-CN"/>
              </w:rPr>
            </w:pPr>
          </w:p>
        </w:tc>
        <w:tc>
          <w:tcPr>
            <w:tcW w:w="1512" w:type="dxa"/>
            <w:noWrap w:val="0"/>
            <w:vAlign w:val="center"/>
          </w:tcPr>
          <w:p w14:paraId="68CF13CD">
            <w:pPr>
              <w:pStyle w:val="19"/>
              <w:spacing w:line="360" w:lineRule="auto"/>
              <w:jc w:val="center"/>
              <w:rPr>
                <w:rFonts w:hint="eastAsia" w:ascii="仿宋_GB2312" w:hAnsi="仿宋_GB2312" w:eastAsia="仿宋_GB2312" w:cs="仿宋_GB2312"/>
                <w:color w:val="auto"/>
                <w:kern w:val="2"/>
                <w:sz w:val="32"/>
                <w:szCs w:val="32"/>
                <w:lang w:val="en-US" w:eastAsia="zh-CN"/>
              </w:rPr>
            </w:pPr>
          </w:p>
        </w:tc>
        <w:tc>
          <w:tcPr>
            <w:tcW w:w="1512" w:type="dxa"/>
            <w:noWrap w:val="0"/>
            <w:vAlign w:val="center"/>
          </w:tcPr>
          <w:p w14:paraId="7149B1F3">
            <w:pPr>
              <w:pStyle w:val="19"/>
              <w:spacing w:line="360" w:lineRule="auto"/>
              <w:jc w:val="center"/>
              <w:rPr>
                <w:rFonts w:hint="eastAsia" w:ascii="仿宋_GB2312" w:hAnsi="仿宋_GB2312" w:eastAsia="仿宋_GB2312" w:cs="仿宋_GB2312"/>
                <w:color w:val="auto"/>
                <w:kern w:val="2"/>
                <w:sz w:val="32"/>
                <w:szCs w:val="32"/>
                <w:lang w:val="en-US" w:eastAsia="zh-CN"/>
              </w:rPr>
            </w:pPr>
          </w:p>
        </w:tc>
        <w:tc>
          <w:tcPr>
            <w:tcW w:w="1514" w:type="dxa"/>
            <w:noWrap w:val="0"/>
            <w:vAlign w:val="center"/>
          </w:tcPr>
          <w:p w14:paraId="15E1AFF3">
            <w:pPr>
              <w:pStyle w:val="19"/>
              <w:spacing w:line="360" w:lineRule="auto"/>
              <w:jc w:val="center"/>
              <w:rPr>
                <w:rFonts w:hint="eastAsia" w:ascii="仿宋_GB2312" w:hAnsi="仿宋_GB2312" w:eastAsia="仿宋_GB2312" w:cs="仿宋_GB2312"/>
                <w:color w:val="auto"/>
                <w:kern w:val="2"/>
                <w:sz w:val="32"/>
                <w:szCs w:val="32"/>
                <w:lang w:val="en-US" w:eastAsia="zh-CN"/>
              </w:rPr>
            </w:pPr>
          </w:p>
        </w:tc>
        <w:tc>
          <w:tcPr>
            <w:tcW w:w="1514" w:type="dxa"/>
            <w:noWrap w:val="0"/>
            <w:vAlign w:val="center"/>
          </w:tcPr>
          <w:p w14:paraId="41090D2E">
            <w:pPr>
              <w:pStyle w:val="19"/>
              <w:spacing w:line="360" w:lineRule="auto"/>
              <w:jc w:val="center"/>
              <w:rPr>
                <w:rFonts w:hint="eastAsia" w:ascii="仿宋_GB2312" w:hAnsi="仿宋_GB2312" w:eastAsia="仿宋_GB2312" w:cs="仿宋_GB2312"/>
                <w:color w:val="auto"/>
                <w:kern w:val="2"/>
                <w:sz w:val="32"/>
                <w:szCs w:val="32"/>
                <w:lang w:val="en-US" w:eastAsia="zh-CN"/>
              </w:rPr>
            </w:pPr>
          </w:p>
        </w:tc>
      </w:tr>
      <w:tr w14:paraId="7358F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1512" w:type="dxa"/>
            <w:noWrap w:val="0"/>
            <w:vAlign w:val="center"/>
          </w:tcPr>
          <w:p w14:paraId="1FCA9F32">
            <w:pPr>
              <w:pStyle w:val="19"/>
              <w:spacing w:line="360" w:lineRule="auto"/>
              <w:jc w:val="center"/>
              <w:rPr>
                <w:rFonts w:hint="eastAsia" w:ascii="仿宋_GB2312" w:hAnsi="仿宋_GB2312" w:eastAsia="仿宋_GB2312" w:cs="仿宋_GB2312"/>
                <w:color w:val="auto"/>
                <w:kern w:val="2"/>
                <w:sz w:val="32"/>
                <w:szCs w:val="32"/>
                <w:lang w:val="en-US" w:eastAsia="zh-CN"/>
              </w:rPr>
            </w:pPr>
          </w:p>
        </w:tc>
        <w:tc>
          <w:tcPr>
            <w:tcW w:w="1512" w:type="dxa"/>
            <w:noWrap w:val="0"/>
            <w:vAlign w:val="center"/>
          </w:tcPr>
          <w:p w14:paraId="5C1961D7">
            <w:pPr>
              <w:pStyle w:val="19"/>
              <w:spacing w:line="360" w:lineRule="auto"/>
              <w:jc w:val="center"/>
              <w:rPr>
                <w:rFonts w:hint="eastAsia" w:ascii="仿宋_GB2312" w:hAnsi="仿宋_GB2312" w:eastAsia="仿宋_GB2312" w:cs="仿宋_GB2312"/>
                <w:color w:val="auto"/>
                <w:kern w:val="2"/>
                <w:sz w:val="32"/>
                <w:szCs w:val="32"/>
                <w:lang w:val="en-US" w:eastAsia="zh-CN"/>
              </w:rPr>
            </w:pPr>
          </w:p>
        </w:tc>
        <w:tc>
          <w:tcPr>
            <w:tcW w:w="1512" w:type="dxa"/>
            <w:noWrap w:val="0"/>
            <w:vAlign w:val="center"/>
          </w:tcPr>
          <w:p w14:paraId="6CA9728C">
            <w:pPr>
              <w:pStyle w:val="19"/>
              <w:spacing w:line="360" w:lineRule="auto"/>
              <w:jc w:val="center"/>
              <w:rPr>
                <w:rFonts w:hint="eastAsia" w:ascii="仿宋_GB2312" w:hAnsi="仿宋_GB2312" w:eastAsia="仿宋_GB2312" w:cs="仿宋_GB2312"/>
                <w:color w:val="auto"/>
                <w:kern w:val="2"/>
                <w:sz w:val="32"/>
                <w:szCs w:val="32"/>
                <w:lang w:val="en-US" w:eastAsia="zh-CN"/>
              </w:rPr>
            </w:pPr>
          </w:p>
        </w:tc>
        <w:tc>
          <w:tcPr>
            <w:tcW w:w="1512" w:type="dxa"/>
            <w:noWrap w:val="0"/>
            <w:vAlign w:val="center"/>
          </w:tcPr>
          <w:p w14:paraId="55CEE93F">
            <w:pPr>
              <w:pStyle w:val="19"/>
              <w:spacing w:line="360" w:lineRule="auto"/>
              <w:jc w:val="center"/>
              <w:rPr>
                <w:rFonts w:hint="eastAsia" w:ascii="仿宋_GB2312" w:hAnsi="仿宋_GB2312" w:eastAsia="仿宋_GB2312" w:cs="仿宋_GB2312"/>
                <w:color w:val="auto"/>
                <w:kern w:val="2"/>
                <w:sz w:val="32"/>
                <w:szCs w:val="32"/>
                <w:lang w:val="en-US" w:eastAsia="zh-CN"/>
              </w:rPr>
            </w:pPr>
          </w:p>
        </w:tc>
        <w:tc>
          <w:tcPr>
            <w:tcW w:w="1514" w:type="dxa"/>
            <w:noWrap w:val="0"/>
            <w:vAlign w:val="center"/>
          </w:tcPr>
          <w:p w14:paraId="43928B1E">
            <w:pPr>
              <w:pStyle w:val="19"/>
              <w:spacing w:line="360" w:lineRule="auto"/>
              <w:jc w:val="center"/>
              <w:rPr>
                <w:rFonts w:hint="eastAsia" w:ascii="仿宋_GB2312" w:hAnsi="仿宋_GB2312" w:eastAsia="仿宋_GB2312" w:cs="仿宋_GB2312"/>
                <w:color w:val="auto"/>
                <w:kern w:val="2"/>
                <w:sz w:val="32"/>
                <w:szCs w:val="32"/>
                <w:lang w:val="en-US" w:eastAsia="zh-CN"/>
              </w:rPr>
            </w:pPr>
          </w:p>
        </w:tc>
        <w:tc>
          <w:tcPr>
            <w:tcW w:w="1514" w:type="dxa"/>
            <w:noWrap w:val="0"/>
            <w:vAlign w:val="center"/>
          </w:tcPr>
          <w:p w14:paraId="283A6679">
            <w:pPr>
              <w:pStyle w:val="19"/>
              <w:spacing w:line="360" w:lineRule="auto"/>
              <w:jc w:val="center"/>
              <w:rPr>
                <w:rFonts w:hint="eastAsia" w:ascii="仿宋_GB2312" w:hAnsi="仿宋_GB2312" w:eastAsia="仿宋_GB2312" w:cs="仿宋_GB2312"/>
                <w:color w:val="auto"/>
                <w:kern w:val="2"/>
                <w:sz w:val="32"/>
                <w:szCs w:val="32"/>
                <w:lang w:val="en-US" w:eastAsia="zh-CN"/>
              </w:rPr>
            </w:pPr>
          </w:p>
        </w:tc>
      </w:tr>
      <w:tr w14:paraId="3B6EA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1512" w:type="dxa"/>
            <w:noWrap w:val="0"/>
            <w:vAlign w:val="center"/>
          </w:tcPr>
          <w:p w14:paraId="03E2D104">
            <w:pPr>
              <w:pStyle w:val="19"/>
              <w:spacing w:line="360" w:lineRule="auto"/>
              <w:jc w:val="center"/>
              <w:rPr>
                <w:rFonts w:hint="eastAsia" w:ascii="仿宋_GB2312" w:hAnsi="仿宋_GB2312" w:eastAsia="仿宋_GB2312" w:cs="仿宋_GB2312"/>
                <w:color w:val="auto"/>
                <w:kern w:val="2"/>
                <w:sz w:val="32"/>
                <w:szCs w:val="32"/>
                <w:lang w:val="en-US" w:eastAsia="zh-CN"/>
              </w:rPr>
            </w:pPr>
          </w:p>
        </w:tc>
        <w:tc>
          <w:tcPr>
            <w:tcW w:w="1512" w:type="dxa"/>
            <w:noWrap w:val="0"/>
            <w:vAlign w:val="center"/>
          </w:tcPr>
          <w:p w14:paraId="23B8FECB">
            <w:pPr>
              <w:pStyle w:val="19"/>
              <w:spacing w:line="360" w:lineRule="auto"/>
              <w:jc w:val="center"/>
              <w:rPr>
                <w:rFonts w:hint="eastAsia" w:ascii="仿宋_GB2312" w:hAnsi="仿宋_GB2312" w:eastAsia="仿宋_GB2312" w:cs="仿宋_GB2312"/>
                <w:color w:val="auto"/>
                <w:kern w:val="2"/>
                <w:sz w:val="32"/>
                <w:szCs w:val="32"/>
                <w:lang w:val="en-US" w:eastAsia="zh-CN"/>
              </w:rPr>
            </w:pPr>
          </w:p>
        </w:tc>
        <w:tc>
          <w:tcPr>
            <w:tcW w:w="1512" w:type="dxa"/>
            <w:noWrap w:val="0"/>
            <w:vAlign w:val="center"/>
          </w:tcPr>
          <w:p w14:paraId="74B2CEB8">
            <w:pPr>
              <w:pStyle w:val="19"/>
              <w:spacing w:line="360" w:lineRule="auto"/>
              <w:jc w:val="center"/>
              <w:rPr>
                <w:rFonts w:hint="eastAsia" w:ascii="仿宋_GB2312" w:hAnsi="仿宋_GB2312" w:eastAsia="仿宋_GB2312" w:cs="仿宋_GB2312"/>
                <w:color w:val="auto"/>
                <w:kern w:val="2"/>
                <w:sz w:val="32"/>
                <w:szCs w:val="32"/>
                <w:lang w:val="en-US" w:eastAsia="zh-CN"/>
              </w:rPr>
            </w:pPr>
          </w:p>
        </w:tc>
        <w:tc>
          <w:tcPr>
            <w:tcW w:w="1512" w:type="dxa"/>
            <w:noWrap w:val="0"/>
            <w:vAlign w:val="center"/>
          </w:tcPr>
          <w:p w14:paraId="00B5072C">
            <w:pPr>
              <w:pStyle w:val="19"/>
              <w:spacing w:line="360" w:lineRule="auto"/>
              <w:jc w:val="center"/>
              <w:rPr>
                <w:rFonts w:hint="eastAsia" w:ascii="仿宋_GB2312" w:hAnsi="仿宋_GB2312" w:eastAsia="仿宋_GB2312" w:cs="仿宋_GB2312"/>
                <w:color w:val="auto"/>
                <w:kern w:val="2"/>
                <w:sz w:val="32"/>
                <w:szCs w:val="32"/>
                <w:lang w:val="en-US" w:eastAsia="zh-CN"/>
              </w:rPr>
            </w:pPr>
          </w:p>
        </w:tc>
        <w:tc>
          <w:tcPr>
            <w:tcW w:w="1514" w:type="dxa"/>
            <w:noWrap w:val="0"/>
            <w:vAlign w:val="center"/>
          </w:tcPr>
          <w:p w14:paraId="58699A90">
            <w:pPr>
              <w:pStyle w:val="19"/>
              <w:spacing w:line="360" w:lineRule="auto"/>
              <w:jc w:val="center"/>
              <w:rPr>
                <w:rFonts w:hint="eastAsia" w:ascii="仿宋_GB2312" w:hAnsi="仿宋_GB2312" w:eastAsia="仿宋_GB2312" w:cs="仿宋_GB2312"/>
                <w:color w:val="auto"/>
                <w:kern w:val="2"/>
                <w:sz w:val="32"/>
                <w:szCs w:val="32"/>
                <w:lang w:val="en-US" w:eastAsia="zh-CN"/>
              </w:rPr>
            </w:pPr>
          </w:p>
        </w:tc>
        <w:tc>
          <w:tcPr>
            <w:tcW w:w="1514" w:type="dxa"/>
            <w:noWrap w:val="0"/>
            <w:vAlign w:val="center"/>
          </w:tcPr>
          <w:p w14:paraId="13712C6B">
            <w:pPr>
              <w:pStyle w:val="19"/>
              <w:spacing w:line="360" w:lineRule="auto"/>
              <w:jc w:val="center"/>
              <w:rPr>
                <w:rFonts w:hint="eastAsia" w:ascii="仿宋_GB2312" w:hAnsi="仿宋_GB2312" w:eastAsia="仿宋_GB2312" w:cs="仿宋_GB2312"/>
                <w:color w:val="auto"/>
                <w:kern w:val="2"/>
                <w:sz w:val="32"/>
                <w:szCs w:val="32"/>
                <w:lang w:val="en-US" w:eastAsia="zh-CN"/>
              </w:rPr>
            </w:pPr>
          </w:p>
        </w:tc>
      </w:tr>
      <w:tr w14:paraId="0241F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1512" w:type="dxa"/>
            <w:noWrap w:val="0"/>
            <w:vAlign w:val="center"/>
          </w:tcPr>
          <w:p w14:paraId="75AD35C8">
            <w:pPr>
              <w:pStyle w:val="19"/>
              <w:spacing w:line="360" w:lineRule="auto"/>
              <w:jc w:val="center"/>
              <w:rPr>
                <w:rFonts w:hint="eastAsia" w:ascii="仿宋_GB2312" w:hAnsi="仿宋_GB2312" w:eastAsia="仿宋_GB2312" w:cs="仿宋_GB2312"/>
                <w:color w:val="auto"/>
                <w:kern w:val="2"/>
                <w:sz w:val="32"/>
                <w:szCs w:val="32"/>
                <w:lang w:val="en-US" w:eastAsia="zh-CN"/>
              </w:rPr>
            </w:pPr>
          </w:p>
        </w:tc>
        <w:tc>
          <w:tcPr>
            <w:tcW w:w="1512" w:type="dxa"/>
            <w:noWrap w:val="0"/>
            <w:vAlign w:val="center"/>
          </w:tcPr>
          <w:p w14:paraId="4A530A8B">
            <w:pPr>
              <w:pStyle w:val="19"/>
              <w:spacing w:line="360" w:lineRule="auto"/>
              <w:jc w:val="center"/>
              <w:rPr>
                <w:rFonts w:hint="eastAsia" w:ascii="仿宋_GB2312" w:hAnsi="仿宋_GB2312" w:eastAsia="仿宋_GB2312" w:cs="仿宋_GB2312"/>
                <w:color w:val="auto"/>
                <w:kern w:val="2"/>
                <w:sz w:val="32"/>
                <w:szCs w:val="32"/>
                <w:lang w:val="en-US" w:eastAsia="zh-CN"/>
              </w:rPr>
            </w:pPr>
          </w:p>
        </w:tc>
        <w:tc>
          <w:tcPr>
            <w:tcW w:w="1512" w:type="dxa"/>
            <w:noWrap w:val="0"/>
            <w:vAlign w:val="center"/>
          </w:tcPr>
          <w:p w14:paraId="446A80C5">
            <w:pPr>
              <w:pStyle w:val="19"/>
              <w:spacing w:line="360" w:lineRule="auto"/>
              <w:jc w:val="center"/>
              <w:rPr>
                <w:rFonts w:hint="eastAsia" w:ascii="仿宋_GB2312" w:hAnsi="仿宋_GB2312" w:eastAsia="仿宋_GB2312" w:cs="仿宋_GB2312"/>
                <w:color w:val="auto"/>
                <w:kern w:val="2"/>
                <w:sz w:val="32"/>
                <w:szCs w:val="32"/>
                <w:lang w:val="en-US" w:eastAsia="zh-CN"/>
              </w:rPr>
            </w:pPr>
          </w:p>
        </w:tc>
        <w:tc>
          <w:tcPr>
            <w:tcW w:w="1512" w:type="dxa"/>
            <w:noWrap w:val="0"/>
            <w:vAlign w:val="center"/>
          </w:tcPr>
          <w:p w14:paraId="151D91D2">
            <w:pPr>
              <w:pStyle w:val="19"/>
              <w:spacing w:line="360" w:lineRule="auto"/>
              <w:jc w:val="center"/>
              <w:rPr>
                <w:rFonts w:hint="eastAsia" w:ascii="仿宋_GB2312" w:hAnsi="仿宋_GB2312" w:eastAsia="仿宋_GB2312" w:cs="仿宋_GB2312"/>
                <w:color w:val="auto"/>
                <w:kern w:val="2"/>
                <w:sz w:val="32"/>
                <w:szCs w:val="32"/>
                <w:lang w:val="en-US" w:eastAsia="zh-CN"/>
              </w:rPr>
            </w:pPr>
          </w:p>
        </w:tc>
        <w:tc>
          <w:tcPr>
            <w:tcW w:w="1514" w:type="dxa"/>
            <w:noWrap w:val="0"/>
            <w:vAlign w:val="center"/>
          </w:tcPr>
          <w:p w14:paraId="3AF1E22D">
            <w:pPr>
              <w:pStyle w:val="19"/>
              <w:spacing w:line="360" w:lineRule="auto"/>
              <w:jc w:val="center"/>
              <w:rPr>
                <w:rFonts w:hint="eastAsia" w:ascii="仿宋_GB2312" w:hAnsi="仿宋_GB2312" w:eastAsia="仿宋_GB2312" w:cs="仿宋_GB2312"/>
                <w:color w:val="auto"/>
                <w:kern w:val="2"/>
                <w:sz w:val="32"/>
                <w:szCs w:val="32"/>
                <w:lang w:val="en-US" w:eastAsia="zh-CN"/>
              </w:rPr>
            </w:pPr>
          </w:p>
        </w:tc>
        <w:tc>
          <w:tcPr>
            <w:tcW w:w="1514" w:type="dxa"/>
            <w:noWrap w:val="0"/>
            <w:vAlign w:val="center"/>
          </w:tcPr>
          <w:p w14:paraId="4FF4B819">
            <w:pPr>
              <w:pStyle w:val="19"/>
              <w:spacing w:line="360" w:lineRule="auto"/>
              <w:jc w:val="center"/>
              <w:rPr>
                <w:rFonts w:hint="eastAsia" w:ascii="仿宋_GB2312" w:hAnsi="仿宋_GB2312" w:eastAsia="仿宋_GB2312" w:cs="仿宋_GB2312"/>
                <w:color w:val="auto"/>
                <w:kern w:val="2"/>
                <w:sz w:val="32"/>
                <w:szCs w:val="32"/>
                <w:lang w:val="en-US" w:eastAsia="zh-CN"/>
              </w:rPr>
            </w:pPr>
          </w:p>
        </w:tc>
      </w:tr>
      <w:tr w14:paraId="25121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1512" w:type="dxa"/>
            <w:noWrap w:val="0"/>
            <w:vAlign w:val="center"/>
          </w:tcPr>
          <w:p w14:paraId="64E3B75D">
            <w:pPr>
              <w:pStyle w:val="19"/>
              <w:spacing w:line="360" w:lineRule="auto"/>
              <w:jc w:val="center"/>
              <w:rPr>
                <w:rFonts w:hint="eastAsia" w:ascii="仿宋_GB2312" w:hAnsi="仿宋_GB2312" w:eastAsia="仿宋_GB2312" w:cs="仿宋_GB2312"/>
                <w:color w:val="auto"/>
                <w:kern w:val="2"/>
                <w:sz w:val="32"/>
                <w:szCs w:val="32"/>
                <w:lang w:val="en-US" w:eastAsia="zh-CN"/>
              </w:rPr>
            </w:pPr>
          </w:p>
        </w:tc>
        <w:tc>
          <w:tcPr>
            <w:tcW w:w="1512" w:type="dxa"/>
            <w:noWrap w:val="0"/>
            <w:vAlign w:val="center"/>
          </w:tcPr>
          <w:p w14:paraId="685D2536">
            <w:pPr>
              <w:pStyle w:val="19"/>
              <w:spacing w:line="360" w:lineRule="auto"/>
              <w:jc w:val="center"/>
              <w:rPr>
                <w:rFonts w:hint="eastAsia" w:ascii="仿宋_GB2312" w:hAnsi="仿宋_GB2312" w:eastAsia="仿宋_GB2312" w:cs="仿宋_GB2312"/>
                <w:color w:val="auto"/>
                <w:kern w:val="2"/>
                <w:sz w:val="32"/>
                <w:szCs w:val="32"/>
                <w:lang w:val="en-US" w:eastAsia="zh-CN"/>
              </w:rPr>
            </w:pPr>
          </w:p>
        </w:tc>
        <w:tc>
          <w:tcPr>
            <w:tcW w:w="1512" w:type="dxa"/>
            <w:noWrap w:val="0"/>
            <w:vAlign w:val="center"/>
          </w:tcPr>
          <w:p w14:paraId="276BE3EE">
            <w:pPr>
              <w:pStyle w:val="19"/>
              <w:spacing w:line="360" w:lineRule="auto"/>
              <w:jc w:val="center"/>
              <w:rPr>
                <w:rFonts w:hint="eastAsia" w:ascii="仿宋_GB2312" w:hAnsi="仿宋_GB2312" w:eastAsia="仿宋_GB2312" w:cs="仿宋_GB2312"/>
                <w:color w:val="auto"/>
                <w:kern w:val="2"/>
                <w:sz w:val="32"/>
                <w:szCs w:val="32"/>
                <w:lang w:val="en-US" w:eastAsia="zh-CN"/>
              </w:rPr>
            </w:pPr>
          </w:p>
        </w:tc>
        <w:tc>
          <w:tcPr>
            <w:tcW w:w="1512" w:type="dxa"/>
            <w:noWrap w:val="0"/>
            <w:vAlign w:val="center"/>
          </w:tcPr>
          <w:p w14:paraId="56C7D2FD">
            <w:pPr>
              <w:pStyle w:val="19"/>
              <w:spacing w:line="360" w:lineRule="auto"/>
              <w:jc w:val="center"/>
              <w:rPr>
                <w:rFonts w:hint="eastAsia" w:ascii="仿宋_GB2312" w:hAnsi="仿宋_GB2312" w:eastAsia="仿宋_GB2312" w:cs="仿宋_GB2312"/>
                <w:color w:val="auto"/>
                <w:kern w:val="2"/>
                <w:sz w:val="32"/>
                <w:szCs w:val="32"/>
                <w:lang w:val="en-US" w:eastAsia="zh-CN"/>
              </w:rPr>
            </w:pPr>
          </w:p>
        </w:tc>
        <w:tc>
          <w:tcPr>
            <w:tcW w:w="1514" w:type="dxa"/>
            <w:noWrap w:val="0"/>
            <w:vAlign w:val="center"/>
          </w:tcPr>
          <w:p w14:paraId="6191B708">
            <w:pPr>
              <w:pStyle w:val="19"/>
              <w:spacing w:line="360" w:lineRule="auto"/>
              <w:jc w:val="center"/>
              <w:rPr>
                <w:rFonts w:hint="eastAsia" w:ascii="仿宋_GB2312" w:hAnsi="仿宋_GB2312" w:eastAsia="仿宋_GB2312" w:cs="仿宋_GB2312"/>
                <w:color w:val="auto"/>
                <w:kern w:val="2"/>
                <w:sz w:val="32"/>
                <w:szCs w:val="32"/>
                <w:lang w:val="en-US" w:eastAsia="zh-CN"/>
              </w:rPr>
            </w:pPr>
          </w:p>
        </w:tc>
        <w:tc>
          <w:tcPr>
            <w:tcW w:w="1514" w:type="dxa"/>
            <w:noWrap w:val="0"/>
            <w:vAlign w:val="center"/>
          </w:tcPr>
          <w:p w14:paraId="63AAFA62">
            <w:pPr>
              <w:pStyle w:val="19"/>
              <w:spacing w:line="360" w:lineRule="auto"/>
              <w:jc w:val="center"/>
              <w:rPr>
                <w:rFonts w:hint="eastAsia" w:ascii="仿宋_GB2312" w:hAnsi="仿宋_GB2312" w:eastAsia="仿宋_GB2312" w:cs="仿宋_GB2312"/>
                <w:color w:val="auto"/>
                <w:kern w:val="2"/>
                <w:sz w:val="32"/>
                <w:szCs w:val="32"/>
                <w:lang w:val="en-US" w:eastAsia="zh-CN"/>
              </w:rPr>
            </w:pPr>
          </w:p>
        </w:tc>
      </w:tr>
      <w:tr w14:paraId="65172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1512" w:type="dxa"/>
            <w:noWrap w:val="0"/>
            <w:vAlign w:val="center"/>
          </w:tcPr>
          <w:p w14:paraId="36E97414">
            <w:pPr>
              <w:pStyle w:val="19"/>
              <w:spacing w:line="360" w:lineRule="auto"/>
              <w:jc w:val="center"/>
              <w:rPr>
                <w:rFonts w:hint="eastAsia" w:ascii="仿宋_GB2312" w:hAnsi="仿宋_GB2312" w:eastAsia="仿宋_GB2312" w:cs="仿宋_GB2312"/>
                <w:color w:val="auto"/>
                <w:kern w:val="2"/>
                <w:sz w:val="32"/>
                <w:szCs w:val="32"/>
                <w:lang w:val="en-US" w:eastAsia="zh-CN"/>
              </w:rPr>
            </w:pPr>
          </w:p>
        </w:tc>
        <w:tc>
          <w:tcPr>
            <w:tcW w:w="1512" w:type="dxa"/>
            <w:noWrap w:val="0"/>
            <w:vAlign w:val="center"/>
          </w:tcPr>
          <w:p w14:paraId="061CBFB7">
            <w:pPr>
              <w:pStyle w:val="19"/>
              <w:spacing w:line="360" w:lineRule="auto"/>
              <w:jc w:val="center"/>
              <w:rPr>
                <w:rFonts w:hint="eastAsia" w:ascii="仿宋_GB2312" w:hAnsi="仿宋_GB2312" w:eastAsia="仿宋_GB2312" w:cs="仿宋_GB2312"/>
                <w:color w:val="auto"/>
                <w:kern w:val="2"/>
                <w:sz w:val="32"/>
                <w:szCs w:val="32"/>
                <w:lang w:val="en-US" w:eastAsia="zh-CN"/>
              </w:rPr>
            </w:pPr>
          </w:p>
        </w:tc>
        <w:tc>
          <w:tcPr>
            <w:tcW w:w="1512" w:type="dxa"/>
            <w:noWrap w:val="0"/>
            <w:vAlign w:val="center"/>
          </w:tcPr>
          <w:p w14:paraId="1CE557B1">
            <w:pPr>
              <w:pStyle w:val="19"/>
              <w:spacing w:line="360" w:lineRule="auto"/>
              <w:jc w:val="center"/>
              <w:rPr>
                <w:rFonts w:hint="eastAsia" w:ascii="仿宋_GB2312" w:hAnsi="仿宋_GB2312" w:eastAsia="仿宋_GB2312" w:cs="仿宋_GB2312"/>
                <w:color w:val="auto"/>
                <w:kern w:val="2"/>
                <w:sz w:val="32"/>
                <w:szCs w:val="32"/>
                <w:lang w:val="en-US" w:eastAsia="zh-CN"/>
              </w:rPr>
            </w:pPr>
          </w:p>
        </w:tc>
        <w:tc>
          <w:tcPr>
            <w:tcW w:w="1512" w:type="dxa"/>
            <w:noWrap w:val="0"/>
            <w:vAlign w:val="center"/>
          </w:tcPr>
          <w:p w14:paraId="71C1E052">
            <w:pPr>
              <w:pStyle w:val="19"/>
              <w:spacing w:line="360" w:lineRule="auto"/>
              <w:jc w:val="center"/>
              <w:rPr>
                <w:rFonts w:hint="eastAsia" w:ascii="仿宋_GB2312" w:hAnsi="仿宋_GB2312" w:eastAsia="仿宋_GB2312" w:cs="仿宋_GB2312"/>
                <w:color w:val="auto"/>
                <w:kern w:val="2"/>
                <w:sz w:val="32"/>
                <w:szCs w:val="32"/>
                <w:lang w:val="en-US" w:eastAsia="zh-CN"/>
              </w:rPr>
            </w:pPr>
          </w:p>
        </w:tc>
        <w:tc>
          <w:tcPr>
            <w:tcW w:w="1514" w:type="dxa"/>
            <w:noWrap w:val="0"/>
            <w:vAlign w:val="center"/>
          </w:tcPr>
          <w:p w14:paraId="0C922373">
            <w:pPr>
              <w:pStyle w:val="19"/>
              <w:spacing w:line="360" w:lineRule="auto"/>
              <w:jc w:val="center"/>
              <w:rPr>
                <w:rFonts w:hint="eastAsia" w:ascii="仿宋_GB2312" w:hAnsi="仿宋_GB2312" w:eastAsia="仿宋_GB2312" w:cs="仿宋_GB2312"/>
                <w:color w:val="auto"/>
                <w:kern w:val="2"/>
                <w:sz w:val="32"/>
                <w:szCs w:val="32"/>
                <w:lang w:val="en-US" w:eastAsia="zh-CN"/>
              </w:rPr>
            </w:pPr>
          </w:p>
        </w:tc>
        <w:tc>
          <w:tcPr>
            <w:tcW w:w="1514" w:type="dxa"/>
            <w:noWrap w:val="0"/>
            <w:vAlign w:val="center"/>
          </w:tcPr>
          <w:p w14:paraId="075C0B3D">
            <w:pPr>
              <w:pStyle w:val="19"/>
              <w:spacing w:line="360" w:lineRule="auto"/>
              <w:jc w:val="center"/>
              <w:rPr>
                <w:rFonts w:hint="eastAsia" w:ascii="仿宋_GB2312" w:hAnsi="仿宋_GB2312" w:eastAsia="仿宋_GB2312" w:cs="仿宋_GB2312"/>
                <w:color w:val="auto"/>
                <w:kern w:val="2"/>
                <w:sz w:val="32"/>
                <w:szCs w:val="32"/>
                <w:lang w:val="en-US" w:eastAsia="zh-CN"/>
              </w:rPr>
            </w:pPr>
          </w:p>
        </w:tc>
      </w:tr>
    </w:tbl>
    <w:p w14:paraId="6DCA7354">
      <w:pPr>
        <w:spacing w:line="360" w:lineRule="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注：投标人填写本表的同时，</w:t>
      </w:r>
      <w:r>
        <w:rPr>
          <w:rFonts w:hint="eastAsia" w:ascii="仿宋" w:hAnsi="仿宋" w:eastAsia="仿宋" w:cs="仿宋"/>
          <w:b/>
          <w:bCs/>
          <w:color w:val="auto"/>
          <w:sz w:val="32"/>
          <w:szCs w:val="32"/>
          <w:lang w:val="en-US" w:eastAsia="zh-CN"/>
        </w:rPr>
        <w:t>须</w:t>
      </w:r>
      <w:r>
        <w:rPr>
          <w:rFonts w:hint="eastAsia" w:ascii="仿宋" w:hAnsi="仿宋" w:eastAsia="仿宋" w:cs="仿宋"/>
          <w:b/>
          <w:bCs/>
          <w:color w:val="auto"/>
          <w:sz w:val="32"/>
          <w:szCs w:val="32"/>
          <w:lang w:eastAsia="zh-CN"/>
        </w:rPr>
        <w:t>提供中标通知书</w:t>
      </w:r>
      <w:r>
        <w:rPr>
          <w:rFonts w:hint="eastAsia" w:ascii="仿宋" w:hAnsi="仿宋" w:eastAsia="仿宋" w:cs="仿宋"/>
          <w:b/>
          <w:bCs/>
          <w:color w:val="auto"/>
          <w:sz w:val="32"/>
          <w:szCs w:val="32"/>
          <w:lang w:val="en-US" w:eastAsia="zh-CN"/>
        </w:rPr>
        <w:t>和</w:t>
      </w:r>
      <w:r>
        <w:rPr>
          <w:rFonts w:hint="eastAsia" w:ascii="仿宋" w:hAnsi="仿宋" w:eastAsia="仿宋" w:cs="仿宋"/>
          <w:b/>
          <w:bCs/>
          <w:color w:val="auto"/>
          <w:sz w:val="32"/>
          <w:szCs w:val="32"/>
          <w:lang w:eastAsia="zh-CN"/>
        </w:rPr>
        <w:t>采购合同及验收单（或甲方评价意见表）原件的直接扫描件附于本表后；投标人填写的内容必须真实可靠，如有虚假</w:t>
      </w:r>
      <w:r>
        <w:rPr>
          <w:rFonts w:hint="eastAsia" w:ascii="仿宋_GB2312" w:hAnsi="仿宋_GB2312" w:eastAsia="仿宋_GB2312" w:cs="仿宋_GB2312"/>
          <w:b/>
          <w:bCs/>
          <w:color w:val="auto"/>
          <w:sz w:val="32"/>
          <w:szCs w:val="32"/>
        </w:rPr>
        <w:t>或者隐瞒，一经查实投标将被否决</w:t>
      </w:r>
      <w:r>
        <w:rPr>
          <w:rFonts w:hint="eastAsia" w:ascii="仿宋_GB2312" w:hAnsi="仿宋_GB2312" w:eastAsia="仿宋_GB2312" w:cs="仿宋_GB2312"/>
          <w:color w:val="auto"/>
          <w:sz w:val="32"/>
          <w:szCs w:val="32"/>
        </w:rPr>
        <w:t>。</w:t>
      </w:r>
    </w:p>
    <w:p w14:paraId="508631C2">
      <w:pPr>
        <w:pStyle w:val="75"/>
        <w:autoSpaceDE w:val="0"/>
        <w:autoSpaceDN w:val="0"/>
        <w:adjustRightInd w:val="0"/>
        <w:spacing w:line="560" w:lineRule="exact"/>
        <w:ind w:left="0" w:leftChars="0" w:firstLine="0" w:firstLineChars="0"/>
        <w:rPr>
          <w:rFonts w:hint="eastAsia" w:ascii="仿宋_GB2312" w:hAnsi="仿宋_GB2312" w:eastAsia="仿宋_GB2312" w:cs="仿宋_GB2312"/>
          <w:b/>
          <w:color w:val="auto"/>
          <w:sz w:val="32"/>
          <w:szCs w:val="32"/>
        </w:rPr>
      </w:pPr>
      <w:r>
        <w:rPr>
          <w:rFonts w:hint="eastAsia" w:ascii="仿宋_GB2312" w:hAnsi="仿宋_GB2312" w:eastAsia="仿宋_GB2312" w:cs="仿宋_GB2312"/>
          <w:color w:val="auto"/>
          <w:sz w:val="32"/>
          <w:szCs w:val="32"/>
        </w:rPr>
        <w:br w:type="page"/>
      </w:r>
      <w:r>
        <w:rPr>
          <w:rFonts w:hint="eastAsia" w:ascii="仿宋_GB2312" w:hAnsi="仿宋_GB2312" w:eastAsia="仿宋_GB2312" w:cs="仿宋_GB2312"/>
          <w:b/>
          <w:color w:val="auto"/>
          <w:sz w:val="32"/>
          <w:szCs w:val="32"/>
        </w:rPr>
        <w:t>11、技术部分包括但不限于以下内容：</w:t>
      </w:r>
      <w:r>
        <w:rPr>
          <w:rFonts w:hint="eastAsia" w:ascii="仿宋_GB2312" w:hAnsi="仿宋_GB2312" w:eastAsia="仿宋_GB2312" w:cs="仿宋_GB2312"/>
          <w:b/>
          <w:color w:val="auto"/>
          <w:sz w:val="32"/>
          <w:szCs w:val="32"/>
          <w:lang w:val="en-US" w:eastAsia="zh-CN"/>
        </w:rPr>
        <w:t>配送方案、货源保障能力</w:t>
      </w:r>
      <w:r>
        <w:rPr>
          <w:rFonts w:hint="eastAsia" w:ascii="仿宋_GB2312" w:hAnsi="仿宋_GB2312" w:eastAsia="仿宋_GB2312" w:cs="仿宋_GB2312"/>
          <w:b/>
          <w:color w:val="auto"/>
          <w:sz w:val="32"/>
          <w:szCs w:val="32"/>
        </w:rPr>
        <w:t>、</w:t>
      </w:r>
      <w:r>
        <w:rPr>
          <w:rFonts w:hint="eastAsia" w:ascii="仿宋_GB2312" w:hAnsi="仿宋_GB2312" w:eastAsia="仿宋_GB2312" w:cs="仿宋_GB2312"/>
          <w:b/>
          <w:color w:val="auto"/>
          <w:sz w:val="32"/>
          <w:szCs w:val="32"/>
          <w:lang w:val="en-US" w:eastAsia="zh-CN"/>
        </w:rPr>
        <w:t>质量安全</w:t>
      </w:r>
      <w:r>
        <w:rPr>
          <w:rFonts w:hint="eastAsia" w:ascii="仿宋_GB2312" w:hAnsi="仿宋_GB2312" w:eastAsia="仿宋_GB2312" w:cs="仿宋_GB2312"/>
          <w:b/>
          <w:color w:val="auto"/>
          <w:sz w:val="32"/>
          <w:szCs w:val="32"/>
        </w:rPr>
        <w:t>、</w:t>
      </w:r>
      <w:r>
        <w:rPr>
          <w:rFonts w:hint="eastAsia" w:ascii="仿宋_GB2312" w:hAnsi="仿宋_GB2312" w:eastAsia="仿宋_GB2312" w:cs="仿宋_GB2312"/>
          <w:b/>
          <w:color w:val="auto"/>
          <w:sz w:val="32"/>
          <w:szCs w:val="32"/>
          <w:lang w:val="en-US" w:eastAsia="zh-CN"/>
        </w:rPr>
        <w:t>服务质量</w:t>
      </w:r>
      <w:r>
        <w:rPr>
          <w:rFonts w:hint="eastAsia" w:ascii="仿宋_GB2312" w:hAnsi="仿宋_GB2312" w:eastAsia="仿宋_GB2312" w:cs="仿宋_GB2312"/>
          <w:b/>
          <w:color w:val="auto"/>
          <w:sz w:val="32"/>
          <w:szCs w:val="32"/>
        </w:rPr>
        <w:t>、</w:t>
      </w:r>
      <w:r>
        <w:rPr>
          <w:rFonts w:hint="eastAsia" w:ascii="仿宋_GB2312" w:hAnsi="仿宋_GB2312" w:eastAsia="仿宋_GB2312" w:cs="仿宋_GB2312"/>
          <w:b/>
          <w:color w:val="auto"/>
          <w:sz w:val="32"/>
          <w:szCs w:val="32"/>
          <w:lang w:val="en-US" w:eastAsia="zh-CN"/>
        </w:rPr>
        <w:t>应急措施</w:t>
      </w:r>
      <w:r>
        <w:rPr>
          <w:rFonts w:hint="eastAsia" w:ascii="仿宋_GB2312" w:hAnsi="仿宋_GB2312" w:eastAsia="仿宋_GB2312" w:cs="仿宋_GB2312"/>
          <w:b/>
          <w:color w:val="auto"/>
          <w:sz w:val="32"/>
          <w:szCs w:val="32"/>
        </w:rPr>
        <w:t>、</w:t>
      </w:r>
      <w:r>
        <w:rPr>
          <w:rFonts w:hint="eastAsia" w:ascii="仿宋_GB2312" w:hAnsi="仿宋_GB2312" w:eastAsia="仿宋_GB2312" w:cs="仿宋_GB2312"/>
          <w:b/>
          <w:color w:val="auto"/>
          <w:sz w:val="32"/>
          <w:szCs w:val="32"/>
          <w:lang w:val="en-US" w:eastAsia="zh-CN"/>
        </w:rPr>
        <w:t>售后服务</w:t>
      </w:r>
      <w:r>
        <w:rPr>
          <w:rFonts w:hint="eastAsia" w:ascii="仿宋_GB2312" w:hAnsi="仿宋_GB2312" w:eastAsia="仿宋_GB2312" w:cs="仿宋_GB2312"/>
          <w:b/>
          <w:color w:val="auto"/>
          <w:sz w:val="32"/>
          <w:szCs w:val="32"/>
        </w:rPr>
        <w:t>等内容（格式自拟）</w:t>
      </w:r>
    </w:p>
    <w:p w14:paraId="2D3C3C9C">
      <w:pPr>
        <w:pStyle w:val="16"/>
        <w:spacing w:line="360" w:lineRule="auto"/>
        <w:jc w:val="center"/>
        <w:rPr>
          <w:rFonts w:hint="eastAsia" w:ascii="仿宋_GB2312" w:hAnsi="仿宋_GB2312" w:eastAsia="仿宋_GB2312" w:cs="仿宋_GB2312"/>
          <w:b/>
          <w:color w:val="auto"/>
          <w:sz w:val="32"/>
          <w:szCs w:val="32"/>
        </w:rPr>
      </w:pPr>
    </w:p>
    <w:p w14:paraId="50C68C5D">
      <w:pPr>
        <w:widowControl/>
        <w:spacing w:line="360" w:lineRule="auto"/>
        <w:jc w:val="left"/>
        <w:rPr>
          <w:rFonts w:hint="eastAsia" w:ascii="仿宋_GB2312" w:hAnsi="仿宋_GB2312" w:eastAsia="仿宋_GB2312" w:cs="仿宋_GB2312"/>
          <w:color w:val="auto"/>
          <w:kern w:val="0"/>
          <w:sz w:val="32"/>
          <w:szCs w:val="32"/>
        </w:rPr>
      </w:pPr>
    </w:p>
    <w:p w14:paraId="0BA92E58">
      <w:pPr>
        <w:pStyle w:val="3"/>
        <w:spacing w:line="360" w:lineRule="auto"/>
        <w:jc w:val="center"/>
        <w:rPr>
          <w:rStyle w:val="53"/>
          <w:rFonts w:hint="eastAsia" w:ascii="仿宋_GB2312" w:hAnsi="仿宋_GB2312" w:eastAsia="仿宋_GB2312" w:cs="仿宋_GB2312"/>
          <w:b/>
          <w:bCs w:val="0"/>
          <w:color w:val="auto"/>
        </w:rPr>
      </w:pPr>
      <w:bookmarkStart w:id="321" w:name="_Toc1779"/>
      <w:bookmarkStart w:id="322" w:name="_Toc45795252"/>
    </w:p>
    <w:p w14:paraId="28682F05">
      <w:pPr>
        <w:spacing w:line="360" w:lineRule="auto"/>
        <w:rPr>
          <w:rStyle w:val="53"/>
          <w:rFonts w:hint="eastAsia" w:ascii="仿宋_GB2312" w:hAnsi="仿宋_GB2312" w:eastAsia="仿宋_GB2312" w:cs="仿宋_GB2312"/>
          <w:bCs w:val="0"/>
          <w:color w:val="auto"/>
        </w:rPr>
      </w:pPr>
    </w:p>
    <w:p w14:paraId="46171B23">
      <w:pPr>
        <w:pStyle w:val="17"/>
        <w:spacing w:line="360" w:lineRule="auto"/>
        <w:rPr>
          <w:rFonts w:hint="eastAsia" w:ascii="仿宋_GB2312" w:hAnsi="仿宋_GB2312" w:eastAsia="仿宋_GB2312" w:cs="仿宋_GB2312"/>
          <w:color w:val="auto"/>
          <w:sz w:val="32"/>
          <w:szCs w:val="32"/>
        </w:rPr>
      </w:pPr>
    </w:p>
    <w:p w14:paraId="2BD8C8B5">
      <w:pPr>
        <w:pStyle w:val="17"/>
        <w:spacing w:line="360" w:lineRule="auto"/>
        <w:rPr>
          <w:rFonts w:hint="eastAsia" w:ascii="仿宋_GB2312" w:hAnsi="仿宋_GB2312" w:eastAsia="仿宋_GB2312" w:cs="仿宋_GB2312"/>
          <w:color w:val="auto"/>
          <w:sz w:val="32"/>
          <w:szCs w:val="32"/>
        </w:rPr>
      </w:pPr>
    </w:p>
    <w:p w14:paraId="05A74810">
      <w:pPr>
        <w:pStyle w:val="17"/>
        <w:spacing w:line="360" w:lineRule="auto"/>
        <w:rPr>
          <w:rFonts w:hint="eastAsia" w:ascii="仿宋_GB2312" w:hAnsi="仿宋_GB2312" w:eastAsia="仿宋_GB2312" w:cs="仿宋_GB2312"/>
          <w:color w:val="auto"/>
          <w:sz w:val="32"/>
          <w:szCs w:val="32"/>
        </w:rPr>
      </w:pPr>
    </w:p>
    <w:p w14:paraId="0C133E95">
      <w:pPr>
        <w:pStyle w:val="17"/>
        <w:spacing w:line="360" w:lineRule="auto"/>
        <w:rPr>
          <w:rFonts w:hint="eastAsia" w:ascii="仿宋_GB2312" w:hAnsi="仿宋_GB2312" w:eastAsia="仿宋_GB2312" w:cs="仿宋_GB2312"/>
          <w:color w:val="auto"/>
          <w:sz w:val="32"/>
          <w:szCs w:val="32"/>
        </w:rPr>
      </w:pPr>
    </w:p>
    <w:p w14:paraId="44E7E6FD">
      <w:pPr>
        <w:pStyle w:val="17"/>
        <w:spacing w:line="360" w:lineRule="auto"/>
        <w:rPr>
          <w:rFonts w:hint="eastAsia" w:ascii="仿宋_GB2312" w:hAnsi="仿宋_GB2312" w:eastAsia="仿宋_GB2312" w:cs="仿宋_GB2312"/>
          <w:color w:val="auto"/>
          <w:sz w:val="32"/>
          <w:szCs w:val="32"/>
        </w:rPr>
      </w:pPr>
    </w:p>
    <w:p w14:paraId="6AAB812C">
      <w:pPr>
        <w:pStyle w:val="17"/>
        <w:spacing w:line="360" w:lineRule="auto"/>
        <w:rPr>
          <w:rFonts w:hint="eastAsia" w:ascii="仿宋_GB2312" w:hAnsi="仿宋_GB2312" w:eastAsia="仿宋_GB2312" w:cs="仿宋_GB2312"/>
          <w:color w:val="auto"/>
          <w:sz w:val="32"/>
          <w:szCs w:val="32"/>
        </w:rPr>
      </w:pPr>
    </w:p>
    <w:p w14:paraId="5D20E8C0">
      <w:pPr>
        <w:pStyle w:val="17"/>
        <w:spacing w:line="360" w:lineRule="auto"/>
        <w:rPr>
          <w:rFonts w:hint="eastAsia" w:ascii="仿宋_GB2312" w:hAnsi="仿宋_GB2312" w:eastAsia="仿宋_GB2312" w:cs="仿宋_GB2312"/>
          <w:color w:val="auto"/>
          <w:sz w:val="32"/>
          <w:szCs w:val="32"/>
        </w:rPr>
      </w:pPr>
    </w:p>
    <w:p w14:paraId="019B454A">
      <w:pPr>
        <w:pStyle w:val="17"/>
        <w:spacing w:line="360" w:lineRule="auto"/>
        <w:rPr>
          <w:rFonts w:hint="eastAsia" w:ascii="仿宋_GB2312" w:hAnsi="仿宋_GB2312" w:eastAsia="仿宋_GB2312" w:cs="仿宋_GB2312"/>
          <w:color w:val="auto"/>
          <w:sz w:val="32"/>
          <w:szCs w:val="32"/>
        </w:rPr>
      </w:pPr>
    </w:p>
    <w:p w14:paraId="1C4C36CE">
      <w:pPr>
        <w:pStyle w:val="17"/>
        <w:spacing w:line="360" w:lineRule="auto"/>
        <w:rPr>
          <w:rFonts w:hint="eastAsia" w:ascii="仿宋_GB2312" w:hAnsi="仿宋_GB2312" w:eastAsia="仿宋_GB2312" w:cs="仿宋_GB2312"/>
          <w:color w:val="auto"/>
          <w:sz w:val="32"/>
          <w:szCs w:val="32"/>
        </w:rPr>
      </w:pPr>
    </w:p>
    <w:p w14:paraId="7EBCFB58">
      <w:pPr>
        <w:pStyle w:val="17"/>
        <w:spacing w:line="360" w:lineRule="auto"/>
        <w:rPr>
          <w:rFonts w:hint="eastAsia" w:ascii="仿宋_GB2312" w:hAnsi="仿宋_GB2312" w:eastAsia="仿宋_GB2312" w:cs="仿宋_GB2312"/>
          <w:color w:val="auto"/>
          <w:sz w:val="32"/>
          <w:szCs w:val="32"/>
        </w:rPr>
      </w:pPr>
    </w:p>
    <w:p w14:paraId="4F154064">
      <w:pPr>
        <w:pStyle w:val="17"/>
        <w:spacing w:line="360" w:lineRule="auto"/>
        <w:rPr>
          <w:rFonts w:hint="eastAsia" w:ascii="仿宋_GB2312" w:hAnsi="仿宋_GB2312" w:eastAsia="仿宋_GB2312" w:cs="仿宋_GB2312"/>
          <w:color w:val="auto"/>
          <w:sz w:val="32"/>
          <w:szCs w:val="32"/>
        </w:rPr>
      </w:pPr>
    </w:p>
    <w:p w14:paraId="3BC3E127">
      <w:pPr>
        <w:pStyle w:val="17"/>
        <w:spacing w:line="360" w:lineRule="auto"/>
        <w:rPr>
          <w:rFonts w:hint="eastAsia" w:ascii="仿宋_GB2312" w:hAnsi="仿宋_GB2312" w:eastAsia="仿宋_GB2312" w:cs="仿宋_GB2312"/>
          <w:color w:val="auto"/>
          <w:sz w:val="32"/>
          <w:szCs w:val="32"/>
        </w:rPr>
      </w:pPr>
    </w:p>
    <w:p w14:paraId="15AE518A">
      <w:pPr>
        <w:pStyle w:val="17"/>
        <w:spacing w:line="360" w:lineRule="auto"/>
        <w:rPr>
          <w:rFonts w:hint="eastAsia" w:ascii="仿宋_GB2312" w:hAnsi="仿宋_GB2312" w:eastAsia="仿宋_GB2312" w:cs="仿宋_GB2312"/>
          <w:color w:val="auto"/>
          <w:sz w:val="32"/>
          <w:szCs w:val="32"/>
        </w:rPr>
      </w:pPr>
    </w:p>
    <w:p w14:paraId="445EE2E5">
      <w:pPr>
        <w:pStyle w:val="17"/>
        <w:spacing w:line="360" w:lineRule="auto"/>
        <w:rPr>
          <w:rFonts w:hint="eastAsia" w:ascii="仿宋_GB2312" w:hAnsi="仿宋_GB2312" w:eastAsia="仿宋_GB2312" w:cs="仿宋_GB2312"/>
          <w:color w:val="auto"/>
          <w:sz w:val="32"/>
          <w:szCs w:val="32"/>
        </w:rPr>
      </w:pPr>
    </w:p>
    <w:p w14:paraId="085EE815">
      <w:pPr>
        <w:pStyle w:val="3"/>
        <w:spacing w:line="360" w:lineRule="auto"/>
        <w:jc w:val="center"/>
        <w:rPr>
          <w:rStyle w:val="53"/>
          <w:rFonts w:hint="eastAsia" w:ascii="仿宋_GB2312" w:hAnsi="仿宋_GB2312" w:eastAsia="仿宋_GB2312" w:cs="仿宋_GB2312"/>
          <w:b/>
          <w:bCs w:val="0"/>
          <w:color w:val="auto"/>
        </w:rPr>
      </w:pPr>
      <w:r>
        <w:rPr>
          <w:rStyle w:val="53"/>
          <w:rFonts w:hint="eastAsia" w:ascii="仿宋_GB2312" w:hAnsi="仿宋_GB2312" w:eastAsia="仿宋_GB2312" w:cs="仿宋_GB2312"/>
          <w:b/>
          <w:bCs w:val="0"/>
          <w:color w:val="auto"/>
        </w:rPr>
        <w:t>12、投标人基本情况说明</w:t>
      </w:r>
      <w:bookmarkEnd w:id="321"/>
    </w:p>
    <w:p w14:paraId="00E899AB">
      <w:pPr>
        <w:spacing w:line="360" w:lineRule="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一、公司简介：</w:t>
      </w:r>
    </w:p>
    <w:p w14:paraId="4AE8436A">
      <w:pPr>
        <w:spacing w:line="360" w:lineRule="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w:t>
      </w:r>
    </w:p>
    <w:p w14:paraId="4C56F052">
      <w:pPr>
        <w:pStyle w:val="16"/>
        <w:spacing w:line="360" w:lineRule="auto"/>
        <w:jc w:val="center"/>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企业信息一览表</w:t>
      </w:r>
    </w:p>
    <w:tbl>
      <w:tblPr>
        <w:tblStyle w:val="27"/>
        <w:tblW w:w="0" w:type="auto"/>
        <w:tblInd w:w="-6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6"/>
        <w:gridCol w:w="1309"/>
        <w:gridCol w:w="1064"/>
        <w:gridCol w:w="943"/>
        <w:gridCol w:w="597"/>
        <w:gridCol w:w="928"/>
        <w:gridCol w:w="1309"/>
        <w:gridCol w:w="1461"/>
      </w:tblGrid>
      <w:tr w14:paraId="1A27F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trPr>
        <w:tc>
          <w:tcPr>
            <w:tcW w:w="2196" w:type="dxa"/>
            <w:noWrap w:val="0"/>
            <w:vAlign w:val="center"/>
          </w:tcPr>
          <w:p w14:paraId="546A7805">
            <w:pPr>
              <w:pStyle w:val="16"/>
              <w:spacing w:line="360" w:lineRule="auto"/>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投标人名称</w:t>
            </w:r>
          </w:p>
        </w:tc>
        <w:tc>
          <w:tcPr>
            <w:tcW w:w="7611" w:type="dxa"/>
            <w:gridSpan w:val="7"/>
            <w:noWrap w:val="0"/>
            <w:vAlign w:val="center"/>
          </w:tcPr>
          <w:p w14:paraId="3C04D4EA">
            <w:pPr>
              <w:pStyle w:val="16"/>
              <w:spacing w:line="360" w:lineRule="auto"/>
              <w:jc w:val="center"/>
              <w:rPr>
                <w:rFonts w:hint="eastAsia" w:ascii="仿宋_GB2312" w:hAnsi="仿宋_GB2312" w:eastAsia="仿宋_GB2312" w:cs="仿宋_GB2312"/>
                <w:color w:val="auto"/>
                <w:sz w:val="32"/>
                <w:szCs w:val="32"/>
              </w:rPr>
            </w:pPr>
          </w:p>
        </w:tc>
      </w:tr>
      <w:tr w14:paraId="32329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2196" w:type="dxa"/>
            <w:noWrap w:val="0"/>
            <w:vAlign w:val="center"/>
          </w:tcPr>
          <w:p w14:paraId="5E54BC4C">
            <w:pPr>
              <w:pStyle w:val="16"/>
              <w:spacing w:line="360" w:lineRule="auto"/>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注册地址</w:t>
            </w:r>
          </w:p>
        </w:tc>
        <w:tc>
          <w:tcPr>
            <w:tcW w:w="3316" w:type="dxa"/>
            <w:gridSpan w:val="3"/>
            <w:noWrap w:val="0"/>
            <w:vAlign w:val="center"/>
          </w:tcPr>
          <w:p w14:paraId="695ECBD0">
            <w:pPr>
              <w:pStyle w:val="16"/>
              <w:spacing w:line="360" w:lineRule="auto"/>
              <w:jc w:val="center"/>
              <w:rPr>
                <w:rFonts w:hint="eastAsia" w:ascii="仿宋_GB2312" w:hAnsi="仿宋_GB2312" w:eastAsia="仿宋_GB2312" w:cs="仿宋_GB2312"/>
                <w:color w:val="auto"/>
                <w:sz w:val="32"/>
                <w:szCs w:val="32"/>
              </w:rPr>
            </w:pPr>
          </w:p>
        </w:tc>
        <w:tc>
          <w:tcPr>
            <w:tcW w:w="1525" w:type="dxa"/>
            <w:gridSpan w:val="2"/>
            <w:noWrap w:val="0"/>
            <w:vAlign w:val="center"/>
          </w:tcPr>
          <w:p w14:paraId="68819DD5">
            <w:pPr>
              <w:pStyle w:val="16"/>
              <w:spacing w:line="360" w:lineRule="auto"/>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邮政编码</w:t>
            </w:r>
          </w:p>
        </w:tc>
        <w:tc>
          <w:tcPr>
            <w:tcW w:w="2770" w:type="dxa"/>
            <w:gridSpan w:val="2"/>
            <w:noWrap w:val="0"/>
            <w:vAlign w:val="center"/>
          </w:tcPr>
          <w:p w14:paraId="07E194EE">
            <w:pPr>
              <w:pStyle w:val="16"/>
              <w:spacing w:line="360" w:lineRule="auto"/>
              <w:jc w:val="center"/>
              <w:rPr>
                <w:rFonts w:hint="eastAsia" w:ascii="仿宋_GB2312" w:hAnsi="仿宋_GB2312" w:eastAsia="仿宋_GB2312" w:cs="仿宋_GB2312"/>
                <w:color w:val="auto"/>
                <w:sz w:val="32"/>
                <w:szCs w:val="32"/>
              </w:rPr>
            </w:pPr>
          </w:p>
        </w:tc>
      </w:tr>
      <w:tr w14:paraId="4F6FC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2196" w:type="dxa"/>
            <w:vMerge w:val="restart"/>
            <w:noWrap w:val="0"/>
            <w:vAlign w:val="center"/>
          </w:tcPr>
          <w:p w14:paraId="6E6CD2CD">
            <w:pPr>
              <w:pStyle w:val="16"/>
              <w:spacing w:line="360" w:lineRule="auto"/>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联系方式</w:t>
            </w:r>
          </w:p>
        </w:tc>
        <w:tc>
          <w:tcPr>
            <w:tcW w:w="1309" w:type="dxa"/>
            <w:noWrap w:val="0"/>
            <w:vAlign w:val="center"/>
          </w:tcPr>
          <w:p w14:paraId="45FACB56">
            <w:pPr>
              <w:pStyle w:val="16"/>
              <w:spacing w:line="360" w:lineRule="auto"/>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联系人</w:t>
            </w:r>
          </w:p>
        </w:tc>
        <w:tc>
          <w:tcPr>
            <w:tcW w:w="2007" w:type="dxa"/>
            <w:gridSpan w:val="2"/>
            <w:noWrap w:val="0"/>
            <w:vAlign w:val="center"/>
          </w:tcPr>
          <w:p w14:paraId="4FDC6A56">
            <w:pPr>
              <w:pStyle w:val="16"/>
              <w:spacing w:line="360" w:lineRule="auto"/>
              <w:jc w:val="center"/>
              <w:rPr>
                <w:rFonts w:hint="eastAsia" w:ascii="仿宋_GB2312" w:hAnsi="仿宋_GB2312" w:eastAsia="仿宋_GB2312" w:cs="仿宋_GB2312"/>
                <w:color w:val="auto"/>
                <w:sz w:val="32"/>
                <w:szCs w:val="32"/>
              </w:rPr>
            </w:pPr>
          </w:p>
        </w:tc>
        <w:tc>
          <w:tcPr>
            <w:tcW w:w="1525" w:type="dxa"/>
            <w:gridSpan w:val="2"/>
            <w:noWrap w:val="0"/>
            <w:vAlign w:val="center"/>
          </w:tcPr>
          <w:p w14:paraId="612971E6">
            <w:pPr>
              <w:pStyle w:val="16"/>
              <w:spacing w:line="360" w:lineRule="auto"/>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联系电话</w:t>
            </w:r>
          </w:p>
        </w:tc>
        <w:tc>
          <w:tcPr>
            <w:tcW w:w="2770" w:type="dxa"/>
            <w:gridSpan w:val="2"/>
            <w:noWrap w:val="0"/>
            <w:vAlign w:val="center"/>
          </w:tcPr>
          <w:p w14:paraId="54E917C1">
            <w:pPr>
              <w:pStyle w:val="16"/>
              <w:spacing w:line="360" w:lineRule="auto"/>
              <w:jc w:val="center"/>
              <w:rPr>
                <w:rFonts w:hint="eastAsia" w:ascii="仿宋_GB2312" w:hAnsi="仿宋_GB2312" w:eastAsia="仿宋_GB2312" w:cs="仿宋_GB2312"/>
                <w:color w:val="auto"/>
                <w:sz w:val="32"/>
                <w:szCs w:val="32"/>
              </w:rPr>
            </w:pPr>
          </w:p>
        </w:tc>
      </w:tr>
      <w:tr w14:paraId="0B302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2196" w:type="dxa"/>
            <w:vMerge w:val="continue"/>
            <w:noWrap w:val="0"/>
            <w:vAlign w:val="center"/>
          </w:tcPr>
          <w:p w14:paraId="3EAA8475">
            <w:pPr>
              <w:pStyle w:val="16"/>
              <w:spacing w:line="360" w:lineRule="auto"/>
              <w:jc w:val="center"/>
              <w:rPr>
                <w:rFonts w:hint="eastAsia" w:ascii="仿宋_GB2312" w:hAnsi="仿宋_GB2312" w:eastAsia="仿宋_GB2312" w:cs="仿宋_GB2312"/>
                <w:color w:val="auto"/>
                <w:sz w:val="32"/>
                <w:szCs w:val="32"/>
              </w:rPr>
            </w:pPr>
          </w:p>
        </w:tc>
        <w:tc>
          <w:tcPr>
            <w:tcW w:w="1309" w:type="dxa"/>
            <w:noWrap w:val="0"/>
            <w:vAlign w:val="center"/>
          </w:tcPr>
          <w:p w14:paraId="20686D3B">
            <w:pPr>
              <w:pStyle w:val="16"/>
              <w:spacing w:line="360" w:lineRule="auto"/>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传真</w:t>
            </w:r>
          </w:p>
        </w:tc>
        <w:tc>
          <w:tcPr>
            <w:tcW w:w="2007" w:type="dxa"/>
            <w:gridSpan w:val="2"/>
            <w:noWrap w:val="0"/>
            <w:vAlign w:val="center"/>
          </w:tcPr>
          <w:p w14:paraId="129EE269">
            <w:pPr>
              <w:pStyle w:val="16"/>
              <w:spacing w:line="360" w:lineRule="auto"/>
              <w:jc w:val="center"/>
              <w:rPr>
                <w:rFonts w:hint="eastAsia" w:ascii="仿宋_GB2312" w:hAnsi="仿宋_GB2312" w:eastAsia="仿宋_GB2312" w:cs="仿宋_GB2312"/>
                <w:color w:val="auto"/>
                <w:sz w:val="32"/>
                <w:szCs w:val="32"/>
              </w:rPr>
            </w:pPr>
          </w:p>
        </w:tc>
        <w:tc>
          <w:tcPr>
            <w:tcW w:w="1525" w:type="dxa"/>
            <w:gridSpan w:val="2"/>
            <w:noWrap w:val="0"/>
            <w:vAlign w:val="center"/>
          </w:tcPr>
          <w:p w14:paraId="530D0900">
            <w:pPr>
              <w:pStyle w:val="16"/>
              <w:spacing w:line="360" w:lineRule="auto"/>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邮箱</w:t>
            </w:r>
          </w:p>
        </w:tc>
        <w:tc>
          <w:tcPr>
            <w:tcW w:w="2770" w:type="dxa"/>
            <w:gridSpan w:val="2"/>
            <w:noWrap w:val="0"/>
            <w:vAlign w:val="center"/>
          </w:tcPr>
          <w:p w14:paraId="33884113">
            <w:pPr>
              <w:pStyle w:val="16"/>
              <w:spacing w:line="360" w:lineRule="auto"/>
              <w:jc w:val="center"/>
              <w:rPr>
                <w:rFonts w:hint="eastAsia" w:ascii="仿宋_GB2312" w:hAnsi="仿宋_GB2312" w:eastAsia="仿宋_GB2312" w:cs="仿宋_GB2312"/>
                <w:color w:val="auto"/>
                <w:sz w:val="32"/>
                <w:szCs w:val="32"/>
              </w:rPr>
            </w:pPr>
          </w:p>
        </w:tc>
      </w:tr>
      <w:tr w14:paraId="082D4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196" w:type="dxa"/>
            <w:noWrap w:val="0"/>
            <w:vAlign w:val="center"/>
          </w:tcPr>
          <w:p w14:paraId="5D0BC160">
            <w:pPr>
              <w:pStyle w:val="16"/>
              <w:spacing w:line="360" w:lineRule="auto"/>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企业性质</w:t>
            </w:r>
          </w:p>
        </w:tc>
        <w:tc>
          <w:tcPr>
            <w:tcW w:w="7611" w:type="dxa"/>
            <w:gridSpan w:val="7"/>
            <w:noWrap w:val="0"/>
            <w:vAlign w:val="center"/>
          </w:tcPr>
          <w:p w14:paraId="5873D7C3">
            <w:pPr>
              <w:pStyle w:val="16"/>
              <w:spacing w:line="360" w:lineRule="auto"/>
              <w:jc w:val="center"/>
              <w:rPr>
                <w:rFonts w:hint="eastAsia" w:ascii="仿宋_GB2312" w:hAnsi="仿宋_GB2312" w:eastAsia="仿宋_GB2312" w:cs="仿宋_GB2312"/>
                <w:color w:val="auto"/>
                <w:sz w:val="32"/>
                <w:szCs w:val="32"/>
              </w:rPr>
            </w:pPr>
          </w:p>
        </w:tc>
      </w:tr>
      <w:tr w14:paraId="3FA67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2196" w:type="dxa"/>
            <w:noWrap w:val="0"/>
            <w:vAlign w:val="center"/>
          </w:tcPr>
          <w:p w14:paraId="1A30527D">
            <w:pPr>
              <w:pStyle w:val="16"/>
              <w:spacing w:line="360" w:lineRule="auto"/>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法定代表人</w:t>
            </w:r>
          </w:p>
        </w:tc>
        <w:tc>
          <w:tcPr>
            <w:tcW w:w="1309" w:type="dxa"/>
            <w:noWrap w:val="0"/>
            <w:vAlign w:val="center"/>
          </w:tcPr>
          <w:p w14:paraId="728B28C4">
            <w:pPr>
              <w:pStyle w:val="16"/>
              <w:spacing w:line="360" w:lineRule="auto"/>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姓名</w:t>
            </w:r>
          </w:p>
        </w:tc>
        <w:tc>
          <w:tcPr>
            <w:tcW w:w="1064" w:type="dxa"/>
            <w:noWrap w:val="0"/>
            <w:vAlign w:val="center"/>
          </w:tcPr>
          <w:p w14:paraId="7BAC8D6D">
            <w:pPr>
              <w:pStyle w:val="16"/>
              <w:spacing w:line="360" w:lineRule="auto"/>
              <w:jc w:val="center"/>
              <w:rPr>
                <w:rFonts w:hint="eastAsia" w:ascii="仿宋_GB2312" w:hAnsi="仿宋_GB2312" w:eastAsia="仿宋_GB2312" w:cs="仿宋_GB2312"/>
                <w:color w:val="auto"/>
                <w:sz w:val="32"/>
                <w:szCs w:val="32"/>
              </w:rPr>
            </w:pPr>
          </w:p>
        </w:tc>
        <w:tc>
          <w:tcPr>
            <w:tcW w:w="1540" w:type="dxa"/>
            <w:gridSpan w:val="2"/>
            <w:noWrap w:val="0"/>
            <w:vAlign w:val="center"/>
          </w:tcPr>
          <w:p w14:paraId="48F08D14">
            <w:pPr>
              <w:pStyle w:val="16"/>
              <w:spacing w:line="360" w:lineRule="auto"/>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技术职称</w:t>
            </w:r>
          </w:p>
        </w:tc>
        <w:tc>
          <w:tcPr>
            <w:tcW w:w="928" w:type="dxa"/>
            <w:noWrap w:val="0"/>
            <w:vAlign w:val="center"/>
          </w:tcPr>
          <w:p w14:paraId="3EC05A10">
            <w:pPr>
              <w:pStyle w:val="16"/>
              <w:spacing w:line="360" w:lineRule="auto"/>
              <w:jc w:val="center"/>
              <w:rPr>
                <w:rFonts w:hint="eastAsia" w:ascii="仿宋_GB2312" w:hAnsi="仿宋_GB2312" w:eastAsia="仿宋_GB2312" w:cs="仿宋_GB2312"/>
                <w:color w:val="auto"/>
                <w:sz w:val="32"/>
                <w:szCs w:val="32"/>
              </w:rPr>
            </w:pPr>
          </w:p>
        </w:tc>
        <w:tc>
          <w:tcPr>
            <w:tcW w:w="1309" w:type="dxa"/>
            <w:noWrap w:val="0"/>
            <w:vAlign w:val="center"/>
          </w:tcPr>
          <w:p w14:paraId="67580EBD">
            <w:pPr>
              <w:pStyle w:val="16"/>
              <w:spacing w:line="360" w:lineRule="auto"/>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电话</w:t>
            </w:r>
          </w:p>
        </w:tc>
        <w:tc>
          <w:tcPr>
            <w:tcW w:w="1461" w:type="dxa"/>
            <w:noWrap w:val="0"/>
            <w:vAlign w:val="center"/>
          </w:tcPr>
          <w:p w14:paraId="006D4D34">
            <w:pPr>
              <w:pStyle w:val="16"/>
              <w:spacing w:line="360" w:lineRule="auto"/>
              <w:jc w:val="center"/>
              <w:rPr>
                <w:rFonts w:hint="eastAsia" w:ascii="仿宋_GB2312" w:hAnsi="仿宋_GB2312" w:eastAsia="仿宋_GB2312" w:cs="仿宋_GB2312"/>
                <w:color w:val="auto"/>
                <w:sz w:val="32"/>
                <w:szCs w:val="32"/>
              </w:rPr>
            </w:pPr>
          </w:p>
        </w:tc>
      </w:tr>
      <w:tr w14:paraId="26366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2196" w:type="dxa"/>
            <w:noWrap w:val="0"/>
            <w:vAlign w:val="center"/>
          </w:tcPr>
          <w:p w14:paraId="515F694A">
            <w:pPr>
              <w:pStyle w:val="16"/>
              <w:spacing w:line="360" w:lineRule="auto"/>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技术负责人</w:t>
            </w:r>
          </w:p>
        </w:tc>
        <w:tc>
          <w:tcPr>
            <w:tcW w:w="1309" w:type="dxa"/>
            <w:noWrap w:val="0"/>
            <w:vAlign w:val="center"/>
          </w:tcPr>
          <w:p w14:paraId="1675161F">
            <w:pPr>
              <w:pStyle w:val="16"/>
              <w:spacing w:line="360" w:lineRule="auto"/>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姓名</w:t>
            </w:r>
          </w:p>
        </w:tc>
        <w:tc>
          <w:tcPr>
            <w:tcW w:w="1064" w:type="dxa"/>
            <w:noWrap w:val="0"/>
            <w:vAlign w:val="center"/>
          </w:tcPr>
          <w:p w14:paraId="48FAE951">
            <w:pPr>
              <w:pStyle w:val="16"/>
              <w:spacing w:line="360" w:lineRule="auto"/>
              <w:jc w:val="center"/>
              <w:rPr>
                <w:rFonts w:hint="eastAsia" w:ascii="仿宋_GB2312" w:hAnsi="仿宋_GB2312" w:eastAsia="仿宋_GB2312" w:cs="仿宋_GB2312"/>
                <w:color w:val="auto"/>
                <w:sz w:val="32"/>
                <w:szCs w:val="32"/>
              </w:rPr>
            </w:pPr>
          </w:p>
        </w:tc>
        <w:tc>
          <w:tcPr>
            <w:tcW w:w="1540" w:type="dxa"/>
            <w:gridSpan w:val="2"/>
            <w:noWrap w:val="0"/>
            <w:vAlign w:val="center"/>
          </w:tcPr>
          <w:p w14:paraId="5F5D8E1D">
            <w:pPr>
              <w:pStyle w:val="16"/>
              <w:spacing w:line="360" w:lineRule="auto"/>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技术职称</w:t>
            </w:r>
          </w:p>
        </w:tc>
        <w:tc>
          <w:tcPr>
            <w:tcW w:w="928" w:type="dxa"/>
            <w:noWrap w:val="0"/>
            <w:vAlign w:val="center"/>
          </w:tcPr>
          <w:p w14:paraId="26472AE3">
            <w:pPr>
              <w:pStyle w:val="16"/>
              <w:spacing w:line="360" w:lineRule="auto"/>
              <w:jc w:val="center"/>
              <w:rPr>
                <w:rFonts w:hint="eastAsia" w:ascii="仿宋_GB2312" w:hAnsi="仿宋_GB2312" w:eastAsia="仿宋_GB2312" w:cs="仿宋_GB2312"/>
                <w:color w:val="auto"/>
                <w:sz w:val="32"/>
                <w:szCs w:val="32"/>
              </w:rPr>
            </w:pPr>
          </w:p>
        </w:tc>
        <w:tc>
          <w:tcPr>
            <w:tcW w:w="1309" w:type="dxa"/>
            <w:noWrap w:val="0"/>
            <w:vAlign w:val="center"/>
          </w:tcPr>
          <w:p w14:paraId="5747CD4F">
            <w:pPr>
              <w:pStyle w:val="16"/>
              <w:spacing w:line="360" w:lineRule="auto"/>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电话</w:t>
            </w:r>
          </w:p>
        </w:tc>
        <w:tc>
          <w:tcPr>
            <w:tcW w:w="1461" w:type="dxa"/>
            <w:noWrap w:val="0"/>
            <w:vAlign w:val="center"/>
          </w:tcPr>
          <w:p w14:paraId="2DED2440">
            <w:pPr>
              <w:pStyle w:val="16"/>
              <w:spacing w:line="360" w:lineRule="auto"/>
              <w:jc w:val="center"/>
              <w:rPr>
                <w:rFonts w:hint="eastAsia" w:ascii="仿宋_GB2312" w:hAnsi="仿宋_GB2312" w:eastAsia="仿宋_GB2312" w:cs="仿宋_GB2312"/>
                <w:color w:val="auto"/>
                <w:sz w:val="32"/>
                <w:szCs w:val="32"/>
              </w:rPr>
            </w:pPr>
          </w:p>
        </w:tc>
      </w:tr>
      <w:tr w14:paraId="647FA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2196" w:type="dxa"/>
            <w:noWrap w:val="0"/>
            <w:vAlign w:val="center"/>
          </w:tcPr>
          <w:p w14:paraId="1373B422">
            <w:pPr>
              <w:pStyle w:val="16"/>
              <w:spacing w:line="360" w:lineRule="auto"/>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成立时间</w:t>
            </w:r>
          </w:p>
        </w:tc>
        <w:tc>
          <w:tcPr>
            <w:tcW w:w="2373" w:type="dxa"/>
            <w:gridSpan w:val="2"/>
            <w:noWrap w:val="0"/>
            <w:vAlign w:val="center"/>
          </w:tcPr>
          <w:p w14:paraId="0179A788">
            <w:pPr>
              <w:pStyle w:val="16"/>
              <w:spacing w:line="360" w:lineRule="auto"/>
              <w:jc w:val="center"/>
              <w:rPr>
                <w:rFonts w:hint="eastAsia" w:ascii="仿宋_GB2312" w:hAnsi="仿宋_GB2312" w:eastAsia="仿宋_GB2312" w:cs="仿宋_GB2312"/>
                <w:color w:val="auto"/>
                <w:sz w:val="32"/>
                <w:szCs w:val="32"/>
              </w:rPr>
            </w:pPr>
          </w:p>
        </w:tc>
        <w:tc>
          <w:tcPr>
            <w:tcW w:w="5238" w:type="dxa"/>
            <w:gridSpan w:val="5"/>
            <w:noWrap w:val="0"/>
            <w:vAlign w:val="center"/>
          </w:tcPr>
          <w:p w14:paraId="46494DA7">
            <w:pPr>
              <w:pStyle w:val="16"/>
              <w:spacing w:line="360" w:lineRule="auto"/>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员工总人数：</w:t>
            </w:r>
          </w:p>
        </w:tc>
      </w:tr>
      <w:tr w14:paraId="7DED8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2196" w:type="dxa"/>
            <w:noWrap w:val="0"/>
            <w:vAlign w:val="center"/>
          </w:tcPr>
          <w:p w14:paraId="6F125EC7">
            <w:pPr>
              <w:pStyle w:val="16"/>
              <w:spacing w:line="360" w:lineRule="auto"/>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营业执照号</w:t>
            </w:r>
          </w:p>
        </w:tc>
        <w:tc>
          <w:tcPr>
            <w:tcW w:w="7611" w:type="dxa"/>
            <w:gridSpan w:val="7"/>
            <w:noWrap w:val="0"/>
            <w:vAlign w:val="center"/>
          </w:tcPr>
          <w:p w14:paraId="08E056F3">
            <w:pPr>
              <w:pStyle w:val="16"/>
              <w:spacing w:line="360" w:lineRule="auto"/>
              <w:jc w:val="center"/>
              <w:rPr>
                <w:rFonts w:hint="eastAsia" w:ascii="仿宋_GB2312" w:hAnsi="仿宋_GB2312" w:eastAsia="仿宋_GB2312" w:cs="仿宋_GB2312"/>
                <w:color w:val="auto"/>
                <w:sz w:val="32"/>
                <w:szCs w:val="32"/>
              </w:rPr>
            </w:pPr>
          </w:p>
        </w:tc>
      </w:tr>
      <w:tr w14:paraId="77A2A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2196" w:type="dxa"/>
            <w:noWrap w:val="0"/>
            <w:vAlign w:val="center"/>
          </w:tcPr>
          <w:p w14:paraId="2B2A28B8">
            <w:pPr>
              <w:pStyle w:val="16"/>
              <w:spacing w:line="360" w:lineRule="auto"/>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注册时间</w:t>
            </w:r>
          </w:p>
        </w:tc>
        <w:tc>
          <w:tcPr>
            <w:tcW w:w="7611" w:type="dxa"/>
            <w:gridSpan w:val="7"/>
            <w:noWrap w:val="0"/>
            <w:vAlign w:val="center"/>
          </w:tcPr>
          <w:p w14:paraId="57F48C22">
            <w:pPr>
              <w:pStyle w:val="16"/>
              <w:spacing w:line="360" w:lineRule="auto"/>
              <w:jc w:val="center"/>
              <w:rPr>
                <w:rFonts w:hint="eastAsia" w:ascii="仿宋_GB2312" w:hAnsi="仿宋_GB2312" w:eastAsia="仿宋_GB2312" w:cs="仿宋_GB2312"/>
                <w:color w:val="auto"/>
                <w:sz w:val="32"/>
                <w:szCs w:val="32"/>
              </w:rPr>
            </w:pPr>
          </w:p>
        </w:tc>
      </w:tr>
      <w:tr w14:paraId="52783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2196" w:type="dxa"/>
            <w:noWrap w:val="0"/>
            <w:vAlign w:val="center"/>
          </w:tcPr>
          <w:p w14:paraId="19106E92">
            <w:pPr>
              <w:pStyle w:val="16"/>
              <w:spacing w:line="360" w:lineRule="auto"/>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开户银行</w:t>
            </w:r>
          </w:p>
        </w:tc>
        <w:tc>
          <w:tcPr>
            <w:tcW w:w="7611" w:type="dxa"/>
            <w:gridSpan w:val="7"/>
            <w:noWrap w:val="0"/>
            <w:vAlign w:val="center"/>
          </w:tcPr>
          <w:p w14:paraId="10D92B9A">
            <w:pPr>
              <w:pStyle w:val="16"/>
              <w:spacing w:line="360" w:lineRule="auto"/>
              <w:jc w:val="center"/>
              <w:rPr>
                <w:rFonts w:hint="eastAsia" w:ascii="仿宋_GB2312" w:hAnsi="仿宋_GB2312" w:eastAsia="仿宋_GB2312" w:cs="仿宋_GB2312"/>
                <w:color w:val="auto"/>
                <w:sz w:val="32"/>
                <w:szCs w:val="32"/>
              </w:rPr>
            </w:pPr>
          </w:p>
        </w:tc>
      </w:tr>
      <w:tr w14:paraId="4D2E9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2196" w:type="dxa"/>
            <w:noWrap w:val="0"/>
            <w:vAlign w:val="center"/>
          </w:tcPr>
          <w:p w14:paraId="3748615D">
            <w:pPr>
              <w:pStyle w:val="16"/>
              <w:spacing w:line="360" w:lineRule="auto"/>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银行账号</w:t>
            </w:r>
          </w:p>
        </w:tc>
        <w:tc>
          <w:tcPr>
            <w:tcW w:w="7611" w:type="dxa"/>
            <w:gridSpan w:val="7"/>
            <w:noWrap w:val="0"/>
            <w:vAlign w:val="center"/>
          </w:tcPr>
          <w:p w14:paraId="6A43A82E">
            <w:pPr>
              <w:pStyle w:val="16"/>
              <w:spacing w:line="360" w:lineRule="auto"/>
              <w:jc w:val="center"/>
              <w:rPr>
                <w:rFonts w:hint="eastAsia" w:ascii="仿宋_GB2312" w:hAnsi="仿宋_GB2312" w:eastAsia="仿宋_GB2312" w:cs="仿宋_GB2312"/>
                <w:color w:val="auto"/>
                <w:sz w:val="32"/>
                <w:szCs w:val="32"/>
              </w:rPr>
            </w:pPr>
          </w:p>
        </w:tc>
      </w:tr>
      <w:tr w14:paraId="5FB7B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trPr>
        <w:tc>
          <w:tcPr>
            <w:tcW w:w="2196" w:type="dxa"/>
            <w:noWrap w:val="0"/>
            <w:vAlign w:val="center"/>
          </w:tcPr>
          <w:p w14:paraId="58EF5DA5">
            <w:pPr>
              <w:pStyle w:val="16"/>
              <w:spacing w:line="360" w:lineRule="auto"/>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经营范围备注</w:t>
            </w:r>
          </w:p>
        </w:tc>
        <w:tc>
          <w:tcPr>
            <w:tcW w:w="7611" w:type="dxa"/>
            <w:gridSpan w:val="7"/>
            <w:noWrap w:val="0"/>
            <w:vAlign w:val="center"/>
          </w:tcPr>
          <w:p w14:paraId="03E4D81C">
            <w:pPr>
              <w:pStyle w:val="16"/>
              <w:spacing w:line="360" w:lineRule="auto"/>
              <w:jc w:val="center"/>
              <w:rPr>
                <w:rFonts w:hint="eastAsia" w:ascii="仿宋_GB2312" w:hAnsi="仿宋_GB2312" w:eastAsia="仿宋_GB2312" w:cs="仿宋_GB2312"/>
                <w:color w:val="auto"/>
                <w:sz w:val="32"/>
                <w:szCs w:val="32"/>
              </w:rPr>
            </w:pPr>
          </w:p>
        </w:tc>
      </w:tr>
    </w:tbl>
    <w:p w14:paraId="7FA0473A">
      <w:pPr>
        <w:spacing w:line="360" w:lineRule="auto"/>
        <w:ind w:right="561"/>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投标人名称（加盖公章）：</w:t>
      </w:r>
    </w:p>
    <w:p w14:paraId="1A0DE36B">
      <w:pPr>
        <w:spacing w:line="360" w:lineRule="auto"/>
        <w:ind w:right="561"/>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投标人法定代表人或受委托人（签名或盖私章）：</w:t>
      </w:r>
    </w:p>
    <w:p w14:paraId="37E8C087">
      <w:pPr>
        <w:spacing w:line="360" w:lineRule="auto"/>
        <w:ind w:right="561"/>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日      期：</w:t>
      </w:r>
    </w:p>
    <w:p w14:paraId="1DBC53E3">
      <w:pPr>
        <w:pStyle w:val="3"/>
        <w:spacing w:line="360" w:lineRule="auto"/>
        <w:jc w:val="center"/>
        <w:rPr>
          <w:rStyle w:val="53"/>
          <w:rFonts w:hint="eastAsia" w:ascii="仿宋_GB2312" w:hAnsi="仿宋_GB2312" w:eastAsia="仿宋_GB2312" w:cs="仿宋_GB2312"/>
          <w:b/>
          <w:bCs w:val="0"/>
          <w:color w:val="auto"/>
        </w:rPr>
      </w:pPr>
      <w:bookmarkStart w:id="323" w:name="_Toc14849"/>
      <w:r>
        <w:rPr>
          <w:rStyle w:val="53"/>
          <w:rFonts w:hint="eastAsia" w:ascii="仿宋_GB2312" w:hAnsi="仿宋_GB2312" w:eastAsia="仿宋_GB2312" w:cs="仿宋_GB2312"/>
          <w:b/>
          <w:bCs w:val="0"/>
          <w:color w:val="auto"/>
        </w:rPr>
        <w:t>13、项目人员配置情况表</w:t>
      </w:r>
      <w:bookmarkEnd w:id="323"/>
    </w:p>
    <w:p w14:paraId="454ED4F6">
      <w:pPr>
        <w:pStyle w:val="65"/>
        <w:spacing w:line="360" w:lineRule="auto"/>
        <w:ind w:left="928" w:hanging="928" w:hangingChars="290"/>
        <w:rPr>
          <w:rFonts w:hint="eastAsia" w:hAnsi="仿宋_GB2312" w:cs="仿宋_GB2312"/>
          <w:color w:val="auto"/>
          <w:sz w:val="32"/>
          <w:szCs w:val="32"/>
        </w:rPr>
      </w:pPr>
      <w:r>
        <w:rPr>
          <w:rFonts w:hint="eastAsia" w:hAnsi="仿宋_GB2312" w:cs="仿宋_GB2312"/>
          <w:color w:val="auto"/>
          <w:sz w:val="32"/>
          <w:szCs w:val="32"/>
        </w:rPr>
        <w:t xml:space="preserve">项目名称：                                项目编号：                 </w:t>
      </w:r>
    </w:p>
    <w:tbl>
      <w:tblPr>
        <w:tblStyle w:val="27"/>
        <w:tblpPr w:leftFromText="180" w:rightFromText="180" w:vertAnchor="text" w:tblpXSpec="center" w:tblpY="1"/>
        <w:tblOverlap w:val="never"/>
        <w:tblW w:w="925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740"/>
        <w:gridCol w:w="2478"/>
        <w:gridCol w:w="2974"/>
        <w:gridCol w:w="2066"/>
      </w:tblGrid>
      <w:tr w14:paraId="67EA1C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9" w:hRule="atLeast"/>
          <w:jc w:val="center"/>
        </w:trPr>
        <w:tc>
          <w:tcPr>
            <w:tcW w:w="1740" w:type="dxa"/>
            <w:vMerge w:val="restart"/>
            <w:noWrap w:val="0"/>
            <w:vAlign w:val="center"/>
          </w:tcPr>
          <w:p w14:paraId="16CF8CC1">
            <w:pPr>
              <w:spacing w:line="360" w:lineRule="auto"/>
              <w:jc w:val="center"/>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序号</w:t>
            </w:r>
          </w:p>
        </w:tc>
        <w:tc>
          <w:tcPr>
            <w:tcW w:w="2478" w:type="dxa"/>
            <w:vMerge w:val="restart"/>
            <w:noWrap w:val="0"/>
            <w:vAlign w:val="center"/>
          </w:tcPr>
          <w:p w14:paraId="7918FD2C">
            <w:pPr>
              <w:spacing w:line="360" w:lineRule="auto"/>
              <w:jc w:val="center"/>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姓名</w:t>
            </w:r>
          </w:p>
        </w:tc>
        <w:tc>
          <w:tcPr>
            <w:tcW w:w="2974" w:type="dxa"/>
            <w:vMerge w:val="restart"/>
            <w:noWrap w:val="0"/>
            <w:vAlign w:val="center"/>
          </w:tcPr>
          <w:p w14:paraId="79B73690">
            <w:pPr>
              <w:spacing w:line="360" w:lineRule="auto"/>
              <w:jc w:val="center"/>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职务</w:t>
            </w:r>
          </w:p>
        </w:tc>
        <w:tc>
          <w:tcPr>
            <w:tcW w:w="2066" w:type="dxa"/>
            <w:vMerge w:val="restart"/>
            <w:noWrap w:val="0"/>
            <w:vAlign w:val="center"/>
          </w:tcPr>
          <w:p w14:paraId="008D8E50">
            <w:pPr>
              <w:spacing w:line="360" w:lineRule="auto"/>
              <w:jc w:val="center"/>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经验年限</w:t>
            </w:r>
          </w:p>
        </w:tc>
      </w:tr>
      <w:tr w14:paraId="00F904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5" w:hRule="atLeast"/>
          <w:jc w:val="center"/>
        </w:trPr>
        <w:tc>
          <w:tcPr>
            <w:tcW w:w="1740" w:type="dxa"/>
            <w:vMerge w:val="continue"/>
            <w:noWrap w:val="0"/>
            <w:vAlign w:val="center"/>
          </w:tcPr>
          <w:p w14:paraId="6C72570E">
            <w:pPr>
              <w:spacing w:line="360" w:lineRule="auto"/>
              <w:jc w:val="center"/>
              <w:rPr>
                <w:rFonts w:hint="eastAsia" w:ascii="仿宋_GB2312" w:hAnsi="仿宋_GB2312" w:eastAsia="仿宋_GB2312" w:cs="仿宋_GB2312"/>
                <w:b/>
                <w:color w:val="auto"/>
                <w:sz w:val="32"/>
                <w:szCs w:val="32"/>
              </w:rPr>
            </w:pPr>
          </w:p>
        </w:tc>
        <w:tc>
          <w:tcPr>
            <w:tcW w:w="2478" w:type="dxa"/>
            <w:vMerge w:val="continue"/>
            <w:noWrap w:val="0"/>
            <w:vAlign w:val="center"/>
          </w:tcPr>
          <w:p w14:paraId="59328F0B">
            <w:pPr>
              <w:spacing w:line="360" w:lineRule="auto"/>
              <w:jc w:val="center"/>
              <w:rPr>
                <w:rFonts w:hint="eastAsia" w:ascii="仿宋_GB2312" w:hAnsi="仿宋_GB2312" w:eastAsia="仿宋_GB2312" w:cs="仿宋_GB2312"/>
                <w:b/>
                <w:color w:val="auto"/>
                <w:sz w:val="32"/>
                <w:szCs w:val="32"/>
              </w:rPr>
            </w:pPr>
          </w:p>
        </w:tc>
        <w:tc>
          <w:tcPr>
            <w:tcW w:w="2974" w:type="dxa"/>
            <w:vMerge w:val="continue"/>
            <w:noWrap w:val="0"/>
            <w:vAlign w:val="center"/>
          </w:tcPr>
          <w:p w14:paraId="09662C46">
            <w:pPr>
              <w:spacing w:line="360" w:lineRule="auto"/>
              <w:jc w:val="center"/>
              <w:rPr>
                <w:rFonts w:hint="eastAsia" w:ascii="仿宋_GB2312" w:hAnsi="仿宋_GB2312" w:eastAsia="仿宋_GB2312" w:cs="仿宋_GB2312"/>
                <w:b/>
                <w:color w:val="auto"/>
                <w:sz w:val="32"/>
                <w:szCs w:val="32"/>
              </w:rPr>
            </w:pPr>
          </w:p>
        </w:tc>
        <w:tc>
          <w:tcPr>
            <w:tcW w:w="2066" w:type="dxa"/>
            <w:vMerge w:val="continue"/>
            <w:noWrap w:val="0"/>
            <w:vAlign w:val="center"/>
          </w:tcPr>
          <w:p w14:paraId="51437F97">
            <w:pPr>
              <w:spacing w:line="360" w:lineRule="auto"/>
              <w:jc w:val="center"/>
              <w:rPr>
                <w:rFonts w:hint="eastAsia" w:ascii="仿宋_GB2312" w:hAnsi="仿宋_GB2312" w:eastAsia="仿宋_GB2312" w:cs="仿宋_GB2312"/>
                <w:b/>
                <w:color w:val="auto"/>
                <w:sz w:val="32"/>
                <w:szCs w:val="32"/>
              </w:rPr>
            </w:pPr>
          </w:p>
        </w:tc>
      </w:tr>
      <w:tr w14:paraId="7C9463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19" w:hRule="atLeast"/>
          <w:jc w:val="center"/>
        </w:trPr>
        <w:tc>
          <w:tcPr>
            <w:tcW w:w="1740" w:type="dxa"/>
            <w:noWrap w:val="0"/>
            <w:vAlign w:val="center"/>
          </w:tcPr>
          <w:p w14:paraId="6935560C">
            <w:pPr>
              <w:spacing w:line="360" w:lineRule="auto"/>
              <w:jc w:val="center"/>
              <w:rPr>
                <w:rFonts w:hint="eastAsia" w:ascii="仿宋_GB2312" w:hAnsi="仿宋_GB2312" w:eastAsia="仿宋_GB2312" w:cs="仿宋_GB2312"/>
                <w:color w:val="auto"/>
                <w:sz w:val="32"/>
                <w:szCs w:val="32"/>
              </w:rPr>
            </w:pPr>
          </w:p>
        </w:tc>
        <w:tc>
          <w:tcPr>
            <w:tcW w:w="2478" w:type="dxa"/>
            <w:noWrap w:val="0"/>
            <w:vAlign w:val="center"/>
          </w:tcPr>
          <w:p w14:paraId="529598FC">
            <w:pPr>
              <w:spacing w:line="360" w:lineRule="auto"/>
              <w:jc w:val="center"/>
              <w:rPr>
                <w:rFonts w:hint="eastAsia" w:ascii="仿宋_GB2312" w:hAnsi="仿宋_GB2312" w:eastAsia="仿宋_GB2312" w:cs="仿宋_GB2312"/>
                <w:color w:val="auto"/>
                <w:sz w:val="32"/>
                <w:szCs w:val="32"/>
              </w:rPr>
            </w:pPr>
          </w:p>
        </w:tc>
        <w:tc>
          <w:tcPr>
            <w:tcW w:w="2974" w:type="dxa"/>
            <w:noWrap w:val="0"/>
            <w:vAlign w:val="center"/>
          </w:tcPr>
          <w:p w14:paraId="2C7BD1A3">
            <w:pPr>
              <w:spacing w:line="360" w:lineRule="auto"/>
              <w:jc w:val="center"/>
              <w:rPr>
                <w:rFonts w:hint="eastAsia" w:ascii="仿宋_GB2312" w:hAnsi="仿宋_GB2312" w:eastAsia="仿宋_GB2312" w:cs="仿宋_GB2312"/>
                <w:color w:val="auto"/>
                <w:sz w:val="32"/>
                <w:szCs w:val="32"/>
              </w:rPr>
            </w:pPr>
          </w:p>
        </w:tc>
        <w:tc>
          <w:tcPr>
            <w:tcW w:w="2066" w:type="dxa"/>
            <w:noWrap w:val="0"/>
            <w:vAlign w:val="top"/>
          </w:tcPr>
          <w:p w14:paraId="2AAE7A0F">
            <w:pPr>
              <w:spacing w:line="360" w:lineRule="auto"/>
              <w:jc w:val="center"/>
              <w:rPr>
                <w:rFonts w:hint="eastAsia" w:ascii="仿宋_GB2312" w:hAnsi="仿宋_GB2312" w:eastAsia="仿宋_GB2312" w:cs="仿宋_GB2312"/>
                <w:color w:val="auto"/>
                <w:sz w:val="32"/>
                <w:szCs w:val="32"/>
              </w:rPr>
            </w:pPr>
          </w:p>
        </w:tc>
      </w:tr>
      <w:tr w14:paraId="404F51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19" w:hRule="atLeast"/>
          <w:jc w:val="center"/>
        </w:trPr>
        <w:tc>
          <w:tcPr>
            <w:tcW w:w="1740" w:type="dxa"/>
            <w:noWrap w:val="0"/>
            <w:vAlign w:val="center"/>
          </w:tcPr>
          <w:p w14:paraId="5246C025">
            <w:pPr>
              <w:spacing w:line="360" w:lineRule="auto"/>
              <w:jc w:val="center"/>
              <w:rPr>
                <w:rFonts w:hint="eastAsia" w:ascii="仿宋_GB2312" w:hAnsi="仿宋_GB2312" w:eastAsia="仿宋_GB2312" w:cs="仿宋_GB2312"/>
                <w:color w:val="auto"/>
                <w:sz w:val="32"/>
                <w:szCs w:val="32"/>
              </w:rPr>
            </w:pPr>
          </w:p>
        </w:tc>
        <w:tc>
          <w:tcPr>
            <w:tcW w:w="2478" w:type="dxa"/>
            <w:noWrap w:val="0"/>
            <w:vAlign w:val="center"/>
          </w:tcPr>
          <w:p w14:paraId="58974514">
            <w:pPr>
              <w:spacing w:line="360" w:lineRule="auto"/>
              <w:jc w:val="center"/>
              <w:rPr>
                <w:rFonts w:hint="eastAsia" w:ascii="仿宋_GB2312" w:hAnsi="仿宋_GB2312" w:eastAsia="仿宋_GB2312" w:cs="仿宋_GB2312"/>
                <w:color w:val="auto"/>
                <w:sz w:val="32"/>
                <w:szCs w:val="32"/>
              </w:rPr>
            </w:pPr>
          </w:p>
        </w:tc>
        <w:tc>
          <w:tcPr>
            <w:tcW w:w="2974" w:type="dxa"/>
            <w:noWrap w:val="0"/>
            <w:vAlign w:val="center"/>
          </w:tcPr>
          <w:p w14:paraId="64056594">
            <w:pPr>
              <w:spacing w:line="360" w:lineRule="auto"/>
              <w:jc w:val="center"/>
              <w:rPr>
                <w:rFonts w:hint="eastAsia" w:ascii="仿宋_GB2312" w:hAnsi="仿宋_GB2312" w:eastAsia="仿宋_GB2312" w:cs="仿宋_GB2312"/>
                <w:color w:val="auto"/>
                <w:sz w:val="32"/>
                <w:szCs w:val="32"/>
              </w:rPr>
            </w:pPr>
          </w:p>
        </w:tc>
        <w:tc>
          <w:tcPr>
            <w:tcW w:w="2066" w:type="dxa"/>
            <w:noWrap w:val="0"/>
            <w:vAlign w:val="top"/>
          </w:tcPr>
          <w:p w14:paraId="54440286">
            <w:pPr>
              <w:spacing w:line="360" w:lineRule="auto"/>
              <w:jc w:val="center"/>
              <w:rPr>
                <w:rFonts w:hint="eastAsia" w:ascii="仿宋_GB2312" w:hAnsi="仿宋_GB2312" w:eastAsia="仿宋_GB2312" w:cs="仿宋_GB2312"/>
                <w:color w:val="auto"/>
                <w:sz w:val="32"/>
                <w:szCs w:val="32"/>
              </w:rPr>
            </w:pPr>
          </w:p>
        </w:tc>
      </w:tr>
      <w:tr w14:paraId="6A542D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19" w:hRule="atLeast"/>
          <w:jc w:val="center"/>
        </w:trPr>
        <w:tc>
          <w:tcPr>
            <w:tcW w:w="1740" w:type="dxa"/>
            <w:noWrap w:val="0"/>
            <w:vAlign w:val="center"/>
          </w:tcPr>
          <w:p w14:paraId="15777FDE">
            <w:pPr>
              <w:spacing w:line="360" w:lineRule="auto"/>
              <w:jc w:val="center"/>
              <w:rPr>
                <w:rFonts w:hint="eastAsia" w:ascii="仿宋_GB2312" w:hAnsi="仿宋_GB2312" w:eastAsia="仿宋_GB2312" w:cs="仿宋_GB2312"/>
                <w:color w:val="auto"/>
                <w:sz w:val="32"/>
                <w:szCs w:val="32"/>
              </w:rPr>
            </w:pPr>
          </w:p>
        </w:tc>
        <w:tc>
          <w:tcPr>
            <w:tcW w:w="2478" w:type="dxa"/>
            <w:noWrap w:val="0"/>
            <w:vAlign w:val="center"/>
          </w:tcPr>
          <w:p w14:paraId="35B286D2">
            <w:pPr>
              <w:spacing w:line="360" w:lineRule="auto"/>
              <w:jc w:val="center"/>
              <w:rPr>
                <w:rFonts w:hint="eastAsia" w:ascii="仿宋_GB2312" w:hAnsi="仿宋_GB2312" w:eastAsia="仿宋_GB2312" w:cs="仿宋_GB2312"/>
                <w:color w:val="auto"/>
                <w:sz w:val="32"/>
                <w:szCs w:val="32"/>
              </w:rPr>
            </w:pPr>
          </w:p>
        </w:tc>
        <w:tc>
          <w:tcPr>
            <w:tcW w:w="2974" w:type="dxa"/>
            <w:noWrap w:val="0"/>
            <w:vAlign w:val="center"/>
          </w:tcPr>
          <w:p w14:paraId="4E86FAA2">
            <w:pPr>
              <w:spacing w:line="360" w:lineRule="auto"/>
              <w:jc w:val="center"/>
              <w:rPr>
                <w:rFonts w:hint="eastAsia" w:ascii="仿宋_GB2312" w:hAnsi="仿宋_GB2312" w:eastAsia="仿宋_GB2312" w:cs="仿宋_GB2312"/>
                <w:color w:val="auto"/>
                <w:sz w:val="32"/>
                <w:szCs w:val="32"/>
              </w:rPr>
            </w:pPr>
          </w:p>
        </w:tc>
        <w:tc>
          <w:tcPr>
            <w:tcW w:w="2066" w:type="dxa"/>
            <w:noWrap w:val="0"/>
            <w:vAlign w:val="top"/>
          </w:tcPr>
          <w:p w14:paraId="342F31A5">
            <w:pPr>
              <w:spacing w:line="360" w:lineRule="auto"/>
              <w:jc w:val="center"/>
              <w:rPr>
                <w:rFonts w:hint="eastAsia" w:ascii="仿宋_GB2312" w:hAnsi="仿宋_GB2312" w:eastAsia="仿宋_GB2312" w:cs="仿宋_GB2312"/>
                <w:color w:val="auto"/>
                <w:sz w:val="32"/>
                <w:szCs w:val="32"/>
              </w:rPr>
            </w:pPr>
          </w:p>
        </w:tc>
      </w:tr>
      <w:tr w14:paraId="593C0E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19" w:hRule="atLeast"/>
          <w:jc w:val="center"/>
        </w:trPr>
        <w:tc>
          <w:tcPr>
            <w:tcW w:w="1740" w:type="dxa"/>
            <w:noWrap w:val="0"/>
            <w:vAlign w:val="center"/>
          </w:tcPr>
          <w:p w14:paraId="578AF538">
            <w:pPr>
              <w:spacing w:line="360" w:lineRule="auto"/>
              <w:jc w:val="center"/>
              <w:rPr>
                <w:rFonts w:hint="eastAsia" w:ascii="仿宋_GB2312" w:hAnsi="仿宋_GB2312" w:eastAsia="仿宋_GB2312" w:cs="仿宋_GB2312"/>
                <w:color w:val="auto"/>
                <w:sz w:val="32"/>
                <w:szCs w:val="32"/>
              </w:rPr>
            </w:pPr>
          </w:p>
        </w:tc>
        <w:tc>
          <w:tcPr>
            <w:tcW w:w="2478" w:type="dxa"/>
            <w:noWrap w:val="0"/>
            <w:vAlign w:val="center"/>
          </w:tcPr>
          <w:p w14:paraId="6140EDC1">
            <w:pPr>
              <w:spacing w:line="360" w:lineRule="auto"/>
              <w:jc w:val="center"/>
              <w:rPr>
                <w:rFonts w:hint="eastAsia" w:ascii="仿宋_GB2312" w:hAnsi="仿宋_GB2312" w:eastAsia="仿宋_GB2312" w:cs="仿宋_GB2312"/>
                <w:color w:val="auto"/>
                <w:sz w:val="32"/>
                <w:szCs w:val="32"/>
              </w:rPr>
            </w:pPr>
          </w:p>
        </w:tc>
        <w:tc>
          <w:tcPr>
            <w:tcW w:w="2974" w:type="dxa"/>
            <w:noWrap w:val="0"/>
            <w:vAlign w:val="center"/>
          </w:tcPr>
          <w:p w14:paraId="06ACE57D">
            <w:pPr>
              <w:spacing w:line="360" w:lineRule="auto"/>
              <w:jc w:val="center"/>
              <w:rPr>
                <w:rFonts w:hint="eastAsia" w:ascii="仿宋_GB2312" w:hAnsi="仿宋_GB2312" w:eastAsia="仿宋_GB2312" w:cs="仿宋_GB2312"/>
                <w:color w:val="auto"/>
                <w:sz w:val="32"/>
                <w:szCs w:val="32"/>
              </w:rPr>
            </w:pPr>
          </w:p>
        </w:tc>
        <w:tc>
          <w:tcPr>
            <w:tcW w:w="2066" w:type="dxa"/>
            <w:noWrap w:val="0"/>
            <w:vAlign w:val="top"/>
          </w:tcPr>
          <w:p w14:paraId="094E04F6">
            <w:pPr>
              <w:spacing w:line="360" w:lineRule="auto"/>
              <w:jc w:val="center"/>
              <w:rPr>
                <w:rFonts w:hint="eastAsia" w:ascii="仿宋_GB2312" w:hAnsi="仿宋_GB2312" w:eastAsia="仿宋_GB2312" w:cs="仿宋_GB2312"/>
                <w:color w:val="auto"/>
                <w:sz w:val="32"/>
                <w:szCs w:val="32"/>
              </w:rPr>
            </w:pPr>
          </w:p>
        </w:tc>
      </w:tr>
      <w:tr w14:paraId="27847E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19" w:hRule="atLeast"/>
          <w:jc w:val="center"/>
        </w:trPr>
        <w:tc>
          <w:tcPr>
            <w:tcW w:w="1740" w:type="dxa"/>
            <w:noWrap w:val="0"/>
            <w:vAlign w:val="center"/>
          </w:tcPr>
          <w:p w14:paraId="4D8639FA">
            <w:pPr>
              <w:spacing w:line="360" w:lineRule="auto"/>
              <w:jc w:val="center"/>
              <w:rPr>
                <w:rFonts w:hint="eastAsia" w:ascii="仿宋_GB2312" w:hAnsi="仿宋_GB2312" w:eastAsia="仿宋_GB2312" w:cs="仿宋_GB2312"/>
                <w:color w:val="auto"/>
                <w:sz w:val="32"/>
                <w:szCs w:val="32"/>
              </w:rPr>
            </w:pPr>
          </w:p>
        </w:tc>
        <w:tc>
          <w:tcPr>
            <w:tcW w:w="2478" w:type="dxa"/>
            <w:noWrap w:val="0"/>
            <w:vAlign w:val="center"/>
          </w:tcPr>
          <w:p w14:paraId="65C5DAEB">
            <w:pPr>
              <w:spacing w:line="360" w:lineRule="auto"/>
              <w:jc w:val="center"/>
              <w:rPr>
                <w:rFonts w:hint="eastAsia" w:ascii="仿宋_GB2312" w:hAnsi="仿宋_GB2312" w:eastAsia="仿宋_GB2312" w:cs="仿宋_GB2312"/>
                <w:color w:val="auto"/>
                <w:sz w:val="32"/>
                <w:szCs w:val="32"/>
              </w:rPr>
            </w:pPr>
          </w:p>
        </w:tc>
        <w:tc>
          <w:tcPr>
            <w:tcW w:w="2974" w:type="dxa"/>
            <w:noWrap w:val="0"/>
            <w:vAlign w:val="center"/>
          </w:tcPr>
          <w:p w14:paraId="7BC413F7">
            <w:pPr>
              <w:spacing w:line="360" w:lineRule="auto"/>
              <w:jc w:val="center"/>
              <w:rPr>
                <w:rFonts w:hint="eastAsia" w:ascii="仿宋_GB2312" w:hAnsi="仿宋_GB2312" w:eastAsia="仿宋_GB2312" w:cs="仿宋_GB2312"/>
                <w:color w:val="auto"/>
                <w:sz w:val="32"/>
                <w:szCs w:val="32"/>
              </w:rPr>
            </w:pPr>
          </w:p>
        </w:tc>
        <w:tc>
          <w:tcPr>
            <w:tcW w:w="2066" w:type="dxa"/>
            <w:noWrap w:val="0"/>
            <w:vAlign w:val="top"/>
          </w:tcPr>
          <w:p w14:paraId="332E386C">
            <w:pPr>
              <w:spacing w:line="360" w:lineRule="auto"/>
              <w:jc w:val="center"/>
              <w:rPr>
                <w:rFonts w:hint="eastAsia" w:ascii="仿宋_GB2312" w:hAnsi="仿宋_GB2312" w:eastAsia="仿宋_GB2312" w:cs="仿宋_GB2312"/>
                <w:color w:val="auto"/>
                <w:sz w:val="32"/>
                <w:szCs w:val="32"/>
              </w:rPr>
            </w:pPr>
          </w:p>
        </w:tc>
      </w:tr>
      <w:tr w14:paraId="7C3938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45" w:hRule="atLeast"/>
          <w:jc w:val="center"/>
        </w:trPr>
        <w:tc>
          <w:tcPr>
            <w:tcW w:w="1740" w:type="dxa"/>
            <w:noWrap w:val="0"/>
            <w:vAlign w:val="center"/>
          </w:tcPr>
          <w:p w14:paraId="6D010364">
            <w:pPr>
              <w:spacing w:line="360" w:lineRule="auto"/>
              <w:jc w:val="center"/>
              <w:rPr>
                <w:rFonts w:hint="eastAsia" w:ascii="仿宋_GB2312" w:hAnsi="仿宋_GB2312" w:eastAsia="仿宋_GB2312" w:cs="仿宋_GB2312"/>
                <w:color w:val="auto"/>
                <w:sz w:val="32"/>
                <w:szCs w:val="32"/>
              </w:rPr>
            </w:pPr>
          </w:p>
        </w:tc>
        <w:tc>
          <w:tcPr>
            <w:tcW w:w="2478" w:type="dxa"/>
            <w:noWrap w:val="0"/>
            <w:vAlign w:val="center"/>
          </w:tcPr>
          <w:p w14:paraId="30A37328">
            <w:pPr>
              <w:spacing w:line="360" w:lineRule="auto"/>
              <w:jc w:val="center"/>
              <w:rPr>
                <w:rFonts w:hint="eastAsia" w:ascii="仿宋_GB2312" w:hAnsi="仿宋_GB2312" w:eastAsia="仿宋_GB2312" w:cs="仿宋_GB2312"/>
                <w:color w:val="auto"/>
                <w:sz w:val="32"/>
                <w:szCs w:val="32"/>
              </w:rPr>
            </w:pPr>
          </w:p>
        </w:tc>
        <w:tc>
          <w:tcPr>
            <w:tcW w:w="2974" w:type="dxa"/>
            <w:noWrap w:val="0"/>
            <w:vAlign w:val="center"/>
          </w:tcPr>
          <w:p w14:paraId="01340EFB">
            <w:pPr>
              <w:spacing w:line="360" w:lineRule="auto"/>
              <w:jc w:val="center"/>
              <w:rPr>
                <w:rFonts w:hint="eastAsia" w:ascii="仿宋_GB2312" w:hAnsi="仿宋_GB2312" w:eastAsia="仿宋_GB2312" w:cs="仿宋_GB2312"/>
                <w:color w:val="auto"/>
                <w:sz w:val="32"/>
                <w:szCs w:val="32"/>
              </w:rPr>
            </w:pPr>
          </w:p>
        </w:tc>
        <w:tc>
          <w:tcPr>
            <w:tcW w:w="2066" w:type="dxa"/>
            <w:noWrap w:val="0"/>
            <w:vAlign w:val="top"/>
          </w:tcPr>
          <w:p w14:paraId="66F8310A">
            <w:pPr>
              <w:spacing w:line="360" w:lineRule="auto"/>
              <w:jc w:val="center"/>
              <w:rPr>
                <w:rFonts w:hint="eastAsia" w:ascii="仿宋_GB2312" w:hAnsi="仿宋_GB2312" w:eastAsia="仿宋_GB2312" w:cs="仿宋_GB2312"/>
                <w:color w:val="auto"/>
                <w:sz w:val="32"/>
                <w:szCs w:val="32"/>
              </w:rPr>
            </w:pPr>
          </w:p>
        </w:tc>
      </w:tr>
    </w:tbl>
    <w:p w14:paraId="2DE37C63">
      <w:pPr>
        <w:pStyle w:val="15"/>
        <w:spacing w:line="360" w:lineRule="auto"/>
        <w:rPr>
          <w:rFonts w:hint="eastAsia" w:ascii="仿宋_GB2312" w:hAnsi="仿宋_GB2312" w:eastAsia="仿宋_GB2312" w:cs="仿宋_GB2312"/>
          <w:b/>
          <w:color w:val="auto"/>
          <w:sz w:val="32"/>
          <w:szCs w:val="32"/>
        </w:rPr>
      </w:pPr>
    </w:p>
    <w:p w14:paraId="4737B724">
      <w:pPr>
        <w:pStyle w:val="12"/>
        <w:overflowPunct w:val="0"/>
        <w:spacing w:line="360" w:lineRule="auto"/>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 xml:space="preserve">我方承诺上述材料真实有效且具备履行合同所必需的专业技术能力。 </w:t>
      </w:r>
    </w:p>
    <w:p w14:paraId="2A7B063D">
      <w:pPr>
        <w:pStyle w:val="12"/>
        <w:spacing w:after="0" w:line="360" w:lineRule="auto"/>
        <w:rPr>
          <w:rFonts w:hint="eastAsia" w:ascii="仿宋_GB2312" w:hAnsi="仿宋_GB2312" w:eastAsia="仿宋_GB2312" w:cs="仿宋_GB2312"/>
          <w:color w:val="auto"/>
          <w:sz w:val="32"/>
          <w:szCs w:val="32"/>
        </w:rPr>
      </w:pPr>
    </w:p>
    <w:p w14:paraId="2B6F3C1B">
      <w:pPr>
        <w:pStyle w:val="12"/>
        <w:spacing w:after="0" w:line="360" w:lineRule="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投标人</w:t>
      </w:r>
      <w:r>
        <w:rPr>
          <w:rFonts w:hint="eastAsia" w:ascii="仿宋_GB2312" w:hAnsi="仿宋_GB2312" w:eastAsia="仿宋_GB2312" w:cs="仿宋_GB2312"/>
          <w:color w:val="auto"/>
          <w:sz w:val="32"/>
          <w:szCs w:val="32"/>
        </w:rPr>
        <w:t>名称（加盖公章）：</w:t>
      </w:r>
    </w:p>
    <w:p w14:paraId="3E9B4426">
      <w:pPr>
        <w:pStyle w:val="12"/>
        <w:spacing w:after="0" w:line="360" w:lineRule="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投标人</w:t>
      </w:r>
      <w:r>
        <w:rPr>
          <w:rFonts w:hint="eastAsia" w:ascii="仿宋_GB2312" w:hAnsi="仿宋_GB2312" w:eastAsia="仿宋_GB2312" w:cs="仿宋_GB2312"/>
          <w:color w:val="auto"/>
          <w:sz w:val="32"/>
          <w:szCs w:val="32"/>
        </w:rPr>
        <w:t>法定代表人或受委托人（签名或盖私章）：</w:t>
      </w:r>
    </w:p>
    <w:p w14:paraId="74422808">
      <w:pPr>
        <w:spacing w:line="360" w:lineRule="auto"/>
        <w:rPr>
          <w:rFonts w:hint="eastAsia" w:ascii="仿宋_GB2312" w:hAnsi="仿宋_GB2312" w:eastAsia="仿宋_GB2312" w:cs="仿宋_GB2312"/>
          <w:b/>
          <w:color w:val="auto"/>
          <w:sz w:val="32"/>
          <w:szCs w:val="32"/>
        </w:rPr>
      </w:pPr>
      <w:r>
        <w:rPr>
          <w:rFonts w:hint="eastAsia" w:ascii="仿宋_GB2312" w:hAnsi="仿宋_GB2312" w:eastAsia="仿宋_GB2312" w:cs="仿宋_GB2312"/>
          <w:color w:val="auto"/>
          <w:sz w:val="32"/>
          <w:szCs w:val="32"/>
        </w:rPr>
        <w:t>日       期：</w:t>
      </w:r>
    </w:p>
    <w:p w14:paraId="44DC091B">
      <w:pPr>
        <w:pStyle w:val="15"/>
        <w:spacing w:line="360" w:lineRule="auto"/>
        <w:rPr>
          <w:rFonts w:hint="eastAsia" w:ascii="仿宋_GB2312" w:hAnsi="仿宋_GB2312" w:eastAsia="仿宋_GB2312" w:cs="仿宋_GB2312"/>
          <w:b/>
          <w:color w:val="auto"/>
          <w:sz w:val="32"/>
          <w:szCs w:val="32"/>
        </w:rPr>
      </w:pPr>
    </w:p>
    <w:p w14:paraId="586B257F">
      <w:pPr>
        <w:pStyle w:val="15"/>
        <w:spacing w:line="360" w:lineRule="auto"/>
        <w:rPr>
          <w:rFonts w:hint="eastAsia" w:ascii="仿宋_GB2312" w:hAnsi="仿宋_GB2312" w:eastAsia="仿宋_GB2312" w:cs="仿宋_GB2312"/>
          <w:b/>
          <w:color w:val="auto"/>
          <w:sz w:val="32"/>
          <w:szCs w:val="32"/>
        </w:rPr>
      </w:pPr>
    </w:p>
    <w:p w14:paraId="1334BD25">
      <w:pPr>
        <w:pStyle w:val="15"/>
        <w:spacing w:line="360" w:lineRule="auto"/>
        <w:rPr>
          <w:rFonts w:hint="eastAsia" w:ascii="仿宋_GB2312" w:hAnsi="仿宋_GB2312" w:eastAsia="仿宋_GB2312" w:cs="仿宋_GB2312"/>
          <w:b/>
          <w:color w:val="auto"/>
          <w:sz w:val="32"/>
          <w:szCs w:val="32"/>
        </w:rPr>
      </w:pPr>
    </w:p>
    <w:p w14:paraId="6C51F486">
      <w:pPr>
        <w:pStyle w:val="15"/>
        <w:spacing w:line="360" w:lineRule="auto"/>
        <w:rPr>
          <w:rFonts w:hint="eastAsia" w:ascii="仿宋_GB2312" w:hAnsi="仿宋_GB2312" w:eastAsia="仿宋_GB2312" w:cs="仿宋_GB2312"/>
          <w:b/>
          <w:color w:val="auto"/>
          <w:sz w:val="32"/>
          <w:szCs w:val="32"/>
        </w:rPr>
      </w:pPr>
    </w:p>
    <w:p w14:paraId="26067075">
      <w:pPr>
        <w:numPr>
          <w:ilvl w:val="0"/>
          <w:numId w:val="54"/>
        </w:numPr>
        <w:spacing w:line="360" w:lineRule="auto"/>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主要人员简历表</w:t>
      </w:r>
    </w:p>
    <w:p w14:paraId="030A4383">
      <w:pPr>
        <w:spacing w:line="360" w:lineRule="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项目名称：                                </w:t>
      </w:r>
    </w:p>
    <w:p w14:paraId="6630C97A">
      <w:pPr>
        <w:spacing w:line="360" w:lineRule="auto"/>
        <w:rPr>
          <w:rFonts w:hint="eastAsia" w:ascii="仿宋_GB2312" w:hAnsi="仿宋_GB2312" w:eastAsia="仿宋_GB2312" w:cs="仿宋_GB2312"/>
          <w:b/>
          <w:color w:val="auto"/>
          <w:sz w:val="32"/>
          <w:szCs w:val="32"/>
        </w:rPr>
      </w:pPr>
      <w:r>
        <w:rPr>
          <w:rFonts w:hint="eastAsia" w:ascii="仿宋_GB2312" w:hAnsi="仿宋_GB2312" w:eastAsia="仿宋_GB2312" w:cs="仿宋_GB2312"/>
          <w:color w:val="auto"/>
          <w:sz w:val="32"/>
          <w:szCs w:val="32"/>
        </w:rPr>
        <w:t>项目编号：</w:t>
      </w:r>
    </w:p>
    <w:tbl>
      <w:tblPr>
        <w:tblStyle w:val="27"/>
        <w:tblpPr w:leftFromText="180" w:rightFromText="180" w:vertAnchor="text" w:horzAnchor="page" w:tblpX="1572" w:tblpY="41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3"/>
        <w:gridCol w:w="425"/>
        <w:gridCol w:w="1354"/>
        <w:gridCol w:w="846"/>
        <w:gridCol w:w="1029"/>
        <w:gridCol w:w="535"/>
        <w:gridCol w:w="15"/>
        <w:gridCol w:w="1463"/>
        <w:gridCol w:w="96"/>
        <w:gridCol w:w="1060"/>
        <w:gridCol w:w="1158"/>
      </w:tblGrid>
      <w:tr w14:paraId="4975D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1053" w:type="dxa"/>
            <w:tcBorders>
              <w:top w:val="single" w:color="auto" w:sz="12" w:space="0"/>
              <w:left w:val="single" w:color="auto" w:sz="12" w:space="0"/>
              <w:bottom w:val="single" w:color="auto" w:sz="6" w:space="0"/>
              <w:right w:val="single" w:color="auto" w:sz="6" w:space="0"/>
            </w:tcBorders>
            <w:noWrap w:val="0"/>
            <w:vAlign w:val="center"/>
          </w:tcPr>
          <w:p w14:paraId="405836BA">
            <w:pPr>
              <w:spacing w:line="360" w:lineRule="auto"/>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姓名</w:t>
            </w:r>
          </w:p>
        </w:tc>
        <w:tc>
          <w:tcPr>
            <w:tcW w:w="2625" w:type="dxa"/>
            <w:gridSpan w:val="3"/>
            <w:tcBorders>
              <w:top w:val="single" w:color="auto" w:sz="12" w:space="0"/>
              <w:left w:val="single" w:color="auto" w:sz="6" w:space="0"/>
              <w:bottom w:val="single" w:color="auto" w:sz="6" w:space="0"/>
              <w:right w:val="single" w:color="auto" w:sz="6" w:space="0"/>
            </w:tcBorders>
            <w:noWrap w:val="0"/>
            <w:vAlign w:val="center"/>
          </w:tcPr>
          <w:p w14:paraId="09D6880F">
            <w:pPr>
              <w:spacing w:line="360" w:lineRule="auto"/>
              <w:jc w:val="center"/>
              <w:rPr>
                <w:rFonts w:hint="eastAsia" w:ascii="仿宋_GB2312" w:hAnsi="仿宋_GB2312" w:eastAsia="仿宋_GB2312" w:cs="仿宋_GB2312"/>
                <w:color w:val="auto"/>
                <w:sz w:val="32"/>
                <w:szCs w:val="32"/>
              </w:rPr>
            </w:pPr>
          </w:p>
        </w:tc>
        <w:tc>
          <w:tcPr>
            <w:tcW w:w="1029" w:type="dxa"/>
            <w:tcBorders>
              <w:top w:val="single" w:color="auto" w:sz="12" w:space="0"/>
              <w:left w:val="single" w:color="auto" w:sz="6" w:space="0"/>
              <w:bottom w:val="single" w:color="auto" w:sz="6" w:space="0"/>
              <w:right w:val="single" w:color="auto" w:sz="6" w:space="0"/>
            </w:tcBorders>
            <w:noWrap w:val="0"/>
            <w:vAlign w:val="center"/>
          </w:tcPr>
          <w:p w14:paraId="22A6E544">
            <w:pPr>
              <w:spacing w:line="360" w:lineRule="auto"/>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性别</w:t>
            </w:r>
          </w:p>
        </w:tc>
        <w:tc>
          <w:tcPr>
            <w:tcW w:w="2013" w:type="dxa"/>
            <w:gridSpan w:val="3"/>
            <w:tcBorders>
              <w:top w:val="single" w:color="auto" w:sz="12" w:space="0"/>
              <w:left w:val="single" w:color="auto" w:sz="6" w:space="0"/>
              <w:bottom w:val="single" w:color="auto" w:sz="6" w:space="0"/>
              <w:right w:val="single" w:color="auto" w:sz="6" w:space="0"/>
            </w:tcBorders>
            <w:noWrap w:val="0"/>
            <w:vAlign w:val="center"/>
          </w:tcPr>
          <w:p w14:paraId="6DC42580">
            <w:pPr>
              <w:spacing w:line="360" w:lineRule="auto"/>
              <w:jc w:val="center"/>
              <w:rPr>
                <w:rFonts w:hint="eastAsia" w:ascii="仿宋_GB2312" w:hAnsi="仿宋_GB2312" w:eastAsia="仿宋_GB2312" w:cs="仿宋_GB2312"/>
                <w:color w:val="auto"/>
                <w:sz w:val="32"/>
                <w:szCs w:val="32"/>
              </w:rPr>
            </w:pPr>
          </w:p>
        </w:tc>
        <w:tc>
          <w:tcPr>
            <w:tcW w:w="1156" w:type="dxa"/>
            <w:gridSpan w:val="2"/>
            <w:tcBorders>
              <w:top w:val="single" w:color="auto" w:sz="12" w:space="0"/>
              <w:left w:val="single" w:color="auto" w:sz="6" w:space="0"/>
              <w:bottom w:val="single" w:color="auto" w:sz="6" w:space="0"/>
              <w:right w:val="single" w:color="auto" w:sz="6" w:space="0"/>
            </w:tcBorders>
            <w:noWrap w:val="0"/>
            <w:vAlign w:val="center"/>
          </w:tcPr>
          <w:p w14:paraId="1AF5AB6C">
            <w:pPr>
              <w:spacing w:line="360" w:lineRule="auto"/>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年龄</w:t>
            </w:r>
          </w:p>
        </w:tc>
        <w:tc>
          <w:tcPr>
            <w:tcW w:w="1158" w:type="dxa"/>
            <w:tcBorders>
              <w:top w:val="single" w:color="auto" w:sz="12" w:space="0"/>
              <w:left w:val="single" w:color="auto" w:sz="6" w:space="0"/>
              <w:bottom w:val="single" w:color="auto" w:sz="6" w:space="0"/>
              <w:right w:val="single" w:color="auto" w:sz="12" w:space="0"/>
            </w:tcBorders>
            <w:noWrap w:val="0"/>
            <w:vAlign w:val="center"/>
          </w:tcPr>
          <w:p w14:paraId="30E1E695">
            <w:pPr>
              <w:spacing w:line="360" w:lineRule="auto"/>
              <w:jc w:val="center"/>
              <w:rPr>
                <w:rFonts w:hint="eastAsia" w:ascii="仿宋_GB2312" w:hAnsi="仿宋_GB2312" w:eastAsia="仿宋_GB2312" w:cs="仿宋_GB2312"/>
                <w:color w:val="auto"/>
                <w:sz w:val="32"/>
                <w:szCs w:val="32"/>
              </w:rPr>
            </w:pPr>
          </w:p>
        </w:tc>
      </w:tr>
      <w:tr w14:paraId="42BC8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1053" w:type="dxa"/>
            <w:tcBorders>
              <w:top w:val="single" w:color="auto" w:sz="6" w:space="0"/>
              <w:left w:val="single" w:color="auto" w:sz="12" w:space="0"/>
              <w:bottom w:val="single" w:color="auto" w:sz="6" w:space="0"/>
              <w:right w:val="single" w:color="auto" w:sz="6" w:space="0"/>
            </w:tcBorders>
            <w:noWrap w:val="0"/>
            <w:vAlign w:val="center"/>
          </w:tcPr>
          <w:p w14:paraId="701CFBCA">
            <w:pPr>
              <w:spacing w:line="360" w:lineRule="auto"/>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职务</w:t>
            </w:r>
          </w:p>
        </w:tc>
        <w:tc>
          <w:tcPr>
            <w:tcW w:w="2625" w:type="dxa"/>
            <w:gridSpan w:val="3"/>
            <w:tcBorders>
              <w:top w:val="single" w:color="auto" w:sz="6" w:space="0"/>
              <w:left w:val="single" w:color="auto" w:sz="6" w:space="0"/>
              <w:bottom w:val="single" w:color="auto" w:sz="6" w:space="0"/>
              <w:right w:val="single" w:color="auto" w:sz="6" w:space="0"/>
            </w:tcBorders>
            <w:noWrap w:val="0"/>
            <w:vAlign w:val="center"/>
          </w:tcPr>
          <w:p w14:paraId="3BF01E81">
            <w:pPr>
              <w:spacing w:line="360" w:lineRule="auto"/>
              <w:jc w:val="center"/>
              <w:rPr>
                <w:rFonts w:hint="eastAsia" w:ascii="仿宋_GB2312" w:hAnsi="仿宋_GB2312" w:eastAsia="仿宋_GB2312" w:cs="仿宋_GB2312"/>
                <w:color w:val="auto"/>
                <w:sz w:val="32"/>
                <w:szCs w:val="32"/>
              </w:rPr>
            </w:pPr>
          </w:p>
        </w:tc>
        <w:tc>
          <w:tcPr>
            <w:tcW w:w="1029" w:type="dxa"/>
            <w:tcBorders>
              <w:top w:val="single" w:color="auto" w:sz="6" w:space="0"/>
              <w:left w:val="single" w:color="auto" w:sz="6" w:space="0"/>
              <w:bottom w:val="single" w:color="auto" w:sz="6" w:space="0"/>
              <w:right w:val="single" w:color="auto" w:sz="6" w:space="0"/>
            </w:tcBorders>
            <w:noWrap w:val="0"/>
            <w:vAlign w:val="center"/>
          </w:tcPr>
          <w:p w14:paraId="31CB6A19">
            <w:pPr>
              <w:spacing w:line="360" w:lineRule="auto"/>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职称</w:t>
            </w:r>
          </w:p>
        </w:tc>
        <w:tc>
          <w:tcPr>
            <w:tcW w:w="2013" w:type="dxa"/>
            <w:gridSpan w:val="3"/>
            <w:tcBorders>
              <w:top w:val="single" w:color="auto" w:sz="6" w:space="0"/>
              <w:left w:val="single" w:color="auto" w:sz="6" w:space="0"/>
              <w:bottom w:val="single" w:color="auto" w:sz="6" w:space="0"/>
              <w:right w:val="single" w:color="auto" w:sz="6" w:space="0"/>
            </w:tcBorders>
            <w:noWrap w:val="0"/>
            <w:vAlign w:val="center"/>
          </w:tcPr>
          <w:p w14:paraId="0EF10F4F">
            <w:pPr>
              <w:spacing w:line="360" w:lineRule="auto"/>
              <w:jc w:val="center"/>
              <w:rPr>
                <w:rFonts w:hint="eastAsia" w:ascii="仿宋_GB2312" w:hAnsi="仿宋_GB2312" w:eastAsia="仿宋_GB2312" w:cs="仿宋_GB2312"/>
                <w:color w:val="auto"/>
                <w:sz w:val="32"/>
                <w:szCs w:val="32"/>
              </w:rPr>
            </w:pPr>
          </w:p>
        </w:tc>
        <w:tc>
          <w:tcPr>
            <w:tcW w:w="1156" w:type="dxa"/>
            <w:gridSpan w:val="2"/>
            <w:tcBorders>
              <w:top w:val="single" w:color="auto" w:sz="6" w:space="0"/>
              <w:left w:val="single" w:color="auto" w:sz="6" w:space="0"/>
              <w:bottom w:val="single" w:color="auto" w:sz="6" w:space="0"/>
              <w:right w:val="single" w:color="auto" w:sz="6" w:space="0"/>
            </w:tcBorders>
            <w:noWrap w:val="0"/>
            <w:vAlign w:val="center"/>
          </w:tcPr>
          <w:p w14:paraId="4D79CA60">
            <w:pPr>
              <w:spacing w:line="360" w:lineRule="auto"/>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学历</w:t>
            </w:r>
          </w:p>
        </w:tc>
        <w:tc>
          <w:tcPr>
            <w:tcW w:w="1158" w:type="dxa"/>
            <w:tcBorders>
              <w:top w:val="single" w:color="auto" w:sz="6" w:space="0"/>
              <w:left w:val="single" w:color="auto" w:sz="6" w:space="0"/>
              <w:bottom w:val="single" w:color="auto" w:sz="6" w:space="0"/>
              <w:right w:val="single" w:color="auto" w:sz="12" w:space="0"/>
            </w:tcBorders>
            <w:noWrap w:val="0"/>
            <w:vAlign w:val="center"/>
          </w:tcPr>
          <w:p w14:paraId="5F5036FD">
            <w:pPr>
              <w:spacing w:line="360" w:lineRule="auto"/>
              <w:jc w:val="center"/>
              <w:rPr>
                <w:rFonts w:hint="eastAsia" w:ascii="仿宋_GB2312" w:hAnsi="仿宋_GB2312" w:eastAsia="仿宋_GB2312" w:cs="仿宋_GB2312"/>
                <w:color w:val="auto"/>
                <w:sz w:val="32"/>
                <w:szCs w:val="32"/>
              </w:rPr>
            </w:pPr>
          </w:p>
        </w:tc>
      </w:tr>
      <w:tr w14:paraId="21D90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2832" w:type="dxa"/>
            <w:gridSpan w:val="3"/>
            <w:tcBorders>
              <w:top w:val="single" w:color="auto" w:sz="6" w:space="0"/>
              <w:left w:val="single" w:color="auto" w:sz="12" w:space="0"/>
              <w:bottom w:val="single" w:color="auto" w:sz="6" w:space="0"/>
              <w:right w:val="single" w:color="auto" w:sz="6" w:space="0"/>
            </w:tcBorders>
            <w:noWrap w:val="0"/>
            <w:vAlign w:val="center"/>
          </w:tcPr>
          <w:p w14:paraId="3A4EE1F6">
            <w:pPr>
              <w:spacing w:line="360" w:lineRule="auto"/>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参加工作时间</w:t>
            </w:r>
          </w:p>
        </w:tc>
        <w:tc>
          <w:tcPr>
            <w:tcW w:w="2410" w:type="dxa"/>
            <w:gridSpan w:val="3"/>
            <w:tcBorders>
              <w:top w:val="single" w:color="auto" w:sz="6" w:space="0"/>
              <w:left w:val="single" w:color="auto" w:sz="6" w:space="0"/>
              <w:bottom w:val="single" w:color="auto" w:sz="6" w:space="0"/>
              <w:right w:val="single" w:color="auto" w:sz="6" w:space="0"/>
            </w:tcBorders>
            <w:noWrap w:val="0"/>
            <w:vAlign w:val="center"/>
          </w:tcPr>
          <w:p w14:paraId="71B56CF9">
            <w:pPr>
              <w:spacing w:line="360" w:lineRule="auto"/>
              <w:jc w:val="center"/>
              <w:rPr>
                <w:rFonts w:hint="eastAsia" w:ascii="仿宋_GB2312" w:hAnsi="仿宋_GB2312" w:eastAsia="仿宋_GB2312" w:cs="仿宋_GB2312"/>
                <w:color w:val="auto"/>
                <w:sz w:val="32"/>
                <w:szCs w:val="32"/>
              </w:rPr>
            </w:pPr>
          </w:p>
        </w:tc>
        <w:tc>
          <w:tcPr>
            <w:tcW w:w="2634" w:type="dxa"/>
            <w:gridSpan w:val="4"/>
            <w:tcBorders>
              <w:top w:val="single" w:color="auto" w:sz="6" w:space="0"/>
              <w:left w:val="single" w:color="auto" w:sz="6" w:space="0"/>
              <w:bottom w:val="single" w:color="auto" w:sz="6" w:space="0"/>
              <w:right w:val="single" w:color="auto" w:sz="6" w:space="0"/>
            </w:tcBorders>
            <w:noWrap w:val="0"/>
            <w:vAlign w:val="center"/>
          </w:tcPr>
          <w:p w14:paraId="469DD325">
            <w:pPr>
              <w:spacing w:line="360" w:lineRule="auto"/>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相关经验年限</w:t>
            </w:r>
          </w:p>
        </w:tc>
        <w:tc>
          <w:tcPr>
            <w:tcW w:w="1158" w:type="dxa"/>
            <w:tcBorders>
              <w:top w:val="single" w:color="auto" w:sz="6" w:space="0"/>
              <w:left w:val="single" w:color="auto" w:sz="6" w:space="0"/>
              <w:bottom w:val="single" w:color="auto" w:sz="6" w:space="0"/>
              <w:right w:val="single" w:color="auto" w:sz="12" w:space="0"/>
            </w:tcBorders>
            <w:noWrap w:val="0"/>
            <w:vAlign w:val="center"/>
          </w:tcPr>
          <w:p w14:paraId="60A5C591">
            <w:pPr>
              <w:spacing w:line="360" w:lineRule="auto"/>
              <w:jc w:val="center"/>
              <w:rPr>
                <w:rFonts w:hint="eastAsia" w:ascii="仿宋_GB2312" w:hAnsi="仿宋_GB2312" w:eastAsia="仿宋_GB2312" w:cs="仿宋_GB2312"/>
                <w:color w:val="auto"/>
                <w:sz w:val="32"/>
                <w:szCs w:val="32"/>
              </w:rPr>
            </w:pPr>
          </w:p>
        </w:tc>
      </w:tr>
      <w:tr w14:paraId="406F4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trPr>
        <w:tc>
          <w:tcPr>
            <w:tcW w:w="2832" w:type="dxa"/>
            <w:gridSpan w:val="3"/>
            <w:tcBorders>
              <w:top w:val="single" w:color="auto" w:sz="6" w:space="0"/>
              <w:left w:val="single" w:color="auto" w:sz="12" w:space="0"/>
              <w:bottom w:val="single" w:color="auto" w:sz="6" w:space="0"/>
              <w:right w:val="single" w:color="auto" w:sz="6" w:space="0"/>
            </w:tcBorders>
            <w:noWrap w:val="0"/>
            <w:vAlign w:val="center"/>
          </w:tcPr>
          <w:p w14:paraId="0AB082FA">
            <w:pPr>
              <w:spacing w:line="360" w:lineRule="auto"/>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资格证书名称、编号</w:t>
            </w:r>
          </w:p>
        </w:tc>
        <w:tc>
          <w:tcPr>
            <w:tcW w:w="6202" w:type="dxa"/>
            <w:gridSpan w:val="8"/>
            <w:tcBorders>
              <w:top w:val="single" w:color="auto" w:sz="6" w:space="0"/>
              <w:left w:val="single" w:color="auto" w:sz="6" w:space="0"/>
              <w:bottom w:val="single" w:color="auto" w:sz="6" w:space="0"/>
              <w:right w:val="single" w:color="auto" w:sz="12" w:space="0"/>
            </w:tcBorders>
            <w:noWrap w:val="0"/>
            <w:vAlign w:val="center"/>
          </w:tcPr>
          <w:p w14:paraId="171D978B">
            <w:pPr>
              <w:spacing w:line="360" w:lineRule="auto"/>
              <w:jc w:val="center"/>
              <w:rPr>
                <w:rFonts w:hint="eastAsia" w:ascii="仿宋_GB2312" w:hAnsi="仿宋_GB2312" w:eastAsia="仿宋_GB2312" w:cs="仿宋_GB2312"/>
                <w:color w:val="auto"/>
                <w:sz w:val="32"/>
                <w:szCs w:val="32"/>
              </w:rPr>
            </w:pPr>
          </w:p>
        </w:tc>
      </w:tr>
      <w:tr w14:paraId="395BA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9034" w:type="dxa"/>
            <w:gridSpan w:val="11"/>
            <w:tcBorders>
              <w:top w:val="single" w:color="auto" w:sz="6" w:space="0"/>
              <w:left w:val="single" w:color="auto" w:sz="12" w:space="0"/>
              <w:bottom w:val="single" w:color="auto" w:sz="6" w:space="0"/>
              <w:right w:val="single" w:color="auto" w:sz="12" w:space="0"/>
            </w:tcBorders>
            <w:noWrap w:val="0"/>
            <w:vAlign w:val="center"/>
          </w:tcPr>
          <w:p w14:paraId="1D64D9C7">
            <w:pPr>
              <w:spacing w:line="360" w:lineRule="auto"/>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目前在任及以往服务项目情况</w:t>
            </w:r>
          </w:p>
        </w:tc>
      </w:tr>
      <w:tr w14:paraId="0538E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478" w:type="dxa"/>
            <w:gridSpan w:val="2"/>
            <w:tcBorders>
              <w:top w:val="single" w:color="auto" w:sz="6" w:space="0"/>
              <w:left w:val="single" w:color="auto" w:sz="12" w:space="0"/>
              <w:bottom w:val="single" w:color="auto" w:sz="6" w:space="0"/>
              <w:right w:val="single" w:color="auto" w:sz="6" w:space="0"/>
            </w:tcBorders>
            <w:noWrap w:val="0"/>
            <w:vAlign w:val="center"/>
          </w:tcPr>
          <w:p w14:paraId="15840E0F">
            <w:pPr>
              <w:spacing w:line="360" w:lineRule="auto"/>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采购人</w:t>
            </w:r>
          </w:p>
        </w:tc>
        <w:tc>
          <w:tcPr>
            <w:tcW w:w="2200" w:type="dxa"/>
            <w:gridSpan w:val="2"/>
            <w:tcBorders>
              <w:top w:val="single" w:color="auto" w:sz="6" w:space="0"/>
              <w:left w:val="single" w:color="auto" w:sz="6" w:space="0"/>
              <w:bottom w:val="single" w:color="auto" w:sz="6" w:space="0"/>
              <w:right w:val="single" w:color="auto" w:sz="6" w:space="0"/>
            </w:tcBorders>
            <w:noWrap w:val="0"/>
            <w:vAlign w:val="center"/>
          </w:tcPr>
          <w:p w14:paraId="383D9615">
            <w:pPr>
              <w:spacing w:line="360" w:lineRule="auto"/>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类似项目名称</w:t>
            </w:r>
          </w:p>
        </w:tc>
        <w:tc>
          <w:tcPr>
            <w:tcW w:w="1579" w:type="dxa"/>
            <w:gridSpan w:val="3"/>
            <w:tcBorders>
              <w:top w:val="single" w:color="auto" w:sz="6" w:space="0"/>
              <w:left w:val="single" w:color="auto" w:sz="6" w:space="0"/>
              <w:bottom w:val="single" w:color="auto" w:sz="6" w:space="0"/>
              <w:right w:val="single" w:color="auto" w:sz="6" w:space="0"/>
            </w:tcBorders>
            <w:noWrap w:val="0"/>
            <w:vAlign w:val="center"/>
          </w:tcPr>
          <w:p w14:paraId="11524923">
            <w:pPr>
              <w:spacing w:line="360" w:lineRule="auto"/>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项目规模</w:t>
            </w:r>
          </w:p>
        </w:tc>
        <w:tc>
          <w:tcPr>
            <w:tcW w:w="1559" w:type="dxa"/>
            <w:gridSpan w:val="2"/>
            <w:tcBorders>
              <w:top w:val="single" w:color="auto" w:sz="6" w:space="0"/>
              <w:left w:val="single" w:color="auto" w:sz="6" w:space="0"/>
              <w:bottom w:val="single" w:color="auto" w:sz="6" w:space="0"/>
              <w:right w:val="single" w:color="auto" w:sz="6" w:space="0"/>
            </w:tcBorders>
            <w:noWrap w:val="0"/>
            <w:vAlign w:val="center"/>
          </w:tcPr>
          <w:p w14:paraId="38353ABB">
            <w:pPr>
              <w:spacing w:line="360" w:lineRule="auto"/>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所任职务</w:t>
            </w:r>
          </w:p>
        </w:tc>
        <w:tc>
          <w:tcPr>
            <w:tcW w:w="2218" w:type="dxa"/>
            <w:gridSpan w:val="2"/>
            <w:tcBorders>
              <w:top w:val="single" w:color="auto" w:sz="6" w:space="0"/>
              <w:left w:val="single" w:color="auto" w:sz="6" w:space="0"/>
              <w:bottom w:val="single" w:color="auto" w:sz="6" w:space="0"/>
              <w:right w:val="single" w:color="auto" w:sz="12" w:space="0"/>
            </w:tcBorders>
            <w:noWrap w:val="0"/>
            <w:vAlign w:val="center"/>
          </w:tcPr>
          <w:p w14:paraId="2508D35F">
            <w:pPr>
              <w:spacing w:line="360" w:lineRule="auto"/>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起止时间</w:t>
            </w:r>
          </w:p>
        </w:tc>
      </w:tr>
      <w:tr w14:paraId="1ED73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478" w:type="dxa"/>
            <w:gridSpan w:val="2"/>
            <w:tcBorders>
              <w:top w:val="single" w:color="auto" w:sz="6" w:space="0"/>
              <w:left w:val="single" w:color="auto" w:sz="12" w:space="0"/>
              <w:bottom w:val="single" w:color="auto" w:sz="6" w:space="0"/>
              <w:right w:val="single" w:color="auto" w:sz="6" w:space="0"/>
            </w:tcBorders>
            <w:noWrap w:val="0"/>
            <w:vAlign w:val="center"/>
          </w:tcPr>
          <w:p w14:paraId="7347BCA1">
            <w:pPr>
              <w:spacing w:line="360" w:lineRule="auto"/>
              <w:jc w:val="center"/>
              <w:rPr>
                <w:rFonts w:hint="eastAsia" w:ascii="仿宋_GB2312" w:hAnsi="仿宋_GB2312" w:eastAsia="仿宋_GB2312" w:cs="仿宋_GB2312"/>
                <w:color w:val="auto"/>
                <w:sz w:val="32"/>
                <w:szCs w:val="32"/>
              </w:rPr>
            </w:pPr>
          </w:p>
        </w:tc>
        <w:tc>
          <w:tcPr>
            <w:tcW w:w="2200" w:type="dxa"/>
            <w:gridSpan w:val="2"/>
            <w:tcBorders>
              <w:top w:val="single" w:color="auto" w:sz="6" w:space="0"/>
              <w:left w:val="single" w:color="auto" w:sz="6" w:space="0"/>
              <w:bottom w:val="single" w:color="auto" w:sz="6" w:space="0"/>
              <w:right w:val="single" w:color="auto" w:sz="6" w:space="0"/>
            </w:tcBorders>
            <w:noWrap w:val="0"/>
            <w:vAlign w:val="center"/>
          </w:tcPr>
          <w:p w14:paraId="0A655D8D">
            <w:pPr>
              <w:spacing w:line="360" w:lineRule="auto"/>
              <w:jc w:val="center"/>
              <w:rPr>
                <w:rFonts w:hint="eastAsia" w:ascii="仿宋_GB2312" w:hAnsi="仿宋_GB2312" w:eastAsia="仿宋_GB2312" w:cs="仿宋_GB2312"/>
                <w:color w:val="auto"/>
                <w:sz w:val="32"/>
                <w:szCs w:val="32"/>
              </w:rPr>
            </w:pPr>
          </w:p>
        </w:tc>
        <w:tc>
          <w:tcPr>
            <w:tcW w:w="1579" w:type="dxa"/>
            <w:gridSpan w:val="3"/>
            <w:tcBorders>
              <w:top w:val="single" w:color="auto" w:sz="6" w:space="0"/>
              <w:left w:val="single" w:color="auto" w:sz="6" w:space="0"/>
              <w:bottom w:val="single" w:color="auto" w:sz="6" w:space="0"/>
              <w:right w:val="single" w:color="auto" w:sz="6" w:space="0"/>
            </w:tcBorders>
            <w:noWrap w:val="0"/>
            <w:vAlign w:val="center"/>
          </w:tcPr>
          <w:p w14:paraId="38DCE0A2">
            <w:pPr>
              <w:spacing w:line="360" w:lineRule="auto"/>
              <w:jc w:val="center"/>
              <w:rPr>
                <w:rFonts w:hint="eastAsia" w:ascii="仿宋_GB2312" w:hAnsi="仿宋_GB2312" w:eastAsia="仿宋_GB2312" w:cs="仿宋_GB2312"/>
                <w:color w:val="auto"/>
                <w:sz w:val="32"/>
                <w:szCs w:val="32"/>
              </w:rPr>
            </w:pPr>
          </w:p>
        </w:tc>
        <w:tc>
          <w:tcPr>
            <w:tcW w:w="1559" w:type="dxa"/>
            <w:gridSpan w:val="2"/>
            <w:tcBorders>
              <w:top w:val="single" w:color="auto" w:sz="6" w:space="0"/>
              <w:left w:val="single" w:color="auto" w:sz="6" w:space="0"/>
              <w:bottom w:val="single" w:color="auto" w:sz="6" w:space="0"/>
              <w:right w:val="single" w:color="auto" w:sz="6" w:space="0"/>
            </w:tcBorders>
            <w:noWrap w:val="0"/>
            <w:vAlign w:val="center"/>
          </w:tcPr>
          <w:p w14:paraId="4A85BAB7">
            <w:pPr>
              <w:spacing w:line="360" w:lineRule="auto"/>
              <w:jc w:val="center"/>
              <w:rPr>
                <w:rFonts w:hint="eastAsia" w:ascii="仿宋_GB2312" w:hAnsi="仿宋_GB2312" w:eastAsia="仿宋_GB2312" w:cs="仿宋_GB2312"/>
                <w:color w:val="auto"/>
                <w:sz w:val="32"/>
                <w:szCs w:val="32"/>
              </w:rPr>
            </w:pPr>
          </w:p>
        </w:tc>
        <w:tc>
          <w:tcPr>
            <w:tcW w:w="2218" w:type="dxa"/>
            <w:gridSpan w:val="2"/>
            <w:tcBorders>
              <w:top w:val="single" w:color="auto" w:sz="6" w:space="0"/>
              <w:left w:val="single" w:color="auto" w:sz="6" w:space="0"/>
              <w:bottom w:val="single" w:color="auto" w:sz="6" w:space="0"/>
              <w:right w:val="single" w:color="auto" w:sz="12" w:space="0"/>
            </w:tcBorders>
            <w:noWrap w:val="0"/>
            <w:vAlign w:val="center"/>
          </w:tcPr>
          <w:p w14:paraId="1C84B5F3">
            <w:pPr>
              <w:spacing w:line="360" w:lineRule="auto"/>
              <w:jc w:val="center"/>
              <w:rPr>
                <w:rFonts w:hint="eastAsia" w:ascii="仿宋_GB2312" w:hAnsi="仿宋_GB2312" w:eastAsia="仿宋_GB2312" w:cs="仿宋_GB2312"/>
                <w:color w:val="auto"/>
                <w:sz w:val="32"/>
                <w:szCs w:val="32"/>
              </w:rPr>
            </w:pPr>
          </w:p>
        </w:tc>
      </w:tr>
      <w:tr w14:paraId="7C8BE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478" w:type="dxa"/>
            <w:gridSpan w:val="2"/>
            <w:tcBorders>
              <w:top w:val="single" w:color="auto" w:sz="6" w:space="0"/>
              <w:left w:val="single" w:color="auto" w:sz="12" w:space="0"/>
              <w:bottom w:val="single" w:color="auto" w:sz="6" w:space="0"/>
              <w:right w:val="single" w:color="auto" w:sz="6" w:space="0"/>
            </w:tcBorders>
            <w:noWrap w:val="0"/>
            <w:vAlign w:val="center"/>
          </w:tcPr>
          <w:p w14:paraId="68E53970">
            <w:pPr>
              <w:spacing w:line="360" w:lineRule="auto"/>
              <w:jc w:val="center"/>
              <w:rPr>
                <w:rFonts w:hint="eastAsia" w:ascii="仿宋_GB2312" w:hAnsi="仿宋_GB2312" w:eastAsia="仿宋_GB2312" w:cs="仿宋_GB2312"/>
                <w:color w:val="auto"/>
                <w:sz w:val="32"/>
                <w:szCs w:val="32"/>
              </w:rPr>
            </w:pPr>
          </w:p>
        </w:tc>
        <w:tc>
          <w:tcPr>
            <w:tcW w:w="2200" w:type="dxa"/>
            <w:gridSpan w:val="2"/>
            <w:tcBorders>
              <w:top w:val="single" w:color="auto" w:sz="6" w:space="0"/>
              <w:left w:val="single" w:color="auto" w:sz="6" w:space="0"/>
              <w:bottom w:val="single" w:color="auto" w:sz="6" w:space="0"/>
              <w:right w:val="single" w:color="auto" w:sz="6" w:space="0"/>
            </w:tcBorders>
            <w:noWrap w:val="0"/>
            <w:vAlign w:val="center"/>
          </w:tcPr>
          <w:p w14:paraId="3FC737DD">
            <w:pPr>
              <w:spacing w:line="360" w:lineRule="auto"/>
              <w:jc w:val="center"/>
              <w:rPr>
                <w:rFonts w:hint="eastAsia" w:ascii="仿宋_GB2312" w:hAnsi="仿宋_GB2312" w:eastAsia="仿宋_GB2312" w:cs="仿宋_GB2312"/>
                <w:color w:val="auto"/>
                <w:sz w:val="32"/>
                <w:szCs w:val="32"/>
              </w:rPr>
            </w:pPr>
          </w:p>
        </w:tc>
        <w:tc>
          <w:tcPr>
            <w:tcW w:w="1579" w:type="dxa"/>
            <w:gridSpan w:val="3"/>
            <w:tcBorders>
              <w:top w:val="single" w:color="auto" w:sz="6" w:space="0"/>
              <w:left w:val="single" w:color="auto" w:sz="6" w:space="0"/>
              <w:bottom w:val="single" w:color="auto" w:sz="6" w:space="0"/>
              <w:right w:val="single" w:color="auto" w:sz="6" w:space="0"/>
            </w:tcBorders>
            <w:noWrap w:val="0"/>
            <w:vAlign w:val="center"/>
          </w:tcPr>
          <w:p w14:paraId="3580B617">
            <w:pPr>
              <w:spacing w:line="360" w:lineRule="auto"/>
              <w:jc w:val="center"/>
              <w:rPr>
                <w:rFonts w:hint="eastAsia" w:ascii="仿宋_GB2312" w:hAnsi="仿宋_GB2312" w:eastAsia="仿宋_GB2312" w:cs="仿宋_GB2312"/>
                <w:color w:val="auto"/>
                <w:sz w:val="32"/>
                <w:szCs w:val="32"/>
              </w:rPr>
            </w:pPr>
          </w:p>
        </w:tc>
        <w:tc>
          <w:tcPr>
            <w:tcW w:w="1559" w:type="dxa"/>
            <w:gridSpan w:val="2"/>
            <w:tcBorders>
              <w:top w:val="single" w:color="auto" w:sz="6" w:space="0"/>
              <w:left w:val="single" w:color="auto" w:sz="6" w:space="0"/>
              <w:bottom w:val="single" w:color="auto" w:sz="6" w:space="0"/>
              <w:right w:val="single" w:color="auto" w:sz="6" w:space="0"/>
            </w:tcBorders>
            <w:noWrap w:val="0"/>
            <w:vAlign w:val="center"/>
          </w:tcPr>
          <w:p w14:paraId="13AF129C">
            <w:pPr>
              <w:spacing w:line="360" w:lineRule="auto"/>
              <w:jc w:val="center"/>
              <w:rPr>
                <w:rFonts w:hint="eastAsia" w:ascii="仿宋_GB2312" w:hAnsi="仿宋_GB2312" w:eastAsia="仿宋_GB2312" w:cs="仿宋_GB2312"/>
                <w:color w:val="auto"/>
                <w:sz w:val="32"/>
                <w:szCs w:val="32"/>
              </w:rPr>
            </w:pPr>
          </w:p>
        </w:tc>
        <w:tc>
          <w:tcPr>
            <w:tcW w:w="2218" w:type="dxa"/>
            <w:gridSpan w:val="2"/>
            <w:tcBorders>
              <w:top w:val="single" w:color="auto" w:sz="6" w:space="0"/>
              <w:left w:val="single" w:color="auto" w:sz="6" w:space="0"/>
              <w:bottom w:val="single" w:color="auto" w:sz="6" w:space="0"/>
              <w:right w:val="single" w:color="auto" w:sz="12" w:space="0"/>
            </w:tcBorders>
            <w:noWrap w:val="0"/>
            <w:vAlign w:val="center"/>
          </w:tcPr>
          <w:p w14:paraId="57BD670D">
            <w:pPr>
              <w:spacing w:line="360" w:lineRule="auto"/>
              <w:jc w:val="center"/>
              <w:rPr>
                <w:rFonts w:hint="eastAsia" w:ascii="仿宋_GB2312" w:hAnsi="仿宋_GB2312" w:eastAsia="仿宋_GB2312" w:cs="仿宋_GB2312"/>
                <w:color w:val="auto"/>
                <w:sz w:val="32"/>
                <w:szCs w:val="32"/>
              </w:rPr>
            </w:pPr>
          </w:p>
        </w:tc>
      </w:tr>
      <w:tr w14:paraId="12A95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478" w:type="dxa"/>
            <w:gridSpan w:val="2"/>
            <w:tcBorders>
              <w:top w:val="single" w:color="auto" w:sz="6" w:space="0"/>
              <w:left w:val="single" w:color="auto" w:sz="12" w:space="0"/>
              <w:bottom w:val="single" w:color="auto" w:sz="12" w:space="0"/>
              <w:right w:val="single" w:color="auto" w:sz="6" w:space="0"/>
            </w:tcBorders>
            <w:noWrap w:val="0"/>
            <w:vAlign w:val="center"/>
          </w:tcPr>
          <w:p w14:paraId="28784314">
            <w:pPr>
              <w:spacing w:line="360" w:lineRule="auto"/>
              <w:jc w:val="center"/>
              <w:rPr>
                <w:rFonts w:hint="eastAsia" w:ascii="仿宋_GB2312" w:hAnsi="仿宋_GB2312" w:eastAsia="仿宋_GB2312" w:cs="仿宋_GB2312"/>
                <w:color w:val="auto"/>
                <w:sz w:val="32"/>
                <w:szCs w:val="32"/>
              </w:rPr>
            </w:pPr>
          </w:p>
        </w:tc>
        <w:tc>
          <w:tcPr>
            <w:tcW w:w="2200" w:type="dxa"/>
            <w:gridSpan w:val="2"/>
            <w:tcBorders>
              <w:top w:val="single" w:color="auto" w:sz="6" w:space="0"/>
              <w:left w:val="single" w:color="auto" w:sz="6" w:space="0"/>
              <w:bottom w:val="single" w:color="auto" w:sz="12" w:space="0"/>
              <w:right w:val="single" w:color="auto" w:sz="6" w:space="0"/>
            </w:tcBorders>
            <w:noWrap w:val="0"/>
            <w:vAlign w:val="center"/>
          </w:tcPr>
          <w:p w14:paraId="7BAF9A3A">
            <w:pPr>
              <w:spacing w:line="360" w:lineRule="auto"/>
              <w:jc w:val="center"/>
              <w:rPr>
                <w:rFonts w:hint="eastAsia" w:ascii="仿宋_GB2312" w:hAnsi="仿宋_GB2312" w:eastAsia="仿宋_GB2312" w:cs="仿宋_GB2312"/>
                <w:color w:val="auto"/>
                <w:sz w:val="32"/>
                <w:szCs w:val="32"/>
              </w:rPr>
            </w:pPr>
          </w:p>
        </w:tc>
        <w:tc>
          <w:tcPr>
            <w:tcW w:w="1579" w:type="dxa"/>
            <w:gridSpan w:val="3"/>
            <w:tcBorders>
              <w:top w:val="single" w:color="auto" w:sz="6" w:space="0"/>
              <w:left w:val="single" w:color="auto" w:sz="6" w:space="0"/>
              <w:bottom w:val="single" w:color="auto" w:sz="12" w:space="0"/>
              <w:right w:val="single" w:color="auto" w:sz="6" w:space="0"/>
            </w:tcBorders>
            <w:noWrap w:val="0"/>
            <w:vAlign w:val="center"/>
          </w:tcPr>
          <w:p w14:paraId="1AB638BD">
            <w:pPr>
              <w:spacing w:line="360" w:lineRule="auto"/>
              <w:jc w:val="center"/>
              <w:rPr>
                <w:rFonts w:hint="eastAsia" w:ascii="仿宋_GB2312" w:hAnsi="仿宋_GB2312" w:eastAsia="仿宋_GB2312" w:cs="仿宋_GB2312"/>
                <w:color w:val="auto"/>
                <w:sz w:val="32"/>
                <w:szCs w:val="32"/>
              </w:rPr>
            </w:pPr>
          </w:p>
        </w:tc>
        <w:tc>
          <w:tcPr>
            <w:tcW w:w="1559" w:type="dxa"/>
            <w:gridSpan w:val="2"/>
            <w:tcBorders>
              <w:top w:val="single" w:color="auto" w:sz="6" w:space="0"/>
              <w:left w:val="single" w:color="auto" w:sz="6" w:space="0"/>
              <w:bottom w:val="single" w:color="auto" w:sz="12" w:space="0"/>
              <w:right w:val="single" w:color="auto" w:sz="6" w:space="0"/>
            </w:tcBorders>
            <w:noWrap w:val="0"/>
            <w:vAlign w:val="center"/>
          </w:tcPr>
          <w:p w14:paraId="012C62DC">
            <w:pPr>
              <w:spacing w:line="360" w:lineRule="auto"/>
              <w:jc w:val="center"/>
              <w:rPr>
                <w:rFonts w:hint="eastAsia" w:ascii="仿宋_GB2312" w:hAnsi="仿宋_GB2312" w:eastAsia="仿宋_GB2312" w:cs="仿宋_GB2312"/>
                <w:color w:val="auto"/>
                <w:sz w:val="32"/>
                <w:szCs w:val="32"/>
              </w:rPr>
            </w:pPr>
          </w:p>
        </w:tc>
        <w:tc>
          <w:tcPr>
            <w:tcW w:w="2218" w:type="dxa"/>
            <w:gridSpan w:val="2"/>
            <w:tcBorders>
              <w:top w:val="single" w:color="auto" w:sz="6" w:space="0"/>
              <w:left w:val="single" w:color="auto" w:sz="6" w:space="0"/>
              <w:bottom w:val="single" w:color="auto" w:sz="12" w:space="0"/>
              <w:right w:val="single" w:color="auto" w:sz="12" w:space="0"/>
            </w:tcBorders>
            <w:noWrap w:val="0"/>
            <w:vAlign w:val="center"/>
          </w:tcPr>
          <w:p w14:paraId="0EB02CE0">
            <w:pPr>
              <w:spacing w:line="360" w:lineRule="auto"/>
              <w:jc w:val="center"/>
              <w:rPr>
                <w:rFonts w:hint="eastAsia" w:ascii="仿宋_GB2312" w:hAnsi="仿宋_GB2312" w:eastAsia="仿宋_GB2312" w:cs="仿宋_GB2312"/>
                <w:color w:val="auto"/>
                <w:sz w:val="32"/>
                <w:szCs w:val="32"/>
              </w:rPr>
            </w:pPr>
          </w:p>
        </w:tc>
      </w:tr>
    </w:tbl>
    <w:p w14:paraId="35B889EF">
      <w:pPr>
        <w:pStyle w:val="65"/>
        <w:spacing w:line="360" w:lineRule="auto"/>
        <w:ind w:left="928" w:hanging="928" w:hangingChars="290"/>
        <w:rPr>
          <w:rFonts w:hint="eastAsia" w:hAnsi="仿宋_GB2312" w:cs="仿宋_GB2312"/>
          <w:color w:val="auto"/>
          <w:sz w:val="32"/>
          <w:szCs w:val="32"/>
        </w:rPr>
      </w:pPr>
      <w:r>
        <w:rPr>
          <w:rFonts w:hint="eastAsia" w:hAnsi="仿宋_GB2312" w:cs="仿宋_GB2312"/>
          <w:color w:val="auto"/>
          <w:sz w:val="32"/>
          <w:szCs w:val="32"/>
        </w:rPr>
        <w:t xml:space="preserve">                 </w:t>
      </w:r>
    </w:p>
    <w:p w14:paraId="37B14106">
      <w:pPr>
        <w:pStyle w:val="12"/>
        <w:overflowPunct w:val="0"/>
        <w:spacing w:line="360" w:lineRule="auto"/>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 xml:space="preserve">我方承诺上述材料真实有效且具备履行合同所必需的专业技术能力。 </w:t>
      </w:r>
    </w:p>
    <w:p w14:paraId="6D8B6661">
      <w:pPr>
        <w:pStyle w:val="12"/>
        <w:spacing w:after="0" w:line="360" w:lineRule="auto"/>
        <w:rPr>
          <w:rFonts w:hint="eastAsia" w:ascii="仿宋_GB2312" w:hAnsi="仿宋_GB2312" w:eastAsia="仿宋_GB2312" w:cs="仿宋_GB2312"/>
          <w:color w:val="auto"/>
          <w:sz w:val="32"/>
          <w:szCs w:val="32"/>
        </w:rPr>
      </w:pPr>
    </w:p>
    <w:p w14:paraId="7F810A5D">
      <w:pPr>
        <w:pStyle w:val="12"/>
        <w:spacing w:after="0" w:line="360" w:lineRule="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投标人</w:t>
      </w:r>
      <w:r>
        <w:rPr>
          <w:rFonts w:hint="eastAsia" w:ascii="仿宋_GB2312" w:hAnsi="仿宋_GB2312" w:eastAsia="仿宋_GB2312" w:cs="仿宋_GB2312"/>
          <w:color w:val="auto"/>
          <w:sz w:val="32"/>
          <w:szCs w:val="32"/>
        </w:rPr>
        <w:t>名称（加盖公章）：</w:t>
      </w:r>
    </w:p>
    <w:p w14:paraId="5011D507">
      <w:pPr>
        <w:pStyle w:val="12"/>
        <w:spacing w:after="0" w:line="360" w:lineRule="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投标人</w:t>
      </w:r>
      <w:r>
        <w:rPr>
          <w:rFonts w:hint="eastAsia" w:ascii="仿宋_GB2312" w:hAnsi="仿宋_GB2312" w:eastAsia="仿宋_GB2312" w:cs="仿宋_GB2312"/>
          <w:color w:val="auto"/>
          <w:sz w:val="32"/>
          <w:szCs w:val="32"/>
        </w:rPr>
        <w:t>法定代表人或受委托人（签名或盖私章）：</w:t>
      </w:r>
    </w:p>
    <w:p w14:paraId="7DE5F665">
      <w:pPr>
        <w:spacing w:line="360" w:lineRule="auto"/>
        <w:rPr>
          <w:rFonts w:hint="eastAsia" w:ascii="仿宋_GB2312" w:hAnsi="仿宋_GB2312" w:eastAsia="仿宋_GB2312" w:cs="仿宋_GB2312"/>
          <w:color w:val="auto"/>
          <w:spacing w:val="4"/>
          <w:sz w:val="32"/>
          <w:szCs w:val="32"/>
        </w:rPr>
      </w:pPr>
      <w:r>
        <w:rPr>
          <w:rFonts w:hint="eastAsia" w:ascii="仿宋_GB2312" w:hAnsi="仿宋_GB2312" w:eastAsia="仿宋_GB2312" w:cs="仿宋_GB2312"/>
          <w:color w:val="auto"/>
          <w:sz w:val="32"/>
          <w:szCs w:val="32"/>
        </w:rPr>
        <w:t>日       期：</w:t>
      </w:r>
      <w:bookmarkStart w:id="324" w:name="_Toc17664"/>
    </w:p>
    <w:p w14:paraId="67FAA194">
      <w:pPr>
        <w:spacing w:before="75" w:line="360" w:lineRule="auto"/>
        <w:jc w:val="center"/>
        <w:outlineLvl w:val="1"/>
        <w:rPr>
          <w:rFonts w:hint="eastAsia" w:ascii="仿宋_GB2312" w:hAnsi="仿宋_GB2312" w:eastAsia="仿宋_GB2312" w:cs="仿宋_GB2312"/>
          <w:snapToGrid w:val="0"/>
          <w:color w:val="auto"/>
          <w:spacing w:val="4"/>
          <w:kern w:val="0"/>
          <w:sz w:val="32"/>
          <w:szCs w:val="32"/>
        </w:rPr>
      </w:pPr>
      <w:r>
        <w:rPr>
          <w:rFonts w:hint="eastAsia" w:ascii="仿宋_GB2312" w:hAnsi="仿宋_GB2312" w:eastAsia="仿宋_GB2312" w:cs="仿宋_GB2312"/>
          <w:color w:val="auto"/>
          <w:spacing w:val="4"/>
          <w:sz w:val="32"/>
          <w:szCs w:val="32"/>
        </w:rPr>
        <w:t>14、</w:t>
      </w:r>
      <w:r>
        <w:rPr>
          <w:rFonts w:hint="eastAsia" w:ascii="仿宋_GB2312" w:hAnsi="仿宋_GB2312" w:eastAsia="仿宋_GB2312" w:cs="仿宋_GB2312"/>
          <w:snapToGrid w:val="0"/>
          <w:color w:val="auto"/>
          <w:spacing w:val="4"/>
          <w:kern w:val="0"/>
          <w:sz w:val="32"/>
          <w:szCs w:val="32"/>
        </w:rPr>
        <w:t>投标企业关联企业情况说明</w:t>
      </w:r>
    </w:p>
    <w:p w14:paraId="59913E43">
      <w:pPr>
        <w:spacing w:before="164" w:line="360" w:lineRule="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我公司郑重声明如下：</w:t>
      </w:r>
    </w:p>
    <w:p w14:paraId="794B79AD">
      <w:pPr>
        <w:spacing w:before="179" w:line="360" w:lineRule="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9"/>
          <w:sz w:val="32"/>
          <w:szCs w:val="32"/>
        </w:rPr>
        <w:t>1、投标人名称（按营业执照的全称填写</w:t>
      </w:r>
      <w:r>
        <w:rPr>
          <w:rFonts w:hint="eastAsia" w:ascii="仿宋_GB2312" w:hAnsi="仿宋_GB2312" w:eastAsia="仿宋_GB2312" w:cs="仿宋_GB2312"/>
          <w:color w:val="auto"/>
          <w:spacing w:val="3"/>
          <w:sz w:val="32"/>
          <w:szCs w:val="32"/>
        </w:rPr>
        <w:t>）：</w:t>
      </w:r>
      <w:r>
        <w:rPr>
          <w:rFonts w:hint="eastAsia" w:ascii="仿宋_GB2312" w:hAnsi="仿宋_GB2312" w:eastAsia="仿宋_GB2312" w:cs="仿宋_GB2312"/>
          <w:color w:val="auto"/>
          <w:sz w:val="32"/>
          <w:szCs w:val="32"/>
          <w:u w:val="single"/>
        </w:rPr>
        <w:tab/>
      </w:r>
      <w:r>
        <w:rPr>
          <w:rFonts w:hint="eastAsia" w:ascii="仿宋_GB2312" w:hAnsi="仿宋_GB2312" w:eastAsia="仿宋_GB2312" w:cs="仿宋_GB2312"/>
          <w:color w:val="auto"/>
          <w:sz w:val="32"/>
          <w:szCs w:val="32"/>
          <w:u w:val="single"/>
        </w:rPr>
        <w:t xml:space="preserve">          。</w:t>
      </w:r>
    </w:p>
    <w:p w14:paraId="79EC96E8">
      <w:pPr>
        <w:spacing w:before="173" w:line="360" w:lineRule="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2"/>
          <w:sz w:val="32"/>
          <w:szCs w:val="32"/>
        </w:rPr>
        <w:t>2、本公司的直接上级控股/管理单位和直接下级控股/管理单位情况：</w:t>
      </w:r>
    </w:p>
    <w:tbl>
      <w:tblPr>
        <w:tblStyle w:val="2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706"/>
        <w:gridCol w:w="2236"/>
        <w:gridCol w:w="1590"/>
        <w:gridCol w:w="1905"/>
        <w:gridCol w:w="1972"/>
      </w:tblGrid>
      <w:tr w14:paraId="0BA9E7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80" w:hRule="atLeast"/>
          <w:jc w:val="center"/>
        </w:trPr>
        <w:tc>
          <w:tcPr>
            <w:tcW w:w="2706" w:type="dxa"/>
            <w:noWrap w:val="0"/>
            <w:vAlign w:val="center"/>
          </w:tcPr>
          <w:p w14:paraId="37FCD105">
            <w:pPr>
              <w:spacing w:before="169" w:line="360" w:lineRule="auto"/>
              <w:ind w:right="198"/>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1"/>
                <w:sz w:val="32"/>
                <w:szCs w:val="32"/>
              </w:rPr>
              <w:t>直接上级控股/管理单</w:t>
            </w:r>
            <w:r>
              <w:rPr>
                <w:rFonts w:hint="eastAsia" w:ascii="仿宋_GB2312" w:hAnsi="仿宋_GB2312" w:eastAsia="仿宋_GB2312" w:cs="仿宋_GB2312"/>
                <w:color w:val="auto"/>
                <w:spacing w:val="2"/>
                <w:sz w:val="32"/>
                <w:szCs w:val="32"/>
              </w:rPr>
              <w:t xml:space="preserve"> </w:t>
            </w:r>
            <w:r>
              <w:rPr>
                <w:rFonts w:hint="eastAsia" w:ascii="仿宋_GB2312" w:hAnsi="仿宋_GB2312" w:eastAsia="仿宋_GB2312" w:cs="仿宋_GB2312"/>
                <w:color w:val="auto"/>
                <w:spacing w:val="-2"/>
                <w:sz w:val="32"/>
                <w:szCs w:val="32"/>
              </w:rPr>
              <w:t>位名称</w:t>
            </w:r>
          </w:p>
        </w:tc>
        <w:tc>
          <w:tcPr>
            <w:tcW w:w="2236" w:type="dxa"/>
            <w:noWrap w:val="0"/>
            <w:vAlign w:val="center"/>
          </w:tcPr>
          <w:p w14:paraId="556F6420">
            <w:pPr>
              <w:spacing w:before="194" w:line="360" w:lineRule="auto"/>
              <w:ind w:right="106"/>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1"/>
                <w:sz w:val="32"/>
                <w:szCs w:val="32"/>
              </w:rPr>
              <w:t>对本单位的控股</w:t>
            </w:r>
            <w:r>
              <w:rPr>
                <w:rFonts w:hint="eastAsia" w:ascii="仿宋_GB2312" w:hAnsi="仿宋_GB2312" w:eastAsia="仿宋_GB2312" w:cs="仿宋_GB2312"/>
                <w:color w:val="auto"/>
                <w:spacing w:val="1"/>
                <w:sz w:val="32"/>
                <w:szCs w:val="32"/>
              </w:rPr>
              <w:t xml:space="preserve"> </w:t>
            </w:r>
            <w:r>
              <w:rPr>
                <w:rFonts w:hint="eastAsia" w:ascii="仿宋_GB2312" w:hAnsi="仿宋_GB2312" w:eastAsia="仿宋_GB2312" w:cs="仿宋_GB2312"/>
                <w:color w:val="auto"/>
                <w:spacing w:val="-2"/>
                <w:sz w:val="32"/>
                <w:szCs w:val="32"/>
              </w:rPr>
              <w:t>（出资）比例(%)</w:t>
            </w:r>
          </w:p>
        </w:tc>
        <w:tc>
          <w:tcPr>
            <w:tcW w:w="1590" w:type="dxa"/>
            <w:noWrap w:val="0"/>
            <w:vAlign w:val="center"/>
          </w:tcPr>
          <w:p w14:paraId="0307DD72">
            <w:pPr>
              <w:spacing w:before="78" w:line="360" w:lineRule="auto"/>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2"/>
                <w:sz w:val="32"/>
                <w:szCs w:val="32"/>
              </w:rPr>
              <w:t>单位负责人</w:t>
            </w:r>
          </w:p>
        </w:tc>
        <w:tc>
          <w:tcPr>
            <w:tcW w:w="1905" w:type="dxa"/>
            <w:noWrap w:val="0"/>
            <w:vAlign w:val="center"/>
          </w:tcPr>
          <w:p w14:paraId="49E325C8">
            <w:pPr>
              <w:spacing w:before="78" w:line="360" w:lineRule="auto"/>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2"/>
                <w:sz w:val="32"/>
                <w:szCs w:val="32"/>
              </w:rPr>
              <w:t>联系人及电话</w:t>
            </w:r>
          </w:p>
        </w:tc>
        <w:tc>
          <w:tcPr>
            <w:tcW w:w="1972" w:type="dxa"/>
            <w:noWrap w:val="0"/>
            <w:vAlign w:val="center"/>
          </w:tcPr>
          <w:p w14:paraId="089B0D88">
            <w:pPr>
              <w:spacing w:before="78" w:line="360" w:lineRule="auto"/>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2"/>
                <w:sz w:val="32"/>
                <w:szCs w:val="32"/>
              </w:rPr>
              <w:t>单位地址</w:t>
            </w:r>
          </w:p>
        </w:tc>
      </w:tr>
      <w:tr w14:paraId="3CE123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3" w:hRule="atLeast"/>
          <w:jc w:val="center"/>
        </w:trPr>
        <w:tc>
          <w:tcPr>
            <w:tcW w:w="2706" w:type="dxa"/>
            <w:noWrap w:val="0"/>
            <w:vAlign w:val="top"/>
          </w:tcPr>
          <w:p w14:paraId="7088B8A3">
            <w:pPr>
              <w:pStyle w:val="73"/>
              <w:spacing w:line="360" w:lineRule="auto"/>
              <w:rPr>
                <w:rFonts w:hint="eastAsia" w:ascii="仿宋_GB2312" w:hAnsi="仿宋_GB2312" w:eastAsia="仿宋_GB2312" w:cs="仿宋_GB2312"/>
                <w:color w:val="auto"/>
                <w:sz w:val="32"/>
                <w:szCs w:val="32"/>
              </w:rPr>
            </w:pPr>
          </w:p>
        </w:tc>
        <w:tc>
          <w:tcPr>
            <w:tcW w:w="2236" w:type="dxa"/>
            <w:noWrap w:val="0"/>
            <w:vAlign w:val="top"/>
          </w:tcPr>
          <w:p w14:paraId="28ECE554">
            <w:pPr>
              <w:pStyle w:val="73"/>
              <w:spacing w:line="360" w:lineRule="auto"/>
              <w:rPr>
                <w:rFonts w:hint="eastAsia" w:ascii="仿宋_GB2312" w:hAnsi="仿宋_GB2312" w:eastAsia="仿宋_GB2312" w:cs="仿宋_GB2312"/>
                <w:color w:val="auto"/>
                <w:sz w:val="32"/>
                <w:szCs w:val="32"/>
              </w:rPr>
            </w:pPr>
          </w:p>
        </w:tc>
        <w:tc>
          <w:tcPr>
            <w:tcW w:w="1590" w:type="dxa"/>
            <w:noWrap w:val="0"/>
            <w:vAlign w:val="top"/>
          </w:tcPr>
          <w:p w14:paraId="196EF0AF">
            <w:pPr>
              <w:pStyle w:val="73"/>
              <w:spacing w:line="360" w:lineRule="auto"/>
              <w:rPr>
                <w:rFonts w:hint="eastAsia" w:ascii="仿宋_GB2312" w:hAnsi="仿宋_GB2312" w:eastAsia="仿宋_GB2312" w:cs="仿宋_GB2312"/>
                <w:color w:val="auto"/>
                <w:sz w:val="32"/>
                <w:szCs w:val="32"/>
              </w:rPr>
            </w:pPr>
          </w:p>
        </w:tc>
        <w:tc>
          <w:tcPr>
            <w:tcW w:w="1905" w:type="dxa"/>
            <w:noWrap w:val="0"/>
            <w:vAlign w:val="top"/>
          </w:tcPr>
          <w:p w14:paraId="72B324D4">
            <w:pPr>
              <w:pStyle w:val="73"/>
              <w:spacing w:line="360" w:lineRule="auto"/>
              <w:rPr>
                <w:rFonts w:hint="eastAsia" w:ascii="仿宋_GB2312" w:hAnsi="仿宋_GB2312" w:eastAsia="仿宋_GB2312" w:cs="仿宋_GB2312"/>
                <w:color w:val="auto"/>
                <w:sz w:val="32"/>
                <w:szCs w:val="32"/>
              </w:rPr>
            </w:pPr>
          </w:p>
        </w:tc>
        <w:tc>
          <w:tcPr>
            <w:tcW w:w="1972" w:type="dxa"/>
            <w:noWrap w:val="0"/>
            <w:vAlign w:val="top"/>
          </w:tcPr>
          <w:p w14:paraId="3AA17980">
            <w:pPr>
              <w:pStyle w:val="73"/>
              <w:spacing w:line="360" w:lineRule="auto"/>
              <w:rPr>
                <w:rFonts w:hint="eastAsia" w:ascii="仿宋_GB2312" w:hAnsi="仿宋_GB2312" w:eastAsia="仿宋_GB2312" w:cs="仿宋_GB2312"/>
                <w:color w:val="auto"/>
                <w:sz w:val="32"/>
                <w:szCs w:val="32"/>
              </w:rPr>
            </w:pPr>
          </w:p>
        </w:tc>
      </w:tr>
      <w:tr w14:paraId="5DF240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3" w:hRule="atLeast"/>
          <w:jc w:val="center"/>
        </w:trPr>
        <w:tc>
          <w:tcPr>
            <w:tcW w:w="2706" w:type="dxa"/>
            <w:noWrap w:val="0"/>
            <w:vAlign w:val="top"/>
          </w:tcPr>
          <w:p w14:paraId="3452370D">
            <w:pPr>
              <w:spacing w:before="151" w:line="360" w:lineRule="auto"/>
              <w:ind w:left="12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p>
        </w:tc>
        <w:tc>
          <w:tcPr>
            <w:tcW w:w="2236" w:type="dxa"/>
            <w:noWrap w:val="0"/>
            <w:vAlign w:val="top"/>
          </w:tcPr>
          <w:p w14:paraId="43D68F87">
            <w:pPr>
              <w:pStyle w:val="73"/>
              <w:spacing w:line="360" w:lineRule="auto"/>
              <w:rPr>
                <w:rFonts w:hint="eastAsia" w:ascii="仿宋_GB2312" w:hAnsi="仿宋_GB2312" w:eastAsia="仿宋_GB2312" w:cs="仿宋_GB2312"/>
                <w:color w:val="auto"/>
                <w:sz w:val="32"/>
                <w:szCs w:val="32"/>
              </w:rPr>
            </w:pPr>
          </w:p>
        </w:tc>
        <w:tc>
          <w:tcPr>
            <w:tcW w:w="1590" w:type="dxa"/>
            <w:noWrap w:val="0"/>
            <w:vAlign w:val="top"/>
          </w:tcPr>
          <w:p w14:paraId="7FB5C82C">
            <w:pPr>
              <w:pStyle w:val="73"/>
              <w:spacing w:line="360" w:lineRule="auto"/>
              <w:rPr>
                <w:rFonts w:hint="eastAsia" w:ascii="仿宋_GB2312" w:hAnsi="仿宋_GB2312" w:eastAsia="仿宋_GB2312" w:cs="仿宋_GB2312"/>
                <w:color w:val="auto"/>
                <w:sz w:val="32"/>
                <w:szCs w:val="32"/>
              </w:rPr>
            </w:pPr>
          </w:p>
        </w:tc>
        <w:tc>
          <w:tcPr>
            <w:tcW w:w="1905" w:type="dxa"/>
            <w:noWrap w:val="0"/>
            <w:vAlign w:val="top"/>
          </w:tcPr>
          <w:p w14:paraId="34A34561">
            <w:pPr>
              <w:pStyle w:val="73"/>
              <w:spacing w:line="360" w:lineRule="auto"/>
              <w:rPr>
                <w:rFonts w:hint="eastAsia" w:ascii="仿宋_GB2312" w:hAnsi="仿宋_GB2312" w:eastAsia="仿宋_GB2312" w:cs="仿宋_GB2312"/>
                <w:color w:val="auto"/>
                <w:sz w:val="32"/>
                <w:szCs w:val="32"/>
              </w:rPr>
            </w:pPr>
          </w:p>
        </w:tc>
        <w:tc>
          <w:tcPr>
            <w:tcW w:w="1972" w:type="dxa"/>
            <w:noWrap w:val="0"/>
            <w:vAlign w:val="top"/>
          </w:tcPr>
          <w:p w14:paraId="6983BC42">
            <w:pPr>
              <w:pStyle w:val="73"/>
              <w:spacing w:line="360" w:lineRule="auto"/>
              <w:rPr>
                <w:rFonts w:hint="eastAsia" w:ascii="仿宋_GB2312" w:hAnsi="仿宋_GB2312" w:eastAsia="仿宋_GB2312" w:cs="仿宋_GB2312"/>
                <w:color w:val="auto"/>
                <w:sz w:val="32"/>
                <w:szCs w:val="32"/>
              </w:rPr>
            </w:pPr>
          </w:p>
        </w:tc>
      </w:tr>
      <w:tr w14:paraId="16E0B2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10409" w:type="dxa"/>
            <w:gridSpan w:val="5"/>
            <w:noWrap w:val="0"/>
            <w:vAlign w:val="top"/>
          </w:tcPr>
          <w:p w14:paraId="1C4B9FAE">
            <w:pPr>
              <w:pStyle w:val="73"/>
              <w:spacing w:line="360" w:lineRule="auto"/>
              <w:rPr>
                <w:rFonts w:hint="eastAsia" w:ascii="仿宋_GB2312" w:hAnsi="仿宋_GB2312" w:eastAsia="仿宋_GB2312" w:cs="仿宋_GB2312"/>
                <w:color w:val="auto"/>
                <w:sz w:val="32"/>
                <w:szCs w:val="32"/>
              </w:rPr>
            </w:pPr>
          </w:p>
        </w:tc>
      </w:tr>
      <w:tr w14:paraId="5F959A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7" w:hRule="atLeast"/>
          <w:jc w:val="center"/>
        </w:trPr>
        <w:tc>
          <w:tcPr>
            <w:tcW w:w="2706" w:type="dxa"/>
            <w:noWrap w:val="0"/>
            <w:vAlign w:val="top"/>
          </w:tcPr>
          <w:p w14:paraId="40E2890F">
            <w:pPr>
              <w:spacing w:before="169" w:line="360" w:lineRule="auto"/>
              <w:ind w:left="998" w:right="198" w:hanging="779"/>
              <w:jc w:val="center"/>
              <w:rPr>
                <w:rFonts w:hint="eastAsia" w:ascii="仿宋_GB2312" w:hAnsi="仿宋_GB2312" w:eastAsia="仿宋_GB2312" w:cs="仿宋_GB2312"/>
                <w:color w:val="auto"/>
                <w:spacing w:val="-1"/>
                <w:sz w:val="32"/>
                <w:szCs w:val="32"/>
              </w:rPr>
            </w:pPr>
            <w:r>
              <w:rPr>
                <w:rFonts w:hint="eastAsia" w:ascii="仿宋_GB2312" w:hAnsi="仿宋_GB2312" w:eastAsia="仿宋_GB2312" w:cs="仿宋_GB2312"/>
                <w:color w:val="auto"/>
                <w:spacing w:val="-1"/>
                <w:sz w:val="32"/>
                <w:szCs w:val="32"/>
              </w:rPr>
              <w:t>直接下级控股/</w:t>
            </w:r>
          </w:p>
          <w:p w14:paraId="08A1CDC3">
            <w:pPr>
              <w:spacing w:before="169" w:line="360" w:lineRule="auto"/>
              <w:ind w:left="998" w:right="198" w:hanging="779"/>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1"/>
                <w:sz w:val="32"/>
                <w:szCs w:val="32"/>
              </w:rPr>
              <w:t>管理单</w:t>
            </w:r>
            <w:r>
              <w:rPr>
                <w:rFonts w:hint="eastAsia" w:ascii="仿宋_GB2312" w:hAnsi="仿宋_GB2312" w:eastAsia="仿宋_GB2312" w:cs="仿宋_GB2312"/>
                <w:color w:val="auto"/>
                <w:spacing w:val="-2"/>
                <w:sz w:val="32"/>
                <w:szCs w:val="32"/>
              </w:rPr>
              <w:t>位名称</w:t>
            </w:r>
          </w:p>
        </w:tc>
        <w:tc>
          <w:tcPr>
            <w:tcW w:w="2236" w:type="dxa"/>
            <w:noWrap w:val="0"/>
            <w:vAlign w:val="top"/>
          </w:tcPr>
          <w:p w14:paraId="2C8BA19E">
            <w:pPr>
              <w:spacing w:before="193" w:line="360" w:lineRule="auto"/>
              <w:ind w:left="328" w:right="149" w:hanging="157"/>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1"/>
                <w:sz w:val="32"/>
                <w:szCs w:val="32"/>
              </w:rPr>
              <w:t>本单位控股（出</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pacing w:val="-3"/>
                <w:sz w:val="32"/>
                <w:szCs w:val="32"/>
              </w:rPr>
              <w:t>资）比例(%)</w:t>
            </w:r>
          </w:p>
        </w:tc>
        <w:tc>
          <w:tcPr>
            <w:tcW w:w="1590" w:type="dxa"/>
            <w:noWrap w:val="0"/>
            <w:vAlign w:val="top"/>
          </w:tcPr>
          <w:p w14:paraId="6EFD611B">
            <w:pPr>
              <w:pStyle w:val="73"/>
              <w:spacing w:line="360" w:lineRule="auto"/>
              <w:jc w:val="center"/>
              <w:rPr>
                <w:rFonts w:hint="eastAsia" w:ascii="仿宋_GB2312" w:hAnsi="仿宋_GB2312" w:eastAsia="仿宋_GB2312" w:cs="仿宋_GB2312"/>
                <w:color w:val="auto"/>
                <w:sz w:val="32"/>
                <w:szCs w:val="32"/>
              </w:rPr>
            </w:pPr>
          </w:p>
          <w:p w14:paraId="643EDD9E">
            <w:pPr>
              <w:spacing w:before="78" w:line="360" w:lineRule="auto"/>
              <w:ind w:left="130"/>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2"/>
                <w:sz w:val="32"/>
                <w:szCs w:val="32"/>
              </w:rPr>
              <w:t>单位负责人</w:t>
            </w:r>
          </w:p>
        </w:tc>
        <w:tc>
          <w:tcPr>
            <w:tcW w:w="1905" w:type="dxa"/>
            <w:noWrap w:val="0"/>
            <w:vAlign w:val="top"/>
          </w:tcPr>
          <w:p w14:paraId="15CA3CED">
            <w:pPr>
              <w:pStyle w:val="73"/>
              <w:spacing w:line="360" w:lineRule="auto"/>
              <w:jc w:val="center"/>
              <w:rPr>
                <w:rFonts w:hint="eastAsia" w:ascii="仿宋_GB2312" w:hAnsi="仿宋_GB2312" w:eastAsia="仿宋_GB2312" w:cs="仿宋_GB2312"/>
                <w:color w:val="auto"/>
                <w:sz w:val="32"/>
                <w:szCs w:val="32"/>
              </w:rPr>
            </w:pPr>
          </w:p>
          <w:p w14:paraId="787C4B5A">
            <w:pPr>
              <w:spacing w:before="78" w:line="360" w:lineRule="auto"/>
              <w:ind w:left="176"/>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2"/>
                <w:sz w:val="32"/>
                <w:szCs w:val="32"/>
              </w:rPr>
              <w:t>联系人及电话</w:t>
            </w:r>
          </w:p>
        </w:tc>
        <w:tc>
          <w:tcPr>
            <w:tcW w:w="1972" w:type="dxa"/>
            <w:noWrap w:val="0"/>
            <w:vAlign w:val="top"/>
          </w:tcPr>
          <w:p w14:paraId="056DEF31">
            <w:pPr>
              <w:pStyle w:val="73"/>
              <w:spacing w:line="360" w:lineRule="auto"/>
              <w:jc w:val="center"/>
              <w:rPr>
                <w:rFonts w:hint="eastAsia" w:ascii="仿宋_GB2312" w:hAnsi="仿宋_GB2312" w:eastAsia="仿宋_GB2312" w:cs="仿宋_GB2312"/>
                <w:color w:val="auto"/>
                <w:sz w:val="32"/>
                <w:szCs w:val="32"/>
              </w:rPr>
            </w:pPr>
          </w:p>
          <w:p w14:paraId="27661146">
            <w:pPr>
              <w:spacing w:before="78" w:line="360" w:lineRule="auto"/>
              <w:ind w:left="616"/>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2"/>
                <w:sz w:val="32"/>
                <w:szCs w:val="32"/>
              </w:rPr>
              <w:t>单位地址</w:t>
            </w:r>
          </w:p>
        </w:tc>
      </w:tr>
      <w:tr w14:paraId="0E9672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4" w:hRule="atLeast"/>
          <w:jc w:val="center"/>
        </w:trPr>
        <w:tc>
          <w:tcPr>
            <w:tcW w:w="2706" w:type="dxa"/>
            <w:noWrap w:val="0"/>
            <w:vAlign w:val="top"/>
          </w:tcPr>
          <w:p w14:paraId="467B4CC1">
            <w:pPr>
              <w:pStyle w:val="73"/>
              <w:spacing w:line="360" w:lineRule="auto"/>
              <w:rPr>
                <w:rFonts w:hint="eastAsia" w:ascii="仿宋_GB2312" w:hAnsi="仿宋_GB2312" w:eastAsia="仿宋_GB2312" w:cs="仿宋_GB2312"/>
                <w:color w:val="auto"/>
                <w:sz w:val="32"/>
                <w:szCs w:val="32"/>
              </w:rPr>
            </w:pPr>
          </w:p>
        </w:tc>
        <w:tc>
          <w:tcPr>
            <w:tcW w:w="2236" w:type="dxa"/>
            <w:noWrap w:val="0"/>
            <w:vAlign w:val="top"/>
          </w:tcPr>
          <w:p w14:paraId="7A7ABFF4">
            <w:pPr>
              <w:pStyle w:val="73"/>
              <w:spacing w:line="360" w:lineRule="auto"/>
              <w:rPr>
                <w:rFonts w:hint="eastAsia" w:ascii="仿宋_GB2312" w:hAnsi="仿宋_GB2312" w:eastAsia="仿宋_GB2312" w:cs="仿宋_GB2312"/>
                <w:color w:val="auto"/>
                <w:sz w:val="32"/>
                <w:szCs w:val="32"/>
              </w:rPr>
            </w:pPr>
          </w:p>
        </w:tc>
        <w:tc>
          <w:tcPr>
            <w:tcW w:w="1590" w:type="dxa"/>
            <w:noWrap w:val="0"/>
            <w:vAlign w:val="top"/>
          </w:tcPr>
          <w:p w14:paraId="6366551E">
            <w:pPr>
              <w:pStyle w:val="73"/>
              <w:spacing w:line="360" w:lineRule="auto"/>
              <w:rPr>
                <w:rFonts w:hint="eastAsia" w:ascii="仿宋_GB2312" w:hAnsi="仿宋_GB2312" w:eastAsia="仿宋_GB2312" w:cs="仿宋_GB2312"/>
                <w:color w:val="auto"/>
                <w:sz w:val="32"/>
                <w:szCs w:val="32"/>
              </w:rPr>
            </w:pPr>
          </w:p>
        </w:tc>
        <w:tc>
          <w:tcPr>
            <w:tcW w:w="1905" w:type="dxa"/>
            <w:noWrap w:val="0"/>
            <w:vAlign w:val="top"/>
          </w:tcPr>
          <w:p w14:paraId="61D2029C">
            <w:pPr>
              <w:pStyle w:val="73"/>
              <w:spacing w:line="360" w:lineRule="auto"/>
              <w:rPr>
                <w:rFonts w:hint="eastAsia" w:ascii="仿宋_GB2312" w:hAnsi="仿宋_GB2312" w:eastAsia="仿宋_GB2312" w:cs="仿宋_GB2312"/>
                <w:color w:val="auto"/>
                <w:sz w:val="32"/>
                <w:szCs w:val="32"/>
              </w:rPr>
            </w:pPr>
          </w:p>
        </w:tc>
        <w:tc>
          <w:tcPr>
            <w:tcW w:w="1972" w:type="dxa"/>
            <w:noWrap w:val="0"/>
            <w:vAlign w:val="top"/>
          </w:tcPr>
          <w:p w14:paraId="338426DD">
            <w:pPr>
              <w:pStyle w:val="73"/>
              <w:spacing w:line="360" w:lineRule="auto"/>
              <w:rPr>
                <w:rFonts w:hint="eastAsia" w:ascii="仿宋_GB2312" w:hAnsi="仿宋_GB2312" w:eastAsia="仿宋_GB2312" w:cs="仿宋_GB2312"/>
                <w:color w:val="auto"/>
                <w:sz w:val="32"/>
                <w:szCs w:val="32"/>
              </w:rPr>
            </w:pPr>
          </w:p>
        </w:tc>
      </w:tr>
      <w:tr w14:paraId="75F662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6" w:hRule="atLeast"/>
          <w:jc w:val="center"/>
        </w:trPr>
        <w:tc>
          <w:tcPr>
            <w:tcW w:w="2706" w:type="dxa"/>
            <w:noWrap w:val="0"/>
            <w:vAlign w:val="top"/>
          </w:tcPr>
          <w:p w14:paraId="07FC6ABB">
            <w:pPr>
              <w:spacing w:before="145" w:line="360" w:lineRule="auto"/>
              <w:ind w:left="12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p>
        </w:tc>
        <w:tc>
          <w:tcPr>
            <w:tcW w:w="2236" w:type="dxa"/>
            <w:noWrap w:val="0"/>
            <w:vAlign w:val="top"/>
          </w:tcPr>
          <w:p w14:paraId="3F85E93F">
            <w:pPr>
              <w:pStyle w:val="73"/>
              <w:spacing w:line="360" w:lineRule="auto"/>
              <w:rPr>
                <w:rFonts w:hint="eastAsia" w:ascii="仿宋_GB2312" w:hAnsi="仿宋_GB2312" w:eastAsia="仿宋_GB2312" w:cs="仿宋_GB2312"/>
                <w:color w:val="auto"/>
                <w:sz w:val="32"/>
                <w:szCs w:val="32"/>
              </w:rPr>
            </w:pPr>
          </w:p>
        </w:tc>
        <w:tc>
          <w:tcPr>
            <w:tcW w:w="1590" w:type="dxa"/>
            <w:noWrap w:val="0"/>
            <w:vAlign w:val="top"/>
          </w:tcPr>
          <w:p w14:paraId="6CEF1E4E">
            <w:pPr>
              <w:pStyle w:val="73"/>
              <w:spacing w:line="360" w:lineRule="auto"/>
              <w:rPr>
                <w:rFonts w:hint="eastAsia" w:ascii="仿宋_GB2312" w:hAnsi="仿宋_GB2312" w:eastAsia="仿宋_GB2312" w:cs="仿宋_GB2312"/>
                <w:color w:val="auto"/>
                <w:sz w:val="32"/>
                <w:szCs w:val="32"/>
              </w:rPr>
            </w:pPr>
          </w:p>
        </w:tc>
        <w:tc>
          <w:tcPr>
            <w:tcW w:w="1905" w:type="dxa"/>
            <w:noWrap w:val="0"/>
            <w:vAlign w:val="top"/>
          </w:tcPr>
          <w:p w14:paraId="37D5A0CC">
            <w:pPr>
              <w:pStyle w:val="73"/>
              <w:spacing w:line="360" w:lineRule="auto"/>
              <w:rPr>
                <w:rFonts w:hint="eastAsia" w:ascii="仿宋_GB2312" w:hAnsi="仿宋_GB2312" w:eastAsia="仿宋_GB2312" w:cs="仿宋_GB2312"/>
                <w:color w:val="auto"/>
                <w:sz w:val="32"/>
                <w:szCs w:val="32"/>
              </w:rPr>
            </w:pPr>
          </w:p>
        </w:tc>
        <w:tc>
          <w:tcPr>
            <w:tcW w:w="1972" w:type="dxa"/>
            <w:noWrap w:val="0"/>
            <w:vAlign w:val="top"/>
          </w:tcPr>
          <w:p w14:paraId="02BA3DB3">
            <w:pPr>
              <w:pStyle w:val="73"/>
              <w:spacing w:line="360" w:lineRule="auto"/>
              <w:rPr>
                <w:rFonts w:hint="eastAsia" w:ascii="仿宋_GB2312" w:hAnsi="仿宋_GB2312" w:eastAsia="仿宋_GB2312" w:cs="仿宋_GB2312"/>
                <w:color w:val="auto"/>
                <w:sz w:val="32"/>
                <w:szCs w:val="32"/>
              </w:rPr>
            </w:pPr>
          </w:p>
        </w:tc>
      </w:tr>
    </w:tbl>
    <w:p w14:paraId="3C5CA3D0">
      <w:pPr>
        <w:spacing w:before="154" w:line="360" w:lineRule="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2"/>
          <w:sz w:val="32"/>
          <w:szCs w:val="32"/>
        </w:rPr>
        <w:t>3、属于同一直接上级控股/管理单位的其他兄弟单位</w:t>
      </w:r>
      <w:r>
        <w:rPr>
          <w:rFonts w:hint="eastAsia" w:ascii="仿宋_GB2312" w:hAnsi="仿宋_GB2312" w:eastAsia="仿宋_GB2312" w:cs="仿宋_GB2312"/>
          <w:color w:val="auto"/>
          <w:spacing w:val="-3"/>
          <w:sz w:val="32"/>
          <w:szCs w:val="32"/>
        </w:rPr>
        <w:t>情况</w:t>
      </w:r>
    </w:p>
    <w:tbl>
      <w:tblPr>
        <w:tblStyle w:val="2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709"/>
        <w:gridCol w:w="2340"/>
        <w:gridCol w:w="1455"/>
        <w:gridCol w:w="1920"/>
        <w:gridCol w:w="1929"/>
      </w:tblGrid>
      <w:tr w14:paraId="53EFF7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80" w:hRule="atLeast"/>
          <w:jc w:val="center"/>
        </w:trPr>
        <w:tc>
          <w:tcPr>
            <w:tcW w:w="2709" w:type="dxa"/>
            <w:noWrap w:val="0"/>
            <w:vAlign w:val="top"/>
          </w:tcPr>
          <w:p w14:paraId="49C16829">
            <w:pPr>
              <w:spacing w:before="169" w:line="360" w:lineRule="auto"/>
              <w:ind w:left="998" w:right="198" w:hanging="77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1"/>
                <w:sz w:val="32"/>
                <w:szCs w:val="32"/>
              </w:rPr>
              <w:t>直接上级控股/管理单位名称</w:t>
            </w:r>
          </w:p>
        </w:tc>
        <w:tc>
          <w:tcPr>
            <w:tcW w:w="2340" w:type="dxa"/>
            <w:noWrap w:val="0"/>
            <w:vAlign w:val="top"/>
          </w:tcPr>
          <w:p w14:paraId="151A0CCF">
            <w:pPr>
              <w:spacing w:before="193" w:line="360" w:lineRule="auto"/>
              <w:ind w:left="328" w:right="149" w:hanging="157"/>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1"/>
                <w:sz w:val="32"/>
                <w:szCs w:val="32"/>
              </w:rPr>
              <w:t>对本单位控股（出 资）比例(%)</w:t>
            </w:r>
          </w:p>
        </w:tc>
        <w:tc>
          <w:tcPr>
            <w:tcW w:w="1455" w:type="dxa"/>
            <w:noWrap w:val="0"/>
            <w:vAlign w:val="center"/>
          </w:tcPr>
          <w:p w14:paraId="1463A34A">
            <w:pPr>
              <w:spacing w:before="78" w:line="360" w:lineRule="auto"/>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2"/>
                <w:sz w:val="32"/>
                <w:szCs w:val="32"/>
              </w:rPr>
              <w:t>单位负责人</w:t>
            </w:r>
          </w:p>
        </w:tc>
        <w:tc>
          <w:tcPr>
            <w:tcW w:w="1920" w:type="dxa"/>
            <w:noWrap w:val="0"/>
            <w:vAlign w:val="center"/>
          </w:tcPr>
          <w:p w14:paraId="35ABFD4A">
            <w:pPr>
              <w:spacing w:before="78" w:line="360" w:lineRule="auto"/>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2"/>
                <w:sz w:val="32"/>
                <w:szCs w:val="32"/>
              </w:rPr>
              <w:t>联系人及电话</w:t>
            </w:r>
          </w:p>
        </w:tc>
        <w:tc>
          <w:tcPr>
            <w:tcW w:w="1929" w:type="dxa"/>
            <w:noWrap w:val="0"/>
            <w:vAlign w:val="center"/>
          </w:tcPr>
          <w:p w14:paraId="449D45C8">
            <w:pPr>
              <w:spacing w:before="78" w:line="360" w:lineRule="auto"/>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2"/>
                <w:sz w:val="32"/>
                <w:szCs w:val="32"/>
              </w:rPr>
              <w:t>单位地址</w:t>
            </w:r>
          </w:p>
        </w:tc>
      </w:tr>
      <w:tr w14:paraId="227B22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9" w:hRule="atLeast"/>
          <w:jc w:val="center"/>
        </w:trPr>
        <w:tc>
          <w:tcPr>
            <w:tcW w:w="2709" w:type="dxa"/>
            <w:noWrap w:val="0"/>
            <w:vAlign w:val="top"/>
          </w:tcPr>
          <w:p w14:paraId="79FD9D59">
            <w:pPr>
              <w:pStyle w:val="73"/>
              <w:spacing w:line="360" w:lineRule="auto"/>
              <w:rPr>
                <w:rFonts w:hint="eastAsia" w:ascii="仿宋_GB2312" w:hAnsi="仿宋_GB2312" w:eastAsia="仿宋_GB2312" w:cs="仿宋_GB2312"/>
                <w:color w:val="auto"/>
                <w:sz w:val="32"/>
                <w:szCs w:val="32"/>
              </w:rPr>
            </w:pPr>
          </w:p>
        </w:tc>
        <w:tc>
          <w:tcPr>
            <w:tcW w:w="2340" w:type="dxa"/>
            <w:noWrap w:val="0"/>
            <w:vAlign w:val="top"/>
          </w:tcPr>
          <w:p w14:paraId="0808458F">
            <w:pPr>
              <w:pStyle w:val="73"/>
              <w:spacing w:line="360" w:lineRule="auto"/>
              <w:rPr>
                <w:rFonts w:hint="eastAsia" w:ascii="仿宋_GB2312" w:hAnsi="仿宋_GB2312" w:eastAsia="仿宋_GB2312" w:cs="仿宋_GB2312"/>
                <w:color w:val="auto"/>
                <w:sz w:val="32"/>
                <w:szCs w:val="32"/>
              </w:rPr>
            </w:pPr>
          </w:p>
        </w:tc>
        <w:tc>
          <w:tcPr>
            <w:tcW w:w="1455" w:type="dxa"/>
            <w:noWrap w:val="0"/>
            <w:vAlign w:val="top"/>
          </w:tcPr>
          <w:p w14:paraId="292D2F31">
            <w:pPr>
              <w:pStyle w:val="73"/>
              <w:spacing w:line="360" w:lineRule="auto"/>
              <w:rPr>
                <w:rFonts w:hint="eastAsia" w:ascii="仿宋_GB2312" w:hAnsi="仿宋_GB2312" w:eastAsia="仿宋_GB2312" w:cs="仿宋_GB2312"/>
                <w:color w:val="auto"/>
                <w:sz w:val="32"/>
                <w:szCs w:val="32"/>
              </w:rPr>
            </w:pPr>
          </w:p>
        </w:tc>
        <w:tc>
          <w:tcPr>
            <w:tcW w:w="1920" w:type="dxa"/>
            <w:noWrap w:val="0"/>
            <w:vAlign w:val="top"/>
          </w:tcPr>
          <w:p w14:paraId="57A5213A">
            <w:pPr>
              <w:pStyle w:val="73"/>
              <w:spacing w:line="360" w:lineRule="auto"/>
              <w:rPr>
                <w:rFonts w:hint="eastAsia" w:ascii="仿宋_GB2312" w:hAnsi="仿宋_GB2312" w:eastAsia="仿宋_GB2312" w:cs="仿宋_GB2312"/>
                <w:color w:val="auto"/>
                <w:sz w:val="32"/>
                <w:szCs w:val="32"/>
              </w:rPr>
            </w:pPr>
          </w:p>
        </w:tc>
        <w:tc>
          <w:tcPr>
            <w:tcW w:w="1929" w:type="dxa"/>
            <w:noWrap w:val="0"/>
            <w:vAlign w:val="top"/>
          </w:tcPr>
          <w:p w14:paraId="43AF47A3">
            <w:pPr>
              <w:pStyle w:val="73"/>
              <w:spacing w:line="360" w:lineRule="auto"/>
              <w:rPr>
                <w:rFonts w:hint="eastAsia" w:ascii="仿宋_GB2312" w:hAnsi="仿宋_GB2312" w:eastAsia="仿宋_GB2312" w:cs="仿宋_GB2312"/>
                <w:color w:val="auto"/>
                <w:sz w:val="32"/>
                <w:szCs w:val="32"/>
              </w:rPr>
            </w:pPr>
          </w:p>
        </w:tc>
      </w:tr>
      <w:tr w14:paraId="55E1D4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8" w:hRule="atLeast"/>
          <w:jc w:val="center"/>
        </w:trPr>
        <w:tc>
          <w:tcPr>
            <w:tcW w:w="2709" w:type="dxa"/>
            <w:noWrap w:val="0"/>
            <w:vAlign w:val="top"/>
          </w:tcPr>
          <w:p w14:paraId="470C4000">
            <w:pPr>
              <w:spacing w:before="150" w:line="360" w:lineRule="auto"/>
              <w:ind w:left="12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p>
        </w:tc>
        <w:tc>
          <w:tcPr>
            <w:tcW w:w="2340" w:type="dxa"/>
            <w:noWrap w:val="0"/>
            <w:vAlign w:val="top"/>
          </w:tcPr>
          <w:p w14:paraId="7CBDD661">
            <w:pPr>
              <w:pStyle w:val="73"/>
              <w:spacing w:line="360" w:lineRule="auto"/>
              <w:rPr>
                <w:rFonts w:hint="eastAsia" w:ascii="仿宋_GB2312" w:hAnsi="仿宋_GB2312" w:eastAsia="仿宋_GB2312" w:cs="仿宋_GB2312"/>
                <w:color w:val="auto"/>
                <w:sz w:val="32"/>
                <w:szCs w:val="32"/>
              </w:rPr>
            </w:pPr>
          </w:p>
        </w:tc>
        <w:tc>
          <w:tcPr>
            <w:tcW w:w="1455" w:type="dxa"/>
            <w:noWrap w:val="0"/>
            <w:vAlign w:val="top"/>
          </w:tcPr>
          <w:p w14:paraId="3F867E9A">
            <w:pPr>
              <w:pStyle w:val="73"/>
              <w:spacing w:line="360" w:lineRule="auto"/>
              <w:rPr>
                <w:rFonts w:hint="eastAsia" w:ascii="仿宋_GB2312" w:hAnsi="仿宋_GB2312" w:eastAsia="仿宋_GB2312" w:cs="仿宋_GB2312"/>
                <w:color w:val="auto"/>
                <w:sz w:val="32"/>
                <w:szCs w:val="32"/>
              </w:rPr>
            </w:pPr>
          </w:p>
        </w:tc>
        <w:tc>
          <w:tcPr>
            <w:tcW w:w="1920" w:type="dxa"/>
            <w:noWrap w:val="0"/>
            <w:vAlign w:val="top"/>
          </w:tcPr>
          <w:p w14:paraId="431A030B">
            <w:pPr>
              <w:pStyle w:val="73"/>
              <w:spacing w:line="360" w:lineRule="auto"/>
              <w:rPr>
                <w:rFonts w:hint="eastAsia" w:ascii="仿宋_GB2312" w:hAnsi="仿宋_GB2312" w:eastAsia="仿宋_GB2312" w:cs="仿宋_GB2312"/>
                <w:color w:val="auto"/>
                <w:sz w:val="32"/>
                <w:szCs w:val="32"/>
              </w:rPr>
            </w:pPr>
          </w:p>
        </w:tc>
        <w:tc>
          <w:tcPr>
            <w:tcW w:w="1929" w:type="dxa"/>
            <w:noWrap w:val="0"/>
            <w:vAlign w:val="top"/>
          </w:tcPr>
          <w:p w14:paraId="342D1FC7">
            <w:pPr>
              <w:pStyle w:val="73"/>
              <w:spacing w:line="360" w:lineRule="auto"/>
              <w:rPr>
                <w:rFonts w:hint="eastAsia" w:ascii="仿宋_GB2312" w:hAnsi="仿宋_GB2312" w:eastAsia="仿宋_GB2312" w:cs="仿宋_GB2312"/>
                <w:color w:val="auto"/>
                <w:sz w:val="32"/>
                <w:szCs w:val="32"/>
              </w:rPr>
            </w:pPr>
          </w:p>
        </w:tc>
      </w:tr>
      <w:tr w14:paraId="7CF9C0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7" w:hRule="atLeast"/>
          <w:jc w:val="center"/>
        </w:trPr>
        <w:tc>
          <w:tcPr>
            <w:tcW w:w="10353" w:type="dxa"/>
            <w:gridSpan w:val="5"/>
            <w:noWrap w:val="0"/>
            <w:vAlign w:val="top"/>
          </w:tcPr>
          <w:p w14:paraId="4897EF61">
            <w:pPr>
              <w:pStyle w:val="73"/>
              <w:spacing w:line="360" w:lineRule="auto"/>
              <w:rPr>
                <w:rFonts w:hint="eastAsia" w:ascii="仿宋_GB2312" w:hAnsi="仿宋_GB2312" w:eastAsia="仿宋_GB2312" w:cs="仿宋_GB2312"/>
                <w:color w:val="auto"/>
                <w:sz w:val="32"/>
                <w:szCs w:val="32"/>
              </w:rPr>
            </w:pPr>
          </w:p>
        </w:tc>
      </w:tr>
      <w:tr w14:paraId="324EA2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13" w:hRule="atLeast"/>
          <w:jc w:val="center"/>
        </w:trPr>
        <w:tc>
          <w:tcPr>
            <w:tcW w:w="2709" w:type="dxa"/>
            <w:noWrap w:val="0"/>
            <w:vAlign w:val="top"/>
          </w:tcPr>
          <w:p w14:paraId="130DD625">
            <w:pPr>
              <w:pStyle w:val="73"/>
              <w:spacing w:line="360" w:lineRule="auto"/>
              <w:rPr>
                <w:rFonts w:hint="eastAsia" w:ascii="仿宋_GB2312" w:hAnsi="仿宋_GB2312" w:eastAsia="仿宋_GB2312" w:cs="仿宋_GB2312"/>
                <w:color w:val="auto"/>
                <w:sz w:val="32"/>
                <w:szCs w:val="32"/>
              </w:rPr>
            </w:pPr>
          </w:p>
          <w:p w14:paraId="0699E791">
            <w:pPr>
              <w:spacing w:before="78" w:line="360" w:lineRule="auto"/>
              <w:ind w:left="113"/>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1"/>
                <w:sz w:val="32"/>
                <w:szCs w:val="32"/>
              </w:rPr>
              <w:t>其他兄弟单位名称</w:t>
            </w:r>
          </w:p>
        </w:tc>
        <w:tc>
          <w:tcPr>
            <w:tcW w:w="2340" w:type="dxa"/>
            <w:noWrap w:val="0"/>
            <w:vAlign w:val="top"/>
          </w:tcPr>
          <w:p w14:paraId="696A3F43">
            <w:pPr>
              <w:spacing w:before="168" w:line="360" w:lineRule="auto"/>
              <w:ind w:left="118" w:right="115" w:hanging="9"/>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16"/>
                <w:sz w:val="32"/>
                <w:szCs w:val="32"/>
              </w:rPr>
              <w:t>对该单位控股（出</w:t>
            </w:r>
            <w:r>
              <w:rPr>
                <w:rFonts w:hint="eastAsia" w:ascii="仿宋_GB2312" w:hAnsi="仿宋_GB2312" w:eastAsia="仿宋_GB2312" w:cs="仿宋_GB2312"/>
                <w:color w:val="auto"/>
                <w:spacing w:val="6"/>
                <w:sz w:val="32"/>
                <w:szCs w:val="32"/>
              </w:rPr>
              <w:t xml:space="preserve"> </w:t>
            </w:r>
            <w:r>
              <w:rPr>
                <w:rFonts w:hint="eastAsia" w:ascii="仿宋_GB2312" w:hAnsi="仿宋_GB2312" w:eastAsia="仿宋_GB2312" w:cs="仿宋_GB2312"/>
                <w:color w:val="auto"/>
                <w:spacing w:val="-3"/>
                <w:sz w:val="32"/>
                <w:szCs w:val="32"/>
              </w:rPr>
              <w:t>资）比例(%)</w:t>
            </w:r>
          </w:p>
        </w:tc>
        <w:tc>
          <w:tcPr>
            <w:tcW w:w="1455" w:type="dxa"/>
            <w:noWrap w:val="0"/>
            <w:vAlign w:val="center"/>
          </w:tcPr>
          <w:p w14:paraId="3A322BFD">
            <w:pPr>
              <w:spacing w:before="78" w:line="360" w:lineRule="auto"/>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2"/>
                <w:sz w:val="32"/>
                <w:szCs w:val="32"/>
              </w:rPr>
              <w:t>单位负责人</w:t>
            </w:r>
          </w:p>
        </w:tc>
        <w:tc>
          <w:tcPr>
            <w:tcW w:w="1920" w:type="dxa"/>
            <w:noWrap w:val="0"/>
            <w:vAlign w:val="center"/>
          </w:tcPr>
          <w:p w14:paraId="48984D73">
            <w:pPr>
              <w:spacing w:before="78" w:line="360" w:lineRule="auto"/>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2"/>
                <w:sz w:val="32"/>
                <w:szCs w:val="32"/>
              </w:rPr>
              <w:t>联系人及电话</w:t>
            </w:r>
          </w:p>
        </w:tc>
        <w:tc>
          <w:tcPr>
            <w:tcW w:w="1929" w:type="dxa"/>
            <w:noWrap w:val="0"/>
            <w:vAlign w:val="center"/>
          </w:tcPr>
          <w:p w14:paraId="2B74E88F">
            <w:pPr>
              <w:spacing w:before="78" w:line="360" w:lineRule="auto"/>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2"/>
                <w:sz w:val="32"/>
                <w:szCs w:val="32"/>
              </w:rPr>
              <w:t>单位地址</w:t>
            </w:r>
          </w:p>
        </w:tc>
      </w:tr>
      <w:tr w14:paraId="18DE6C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2" w:hRule="atLeast"/>
          <w:jc w:val="center"/>
        </w:trPr>
        <w:tc>
          <w:tcPr>
            <w:tcW w:w="2709" w:type="dxa"/>
            <w:noWrap w:val="0"/>
            <w:vAlign w:val="top"/>
          </w:tcPr>
          <w:p w14:paraId="6E6BA933">
            <w:pPr>
              <w:pStyle w:val="73"/>
              <w:spacing w:line="360" w:lineRule="auto"/>
              <w:rPr>
                <w:rFonts w:hint="eastAsia" w:ascii="仿宋_GB2312" w:hAnsi="仿宋_GB2312" w:eastAsia="仿宋_GB2312" w:cs="仿宋_GB2312"/>
                <w:color w:val="auto"/>
                <w:sz w:val="32"/>
                <w:szCs w:val="32"/>
              </w:rPr>
            </w:pPr>
          </w:p>
        </w:tc>
        <w:tc>
          <w:tcPr>
            <w:tcW w:w="2340" w:type="dxa"/>
            <w:noWrap w:val="0"/>
            <w:vAlign w:val="top"/>
          </w:tcPr>
          <w:p w14:paraId="61F77ABF">
            <w:pPr>
              <w:pStyle w:val="73"/>
              <w:spacing w:line="360" w:lineRule="auto"/>
              <w:rPr>
                <w:rFonts w:hint="eastAsia" w:ascii="仿宋_GB2312" w:hAnsi="仿宋_GB2312" w:eastAsia="仿宋_GB2312" w:cs="仿宋_GB2312"/>
                <w:color w:val="auto"/>
                <w:sz w:val="32"/>
                <w:szCs w:val="32"/>
              </w:rPr>
            </w:pPr>
          </w:p>
        </w:tc>
        <w:tc>
          <w:tcPr>
            <w:tcW w:w="1455" w:type="dxa"/>
            <w:noWrap w:val="0"/>
            <w:vAlign w:val="top"/>
          </w:tcPr>
          <w:p w14:paraId="4FA5D851">
            <w:pPr>
              <w:pStyle w:val="73"/>
              <w:spacing w:line="360" w:lineRule="auto"/>
              <w:rPr>
                <w:rFonts w:hint="eastAsia" w:ascii="仿宋_GB2312" w:hAnsi="仿宋_GB2312" w:eastAsia="仿宋_GB2312" w:cs="仿宋_GB2312"/>
                <w:color w:val="auto"/>
                <w:sz w:val="32"/>
                <w:szCs w:val="32"/>
              </w:rPr>
            </w:pPr>
          </w:p>
        </w:tc>
        <w:tc>
          <w:tcPr>
            <w:tcW w:w="1920" w:type="dxa"/>
            <w:noWrap w:val="0"/>
            <w:vAlign w:val="top"/>
          </w:tcPr>
          <w:p w14:paraId="03D27B1F">
            <w:pPr>
              <w:pStyle w:val="73"/>
              <w:spacing w:line="360" w:lineRule="auto"/>
              <w:rPr>
                <w:rFonts w:hint="eastAsia" w:ascii="仿宋_GB2312" w:hAnsi="仿宋_GB2312" w:eastAsia="仿宋_GB2312" w:cs="仿宋_GB2312"/>
                <w:color w:val="auto"/>
                <w:sz w:val="32"/>
                <w:szCs w:val="32"/>
              </w:rPr>
            </w:pPr>
          </w:p>
        </w:tc>
        <w:tc>
          <w:tcPr>
            <w:tcW w:w="1929" w:type="dxa"/>
            <w:noWrap w:val="0"/>
            <w:vAlign w:val="top"/>
          </w:tcPr>
          <w:p w14:paraId="4E5B5FAE">
            <w:pPr>
              <w:pStyle w:val="73"/>
              <w:spacing w:line="360" w:lineRule="auto"/>
              <w:rPr>
                <w:rFonts w:hint="eastAsia" w:ascii="仿宋_GB2312" w:hAnsi="仿宋_GB2312" w:eastAsia="仿宋_GB2312" w:cs="仿宋_GB2312"/>
                <w:color w:val="auto"/>
                <w:sz w:val="32"/>
                <w:szCs w:val="32"/>
              </w:rPr>
            </w:pPr>
          </w:p>
        </w:tc>
      </w:tr>
      <w:tr w14:paraId="4CE277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7" w:hRule="atLeast"/>
          <w:jc w:val="center"/>
        </w:trPr>
        <w:tc>
          <w:tcPr>
            <w:tcW w:w="2709" w:type="dxa"/>
            <w:noWrap w:val="0"/>
            <w:vAlign w:val="top"/>
          </w:tcPr>
          <w:p w14:paraId="07C289E6">
            <w:pPr>
              <w:spacing w:before="160" w:line="360" w:lineRule="auto"/>
              <w:ind w:left="12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p>
        </w:tc>
        <w:tc>
          <w:tcPr>
            <w:tcW w:w="2340" w:type="dxa"/>
            <w:noWrap w:val="0"/>
            <w:vAlign w:val="top"/>
          </w:tcPr>
          <w:p w14:paraId="474A53B2">
            <w:pPr>
              <w:pStyle w:val="73"/>
              <w:spacing w:line="360" w:lineRule="auto"/>
              <w:rPr>
                <w:rFonts w:hint="eastAsia" w:ascii="仿宋_GB2312" w:hAnsi="仿宋_GB2312" w:eastAsia="仿宋_GB2312" w:cs="仿宋_GB2312"/>
                <w:color w:val="auto"/>
                <w:sz w:val="32"/>
                <w:szCs w:val="32"/>
              </w:rPr>
            </w:pPr>
          </w:p>
        </w:tc>
        <w:tc>
          <w:tcPr>
            <w:tcW w:w="1455" w:type="dxa"/>
            <w:noWrap w:val="0"/>
            <w:vAlign w:val="top"/>
          </w:tcPr>
          <w:p w14:paraId="62CDBBD1">
            <w:pPr>
              <w:pStyle w:val="73"/>
              <w:spacing w:line="360" w:lineRule="auto"/>
              <w:rPr>
                <w:rFonts w:hint="eastAsia" w:ascii="仿宋_GB2312" w:hAnsi="仿宋_GB2312" w:eastAsia="仿宋_GB2312" w:cs="仿宋_GB2312"/>
                <w:color w:val="auto"/>
                <w:sz w:val="32"/>
                <w:szCs w:val="32"/>
              </w:rPr>
            </w:pPr>
          </w:p>
        </w:tc>
        <w:tc>
          <w:tcPr>
            <w:tcW w:w="1920" w:type="dxa"/>
            <w:noWrap w:val="0"/>
            <w:vAlign w:val="top"/>
          </w:tcPr>
          <w:p w14:paraId="4B99D8F5">
            <w:pPr>
              <w:pStyle w:val="73"/>
              <w:spacing w:line="360" w:lineRule="auto"/>
              <w:rPr>
                <w:rFonts w:hint="eastAsia" w:ascii="仿宋_GB2312" w:hAnsi="仿宋_GB2312" w:eastAsia="仿宋_GB2312" w:cs="仿宋_GB2312"/>
                <w:color w:val="auto"/>
                <w:sz w:val="32"/>
                <w:szCs w:val="32"/>
              </w:rPr>
            </w:pPr>
          </w:p>
        </w:tc>
        <w:tc>
          <w:tcPr>
            <w:tcW w:w="1929" w:type="dxa"/>
            <w:noWrap w:val="0"/>
            <w:vAlign w:val="top"/>
          </w:tcPr>
          <w:p w14:paraId="3C505383">
            <w:pPr>
              <w:pStyle w:val="73"/>
              <w:spacing w:line="360" w:lineRule="auto"/>
              <w:rPr>
                <w:rFonts w:hint="eastAsia" w:ascii="仿宋_GB2312" w:hAnsi="仿宋_GB2312" w:eastAsia="仿宋_GB2312" w:cs="仿宋_GB2312"/>
                <w:color w:val="auto"/>
                <w:sz w:val="32"/>
                <w:szCs w:val="32"/>
              </w:rPr>
            </w:pPr>
          </w:p>
        </w:tc>
      </w:tr>
    </w:tbl>
    <w:p w14:paraId="655F86C9">
      <w:pPr>
        <w:spacing w:line="360" w:lineRule="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我公司承诺：如未提供或未如实填写直接上级控股/管理单位和直接下级控 股/管理单位情况，将被作为废标处理。说明：若无关联企业，则在上述表格中填写“无”</w:t>
      </w:r>
    </w:p>
    <w:p w14:paraId="0DB95038">
      <w:pPr>
        <w:pStyle w:val="4"/>
        <w:rPr>
          <w:rFonts w:hint="eastAsia" w:ascii="仿宋_GB2312" w:hAnsi="仿宋_GB2312" w:eastAsia="仿宋_GB2312" w:cs="仿宋_GB2312"/>
          <w:bCs/>
          <w:color w:val="auto"/>
          <w:sz w:val="32"/>
          <w:szCs w:val="32"/>
        </w:rPr>
      </w:pPr>
    </w:p>
    <w:p w14:paraId="431F9DDC">
      <w:pPr>
        <w:rPr>
          <w:rFonts w:hint="eastAsia" w:ascii="仿宋_GB2312" w:hAnsi="仿宋_GB2312" w:eastAsia="仿宋_GB2312" w:cs="仿宋_GB2312"/>
          <w:b/>
          <w:bCs/>
          <w:color w:val="auto"/>
          <w:sz w:val="32"/>
          <w:szCs w:val="32"/>
        </w:rPr>
      </w:pPr>
    </w:p>
    <w:p w14:paraId="1E66931E">
      <w:pPr>
        <w:pStyle w:val="4"/>
        <w:rPr>
          <w:rFonts w:hint="eastAsia"/>
          <w:color w:val="auto"/>
        </w:rPr>
      </w:pPr>
    </w:p>
    <w:p w14:paraId="62ECCD1D">
      <w:pPr>
        <w:spacing w:line="360" w:lineRule="auto"/>
        <w:ind w:right="561"/>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投标人名称（加盖公章）：</w:t>
      </w:r>
    </w:p>
    <w:p w14:paraId="06D569E8">
      <w:pPr>
        <w:spacing w:line="360" w:lineRule="auto"/>
        <w:ind w:right="561"/>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投标人法定代表人或受委托人（签名或盖私章）：</w:t>
      </w:r>
    </w:p>
    <w:p w14:paraId="511EF175">
      <w:pPr>
        <w:spacing w:line="360" w:lineRule="auto"/>
        <w:ind w:right="561"/>
        <w:rPr>
          <w:rFonts w:hint="eastAsia" w:ascii="仿宋_GB2312" w:hAnsi="仿宋_GB2312" w:eastAsia="仿宋_GB2312" w:cs="仿宋_GB2312"/>
          <w:color w:val="auto"/>
          <w:spacing w:val="4"/>
          <w:sz w:val="32"/>
          <w:szCs w:val="32"/>
        </w:rPr>
      </w:pPr>
      <w:r>
        <w:rPr>
          <w:rFonts w:hint="eastAsia" w:ascii="仿宋_GB2312" w:hAnsi="仿宋_GB2312" w:eastAsia="仿宋_GB2312" w:cs="仿宋_GB2312"/>
          <w:color w:val="auto"/>
          <w:sz w:val="32"/>
          <w:szCs w:val="32"/>
        </w:rPr>
        <w:t>日      期：</w:t>
      </w:r>
    </w:p>
    <w:p w14:paraId="279BAA5A">
      <w:pPr>
        <w:spacing w:before="75" w:line="360" w:lineRule="auto"/>
        <w:jc w:val="center"/>
        <w:outlineLvl w:val="1"/>
        <w:rPr>
          <w:rFonts w:hint="eastAsia" w:ascii="仿宋_GB2312" w:hAnsi="仿宋_GB2312" w:eastAsia="仿宋_GB2312" w:cs="仿宋_GB2312"/>
          <w:color w:val="auto"/>
          <w:spacing w:val="4"/>
          <w:sz w:val="32"/>
          <w:szCs w:val="32"/>
        </w:rPr>
      </w:pPr>
    </w:p>
    <w:p w14:paraId="045E54F2">
      <w:pPr>
        <w:spacing w:before="75" w:line="360" w:lineRule="auto"/>
        <w:jc w:val="center"/>
        <w:outlineLvl w:val="1"/>
        <w:rPr>
          <w:rFonts w:hint="eastAsia" w:ascii="仿宋_GB2312" w:hAnsi="仿宋_GB2312" w:eastAsia="仿宋_GB2312" w:cs="仿宋_GB2312"/>
          <w:color w:val="auto"/>
          <w:spacing w:val="4"/>
          <w:sz w:val="32"/>
          <w:szCs w:val="32"/>
        </w:rPr>
      </w:pPr>
    </w:p>
    <w:p w14:paraId="71FD8321">
      <w:pPr>
        <w:numPr>
          <w:ilvl w:val="0"/>
          <w:numId w:val="55"/>
        </w:numPr>
        <w:spacing w:before="75" w:line="360" w:lineRule="auto"/>
        <w:jc w:val="center"/>
        <w:outlineLvl w:val="1"/>
        <w:rPr>
          <w:rFonts w:hint="eastAsia" w:ascii="仿宋_GB2312" w:hAnsi="仿宋_GB2312" w:eastAsia="仿宋_GB2312" w:cs="仿宋_GB2312"/>
          <w:color w:val="auto"/>
          <w:spacing w:val="4"/>
          <w:sz w:val="32"/>
          <w:szCs w:val="32"/>
        </w:rPr>
      </w:pPr>
      <w:r>
        <w:rPr>
          <w:rFonts w:hint="eastAsia" w:ascii="仿宋_GB2312" w:hAnsi="仿宋_GB2312" w:eastAsia="仿宋_GB2312" w:cs="仿宋_GB2312"/>
          <w:color w:val="auto"/>
          <w:spacing w:val="4"/>
          <w:sz w:val="32"/>
          <w:szCs w:val="32"/>
        </w:rPr>
        <w:t>不参与围标串标承诺书</w:t>
      </w:r>
    </w:p>
    <w:p w14:paraId="177A25EF">
      <w:pPr>
        <w:spacing w:before="75" w:line="360" w:lineRule="auto"/>
        <w:outlineLvl w:val="1"/>
        <w:rPr>
          <w:rFonts w:hint="eastAsia" w:ascii="仿宋_GB2312" w:hAnsi="仿宋_GB2312" w:eastAsia="仿宋_GB2312" w:cs="仿宋_GB2312"/>
          <w:color w:val="auto"/>
          <w:spacing w:val="4"/>
          <w:sz w:val="32"/>
          <w:szCs w:val="32"/>
        </w:rPr>
      </w:pPr>
    </w:p>
    <w:p w14:paraId="29DD1239">
      <w:pPr>
        <w:spacing w:line="360"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本人作为经授权的投标人代表,清楚知晓我单位本项目投标活动,对以下事项作出承诺：</w:t>
      </w:r>
    </w:p>
    <w:p w14:paraId="294341C8">
      <w:pPr>
        <w:spacing w:line="360" w:lineRule="auto"/>
        <w:ind w:firstLine="640" w:firstLineChars="200"/>
        <w:rPr>
          <w:rFonts w:hint="eastAsia" w:ascii="仿宋_GB2312" w:hAnsi="仿宋_GB2312" w:eastAsia="仿宋_GB2312" w:cs="仿宋_GB2312"/>
          <w:color w:val="auto"/>
          <w:sz w:val="32"/>
          <w:szCs w:val="32"/>
        </w:rPr>
      </w:pPr>
    </w:p>
    <w:p w14:paraId="68383863">
      <w:pPr>
        <w:spacing w:line="360"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一、我单位和我本人遵循公开透明、公平竞争、公正和诚实信用的原则,依法依规参与本项目竞标。</w:t>
      </w:r>
    </w:p>
    <w:p w14:paraId="130B58F7">
      <w:pPr>
        <w:spacing w:line="360"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二、我单位和我本人在本项目政府采购投标活动中,未参与围标串标。</w:t>
      </w:r>
    </w:p>
    <w:p w14:paraId="5582FB66">
      <w:pPr>
        <w:spacing w:line="360"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三、我单位如被查实在本项目政府采购投标活动中存在围标串标的，递交投标文件行为作为实施串通投标违法行为的关键环节,由我单位及法定代表人承担相应的法律责任，接受相应行政处罚和失信惩戒。</w:t>
      </w:r>
    </w:p>
    <w:p w14:paraId="75699DB3">
      <w:pPr>
        <w:spacing w:line="360" w:lineRule="auto"/>
        <w:ind w:firstLine="640" w:firstLineChars="200"/>
        <w:rPr>
          <w:rFonts w:hint="eastAsia" w:ascii="仿宋_GB2312" w:hAnsi="仿宋_GB2312" w:eastAsia="仿宋_GB2312" w:cs="仿宋_GB2312"/>
          <w:color w:val="auto"/>
          <w:sz w:val="32"/>
          <w:szCs w:val="32"/>
        </w:rPr>
      </w:pPr>
    </w:p>
    <w:p w14:paraId="06C975F4">
      <w:pPr>
        <w:spacing w:line="360" w:lineRule="auto"/>
        <w:ind w:firstLine="640" w:firstLineChars="200"/>
        <w:rPr>
          <w:rFonts w:hint="eastAsia" w:ascii="仿宋_GB2312" w:hAnsi="仿宋_GB2312" w:eastAsia="仿宋_GB2312" w:cs="仿宋_GB2312"/>
          <w:color w:val="auto"/>
          <w:sz w:val="32"/>
          <w:szCs w:val="32"/>
        </w:rPr>
      </w:pPr>
    </w:p>
    <w:p w14:paraId="491D9E63">
      <w:pPr>
        <w:spacing w:line="360"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投标人名称（公章</w:t>
      </w:r>
      <w:r>
        <w:rPr>
          <w:rFonts w:hint="eastAsia" w:ascii="仿宋_GB2312" w:hAnsi="仿宋_GB2312" w:eastAsia="仿宋_GB2312" w:cs="仿宋_GB2312"/>
          <w:color w:val="auto"/>
          <w:sz w:val="32"/>
          <w:szCs w:val="32"/>
          <w:lang w:val="zh-CN"/>
        </w:rPr>
        <w:t>)</w:t>
      </w:r>
      <w:r>
        <w:rPr>
          <w:rFonts w:hint="eastAsia" w:ascii="仿宋_GB2312" w:hAnsi="仿宋_GB2312" w:eastAsia="仿宋_GB2312" w:cs="仿宋_GB2312"/>
          <w:color w:val="auto"/>
          <w:sz w:val="32"/>
          <w:szCs w:val="32"/>
        </w:rPr>
        <w:t>：</w:t>
      </w:r>
    </w:p>
    <w:p w14:paraId="67AEA433">
      <w:pPr>
        <w:spacing w:line="360"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法定代表人、负责人、本人、或授权代表（签字或盖章）：</w:t>
      </w:r>
    </w:p>
    <w:p w14:paraId="5F751F34">
      <w:pPr>
        <w:spacing w:line="360"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日期： 年 月 日</w:t>
      </w:r>
    </w:p>
    <w:p w14:paraId="1B8DD7B7">
      <w:pPr>
        <w:pStyle w:val="26"/>
        <w:ind w:left="0" w:leftChars="0" w:firstLine="0" w:firstLineChars="0"/>
        <w:rPr>
          <w:rFonts w:hint="eastAsia" w:ascii="仿宋_GB2312" w:hAnsi="仿宋_GB2312" w:eastAsia="仿宋_GB2312" w:cs="仿宋_GB2312"/>
          <w:color w:val="auto"/>
          <w:sz w:val="32"/>
          <w:szCs w:val="32"/>
        </w:rPr>
      </w:pPr>
    </w:p>
    <w:p w14:paraId="1CB8BE95">
      <w:pPr>
        <w:pStyle w:val="26"/>
        <w:ind w:left="0" w:leftChars="0" w:firstLine="0" w:firstLineChars="0"/>
        <w:rPr>
          <w:rFonts w:hint="eastAsia" w:ascii="仿宋_GB2312" w:hAnsi="仿宋_GB2312" w:eastAsia="仿宋_GB2312" w:cs="仿宋_GB2312"/>
          <w:color w:val="auto"/>
          <w:sz w:val="32"/>
          <w:szCs w:val="32"/>
        </w:rPr>
      </w:pPr>
    </w:p>
    <w:p w14:paraId="0DB620EB">
      <w:pPr>
        <w:pStyle w:val="26"/>
        <w:ind w:left="0" w:leftChars="0" w:firstLine="0" w:firstLineChars="0"/>
        <w:rPr>
          <w:rFonts w:hint="eastAsia" w:ascii="仿宋_GB2312" w:hAnsi="仿宋_GB2312" w:eastAsia="仿宋_GB2312" w:cs="仿宋_GB2312"/>
          <w:color w:val="auto"/>
          <w:sz w:val="32"/>
          <w:szCs w:val="32"/>
        </w:rPr>
      </w:pPr>
    </w:p>
    <w:p w14:paraId="268CE0A0">
      <w:pPr>
        <w:pStyle w:val="3"/>
        <w:spacing w:line="360" w:lineRule="auto"/>
        <w:jc w:val="center"/>
        <w:rPr>
          <w:rStyle w:val="53"/>
          <w:rFonts w:hint="eastAsia" w:ascii="仿宋_GB2312" w:hAnsi="仿宋_GB2312" w:eastAsia="仿宋_GB2312" w:cs="仿宋_GB2312"/>
          <w:b/>
          <w:bCs w:val="0"/>
          <w:color w:val="auto"/>
        </w:rPr>
      </w:pPr>
      <w:r>
        <w:rPr>
          <w:rStyle w:val="53"/>
          <w:rFonts w:hint="eastAsia" w:ascii="仿宋_GB2312" w:hAnsi="仿宋_GB2312" w:eastAsia="仿宋_GB2312" w:cs="仿宋_GB2312"/>
          <w:b/>
          <w:bCs w:val="0"/>
          <w:color w:val="auto"/>
        </w:rPr>
        <w:t>16、投标人认为需要提供的其他材料说明</w:t>
      </w:r>
      <w:bookmarkEnd w:id="324"/>
    </w:p>
    <w:p w14:paraId="391BC7D4">
      <w:pPr>
        <w:pStyle w:val="16"/>
        <w:spacing w:line="360" w:lineRule="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br w:type="page"/>
      </w:r>
    </w:p>
    <w:p w14:paraId="18405D26">
      <w:pPr>
        <w:spacing w:line="360" w:lineRule="auto"/>
        <w:jc w:val="center"/>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 xml:space="preserve">附件1、在经营活动中没有重大违法记录的书面声明 </w:t>
      </w:r>
    </w:p>
    <w:p w14:paraId="55768006">
      <w:pPr>
        <w:pStyle w:val="65"/>
        <w:spacing w:line="360" w:lineRule="auto"/>
        <w:ind w:firstLine="659"/>
        <w:rPr>
          <w:rFonts w:hint="eastAsia" w:hAnsi="仿宋_GB2312" w:cs="仿宋_GB2312"/>
          <w:color w:val="auto"/>
          <w:sz w:val="32"/>
          <w:szCs w:val="32"/>
        </w:rPr>
      </w:pPr>
    </w:p>
    <w:p w14:paraId="0CD17E49">
      <w:pPr>
        <w:spacing w:line="360" w:lineRule="auto"/>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新疆金斌工程项目管理有限公司:</w:t>
      </w:r>
    </w:p>
    <w:p w14:paraId="450C6738">
      <w:pPr>
        <w:spacing w:line="360"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我方参加</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项目（项目编号：　      　　　）的政府采购活动，并声明：</w:t>
      </w:r>
    </w:p>
    <w:p w14:paraId="0E770DC7">
      <w:pPr>
        <w:spacing w:line="360"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我方参加本采购项目政府采购前3年内在经营活动中没有因违法经营受到刑事处罚或者责令停产停业、吊销许可证或者执照、较大数额罚款等行政处罚。</w:t>
      </w:r>
    </w:p>
    <w:p w14:paraId="389957A7">
      <w:pPr>
        <w:spacing w:line="360"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特此声明！</w:t>
      </w:r>
    </w:p>
    <w:p w14:paraId="6CF27FFA">
      <w:pPr>
        <w:pStyle w:val="65"/>
        <w:spacing w:line="360" w:lineRule="auto"/>
        <w:ind w:firstLine="659"/>
        <w:rPr>
          <w:rFonts w:hint="eastAsia" w:hAnsi="仿宋_GB2312" w:cs="仿宋_GB2312"/>
          <w:color w:val="auto"/>
          <w:sz w:val="32"/>
          <w:szCs w:val="32"/>
        </w:rPr>
      </w:pPr>
    </w:p>
    <w:p w14:paraId="5BB43ADF">
      <w:pPr>
        <w:pStyle w:val="65"/>
        <w:spacing w:line="360" w:lineRule="auto"/>
        <w:ind w:firstLine="659"/>
        <w:rPr>
          <w:rFonts w:hint="eastAsia" w:hAnsi="仿宋_GB2312" w:cs="仿宋_GB2312"/>
          <w:color w:val="auto"/>
          <w:sz w:val="32"/>
          <w:szCs w:val="32"/>
        </w:rPr>
      </w:pPr>
    </w:p>
    <w:p w14:paraId="2E27EA42">
      <w:pPr>
        <w:pStyle w:val="65"/>
        <w:spacing w:line="360" w:lineRule="auto"/>
        <w:ind w:firstLine="659"/>
        <w:rPr>
          <w:rFonts w:hint="eastAsia" w:hAnsi="仿宋_GB2312" w:cs="仿宋_GB2312"/>
          <w:color w:val="auto"/>
          <w:sz w:val="32"/>
          <w:szCs w:val="32"/>
        </w:rPr>
      </w:pPr>
    </w:p>
    <w:p w14:paraId="0DE326BC">
      <w:pPr>
        <w:pStyle w:val="65"/>
        <w:spacing w:line="360" w:lineRule="auto"/>
        <w:ind w:firstLine="0" w:firstLineChars="0"/>
        <w:rPr>
          <w:rFonts w:hint="eastAsia" w:hAnsi="仿宋_GB2312" w:cs="仿宋_GB2312"/>
          <w:color w:val="auto"/>
          <w:sz w:val="32"/>
          <w:szCs w:val="32"/>
        </w:rPr>
      </w:pPr>
      <w:r>
        <w:rPr>
          <w:rFonts w:hint="eastAsia" w:hAnsi="仿宋_GB2312" w:cs="仿宋_GB2312"/>
          <w:color w:val="auto"/>
          <w:sz w:val="32"/>
          <w:szCs w:val="32"/>
          <w:lang w:eastAsia="zh-CN"/>
        </w:rPr>
        <w:t>投标人</w:t>
      </w:r>
      <w:r>
        <w:rPr>
          <w:rFonts w:hint="eastAsia" w:hAnsi="仿宋_GB2312" w:cs="仿宋_GB2312"/>
          <w:color w:val="auto"/>
          <w:sz w:val="32"/>
          <w:szCs w:val="32"/>
        </w:rPr>
        <w:t>名称（加盖公章）：</w:t>
      </w:r>
    </w:p>
    <w:p w14:paraId="1A02AAA2">
      <w:pPr>
        <w:pStyle w:val="65"/>
        <w:spacing w:line="360" w:lineRule="auto"/>
        <w:ind w:firstLine="0" w:firstLineChars="0"/>
        <w:rPr>
          <w:rFonts w:hint="eastAsia" w:hAnsi="仿宋_GB2312" w:cs="仿宋_GB2312"/>
          <w:color w:val="auto"/>
          <w:sz w:val="32"/>
          <w:szCs w:val="32"/>
        </w:rPr>
      </w:pPr>
      <w:r>
        <w:rPr>
          <w:rFonts w:hint="eastAsia" w:hAnsi="仿宋_GB2312" w:cs="仿宋_GB2312"/>
          <w:color w:val="auto"/>
          <w:sz w:val="32"/>
          <w:szCs w:val="32"/>
          <w:lang w:eastAsia="zh-CN"/>
        </w:rPr>
        <w:t>投标人</w:t>
      </w:r>
      <w:r>
        <w:rPr>
          <w:rFonts w:hint="eastAsia" w:hAnsi="仿宋_GB2312" w:cs="仿宋_GB2312"/>
          <w:color w:val="auto"/>
          <w:sz w:val="32"/>
          <w:szCs w:val="32"/>
        </w:rPr>
        <w:t>法定代表人或受委托人（签名或盖私章）：</w:t>
      </w:r>
    </w:p>
    <w:p w14:paraId="10600454">
      <w:pPr>
        <w:pStyle w:val="65"/>
        <w:spacing w:line="360" w:lineRule="auto"/>
        <w:ind w:firstLine="0" w:firstLineChars="0"/>
        <w:rPr>
          <w:rFonts w:hint="eastAsia" w:hAnsi="仿宋_GB2312" w:cs="仿宋_GB2312"/>
          <w:color w:val="auto"/>
          <w:sz w:val="32"/>
          <w:szCs w:val="32"/>
        </w:rPr>
      </w:pPr>
      <w:r>
        <w:rPr>
          <w:rFonts w:hint="eastAsia" w:hAnsi="仿宋_GB2312" w:cs="仿宋_GB2312"/>
          <w:color w:val="auto"/>
          <w:sz w:val="32"/>
          <w:szCs w:val="32"/>
        </w:rPr>
        <w:t>日      期：</w:t>
      </w:r>
    </w:p>
    <w:p w14:paraId="1E835921">
      <w:pPr>
        <w:pStyle w:val="16"/>
        <w:spacing w:line="360" w:lineRule="auto"/>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br w:type="page"/>
      </w:r>
      <w:r>
        <w:rPr>
          <w:rFonts w:hint="eastAsia" w:ascii="仿宋_GB2312" w:hAnsi="仿宋_GB2312" w:eastAsia="仿宋_GB2312" w:cs="仿宋_GB2312"/>
          <w:b/>
          <w:color w:val="auto"/>
          <w:sz w:val="32"/>
          <w:szCs w:val="32"/>
        </w:rPr>
        <w:t>附件2、中小企业声明函（货物）（如有）</w:t>
      </w:r>
    </w:p>
    <w:p w14:paraId="2F26F11B">
      <w:pPr>
        <w:snapToGrid w:val="0"/>
        <w:spacing w:line="360" w:lineRule="auto"/>
        <w:jc w:val="center"/>
        <w:textAlignment w:val="baseline"/>
        <w:rPr>
          <w:rFonts w:hint="eastAsia"/>
          <w:color w:val="auto"/>
          <w:sz w:val="32"/>
          <w:szCs w:val="32"/>
        </w:rPr>
      </w:pPr>
      <w:r>
        <w:rPr>
          <w:rStyle w:val="50"/>
          <w:rFonts w:hint="eastAsia" w:ascii="仿宋_GB2312" w:hAnsi="仿宋_GB2312" w:eastAsia="仿宋_GB2312" w:cs="仿宋_GB2312"/>
          <w:color w:val="auto"/>
          <w:sz w:val="32"/>
          <w:szCs w:val="32"/>
        </w:rPr>
        <w:t>（若有请如实填写，如不是无需附此函）</w:t>
      </w:r>
    </w:p>
    <w:p w14:paraId="46D08814">
      <w:pPr>
        <w:spacing w:line="360" w:lineRule="auto"/>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 xml:space="preserve">本公司郑重声明，根据《政府采购促进中小企业发展管理办法》（财库〔2020〕46 号）的规定，本公司（联合体）参加 </w:t>
      </w:r>
      <w:r>
        <w:rPr>
          <w:rFonts w:hint="eastAsia" w:ascii="仿宋" w:hAnsi="仿宋" w:eastAsia="仿宋" w:cs="仿宋"/>
          <w:color w:val="auto"/>
          <w:sz w:val="32"/>
          <w:szCs w:val="32"/>
          <w:u w:val="single"/>
        </w:rPr>
        <w:t xml:space="preserve">（单位名称） </w:t>
      </w:r>
      <w:r>
        <w:rPr>
          <w:rFonts w:hint="eastAsia" w:ascii="仿宋" w:hAnsi="仿宋" w:eastAsia="仿宋" w:cs="仿宋"/>
          <w:color w:val="auto"/>
          <w:sz w:val="32"/>
          <w:szCs w:val="32"/>
        </w:rPr>
        <w:t xml:space="preserve">的 </w:t>
      </w:r>
      <w:r>
        <w:rPr>
          <w:rFonts w:hint="eastAsia" w:ascii="仿宋" w:hAnsi="仿宋" w:eastAsia="仿宋" w:cs="仿宋"/>
          <w:color w:val="auto"/>
          <w:sz w:val="32"/>
          <w:szCs w:val="32"/>
          <w:u w:val="single"/>
        </w:rPr>
        <w:t xml:space="preserve">（项目名称） </w:t>
      </w:r>
      <w:r>
        <w:rPr>
          <w:rFonts w:hint="eastAsia" w:ascii="仿宋" w:hAnsi="仿宋" w:eastAsia="仿宋" w:cs="仿宋"/>
          <w:color w:val="auto"/>
          <w:sz w:val="32"/>
          <w:szCs w:val="32"/>
        </w:rPr>
        <w:t>采购活动，提供的货物全部由符合政策要求的中小企业制造。相关企业（含联合体中的中小企业、签订分包意向协议的中小企业）的具体情况如下：</w:t>
      </w:r>
    </w:p>
    <w:p w14:paraId="7D44D6C7">
      <w:pPr>
        <w:spacing w:line="360" w:lineRule="auto"/>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　　</w:t>
      </w:r>
      <w:bookmarkStart w:id="325" w:name="_Toc413748654"/>
      <w:bookmarkStart w:id="326" w:name="_Toc417911732"/>
      <w:bookmarkStart w:id="327" w:name="_Toc387147344"/>
      <w:bookmarkStart w:id="328" w:name="_Toc419811733"/>
      <w:bookmarkStart w:id="329" w:name="_Toc387658050"/>
      <w:r>
        <w:rPr>
          <w:rFonts w:hint="eastAsia" w:ascii="仿宋" w:hAnsi="仿宋" w:eastAsia="仿宋" w:cs="仿宋"/>
          <w:color w:val="auto"/>
          <w:sz w:val="32"/>
          <w:szCs w:val="32"/>
        </w:rPr>
        <w:t xml:space="preserve">1. </w:t>
      </w:r>
      <w:r>
        <w:rPr>
          <w:rFonts w:hint="eastAsia" w:ascii="仿宋" w:hAnsi="仿宋" w:eastAsia="仿宋" w:cs="仿宋"/>
          <w:color w:val="auto"/>
          <w:sz w:val="32"/>
          <w:szCs w:val="32"/>
          <w:u w:val="single"/>
        </w:rPr>
        <w:t xml:space="preserve">（标的名称） </w:t>
      </w:r>
      <w:r>
        <w:rPr>
          <w:rFonts w:hint="eastAsia" w:ascii="仿宋" w:hAnsi="仿宋" w:eastAsia="仿宋" w:cs="仿宋"/>
          <w:color w:val="auto"/>
          <w:sz w:val="32"/>
          <w:szCs w:val="32"/>
        </w:rPr>
        <w:t>，属于</w:t>
      </w:r>
      <w:r>
        <w:rPr>
          <w:rFonts w:hint="eastAsia" w:ascii="仿宋" w:hAnsi="仿宋" w:eastAsia="仿宋" w:cs="仿宋"/>
          <w:color w:val="auto"/>
          <w:sz w:val="32"/>
          <w:szCs w:val="32"/>
          <w:u w:val="single"/>
        </w:rPr>
        <w:t xml:space="preserve"> （采购文件中明确的所属行业） </w:t>
      </w:r>
      <w:r>
        <w:rPr>
          <w:rFonts w:hint="eastAsia" w:ascii="仿宋" w:hAnsi="仿宋" w:eastAsia="仿宋" w:cs="仿宋"/>
          <w:color w:val="auto"/>
          <w:sz w:val="32"/>
          <w:szCs w:val="32"/>
        </w:rPr>
        <w:t>；制造商为</w:t>
      </w:r>
      <w:r>
        <w:rPr>
          <w:rFonts w:hint="eastAsia" w:ascii="仿宋" w:hAnsi="仿宋" w:eastAsia="仿宋" w:cs="仿宋"/>
          <w:color w:val="auto"/>
          <w:sz w:val="32"/>
          <w:szCs w:val="32"/>
          <w:u w:val="single"/>
        </w:rPr>
        <w:t xml:space="preserve"> （企业名称） </w:t>
      </w:r>
      <w:r>
        <w:rPr>
          <w:rFonts w:hint="eastAsia" w:ascii="仿宋" w:hAnsi="仿宋" w:eastAsia="仿宋" w:cs="仿宋"/>
          <w:color w:val="auto"/>
          <w:sz w:val="32"/>
          <w:szCs w:val="32"/>
        </w:rPr>
        <w:t>，从业人员</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人，营业收入为</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万元，资产总额为</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万元，属于</w:t>
      </w:r>
      <w:r>
        <w:rPr>
          <w:rFonts w:hint="eastAsia" w:ascii="仿宋" w:hAnsi="仿宋" w:eastAsia="仿宋" w:cs="仿宋"/>
          <w:color w:val="auto"/>
          <w:sz w:val="32"/>
          <w:szCs w:val="32"/>
          <w:u w:val="single"/>
        </w:rPr>
        <w:t xml:space="preserve"> （中型企业、小型企业、微型企业） </w:t>
      </w:r>
      <w:r>
        <w:rPr>
          <w:rFonts w:hint="eastAsia" w:ascii="仿宋" w:hAnsi="仿宋" w:eastAsia="仿宋" w:cs="仿宋"/>
          <w:color w:val="auto"/>
          <w:sz w:val="32"/>
          <w:szCs w:val="32"/>
        </w:rPr>
        <w:t>；</w:t>
      </w:r>
    </w:p>
    <w:p w14:paraId="0CC6220D">
      <w:pPr>
        <w:spacing w:line="360" w:lineRule="auto"/>
        <w:ind w:firstLine="800" w:firstLineChars="250"/>
        <w:jc w:val="left"/>
        <w:rPr>
          <w:rFonts w:hint="eastAsia" w:ascii="仿宋" w:hAnsi="仿宋" w:eastAsia="仿宋" w:cs="仿宋"/>
          <w:color w:val="auto"/>
          <w:sz w:val="32"/>
          <w:szCs w:val="32"/>
        </w:rPr>
      </w:pPr>
      <w:r>
        <w:rPr>
          <w:rFonts w:hint="eastAsia" w:ascii="仿宋" w:hAnsi="仿宋" w:eastAsia="仿宋" w:cs="仿宋"/>
          <w:color w:val="auto"/>
          <w:sz w:val="32"/>
          <w:szCs w:val="32"/>
        </w:rPr>
        <w:t>2.</w:t>
      </w:r>
      <w:r>
        <w:rPr>
          <w:rFonts w:hint="eastAsia" w:ascii="仿宋" w:hAnsi="仿宋" w:eastAsia="仿宋" w:cs="仿宋"/>
          <w:color w:val="auto"/>
          <w:sz w:val="32"/>
          <w:szCs w:val="32"/>
          <w:u w:val="single"/>
        </w:rPr>
        <w:t xml:space="preserve"> （标的名称） </w:t>
      </w:r>
      <w:r>
        <w:rPr>
          <w:rFonts w:hint="eastAsia" w:ascii="仿宋" w:hAnsi="仿宋" w:eastAsia="仿宋" w:cs="仿宋"/>
          <w:color w:val="auto"/>
          <w:sz w:val="32"/>
          <w:szCs w:val="32"/>
        </w:rPr>
        <w:t>，属于</w:t>
      </w:r>
      <w:r>
        <w:rPr>
          <w:rFonts w:hint="eastAsia" w:ascii="仿宋" w:hAnsi="仿宋" w:eastAsia="仿宋" w:cs="仿宋"/>
          <w:color w:val="auto"/>
          <w:sz w:val="32"/>
          <w:szCs w:val="32"/>
          <w:u w:val="single"/>
        </w:rPr>
        <w:t xml:space="preserve"> （采购文件中明确的所属行业） </w:t>
      </w:r>
      <w:r>
        <w:rPr>
          <w:rFonts w:hint="eastAsia" w:ascii="仿宋" w:hAnsi="仿宋" w:eastAsia="仿宋" w:cs="仿宋"/>
          <w:color w:val="auto"/>
          <w:sz w:val="32"/>
          <w:szCs w:val="32"/>
        </w:rPr>
        <w:t>；制造商为</w:t>
      </w:r>
      <w:r>
        <w:rPr>
          <w:rFonts w:hint="eastAsia" w:ascii="仿宋" w:hAnsi="仿宋" w:eastAsia="仿宋" w:cs="仿宋"/>
          <w:color w:val="auto"/>
          <w:sz w:val="32"/>
          <w:szCs w:val="32"/>
          <w:u w:val="single"/>
        </w:rPr>
        <w:t xml:space="preserve"> （企业名称） </w:t>
      </w:r>
      <w:r>
        <w:rPr>
          <w:rFonts w:hint="eastAsia" w:ascii="仿宋" w:hAnsi="仿宋" w:eastAsia="仿宋" w:cs="仿宋"/>
          <w:color w:val="auto"/>
          <w:sz w:val="32"/>
          <w:szCs w:val="32"/>
        </w:rPr>
        <w:t>，从业人员</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人，营业收入为</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万元，资产总额为</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万元，属于</w:t>
      </w:r>
      <w:r>
        <w:rPr>
          <w:rFonts w:hint="eastAsia" w:ascii="仿宋" w:hAnsi="仿宋" w:eastAsia="仿宋" w:cs="仿宋"/>
          <w:color w:val="auto"/>
          <w:sz w:val="32"/>
          <w:szCs w:val="32"/>
          <w:u w:val="single"/>
        </w:rPr>
        <w:t xml:space="preserve"> （中型企业、小型企业、微型企业） </w:t>
      </w:r>
      <w:r>
        <w:rPr>
          <w:rFonts w:hint="eastAsia" w:ascii="仿宋" w:hAnsi="仿宋" w:eastAsia="仿宋" w:cs="仿宋"/>
          <w:color w:val="auto"/>
          <w:sz w:val="32"/>
          <w:szCs w:val="32"/>
        </w:rPr>
        <w:t>；</w:t>
      </w:r>
    </w:p>
    <w:p w14:paraId="3880FE47">
      <w:pPr>
        <w:spacing w:line="360" w:lineRule="auto"/>
        <w:ind w:firstLine="800" w:firstLineChars="250"/>
        <w:jc w:val="left"/>
        <w:rPr>
          <w:rFonts w:hint="eastAsia" w:ascii="仿宋" w:hAnsi="仿宋" w:eastAsia="仿宋" w:cs="仿宋"/>
          <w:color w:val="auto"/>
          <w:sz w:val="32"/>
          <w:szCs w:val="32"/>
        </w:rPr>
      </w:pPr>
      <w:r>
        <w:rPr>
          <w:rFonts w:hint="eastAsia" w:ascii="仿宋" w:hAnsi="仿宋" w:eastAsia="仿宋" w:cs="仿宋"/>
          <w:color w:val="auto"/>
          <w:sz w:val="32"/>
          <w:szCs w:val="32"/>
        </w:rPr>
        <w:t>……</w:t>
      </w:r>
    </w:p>
    <w:p w14:paraId="21FA2BB4">
      <w:pPr>
        <w:spacing w:line="360" w:lineRule="auto"/>
        <w:ind w:firstLine="800" w:firstLineChars="250"/>
        <w:jc w:val="left"/>
        <w:rPr>
          <w:rFonts w:hint="eastAsia" w:ascii="仿宋" w:hAnsi="仿宋" w:eastAsia="仿宋" w:cs="仿宋"/>
          <w:color w:val="auto"/>
          <w:sz w:val="32"/>
          <w:szCs w:val="32"/>
        </w:rPr>
      </w:pPr>
      <w:r>
        <w:rPr>
          <w:rFonts w:hint="eastAsia" w:ascii="仿宋" w:hAnsi="仿宋" w:eastAsia="仿宋" w:cs="仿宋"/>
          <w:color w:val="auto"/>
          <w:sz w:val="32"/>
          <w:szCs w:val="32"/>
        </w:rPr>
        <w:t>以上企业，不属于大企业的分支机构，不存在控股股东为大企业的情形，也不存在与大企业的负责人为同一人的情形。</w:t>
      </w:r>
    </w:p>
    <w:p w14:paraId="0BC0F61A">
      <w:pPr>
        <w:spacing w:line="360" w:lineRule="auto"/>
        <w:ind w:firstLine="800" w:firstLineChars="250"/>
        <w:jc w:val="left"/>
        <w:rPr>
          <w:rFonts w:hint="eastAsia" w:ascii="仿宋" w:hAnsi="仿宋" w:eastAsia="仿宋" w:cs="仿宋"/>
          <w:color w:val="auto"/>
          <w:sz w:val="32"/>
          <w:szCs w:val="32"/>
        </w:rPr>
      </w:pPr>
      <w:r>
        <w:rPr>
          <w:rFonts w:hint="eastAsia" w:ascii="仿宋" w:hAnsi="仿宋" w:eastAsia="仿宋" w:cs="仿宋"/>
          <w:color w:val="auto"/>
          <w:sz w:val="32"/>
          <w:szCs w:val="32"/>
        </w:rPr>
        <w:t xml:space="preserve">本企业对上述声明内容的真实性负责。如有虚假，将依法承担相应责任。                                  </w:t>
      </w:r>
    </w:p>
    <w:p w14:paraId="6DB3690B">
      <w:pPr>
        <w:spacing w:line="360" w:lineRule="auto"/>
        <w:jc w:val="center"/>
        <w:rPr>
          <w:rFonts w:hint="eastAsia" w:ascii="仿宋" w:hAnsi="仿宋" w:eastAsia="仿宋" w:cs="仿宋"/>
          <w:color w:val="auto"/>
          <w:sz w:val="32"/>
          <w:szCs w:val="32"/>
        </w:rPr>
      </w:pPr>
    </w:p>
    <w:p w14:paraId="71654B78">
      <w:pPr>
        <w:spacing w:line="360" w:lineRule="auto"/>
        <w:jc w:val="center"/>
        <w:rPr>
          <w:rFonts w:hint="eastAsia" w:ascii="仿宋" w:hAnsi="仿宋" w:eastAsia="仿宋" w:cs="仿宋"/>
          <w:color w:val="auto"/>
          <w:sz w:val="32"/>
          <w:szCs w:val="32"/>
        </w:rPr>
      </w:pPr>
      <w:r>
        <w:rPr>
          <w:rFonts w:hint="eastAsia" w:ascii="仿宋" w:hAnsi="仿宋" w:eastAsia="仿宋" w:cs="仿宋"/>
          <w:color w:val="auto"/>
          <w:sz w:val="32"/>
          <w:szCs w:val="32"/>
        </w:rPr>
        <w:t xml:space="preserve">                                    企业名称（盖章）：                       </w:t>
      </w:r>
    </w:p>
    <w:p w14:paraId="7FB2DA4A">
      <w:pPr>
        <w:spacing w:line="360" w:lineRule="auto"/>
        <w:jc w:val="center"/>
        <w:rPr>
          <w:rFonts w:hint="eastAsia" w:ascii="仿宋" w:hAnsi="仿宋" w:eastAsia="仿宋" w:cs="仿宋"/>
          <w:color w:val="auto"/>
          <w:sz w:val="32"/>
          <w:szCs w:val="32"/>
        </w:rPr>
      </w:pPr>
      <w:r>
        <w:rPr>
          <w:rFonts w:hint="eastAsia" w:ascii="仿宋" w:hAnsi="仿宋" w:eastAsia="仿宋" w:cs="仿宋"/>
          <w:color w:val="auto"/>
          <w:sz w:val="32"/>
          <w:szCs w:val="32"/>
        </w:rPr>
        <w:t xml:space="preserve">                           日 期：</w:t>
      </w:r>
    </w:p>
    <w:bookmarkEnd w:id="325"/>
    <w:bookmarkEnd w:id="326"/>
    <w:bookmarkEnd w:id="327"/>
    <w:bookmarkEnd w:id="328"/>
    <w:bookmarkEnd w:id="329"/>
    <w:p w14:paraId="52A0E05F">
      <w:pPr>
        <w:spacing w:before="75" w:line="360" w:lineRule="auto"/>
        <w:ind w:left="26" w:right="74" w:firstLine="7"/>
        <w:rPr>
          <w:rFonts w:hint="eastAsia" w:ascii="仿宋_GB2312" w:hAnsi="仿宋_GB2312" w:eastAsia="仿宋_GB2312" w:cs="仿宋_GB2312"/>
          <w:b/>
          <w:color w:val="auto"/>
          <w:sz w:val="32"/>
          <w:szCs w:val="32"/>
        </w:rPr>
      </w:pPr>
      <w:r>
        <w:rPr>
          <w:rFonts w:hint="eastAsia" w:ascii="仿宋_GB2312" w:hAnsi="仿宋_GB2312" w:eastAsia="仿宋_GB2312" w:cs="仿宋_GB2312"/>
          <w:color w:val="auto"/>
          <w:spacing w:val="13"/>
          <w:sz w:val="32"/>
          <w:szCs w:val="32"/>
        </w:rPr>
        <w:t>注</w:t>
      </w:r>
      <w:r>
        <w:rPr>
          <w:rFonts w:hint="eastAsia" w:ascii="仿宋_GB2312" w:hAnsi="仿宋_GB2312" w:eastAsia="仿宋_GB2312" w:cs="仿宋_GB2312"/>
          <w:color w:val="auto"/>
          <w:spacing w:val="10"/>
          <w:sz w:val="32"/>
          <w:szCs w:val="32"/>
        </w:rPr>
        <w:t>：1、从业人员、营业收入、资产总额填报上一年度数据，无上一年度数据的新</w:t>
      </w:r>
      <w:r>
        <w:rPr>
          <w:rFonts w:hint="eastAsia" w:ascii="仿宋_GB2312" w:hAnsi="仿宋_GB2312" w:eastAsia="仿宋_GB2312" w:cs="仿宋_GB2312"/>
          <w:color w:val="auto"/>
          <w:spacing w:val="8"/>
          <w:sz w:val="32"/>
          <w:szCs w:val="32"/>
        </w:rPr>
        <w:t>成立企业可不填报。</w:t>
      </w:r>
    </w:p>
    <w:p w14:paraId="3B0CD372">
      <w:pPr>
        <w:spacing w:line="360" w:lineRule="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附件2.1</w:t>
      </w:r>
    </w:p>
    <w:p w14:paraId="58F7A5ED">
      <w:pPr>
        <w:widowControl/>
        <w:spacing w:line="360" w:lineRule="auto"/>
        <w:jc w:val="left"/>
        <w:rPr>
          <w:rStyle w:val="30"/>
          <w:rFonts w:hint="eastAsia" w:ascii="仿宋_GB2312" w:hAnsi="仿宋_GB2312" w:eastAsia="仿宋_GB2312" w:cs="仿宋_GB2312"/>
          <w:color w:val="auto"/>
          <w:kern w:val="0"/>
          <w:sz w:val="32"/>
          <w:szCs w:val="32"/>
          <w:lang w:bidi="ar"/>
        </w:rPr>
      </w:pPr>
    </w:p>
    <w:p w14:paraId="533E5403">
      <w:pPr>
        <w:widowControl/>
        <w:spacing w:line="360" w:lineRule="auto"/>
        <w:ind w:firstLine="643" w:firstLineChars="200"/>
        <w:jc w:val="left"/>
        <w:rPr>
          <w:rStyle w:val="30"/>
          <w:rFonts w:hint="eastAsia" w:ascii="仿宋_GB2312" w:hAnsi="仿宋_GB2312" w:eastAsia="仿宋_GB2312" w:cs="仿宋_GB2312"/>
          <w:color w:val="auto"/>
          <w:kern w:val="0"/>
          <w:sz w:val="32"/>
          <w:szCs w:val="32"/>
          <w:lang w:bidi="ar"/>
        </w:rPr>
      </w:pPr>
      <w:r>
        <w:rPr>
          <w:rStyle w:val="30"/>
          <w:rFonts w:hint="eastAsia" w:ascii="仿宋_GB2312" w:hAnsi="仿宋_GB2312" w:eastAsia="仿宋_GB2312" w:cs="仿宋_GB2312"/>
          <w:color w:val="auto"/>
          <w:kern w:val="0"/>
          <w:sz w:val="32"/>
          <w:szCs w:val="32"/>
          <w:lang w:bidi="ar"/>
        </w:rPr>
        <w:t>（一）关于“中小企业声明函”的填写要求</w:t>
      </w:r>
    </w:p>
    <w:p w14:paraId="2D797D8B">
      <w:pPr>
        <w:widowControl/>
        <w:spacing w:line="360" w:lineRule="auto"/>
        <w:ind w:firstLine="640" w:firstLineChars="200"/>
        <w:jc w:val="left"/>
        <w:rPr>
          <w:rFonts w:hint="eastAsia" w:ascii="仿宋_GB2312" w:hAnsi="仿宋_GB2312" w:eastAsia="仿宋_GB2312" w:cs="仿宋_GB2312"/>
          <w:color w:val="auto"/>
          <w:kern w:val="0"/>
          <w:sz w:val="32"/>
          <w:szCs w:val="32"/>
          <w:lang w:bidi="ar"/>
        </w:rPr>
      </w:pPr>
      <w:r>
        <w:rPr>
          <w:rFonts w:hint="eastAsia" w:ascii="仿宋_GB2312" w:hAnsi="仿宋_GB2312" w:eastAsia="仿宋_GB2312" w:cs="仿宋_GB2312"/>
          <w:color w:val="auto"/>
          <w:kern w:val="0"/>
          <w:sz w:val="32"/>
          <w:szCs w:val="32"/>
          <w:lang w:bidi="ar"/>
        </w:rPr>
        <w:t>“中小企业声明函”具体填写要求如下：</w:t>
      </w:r>
    </w:p>
    <w:p w14:paraId="316F3A8D">
      <w:pPr>
        <w:widowControl/>
        <w:spacing w:line="360" w:lineRule="auto"/>
        <w:ind w:firstLine="640" w:firstLineChars="200"/>
        <w:jc w:val="left"/>
        <w:rPr>
          <w:rFonts w:hint="eastAsia" w:ascii="仿宋_GB2312" w:hAnsi="仿宋_GB2312" w:eastAsia="仿宋_GB2312" w:cs="仿宋_GB2312"/>
          <w:color w:val="auto"/>
          <w:kern w:val="0"/>
          <w:sz w:val="32"/>
          <w:szCs w:val="32"/>
          <w:lang w:bidi="ar"/>
        </w:rPr>
      </w:pPr>
      <w:r>
        <w:rPr>
          <w:rFonts w:hint="eastAsia" w:ascii="仿宋_GB2312" w:hAnsi="仿宋_GB2312" w:eastAsia="仿宋_GB2312" w:cs="仿宋_GB2312"/>
          <w:color w:val="auto"/>
          <w:kern w:val="0"/>
          <w:sz w:val="32"/>
          <w:szCs w:val="32"/>
          <w:lang w:bidi="ar"/>
        </w:rPr>
        <w:t>1.“单位名称”应填写采购人名称。</w:t>
      </w:r>
    </w:p>
    <w:p w14:paraId="5D837133">
      <w:pPr>
        <w:widowControl/>
        <w:spacing w:line="360" w:lineRule="auto"/>
        <w:ind w:firstLine="640" w:firstLineChars="200"/>
        <w:jc w:val="left"/>
        <w:rPr>
          <w:rFonts w:hint="eastAsia" w:ascii="仿宋_GB2312" w:hAnsi="仿宋_GB2312" w:eastAsia="仿宋_GB2312" w:cs="仿宋_GB2312"/>
          <w:color w:val="auto"/>
          <w:kern w:val="0"/>
          <w:sz w:val="32"/>
          <w:szCs w:val="32"/>
          <w:lang w:bidi="ar"/>
        </w:rPr>
      </w:pPr>
      <w:r>
        <w:rPr>
          <w:rFonts w:hint="eastAsia" w:ascii="仿宋_GB2312" w:hAnsi="仿宋_GB2312" w:eastAsia="仿宋_GB2312" w:cs="仿宋_GB2312"/>
          <w:color w:val="auto"/>
          <w:kern w:val="0"/>
          <w:sz w:val="32"/>
          <w:szCs w:val="32"/>
          <w:lang w:bidi="ar"/>
        </w:rPr>
        <w:t>2.“项目名称”应按照采购文件中确定的项目名称填写。对于分包方式面向中小企业采购的项目，应标明中小企业的具体分包内容；对于以联合体方式面向中小企业采购的项目，应标明联合体中中小企业所承担的具体内容。</w:t>
      </w:r>
    </w:p>
    <w:p w14:paraId="448F9BE1">
      <w:pPr>
        <w:widowControl/>
        <w:spacing w:line="360" w:lineRule="auto"/>
        <w:ind w:firstLine="640" w:firstLineChars="200"/>
        <w:jc w:val="left"/>
        <w:rPr>
          <w:rFonts w:hint="eastAsia" w:ascii="仿宋_GB2312" w:hAnsi="仿宋_GB2312" w:eastAsia="仿宋_GB2312" w:cs="仿宋_GB2312"/>
          <w:color w:val="auto"/>
          <w:kern w:val="0"/>
          <w:sz w:val="32"/>
          <w:szCs w:val="32"/>
          <w:lang w:bidi="ar"/>
        </w:rPr>
      </w:pPr>
      <w:r>
        <w:rPr>
          <w:rFonts w:hint="eastAsia" w:ascii="仿宋_GB2312" w:hAnsi="仿宋_GB2312" w:eastAsia="仿宋_GB2312" w:cs="仿宋_GB2312"/>
          <w:color w:val="auto"/>
          <w:kern w:val="0"/>
          <w:sz w:val="32"/>
          <w:szCs w:val="32"/>
          <w:lang w:bidi="ar"/>
        </w:rPr>
        <w:t>3.“标的名称”应填写采购文件中细化载明的采购标的名称。对于分包方式面向中小企业采购的项目，“标的名称”应填写采购文件中注明的分包给中小企业的采购标的名称；对于以联合体方式面向中小企业采购的项目，“标的名称”应填写采购文件中注明的联合体中中小企业承担的采购标的名称。</w:t>
      </w:r>
    </w:p>
    <w:p w14:paraId="786B6C87">
      <w:pPr>
        <w:widowControl/>
        <w:spacing w:line="360" w:lineRule="auto"/>
        <w:ind w:firstLine="640" w:firstLineChars="200"/>
        <w:jc w:val="left"/>
        <w:rPr>
          <w:rFonts w:hint="eastAsia" w:ascii="仿宋_GB2312" w:hAnsi="仿宋_GB2312" w:eastAsia="仿宋_GB2312" w:cs="仿宋_GB2312"/>
          <w:color w:val="auto"/>
          <w:kern w:val="0"/>
          <w:sz w:val="32"/>
          <w:szCs w:val="32"/>
          <w:lang w:bidi="ar"/>
        </w:rPr>
      </w:pPr>
      <w:r>
        <w:rPr>
          <w:rFonts w:hint="eastAsia" w:ascii="仿宋_GB2312" w:hAnsi="仿宋_GB2312" w:eastAsia="仿宋_GB2312" w:cs="仿宋_GB2312"/>
          <w:color w:val="auto"/>
          <w:kern w:val="0"/>
          <w:sz w:val="32"/>
          <w:szCs w:val="32"/>
          <w:lang w:bidi="ar"/>
        </w:rPr>
        <w:t>4.“采购文件中明确的所属行业”应填写采购文件中明确的采购标的所属行业，并应确保与采购标的涉及的货物制造商/服务承接商/工程承建商（根据项目属性确定）本身的所属行业保持一致。</w:t>
      </w:r>
    </w:p>
    <w:p w14:paraId="2B1DBFF6">
      <w:pPr>
        <w:widowControl/>
        <w:spacing w:line="360" w:lineRule="auto"/>
        <w:ind w:firstLine="640" w:firstLineChars="200"/>
        <w:jc w:val="left"/>
        <w:rPr>
          <w:rFonts w:hint="eastAsia" w:ascii="仿宋_GB2312" w:hAnsi="仿宋_GB2312" w:eastAsia="仿宋_GB2312" w:cs="仿宋_GB2312"/>
          <w:color w:val="auto"/>
          <w:kern w:val="0"/>
          <w:sz w:val="32"/>
          <w:szCs w:val="32"/>
          <w:lang w:bidi="ar"/>
        </w:rPr>
      </w:pPr>
      <w:r>
        <w:rPr>
          <w:rFonts w:hint="eastAsia" w:ascii="仿宋_GB2312" w:hAnsi="仿宋_GB2312" w:eastAsia="仿宋_GB2312" w:cs="仿宋_GB2312"/>
          <w:color w:val="auto"/>
          <w:kern w:val="0"/>
          <w:sz w:val="32"/>
          <w:szCs w:val="32"/>
          <w:lang w:bidi="ar"/>
        </w:rPr>
        <w:t>对于分包方式面向中小企业采购的项目，“采购文件中明确的所属行业”应按照采购文件中注明的分包给中小企业的采购标的所属行业填写，并应确保与该分包部分采购标的涉及的货物制造商/服务承接商/工程承建商（根据项目属性确定）本身的所属行业保持一致。</w:t>
      </w:r>
    </w:p>
    <w:p w14:paraId="350D7A7C">
      <w:pPr>
        <w:widowControl/>
        <w:spacing w:line="360" w:lineRule="auto"/>
        <w:ind w:firstLine="640" w:firstLineChars="200"/>
        <w:jc w:val="left"/>
        <w:rPr>
          <w:rFonts w:hint="eastAsia" w:ascii="仿宋_GB2312" w:hAnsi="仿宋_GB2312" w:eastAsia="仿宋_GB2312" w:cs="仿宋_GB2312"/>
          <w:color w:val="auto"/>
          <w:kern w:val="0"/>
          <w:sz w:val="32"/>
          <w:szCs w:val="32"/>
          <w:lang w:bidi="ar"/>
        </w:rPr>
      </w:pPr>
      <w:r>
        <w:rPr>
          <w:rFonts w:hint="eastAsia" w:ascii="仿宋_GB2312" w:hAnsi="仿宋_GB2312" w:eastAsia="仿宋_GB2312" w:cs="仿宋_GB2312"/>
          <w:color w:val="auto"/>
          <w:kern w:val="0"/>
          <w:sz w:val="32"/>
          <w:szCs w:val="32"/>
          <w:lang w:bidi="ar"/>
        </w:rPr>
        <w:t>对于以联合体方式面向中小企业采购的项目，“采购文件中明确的所属行业”应按照采购文件中注明的联合体中中小企业承担的采购标的所属行业填写，并应确保与该承担部分采购标的涉及的货物制造商/服务承接商/工程承建商（根据项目属性确定）本身的所属行业保持一致。</w:t>
      </w:r>
    </w:p>
    <w:p w14:paraId="5D27E7B7">
      <w:pPr>
        <w:widowControl/>
        <w:spacing w:line="360" w:lineRule="auto"/>
        <w:ind w:firstLine="640" w:firstLineChars="200"/>
        <w:jc w:val="left"/>
        <w:rPr>
          <w:rFonts w:hint="eastAsia" w:ascii="仿宋_GB2312" w:hAnsi="仿宋_GB2312" w:eastAsia="仿宋_GB2312" w:cs="仿宋_GB2312"/>
          <w:color w:val="auto"/>
          <w:kern w:val="0"/>
          <w:sz w:val="32"/>
          <w:szCs w:val="32"/>
          <w:lang w:bidi="ar"/>
        </w:rPr>
      </w:pPr>
      <w:r>
        <w:rPr>
          <w:rFonts w:hint="eastAsia" w:ascii="仿宋_GB2312" w:hAnsi="仿宋_GB2312" w:eastAsia="仿宋_GB2312" w:cs="仿宋_GB2312"/>
          <w:color w:val="auto"/>
          <w:kern w:val="0"/>
          <w:sz w:val="32"/>
          <w:szCs w:val="32"/>
          <w:lang w:bidi="ar"/>
        </w:rPr>
        <w:t>5.“企业名称”应填写投标（响应）的货物制造商/服务承接商/工程承建商（根据项目属性确定）。</w:t>
      </w:r>
    </w:p>
    <w:p w14:paraId="036E7899">
      <w:pPr>
        <w:widowControl/>
        <w:spacing w:line="360" w:lineRule="auto"/>
        <w:ind w:firstLine="640" w:firstLineChars="200"/>
        <w:jc w:val="left"/>
        <w:rPr>
          <w:rFonts w:hint="eastAsia" w:ascii="仿宋_GB2312" w:hAnsi="仿宋_GB2312" w:eastAsia="仿宋_GB2312" w:cs="仿宋_GB2312"/>
          <w:color w:val="auto"/>
          <w:kern w:val="0"/>
          <w:sz w:val="32"/>
          <w:szCs w:val="32"/>
          <w:lang w:bidi="ar"/>
        </w:rPr>
      </w:pPr>
      <w:r>
        <w:rPr>
          <w:rFonts w:hint="eastAsia" w:ascii="仿宋_GB2312" w:hAnsi="仿宋_GB2312" w:eastAsia="仿宋_GB2312" w:cs="仿宋_GB2312"/>
          <w:color w:val="auto"/>
          <w:kern w:val="0"/>
          <w:sz w:val="32"/>
          <w:szCs w:val="32"/>
          <w:lang w:bidi="ar"/>
        </w:rPr>
        <w:t>对于分包方式面向中小企业采购的项目，“企业名称”应填写分包部分采购标的对应的货物制造商/服务承接商/工程承建商（根据项目属性确定）。</w:t>
      </w:r>
    </w:p>
    <w:p w14:paraId="6E46FC48">
      <w:pPr>
        <w:widowControl/>
        <w:spacing w:line="360" w:lineRule="auto"/>
        <w:ind w:firstLine="640" w:firstLineChars="200"/>
        <w:jc w:val="left"/>
        <w:rPr>
          <w:rFonts w:hint="eastAsia" w:ascii="仿宋_GB2312" w:hAnsi="仿宋_GB2312" w:eastAsia="仿宋_GB2312" w:cs="仿宋_GB2312"/>
          <w:color w:val="auto"/>
          <w:kern w:val="0"/>
          <w:sz w:val="32"/>
          <w:szCs w:val="32"/>
          <w:lang w:bidi="ar"/>
        </w:rPr>
      </w:pPr>
      <w:r>
        <w:rPr>
          <w:rFonts w:hint="eastAsia" w:ascii="仿宋_GB2312" w:hAnsi="仿宋_GB2312" w:eastAsia="仿宋_GB2312" w:cs="仿宋_GB2312"/>
          <w:color w:val="auto"/>
          <w:kern w:val="0"/>
          <w:sz w:val="32"/>
          <w:szCs w:val="32"/>
          <w:lang w:bidi="ar"/>
        </w:rPr>
        <w:t>对于以联合体方式面向中小企业采购的项目，“企业名称”应填写联合体中中小企业承担采购标的对应的货物制造商/服务承接商/工程承建商（根据项目属性确定）。</w:t>
      </w:r>
    </w:p>
    <w:p w14:paraId="31670C06">
      <w:pPr>
        <w:widowControl/>
        <w:spacing w:line="360" w:lineRule="auto"/>
        <w:ind w:firstLine="640" w:firstLineChars="200"/>
        <w:jc w:val="left"/>
        <w:rPr>
          <w:rFonts w:hint="eastAsia" w:ascii="仿宋_GB2312" w:hAnsi="仿宋_GB2312" w:eastAsia="仿宋_GB2312" w:cs="仿宋_GB2312"/>
          <w:color w:val="auto"/>
          <w:kern w:val="0"/>
          <w:sz w:val="32"/>
          <w:szCs w:val="32"/>
          <w:lang w:bidi="ar"/>
        </w:rPr>
      </w:pPr>
      <w:r>
        <w:rPr>
          <w:rFonts w:hint="eastAsia" w:ascii="仿宋_GB2312" w:hAnsi="仿宋_GB2312" w:eastAsia="仿宋_GB2312" w:cs="仿宋_GB2312"/>
          <w:color w:val="auto"/>
          <w:kern w:val="0"/>
          <w:sz w:val="32"/>
          <w:szCs w:val="32"/>
          <w:lang w:bidi="ar"/>
        </w:rPr>
        <w:t>6.从业人员、资产总额指标以上年度末数据为依据，营业收入指标以上年度累计数据为依据。无上年度数据的新成立企业可不填报。</w:t>
      </w:r>
    </w:p>
    <w:p w14:paraId="5D44164D">
      <w:pPr>
        <w:widowControl/>
        <w:spacing w:line="360" w:lineRule="auto"/>
        <w:ind w:firstLine="640" w:firstLineChars="200"/>
        <w:jc w:val="left"/>
        <w:rPr>
          <w:rFonts w:hint="eastAsia" w:ascii="仿宋_GB2312" w:hAnsi="仿宋_GB2312" w:eastAsia="仿宋_GB2312" w:cs="仿宋_GB2312"/>
          <w:color w:val="auto"/>
          <w:kern w:val="0"/>
          <w:sz w:val="32"/>
          <w:szCs w:val="32"/>
          <w:lang w:bidi="ar"/>
        </w:rPr>
      </w:pPr>
      <w:r>
        <w:rPr>
          <w:rFonts w:hint="eastAsia" w:ascii="仿宋_GB2312" w:hAnsi="仿宋_GB2312" w:eastAsia="仿宋_GB2312" w:cs="仿宋_GB2312"/>
          <w:color w:val="auto"/>
          <w:kern w:val="0"/>
          <w:sz w:val="32"/>
          <w:szCs w:val="32"/>
          <w:lang w:bidi="ar"/>
        </w:rPr>
        <w:t>7.“中型企业/小型企业/微型企业”部分，供应商应依据企业上年度从业人员、营业收入、资产总额等指标，按照《中小企业划型标准规定》（工信部联企业〔2011〕300号）、《金融业企业划型标准规定》（银发〔2015〕309号），判断“中小企业声明函”载明的货物制造商/服务承接商/工程承建商（根据项目属性确定）是否属于采购文件所属行业的中型企业/小型企业/微型企业。</w:t>
      </w:r>
    </w:p>
    <w:p w14:paraId="15029FB5">
      <w:pPr>
        <w:widowControl/>
        <w:spacing w:line="360" w:lineRule="auto"/>
        <w:ind w:firstLine="640" w:firstLineChars="200"/>
        <w:jc w:val="left"/>
        <w:rPr>
          <w:rFonts w:hint="eastAsia" w:ascii="仿宋_GB2312" w:hAnsi="仿宋_GB2312" w:eastAsia="仿宋_GB2312" w:cs="仿宋_GB2312"/>
          <w:color w:val="auto"/>
          <w:kern w:val="0"/>
          <w:sz w:val="32"/>
          <w:szCs w:val="32"/>
          <w:lang w:bidi="ar"/>
        </w:rPr>
      </w:pPr>
      <w:r>
        <w:rPr>
          <w:rFonts w:hint="eastAsia" w:ascii="仿宋_GB2312" w:hAnsi="仿宋_GB2312" w:eastAsia="仿宋_GB2312" w:cs="仿宋_GB2312"/>
          <w:color w:val="auto"/>
          <w:kern w:val="0"/>
          <w:sz w:val="32"/>
          <w:szCs w:val="32"/>
          <w:lang w:bidi="ar"/>
        </w:rPr>
        <w:t>8.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14:paraId="69F8D8E4">
      <w:pPr>
        <w:widowControl/>
        <w:spacing w:line="360" w:lineRule="auto"/>
        <w:ind w:firstLine="643" w:firstLineChars="200"/>
        <w:jc w:val="left"/>
        <w:rPr>
          <w:rStyle w:val="30"/>
          <w:rFonts w:hint="eastAsia" w:ascii="仿宋_GB2312" w:hAnsi="仿宋_GB2312" w:eastAsia="仿宋_GB2312" w:cs="仿宋_GB2312"/>
          <w:color w:val="auto"/>
          <w:kern w:val="0"/>
          <w:sz w:val="32"/>
          <w:szCs w:val="32"/>
          <w:lang w:bidi="ar"/>
        </w:rPr>
      </w:pPr>
      <w:r>
        <w:rPr>
          <w:rStyle w:val="30"/>
          <w:rFonts w:hint="eastAsia" w:ascii="仿宋_GB2312" w:hAnsi="仿宋_GB2312" w:eastAsia="仿宋_GB2312" w:cs="仿宋_GB2312"/>
          <w:color w:val="auto"/>
          <w:kern w:val="0"/>
          <w:sz w:val="32"/>
          <w:szCs w:val="32"/>
          <w:lang w:bidi="ar"/>
        </w:rPr>
        <w:t>（二）关于“中小企业声明函”的提交要求</w:t>
      </w:r>
    </w:p>
    <w:p w14:paraId="6A31B155">
      <w:pPr>
        <w:widowControl/>
        <w:spacing w:line="360" w:lineRule="auto"/>
        <w:ind w:firstLine="640" w:firstLineChars="200"/>
        <w:jc w:val="left"/>
        <w:rPr>
          <w:rFonts w:hint="eastAsia" w:ascii="仿宋_GB2312" w:hAnsi="仿宋_GB2312" w:eastAsia="仿宋_GB2312" w:cs="仿宋_GB2312"/>
          <w:color w:val="auto"/>
          <w:kern w:val="0"/>
          <w:sz w:val="32"/>
          <w:szCs w:val="32"/>
          <w:lang w:bidi="ar"/>
        </w:rPr>
      </w:pPr>
      <w:r>
        <w:rPr>
          <w:rFonts w:hint="eastAsia" w:ascii="仿宋_GB2312" w:hAnsi="仿宋_GB2312" w:eastAsia="仿宋_GB2312" w:cs="仿宋_GB2312"/>
          <w:color w:val="auto"/>
          <w:kern w:val="0"/>
          <w:sz w:val="32"/>
          <w:szCs w:val="32"/>
          <w:lang w:bidi="ar"/>
        </w:rPr>
        <w:t>1.投标（响应）供应商对“中小企业声明函”的真实性负责。投标（响应）供应商应当核实投标（响应）的货物制造商/服务承接商/工程承建商（根据项目属性确定）的相关信息，如对相关信息了解不充分，或者不能确定相关信息真实、准确的，不建议出具“中小企业声明函”。</w:t>
      </w:r>
    </w:p>
    <w:p w14:paraId="29C4F0A3">
      <w:pPr>
        <w:widowControl/>
        <w:spacing w:line="360" w:lineRule="auto"/>
        <w:ind w:firstLine="640" w:firstLineChars="200"/>
        <w:jc w:val="left"/>
        <w:rPr>
          <w:rFonts w:hint="eastAsia" w:ascii="仿宋_GB2312" w:hAnsi="仿宋_GB2312" w:eastAsia="仿宋_GB2312" w:cs="仿宋_GB2312"/>
          <w:color w:val="auto"/>
          <w:kern w:val="0"/>
          <w:sz w:val="32"/>
          <w:szCs w:val="32"/>
          <w:lang w:bidi="ar"/>
        </w:rPr>
      </w:pPr>
      <w:r>
        <w:rPr>
          <w:rFonts w:hint="eastAsia" w:ascii="仿宋_GB2312" w:hAnsi="仿宋_GB2312" w:eastAsia="仿宋_GB2312" w:cs="仿宋_GB2312"/>
          <w:color w:val="auto"/>
          <w:kern w:val="0"/>
          <w:sz w:val="32"/>
          <w:szCs w:val="32"/>
          <w:lang w:bidi="ar"/>
        </w:rPr>
        <w:t>2.鼓励供应商在投标（响应）时一并提供对货物制造商、服务承接商、工程承建商相关信息的核实核验情况以及其他佐证材料。</w:t>
      </w:r>
    </w:p>
    <w:p w14:paraId="3BA72C9B">
      <w:pPr>
        <w:widowControl/>
        <w:spacing w:line="360" w:lineRule="auto"/>
        <w:ind w:firstLine="640" w:firstLineChars="200"/>
        <w:jc w:val="left"/>
        <w:rPr>
          <w:rFonts w:hint="eastAsia" w:ascii="仿宋_GB2312" w:hAnsi="仿宋_GB2312" w:eastAsia="仿宋_GB2312" w:cs="仿宋_GB2312"/>
          <w:color w:val="auto"/>
          <w:kern w:val="0"/>
          <w:sz w:val="32"/>
          <w:szCs w:val="32"/>
          <w:lang w:bidi="ar"/>
        </w:rPr>
      </w:pPr>
      <w:r>
        <w:rPr>
          <w:rFonts w:hint="eastAsia" w:ascii="仿宋_GB2312" w:hAnsi="仿宋_GB2312" w:eastAsia="仿宋_GB2312" w:cs="仿宋_GB2312"/>
          <w:color w:val="auto"/>
          <w:kern w:val="0"/>
          <w:sz w:val="32"/>
          <w:szCs w:val="32"/>
          <w:lang w:bidi="ar"/>
        </w:rPr>
        <w:t>3.如供应商提供的“中小企业声明函”存在按采购文件所属行业划型不实的，属于提供虚假材料谋取中标、成交，依照《中华人民共和国政府采购法》第七十七条的规定，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5FA6EFBC">
      <w:pPr>
        <w:spacing w:line="360" w:lineRule="auto"/>
        <w:rPr>
          <w:rFonts w:hint="eastAsia" w:ascii="仿宋_GB2312" w:hAnsi="仿宋_GB2312" w:eastAsia="仿宋_GB2312" w:cs="仿宋_GB2312"/>
          <w:b/>
          <w:bCs/>
          <w:color w:val="auto"/>
          <w:sz w:val="32"/>
          <w:szCs w:val="32"/>
        </w:rPr>
      </w:pPr>
    </w:p>
    <w:p w14:paraId="796CCCE0">
      <w:pPr>
        <w:spacing w:line="360" w:lineRule="auto"/>
        <w:rPr>
          <w:rFonts w:hint="eastAsia" w:ascii="仿宋_GB2312" w:hAnsi="仿宋_GB2312" w:eastAsia="仿宋_GB2312" w:cs="仿宋_GB2312"/>
          <w:b/>
          <w:bCs/>
          <w:color w:val="auto"/>
          <w:sz w:val="32"/>
          <w:szCs w:val="32"/>
        </w:rPr>
      </w:pPr>
    </w:p>
    <w:p w14:paraId="78AF6715">
      <w:pPr>
        <w:spacing w:line="360" w:lineRule="auto"/>
        <w:rPr>
          <w:rFonts w:hint="eastAsia" w:ascii="仿宋_GB2312" w:hAnsi="仿宋_GB2312" w:eastAsia="仿宋_GB2312" w:cs="仿宋_GB2312"/>
          <w:b/>
          <w:bCs/>
          <w:color w:val="auto"/>
          <w:sz w:val="32"/>
          <w:szCs w:val="32"/>
        </w:rPr>
      </w:pPr>
    </w:p>
    <w:p w14:paraId="3E8BB020">
      <w:pPr>
        <w:spacing w:line="360" w:lineRule="auto"/>
        <w:rPr>
          <w:rFonts w:hint="eastAsia" w:ascii="仿宋_GB2312" w:hAnsi="仿宋_GB2312" w:eastAsia="仿宋_GB2312" w:cs="仿宋_GB2312"/>
          <w:b/>
          <w:bCs/>
          <w:color w:val="auto"/>
          <w:sz w:val="32"/>
          <w:szCs w:val="32"/>
        </w:rPr>
      </w:pPr>
    </w:p>
    <w:p w14:paraId="2135BAAD">
      <w:pPr>
        <w:spacing w:line="360" w:lineRule="auto"/>
        <w:rPr>
          <w:rFonts w:hint="eastAsia" w:ascii="仿宋_GB2312" w:hAnsi="仿宋_GB2312" w:eastAsia="仿宋_GB2312" w:cs="仿宋_GB2312"/>
          <w:b/>
          <w:bCs/>
          <w:color w:val="auto"/>
          <w:sz w:val="32"/>
          <w:szCs w:val="32"/>
        </w:rPr>
      </w:pPr>
    </w:p>
    <w:p w14:paraId="3489204F">
      <w:pPr>
        <w:spacing w:line="360" w:lineRule="auto"/>
        <w:rPr>
          <w:rFonts w:hint="eastAsia" w:ascii="仿宋_GB2312" w:hAnsi="仿宋_GB2312" w:eastAsia="仿宋_GB2312" w:cs="仿宋_GB2312"/>
          <w:b/>
          <w:bCs/>
          <w:color w:val="auto"/>
          <w:sz w:val="32"/>
          <w:szCs w:val="32"/>
        </w:rPr>
      </w:pPr>
    </w:p>
    <w:p w14:paraId="3135DE3D">
      <w:pPr>
        <w:spacing w:line="360" w:lineRule="auto"/>
        <w:rPr>
          <w:rFonts w:hint="eastAsia" w:ascii="仿宋_GB2312" w:hAnsi="仿宋_GB2312" w:eastAsia="仿宋_GB2312" w:cs="仿宋_GB2312"/>
          <w:b/>
          <w:bCs/>
          <w:color w:val="auto"/>
          <w:sz w:val="32"/>
          <w:szCs w:val="32"/>
        </w:rPr>
      </w:pPr>
    </w:p>
    <w:p w14:paraId="41BBD7C2">
      <w:pPr>
        <w:spacing w:line="360" w:lineRule="auto"/>
        <w:rPr>
          <w:rFonts w:hint="eastAsia" w:ascii="仿宋_GB2312" w:hAnsi="仿宋_GB2312" w:eastAsia="仿宋_GB2312" w:cs="仿宋_GB2312"/>
          <w:b/>
          <w:bCs/>
          <w:color w:val="auto"/>
          <w:sz w:val="32"/>
          <w:szCs w:val="32"/>
        </w:rPr>
      </w:pPr>
    </w:p>
    <w:p w14:paraId="413AF36C">
      <w:pPr>
        <w:spacing w:line="360" w:lineRule="auto"/>
        <w:rPr>
          <w:rFonts w:hint="eastAsia" w:ascii="仿宋_GB2312" w:hAnsi="仿宋_GB2312" w:eastAsia="仿宋_GB2312" w:cs="仿宋_GB2312"/>
          <w:b/>
          <w:bCs/>
          <w:color w:val="auto"/>
          <w:sz w:val="32"/>
          <w:szCs w:val="32"/>
        </w:rPr>
      </w:pPr>
    </w:p>
    <w:p w14:paraId="60DC18B7">
      <w:pPr>
        <w:spacing w:line="360" w:lineRule="auto"/>
        <w:rPr>
          <w:rFonts w:hint="eastAsia" w:ascii="仿宋_GB2312" w:hAnsi="仿宋_GB2312" w:eastAsia="仿宋_GB2312" w:cs="仿宋_GB2312"/>
          <w:b/>
          <w:bCs/>
          <w:color w:val="auto"/>
          <w:sz w:val="32"/>
          <w:szCs w:val="32"/>
        </w:rPr>
      </w:pPr>
    </w:p>
    <w:p w14:paraId="02B35A33">
      <w:pPr>
        <w:spacing w:line="360" w:lineRule="auto"/>
        <w:rPr>
          <w:rFonts w:hint="eastAsia" w:ascii="仿宋_GB2312" w:hAnsi="仿宋_GB2312" w:eastAsia="仿宋_GB2312" w:cs="仿宋_GB2312"/>
          <w:b/>
          <w:bCs/>
          <w:color w:val="auto"/>
          <w:sz w:val="32"/>
          <w:szCs w:val="32"/>
        </w:rPr>
      </w:pPr>
    </w:p>
    <w:p w14:paraId="018F8BDE">
      <w:pPr>
        <w:spacing w:line="360" w:lineRule="auto"/>
        <w:rPr>
          <w:rFonts w:hint="eastAsia" w:ascii="仿宋_GB2312" w:hAnsi="仿宋_GB2312" w:eastAsia="仿宋_GB2312" w:cs="仿宋_GB2312"/>
          <w:b/>
          <w:bCs/>
          <w:color w:val="auto"/>
          <w:sz w:val="32"/>
          <w:szCs w:val="32"/>
        </w:rPr>
      </w:pPr>
    </w:p>
    <w:p w14:paraId="66A4C604">
      <w:pPr>
        <w:spacing w:line="360" w:lineRule="auto"/>
        <w:rPr>
          <w:rFonts w:hint="eastAsia" w:ascii="仿宋_GB2312" w:hAnsi="仿宋_GB2312" w:eastAsia="仿宋_GB2312" w:cs="仿宋_GB2312"/>
          <w:b/>
          <w:bCs/>
          <w:color w:val="auto"/>
          <w:sz w:val="32"/>
          <w:szCs w:val="32"/>
        </w:rPr>
      </w:pPr>
    </w:p>
    <w:p w14:paraId="33EE0DFF">
      <w:pPr>
        <w:spacing w:line="360" w:lineRule="auto"/>
        <w:rPr>
          <w:rFonts w:hint="eastAsia" w:ascii="仿宋_GB2312" w:hAnsi="仿宋_GB2312" w:eastAsia="仿宋_GB2312" w:cs="仿宋_GB2312"/>
          <w:b/>
          <w:bCs/>
          <w:color w:val="auto"/>
          <w:sz w:val="32"/>
          <w:szCs w:val="32"/>
        </w:rPr>
      </w:pPr>
    </w:p>
    <w:p w14:paraId="17AA227F">
      <w:pPr>
        <w:spacing w:line="360" w:lineRule="auto"/>
        <w:rPr>
          <w:rFonts w:hint="eastAsia" w:ascii="仿宋_GB2312" w:hAnsi="仿宋_GB2312" w:eastAsia="仿宋_GB2312" w:cs="仿宋_GB2312"/>
          <w:b/>
          <w:bCs/>
          <w:color w:val="auto"/>
          <w:sz w:val="32"/>
          <w:szCs w:val="32"/>
        </w:rPr>
      </w:pPr>
    </w:p>
    <w:p w14:paraId="54328A2B">
      <w:pPr>
        <w:spacing w:line="360" w:lineRule="auto"/>
        <w:rPr>
          <w:rFonts w:hint="eastAsia" w:ascii="仿宋_GB2312" w:hAnsi="仿宋_GB2312" w:eastAsia="仿宋_GB2312" w:cs="仿宋_GB2312"/>
          <w:b/>
          <w:bCs/>
          <w:color w:val="auto"/>
          <w:sz w:val="32"/>
          <w:szCs w:val="32"/>
        </w:rPr>
      </w:pPr>
    </w:p>
    <w:p w14:paraId="0118D584">
      <w:pPr>
        <w:spacing w:line="360" w:lineRule="auto"/>
        <w:rPr>
          <w:rFonts w:hint="eastAsia" w:ascii="仿宋_GB2312" w:hAnsi="仿宋_GB2312" w:eastAsia="仿宋_GB2312" w:cs="仿宋_GB2312"/>
          <w:b/>
          <w:bCs/>
          <w:color w:val="auto"/>
          <w:sz w:val="32"/>
          <w:szCs w:val="32"/>
        </w:rPr>
      </w:pPr>
    </w:p>
    <w:p w14:paraId="13361630">
      <w:pPr>
        <w:spacing w:line="360" w:lineRule="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附件2.2：</w:t>
      </w:r>
    </w:p>
    <w:p w14:paraId="6D702743">
      <w:pPr>
        <w:pStyle w:val="15"/>
        <w:spacing w:line="360" w:lineRule="auto"/>
        <w:jc w:val="center"/>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关于印发中小企业划型标准规定的通知</w:t>
      </w:r>
    </w:p>
    <w:p w14:paraId="5312BAA7">
      <w:pPr>
        <w:spacing w:line="360" w:lineRule="auto"/>
        <w:jc w:val="center"/>
        <w:rPr>
          <w:rStyle w:val="30"/>
          <w:rFonts w:hint="eastAsia" w:ascii="仿宋_GB2312" w:hAnsi="仿宋_GB2312" w:eastAsia="仿宋_GB2312" w:cs="仿宋_GB2312"/>
          <w:b w:val="0"/>
          <w:color w:val="auto"/>
          <w:sz w:val="32"/>
          <w:szCs w:val="32"/>
        </w:rPr>
      </w:pPr>
      <w:r>
        <w:rPr>
          <w:rStyle w:val="30"/>
          <w:rFonts w:hint="eastAsia" w:ascii="仿宋_GB2312" w:hAnsi="仿宋_GB2312" w:eastAsia="仿宋_GB2312" w:cs="仿宋_GB2312"/>
          <w:b w:val="0"/>
          <w:color w:val="auto"/>
          <w:sz w:val="32"/>
          <w:szCs w:val="32"/>
        </w:rPr>
        <w:t>工信部联企业〔2011〕300号</w:t>
      </w:r>
    </w:p>
    <w:p w14:paraId="464A196E">
      <w:pPr>
        <w:spacing w:line="360" w:lineRule="auto"/>
        <w:jc w:val="center"/>
        <w:rPr>
          <w:rStyle w:val="30"/>
          <w:rFonts w:hint="eastAsia" w:ascii="仿宋_GB2312" w:hAnsi="仿宋_GB2312" w:eastAsia="仿宋_GB2312" w:cs="仿宋_GB2312"/>
          <w:b w:val="0"/>
          <w:color w:val="auto"/>
          <w:sz w:val="32"/>
          <w:szCs w:val="32"/>
        </w:rPr>
      </w:pPr>
    </w:p>
    <w:p w14:paraId="43B52156">
      <w:pPr>
        <w:spacing w:line="360" w:lineRule="auto"/>
        <w:rPr>
          <w:rStyle w:val="30"/>
          <w:rFonts w:hint="eastAsia" w:ascii="仿宋_GB2312" w:hAnsi="仿宋_GB2312" w:eastAsia="仿宋_GB2312" w:cs="仿宋_GB2312"/>
          <w:b w:val="0"/>
          <w:color w:val="auto"/>
          <w:sz w:val="32"/>
          <w:szCs w:val="32"/>
        </w:rPr>
      </w:pPr>
      <w:r>
        <w:rPr>
          <w:rStyle w:val="30"/>
          <w:rFonts w:hint="eastAsia" w:ascii="仿宋_GB2312" w:hAnsi="仿宋_GB2312" w:eastAsia="仿宋_GB2312" w:cs="仿宋_GB2312"/>
          <w:b w:val="0"/>
          <w:color w:val="auto"/>
          <w:sz w:val="32"/>
          <w:szCs w:val="32"/>
        </w:rPr>
        <w:t>各省、自治区、直辖市人民政府，国务院各部委、各直属机构及有关单位：</w:t>
      </w:r>
    </w:p>
    <w:p w14:paraId="1D546943">
      <w:pPr>
        <w:spacing w:line="360" w:lineRule="auto"/>
        <w:rPr>
          <w:rStyle w:val="30"/>
          <w:rFonts w:hint="eastAsia" w:ascii="仿宋_GB2312" w:hAnsi="仿宋_GB2312" w:eastAsia="仿宋_GB2312" w:cs="仿宋_GB2312"/>
          <w:b w:val="0"/>
          <w:bCs w:val="0"/>
          <w:color w:val="auto"/>
          <w:sz w:val="32"/>
          <w:szCs w:val="32"/>
        </w:rPr>
      </w:pPr>
      <w:r>
        <w:rPr>
          <w:rStyle w:val="30"/>
          <w:rFonts w:hint="eastAsia" w:ascii="仿宋_GB2312" w:hAnsi="仿宋_GB2312" w:eastAsia="仿宋_GB2312" w:cs="仿宋_GB2312"/>
          <w:b w:val="0"/>
          <w:bCs w:val="0"/>
          <w:color w:val="auto"/>
          <w:sz w:val="32"/>
          <w:szCs w:val="32"/>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639DE857">
      <w:pPr>
        <w:spacing w:line="360" w:lineRule="auto"/>
        <w:jc w:val="right"/>
        <w:rPr>
          <w:rStyle w:val="30"/>
          <w:rFonts w:hint="eastAsia" w:ascii="仿宋_GB2312" w:hAnsi="仿宋_GB2312" w:eastAsia="仿宋_GB2312" w:cs="仿宋_GB2312"/>
          <w:b w:val="0"/>
          <w:bCs w:val="0"/>
          <w:color w:val="auto"/>
          <w:sz w:val="32"/>
          <w:szCs w:val="32"/>
        </w:rPr>
      </w:pPr>
      <w:r>
        <w:rPr>
          <w:rStyle w:val="30"/>
          <w:rFonts w:hint="eastAsia" w:ascii="仿宋_GB2312" w:hAnsi="仿宋_GB2312" w:eastAsia="仿宋_GB2312" w:cs="仿宋_GB2312"/>
          <w:b w:val="0"/>
          <w:bCs w:val="0"/>
          <w:color w:val="auto"/>
          <w:sz w:val="32"/>
          <w:szCs w:val="32"/>
        </w:rPr>
        <w:t>工业和信息化部　国家统计局</w:t>
      </w:r>
    </w:p>
    <w:p w14:paraId="71CB5732">
      <w:pPr>
        <w:spacing w:line="360" w:lineRule="auto"/>
        <w:jc w:val="right"/>
        <w:rPr>
          <w:rStyle w:val="30"/>
          <w:rFonts w:hint="eastAsia" w:ascii="仿宋_GB2312" w:hAnsi="仿宋_GB2312" w:eastAsia="仿宋_GB2312" w:cs="仿宋_GB2312"/>
          <w:b w:val="0"/>
          <w:bCs w:val="0"/>
          <w:color w:val="auto"/>
          <w:sz w:val="32"/>
          <w:szCs w:val="32"/>
        </w:rPr>
      </w:pPr>
      <w:r>
        <w:rPr>
          <w:rStyle w:val="30"/>
          <w:rFonts w:hint="eastAsia" w:ascii="仿宋_GB2312" w:hAnsi="仿宋_GB2312" w:eastAsia="仿宋_GB2312" w:cs="仿宋_GB2312"/>
          <w:b w:val="0"/>
          <w:bCs w:val="0"/>
          <w:color w:val="auto"/>
          <w:sz w:val="32"/>
          <w:szCs w:val="32"/>
        </w:rPr>
        <w:t>国家发展和改革委员会　财政部</w:t>
      </w:r>
    </w:p>
    <w:p w14:paraId="56EC698C">
      <w:pPr>
        <w:spacing w:line="360" w:lineRule="auto"/>
        <w:jc w:val="right"/>
        <w:rPr>
          <w:rStyle w:val="30"/>
          <w:rFonts w:hint="eastAsia" w:ascii="仿宋_GB2312" w:hAnsi="仿宋_GB2312" w:eastAsia="仿宋_GB2312" w:cs="仿宋_GB2312"/>
          <w:b w:val="0"/>
          <w:bCs w:val="0"/>
          <w:color w:val="auto"/>
          <w:sz w:val="32"/>
          <w:szCs w:val="32"/>
        </w:rPr>
      </w:pPr>
      <w:r>
        <w:rPr>
          <w:rStyle w:val="30"/>
          <w:rFonts w:hint="eastAsia" w:ascii="仿宋_GB2312" w:hAnsi="仿宋_GB2312" w:eastAsia="仿宋_GB2312" w:cs="仿宋_GB2312"/>
          <w:b w:val="0"/>
          <w:bCs w:val="0"/>
          <w:color w:val="auto"/>
          <w:sz w:val="32"/>
          <w:szCs w:val="32"/>
        </w:rPr>
        <w:t>二○一一年六月十八日</w:t>
      </w:r>
    </w:p>
    <w:p w14:paraId="17433475">
      <w:pPr>
        <w:spacing w:line="360" w:lineRule="auto"/>
        <w:rPr>
          <w:rStyle w:val="30"/>
          <w:rFonts w:hint="eastAsia" w:ascii="仿宋_GB2312" w:hAnsi="仿宋_GB2312" w:eastAsia="仿宋_GB2312" w:cs="仿宋_GB2312"/>
          <w:b w:val="0"/>
          <w:bCs w:val="0"/>
          <w:color w:val="auto"/>
          <w:sz w:val="32"/>
          <w:szCs w:val="32"/>
        </w:rPr>
      </w:pPr>
      <w:r>
        <w:rPr>
          <w:rStyle w:val="30"/>
          <w:rFonts w:hint="eastAsia" w:ascii="仿宋_GB2312" w:hAnsi="仿宋_GB2312" w:eastAsia="仿宋_GB2312" w:cs="仿宋_GB2312"/>
          <w:b w:val="0"/>
          <w:bCs w:val="0"/>
          <w:color w:val="auto"/>
          <w:sz w:val="32"/>
          <w:szCs w:val="32"/>
        </w:rPr>
        <w:t xml:space="preserve"> </w:t>
      </w:r>
    </w:p>
    <w:p w14:paraId="2262AA0F">
      <w:pPr>
        <w:pStyle w:val="33"/>
        <w:rPr>
          <w:rStyle w:val="30"/>
          <w:rFonts w:hint="eastAsia" w:ascii="仿宋_GB2312" w:hAnsi="仿宋_GB2312" w:eastAsia="仿宋_GB2312" w:cs="仿宋_GB2312"/>
          <w:b w:val="0"/>
          <w:bCs w:val="0"/>
          <w:color w:val="auto"/>
          <w:sz w:val="32"/>
          <w:szCs w:val="32"/>
        </w:rPr>
      </w:pPr>
    </w:p>
    <w:p w14:paraId="2E61558D">
      <w:pPr>
        <w:pStyle w:val="33"/>
        <w:rPr>
          <w:rStyle w:val="30"/>
          <w:rFonts w:hint="eastAsia" w:ascii="仿宋_GB2312" w:hAnsi="仿宋_GB2312" w:eastAsia="仿宋_GB2312" w:cs="仿宋_GB2312"/>
          <w:b w:val="0"/>
          <w:bCs w:val="0"/>
          <w:color w:val="auto"/>
          <w:sz w:val="32"/>
          <w:szCs w:val="32"/>
        </w:rPr>
      </w:pPr>
    </w:p>
    <w:p w14:paraId="3ACE4431">
      <w:pPr>
        <w:pStyle w:val="33"/>
        <w:rPr>
          <w:rStyle w:val="30"/>
          <w:rFonts w:hint="eastAsia" w:ascii="仿宋_GB2312" w:hAnsi="仿宋_GB2312" w:eastAsia="仿宋_GB2312" w:cs="仿宋_GB2312"/>
          <w:b w:val="0"/>
          <w:bCs w:val="0"/>
          <w:color w:val="auto"/>
          <w:sz w:val="32"/>
          <w:szCs w:val="32"/>
        </w:rPr>
      </w:pPr>
    </w:p>
    <w:p w14:paraId="5AF7087E">
      <w:pPr>
        <w:pStyle w:val="33"/>
        <w:rPr>
          <w:rStyle w:val="30"/>
          <w:rFonts w:hint="eastAsia" w:ascii="仿宋_GB2312" w:hAnsi="仿宋_GB2312" w:eastAsia="仿宋_GB2312" w:cs="仿宋_GB2312"/>
          <w:b w:val="0"/>
          <w:bCs w:val="0"/>
          <w:color w:val="auto"/>
          <w:sz w:val="32"/>
          <w:szCs w:val="32"/>
        </w:rPr>
      </w:pPr>
    </w:p>
    <w:p w14:paraId="1D3C9689">
      <w:pPr>
        <w:pStyle w:val="33"/>
        <w:rPr>
          <w:rStyle w:val="30"/>
          <w:rFonts w:hint="eastAsia" w:ascii="仿宋_GB2312" w:hAnsi="仿宋_GB2312" w:eastAsia="仿宋_GB2312" w:cs="仿宋_GB2312"/>
          <w:b w:val="0"/>
          <w:bCs w:val="0"/>
          <w:color w:val="auto"/>
          <w:sz w:val="32"/>
          <w:szCs w:val="32"/>
        </w:rPr>
      </w:pPr>
    </w:p>
    <w:p w14:paraId="693DE6A1">
      <w:pPr>
        <w:pStyle w:val="33"/>
        <w:rPr>
          <w:rStyle w:val="30"/>
          <w:rFonts w:hint="eastAsia" w:ascii="仿宋_GB2312" w:hAnsi="仿宋_GB2312" w:eastAsia="仿宋_GB2312" w:cs="仿宋_GB2312"/>
          <w:b w:val="0"/>
          <w:bCs w:val="0"/>
          <w:color w:val="auto"/>
          <w:sz w:val="32"/>
          <w:szCs w:val="32"/>
        </w:rPr>
      </w:pPr>
    </w:p>
    <w:p w14:paraId="14BD69C7">
      <w:pPr>
        <w:pStyle w:val="33"/>
        <w:rPr>
          <w:rStyle w:val="30"/>
          <w:rFonts w:hint="eastAsia" w:ascii="仿宋_GB2312" w:hAnsi="仿宋_GB2312" w:eastAsia="仿宋_GB2312" w:cs="仿宋_GB2312"/>
          <w:b w:val="0"/>
          <w:bCs w:val="0"/>
          <w:color w:val="auto"/>
          <w:sz w:val="32"/>
          <w:szCs w:val="32"/>
        </w:rPr>
      </w:pPr>
    </w:p>
    <w:p w14:paraId="2E728BD3">
      <w:pPr>
        <w:spacing w:line="360" w:lineRule="auto"/>
        <w:jc w:val="center"/>
        <w:rPr>
          <w:rStyle w:val="30"/>
          <w:rFonts w:hint="eastAsia" w:ascii="仿宋_GB2312" w:hAnsi="仿宋_GB2312" w:eastAsia="仿宋_GB2312" w:cs="仿宋_GB2312"/>
          <w:bCs w:val="0"/>
          <w:color w:val="auto"/>
          <w:sz w:val="32"/>
          <w:szCs w:val="32"/>
        </w:rPr>
      </w:pPr>
      <w:r>
        <w:rPr>
          <w:rStyle w:val="30"/>
          <w:rFonts w:hint="eastAsia" w:ascii="仿宋_GB2312" w:hAnsi="仿宋_GB2312" w:eastAsia="仿宋_GB2312" w:cs="仿宋_GB2312"/>
          <w:bCs w:val="0"/>
          <w:color w:val="auto"/>
          <w:sz w:val="32"/>
          <w:szCs w:val="32"/>
        </w:rPr>
        <w:t>中小企业划型标准规定</w:t>
      </w:r>
    </w:p>
    <w:p w14:paraId="53D57646">
      <w:pPr>
        <w:spacing w:line="360" w:lineRule="auto"/>
        <w:rPr>
          <w:rStyle w:val="30"/>
          <w:rFonts w:hint="eastAsia" w:ascii="仿宋_GB2312" w:hAnsi="仿宋_GB2312" w:eastAsia="仿宋_GB2312" w:cs="仿宋_GB2312"/>
          <w:b w:val="0"/>
          <w:bCs w:val="0"/>
          <w:color w:val="auto"/>
          <w:sz w:val="32"/>
          <w:szCs w:val="32"/>
        </w:rPr>
      </w:pPr>
      <w:r>
        <w:rPr>
          <w:rStyle w:val="30"/>
          <w:rFonts w:hint="eastAsia" w:ascii="仿宋_GB2312" w:hAnsi="仿宋_GB2312" w:eastAsia="仿宋_GB2312" w:cs="仿宋_GB2312"/>
          <w:b w:val="0"/>
          <w:bCs w:val="0"/>
          <w:color w:val="auto"/>
          <w:sz w:val="32"/>
          <w:szCs w:val="32"/>
        </w:rPr>
        <w:t>　　一、根据《中华人民共和国中小企业促进法》和《国务院关于进一步促进中小企业发展的若干意见》(国发〔2009〕36号)，制定本规定。</w:t>
      </w:r>
    </w:p>
    <w:p w14:paraId="4FE29DB1">
      <w:pPr>
        <w:spacing w:line="360" w:lineRule="auto"/>
        <w:rPr>
          <w:rStyle w:val="30"/>
          <w:rFonts w:hint="eastAsia" w:ascii="仿宋_GB2312" w:hAnsi="仿宋_GB2312" w:eastAsia="仿宋_GB2312" w:cs="仿宋_GB2312"/>
          <w:b w:val="0"/>
          <w:bCs w:val="0"/>
          <w:color w:val="auto"/>
          <w:sz w:val="32"/>
          <w:szCs w:val="32"/>
        </w:rPr>
      </w:pPr>
      <w:r>
        <w:rPr>
          <w:rStyle w:val="30"/>
          <w:rFonts w:hint="eastAsia" w:ascii="仿宋_GB2312" w:hAnsi="仿宋_GB2312" w:eastAsia="仿宋_GB2312" w:cs="仿宋_GB2312"/>
          <w:b w:val="0"/>
          <w:bCs w:val="0"/>
          <w:color w:val="auto"/>
          <w:sz w:val="32"/>
          <w:szCs w:val="32"/>
        </w:rPr>
        <w:t>　　二、中小企业划分为中型、小型、微型三种类型，具体标准根据企业从业人员、营业收入、资产总额等指标，结合行业特点制定。</w:t>
      </w:r>
    </w:p>
    <w:p w14:paraId="4853FA2B">
      <w:pPr>
        <w:spacing w:line="360" w:lineRule="auto"/>
        <w:rPr>
          <w:rStyle w:val="30"/>
          <w:rFonts w:hint="eastAsia" w:ascii="仿宋_GB2312" w:hAnsi="仿宋_GB2312" w:eastAsia="仿宋_GB2312" w:cs="仿宋_GB2312"/>
          <w:b w:val="0"/>
          <w:bCs w:val="0"/>
          <w:color w:val="auto"/>
          <w:sz w:val="32"/>
          <w:szCs w:val="32"/>
        </w:rPr>
      </w:pPr>
      <w:r>
        <w:rPr>
          <w:rStyle w:val="30"/>
          <w:rFonts w:hint="eastAsia" w:ascii="仿宋_GB2312" w:hAnsi="仿宋_GB2312" w:eastAsia="仿宋_GB2312" w:cs="仿宋_GB2312"/>
          <w:b w:val="0"/>
          <w:bCs w:val="0"/>
          <w:color w:val="auto"/>
          <w:sz w:val="32"/>
          <w:szCs w:val="32"/>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4B85D46D">
      <w:pPr>
        <w:spacing w:line="360" w:lineRule="auto"/>
        <w:rPr>
          <w:rStyle w:val="30"/>
          <w:rFonts w:hint="eastAsia" w:ascii="仿宋_GB2312" w:hAnsi="仿宋_GB2312" w:eastAsia="仿宋_GB2312" w:cs="仿宋_GB2312"/>
          <w:b w:val="0"/>
          <w:bCs w:val="0"/>
          <w:color w:val="auto"/>
          <w:sz w:val="32"/>
          <w:szCs w:val="32"/>
        </w:rPr>
      </w:pPr>
      <w:r>
        <w:rPr>
          <w:rStyle w:val="30"/>
          <w:rFonts w:hint="eastAsia" w:ascii="仿宋_GB2312" w:hAnsi="仿宋_GB2312" w:eastAsia="仿宋_GB2312" w:cs="仿宋_GB2312"/>
          <w:b w:val="0"/>
          <w:bCs w:val="0"/>
          <w:color w:val="auto"/>
          <w:sz w:val="32"/>
          <w:szCs w:val="32"/>
        </w:rPr>
        <w:t>　　四、各行业划型标准为：</w:t>
      </w:r>
    </w:p>
    <w:p w14:paraId="04950438">
      <w:pPr>
        <w:spacing w:line="360" w:lineRule="auto"/>
        <w:rPr>
          <w:rStyle w:val="30"/>
          <w:rFonts w:hint="eastAsia" w:ascii="仿宋_GB2312" w:hAnsi="仿宋_GB2312" w:eastAsia="仿宋_GB2312" w:cs="仿宋_GB2312"/>
          <w:b w:val="0"/>
          <w:bCs w:val="0"/>
          <w:color w:val="auto"/>
          <w:sz w:val="32"/>
          <w:szCs w:val="32"/>
        </w:rPr>
      </w:pPr>
      <w:r>
        <w:rPr>
          <w:rStyle w:val="30"/>
          <w:rFonts w:hint="eastAsia" w:ascii="仿宋_GB2312" w:hAnsi="仿宋_GB2312" w:eastAsia="仿宋_GB2312" w:cs="仿宋_GB2312"/>
          <w:b w:val="0"/>
          <w:bCs w:val="0"/>
          <w:color w:val="auto"/>
          <w:sz w:val="32"/>
          <w:szCs w:val="32"/>
        </w:rPr>
        <w:t>　　（一）农、林、牧、渔业。营业收入20000万元以下的为中小微型企业。其中，营业收入500万元及以上的为中型企业，营业收入50万元及以上的为小型企业，营业收入50万元以下的为微型企业。</w:t>
      </w:r>
    </w:p>
    <w:p w14:paraId="435BE5F1">
      <w:pPr>
        <w:spacing w:line="360" w:lineRule="auto"/>
        <w:rPr>
          <w:rStyle w:val="30"/>
          <w:rFonts w:hint="eastAsia" w:ascii="仿宋_GB2312" w:hAnsi="仿宋_GB2312" w:eastAsia="仿宋_GB2312" w:cs="仿宋_GB2312"/>
          <w:b w:val="0"/>
          <w:bCs w:val="0"/>
          <w:color w:val="auto"/>
          <w:sz w:val="32"/>
          <w:szCs w:val="32"/>
        </w:rPr>
      </w:pPr>
      <w:r>
        <w:rPr>
          <w:rStyle w:val="30"/>
          <w:rFonts w:hint="eastAsia" w:ascii="仿宋_GB2312" w:hAnsi="仿宋_GB2312" w:eastAsia="仿宋_GB2312" w:cs="仿宋_GB2312"/>
          <w:b w:val="0"/>
          <w:bCs w:val="0"/>
          <w:color w:val="auto"/>
          <w:sz w:val="32"/>
          <w:szCs w:val="32"/>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3629AEEA">
      <w:pPr>
        <w:spacing w:line="360" w:lineRule="auto"/>
        <w:rPr>
          <w:rStyle w:val="30"/>
          <w:rFonts w:hint="eastAsia" w:ascii="仿宋_GB2312" w:hAnsi="仿宋_GB2312" w:eastAsia="仿宋_GB2312" w:cs="仿宋_GB2312"/>
          <w:b w:val="0"/>
          <w:bCs w:val="0"/>
          <w:color w:val="auto"/>
          <w:sz w:val="32"/>
          <w:szCs w:val="32"/>
        </w:rPr>
      </w:pPr>
      <w:r>
        <w:rPr>
          <w:rStyle w:val="30"/>
          <w:rFonts w:hint="eastAsia" w:ascii="仿宋_GB2312" w:hAnsi="仿宋_GB2312" w:eastAsia="仿宋_GB2312" w:cs="仿宋_GB2312"/>
          <w:b w:val="0"/>
          <w:bCs w:val="0"/>
          <w:color w:val="auto"/>
          <w:sz w:val="32"/>
          <w:szCs w:val="32"/>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695FE783">
      <w:pPr>
        <w:spacing w:line="360" w:lineRule="auto"/>
        <w:rPr>
          <w:rStyle w:val="30"/>
          <w:rFonts w:hint="eastAsia" w:ascii="仿宋_GB2312" w:hAnsi="仿宋_GB2312" w:eastAsia="仿宋_GB2312" w:cs="仿宋_GB2312"/>
          <w:b w:val="0"/>
          <w:bCs w:val="0"/>
          <w:color w:val="auto"/>
          <w:sz w:val="32"/>
          <w:szCs w:val="32"/>
        </w:rPr>
      </w:pPr>
      <w:r>
        <w:rPr>
          <w:rStyle w:val="30"/>
          <w:rFonts w:hint="eastAsia" w:ascii="仿宋_GB2312" w:hAnsi="仿宋_GB2312" w:eastAsia="仿宋_GB2312" w:cs="仿宋_GB2312"/>
          <w:b w:val="0"/>
          <w:bCs w:val="0"/>
          <w:color w:val="auto"/>
          <w:sz w:val="32"/>
          <w:szCs w:val="32"/>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4CCB58D8">
      <w:pPr>
        <w:spacing w:line="360" w:lineRule="auto"/>
        <w:rPr>
          <w:rStyle w:val="30"/>
          <w:rFonts w:hint="eastAsia" w:ascii="仿宋_GB2312" w:hAnsi="仿宋_GB2312" w:eastAsia="仿宋_GB2312" w:cs="仿宋_GB2312"/>
          <w:b w:val="0"/>
          <w:bCs w:val="0"/>
          <w:color w:val="auto"/>
          <w:sz w:val="32"/>
          <w:szCs w:val="32"/>
        </w:rPr>
      </w:pPr>
      <w:r>
        <w:rPr>
          <w:rStyle w:val="30"/>
          <w:rFonts w:hint="eastAsia" w:ascii="仿宋_GB2312" w:hAnsi="仿宋_GB2312" w:eastAsia="仿宋_GB2312" w:cs="仿宋_GB2312"/>
          <w:b w:val="0"/>
          <w:bCs w:val="0"/>
          <w:color w:val="auto"/>
          <w:sz w:val="32"/>
          <w:szCs w:val="32"/>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5AC51D33">
      <w:pPr>
        <w:spacing w:line="360" w:lineRule="auto"/>
        <w:rPr>
          <w:rStyle w:val="30"/>
          <w:rFonts w:hint="eastAsia" w:ascii="仿宋_GB2312" w:hAnsi="仿宋_GB2312" w:eastAsia="仿宋_GB2312" w:cs="仿宋_GB2312"/>
          <w:b w:val="0"/>
          <w:bCs w:val="0"/>
          <w:color w:val="auto"/>
          <w:sz w:val="32"/>
          <w:szCs w:val="32"/>
        </w:rPr>
      </w:pPr>
      <w:r>
        <w:rPr>
          <w:rStyle w:val="30"/>
          <w:rFonts w:hint="eastAsia" w:ascii="仿宋_GB2312" w:hAnsi="仿宋_GB2312" w:eastAsia="仿宋_GB2312" w:cs="仿宋_GB2312"/>
          <w:b w:val="0"/>
          <w:bCs w:val="0"/>
          <w:color w:val="auto"/>
          <w:sz w:val="32"/>
          <w:szCs w:val="32"/>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4FB72FB1">
      <w:pPr>
        <w:spacing w:line="360" w:lineRule="auto"/>
        <w:rPr>
          <w:rStyle w:val="30"/>
          <w:rFonts w:hint="eastAsia" w:ascii="仿宋_GB2312" w:hAnsi="仿宋_GB2312" w:eastAsia="仿宋_GB2312" w:cs="仿宋_GB2312"/>
          <w:b w:val="0"/>
          <w:bCs w:val="0"/>
          <w:color w:val="auto"/>
          <w:sz w:val="32"/>
          <w:szCs w:val="32"/>
        </w:rPr>
      </w:pPr>
      <w:r>
        <w:rPr>
          <w:rStyle w:val="30"/>
          <w:rFonts w:hint="eastAsia" w:ascii="仿宋_GB2312" w:hAnsi="仿宋_GB2312" w:eastAsia="仿宋_GB2312" w:cs="仿宋_GB2312"/>
          <w:b w:val="0"/>
          <w:bCs w:val="0"/>
          <w:color w:val="auto"/>
          <w:sz w:val="32"/>
          <w:szCs w:val="32"/>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494CA8CF">
      <w:pPr>
        <w:spacing w:line="360" w:lineRule="auto"/>
        <w:rPr>
          <w:rStyle w:val="30"/>
          <w:rFonts w:hint="eastAsia" w:ascii="仿宋_GB2312" w:hAnsi="仿宋_GB2312" w:eastAsia="仿宋_GB2312" w:cs="仿宋_GB2312"/>
          <w:b w:val="0"/>
          <w:bCs w:val="0"/>
          <w:color w:val="auto"/>
          <w:sz w:val="32"/>
          <w:szCs w:val="32"/>
        </w:rPr>
      </w:pPr>
      <w:r>
        <w:rPr>
          <w:rStyle w:val="30"/>
          <w:rFonts w:hint="eastAsia" w:ascii="仿宋_GB2312" w:hAnsi="仿宋_GB2312" w:eastAsia="仿宋_GB2312" w:cs="仿宋_GB2312"/>
          <w:b w:val="0"/>
          <w:bCs w:val="0"/>
          <w:color w:val="auto"/>
          <w:sz w:val="32"/>
          <w:szCs w:val="32"/>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760C1186">
      <w:pPr>
        <w:spacing w:line="360" w:lineRule="auto"/>
        <w:rPr>
          <w:rStyle w:val="30"/>
          <w:rFonts w:hint="eastAsia" w:ascii="仿宋_GB2312" w:hAnsi="仿宋_GB2312" w:eastAsia="仿宋_GB2312" w:cs="仿宋_GB2312"/>
          <w:b w:val="0"/>
          <w:bCs w:val="0"/>
          <w:color w:val="auto"/>
          <w:sz w:val="32"/>
          <w:szCs w:val="32"/>
        </w:rPr>
      </w:pPr>
      <w:r>
        <w:rPr>
          <w:rStyle w:val="30"/>
          <w:rFonts w:hint="eastAsia" w:ascii="仿宋_GB2312" w:hAnsi="仿宋_GB2312" w:eastAsia="仿宋_GB2312" w:cs="仿宋_GB2312"/>
          <w:b w:val="0"/>
          <w:bCs w:val="0"/>
          <w:color w:val="auto"/>
          <w:sz w:val="32"/>
          <w:szCs w:val="32"/>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44DE2508">
      <w:pPr>
        <w:spacing w:line="360" w:lineRule="auto"/>
        <w:rPr>
          <w:rStyle w:val="30"/>
          <w:rFonts w:hint="eastAsia" w:ascii="仿宋_GB2312" w:hAnsi="仿宋_GB2312" w:eastAsia="仿宋_GB2312" w:cs="仿宋_GB2312"/>
          <w:b w:val="0"/>
          <w:bCs w:val="0"/>
          <w:color w:val="auto"/>
          <w:sz w:val="32"/>
          <w:szCs w:val="32"/>
        </w:rPr>
      </w:pPr>
      <w:r>
        <w:rPr>
          <w:rStyle w:val="30"/>
          <w:rFonts w:hint="eastAsia" w:ascii="仿宋_GB2312" w:hAnsi="仿宋_GB2312" w:eastAsia="仿宋_GB2312" w:cs="仿宋_GB2312"/>
          <w:b w:val="0"/>
          <w:bCs w:val="0"/>
          <w:color w:val="auto"/>
          <w:sz w:val="32"/>
          <w:szCs w:val="32"/>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59803521">
      <w:pPr>
        <w:spacing w:line="360" w:lineRule="auto"/>
        <w:rPr>
          <w:rStyle w:val="30"/>
          <w:rFonts w:hint="eastAsia" w:ascii="仿宋_GB2312" w:hAnsi="仿宋_GB2312" w:eastAsia="仿宋_GB2312" w:cs="仿宋_GB2312"/>
          <w:b w:val="0"/>
          <w:bCs w:val="0"/>
          <w:color w:val="auto"/>
          <w:sz w:val="32"/>
          <w:szCs w:val="32"/>
        </w:rPr>
      </w:pPr>
      <w:r>
        <w:rPr>
          <w:rStyle w:val="30"/>
          <w:rFonts w:hint="eastAsia" w:ascii="仿宋_GB2312" w:hAnsi="仿宋_GB2312" w:eastAsia="仿宋_GB2312" w:cs="仿宋_GB2312"/>
          <w:b w:val="0"/>
          <w:bCs w:val="0"/>
          <w:color w:val="auto"/>
          <w:sz w:val="32"/>
          <w:szCs w:val="32"/>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0F98B081">
      <w:pPr>
        <w:spacing w:line="360" w:lineRule="auto"/>
        <w:rPr>
          <w:rStyle w:val="30"/>
          <w:rFonts w:hint="eastAsia" w:ascii="仿宋_GB2312" w:hAnsi="仿宋_GB2312" w:eastAsia="仿宋_GB2312" w:cs="仿宋_GB2312"/>
          <w:b w:val="0"/>
          <w:bCs w:val="0"/>
          <w:color w:val="auto"/>
          <w:sz w:val="32"/>
          <w:szCs w:val="32"/>
        </w:rPr>
      </w:pPr>
      <w:r>
        <w:rPr>
          <w:rStyle w:val="30"/>
          <w:rFonts w:hint="eastAsia" w:ascii="仿宋_GB2312" w:hAnsi="仿宋_GB2312" w:eastAsia="仿宋_GB2312" w:cs="仿宋_GB2312"/>
          <w:b w:val="0"/>
          <w:bCs w:val="0"/>
          <w:color w:val="auto"/>
          <w:sz w:val="32"/>
          <w:szCs w:val="32"/>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7C94FBF7">
      <w:pPr>
        <w:spacing w:line="360" w:lineRule="auto"/>
        <w:rPr>
          <w:rStyle w:val="30"/>
          <w:rFonts w:hint="eastAsia" w:ascii="仿宋_GB2312" w:hAnsi="仿宋_GB2312" w:eastAsia="仿宋_GB2312" w:cs="仿宋_GB2312"/>
          <w:b w:val="0"/>
          <w:bCs w:val="0"/>
          <w:color w:val="auto"/>
          <w:sz w:val="32"/>
          <w:szCs w:val="32"/>
        </w:rPr>
      </w:pPr>
      <w:r>
        <w:rPr>
          <w:rStyle w:val="30"/>
          <w:rFonts w:hint="eastAsia" w:ascii="仿宋_GB2312" w:hAnsi="仿宋_GB2312" w:eastAsia="仿宋_GB2312" w:cs="仿宋_GB2312"/>
          <w:b w:val="0"/>
          <w:bCs w:val="0"/>
          <w:color w:val="auto"/>
          <w:sz w:val="32"/>
          <w:szCs w:val="32"/>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6F528F11">
      <w:pPr>
        <w:spacing w:line="360" w:lineRule="auto"/>
        <w:rPr>
          <w:rStyle w:val="30"/>
          <w:rFonts w:hint="eastAsia" w:ascii="仿宋_GB2312" w:hAnsi="仿宋_GB2312" w:eastAsia="仿宋_GB2312" w:cs="仿宋_GB2312"/>
          <w:b w:val="0"/>
          <w:bCs w:val="0"/>
          <w:color w:val="auto"/>
          <w:sz w:val="32"/>
          <w:szCs w:val="32"/>
        </w:rPr>
      </w:pPr>
      <w:r>
        <w:rPr>
          <w:rStyle w:val="30"/>
          <w:rFonts w:hint="eastAsia" w:ascii="仿宋_GB2312" w:hAnsi="仿宋_GB2312" w:eastAsia="仿宋_GB2312" w:cs="仿宋_GB2312"/>
          <w:b w:val="0"/>
          <w:bCs w:val="0"/>
          <w:color w:val="auto"/>
          <w:sz w:val="32"/>
          <w:szCs w:val="32"/>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21539863">
      <w:pPr>
        <w:spacing w:line="360" w:lineRule="auto"/>
        <w:rPr>
          <w:rStyle w:val="30"/>
          <w:rFonts w:hint="eastAsia" w:ascii="仿宋_GB2312" w:hAnsi="仿宋_GB2312" w:eastAsia="仿宋_GB2312" w:cs="仿宋_GB2312"/>
          <w:b w:val="0"/>
          <w:bCs w:val="0"/>
          <w:color w:val="auto"/>
          <w:sz w:val="32"/>
          <w:szCs w:val="32"/>
        </w:rPr>
      </w:pPr>
      <w:r>
        <w:rPr>
          <w:rStyle w:val="30"/>
          <w:rFonts w:hint="eastAsia" w:ascii="仿宋_GB2312" w:hAnsi="仿宋_GB2312" w:eastAsia="仿宋_GB2312" w:cs="仿宋_GB2312"/>
          <w:b w:val="0"/>
          <w:bCs w:val="0"/>
          <w:color w:val="auto"/>
          <w:sz w:val="32"/>
          <w:szCs w:val="32"/>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13F9F007">
      <w:pPr>
        <w:spacing w:line="360" w:lineRule="auto"/>
        <w:ind w:firstLine="640" w:firstLineChars="200"/>
        <w:rPr>
          <w:rStyle w:val="30"/>
          <w:rFonts w:hint="eastAsia" w:ascii="仿宋_GB2312" w:hAnsi="仿宋_GB2312" w:eastAsia="仿宋_GB2312" w:cs="仿宋_GB2312"/>
          <w:b w:val="0"/>
          <w:bCs w:val="0"/>
          <w:color w:val="auto"/>
          <w:sz w:val="32"/>
          <w:szCs w:val="32"/>
        </w:rPr>
      </w:pPr>
      <w:r>
        <w:rPr>
          <w:rStyle w:val="30"/>
          <w:rFonts w:hint="eastAsia" w:ascii="仿宋_GB2312" w:hAnsi="仿宋_GB2312" w:eastAsia="仿宋_GB2312" w:cs="仿宋_GB2312"/>
          <w:b w:val="0"/>
          <w:bCs w:val="0"/>
          <w:color w:val="auto"/>
          <w:sz w:val="32"/>
          <w:szCs w:val="32"/>
        </w:rPr>
        <w:t>（十六）其他未列明行业。从业人员300人以下的为中小微型企业。其中，从业人员100人及以上的为中型企业；从业人员10人及以上的为小型企业；从业人员10人以下的为微型企业。　　</w:t>
      </w:r>
    </w:p>
    <w:p w14:paraId="548BBDE7">
      <w:pPr>
        <w:spacing w:line="360" w:lineRule="auto"/>
        <w:rPr>
          <w:rStyle w:val="30"/>
          <w:rFonts w:hint="eastAsia" w:ascii="仿宋_GB2312" w:hAnsi="仿宋_GB2312" w:eastAsia="仿宋_GB2312" w:cs="仿宋_GB2312"/>
          <w:b w:val="0"/>
          <w:bCs w:val="0"/>
          <w:color w:val="auto"/>
          <w:sz w:val="32"/>
          <w:szCs w:val="32"/>
        </w:rPr>
      </w:pPr>
      <w:r>
        <w:rPr>
          <w:rStyle w:val="30"/>
          <w:rFonts w:hint="eastAsia" w:ascii="仿宋_GB2312" w:hAnsi="仿宋_GB2312" w:eastAsia="仿宋_GB2312" w:cs="仿宋_GB2312"/>
          <w:b w:val="0"/>
          <w:bCs w:val="0"/>
          <w:color w:val="auto"/>
          <w:sz w:val="32"/>
          <w:szCs w:val="32"/>
        </w:rPr>
        <w:t>五、企业类型的划分以统计部门的统计数据为依据。</w:t>
      </w:r>
    </w:p>
    <w:p w14:paraId="5342012E">
      <w:pPr>
        <w:spacing w:line="360" w:lineRule="auto"/>
        <w:rPr>
          <w:rStyle w:val="30"/>
          <w:rFonts w:hint="eastAsia" w:ascii="仿宋_GB2312" w:hAnsi="仿宋_GB2312" w:eastAsia="仿宋_GB2312" w:cs="仿宋_GB2312"/>
          <w:b w:val="0"/>
          <w:bCs w:val="0"/>
          <w:color w:val="auto"/>
          <w:sz w:val="32"/>
          <w:szCs w:val="32"/>
        </w:rPr>
      </w:pPr>
      <w:r>
        <w:rPr>
          <w:rStyle w:val="30"/>
          <w:rFonts w:hint="eastAsia" w:ascii="仿宋_GB2312" w:hAnsi="仿宋_GB2312" w:eastAsia="仿宋_GB2312" w:cs="仿宋_GB2312"/>
          <w:b w:val="0"/>
          <w:bCs w:val="0"/>
          <w:color w:val="auto"/>
          <w:sz w:val="32"/>
          <w:szCs w:val="32"/>
        </w:rPr>
        <w:t>　　六、本规定适用于在中华人民共和国境内依法设立的各类所有制和各种组织形式的企业。个体工商户和本规定以外的行业，参照本规定进行划型。</w:t>
      </w:r>
    </w:p>
    <w:p w14:paraId="56C9E689">
      <w:pPr>
        <w:spacing w:line="360" w:lineRule="auto"/>
        <w:rPr>
          <w:rStyle w:val="30"/>
          <w:rFonts w:hint="eastAsia" w:ascii="仿宋_GB2312" w:hAnsi="仿宋_GB2312" w:eastAsia="仿宋_GB2312" w:cs="仿宋_GB2312"/>
          <w:b w:val="0"/>
          <w:bCs w:val="0"/>
          <w:color w:val="auto"/>
          <w:sz w:val="32"/>
          <w:szCs w:val="32"/>
        </w:rPr>
      </w:pPr>
      <w:r>
        <w:rPr>
          <w:rStyle w:val="30"/>
          <w:rFonts w:hint="eastAsia" w:ascii="仿宋_GB2312" w:hAnsi="仿宋_GB2312" w:eastAsia="仿宋_GB2312" w:cs="仿宋_GB2312"/>
          <w:b w:val="0"/>
          <w:bCs w:val="0"/>
          <w:color w:val="auto"/>
          <w:sz w:val="32"/>
          <w:szCs w:val="32"/>
        </w:rPr>
        <w:t>　　七、本规定的中型企业标准上限即为大型企业标准的下限，国家统计部门据此制定大中小微型企业的统计分类。国务院有关部门据此进行相关数据分析，不得制定与本规定不一致的企业划型标准。</w:t>
      </w:r>
    </w:p>
    <w:p w14:paraId="0871AE33">
      <w:pPr>
        <w:spacing w:line="360" w:lineRule="auto"/>
        <w:rPr>
          <w:rStyle w:val="30"/>
          <w:rFonts w:hint="eastAsia" w:ascii="仿宋_GB2312" w:hAnsi="仿宋_GB2312" w:eastAsia="仿宋_GB2312" w:cs="仿宋_GB2312"/>
          <w:b w:val="0"/>
          <w:bCs w:val="0"/>
          <w:color w:val="auto"/>
          <w:sz w:val="32"/>
          <w:szCs w:val="32"/>
        </w:rPr>
      </w:pPr>
      <w:r>
        <w:rPr>
          <w:rStyle w:val="30"/>
          <w:rFonts w:hint="eastAsia" w:ascii="仿宋_GB2312" w:hAnsi="仿宋_GB2312" w:eastAsia="仿宋_GB2312" w:cs="仿宋_GB2312"/>
          <w:b w:val="0"/>
          <w:bCs w:val="0"/>
          <w:color w:val="auto"/>
          <w:sz w:val="32"/>
          <w:szCs w:val="32"/>
        </w:rPr>
        <w:t>　　八、本规定由工业和信息化部、国家统计局会同有关部门根据《国民经济行业分类》修订情况和企业发展变化情况适时修订。</w:t>
      </w:r>
    </w:p>
    <w:p w14:paraId="59335B4F">
      <w:pPr>
        <w:spacing w:line="360" w:lineRule="auto"/>
        <w:ind w:firstLine="480"/>
        <w:rPr>
          <w:rStyle w:val="30"/>
          <w:rFonts w:hint="eastAsia" w:ascii="仿宋_GB2312" w:hAnsi="仿宋_GB2312" w:eastAsia="仿宋_GB2312" w:cs="仿宋_GB2312"/>
          <w:b w:val="0"/>
          <w:bCs w:val="0"/>
          <w:color w:val="auto"/>
          <w:sz w:val="32"/>
          <w:szCs w:val="32"/>
        </w:rPr>
      </w:pPr>
      <w:r>
        <w:rPr>
          <w:rStyle w:val="30"/>
          <w:rFonts w:hint="eastAsia" w:ascii="仿宋_GB2312" w:hAnsi="仿宋_GB2312" w:eastAsia="仿宋_GB2312" w:cs="仿宋_GB2312"/>
          <w:b w:val="0"/>
          <w:bCs w:val="0"/>
          <w:color w:val="auto"/>
          <w:sz w:val="32"/>
          <w:szCs w:val="32"/>
        </w:rPr>
        <w:t>九、本规定由工业和信息化部、国家统计局会同有关部门负责解释。</w:t>
      </w:r>
    </w:p>
    <w:p w14:paraId="22E98FCC">
      <w:pPr>
        <w:pStyle w:val="15"/>
        <w:spacing w:line="360" w:lineRule="auto"/>
        <w:rPr>
          <w:rFonts w:hint="eastAsia" w:ascii="仿宋_GB2312" w:hAnsi="仿宋_GB2312" w:eastAsia="仿宋_GB2312" w:cs="仿宋_GB2312"/>
          <w:b/>
          <w:color w:val="auto"/>
          <w:sz w:val="32"/>
          <w:szCs w:val="32"/>
        </w:rPr>
      </w:pPr>
      <w:r>
        <w:rPr>
          <w:rStyle w:val="30"/>
          <w:rFonts w:hint="eastAsia" w:ascii="仿宋_GB2312" w:hAnsi="仿宋_GB2312" w:eastAsia="仿宋_GB2312" w:cs="仿宋_GB2312"/>
          <w:b w:val="0"/>
          <w:bCs w:val="0"/>
          <w:color w:val="auto"/>
          <w:sz w:val="32"/>
          <w:szCs w:val="32"/>
        </w:rPr>
        <w:t>十、本规定自发布之日起执行，原国家经贸委、原国家计委、财政部和国家统计局2003年颁布的《中小企业标准暂行规定》同时废止。</w:t>
      </w:r>
    </w:p>
    <w:p w14:paraId="55575B9A">
      <w:pPr>
        <w:spacing w:line="360" w:lineRule="auto"/>
        <w:rPr>
          <w:rFonts w:hint="eastAsia" w:ascii="仿宋_GB2312" w:hAnsi="仿宋_GB2312" w:eastAsia="仿宋_GB2312" w:cs="仿宋_GB2312"/>
          <w:b/>
          <w:color w:val="auto"/>
          <w:sz w:val="32"/>
          <w:szCs w:val="32"/>
        </w:rPr>
      </w:pPr>
    </w:p>
    <w:p w14:paraId="22C2F7E4">
      <w:pPr>
        <w:spacing w:line="360" w:lineRule="auto"/>
        <w:jc w:val="center"/>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附件3、残疾人福利性单位声明函（如有）</w:t>
      </w:r>
    </w:p>
    <w:p w14:paraId="0A641352">
      <w:pPr>
        <w:spacing w:line="360" w:lineRule="auto"/>
        <w:ind w:firstLine="640" w:firstLineChars="200"/>
        <w:rPr>
          <w:rFonts w:hint="eastAsia" w:ascii="仿宋_GB2312" w:hAnsi="仿宋_GB2312" w:eastAsia="仿宋_GB2312" w:cs="仿宋_GB2312"/>
          <w:color w:val="auto"/>
          <w:sz w:val="32"/>
          <w:szCs w:val="32"/>
        </w:rPr>
      </w:pPr>
    </w:p>
    <w:p w14:paraId="273C52FD">
      <w:pPr>
        <w:spacing w:line="360"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本单位郑重声明，根据《财政部 民政部 中国残疾人联合会关于促进残疾人就业政府采购政策的通知》（财库〔2017〕 141号）的规定，本单位为符合条件的残疾人福利性单位，且本单位参加</w:t>
      </w:r>
      <w:r>
        <w:rPr>
          <w:rFonts w:hint="eastAsia" w:ascii="仿宋_GB2312" w:hAnsi="仿宋_GB2312" w:eastAsia="仿宋_GB2312" w:cs="仿宋_GB2312"/>
          <w:color w:val="auto"/>
          <w:sz w:val="32"/>
          <w:szCs w:val="32"/>
          <w:u w:val="single"/>
        </w:rPr>
        <w:t>____                __</w:t>
      </w:r>
      <w:r>
        <w:rPr>
          <w:rFonts w:hint="eastAsia" w:ascii="仿宋_GB2312" w:hAnsi="仿宋_GB2312" w:eastAsia="仿宋_GB2312" w:cs="仿宋_GB2312"/>
          <w:color w:val="auto"/>
          <w:sz w:val="32"/>
          <w:szCs w:val="32"/>
        </w:rPr>
        <w:t>单位的__                    ____项目采购活动提供本单位制造的货物（由本单位承担工程/提供服务），或者提供其他残疾人福利性单位制造的货物（不包括使用非残疾人福利性单位注册商标的货物）。</w:t>
      </w:r>
    </w:p>
    <w:p w14:paraId="2556E3FA">
      <w:pPr>
        <w:spacing w:line="360"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本单位对上述声明的真实性负责。如有虚假，将依法承担相应责任。</w:t>
      </w:r>
    </w:p>
    <w:p w14:paraId="046D6380">
      <w:pPr>
        <w:spacing w:line="360" w:lineRule="auto"/>
        <w:rPr>
          <w:rFonts w:hint="eastAsia" w:ascii="仿宋_GB2312" w:hAnsi="仿宋_GB2312" w:eastAsia="仿宋_GB2312" w:cs="仿宋_GB2312"/>
          <w:b/>
          <w:color w:val="auto"/>
          <w:sz w:val="32"/>
          <w:szCs w:val="32"/>
        </w:rPr>
      </w:pPr>
    </w:p>
    <w:p w14:paraId="11A0C04A">
      <w:pPr>
        <w:tabs>
          <w:tab w:val="left" w:pos="465"/>
          <w:tab w:val="left" w:pos="780"/>
        </w:tabs>
        <w:spacing w:line="360" w:lineRule="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注：此函随同价格文件和技术商务文件一起装订，非残疾人福利性单位投标时</w:t>
      </w:r>
      <w:r>
        <w:rPr>
          <w:rFonts w:hint="eastAsia" w:ascii="仿宋_GB2312" w:hAnsi="仿宋_GB2312" w:eastAsia="仿宋_GB2312" w:cs="仿宋_GB2312"/>
          <w:b/>
          <w:color w:val="auto"/>
          <w:sz w:val="32"/>
          <w:szCs w:val="32"/>
        </w:rPr>
        <w:t>不需要提供此声明函。</w:t>
      </w:r>
    </w:p>
    <w:p w14:paraId="3B84E69A">
      <w:pPr>
        <w:spacing w:line="360" w:lineRule="auto"/>
        <w:rPr>
          <w:rFonts w:hint="eastAsia" w:ascii="仿宋_GB2312" w:hAnsi="仿宋_GB2312" w:eastAsia="仿宋_GB2312" w:cs="仿宋_GB2312"/>
          <w:b/>
          <w:color w:val="auto"/>
          <w:sz w:val="32"/>
          <w:szCs w:val="32"/>
        </w:rPr>
      </w:pPr>
    </w:p>
    <w:p w14:paraId="38B91759">
      <w:pPr>
        <w:spacing w:line="360" w:lineRule="auto"/>
        <w:rPr>
          <w:rFonts w:hint="eastAsia" w:ascii="仿宋_GB2312" w:hAnsi="仿宋_GB2312" w:eastAsia="仿宋_GB2312" w:cs="仿宋_GB2312"/>
          <w:b/>
          <w:color w:val="auto"/>
          <w:sz w:val="32"/>
          <w:szCs w:val="32"/>
        </w:rPr>
      </w:pPr>
    </w:p>
    <w:p w14:paraId="157BFFBC">
      <w:pPr>
        <w:pStyle w:val="12"/>
        <w:spacing w:after="0" w:line="360" w:lineRule="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投标人</w:t>
      </w:r>
      <w:r>
        <w:rPr>
          <w:rFonts w:hint="eastAsia" w:ascii="仿宋_GB2312" w:hAnsi="仿宋_GB2312" w:eastAsia="仿宋_GB2312" w:cs="仿宋_GB2312"/>
          <w:color w:val="auto"/>
          <w:sz w:val="32"/>
          <w:szCs w:val="32"/>
        </w:rPr>
        <w:t>名称（加盖公章）：</w:t>
      </w:r>
    </w:p>
    <w:p w14:paraId="38653411">
      <w:pPr>
        <w:pStyle w:val="12"/>
        <w:spacing w:after="0" w:line="360" w:lineRule="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投标人</w:t>
      </w:r>
      <w:r>
        <w:rPr>
          <w:rFonts w:hint="eastAsia" w:ascii="仿宋_GB2312" w:hAnsi="仿宋_GB2312" w:eastAsia="仿宋_GB2312" w:cs="仿宋_GB2312"/>
          <w:color w:val="auto"/>
          <w:sz w:val="32"/>
          <w:szCs w:val="32"/>
        </w:rPr>
        <w:t>法定代表人或受委托人（签名或盖私章）：</w:t>
      </w:r>
    </w:p>
    <w:p w14:paraId="75803A57">
      <w:pPr>
        <w:spacing w:line="360" w:lineRule="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日       期：</w:t>
      </w:r>
    </w:p>
    <w:p w14:paraId="4F061AE5">
      <w:pPr>
        <w:pStyle w:val="2"/>
        <w:keepNext w:val="0"/>
        <w:keepLines w:val="0"/>
        <w:spacing w:line="360" w:lineRule="auto"/>
        <w:rPr>
          <w:rFonts w:hint="eastAsia" w:ascii="仿宋_GB2312" w:hAnsi="仿宋_GB2312" w:eastAsia="仿宋_GB2312" w:cs="仿宋_GB2312"/>
          <w:color w:val="auto"/>
          <w:sz w:val="32"/>
          <w:szCs w:val="32"/>
        </w:rPr>
      </w:pPr>
    </w:p>
    <w:p w14:paraId="73310592">
      <w:pPr>
        <w:spacing w:line="360" w:lineRule="auto"/>
        <w:rPr>
          <w:rFonts w:hint="eastAsia" w:ascii="仿宋_GB2312" w:hAnsi="仿宋_GB2312" w:eastAsia="仿宋_GB2312" w:cs="仿宋_GB2312"/>
          <w:b/>
          <w:color w:val="auto"/>
          <w:sz w:val="32"/>
          <w:szCs w:val="32"/>
        </w:rPr>
      </w:pPr>
    </w:p>
    <w:p w14:paraId="61D2F74D">
      <w:pPr>
        <w:spacing w:line="360" w:lineRule="auto"/>
        <w:jc w:val="center"/>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附件4省级以上监狱管理局、戒毒管理局（含新疆生产建设兵团）出具的属于监狱企业证明文件（格式自拟）</w:t>
      </w:r>
    </w:p>
    <w:p w14:paraId="663B59DB">
      <w:pPr>
        <w:pStyle w:val="2"/>
        <w:keepNext w:val="0"/>
        <w:keepLines w:val="0"/>
        <w:spacing w:line="360" w:lineRule="auto"/>
        <w:rPr>
          <w:rFonts w:hint="eastAsia" w:ascii="仿宋_GB2312" w:hAnsi="仿宋_GB2312" w:eastAsia="仿宋_GB2312" w:cs="仿宋_GB2312"/>
          <w:color w:val="auto"/>
          <w:sz w:val="32"/>
          <w:szCs w:val="32"/>
        </w:rPr>
      </w:pPr>
    </w:p>
    <w:p w14:paraId="2D6A2F26">
      <w:pPr>
        <w:pStyle w:val="2"/>
        <w:keepNext w:val="0"/>
        <w:keepLines w:val="0"/>
        <w:spacing w:line="360" w:lineRule="auto"/>
        <w:rPr>
          <w:rFonts w:hint="eastAsia" w:ascii="仿宋_GB2312" w:hAnsi="仿宋_GB2312" w:eastAsia="仿宋_GB2312" w:cs="仿宋_GB2312"/>
          <w:color w:val="auto"/>
          <w:sz w:val="32"/>
          <w:szCs w:val="32"/>
        </w:rPr>
      </w:pPr>
    </w:p>
    <w:p w14:paraId="76F755D5">
      <w:pPr>
        <w:pStyle w:val="2"/>
        <w:keepNext w:val="0"/>
        <w:keepLines w:val="0"/>
        <w:spacing w:line="360" w:lineRule="auto"/>
        <w:rPr>
          <w:rFonts w:hint="eastAsia" w:ascii="仿宋_GB2312" w:hAnsi="仿宋_GB2312" w:eastAsia="仿宋_GB2312" w:cs="仿宋_GB2312"/>
          <w:color w:val="auto"/>
          <w:sz w:val="32"/>
          <w:szCs w:val="32"/>
        </w:rPr>
      </w:pPr>
    </w:p>
    <w:p w14:paraId="73BEC036">
      <w:pPr>
        <w:pStyle w:val="2"/>
        <w:keepNext w:val="0"/>
        <w:keepLines w:val="0"/>
        <w:spacing w:line="360" w:lineRule="auto"/>
        <w:rPr>
          <w:rFonts w:hint="eastAsia" w:ascii="仿宋_GB2312" w:hAnsi="仿宋_GB2312" w:eastAsia="仿宋_GB2312" w:cs="仿宋_GB2312"/>
          <w:color w:val="auto"/>
          <w:sz w:val="32"/>
          <w:szCs w:val="32"/>
        </w:rPr>
      </w:pPr>
    </w:p>
    <w:p w14:paraId="3719146A">
      <w:pPr>
        <w:pStyle w:val="2"/>
        <w:keepNext w:val="0"/>
        <w:keepLines w:val="0"/>
        <w:spacing w:line="360" w:lineRule="auto"/>
        <w:rPr>
          <w:rFonts w:hint="eastAsia" w:ascii="仿宋_GB2312" w:hAnsi="仿宋_GB2312" w:eastAsia="仿宋_GB2312" w:cs="仿宋_GB2312"/>
          <w:color w:val="auto"/>
          <w:sz w:val="32"/>
          <w:szCs w:val="32"/>
        </w:rPr>
      </w:pPr>
    </w:p>
    <w:p w14:paraId="062C03F7">
      <w:pPr>
        <w:pStyle w:val="2"/>
        <w:keepNext w:val="0"/>
        <w:keepLines w:val="0"/>
        <w:spacing w:line="360" w:lineRule="auto"/>
        <w:rPr>
          <w:rFonts w:hint="eastAsia" w:ascii="仿宋_GB2312" w:hAnsi="仿宋_GB2312" w:eastAsia="仿宋_GB2312" w:cs="仿宋_GB2312"/>
          <w:color w:val="auto"/>
          <w:sz w:val="32"/>
          <w:szCs w:val="32"/>
        </w:rPr>
      </w:pPr>
    </w:p>
    <w:p w14:paraId="7166B71B">
      <w:pPr>
        <w:pStyle w:val="2"/>
        <w:keepNext w:val="0"/>
        <w:keepLines w:val="0"/>
        <w:spacing w:line="360" w:lineRule="auto"/>
        <w:rPr>
          <w:rFonts w:hint="eastAsia" w:ascii="仿宋_GB2312" w:hAnsi="仿宋_GB2312" w:eastAsia="仿宋_GB2312" w:cs="仿宋_GB2312"/>
          <w:color w:val="auto"/>
          <w:sz w:val="32"/>
          <w:szCs w:val="32"/>
        </w:rPr>
      </w:pPr>
    </w:p>
    <w:p w14:paraId="2E8656C1">
      <w:pPr>
        <w:pStyle w:val="2"/>
        <w:keepNext w:val="0"/>
        <w:keepLines w:val="0"/>
        <w:spacing w:line="360" w:lineRule="auto"/>
        <w:rPr>
          <w:rFonts w:hint="eastAsia" w:ascii="仿宋_GB2312" w:hAnsi="仿宋_GB2312" w:eastAsia="仿宋_GB2312" w:cs="仿宋_GB2312"/>
          <w:color w:val="auto"/>
          <w:sz w:val="32"/>
          <w:szCs w:val="32"/>
        </w:rPr>
      </w:pPr>
    </w:p>
    <w:p w14:paraId="3BAD6171">
      <w:pPr>
        <w:pStyle w:val="2"/>
        <w:keepNext w:val="0"/>
        <w:keepLines w:val="0"/>
        <w:spacing w:line="360" w:lineRule="auto"/>
        <w:rPr>
          <w:rFonts w:hint="eastAsia" w:ascii="仿宋_GB2312" w:hAnsi="仿宋_GB2312" w:eastAsia="仿宋_GB2312" w:cs="仿宋_GB2312"/>
          <w:color w:val="auto"/>
          <w:sz w:val="32"/>
          <w:szCs w:val="32"/>
        </w:rPr>
      </w:pPr>
    </w:p>
    <w:p w14:paraId="6F5959DD">
      <w:pPr>
        <w:pStyle w:val="2"/>
        <w:keepNext w:val="0"/>
        <w:keepLines w:val="0"/>
        <w:spacing w:line="360" w:lineRule="auto"/>
        <w:rPr>
          <w:rFonts w:hint="eastAsia" w:ascii="仿宋_GB2312" w:hAnsi="仿宋_GB2312" w:eastAsia="仿宋_GB2312" w:cs="仿宋_GB2312"/>
          <w:color w:val="auto"/>
          <w:sz w:val="32"/>
          <w:szCs w:val="32"/>
        </w:rPr>
      </w:pPr>
      <w:bookmarkStart w:id="330" w:name="_Toc24440"/>
    </w:p>
    <w:p w14:paraId="379999B9">
      <w:pPr>
        <w:spacing w:line="360" w:lineRule="auto"/>
        <w:rPr>
          <w:rFonts w:hint="eastAsia" w:ascii="仿宋_GB2312" w:hAnsi="仿宋_GB2312" w:eastAsia="仿宋_GB2312" w:cs="仿宋_GB2312"/>
          <w:color w:val="auto"/>
          <w:sz w:val="32"/>
          <w:szCs w:val="32"/>
        </w:rPr>
      </w:pPr>
    </w:p>
    <w:p w14:paraId="62E3D9DC">
      <w:pPr>
        <w:spacing w:line="360" w:lineRule="auto"/>
        <w:rPr>
          <w:rFonts w:hint="eastAsia" w:ascii="仿宋_GB2312" w:hAnsi="仿宋_GB2312" w:eastAsia="仿宋_GB2312" w:cs="仿宋_GB2312"/>
          <w:color w:val="auto"/>
          <w:sz w:val="32"/>
          <w:szCs w:val="32"/>
        </w:rPr>
      </w:pPr>
    </w:p>
    <w:p w14:paraId="06C02BD3">
      <w:pPr>
        <w:spacing w:line="360" w:lineRule="auto"/>
        <w:jc w:val="center"/>
        <w:rPr>
          <w:rFonts w:hint="eastAsia" w:ascii="仿宋_GB2312" w:hAnsi="仿宋_GB2312" w:eastAsia="仿宋_GB2312" w:cs="仿宋_GB2312"/>
          <w:b/>
          <w:color w:val="auto"/>
          <w:sz w:val="32"/>
          <w:szCs w:val="32"/>
        </w:rPr>
      </w:pPr>
    </w:p>
    <w:p w14:paraId="64BF7BBE">
      <w:pPr>
        <w:pStyle w:val="2"/>
        <w:keepNext w:val="0"/>
        <w:keepLines w:val="0"/>
        <w:spacing w:line="360" w:lineRule="auto"/>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附表1                     资格审查标准表</w:t>
      </w:r>
      <w:bookmarkEnd w:id="322"/>
      <w:bookmarkEnd w:id="330"/>
    </w:p>
    <w:tbl>
      <w:tblPr>
        <w:tblStyle w:val="27"/>
        <w:tblW w:w="11171" w:type="dxa"/>
        <w:tblInd w:w="-11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9"/>
        <w:gridCol w:w="6405"/>
        <w:gridCol w:w="3195"/>
        <w:gridCol w:w="1132"/>
      </w:tblGrid>
      <w:tr w14:paraId="1CD6D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439" w:type="dxa"/>
            <w:noWrap w:val="0"/>
            <w:vAlign w:val="center"/>
          </w:tcPr>
          <w:p w14:paraId="6935D206">
            <w:pPr>
              <w:tabs>
                <w:tab w:val="left" w:pos="0"/>
              </w:tabs>
              <w:adjustRightInd w:val="0"/>
              <w:snapToGrid w:val="0"/>
              <w:jc w:val="center"/>
              <w:rPr>
                <w:rFonts w:hint="eastAsia" w:ascii="仿宋" w:hAnsi="仿宋" w:eastAsia="仿宋" w:cs="仿宋"/>
                <w:b/>
                <w:color w:val="auto"/>
                <w:kern w:val="0"/>
                <w:sz w:val="32"/>
                <w:szCs w:val="32"/>
              </w:rPr>
            </w:pPr>
            <w:r>
              <w:rPr>
                <w:rFonts w:hint="eastAsia" w:ascii="仿宋" w:hAnsi="仿宋" w:eastAsia="仿宋" w:cs="仿宋"/>
                <w:b/>
                <w:color w:val="auto"/>
                <w:kern w:val="0"/>
                <w:sz w:val="32"/>
                <w:szCs w:val="32"/>
              </w:rPr>
              <w:t>序号</w:t>
            </w:r>
          </w:p>
        </w:tc>
        <w:tc>
          <w:tcPr>
            <w:tcW w:w="6405" w:type="dxa"/>
            <w:noWrap w:val="0"/>
            <w:vAlign w:val="center"/>
          </w:tcPr>
          <w:p w14:paraId="49671EB1">
            <w:pPr>
              <w:tabs>
                <w:tab w:val="left" w:pos="0"/>
              </w:tabs>
              <w:adjustRightInd w:val="0"/>
              <w:snapToGrid w:val="0"/>
              <w:jc w:val="center"/>
              <w:rPr>
                <w:rFonts w:hint="eastAsia" w:ascii="仿宋" w:hAnsi="仿宋" w:eastAsia="仿宋" w:cs="仿宋"/>
                <w:b/>
                <w:color w:val="auto"/>
                <w:kern w:val="0"/>
                <w:sz w:val="32"/>
                <w:szCs w:val="32"/>
              </w:rPr>
            </w:pPr>
            <w:r>
              <w:rPr>
                <w:rFonts w:hint="eastAsia" w:ascii="仿宋" w:hAnsi="仿宋" w:eastAsia="仿宋" w:cs="仿宋"/>
                <w:b/>
                <w:color w:val="auto"/>
                <w:kern w:val="0"/>
                <w:sz w:val="32"/>
                <w:szCs w:val="32"/>
              </w:rPr>
              <w:t>审查因素</w:t>
            </w:r>
          </w:p>
        </w:tc>
        <w:tc>
          <w:tcPr>
            <w:tcW w:w="3195" w:type="dxa"/>
            <w:noWrap w:val="0"/>
            <w:vAlign w:val="center"/>
          </w:tcPr>
          <w:p w14:paraId="33D6A6BC">
            <w:pPr>
              <w:tabs>
                <w:tab w:val="left" w:pos="0"/>
              </w:tabs>
              <w:adjustRightInd w:val="0"/>
              <w:snapToGrid w:val="0"/>
              <w:jc w:val="center"/>
              <w:rPr>
                <w:rFonts w:hint="eastAsia" w:ascii="仿宋" w:hAnsi="仿宋" w:eastAsia="仿宋" w:cs="仿宋"/>
                <w:b/>
                <w:color w:val="auto"/>
                <w:kern w:val="0"/>
                <w:sz w:val="32"/>
                <w:szCs w:val="32"/>
              </w:rPr>
            </w:pPr>
            <w:r>
              <w:rPr>
                <w:rFonts w:hint="eastAsia" w:ascii="仿宋" w:hAnsi="仿宋" w:eastAsia="仿宋" w:cs="仿宋"/>
                <w:b/>
                <w:color w:val="auto"/>
                <w:kern w:val="0"/>
                <w:sz w:val="32"/>
                <w:szCs w:val="32"/>
              </w:rPr>
              <w:t>审查标准</w:t>
            </w:r>
          </w:p>
        </w:tc>
        <w:tc>
          <w:tcPr>
            <w:tcW w:w="1132" w:type="dxa"/>
            <w:noWrap w:val="0"/>
            <w:vAlign w:val="center"/>
          </w:tcPr>
          <w:p w14:paraId="44A57441">
            <w:pPr>
              <w:tabs>
                <w:tab w:val="left" w:pos="0"/>
              </w:tabs>
              <w:adjustRightInd w:val="0"/>
              <w:snapToGrid w:val="0"/>
              <w:jc w:val="center"/>
              <w:rPr>
                <w:rFonts w:hint="eastAsia" w:ascii="仿宋" w:hAnsi="仿宋" w:eastAsia="仿宋" w:cs="仿宋"/>
                <w:b/>
                <w:color w:val="auto"/>
                <w:kern w:val="0"/>
                <w:sz w:val="32"/>
                <w:szCs w:val="32"/>
              </w:rPr>
            </w:pPr>
            <w:r>
              <w:rPr>
                <w:rFonts w:hint="eastAsia" w:ascii="仿宋" w:hAnsi="仿宋" w:eastAsia="仿宋" w:cs="仿宋"/>
                <w:b/>
                <w:color w:val="auto"/>
                <w:kern w:val="0"/>
                <w:sz w:val="32"/>
                <w:szCs w:val="32"/>
              </w:rPr>
              <w:t>备注</w:t>
            </w:r>
          </w:p>
        </w:tc>
      </w:tr>
      <w:tr w14:paraId="57C57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439" w:type="dxa"/>
            <w:noWrap w:val="0"/>
            <w:vAlign w:val="center"/>
          </w:tcPr>
          <w:p w14:paraId="301309CE">
            <w:pPr>
              <w:tabs>
                <w:tab w:val="left" w:pos="0"/>
              </w:tabs>
              <w:adjustRightInd w:val="0"/>
              <w:snapToGrid w:val="0"/>
              <w:jc w:val="center"/>
              <w:rPr>
                <w:rFonts w:hint="eastAsia" w:ascii="仿宋" w:hAnsi="仿宋" w:eastAsia="仿宋" w:cs="仿宋"/>
                <w:b/>
                <w:color w:val="auto"/>
                <w:kern w:val="0"/>
                <w:sz w:val="32"/>
                <w:szCs w:val="32"/>
              </w:rPr>
            </w:pPr>
            <w:r>
              <w:rPr>
                <w:rFonts w:hint="eastAsia" w:ascii="仿宋" w:hAnsi="仿宋" w:eastAsia="仿宋" w:cs="仿宋"/>
                <w:bCs/>
                <w:color w:val="auto"/>
                <w:kern w:val="0"/>
                <w:sz w:val="32"/>
                <w:szCs w:val="32"/>
              </w:rPr>
              <w:t>1</w:t>
            </w:r>
          </w:p>
        </w:tc>
        <w:tc>
          <w:tcPr>
            <w:tcW w:w="6405" w:type="dxa"/>
            <w:noWrap w:val="0"/>
            <w:vAlign w:val="center"/>
          </w:tcPr>
          <w:p w14:paraId="2648DFA0">
            <w:pPr>
              <w:widowControl/>
              <w:shd w:val="clear" w:color="auto" w:fill="FFFFFF"/>
              <w:spacing w:before="0" w:beforeAutospacing="0" w:after="0" w:afterAutospacing="0" w:line="240" w:lineRule="auto"/>
              <w:jc w:val="left"/>
              <w:rPr>
                <w:rFonts w:hint="eastAsia" w:ascii="仿宋" w:hAnsi="仿宋" w:eastAsia="仿宋" w:cs="仿宋"/>
                <w:color w:val="auto"/>
                <w:kern w:val="0"/>
                <w:sz w:val="32"/>
                <w:szCs w:val="32"/>
                <w:lang w:val="en-US" w:eastAsia="zh-CN" w:bidi="ar-SA"/>
              </w:rPr>
            </w:pPr>
            <w:r>
              <w:rPr>
                <w:rFonts w:hint="eastAsia" w:ascii="仿宋" w:hAnsi="仿宋" w:eastAsia="仿宋" w:cs="仿宋"/>
                <w:color w:val="auto"/>
                <w:kern w:val="0"/>
                <w:sz w:val="32"/>
                <w:szCs w:val="32"/>
                <w:lang w:val="en-US" w:eastAsia="zh-CN" w:bidi="ar-SA"/>
              </w:rPr>
              <w:t>（1）法定代表人身份证或法定代表人授权委托书和委托代理人的身份证，法定代表人授权委托书应当与响应文件中所提供的相一致；</w:t>
            </w:r>
          </w:p>
          <w:p w14:paraId="18E04A82">
            <w:pPr>
              <w:widowControl/>
              <w:shd w:val="clear" w:color="auto" w:fill="FFFFFF"/>
              <w:spacing w:before="0" w:beforeAutospacing="0" w:after="0" w:afterAutospacing="0" w:line="240" w:lineRule="auto"/>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lang w:val="en-US" w:eastAsia="zh-CN" w:bidi="ar-SA"/>
              </w:rPr>
              <w:t>（2）投标人特定资格：①标项1、2、3、4、5投标人为生产厂家须提供《食品生产许可证》、《食品经营许可证》,投标人为经销商则须提供《食品经营许可证》。②标项2肉类物资供应商若为生产厂家或屠宰企业，须提供自有的《屠宰许可证》、《动物防疫条件合格证》，非生产厂家或屠宰企业须提供货物源头厂家的《屠宰许可证》、《动物防疫条件合格证》。</w:t>
            </w:r>
          </w:p>
        </w:tc>
        <w:tc>
          <w:tcPr>
            <w:tcW w:w="3195" w:type="dxa"/>
            <w:noWrap w:val="0"/>
            <w:vAlign w:val="center"/>
          </w:tcPr>
          <w:p w14:paraId="4A73B1D6">
            <w:pPr>
              <w:tabs>
                <w:tab w:val="left" w:pos="0"/>
              </w:tabs>
              <w:adjustRightInd w:val="0"/>
              <w:snapToGrid w:val="0"/>
              <w:rPr>
                <w:rFonts w:hint="eastAsia" w:ascii="仿宋" w:hAnsi="仿宋" w:eastAsia="仿宋" w:cs="仿宋"/>
                <w:color w:val="auto"/>
                <w:kern w:val="0"/>
                <w:sz w:val="32"/>
                <w:szCs w:val="32"/>
              </w:rPr>
            </w:pPr>
            <w:r>
              <w:rPr>
                <w:rFonts w:hint="eastAsia" w:ascii="仿宋" w:hAnsi="仿宋" w:eastAsia="仿宋" w:cs="仿宋"/>
                <w:b/>
                <w:color w:val="auto"/>
                <w:kern w:val="0"/>
                <w:sz w:val="32"/>
                <w:szCs w:val="32"/>
              </w:rPr>
              <w:t>上述证件须提供原件的扫描件并加盖公章或电子章，扫描内容须清晰可辨，上述证件齐全有效、满足需求的供应商为有效供应商；上述证件的公证件本次招标不予认可。以上资料为投标时开标查验的必备条件，必须上传至政采云，如果缺项则视为对招标文件资格审查内容的不响应，投标将被拒绝。</w:t>
            </w:r>
          </w:p>
        </w:tc>
        <w:tc>
          <w:tcPr>
            <w:tcW w:w="1132" w:type="dxa"/>
            <w:noWrap w:val="0"/>
            <w:vAlign w:val="center"/>
          </w:tcPr>
          <w:p w14:paraId="44DC7212">
            <w:pPr>
              <w:tabs>
                <w:tab w:val="left" w:pos="0"/>
              </w:tabs>
              <w:adjustRightInd w:val="0"/>
              <w:snapToGrid w:val="0"/>
              <w:jc w:val="center"/>
              <w:rPr>
                <w:rFonts w:hint="eastAsia" w:ascii="仿宋" w:hAnsi="仿宋" w:eastAsia="仿宋" w:cs="仿宋"/>
                <w:b/>
                <w:color w:val="auto"/>
                <w:kern w:val="0"/>
                <w:sz w:val="32"/>
                <w:szCs w:val="32"/>
              </w:rPr>
            </w:pPr>
          </w:p>
        </w:tc>
      </w:tr>
      <w:tr w14:paraId="27E01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439" w:type="dxa"/>
            <w:noWrap w:val="0"/>
            <w:vAlign w:val="center"/>
          </w:tcPr>
          <w:p w14:paraId="1A033EF7">
            <w:pPr>
              <w:tabs>
                <w:tab w:val="left" w:pos="0"/>
              </w:tabs>
              <w:adjustRightInd w:val="0"/>
              <w:snapToGrid w:val="0"/>
              <w:jc w:val="center"/>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2</w:t>
            </w:r>
          </w:p>
        </w:tc>
        <w:tc>
          <w:tcPr>
            <w:tcW w:w="6405" w:type="dxa"/>
            <w:noWrap w:val="0"/>
            <w:vAlign w:val="center"/>
          </w:tcPr>
          <w:p w14:paraId="645A03A0">
            <w:pPr>
              <w:tabs>
                <w:tab w:val="left" w:pos="0"/>
              </w:tabs>
              <w:adjustRightInd w:val="0"/>
              <w:snapToGrid w:val="0"/>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供应商为企业法人应提供合法有效的标识有统一社会信用代码的营业执照；事业法人应提供事业单位法人证书；其他组织应提供合法登记证明文件；</w:t>
            </w:r>
          </w:p>
        </w:tc>
        <w:tc>
          <w:tcPr>
            <w:tcW w:w="3195" w:type="dxa"/>
            <w:noWrap w:val="0"/>
            <w:vAlign w:val="center"/>
          </w:tcPr>
          <w:p w14:paraId="3EC921C7">
            <w:pPr>
              <w:adjustRightInd w:val="0"/>
              <w:snapToGrid w:val="0"/>
              <w:jc w:val="center"/>
              <w:rPr>
                <w:rFonts w:ascii="仿宋" w:hAnsi="仿宋" w:eastAsia="仿宋" w:cs="仿宋"/>
                <w:b/>
                <w:color w:val="auto"/>
                <w:kern w:val="0"/>
                <w:sz w:val="32"/>
                <w:szCs w:val="32"/>
              </w:rPr>
            </w:pPr>
            <w:r>
              <w:rPr>
                <w:rFonts w:hint="eastAsia" w:ascii="仿宋" w:hAnsi="仿宋" w:eastAsia="仿宋" w:cs="仿宋"/>
                <w:color w:val="auto"/>
                <w:kern w:val="0"/>
                <w:sz w:val="32"/>
                <w:szCs w:val="32"/>
              </w:rPr>
              <w:t>上传有效的营业执照扫描件</w:t>
            </w:r>
          </w:p>
        </w:tc>
        <w:tc>
          <w:tcPr>
            <w:tcW w:w="1132" w:type="dxa"/>
            <w:noWrap w:val="0"/>
            <w:vAlign w:val="center"/>
          </w:tcPr>
          <w:p w14:paraId="66EB8BF8">
            <w:pPr>
              <w:tabs>
                <w:tab w:val="left" w:pos="0"/>
              </w:tabs>
              <w:adjustRightInd w:val="0"/>
              <w:snapToGrid w:val="0"/>
              <w:jc w:val="center"/>
              <w:rPr>
                <w:rFonts w:hint="eastAsia" w:ascii="仿宋" w:hAnsi="仿宋" w:eastAsia="仿宋" w:cs="仿宋"/>
                <w:b/>
                <w:color w:val="auto"/>
                <w:kern w:val="0"/>
                <w:sz w:val="32"/>
                <w:szCs w:val="32"/>
              </w:rPr>
            </w:pPr>
          </w:p>
        </w:tc>
      </w:tr>
      <w:tr w14:paraId="1AAB5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439" w:type="dxa"/>
            <w:noWrap w:val="0"/>
            <w:vAlign w:val="center"/>
          </w:tcPr>
          <w:p w14:paraId="292375BC">
            <w:pPr>
              <w:tabs>
                <w:tab w:val="left" w:pos="0"/>
              </w:tabs>
              <w:adjustRightInd w:val="0"/>
              <w:snapToGrid w:val="0"/>
              <w:jc w:val="center"/>
              <w:rPr>
                <w:rFonts w:ascii="仿宋" w:hAnsi="仿宋" w:eastAsia="仿宋" w:cs="仿宋"/>
                <w:color w:val="auto"/>
                <w:kern w:val="0"/>
                <w:sz w:val="32"/>
                <w:szCs w:val="32"/>
              </w:rPr>
            </w:pPr>
            <w:r>
              <w:rPr>
                <w:rFonts w:hint="eastAsia" w:ascii="仿宋" w:hAnsi="仿宋" w:eastAsia="仿宋" w:cs="仿宋"/>
                <w:color w:val="auto"/>
                <w:kern w:val="0"/>
                <w:sz w:val="32"/>
                <w:szCs w:val="32"/>
              </w:rPr>
              <w:t>3</w:t>
            </w:r>
          </w:p>
        </w:tc>
        <w:tc>
          <w:tcPr>
            <w:tcW w:w="6405" w:type="dxa"/>
            <w:noWrap w:val="0"/>
            <w:vAlign w:val="center"/>
          </w:tcPr>
          <w:p w14:paraId="36CA4AFA">
            <w:pPr>
              <w:rPr>
                <w:rFonts w:hint="eastAsia" w:ascii="仿宋" w:hAnsi="仿宋" w:eastAsia="仿宋" w:cs="仿宋"/>
                <w:color w:val="auto"/>
                <w:kern w:val="0"/>
                <w:sz w:val="32"/>
                <w:szCs w:val="32"/>
              </w:rPr>
            </w:pPr>
            <w:r>
              <w:rPr>
                <w:rFonts w:hint="eastAsia" w:ascii="仿宋" w:hAnsi="仿宋" w:eastAsia="仿宋" w:cs="仿宋"/>
                <w:color w:val="auto"/>
                <w:kern w:val="0"/>
                <w:sz w:val="32"/>
                <w:szCs w:val="32"/>
                <w:lang w:eastAsia="zh-CN"/>
              </w:rPr>
              <w:t>法定代表人及被授权人近6个月内任意1个月社保缴纳证明；</w:t>
            </w:r>
          </w:p>
        </w:tc>
        <w:tc>
          <w:tcPr>
            <w:tcW w:w="3195" w:type="dxa"/>
            <w:noWrap w:val="0"/>
            <w:vAlign w:val="center"/>
          </w:tcPr>
          <w:p w14:paraId="31C705F6">
            <w:pPr>
              <w:tabs>
                <w:tab w:val="left" w:pos="0"/>
              </w:tabs>
              <w:adjustRightInd w:val="0"/>
              <w:snapToGrid w:val="0"/>
              <w:jc w:val="center"/>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上传有效的证明材料</w:t>
            </w:r>
          </w:p>
        </w:tc>
        <w:tc>
          <w:tcPr>
            <w:tcW w:w="1132" w:type="dxa"/>
            <w:noWrap w:val="0"/>
            <w:vAlign w:val="center"/>
          </w:tcPr>
          <w:p w14:paraId="202D870B">
            <w:pPr>
              <w:tabs>
                <w:tab w:val="left" w:pos="0"/>
              </w:tabs>
              <w:adjustRightInd w:val="0"/>
              <w:snapToGrid w:val="0"/>
              <w:jc w:val="center"/>
              <w:rPr>
                <w:rFonts w:hint="eastAsia" w:ascii="仿宋" w:hAnsi="仿宋" w:eastAsia="仿宋" w:cs="仿宋"/>
                <w:color w:val="auto"/>
                <w:kern w:val="0"/>
                <w:sz w:val="32"/>
                <w:szCs w:val="32"/>
              </w:rPr>
            </w:pPr>
          </w:p>
        </w:tc>
      </w:tr>
      <w:tr w14:paraId="735A4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439" w:type="dxa"/>
            <w:noWrap w:val="0"/>
            <w:vAlign w:val="center"/>
          </w:tcPr>
          <w:p w14:paraId="2C4640C1">
            <w:pPr>
              <w:tabs>
                <w:tab w:val="left" w:pos="0"/>
              </w:tabs>
              <w:adjustRightInd w:val="0"/>
              <w:snapToGrid w:val="0"/>
              <w:jc w:val="center"/>
              <w:rPr>
                <w:rFonts w:ascii="仿宋" w:hAnsi="仿宋" w:eastAsia="仿宋" w:cs="仿宋"/>
                <w:color w:val="auto"/>
                <w:kern w:val="0"/>
                <w:sz w:val="32"/>
                <w:szCs w:val="32"/>
              </w:rPr>
            </w:pPr>
            <w:r>
              <w:rPr>
                <w:rFonts w:hint="eastAsia" w:ascii="仿宋" w:hAnsi="仿宋" w:eastAsia="仿宋" w:cs="仿宋"/>
                <w:color w:val="auto"/>
                <w:kern w:val="0"/>
                <w:sz w:val="32"/>
                <w:szCs w:val="32"/>
              </w:rPr>
              <w:t>4</w:t>
            </w:r>
          </w:p>
        </w:tc>
        <w:tc>
          <w:tcPr>
            <w:tcW w:w="6405" w:type="dxa"/>
            <w:noWrap w:val="0"/>
            <w:vAlign w:val="center"/>
          </w:tcPr>
          <w:p w14:paraId="137802C5">
            <w:pPr>
              <w:rPr>
                <w:rFonts w:hint="eastAsia" w:ascii="仿宋" w:hAnsi="仿宋" w:eastAsia="仿宋" w:cs="仿宋"/>
                <w:color w:val="auto"/>
                <w:sz w:val="32"/>
                <w:szCs w:val="32"/>
              </w:rPr>
            </w:pPr>
            <w:r>
              <w:rPr>
                <w:rFonts w:hint="eastAsia" w:ascii="仿宋" w:hAnsi="仿宋" w:eastAsia="仿宋" w:cs="仿宋"/>
                <w:color w:val="auto"/>
                <w:kern w:val="0"/>
                <w:sz w:val="32"/>
                <w:szCs w:val="32"/>
              </w:rPr>
              <w:t>供应商提供2025年的财务审计报告（财务报表应包括资产负债表、利润表、损益表、现金流量表；成立时间至提交投标文件截止时间不足一年的可提供成立后任意时段的资产负债表），或其开标前三个月内基本存款账户开户银行出具的资信证明及基本存款账户开户许可证；</w:t>
            </w:r>
          </w:p>
        </w:tc>
        <w:tc>
          <w:tcPr>
            <w:tcW w:w="3195" w:type="dxa"/>
            <w:noWrap w:val="0"/>
            <w:vAlign w:val="center"/>
          </w:tcPr>
          <w:p w14:paraId="7029ED28">
            <w:pPr>
              <w:tabs>
                <w:tab w:val="left" w:pos="0"/>
              </w:tabs>
              <w:adjustRightInd w:val="0"/>
              <w:snapToGrid w:val="0"/>
              <w:jc w:val="center"/>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上传有效的证明材料</w:t>
            </w:r>
          </w:p>
        </w:tc>
        <w:tc>
          <w:tcPr>
            <w:tcW w:w="1132" w:type="dxa"/>
            <w:noWrap w:val="0"/>
            <w:vAlign w:val="center"/>
          </w:tcPr>
          <w:p w14:paraId="04B7DC49">
            <w:pPr>
              <w:tabs>
                <w:tab w:val="left" w:pos="0"/>
              </w:tabs>
              <w:adjustRightInd w:val="0"/>
              <w:snapToGrid w:val="0"/>
              <w:jc w:val="center"/>
              <w:rPr>
                <w:rFonts w:hint="eastAsia" w:ascii="仿宋" w:hAnsi="仿宋" w:eastAsia="仿宋" w:cs="仿宋"/>
                <w:color w:val="auto"/>
                <w:kern w:val="0"/>
                <w:sz w:val="32"/>
                <w:szCs w:val="32"/>
              </w:rPr>
            </w:pPr>
          </w:p>
        </w:tc>
      </w:tr>
      <w:tr w14:paraId="76C67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439" w:type="dxa"/>
            <w:noWrap w:val="0"/>
            <w:vAlign w:val="center"/>
          </w:tcPr>
          <w:p w14:paraId="63D9D61B">
            <w:pPr>
              <w:tabs>
                <w:tab w:val="left" w:pos="0"/>
              </w:tabs>
              <w:adjustRightInd w:val="0"/>
              <w:snapToGrid w:val="0"/>
              <w:jc w:val="center"/>
              <w:rPr>
                <w:rFonts w:ascii="仿宋" w:hAnsi="仿宋" w:eastAsia="仿宋" w:cs="仿宋"/>
                <w:color w:val="auto"/>
                <w:kern w:val="0"/>
                <w:sz w:val="32"/>
                <w:szCs w:val="32"/>
              </w:rPr>
            </w:pPr>
            <w:r>
              <w:rPr>
                <w:rFonts w:hint="eastAsia" w:ascii="仿宋" w:hAnsi="仿宋" w:eastAsia="仿宋" w:cs="仿宋"/>
                <w:color w:val="auto"/>
                <w:kern w:val="0"/>
                <w:sz w:val="32"/>
                <w:szCs w:val="32"/>
              </w:rPr>
              <w:t>5</w:t>
            </w:r>
          </w:p>
        </w:tc>
        <w:tc>
          <w:tcPr>
            <w:tcW w:w="6405" w:type="dxa"/>
            <w:noWrap w:val="0"/>
            <w:vAlign w:val="center"/>
          </w:tcPr>
          <w:p w14:paraId="3D5FF261">
            <w:pPr>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供应商提供近</w:t>
            </w:r>
            <w:r>
              <w:rPr>
                <w:rFonts w:hint="eastAsia" w:ascii="仿宋" w:hAnsi="仿宋" w:eastAsia="仿宋" w:cs="仿宋"/>
                <w:color w:val="auto"/>
                <w:kern w:val="0"/>
                <w:sz w:val="32"/>
                <w:szCs w:val="32"/>
                <w:lang w:val="en-US" w:eastAsia="zh-CN"/>
              </w:rPr>
              <w:t>三个月</w:t>
            </w:r>
            <w:r>
              <w:rPr>
                <w:rFonts w:hint="eastAsia" w:ascii="仿宋" w:hAnsi="仿宋" w:eastAsia="仿宋" w:cs="仿宋"/>
                <w:color w:val="auto"/>
                <w:kern w:val="0"/>
                <w:sz w:val="32"/>
                <w:szCs w:val="32"/>
              </w:rPr>
              <w:t>已缴纳的纳税证明或完税证明需加盖单位公章，依法免税的供应商应提供相关文件证明；</w:t>
            </w:r>
          </w:p>
        </w:tc>
        <w:tc>
          <w:tcPr>
            <w:tcW w:w="3195" w:type="dxa"/>
            <w:noWrap w:val="0"/>
            <w:vAlign w:val="center"/>
          </w:tcPr>
          <w:p w14:paraId="2CD0B632">
            <w:pPr>
              <w:tabs>
                <w:tab w:val="left" w:pos="0"/>
              </w:tabs>
              <w:adjustRightInd w:val="0"/>
              <w:snapToGrid w:val="0"/>
              <w:jc w:val="center"/>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上传有效的证明材料</w:t>
            </w:r>
          </w:p>
        </w:tc>
        <w:tc>
          <w:tcPr>
            <w:tcW w:w="1132" w:type="dxa"/>
            <w:noWrap w:val="0"/>
            <w:vAlign w:val="center"/>
          </w:tcPr>
          <w:p w14:paraId="3A42DC63">
            <w:pPr>
              <w:tabs>
                <w:tab w:val="left" w:pos="0"/>
              </w:tabs>
              <w:adjustRightInd w:val="0"/>
              <w:snapToGrid w:val="0"/>
              <w:jc w:val="center"/>
              <w:rPr>
                <w:rFonts w:hint="eastAsia" w:ascii="仿宋" w:hAnsi="仿宋" w:eastAsia="仿宋" w:cs="仿宋"/>
                <w:color w:val="auto"/>
                <w:kern w:val="0"/>
                <w:sz w:val="32"/>
                <w:szCs w:val="32"/>
              </w:rPr>
            </w:pPr>
          </w:p>
        </w:tc>
      </w:tr>
      <w:tr w14:paraId="1BC2D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439" w:type="dxa"/>
            <w:noWrap w:val="0"/>
            <w:vAlign w:val="center"/>
          </w:tcPr>
          <w:p w14:paraId="2F76DFB9">
            <w:pPr>
              <w:tabs>
                <w:tab w:val="left" w:pos="0"/>
              </w:tabs>
              <w:adjustRightInd w:val="0"/>
              <w:snapToGrid w:val="0"/>
              <w:jc w:val="center"/>
              <w:rPr>
                <w:rFonts w:ascii="仿宋" w:hAnsi="仿宋" w:eastAsia="仿宋" w:cs="仿宋"/>
                <w:color w:val="auto"/>
                <w:kern w:val="0"/>
                <w:sz w:val="32"/>
                <w:szCs w:val="32"/>
              </w:rPr>
            </w:pPr>
            <w:r>
              <w:rPr>
                <w:rFonts w:hint="eastAsia" w:ascii="仿宋" w:hAnsi="仿宋" w:eastAsia="仿宋" w:cs="仿宋"/>
                <w:color w:val="auto"/>
                <w:kern w:val="0"/>
                <w:sz w:val="32"/>
                <w:szCs w:val="32"/>
              </w:rPr>
              <w:t>6</w:t>
            </w:r>
          </w:p>
        </w:tc>
        <w:tc>
          <w:tcPr>
            <w:tcW w:w="6405" w:type="dxa"/>
            <w:noWrap w:val="0"/>
            <w:vAlign w:val="center"/>
          </w:tcPr>
          <w:p w14:paraId="093AF4CC">
            <w:pPr>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在经营活动中没有重大违法记录声明函</w:t>
            </w:r>
          </w:p>
        </w:tc>
        <w:tc>
          <w:tcPr>
            <w:tcW w:w="3195" w:type="dxa"/>
            <w:noWrap w:val="0"/>
            <w:vAlign w:val="center"/>
          </w:tcPr>
          <w:p w14:paraId="198C6CD8">
            <w:pPr>
              <w:tabs>
                <w:tab w:val="left" w:pos="0"/>
              </w:tabs>
              <w:adjustRightInd w:val="0"/>
              <w:snapToGrid w:val="0"/>
              <w:jc w:val="center"/>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上传有效的声明函</w:t>
            </w:r>
          </w:p>
        </w:tc>
        <w:tc>
          <w:tcPr>
            <w:tcW w:w="1132" w:type="dxa"/>
            <w:noWrap w:val="0"/>
            <w:vAlign w:val="center"/>
          </w:tcPr>
          <w:p w14:paraId="066D8BA2">
            <w:pPr>
              <w:tabs>
                <w:tab w:val="left" w:pos="0"/>
              </w:tabs>
              <w:adjustRightInd w:val="0"/>
              <w:snapToGrid w:val="0"/>
              <w:jc w:val="center"/>
              <w:rPr>
                <w:rFonts w:hint="eastAsia" w:ascii="仿宋" w:hAnsi="仿宋" w:eastAsia="仿宋" w:cs="仿宋"/>
                <w:color w:val="auto"/>
                <w:kern w:val="0"/>
                <w:sz w:val="32"/>
                <w:szCs w:val="32"/>
              </w:rPr>
            </w:pPr>
          </w:p>
        </w:tc>
      </w:tr>
    </w:tbl>
    <w:p w14:paraId="24420FF7">
      <w:pPr>
        <w:pStyle w:val="2"/>
        <w:keepNext w:val="0"/>
        <w:keepLines w:val="0"/>
        <w:spacing w:line="360" w:lineRule="auto"/>
        <w:rPr>
          <w:rFonts w:hint="eastAsia" w:ascii="仿宋_GB2312" w:hAnsi="仿宋_GB2312" w:eastAsia="仿宋_GB2312" w:cs="仿宋_GB2312"/>
          <w:color w:val="auto"/>
          <w:sz w:val="32"/>
          <w:szCs w:val="32"/>
        </w:rPr>
      </w:pPr>
    </w:p>
    <w:p w14:paraId="17FD9968">
      <w:pPr>
        <w:rPr>
          <w:rFonts w:hint="eastAsia" w:ascii="仿宋_GB2312" w:hAnsi="仿宋_GB2312" w:eastAsia="仿宋_GB2312" w:cs="仿宋_GB2312"/>
          <w:color w:val="auto"/>
          <w:sz w:val="32"/>
          <w:szCs w:val="32"/>
        </w:rPr>
      </w:pPr>
    </w:p>
    <w:p w14:paraId="06C1BB16">
      <w:pPr>
        <w:rPr>
          <w:rFonts w:hint="eastAsia" w:ascii="仿宋_GB2312" w:hAnsi="仿宋_GB2312" w:eastAsia="仿宋_GB2312" w:cs="仿宋_GB2312"/>
          <w:color w:val="auto"/>
          <w:sz w:val="32"/>
          <w:szCs w:val="32"/>
        </w:rPr>
      </w:pPr>
    </w:p>
    <w:p w14:paraId="061DE058">
      <w:pPr>
        <w:rPr>
          <w:rFonts w:hint="eastAsia" w:ascii="仿宋_GB2312" w:hAnsi="仿宋_GB2312" w:eastAsia="仿宋_GB2312" w:cs="仿宋_GB2312"/>
          <w:color w:val="auto"/>
          <w:sz w:val="32"/>
          <w:szCs w:val="32"/>
        </w:rPr>
      </w:pPr>
    </w:p>
    <w:p w14:paraId="7EE638A6">
      <w:pPr>
        <w:rPr>
          <w:rFonts w:hint="eastAsia" w:ascii="仿宋_GB2312" w:hAnsi="仿宋_GB2312" w:eastAsia="仿宋_GB2312" w:cs="仿宋_GB2312"/>
          <w:color w:val="auto"/>
          <w:sz w:val="32"/>
          <w:szCs w:val="32"/>
        </w:rPr>
      </w:pPr>
    </w:p>
    <w:p w14:paraId="377C50DF">
      <w:pPr>
        <w:rPr>
          <w:rFonts w:hint="eastAsia" w:ascii="仿宋_GB2312" w:hAnsi="仿宋_GB2312" w:eastAsia="仿宋_GB2312" w:cs="仿宋_GB2312"/>
          <w:color w:val="auto"/>
          <w:sz w:val="32"/>
          <w:szCs w:val="32"/>
        </w:rPr>
      </w:pPr>
    </w:p>
    <w:p w14:paraId="60B32014">
      <w:pPr>
        <w:pStyle w:val="33"/>
        <w:rPr>
          <w:rFonts w:hint="eastAsia"/>
          <w:color w:val="auto"/>
        </w:rPr>
      </w:pPr>
    </w:p>
    <w:p w14:paraId="01490454">
      <w:pPr>
        <w:pStyle w:val="2"/>
        <w:keepNext w:val="0"/>
        <w:keepLines w:val="0"/>
        <w:spacing w:line="360" w:lineRule="auto"/>
        <w:rPr>
          <w:rFonts w:hint="eastAsia" w:ascii="仿宋_GB2312" w:hAnsi="仿宋_GB2312" w:eastAsia="仿宋_GB2312" w:cs="仿宋_GB2312"/>
          <w:color w:val="auto"/>
          <w:sz w:val="32"/>
          <w:szCs w:val="32"/>
        </w:rPr>
      </w:pPr>
    </w:p>
    <w:p w14:paraId="7EB0D621">
      <w:pPr>
        <w:pStyle w:val="2"/>
        <w:keepNext w:val="0"/>
        <w:keepLines w:val="0"/>
        <w:spacing w:line="360" w:lineRule="auto"/>
        <w:rPr>
          <w:rFonts w:hint="eastAsia" w:ascii="仿宋_GB2312" w:hAnsi="仿宋_GB2312" w:eastAsia="仿宋_GB2312" w:cs="仿宋_GB2312"/>
          <w:color w:val="auto"/>
          <w:sz w:val="32"/>
          <w:szCs w:val="32"/>
        </w:rPr>
      </w:pPr>
    </w:p>
    <w:p w14:paraId="6DA259AE">
      <w:pPr>
        <w:pStyle w:val="2"/>
        <w:keepNext w:val="0"/>
        <w:keepLines w:val="0"/>
        <w:spacing w:line="360" w:lineRule="auto"/>
        <w:rPr>
          <w:rFonts w:hint="eastAsia" w:ascii="仿宋_GB2312" w:hAnsi="仿宋_GB2312" w:eastAsia="仿宋_GB2312" w:cs="仿宋_GB2312"/>
          <w:color w:val="auto"/>
          <w:sz w:val="32"/>
          <w:szCs w:val="32"/>
        </w:rPr>
      </w:pPr>
    </w:p>
    <w:p w14:paraId="7568363C">
      <w:pPr>
        <w:rPr>
          <w:rFonts w:hint="eastAsia" w:ascii="仿宋_GB2312" w:hAnsi="仿宋_GB2312" w:eastAsia="仿宋_GB2312" w:cs="仿宋_GB2312"/>
          <w:color w:val="auto"/>
          <w:sz w:val="32"/>
          <w:szCs w:val="32"/>
        </w:rPr>
      </w:pPr>
    </w:p>
    <w:p w14:paraId="1FD0C28B">
      <w:pPr>
        <w:rPr>
          <w:rFonts w:hint="eastAsia" w:ascii="仿宋_GB2312" w:hAnsi="仿宋_GB2312" w:eastAsia="仿宋_GB2312" w:cs="仿宋_GB2312"/>
          <w:color w:val="auto"/>
          <w:sz w:val="32"/>
          <w:szCs w:val="32"/>
        </w:rPr>
      </w:pPr>
    </w:p>
    <w:p w14:paraId="623A9837">
      <w:pPr>
        <w:rPr>
          <w:rFonts w:hint="eastAsia" w:ascii="仿宋_GB2312" w:hAnsi="仿宋_GB2312" w:eastAsia="仿宋_GB2312" w:cs="仿宋_GB2312"/>
          <w:color w:val="auto"/>
          <w:sz w:val="32"/>
          <w:szCs w:val="32"/>
        </w:rPr>
      </w:pPr>
    </w:p>
    <w:p w14:paraId="5208A5A4">
      <w:pPr>
        <w:rPr>
          <w:rFonts w:hint="eastAsia" w:ascii="仿宋_GB2312" w:hAnsi="仿宋_GB2312" w:eastAsia="仿宋_GB2312" w:cs="仿宋_GB2312"/>
          <w:color w:val="auto"/>
          <w:sz w:val="32"/>
          <w:szCs w:val="32"/>
        </w:rPr>
      </w:pPr>
    </w:p>
    <w:p w14:paraId="56B63D78">
      <w:pPr>
        <w:rPr>
          <w:rFonts w:hint="eastAsia" w:ascii="仿宋_GB2312" w:hAnsi="仿宋_GB2312" w:eastAsia="仿宋_GB2312" w:cs="仿宋_GB2312"/>
          <w:color w:val="auto"/>
          <w:sz w:val="32"/>
          <w:szCs w:val="32"/>
        </w:rPr>
      </w:pPr>
    </w:p>
    <w:p w14:paraId="15FDFC81">
      <w:pPr>
        <w:rPr>
          <w:rFonts w:hint="eastAsia" w:ascii="仿宋_GB2312" w:hAnsi="仿宋_GB2312" w:eastAsia="仿宋_GB2312" w:cs="仿宋_GB2312"/>
          <w:color w:val="auto"/>
          <w:sz w:val="32"/>
          <w:szCs w:val="32"/>
        </w:rPr>
      </w:pPr>
    </w:p>
    <w:p w14:paraId="48C1F8E9">
      <w:pPr>
        <w:rPr>
          <w:rFonts w:hint="eastAsia" w:ascii="仿宋_GB2312" w:hAnsi="仿宋_GB2312" w:eastAsia="仿宋_GB2312" w:cs="仿宋_GB2312"/>
          <w:color w:val="auto"/>
          <w:sz w:val="32"/>
          <w:szCs w:val="32"/>
        </w:rPr>
      </w:pPr>
    </w:p>
    <w:p w14:paraId="793CA0FA">
      <w:pPr>
        <w:rPr>
          <w:rFonts w:hint="eastAsia" w:ascii="仿宋_GB2312" w:hAnsi="仿宋_GB2312" w:eastAsia="仿宋_GB2312" w:cs="仿宋_GB2312"/>
          <w:color w:val="auto"/>
          <w:sz w:val="32"/>
          <w:szCs w:val="32"/>
        </w:rPr>
      </w:pPr>
    </w:p>
    <w:p w14:paraId="402E4513">
      <w:pPr>
        <w:rPr>
          <w:rFonts w:hint="eastAsia" w:ascii="仿宋_GB2312" w:hAnsi="仿宋_GB2312" w:eastAsia="仿宋_GB2312" w:cs="仿宋_GB2312"/>
          <w:color w:val="auto"/>
          <w:sz w:val="32"/>
          <w:szCs w:val="32"/>
        </w:rPr>
      </w:pPr>
    </w:p>
    <w:p w14:paraId="6DCD3E0C">
      <w:pPr>
        <w:rPr>
          <w:rFonts w:hint="eastAsia" w:ascii="仿宋_GB2312" w:hAnsi="仿宋_GB2312" w:eastAsia="仿宋_GB2312" w:cs="仿宋_GB2312"/>
          <w:color w:val="auto"/>
          <w:sz w:val="32"/>
          <w:szCs w:val="32"/>
        </w:rPr>
      </w:pPr>
    </w:p>
    <w:p w14:paraId="15BCDDD6">
      <w:pPr>
        <w:pStyle w:val="2"/>
        <w:keepNext w:val="0"/>
        <w:keepLines w:val="0"/>
        <w:spacing w:line="360" w:lineRule="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附表2                    符合性审查标准表</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9"/>
        <w:gridCol w:w="3077"/>
        <w:gridCol w:w="5556"/>
      </w:tblGrid>
      <w:tr w14:paraId="72128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809" w:type="dxa"/>
            <w:noWrap w:val="0"/>
            <w:vAlign w:val="center"/>
          </w:tcPr>
          <w:p w14:paraId="79A83557">
            <w:pPr>
              <w:pStyle w:val="12"/>
              <w:tabs>
                <w:tab w:val="left" w:pos="567"/>
              </w:tabs>
              <w:spacing w:line="360" w:lineRule="auto"/>
              <w:jc w:val="center"/>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序号</w:t>
            </w:r>
          </w:p>
        </w:tc>
        <w:tc>
          <w:tcPr>
            <w:tcW w:w="3077" w:type="dxa"/>
            <w:noWrap w:val="0"/>
            <w:vAlign w:val="center"/>
          </w:tcPr>
          <w:p w14:paraId="4955CB0D">
            <w:pPr>
              <w:pStyle w:val="12"/>
              <w:tabs>
                <w:tab w:val="left" w:pos="567"/>
              </w:tabs>
              <w:spacing w:line="360" w:lineRule="auto"/>
              <w:jc w:val="center"/>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审查项目</w:t>
            </w:r>
          </w:p>
        </w:tc>
        <w:tc>
          <w:tcPr>
            <w:tcW w:w="5556" w:type="dxa"/>
            <w:noWrap w:val="0"/>
            <w:vAlign w:val="center"/>
          </w:tcPr>
          <w:p w14:paraId="363FBD7E">
            <w:pPr>
              <w:pStyle w:val="12"/>
              <w:tabs>
                <w:tab w:val="left" w:pos="567"/>
              </w:tabs>
              <w:spacing w:line="360" w:lineRule="auto"/>
              <w:jc w:val="center"/>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投标审查要求</w:t>
            </w:r>
          </w:p>
        </w:tc>
      </w:tr>
      <w:tr w14:paraId="49E44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809" w:type="dxa"/>
            <w:noWrap w:val="0"/>
            <w:vAlign w:val="center"/>
          </w:tcPr>
          <w:p w14:paraId="6097CA61">
            <w:pPr>
              <w:pStyle w:val="12"/>
              <w:tabs>
                <w:tab w:val="left" w:pos="567"/>
              </w:tabs>
              <w:spacing w:line="360" w:lineRule="auto"/>
              <w:jc w:val="center"/>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1</w:t>
            </w:r>
          </w:p>
        </w:tc>
        <w:tc>
          <w:tcPr>
            <w:tcW w:w="3077" w:type="dxa"/>
            <w:noWrap w:val="0"/>
            <w:vAlign w:val="center"/>
          </w:tcPr>
          <w:p w14:paraId="63698795">
            <w:pPr>
              <w:pStyle w:val="12"/>
              <w:tabs>
                <w:tab w:val="left" w:pos="567"/>
              </w:tabs>
              <w:spacing w:line="360" w:lineRule="auto"/>
              <w:jc w:val="center"/>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签署、盖章</w:t>
            </w:r>
          </w:p>
        </w:tc>
        <w:tc>
          <w:tcPr>
            <w:tcW w:w="5556" w:type="dxa"/>
            <w:noWrap w:val="0"/>
            <w:vAlign w:val="center"/>
          </w:tcPr>
          <w:p w14:paraId="1341033B">
            <w:pPr>
              <w:pStyle w:val="12"/>
              <w:tabs>
                <w:tab w:val="left" w:pos="567"/>
              </w:tabs>
              <w:spacing w:line="360" w:lineRule="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投标文件按招标文件要求签署、盖章的</w:t>
            </w:r>
          </w:p>
        </w:tc>
      </w:tr>
      <w:tr w14:paraId="5122A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809" w:type="dxa"/>
            <w:noWrap w:val="0"/>
            <w:vAlign w:val="center"/>
          </w:tcPr>
          <w:p w14:paraId="75B24087">
            <w:pPr>
              <w:pStyle w:val="12"/>
              <w:tabs>
                <w:tab w:val="left" w:pos="567"/>
              </w:tabs>
              <w:spacing w:line="360" w:lineRule="auto"/>
              <w:jc w:val="center"/>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2</w:t>
            </w:r>
          </w:p>
        </w:tc>
        <w:tc>
          <w:tcPr>
            <w:tcW w:w="3077" w:type="dxa"/>
            <w:noWrap w:val="0"/>
            <w:vAlign w:val="center"/>
          </w:tcPr>
          <w:p w14:paraId="3DE97849">
            <w:pPr>
              <w:pStyle w:val="12"/>
              <w:tabs>
                <w:tab w:val="left" w:pos="567"/>
              </w:tabs>
              <w:spacing w:line="360" w:lineRule="auto"/>
              <w:jc w:val="center"/>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投标报价</w:t>
            </w:r>
          </w:p>
        </w:tc>
        <w:tc>
          <w:tcPr>
            <w:tcW w:w="5556" w:type="dxa"/>
            <w:noWrap w:val="0"/>
            <w:vAlign w:val="center"/>
          </w:tcPr>
          <w:p w14:paraId="22503552">
            <w:pPr>
              <w:pStyle w:val="12"/>
              <w:tabs>
                <w:tab w:val="left" w:pos="567"/>
              </w:tabs>
              <w:spacing w:line="360" w:lineRule="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投标人投标报价未超出采购预算或最高限价的</w:t>
            </w:r>
          </w:p>
        </w:tc>
      </w:tr>
      <w:tr w14:paraId="59807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809" w:type="dxa"/>
            <w:noWrap w:val="0"/>
            <w:vAlign w:val="center"/>
          </w:tcPr>
          <w:p w14:paraId="67DC1A2D">
            <w:pPr>
              <w:pStyle w:val="12"/>
              <w:tabs>
                <w:tab w:val="left" w:pos="567"/>
              </w:tabs>
              <w:spacing w:line="360" w:lineRule="auto"/>
              <w:jc w:val="center"/>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3</w:t>
            </w:r>
          </w:p>
        </w:tc>
        <w:tc>
          <w:tcPr>
            <w:tcW w:w="3077" w:type="dxa"/>
            <w:noWrap w:val="0"/>
            <w:vAlign w:val="center"/>
          </w:tcPr>
          <w:p w14:paraId="03628832">
            <w:pPr>
              <w:pStyle w:val="12"/>
              <w:tabs>
                <w:tab w:val="left" w:pos="567"/>
              </w:tabs>
              <w:spacing w:line="360" w:lineRule="auto"/>
              <w:jc w:val="center"/>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报价合理性</w:t>
            </w:r>
          </w:p>
        </w:tc>
        <w:tc>
          <w:tcPr>
            <w:tcW w:w="5556" w:type="dxa"/>
            <w:noWrap w:val="0"/>
            <w:vAlign w:val="center"/>
          </w:tcPr>
          <w:p w14:paraId="1D60EEFF">
            <w:pPr>
              <w:pStyle w:val="12"/>
              <w:tabs>
                <w:tab w:val="left" w:pos="567"/>
              </w:tabs>
              <w:spacing w:line="360" w:lineRule="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投标人的报价无明显低于其他通过符合性审查投标人的报价，不影响产品质量或者能诚信履约的，且投标人可以证明其报价合理性的</w:t>
            </w:r>
          </w:p>
        </w:tc>
      </w:tr>
      <w:tr w14:paraId="0691A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809" w:type="dxa"/>
            <w:noWrap w:val="0"/>
            <w:vAlign w:val="center"/>
          </w:tcPr>
          <w:p w14:paraId="19E7D7D0">
            <w:pPr>
              <w:pStyle w:val="12"/>
              <w:tabs>
                <w:tab w:val="left" w:pos="567"/>
              </w:tabs>
              <w:spacing w:line="360" w:lineRule="auto"/>
              <w:jc w:val="center"/>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4</w:t>
            </w:r>
          </w:p>
        </w:tc>
        <w:tc>
          <w:tcPr>
            <w:tcW w:w="3077" w:type="dxa"/>
            <w:noWrap w:val="0"/>
            <w:vAlign w:val="center"/>
          </w:tcPr>
          <w:p w14:paraId="5BB88E74">
            <w:pPr>
              <w:pStyle w:val="12"/>
              <w:tabs>
                <w:tab w:val="left" w:pos="567"/>
              </w:tabs>
              <w:spacing w:line="360" w:lineRule="auto"/>
              <w:jc w:val="center"/>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投标保证金</w:t>
            </w:r>
          </w:p>
        </w:tc>
        <w:tc>
          <w:tcPr>
            <w:tcW w:w="5556" w:type="dxa"/>
            <w:noWrap w:val="0"/>
            <w:vAlign w:val="center"/>
          </w:tcPr>
          <w:p w14:paraId="392F5CD7">
            <w:pPr>
              <w:pStyle w:val="12"/>
              <w:tabs>
                <w:tab w:val="left" w:pos="567"/>
              </w:tabs>
              <w:spacing w:line="360" w:lineRule="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投标保证金提交或金额、形式完全符合招标文件要求的</w:t>
            </w:r>
          </w:p>
        </w:tc>
      </w:tr>
      <w:tr w14:paraId="22108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jc w:val="center"/>
        </w:trPr>
        <w:tc>
          <w:tcPr>
            <w:tcW w:w="809" w:type="dxa"/>
            <w:noWrap w:val="0"/>
            <w:vAlign w:val="center"/>
          </w:tcPr>
          <w:p w14:paraId="14FFEC42">
            <w:pPr>
              <w:pStyle w:val="12"/>
              <w:tabs>
                <w:tab w:val="left" w:pos="567"/>
              </w:tabs>
              <w:spacing w:line="360" w:lineRule="auto"/>
              <w:jc w:val="center"/>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5</w:t>
            </w:r>
          </w:p>
        </w:tc>
        <w:tc>
          <w:tcPr>
            <w:tcW w:w="3077" w:type="dxa"/>
            <w:noWrap w:val="0"/>
            <w:vAlign w:val="center"/>
          </w:tcPr>
          <w:p w14:paraId="79B079FE">
            <w:pPr>
              <w:pStyle w:val="12"/>
              <w:tabs>
                <w:tab w:val="left" w:pos="567"/>
              </w:tabs>
              <w:spacing w:line="360" w:lineRule="auto"/>
              <w:jc w:val="center"/>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投标内容</w:t>
            </w:r>
          </w:p>
        </w:tc>
        <w:tc>
          <w:tcPr>
            <w:tcW w:w="5556" w:type="dxa"/>
            <w:noWrap w:val="0"/>
            <w:vAlign w:val="center"/>
          </w:tcPr>
          <w:p w14:paraId="1F7C9989">
            <w:pPr>
              <w:pStyle w:val="12"/>
              <w:tabs>
                <w:tab w:val="left" w:pos="567"/>
              </w:tabs>
              <w:spacing w:line="360" w:lineRule="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投标内容未出现漏项或数量与要求不符或投标内容的技术指标未达到招标文件要求，未造成采购档次降低或影响采购性能、功能</w:t>
            </w:r>
          </w:p>
        </w:tc>
      </w:tr>
      <w:tr w14:paraId="65341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809" w:type="dxa"/>
            <w:noWrap w:val="0"/>
            <w:vAlign w:val="center"/>
          </w:tcPr>
          <w:p w14:paraId="272A49CA">
            <w:pPr>
              <w:pStyle w:val="12"/>
              <w:tabs>
                <w:tab w:val="left" w:pos="567"/>
              </w:tabs>
              <w:spacing w:line="360" w:lineRule="auto"/>
              <w:jc w:val="center"/>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6</w:t>
            </w:r>
          </w:p>
        </w:tc>
        <w:tc>
          <w:tcPr>
            <w:tcW w:w="3077" w:type="dxa"/>
            <w:noWrap w:val="0"/>
            <w:vAlign w:val="center"/>
          </w:tcPr>
          <w:p w14:paraId="4AAFA2DD">
            <w:pPr>
              <w:pStyle w:val="12"/>
              <w:tabs>
                <w:tab w:val="left" w:pos="567"/>
              </w:tabs>
              <w:spacing w:line="360" w:lineRule="auto"/>
              <w:jc w:val="center"/>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合同履行期限</w:t>
            </w:r>
          </w:p>
        </w:tc>
        <w:tc>
          <w:tcPr>
            <w:tcW w:w="5556" w:type="dxa"/>
            <w:noWrap w:val="0"/>
            <w:vAlign w:val="center"/>
          </w:tcPr>
          <w:p w14:paraId="5E276390">
            <w:pPr>
              <w:tabs>
                <w:tab w:val="left" w:pos="0"/>
              </w:tabs>
              <w:adjustRightInd w:val="0"/>
              <w:snapToGrid w:val="0"/>
              <w:spacing w:line="360" w:lineRule="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应满足招标文件中要求的合同履行期限</w:t>
            </w:r>
          </w:p>
        </w:tc>
      </w:tr>
      <w:tr w14:paraId="75DB8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809" w:type="dxa"/>
            <w:noWrap w:val="0"/>
            <w:vAlign w:val="center"/>
          </w:tcPr>
          <w:p w14:paraId="5FC3D5C1">
            <w:pPr>
              <w:pStyle w:val="12"/>
              <w:tabs>
                <w:tab w:val="left" w:pos="567"/>
              </w:tabs>
              <w:spacing w:line="360" w:lineRule="auto"/>
              <w:jc w:val="center"/>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7</w:t>
            </w:r>
          </w:p>
        </w:tc>
        <w:tc>
          <w:tcPr>
            <w:tcW w:w="3077" w:type="dxa"/>
            <w:noWrap w:val="0"/>
            <w:vAlign w:val="center"/>
          </w:tcPr>
          <w:p w14:paraId="0EBBBA19">
            <w:pPr>
              <w:pStyle w:val="12"/>
              <w:tabs>
                <w:tab w:val="left" w:pos="567"/>
              </w:tabs>
              <w:spacing w:line="360" w:lineRule="auto"/>
              <w:jc w:val="center"/>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其它情形</w:t>
            </w:r>
          </w:p>
        </w:tc>
        <w:tc>
          <w:tcPr>
            <w:tcW w:w="5556" w:type="dxa"/>
            <w:noWrap w:val="0"/>
            <w:vAlign w:val="center"/>
          </w:tcPr>
          <w:p w14:paraId="042F6028">
            <w:pPr>
              <w:pStyle w:val="12"/>
              <w:tabs>
                <w:tab w:val="left" w:pos="567"/>
              </w:tabs>
              <w:spacing w:line="360" w:lineRule="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不存在其它不符合法律法规或招标文件规定的投标无效条款</w:t>
            </w:r>
          </w:p>
        </w:tc>
      </w:tr>
      <w:tr w14:paraId="09CA2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809" w:type="dxa"/>
            <w:noWrap w:val="0"/>
            <w:vAlign w:val="center"/>
          </w:tcPr>
          <w:p w14:paraId="39FE6DA0">
            <w:pPr>
              <w:pStyle w:val="12"/>
              <w:tabs>
                <w:tab w:val="left" w:pos="567"/>
              </w:tabs>
              <w:spacing w:line="360" w:lineRule="auto"/>
              <w:jc w:val="center"/>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8</w:t>
            </w:r>
          </w:p>
        </w:tc>
        <w:tc>
          <w:tcPr>
            <w:tcW w:w="3077" w:type="dxa"/>
            <w:noWrap w:val="0"/>
            <w:vAlign w:val="center"/>
          </w:tcPr>
          <w:p w14:paraId="078013CC">
            <w:pPr>
              <w:pStyle w:val="12"/>
              <w:tabs>
                <w:tab w:val="left" w:pos="567"/>
              </w:tabs>
              <w:spacing w:line="360" w:lineRule="auto"/>
              <w:jc w:val="center"/>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★为核心商务技术要求</w:t>
            </w:r>
          </w:p>
        </w:tc>
        <w:tc>
          <w:tcPr>
            <w:tcW w:w="5556" w:type="dxa"/>
            <w:noWrap w:val="0"/>
            <w:vAlign w:val="center"/>
          </w:tcPr>
          <w:p w14:paraId="346FB8F6">
            <w:pPr>
              <w:pStyle w:val="12"/>
              <w:tabs>
                <w:tab w:val="left" w:pos="567"/>
              </w:tabs>
              <w:spacing w:line="360" w:lineRule="auto"/>
              <w:jc w:val="left"/>
              <w:rPr>
                <w:rFonts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★为核心商务技术要求(属于不允许偏离的实质性要求,投标人需实质性响应)供应商根据招标文件★项提供相关佐证资料或承诺函，承诺函格式自拟。</w:t>
            </w:r>
          </w:p>
        </w:tc>
      </w:tr>
    </w:tbl>
    <w:p w14:paraId="562C7F2E">
      <w:pPr>
        <w:spacing w:line="360" w:lineRule="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说明： （1）上述各项中用“√”表示通过，“×”表示不通过； （2）上述各项中如有一项为“×”，则结论为“×”，表示该投标文件中存在重大偏差，不能通过初步评审；评委对某一分项评审认为不合格时，必须要写明原因。 （3）投标文件最终合格与否，以所有评委的评审意见中少数服从多数为原则定论。 （4）投标人请认真阅读和理解上述内容，避免投标文件中有违背上述审查标准之一的情况发生而造成投标被否决。</w:t>
      </w:r>
    </w:p>
    <w:p w14:paraId="62CEF2DB">
      <w:pPr>
        <w:spacing w:line="360" w:lineRule="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评标小组（签字）：   </w:t>
      </w:r>
    </w:p>
    <w:p w14:paraId="11A56002">
      <w:pPr>
        <w:spacing w:line="360" w:lineRule="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注：未通过资格审查、符合性审查的投标文件，其投标文件作为无效投标文件，不进入下一步评审</w:t>
      </w:r>
      <w:bookmarkStart w:id="331" w:name="_Toc9700"/>
      <w:bookmarkStart w:id="332" w:name="_Toc45795253"/>
    </w:p>
    <w:p w14:paraId="66402E7C">
      <w:pPr>
        <w:pStyle w:val="2"/>
        <w:spacing w:line="360" w:lineRule="auto"/>
        <w:jc w:val="left"/>
        <w:rPr>
          <w:rFonts w:hint="eastAsia" w:ascii="仿宋_GB2312" w:hAnsi="仿宋_GB2312" w:eastAsia="仿宋_GB2312" w:cs="仿宋_GB2312"/>
          <w:color w:val="auto"/>
          <w:sz w:val="32"/>
          <w:szCs w:val="32"/>
        </w:rPr>
      </w:pPr>
    </w:p>
    <w:p w14:paraId="3D1FAC64">
      <w:pPr>
        <w:pStyle w:val="2"/>
        <w:spacing w:line="360" w:lineRule="auto"/>
        <w:jc w:val="left"/>
        <w:rPr>
          <w:rFonts w:hint="eastAsia" w:ascii="仿宋_GB2312" w:hAnsi="仿宋_GB2312" w:eastAsia="仿宋_GB2312" w:cs="仿宋_GB2312"/>
          <w:color w:val="auto"/>
          <w:sz w:val="32"/>
          <w:szCs w:val="32"/>
        </w:rPr>
      </w:pPr>
    </w:p>
    <w:p w14:paraId="2926A62A">
      <w:pPr>
        <w:rPr>
          <w:rFonts w:hint="eastAsia" w:ascii="仿宋_GB2312" w:hAnsi="仿宋_GB2312" w:eastAsia="仿宋_GB2312" w:cs="仿宋_GB2312"/>
          <w:color w:val="auto"/>
          <w:sz w:val="32"/>
          <w:szCs w:val="32"/>
        </w:rPr>
      </w:pPr>
    </w:p>
    <w:p w14:paraId="3C22058C">
      <w:pPr>
        <w:rPr>
          <w:rFonts w:hint="eastAsia" w:ascii="仿宋_GB2312" w:hAnsi="仿宋_GB2312" w:eastAsia="仿宋_GB2312" w:cs="仿宋_GB2312"/>
          <w:color w:val="auto"/>
          <w:sz w:val="32"/>
          <w:szCs w:val="32"/>
        </w:rPr>
      </w:pPr>
    </w:p>
    <w:p w14:paraId="05D793F3">
      <w:pPr>
        <w:rPr>
          <w:rFonts w:hint="eastAsia" w:ascii="仿宋_GB2312" w:hAnsi="仿宋_GB2312" w:eastAsia="仿宋_GB2312" w:cs="仿宋_GB2312"/>
          <w:color w:val="auto"/>
          <w:sz w:val="32"/>
          <w:szCs w:val="32"/>
        </w:rPr>
      </w:pPr>
    </w:p>
    <w:p w14:paraId="6FCA8FC9">
      <w:pPr>
        <w:pStyle w:val="2"/>
        <w:spacing w:line="360" w:lineRule="auto"/>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附表3            </w:t>
      </w:r>
    </w:p>
    <w:p w14:paraId="40E7F6EA">
      <w:pPr>
        <w:widowControl/>
        <w:shd w:val="clear" w:color="auto" w:fill="FFFFFF"/>
        <w:spacing w:before="0" w:beforeAutospacing="0" w:after="0" w:afterAutospacing="0" w:line="336" w:lineRule="auto"/>
        <w:ind w:firstLine="420"/>
        <w:jc w:val="center"/>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kern w:val="0"/>
          <w:sz w:val="32"/>
          <w:szCs w:val="32"/>
          <w:shd w:val="clear" w:color="auto" w:fill="FFFFFF"/>
          <w:lang w:val="en-US" w:eastAsia="zh-CN" w:bidi="ar-SA"/>
        </w:rPr>
        <w:t>一标段米、面、油类</w:t>
      </w:r>
      <w:r>
        <w:rPr>
          <w:rFonts w:hint="eastAsia" w:ascii="仿宋_GB2312" w:hAnsi="仿宋_GB2312" w:eastAsia="仿宋_GB2312" w:cs="仿宋_GB2312"/>
          <w:color w:val="auto"/>
          <w:sz w:val="32"/>
          <w:szCs w:val="32"/>
          <w:lang w:val="en-US" w:eastAsia="zh-CN"/>
        </w:rPr>
        <w:t>评分细则</w:t>
      </w:r>
      <w:bookmarkEnd w:id="331"/>
      <w:bookmarkEnd w:id="332"/>
    </w:p>
    <w:tbl>
      <w:tblPr>
        <w:tblStyle w:val="27"/>
        <w:tblW w:w="10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5"/>
        <w:gridCol w:w="1686"/>
        <w:gridCol w:w="5989"/>
        <w:gridCol w:w="1608"/>
      </w:tblGrid>
      <w:tr w14:paraId="4FF9F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1" w:type="dxa"/>
            <w:gridSpan w:val="2"/>
            <w:noWrap w:val="0"/>
            <w:vAlign w:val="center"/>
          </w:tcPr>
          <w:p w14:paraId="7BD499E7">
            <w:pPr>
              <w:keepNext w:val="0"/>
              <w:keepLines w:val="0"/>
              <w:pageBreakBefore w:val="0"/>
              <w:widowControl/>
              <w:kinsoku/>
              <w:wordWrap/>
              <w:overflowPunct/>
              <w:topLinePunct w:val="0"/>
              <w:autoSpaceDE/>
              <w:autoSpaceDN/>
              <w:bidi w:val="0"/>
              <w:adjustRightInd/>
              <w:spacing w:line="360" w:lineRule="auto"/>
              <w:jc w:val="center"/>
              <w:textAlignment w:val="baseline"/>
              <w:rPr>
                <w:rFonts w:hint="eastAsia" w:ascii="仿宋" w:hAnsi="仿宋" w:eastAsia="仿宋" w:cs="仿宋"/>
                <w:color w:val="auto"/>
                <w:kern w:val="0"/>
                <w:sz w:val="32"/>
                <w:szCs w:val="32"/>
                <w:lang w:eastAsia="zh-CN"/>
              </w:rPr>
            </w:pPr>
            <w:r>
              <w:rPr>
                <w:rFonts w:hint="eastAsia" w:ascii="仿宋" w:hAnsi="仿宋" w:eastAsia="仿宋" w:cs="仿宋"/>
                <w:color w:val="auto"/>
                <w:kern w:val="0"/>
                <w:sz w:val="32"/>
                <w:szCs w:val="32"/>
              </w:rPr>
              <w:t>评审</w:t>
            </w:r>
            <w:r>
              <w:rPr>
                <w:rFonts w:hint="eastAsia" w:ascii="仿宋" w:hAnsi="仿宋" w:eastAsia="仿宋" w:cs="仿宋"/>
                <w:color w:val="auto"/>
                <w:kern w:val="0"/>
                <w:sz w:val="32"/>
                <w:szCs w:val="32"/>
                <w:lang w:val="en-US" w:eastAsia="zh-CN"/>
              </w:rPr>
              <w:t>指标</w:t>
            </w:r>
          </w:p>
        </w:tc>
        <w:tc>
          <w:tcPr>
            <w:tcW w:w="5989" w:type="dxa"/>
            <w:noWrap w:val="0"/>
            <w:vAlign w:val="center"/>
          </w:tcPr>
          <w:p w14:paraId="17217BAD">
            <w:pPr>
              <w:keepNext w:val="0"/>
              <w:keepLines w:val="0"/>
              <w:pageBreakBefore w:val="0"/>
              <w:widowControl/>
              <w:kinsoku/>
              <w:wordWrap/>
              <w:overflowPunct/>
              <w:topLinePunct w:val="0"/>
              <w:autoSpaceDE/>
              <w:autoSpaceDN/>
              <w:bidi w:val="0"/>
              <w:adjustRightInd/>
              <w:spacing w:line="360" w:lineRule="auto"/>
              <w:jc w:val="center"/>
              <w:textAlignment w:val="baseline"/>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评分标准说明</w:t>
            </w:r>
          </w:p>
        </w:tc>
        <w:tc>
          <w:tcPr>
            <w:tcW w:w="1608" w:type="dxa"/>
            <w:noWrap w:val="0"/>
            <w:vAlign w:val="center"/>
          </w:tcPr>
          <w:p w14:paraId="4D79C199">
            <w:pPr>
              <w:keepNext w:val="0"/>
              <w:keepLines w:val="0"/>
              <w:pageBreakBefore w:val="0"/>
              <w:widowControl/>
              <w:kinsoku/>
              <w:wordWrap/>
              <w:overflowPunct/>
              <w:topLinePunct w:val="0"/>
              <w:autoSpaceDE/>
              <w:autoSpaceDN/>
              <w:bidi w:val="0"/>
              <w:adjustRightInd/>
              <w:spacing w:line="360" w:lineRule="auto"/>
              <w:textAlignment w:val="baseline"/>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满分值（分）</w:t>
            </w:r>
          </w:p>
        </w:tc>
      </w:tr>
      <w:tr w14:paraId="22167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0528" w:type="dxa"/>
            <w:gridSpan w:val="4"/>
            <w:noWrap w:val="0"/>
            <w:vAlign w:val="center"/>
          </w:tcPr>
          <w:p w14:paraId="21C2908E">
            <w:pPr>
              <w:keepNext w:val="0"/>
              <w:keepLines w:val="0"/>
              <w:pageBreakBefore w:val="0"/>
              <w:widowControl/>
              <w:kinsoku/>
              <w:wordWrap/>
              <w:overflowPunct/>
              <w:topLinePunct w:val="0"/>
              <w:autoSpaceDE/>
              <w:autoSpaceDN/>
              <w:bidi w:val="0"/>
              <w:adjustRightInd/>
              <w:spacing w:line="360" w:lineRule="auto"/>
              <w:jc w:val="center"/>
              <w:textAlignment w:val="baseline"/>
              <w:rPr>
                <w:rFonts w:hint="eastAsia" w:ascii="仿宋" w:hAnsi="仿宋" w:eastAsia="仿宋" w:cs="仿宋"/>
                <w:color w:val="auto"/>
                <w:kern w:val="0"/>
                <w:sz w:val="32"/>
                <w:szCs w:val="32"/>
              </w:rPr>
            </w:pPr>
            <w:r>
              <w:rPr>
                <w:rFonts w:hint="eastAsia" w:ascii="仿宋" w:hAnsi="仿宋" w:eastAsia="仿宋" w:cs="仿宋"/>
                <w:b/>
                <w:bCs/>
                <w:color w:val="auto"/>
                <w:kern w:val="0"/>
                <w:sz w:val="32"/>
                <w:szCs w:val="32"/>
              </w:rPr>
              <w:t>一、价格部分30分</w:t>
            </w:r>
          </w:p>
        </w:tc>
      </w:tr>
      <w:tr w14:paraId="45FC6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3" w:hRule="atLeast"/>
          <w:jc w:val="center"/>
        </w:trPr>
        <w:tc>
          <w:tcPr>
            <w:tcW w:w="2931" w:type="dxa"/>
            <w:gridSpan w:val="2"/>
            <w:noWrap w:val="0"/>
            <w:vAlign w:val="center"/>
          </w:tcPr>
          <w:p w14:paraId="04DE861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价格部分</w:t>
            </w:r>
          </w:p>
          <w:p w14:paraId="3522993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kern w:val="0"/>
                <w:sz w:val="32"/>
                <w:szCs w:val="32"/>
                <w:lang w:eastAsia="zh-CN"/>
              </w:rPr>
            </w:pPr>
            <w:r>
              <w:rPr>
                <w:rFonts w:hint="eastAsia" w:ascii="仿宋" w:hAnsi="仿宋" w:eastAsia="仿宋" w:cs="仿宋"/>
                <w:color w:val="auto"/>
                <w:kern w:val="0"/>
                <w:sz w:val="32"/>
                <w:szCs w:val="32"/>
                <w:lang w:val="en-US" w:eastAsia="zh-CN"/>
              </w:rPr>
              <w:t>权重</w:t>
            </w:r>
            <w:r>
              <w:rPr>
                <w:rFonts w:hint="eastAsia" w:ascii="仿宋" w:hAnsi="仿宋" w:eastAsia="仿宋" w:cs="仿宋"/>
                <w:color w:val="auto"/>
                <w:kern w:val="0"/>
                <w:sz w:val="32"/>
                <w:szCs w:val="32"/>
              </w:rPr>
              <w:t>30</w:t>
            </w:r>
            <w:r>
              <w:rPr>
                <w:rFonts w:hint="eastAsia" w:ascii="仿宋" w:hAnsi="仿宋" w:eastAsia="仿宋" w:cs="仿宋"/>
                <w:color w:val="auto"/>
                <w:kern w:val="0"/>
                <w:sz w:val="32"/>
                <w:szCs w:val="32"/>
                <w:lang w:val="en-US" w:eastAsia="zh-CN"/>
              </w:rPr>
              <w:t>%</w:t>
            </w:r>
          </w:p>
        </w:tc>
        <w:tc>
          <w:tcPr>
            <w:tcW w:w="5989" w:type="dxa"/>
            <w:noWrap w:val="0"/>
            <w:vAlign w:val="center"/>
          </w:tcPr>
          <w:p w14:paraId="1B413671">
            <w:pPr>
              <w:keepNext w:val="0"/>
              <w:keepLines w:val="0"/>
              <w:pageBreakBefore w:val="0"/>
              <w:kinsoku/>
              <w:wordWrap/>
              <w:overflowPunct/>
              <w:topLinePunct w:val="0"/>
              <w:autoSpaceDE/>
              <w:autoSpaceDN/>
              <w:bidi w:val="0"/>
              <w:adjustRightInd/>
              <w:snapToGrid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rPr>
              <w:t>价格分应当采用低价优先法计算，即满足招标文件要求且最终投标价格最低的有效投标报价为评标基准价，其价格分为满分。其他投标人的价格分统一按照下列公式计算：</w:t>
            </w:r>
          </w:p>
          <w:p w14:paraId="375DFAD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kern w:val="0"/>
                <w:sz w:val="32"/>
                <w:szCs w:val="32"/>
              </w:rPr>
            </w:pPr>
            <w:r>
              <w:rPr>
                <w:rFonts w:hint="eastAsia" w:ascii="仿宋" w:hAnsi="仿宋" w:eastAsia="仿宋" w:cs="仿宋"/>
                <w:color w:val="auto"/>
                <w:sz w:val="32"/>
                <w:szCs w:val="32"/>
              </w:rPr>
              <w:t>投标报价得分=(评标基准价/投标报价)×100*30%</w:t>
            </w:r>
          </w:p>
        </w:tc>
        <w:tc>
          <w:tcPr>
            <w:tcW w:w="1608" w:type="dxa"/>
            <w:noWrap w:val="0"/>
            <w:vAlign w:val="center"/>
          </w:tcPr>
          <w:p w14:paraId="09820169">
            <w:pPr>
              <w:keepNext w:val="0"/>
              <w:keepLines w:val="0"/>
              <w:pageBreakBefore w:val="0"/>
              <w:widowControl/>
              <w:kinsoku/>
              <w:wordWrap/>
              <w:overflowPunct/>
              <w:topLinePunct w:val="0"/>
              <w:autoSpaceDE/>
              <w:autoSpaceDN/>
              <w:bidi w:val="0"/>
              <w:adjustRightInd/>
              <w:spacing w:line="360" w:lineRule="auto"/>
              <w:jc w:val="center"/>
              <w:textAlignment w:val="baseline"/>
              <w:rPr>
                <w:rFonts w:hint="eastAsia" w:ascii="仿宋" w:hAnsi="仿宋" w:eastAsia="仿宋" w:cs="仿宋"/>
                <w:color w:val="auto"/>
                <w:kern w:val="0"/>
                <w:sz w:val="32"/>
                <w:szCs w:val="32"/>
              </w:rPr>
            </w:pPr>
            <w:r>
              <w:rPr>
                <w:rFonts w:hint="eastAsia" w:ascii="仿宋" w:hAnsi="仿宋" w:eastAsia="仿宋" w:cs="仿宋"/>
                <w:color w:val="auto"/>
                <w:kern w:val="0"/>
                <w:sz w:val="32"/>
                <w:szCs w:val="32"/>
                <w:lang w:val="en-US" w:eastAsia="zh-CN"/>
              </w:rPr>
              <w:t>0-</w:t>
            </w:r>
            <w:r>
              <w:rPr>
                <w:rFonts w:hint="eastAsia" w:ascii="仿宋" w:hAnsi="仿宋" w:eastAsia="仿宋" w:cs="仿宋"/>
                <w:color w:val="auto"/>
                <w:kern w:val="0"/>
                <w:sz w:val="32"/>
                <w:szCs w:val="32"/>
              </w:rPr>
              <w:t>30</w:t>
            </w:r>
          </w:p>
        </w:tc>
      </w:tr>
      <w:tr w14:paraId="7C3B3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10528" w:type="dxa"/>
            <w:gridSpan w:val="4"/>
            <w:noWrap w:val="0"/>
            <w:vAlign w:val="center"/>
          </w:tcPr>
          <w:p w14:paraId="0CC257D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kern w:val="0"/>
                <w:sz w:val="32"/>
                <w:szCs w:val="32"/>
              </w:rPr>
            </w:pPr>
            <w:r>
              <w:rPr>
                <w:rFonts w:hint="eastAsia" w:ascii="仿宋" w:hAnsi="仿宋" w:eastAsia="仿宋" w:cs="仿宋"/>
                <w:b/>
                <w:bCs/>
                <w:color w:val="auto"/>
                <w:kern w:val="0"/>
                <w:sz w:val="32"/>
                <w:szCs w:val="32"/>
              </w:rPr>
              <w:t>二、商务、技术部分70分</w:t>
            </w:r>
          </w:p>
        </w:tc>
      </w:tr>
      <w:tr w14:paraId="6C9BA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1245" w:type="dxa"/>
            <w:vMerge w:val="restart"/>
            <w:noWrap w:val="0"/>
            <w:vAlign w:val="center"/>
          </w:tcPr>
          <w:p w14:paraId="1F1DFA9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商务部分权重23%</w:t>
            </w:r>
          </w:p>
        </w:tc>
        <w:tc>
          <w:tcPr>
            <w:tcW w:w="1686" w:type="dxa"/>
            <w:noWrap w:val="0"/>
            <w:vAlign w:val="center"/>
          </w:tcPr>
          <w:p w14:paraId="2AAAF6A8">
            <w:pPr>
              <w:pStyle w:val="73"/>
              <w:spacing w:line="360" w:lineRule="auto"/>
              <w:jc w:val="both"/>
              <w:rPr>
                <w:rFonts w:hint="eastAsia" w:ascii="仿宋" w:hAnsi="仿宋" w:eastAsia="仿宋" w:cs="仿宋"/>
                <w:color w:val="auto"/>
                <w:kern w:val="0"/>
                <w:sz w:val="32"/>
                <w:szCs w:val="32"/>
                <w:lang w:val="en-US" w:eastAsia="zh-CN" w:bidi="ar-SA"/>
              </w:rPr>
            </w:pPr>
          </w:p>
          <w:p w14:paraId="1D78D52E">
            <w:pPr>
              <w:spacing w:line="360" w:lineRule="auto"/>
              <w:jc w:val="center"/>
              <w:rPr>
                <w:rFonts w:hint="eastAsia" w:ascii="仿宋" w:hAnsi="仿宋" w:eastAsia="仿宋" w:cs="仿宋"/>
                <w:color w:val="auto"/>
                <w:kern w:val="0"/>
                <w:sz w:val="32"/>
                <w:szCs w:val="32"/>
                <w:lang w:val="en-US" w:eastAsia="zh-CN" w:bidi="ar-SA"/>
              </w:rPr>
            </w:pPr>
            <w:r>
              <w:rPr>
                <w:rFonts w:hint="eastAsia" w:ascii="仿宋" w:hAnsi="仿宋" w:eastAsia="仿宋" w:cs="仿宋"/>
                <w:color w:val="auto"/>
                <w:kern w:val="0"/>
                <w:sz w:val="32"/>
                <w:szCs w:val="32"/>
                <w:lang w:val="en-US" w:eastAsia="zh-CN" w:bidi="ar-SA"/>
              </w:rPr>
              <w:t>投标人信用评价</w:t>
            </w:r>
          </w:p>
        </w:tc>
        <w:tc>
          <w:tcPr>
            <w:tcW w:w="5989" w:type="dxa"/>
            <w:noWrap w:val="0"/>
            <w:vAlign w:val="top"/>
          </w:tcPr>
          <w:p w14:paraId="159600C2">
            <w:pPr>
              <w:pStyle w:val="73"/>
              <w:spacing w:line="360" w:lineRule="auto"/>
              <w:ind w:left="42" w:leftChars="20" w:right="42" w:rightChars="20"/>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投标人202</w:t>
            </w:r>
            <w:r>
              <w:rPr>
                <w:rFonts w:hint="eastAsia" w:cs="仿宋"/>
                <w:color w:val="auto"/>
                <w:kern w:val="2"/>
                <w:sz w:val="32"/>
                <w:szCs w:val="32"/>
                <w:highlight w:val="none"/>
                <w:lang w:val="en-US" w:eastAsia="zh-CN" w:bidi="ar-SA"/>
              </w:rPr>
              <w:t>3</w:t>
            </w:r>
            <w:r>
              <w:rPr>
                <w:rFonts w:hint="eastAsia" w:ascii="仿宋" w:hAnsi="仿宋" w:eastAsia="仿宋" w:cs="仿宋"/>
                <w:color w:val="auto"/>
                <w:kern w:val="2"/>
                <w:sz w:val="32"/>
                <w:szCs w:val="32"/>
                <w:highlight w:val="none"/>
                <w:lang w:val="en-US" w:eastAsia="zh-CN" w:bidi="ar-SA"/>
              </w:rPr>
              <w:t>年</w:t>
            </w:r>
            <w:r>
              <w:rPr>
                <w:rFonts w:hint="eastAsia" w:cs="仿宋"/>
                <w:color w:val="auto"/>
                <w:kern w:val="2"/>
                <w:sz w:val="32"/>
                <w:szCs w:val="32"/>
                <w:highlight w:val="none"/>
                <w:lang w:val="en-US" w:eastAsia="zh-CN" w:bidi="ar-SA"/>
              </w:rPr>
              <w:t>05</w:t>
            </w:r>
            <w:r>
              <w:rPr>
                <w:rFonts w:hint="eastAsia" w:ascii="仿宋" w:hAnsi="仿宋" w:eastAsia="仿宋" w:cs="仿宋"/>
                <w:color w:val="auto"/>
                <w:kern w:val="2"/>
                <w:sz w:val="32"/>
                <w:szCs w:val="32"/>
                <w:highlight w:val="none"/>
                <w:lang w:val="en-US" w:eastAsia="zh-CN" w:bidi="ar-SA"/>
              </w:rPr>
              <w:t>月</w:t>
            </w:r>
            <w:r>
              <w:rPr>
                <w:rFonts w:hint="eastAsia" w:cs="仿宋"/>
                <w:color w:val="auto"/>
                <w:kern w:val="2"/>
                <w:sz w:val="32"/>
                <w:szCs w:val="32"/>
                <w:highlight w:val="none"/>
                <w:lang w:val="en-US" w:eastAsia="zh-CN" w:bidi="ar-SA"/>
              </w:rPr>
              <w:t>01</w:t>
            </w:r>
            <w:r>
              <w:rPr>
                <w:rFonts w:hint="eastAsia" w:ascii="仿宋" w:hAnsi="仿宋" w:eastAsia="仿宋" w:cs="仿宋"/>
                <w:color w:val="auto"/>
                <w:kern w:val="2"/>
                <w:sz w:val="32"/>
                <w:szCs w:val="32"/>
                <w:highlight w:val="none"/>
                <w:lang w:val="en-US" w:eastAsia="zh-CN" w:bidi="ar-SA"/>
              </w:rPr>
              <w:t>日以来具备良好的信用评价和履约诚信度：</w:t>
            </w:r>
          </w:p>
          <w:p w14:paraId="5DDA7B28">
            <w:pPr>
              <w:pStyle w:val="73"/>
              <w:spacing w:line="360" w:lineRule="auto"/>
              <w:ind w:left="42" w:leftChars="20" w:right="42" w:rightChars="20"/>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1.响应招标文件的履约要求并提供承诺函的，得</w:t>
            </w:r>
            <w:r>
              <w:rPr>
                <w:rFonts w:hint="eastAsia" w:cs="仿宋"/>
                <w:color w:val="auto"/>
                <w:kern w:val="2"/>
                <w:sz w:val="32"/>
                <w:szCs w:val="32"/>
                <w:highlight w:val="none"/>
                <w:lang w:val="en-US" w:eastAsia="zh-CN" w:bidi="ar-SA"/>
              </w:rPr>
              <w:t>1</w:t>
            </w:r>
            <w:r>
              <w:rPr>
                <w:rFonts w:hint="eastAsia" w:ascii="仿宋" w:hAnsi="仿宋" w:eastAsia="仿宋" w:cs="仿宋"/>
                <w:color w:val="auto"/>
                <w:kern w:val="2"/>
                <w:sz w:val="32"/>
                <w:szCs w:val="32"/>
                <w:highlight w:val="none"/>
                <w:lang w:val="en-US" w:eastAsia="zh-CN" w:bidi="ar-SA"/>
              </w:rPr>
              <w:t>分，没有不得分；</w:t>
            </w:r>
          </w:p>
          <w:p w14:paraId="6131F0A8">
            <w:pPr>
              <w:pStyle w:val="73"/>
              <w:spacing w:line="360" w:lineRule="auto"/>
              <w:ind w:left="42" w:leftChars="20" w:right="42" w:rightChars="20"/>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2.提供履约证明资料且内容详细清楚并能够体现良好履约能力的，每份得1.5分，满分3分；</w:t>
            </w:r>
          </w:p>
          <w:p w14:paraId="7F8FEF52">
            <w:pPr>
              <w:pStyle w:val="73"/>
              <w:spacing w:line="360" w:lineRule="auto"/>
              <w:ind w:left="42" w:leftChars="20" w:right="42" w:rightChars="20"/>
              <w:rPr>
                <w:rFonts w:hint="default" w:ascii="仿宋" w:hAnsi="仿宋" w:eastAsia="仿宋" w:cs="仿宋"/>
                <w:color w:val="auto"/>
                <w:kern w:val="2"/>
                <w:sz w:val="32"/>
                <w:szCs w:val="32"/>
                <w:highlight w:val="none"/>
                <w:lang w:val="en-US" w:eastAsia="zh-CN" w:bidi="ar-SA"/>
              </w:rPr>
            </w:pPr>
            <w:r>
              <w:rPr>
                <w:rFonts w:hint="eastAsia" w:ascii="仿宋" w:hAnsi="仿宋" w:eastAsia="仿宋" w:cs="仿宋"/>
                <w:b/>
                <w:bCs/>
                <w:color w:val="auto"/>
                <w:kern w:val="2"/>
                <w:sz w:val="32"/>
                <w:szCs w:val="32"/>
                <w:highlight w:val="none"/>
                <w:lang w:val="en-US" w:eastAsia="zh-CN" w:bidi="ar-SA"/>
              </w:rPr>
              <w:t>注：证明资料包括</w:t>
            </w:r>
            <w:r>
              <w:rPr>
                <w:rFonts w:hint="eastAsia" w:cs="仿宋"/>
                <w:b/>
                <w:bCs/>
                <w:color w:val="auto"/>
                <w:kern w:val="2"/>
                <w:sz w:val="32"/>
                <w:szCs w:val="32"/>
                <w:highlight w:val="none"/>
                <w:lang w:val="en-US" w:eastAsia="zh-CN" w:bidi="ar-SA"/>
              </w:rPr>
              <w:t>已服务过的</w:t>
            </w:r>
            <w:r>
              <w:rPr>
                <w:rFonts w:hint="eastAsia" w:ascii="仿宋" w:hAnsi="仿宋" w:eastAsia="仿宋" w:cs="仿宋"/>
                <w:b/>
                <w:bCs/>
                <w:color w:val="auto"/>
                <w:kern w:val="2"/>
                <w:sz w:val="32"/>
                <w:szCs w:val="32"/>
                <w:highlight w:val="none"/>
                <w:lang w:val="en-US" w:eastAsia="zh-CN" w:bidi="ar-SA"/>
              </w:rPr>
              <w:t>甲方出具的项目评价意见表、项目验收单资料原件。</w:t>
            </w:r>
            <w:r>
              <w:rPr>
                <w:rFonts w:hint="eastAsia" w:cs="仿宋"/>
                <w:b/>
                <w:bCs/>
                <w:color w:val="auto"/>
                <w:kern w:val="2"/>
                <w:sz w:val="32"/>
                <w:szCs w:val="32"/>
                <w:highlight w:val="none"/>
                <w:lang w:val="en-US" w:eastAsia="zh-CN" w:bidi="ar-SA"/>
              </w:rPr>
              <w:t>时间认定以</w:t>
            </w:r>
            <w:r>
              <w:rPr>
                <w:rFonts w:hint="eastAsia" w:ascii="仿宋" w:hAnsi="仿宋" w:eastAsia="仿宋" w:cs="仿宋"/>
                <w:b/>
                <w:bCs/>
                <w:color w:val="auto"/>
                <w:kern w:val="2"/>
                <w:sz w:val="32"/>
                <w:szCs w:val="32"/>
                <w:highlight w:val="none"/>
                <w:lang w:val="en-US" w:eastAsia="zh-CN" w:bidi="ar-SA"/>
              </w:rPr>
              <w:t>评价意见表</w:t>
            </w:r>
            <w:r>
              <w:rPr>
                <w:rFonts w:hint="eastAsia" w:cs="仿宋"/>
                <w:b/>
                <w:bCs/>
                <w:color w:val="auto"/>
                <w:kern w:val="2"/>
                <w:sz w:val="32"/>
                <w:szCs w:val="32"/>
                <w:highlight w:val="none"/>
                <w:lang w:val="en-US" w:eastAsia="zh-CN" w:bidi="ar-SA"/>
              </w:rPr>
              <w:t>落款时间为准</w:t>
            </w:r>
          </w:p>
        </w:tc>
        <w:tc>
          <w:tcPr>
            <w:tcW w:w="1608" w:type="dxa"/>
            <w:noWrap w:val="0"/>
            <w:vAlign w:val="center"/>
          </w:tcPr>
          <w:p w14:paraId="223139CF">
            <w:pPr>
              <w:keepNext w:val="0"/>
              <w:keepLines w:val="0"/>
              <w:pageBreakBefore w:val="0"/>
              <w:widowControl/>
              <w:kinsoku/>
              <w:wordWrap/>
              <w:overflowPunct/>
              <w:topLinePunct w:val="0"/>
              <w:autoSpaceDE/>
              <w:autoSpaceDN/>
              <w:bidi w:val="0"/>
              <w:adjustRightInd/>
              <w:spacing w:line="360" w:lineRule="auto"/>
              <w:jc w:val="center"/>
              <w:textAlignment w:val="baseline"/>
              <w:rPr>
                <w:rFonts w:hint="eastAsia" w:ascii="仿宋" w:hAnsi="仿宋" w:eastAsia="仿宋" w:cs="仿宋"/>
                <w:color w:val="auto"/>
                <w:kern w:val="0"/>
                <w:sz w:val="32"/>
                <w:szCs w:val="32"/>
                <w:highlight w:val="none"/>
                <w:lang w:val="en-US" w:eastAsia="zh-CN"/>
              </w:rPr>
            </w:pPr>
            <w:r>
              <w:rPr>
                <w:rFonts w:hint="eastAsia" w:ascii="仿宋" w:hAnsi="仿宋" w:eastAsia="仿宋" w:cs="仿宋"/>
                <w:color w:val="auto"/>
                <w:kern w:val="0"/>
                <w:sz w:val="32"/>
                <w:szCs w:val="32"/>
                <w:highlight w:val="none"/>
                <w:lang w:val="en-US" w:eastAsia="zh-CN"/>
              </w:rPr>
              <w:t>0-4</w:t>
            </w:r>
          </w:p>
        </w:tc>
      </w:tr>
      <w:tr w14:paraId="52B49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1245" w:type="dxa"/>
            <w:vMerge w:val="continue"/>
            <w:noWrap w:val="0"/>
            <w:vAlign w:val="center"/>
          </w:tcPr>
          <w:p w14:paraId="6BC4BE8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kern w:val="0"/>
                <w:sz w:val="32"/>
                <w:szCs w:val="32"/>
                <w:lang w:val="en-US" w:eastAsia="zh-CN"/>
              </w:rPr>
            </w:pPr>
          </w:p>
        </w:tc>
        <w:tc>
          <w:tcPr>
            <w:tcW w:w="1686" w:type="dxa"/>
            <w:noWrap w:val="0"/>
            <w:vAlign w:val="center"/>
          </w:tcPr>
          <w:p w14:paraId="282EE7C0">
            <w:pPr>
              <w:pStyle w:val="73"/>
              <w:spacing w:line="360" w:lineRule="auto"/>
              <w:jc w:val="center"/>
              <w:rPr>
                <w:rFonts w:hint="eastAsia" w:ascii="仿宋" w:hAnsi="仿宋" w:eastAsia="仿宋" w:cs="仿宋"/>
                <w:color w:val="auto"/>
                <w:kern w:val="0"/>
                <w:sz w:val="32"/>
                <w:szCs w:val="32"/>
                <w:lang w:val="en-US" w:eastAsia="zh-CN" w:bidi="ar-SA"/>
              </w:rPr>
            </w:pPr>
            <w:r>
              <w:rPr>
                <w:rFonts w:hint="eastAsia" w:ascii="仿宋" w:hAnsi="仿宋" w:eastAsia="仿宋" w:cs="仿宋"/>
                <w:color w:val="auto"/>
                <w:kern w:val="0"/>
                <w:sz w:val="32"/>
                <w:szCs w:val="32"/>
                <w:lang w:val="en-US" w:eastAsia="zh-CN" w:bidi="ar-SA"/>
              </w:rPr>
              <w:t>类似业绩</w:t>
            </w:r>
          </w:p>
        </w:tc>
        <w:tc>
          <w:tcPr>
            <w:tcW w:w="5989" w:type="dxa"/>
            <w:noWrap w:val="0"/>
            <w:vAlign w:val="top"/>
          </w:tcPr>
          <w:p w14:paraId="0D2A1C24">
            <w:pPr>
              <w:keepNext w:val="0"/>
              <w:keepLines w:val="0"/>
              <w:pageBreakBefore w:val="0"/>
              <w:kinsoku/>
              <w:wordWrap/>
              <w:overflowPunct/>
              <w:topLinePunct w:val="0"/>
              <w:autoSpaceDE/>
              <w:autoSpaceDN/>
              <w:bidi w:val="0"/>
              <w:adjustRightInd/>
              <w:snapToGrid w:val="0"/>
              <w:spacing w:line="360" w:lineRule="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202</w:t>
            </w: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lang w:eastAsia="zh-CN"/>
              </w:rPr>
              <w:t>年</w:t>
            </w:r>
            <w:r>
              <w:rPr>
                <w:rFonts w:hint="eastAsia" w:ascii="仿宋" w:hAnsi="仿宋" w:eastAsia="仿宋" w:cs="仿宋"/>
                <w:color w:val="auto"/>
                <w:sz w:val="32"/>
                <w:szCs w:val="32"/>
                <w:highlight w:val="none"/>
                <w:lang w:val="en-US" w:eastAsia="zh-CN"/>
              </w:rPr>
              <w:t>05</w:t>
            </w:r>
            <w:r>
              <w:rPr>
                <w:rFonts w:hint="eastAsia" w:ascii="仿宋" w:hAnsi="仿宋" w:eastAsia="仿宋" w:cs="仿宋"/>
                <w:color w:val="auto"/>
                <w:sz w:val="32"/>
                <w:szCs w:val="32"/>
                <w:highlight w:val="none"/>
                <w:lang w:eastAsia="zh-CN"/>
              </w:rPr>
              <w:t>月</w:t>
            </w:r>
            <w:r>
              <w:rPr>
                <w:rFonts w:hint="eastAsia" w:ascii="仿宋" w:hAnsi="仿宋" w:eastAsia="仿宋" w:cs="仿宋"/>
                <w:color w:val="auto"/>
                <w:sz w:val="32"/>
                <w:szCs w:val="32"/>
                <w:highlight w:val="none"/>
                <w:lang w:val="en-US" w:eastAsia="zh-CN"/>
              </w:rPr>
              <w:t>01</w:t>
            </w:r>
            <w:r>
              <w:rPr>
                <w:rFonts w:hint="eastAsia" w:ascii="仿宋" w:hAnsi="仿宋" w:eastAsia="仿宋" w:cs="仿宋"/>
                <w:color w:val="auto"/>
                <w:sz w:val="32"/>
                <w:szCs w:val="32"/>
                <w:highlight w:val="none"/>
                <w:lang w:eastAsia="zh-CN"/>
              </w:rPr>
              <w:t>日起至今，投标人承揽过的类似业绩，业绩数量以采购合同为准，并同时提供对应项目的验收单（或甲方评价意见表）；每份业绩得</w:t>
            </w:r>
            <w:r>
              <w:rPr>
                <w:rFonts w:hint="eastAsia" w:ascii="仿宋" w:hAnsi="仿宋" w:eastAsia="仿宋" w:cs="仿宋"/>
                <w:color w:val="auto"/>
                <w:sz w:val="32"/>
                <w:szCs w:val="32"/>
                <w:highlight w:val="none"/>
                <w:lang w:val="en-US" w:eastAsia="zh-CN"/>
              </w:rPr>
              <w:t>1.5</w:t>
            </w:r>
            <w:r>
              <w:rPr>
                <w:rFonts w:hint="eastAsia" w:ascii="仿宋" w:hAnsi="仿宋" w:eastAsia="仿宋" w:cs="仿宋"/>
                <w:color w:val="auto"/>
                <w:sz w:val="32"/>
                <w:szCs w:val="32"/>
                <w:highlight w:val="none"/>
                <w:lang w:eastAsia="zh-CN"/>
              </w:rPr>
              <w:t>分；满分</w:t>
            </w:r>
            <w:r>
              <w:rPr>
                <w:rFonts w:hint="eastAsia" w:ascii="仿宋" w:hAnsi="仿宋" w:eastAsia="仿宋" w:cs="仿宋"/>
                <w:color w:val="auto"/>
                <w:sz w:val="32"/>
                <w:szCs w:val="32"/>
                <w:highlight w:val="none"/>
                <w:lang w:val="en-US" w:eastAsia="zh-CN"/>
              </w:rPr>
              <w:t>4.5</w:t>
            </w:r>
            <w:r>
              <w:rPr>
                <w:rFonts w:hint="eastAsia" w:ascii="仿宋" w:hAnsi="仿宋" w:eastAsia="仿宋" w:cs="仿宋"/>
                <w:color w:val="auto"/>
                <w:sz w:val="32"/>
                <w:szCs w:val="32"/>
                <w:highlight w:val="none"/>
                <w:lang w:eastAsia="zh-CN"/>
              </w:rPr>
              <w:t>分；</w:t>
            </w:r>
          </w:p>
          <w:p w14:paraId="78352B59">
            <w:pPr>
              <w:keepNext w:val="0"/>
              <w:keepLines w:val="0"/>
              <w:pageBreakBefore w:val="0"/>
              <w:kinsoku/>
              <w:wordWrap/>
              <w:overflowPunct/>
              <w:topLinePunct w:val="0"/>
              <w:autoSpaceDE/>
              <w:autoSpaceDN/>
              <w:bidi w:val="0"/>
              <w:adjustRightInd/>
              <w:snapToGrid w:val="0"/>
              <w:spacing w:line="360" w:lineRule="auto"/>
              <w:rPr>
                <w:rFonts w:hint="default" w:ascii="仿宋" w:hAnsi="仿宋" w:eastAsia="仿宋" w:cs="仿宋"/>
                <w:color w:val="auto"/>
                <w:sz w:val="32"/>
                <w:szCs w:val="32"/>
                <w:highlight w:val="none"/>
                <w:lang w:val="en-US" w:eastAsia="zh-CN"/>
              </w:rPr>
            </w:pPr>
            <w:r>
              <w:rPr>
                <w:rFonts w:hint="eastAsia" w:ascii="仿宋" w:hAnsi="仿宋" w:eastAsia="仿宋" w:cs="仿宋"/>
                <w:b/>
                <w:bCs/>
                <w:color w:val="auto"/>
                <w:sz w:val="32"/>
                <w:szCs w:val="32"/>
                <w:highlight w:val="none"/>
                <w:lang w:eastAsia="zh-CN"/>
              </w:rPr>
              <w:t>注：业绩认定须</w:t>
            </w:r>
            <w:r>
              <w:rPr>
                <w:rFonts w:hint="eastAsia" w:ascii="仿宋" w:hAnsi="仿宋" w:eastAsia="仿宋" w:cs="仿宋"/>
                <w:b/>
                <w:bCs/>
                <w:color w:val="auto"/>
                <w:sz w:val="32"/>
                <w:szCs w:val="32"/>
                <w:highlight w:val="none"/>
                <w:lang w:val="en-US" w:eastAsia="zh-CN"/>
              </w:rPr>
              <w:t>提供</w:t>
            </w:r>
            <w:r>
              <w:rPr>
                <w:rFonts w:hint="eastAsia" w:ascii="仿宋" w:hAnsi="仿宋" w:eastAsia="仿宋" w:cs="仿宋"/>
                <w:b/>
                <w:bCs/>
                <w:color w:val="auto"/>
                <w:sz w:val="32"/>
                <w:szCs w:val="32"/>
                <w:highlight w:val="none"/>
                <w:lang w:eastAsia="zh-CN"/>
              </w:rPr>
              <w:t>中标通知书</w:t>
            </w:r>
            <w:r>
              <w:rPr>
                <w:rFonts w:hint="eastAsia" w:ascii="仿宋" w:hAnsi="仿宋" w:eastAsia="仿宋" w:cs="仿宋"/>
                <w:b/>
                <w:bCs/>
                <w:color w:val="auto"/>
                <w:sz w:val="32"/>
                <w:szCs w:val="32"/>
                <w:highlight w:val="none"/>
                <w:lang w:val="en-US" w:eastAsia="zh-CN"/>
              </w:rPr>
              <w:t>和</w:t>
            </w:r>
            <w:r>
              <w:rPr>
                <w:rFonts w:hint="eastAsia" w:ascii="仿宋" w:hAnsi="仿宋" w:eastAsia="仿宋" w:cs="仿宋"/>
                <w:b/>
                <w:bCs/>
                <w:color w:val="auto"/>
                <w:sz w:val="32"/>
                <w:szCs w:val="32"/>
                <w:highlight w:val="none"/>
                <w:lang w:eastAsia="zh-CN"/>
              </w:rPr>
              <w:t>采购合同及验收单（或甲方评价意见表）原件的直接扫描件，内容清晰可辨，否则不得分。</w:t>
            </w:r>
            <w:r>
              <w:rPr>
                <w:rFonts w:hint="eastAsia" w:ascii="仿宋" w:hAnsi="仿宋" w:eastAsia="仿宋" w:cs="仿宋"/>
                <w:b/>
                <w:bCs/>
                <w:color w:val="auto"/>
                <w:sz w:val="32"/>
                <w:szCs w:val="32"/>
                <w:highlight w:val="none"/>
                <w:lang w:val="en-US" w:eastAsia="zh-CN"/>
              </w:rPr>
              <w:t>时间认定以合同签订时间为准。</w:t>
            </w:r>
          </w:p>
        </w:tc>
        <w:tc>
          <w:tcPr>
            <w:tcW w:w="1608" w:type="dxa"/>
            <w:noWrap w:val="0"/>
            <w:vAlign w:val="center"/>
          </w:tcPr>
          <w:p w14:paraId="1503BF77">
            <w:pPr>
              <w:keepNext w:val="0"/>
              <w:keepLines w:val="0"/>
              <w:pageBreakBefore w:val="0"/>
              <w:widowControl/>
              <w:kinsoku/>
              <w:wordWrap/>
              <w:overflowPunct/>
              <w:topLinePunct w:val="0"/>
              <w:autoSpaceDE/>
              <w:autoSpaceDN/>
              <w:bidi w:val="0"/>
              <w:adjustRightInd/>
              <w:spacing w:line="360" w:lineRule="auto"/>
              <w:jc w:val="center"/>
              <w:textAlignment w:val="baseline"/>
              <w:rPr>
                <w:rFonts w:hint="default" w:ascii="仿宋" w:hAnsi="仿宋" w:eastAsia="仿宋" w:cs="仿宋"/>
                <w:color w:val="auto"/>
                <w:kern w:val="0"/>
                <w:sz w:val="32"/>
                <w:szCs w:val="32"/>
                <w:highlight w:val="none"/>
                <w:lang w:val="en-US" w:eastAsia="zh-CN"/>
              </w:rPr>
            </w:pPr>
            <w:r>
              <w:rPr>
                <w:rFonts w:hint="eastAsia" w:ascii="仿宋" w:hAnsi="仿宋" w:eastAsia="仿宋" w:cs="仿宋"/>
                <w:color w:val="auto"/>
                <w:kern w:val="0"/>
                <w:sz w:val="32"/>
                <w:szCs w:val="32"/>
                <w:highlight w:val="none"/>
                <w:lang w:val="en-US" w:eastAsia="zh-CN"/>
              </w:rPr>
              <w:t>0-4.5</w:t>
            </w:r>
          </w:p>
        </w:tc>
      </w:tr>
      <w:tr w14:paraId="4ADDB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1245" w:type="dxa"/>
            <w:vMerge w:val="continue"/>
            <w:noWrap w:val="0"/>
            <w:vAlign w:val="center"/>
          </w:tcPr>
          <w:p w14:paraId="02F866D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kern w:val="0"/>
                <w:sz w:val="32"/>
                <w:szCs w:val="32"/>
                <w:lang w:val="en-US" w:eastAsia="zh-CN"/>
              </w:rPr>
            </w:pPr>
          </w:p>
        </w:tc>
        <w:tc>
          <w:tcPr>
            <w:tcW w:w="1686" w:type="dxa"/>
            <w:noWrap w:val="0"/>
            <w:vAlign w:val="center"/>
          </w:tcPr>
          <w:p w14:paraId="785CC58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车辆配送</w:t>
            </w:r>
          </w:p>
        </w:tc>
        <w:tc>
          <w:tcPr>
            <w:tcW w:w="5989" w:type="dxa"/>
            <w:noWrap w:val="0"/>
            <w:vAlign w:val="center"/>
          </w:tcPr>
          <w:p w14:paraId="1EF53B1E">
            <w:pPr>
              <w:keepNext w:val="0"/>
              <w:keepLines w:val="0"/>
              <w:pageBreakBefore w:val="0"/>
              <w:widowControl/>
              <w:kinsoku/>
              <w:wordWrap/>
              <w:overflowPunct/>
              <w:topLinePunct w:val="0"/>
              <w:autoSpaceDE/>
              <w:autoSpaceDN/>
              <w:bidi w:val="0"/>
              <w:adjustRightInd/>
              <w:spacing w:before="50" w:after="50" w:line="360" w:lineRule="auto"/>
              <w:textAlignment w:val="baseline"/>
              <w:rPr>
                <w:rFonts w:hint="eastAsia" w:ascii="仿宋" w:hAnsi="仿宋" w:eastAsia="仿宋" w:cs="仿宋"/>
                <w:color w:val="auto"/>
                <w:kern w:val="0"/>
                <w:sz w:val="32"/>
                <w:szCs w:val="32"/>
                <w:highlight w:val="none"/>
                <w:lang w:val="en-US" w:eastAsia="zh-CN"/>
              </w:rPr>
            </w:pPr>
            <w:r>
              <w:rPr>
                <w:rFonts w:hint="eastAsia" w:ascii="仿宋" w:hAnsi="仿宋" w:eastAsia="仿宋" w:cs="仿宋"/>
                <w:color w:val="auto"/>
                <w:kern w:val="0"/>
                <w:sz w:val="32"/>
                <w:szCs w:val="32"/>
                <w:highlight w:val="none"/>
                <w:lang w:val="en-US" w:eastAsia="zh-CN"/>
              </w:rPr>
              <w:t>为了保证产品质量保鲜不变质，投标单位需提供配送车辆要求为箱式货车或面包车（不接受改装车），每提供一辆得1.5分，满分4.5分。</w:t>
            </w:r>
          </w:p>
          <w:p w14:paraId="2E05D767">
            <w:pPr>
              <w:keepNext w:val="0"/>
              <w:keepLines w:val="0"/>
              <w:pageBreakBefore w:val="0"/>
              <w:widowControl/>
              <w:kinsoku/>
              <w:wordWrap/>
              <w:overflowPunct/>
              <w:topLinePunct w:val="0"/>
              <w:autoSpaceDE/>
              <w:autoSpaceDN/>
              <w:bidi w:val="0"/>
              <w:adjustRightInd/>
              <w:spacing w:before="50" w:after="50" w:line="360" w:lineRule="auto"/>
              <w:textAlignment w:val="baseline"/>
              <w:rPr>
                <w:rFonts w:hint="eastAsia" w:ascii="仿宋" w:hAnsi="仿宋" w:eastAsia="仿宋" w:cs="仿宋"/>
                <w:color w:val="auto"/>
                <w:kern w:val="0"/>
                <w:sz w:val="32"/>
                <w:szCs w:val="32"/>
                <w:highlight w:val="none"/>
                <w:lang w:val="en-US" w:eastAsia="zh-CN"/>
              </w:rPr>
            </w:pPr>
            <w:r>
              <w:rPr>
                <w:rFonts w:hint="eastAsia" w:ascii="仿宋" w:hAnsi="仿宋" w:eastAsia="仿宋" w:cs="仿宋"/>
                <w:b/>
                <w:bCs/>
                <w:color w:val="auto"/>
                <w:kern w:val="0"/>
                <w:sz w:val="32"/>
                <w:szCs w:val="32"/>
                <w:highlight w:val="none"/>
                <w:lang w:val="en-US" w:eastAsia="zh-CN"/>
              </w:rPr>
              <w:t>注：须提供自有车辆的证明，包括车辆图片、车牌号、机动车辆行驶证或租赁合同，少一样证明不得分。</w:t>
            </w:r>
          </w:p>
        </w:tc>
        <w:tc>
          <w:tcPr>
            <w:tcW w:w="1608" w:type="dxa"/>
            <w:noWrap w:val="0"/>
            <w:vAlign w:val="center"/>
          </w:tcPr>
          <w:p w14:paraId="3F4EC805">
            <w:pPr>
              <w:keepNext w:val="0"/>
              <w:keepLines w:val="0"/>
              <w:pageBreakBefore w:val="0"/>
              <w:widowControl/>
              <w:kinsoku/>
              <w:wordWrap/>
              <w:overflowPunct/>
              <w:topLinePunct w:val="0"/>
              <w:autoSpaceDE/>
              <w:autoSpaceDN/>
              <w:bidi w:val="0"/>
              <w:adjustRightInd/>
              <w:spacing w:line="360" w:lineRule="auto"/>
              <w:jc w:val="center"/>
              <w:textAlignment w:val="baseline"/>
              <w:rPr>
                <w:rFonts w:hint="eastAsia" w:ascii="仿宋" w:hAnsi="仿宋" w:eastAsia="仿宋" w:cs="仿宋"/>
                <w:color w:val="auto"/>
                <w:kern w:val="0"/>
                <w:sz w:val="32"/>
                <w:szCs w:val="32"/>
                <w:highlight w:val="none"/>
                <w:lang w:val="en-US" w:eastAsia="zh-CN"/>
              </w:rPr>
            </w:pPr>
            <w:r>
              <w:rPr>
                <w:rFonts w:hint="eastAsia" w:ascii="仿宋" w:hAnsi="仿宋" w:eastAsia="仿宋" w:cs="仿宋"/>
                <w:color w:val="auto"/>
                <w:kern w:val="0"/>
                <w:sz w:val="32"/>
                <w:szCs w:val="32"/>
                <w:highlight w:val="none"/>
                <w:lang w:val="en-US" w:eastAsia="zh-CN"/>
              </w:rPr>
              <w:t>0-4.5</w:t>
            </w:r>
          </w:p>
        </w:tc>
      </w:tr>
      <w:tr w14:paraId="3B68C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1245" w:type="dxa"/>
            <w:vMerge w:val="continue"/>
            <w:noWrap w:val="0"/>
            <w:vAlign w:val="center"/>
          </w:tcPr>
          <w:p w14:paraId="36650FE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kern w:val="0"/>
                <w:sz w:val="32"/>
                <w:szCs w:val="32"/>
              </w:rPr>
            </w:pPr>
          </w:p>
        </w:tc>
        <w:tc>
          <w:tcPr>
            <w:tcW w:w="1686" w:type="dxa"/>
            <w:noWrap w:val="0"/>
            <w:vAlign w:val="center"/>
          </w:tcPr>
          <w:p w14:paraId="3D1C085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highlight w:val="none"/>
                <w:lang w:val="en-US" w:eastAsia="zh-CN"/>
              </w:rPr>
              <w:t>人员配送</w:t>
            </w:r>
          </w:p>
        </w:tc>
        <w:tc>
          <w:tcPr>
            <w:tcW w:w="5989" w:type="dxa"/>
            <w:noWrap w:val="0"/>
            <w:vAlign w:val="center"/>
          </w:tcPr>
          <w:p w14:paraId="1FB839AB">
            <w:pPr>
              <w:keepNext w:val="0"/>
              <w:keepLines w:val="0"/>
              <w:pageBreakBefore w:val="0"/>
              <w:widowControl/>
              <w:kinsoku/>
              <w:wordWrap/>
              <w:overflowPunct/>
              <w:topLinePunct w:val="0"/>
              <w:autoSpaceDE/>
              <w:autoSpaceDN/>
              <w:bidi w:val="0"/>
              <w:adjustRightInd/>
              <w:spacing w:before="50" w:after="50" w:line="360" w:lineRule="auto"/>
              <w:textAlignment w:val="baseline"/>
              <w:rPr>
                <w:rFonts w:hint="eastAsia" w:ascii="仿宋" w:hAnsi="仿宋" w:eastAsia="仿宋" w:cs="仿宋"/>
                <w:color w:val="auto"/>
                <w:kern w:val="0"/>
                <w:sz w:val="32"/>
                <w:szCs w:val="32"/>
                <w:highlight w:val="none"/>
                <w:lang w:val="en-US" w:eastAsia="zh-CN"/>
              </w:rPr>
            </w:pPr>
            <w:r>
              <w:rPr>
                <w:rFonts w:hint="eastAsia" w:ascii="仿宋" w:hAnsi="仿宋" w:eastAsia="仿宋" w:cs="仿宋"/>
                <w:color w:val="auto"/>
                <w:kern w:val="0"/>
                <w:sz w:val="32"/>
                <w:szCs w:val="32"/>
                <w:highlight w:val="none"/>
                <w:lang w:val="en-US" w:eastAsia="zh-CN"/>
              </w:rPr>
              <w:t>投标单位拟投入本项目的配送人员,5 人及以上得 5 分,4 人得 3 分,2 人得 1分,1 人及以下不得分,未提供或者证明资料不全不得分。</w:t>
            </w:r>
          </w:p>
          <w:p w14:paraId="3610FDBB">
            <w:pPr>
              <w:keepNext w:val="0"/>
              <w:keepLines w:val="0"/>
              <w:pageBreakBefore w:val="0"/>
              <w:widowControl/>
              <w:kinsoku/>
              <w:wordWrap/>
              <w:overflowPunct/>
              <w:topLinePunct w:val="0"/>
              <w:autoSpaceDE/>
              <w:autoSpaceDN/>
              <w:bidi w:val="0"/>
              <w:adjustRightInd/>
              <w:spacing w:before="50" w:after="50" w:line="360" w:lineRule="auto"/>
              <w:textAlignment w:val="baseline"/>
              <w:rPr>
                <w:rFonts w:hint="eastAsia" w:ascii="仿宋" w:hAnsi="仿宋" w:eastAsia="仿宋" w:cs="仿宋"/>
                <w:color w:val="auto"/>
                <w:kern w:val="0"/>
                <w:sz w:val="32"/>
                <w:szCs w:val="32"/>
                <w:highlight w:val="none"/>
                <w:lang w:val="en-US"/>
              </w:rPr>
            </w:pPr>
            <w:r>
              <w:rPr>
                <w:rFonts w:hint="eastAsia" w:ascii="仿宋" w:hAnsi="仿宋" w:eastAsia="仿宋" w:cs="仿宋"/>
                <w:b/>
                <w:bCs/>
                <w:color w:val="auto"/>
                <w:kern w:val="0"/>
                <w:sz w:val="32"/>
                <w:szCs w:val="32"/>
                <w:highlight w:val="none"/>
                <w:lang w:val="en-US" w:eastAsia="zh-CN"/>
              </w:rPr>
              <w:t>注：须提供以上人员的健康证、劳动合同及近半年任意三个月的社保证明材料。</w:t>
            </w:r>
          </w:p>
        </w:tc>
        <w:tc>
          <w:tcPr>
            <w:tcW w:w="1608" w:type="dxa"/>
            <w:noWrap w:val="0"/>
            <w:vAlign w:val="center"/>
          </w:tcPr>
          <w:p w14:paraId="071940C8">
            <w:pPr>
              <w:keepNext w:val="0"/>
              <w:keepLines w:val="0"/>
              <w:pageBreakBefore w:val="0"/>
              <w:widowControl/>
              <w:kinsoku/>
              <w:wordWrap/>
              <w:overflowPunct/>
              <w:topLinePunct w:val="0"/>
              <w:autoSpaceDE/>
              <w:autoSpaceDN/>
              <w:bidi w:val="0"/>
              <w:adjustRightInd/>
              <w:spacing w:line="360" w:lineRule="auto"/>
              <w:jc w:val="center"/>
              <w:textAlignment w:val="baseline"/>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0-5</w:t>
            </w:r>
          </w:p>
        </w:tc>
      </w:tr>
      <w:tr w14:paraId="088C6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1245" w:type="dxa"/>
            <w:vMerge w:val="continue"/>
            <w:noWrap w:val="0"/>
            <w:vAlign w:val="center"/>
          </w:tcPr>
          <w:p w14:paraId="66DF92D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kern w:val="0"/>
                <w:sz w:val="32"/>
                <w:szCs w:val="32"/>
              </w:rPr>
            </w:pPr>
          </w:p>
        </w:tc>
        <w:tc>
          <w:tcPr>
            <w:tcW w:w="1686" w:type="dxa"/>
            <w:noWrap w:val="0"/>
            <w:vAlign w:val="center"/>
          </w:tcPr>
          <w:p w14:paraId="2475304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kern w:val="0"/>
                <w:sz w:val="32"/>
                <w:szCs w:val="32"/>
                <w:highlight w:val="none"/>
                <w:lang w:val="en-US" w:eastAsia="zh-CN"/>
              </w:rPr>
            </w:pPr>
            <w:r>
              <w:rPr>
                <w:rFonts w:hint="eastAsia" w:ascii="仿宋" w:hAnsi="仿宋" w:eastAsia="仿宋" w:cs="仿宋"/>
                <w:color w:val="auto"/>
                <w:kern w:val="0"/>
                <w:sz w:val="32"/>
                <w:szCs w:val="32"/>
                <w:highlight w:val="none"/>
                <w:lang w:val="en-US" w:eastAsia="zh-CN"/>
              </w:rPr>
              <w:t>仓储能力</w:t>
            </w:r>
          </w:p>
        </w:tc>
        <w:tc>
          <w:tcPr>
            <w:tcW w:w="5989" w:type="dxa"/>
            <w:noWrap w:val="0"/>
            <w:vAlign w:val="center"/>
          </w:tcPr>
          <w:p w14:paraId="763F5284">
            <w:pPr>
              <w:keepNext w:val="0"/>
              <w:keepLines w:val="0"/>
              <w:pageBreakBefore w:val="0"/>
              <w:widowControl/>
              <w:kinsoku/>
              <w:wordWrap/>
              <w:overflowPunct/>
              <w:topLinePunct w:val="0"/>
              <w:autoSpaceDE/>
              <w:autoSpaceDN/>
              <w:bidi w:val="0"/>
              <w:adjustRightInd/>
              <w:spacing w:before="50" w:after="50" w:line="360" w:lineRule="auto"/>
              <w:textAlignment w:val="baseline"/>
              <w:rPr>
                <w:rFonts w:hint="eastAsia" w:ascii="仿宋" w:hAnsi="仿宋" w:eastAsia="仿宋" w:cs="仿宋"/>
                <w:color w:val="auto"/>
                <w:kern w:val="0"/>
                <w:sz w:val="32"/>
                <w:szCs w:val="32"/>
                <w:highlight w:val="none"/>
                <w:lang w:val="en-US" w:eastAsia="zh-CN"/>
              </w:rPr>
            </w:pPr>
            <w:r>
              <w:rPr>
                <w:rFonts w:hint="eastAsia" w:ascii="仿宋" w:hAnsi="仿宋" w:eastAsia="仿宋" w:cs="仿宋"/>
                <w:color w:val="auto"/>
                <w:kern w:val="0"/>
                <w:sz w:val="32"/>
                <w:szCs w:val="32"/>
                <w:highlight w:val="none"/>
                <w:lang w:val="en-US" w:eastAsia="zh-CN"/>
              </w:rPr>
              <w:t>投标人具有满足项目供货需求的仓储、存放、保鲜能力：</w:t>
            </w:r>
          </w:p>
          <w:p w14:paraId="179F2895">
            <w:pPr>
              <w:keepNext w:val="0"/>
              <w:keepLines w:val="0"/>
              <w:pageBreakBefore w:val="0"/>
              <w:widowControl/>
              <w:kinsoku/>
              <w:wordWrap/>
              <w:overflowPunct/>
              <w:topLinePunct w:val="0"/>
              <w:autoSpaceDE/>
              <w:autoSpaceDN/>
              <w:bidi w:val="0"/>
              <w:adjustRightInd/>
              <w:spacing w:before="50" w:after="50" w:line="360" w:lineRule="auto"/>
              <w:textAlignment w:val="baseline"/>
              <w:rPr>
                <w:rFonts w:hint="eastAsia" w:ascii="仿宋" w:hAnsi="仿宋" w:eastAsia="仿宋" w:cs="仿宋"/>
                <w:color w:val="auto"/>
                <w:kern w:val="0"/>
                <w:sz w:val="32"/>
                <w:szCs w:val="32"/>
                <w:highlight w:val="none"/>
                <w:lang w:val="en-US" w:eastAsia="zh-CN"/>
              </w:rPr>
            </w:pPr>
            <w:r>
              <w:rPr>
                <w:rFonts w:hint="eastAsia" w:ascii="仿宋" w:hAnsi="仿宋" w:eastAsia="仿宋" w:cs="仿宋"/>
                <w:color w:val="auto"/>
                <w:kern w:val="0"/>
                <w:sz w:val="32"/>
                <w:szCs w:val="32"/>
                <w:highlight w:val="none"/>
                <w:lang w:val="en-US" w:eastAsia="zh-CN"/>
              </w:rPr>
              <w:t>1.具有仓储场地的：</w:t>
            </w:r>
          </w:p>
          <w:p w14:paraId="37C2DFD1">
            <w:pPr>
              <w:keepNext w:val="0"/>
              <w:keepLines w:val="0"/>
              <w:pageBreakBefore w:val="0"/>
              <w:widowControl/>
              <w:kinsoku/>
              <w:wordWrap/>
              <w:overflowPunct/>
              <w:topLinePunct w:val="0"/>
              <w:autoSpaceDE/>
              <w:autoSpaceDN/>
              <w:bidi w:val="0"/>
              <w:adjustRightInd/>
              <w:spacing w:before="50" w:after="50" w:line="360" w:lineRule="auto"/>
              <w:textAlignment w:val="baseline"/>
              <w:rPr>
                <w:rFonts w:hint="eastAsia" w:ascii="仿宋" w:hAnsi="仿宋" w:eastAsia="仿宋" w:cs="仿宋"/>
                <w:color w:val="auto"/>
                <w:kern w:val="0"/>
                <w:sz w:val="32"/>
                <w:szCs w:val="32"/>
                <w:highlight w:val="none"/>
                <w:lang w:val="en-US" w:eastAsia="zh-CN"/>
              </w:rPr>
            </w:pPr>
            <w:r>
              <w:rPr>
                <w:rFonts w:hint="eastAsia" w:ascii="仿宋" w:hAnsi="仿宋" w:eastAsia="仿宋" w:cs="仿宋"/>
                <w:color w:val="auto"/>
                <w:kern w:val="0"/>
                <w:sz w:val="32"/>
                <w:szCs w:val="32"/>
                <w:highlight w:val="none"/>
                <w:lang w:val="en-US" w:eastAsia="zh-CN"/>
              </w:rPr>
              <w:t>场地面积＞200㎡，得3分；</w:t>
            </w:r>
          </w:p>
          <w:p w14:paraId="1E359DEC">
            <w:pPr>
              <w:keepNext w:val="0"/>
              <w:keepLines w:val="0"/>
              <w:pageBreakBefore w:val="0"/>
              <w:widowControl/>
              <w:kinsoku/>
              <w:wordWrap/>
              <w:overflowPunct/>
              <w:topLinePunct w:val="0"/>
              <w:autoSpaceDE/>
              <w:autoSpaceDN/>
              <w:bidi w:val="0"/>
              <w:adjustRightInd/>
              <w:spacing w:before="50" w:after="50" w:line="360" w:lineRule="auto"/>
              <w:textAlignment w:val="baseline"/>
              <w:rPr>
                <w:rFonts w:hint="eastAsia" w:ascii="仿宋" w:hAnsi="仿宋" w:eastAsia="仿宋" w:cs="仿宋"/>
                <w:color w:val="auto"/>
                <w:kern w:val="0"/>
                <w:sz w:val="32"/>
                <w:szCs w:val="32"/>
                <w:highlight w:val="none"/>
                <w:lang w:val="en-US" w:eastAsia="zh-CN"/>
              </w:rPr>
            </w:pPr>
            <w:r>
              <w:rPr>
                <w:rFonts w:hint="eastAsia" w:ascii="仿宋" w:hAnsi="仿宋" w:eastAsia="仿宋" w:cs="仿宋"/>
                <w:color w:val="auto"/>
                <w:kern w:val="0"/>
                <w:sz w:val="32"/>
                <w:szCs w:val="32"/>
                <w:highlight w:val="none"/>
                <w:lang w:val="en-US" w:eastAsia="zh-CN"/>
              </w:rPr>
              <w:t>200㎡≥场地面积＞150㎡，得2分；</w:t>
            </w:r>
          </w:p>
          <w:p w14:paraId="2AEA1EA9">
            <w:pPr>
              <w:keepNext w:val="0"/>
              <w:keepLines w:val="0"/>
              <w:pageBreakBefore w:val="0"/>
              <w:widowControl/>
              <w:kinsoku/>
              <w:wordWrap/>
              <w:overflowPunct/>
              <w:topLinePunct w:val="0"/>
              <w:autoSpaceDE/>
              <w:autoSpaceDN/>
              <w:bidi w:val="0"/>
              <w:adjustRightInd/>
              <w:spacing w:before="50" w:after="50" w:line="360" w:lineRule="auto"/>
              <w:textAlignment w:val="baseline"/>
              <w:rPr>
                <w:rFonts w:hint="eastAsia" w:ascii="仿宋" w:hAnsi="仿宋" w:eastAsia="仿宋" w:cs="仿宋"/>
                <w:color w:val="auto"/>
                <w:kern w:val="0"/>
                <w:sz w:val="32"/>
                <w:szCs w:val="32"/>
                <w:highlight w:val="none"/>
                <w:lang w:val="en-US" w:eastAsia="zh-CN"/>
              </w:rPr>
            </w:pPr>
            <w:r>
              <w:rPr>
                <w:rFonts w:hint="eastAsia" w:ascii="仿宋" w:hAnsi="仿宋" w:eastAsia="仿宋" w:cs="仿宋"/>
                <w:color w:val="auto"/>
                <w:kern w:val="0"/>
                <w:sz w:val="32"/>
                <w:szCs w:val="32"/>
                <w:highlight w:val="none"/>
                <w:lang w:val="en-US" w:eastAsia="zh-CN"/>
              </w:rPr>
              <w:t>150㎡≥场地面积＞100㎡，得1分；</w:t>
            </w:r>
          </w:p>
          <w:p w14:paraId="255EB9C4">
            <w:pPr>
              <w:keepNext w:val="0"/>
              <w:keepLines w:val="0"/>
              <w:pageBreakBefore w:val="0"/>
              <w:widowControl/>
              <w:kinsoku/>
              <w:wordWrap/>
              <w:overflowPunct/>
              <w:topLinePunct w:val="0"/>
              <w:autoSpaceDE/>
              <w:autoSpaceDN/>
              <w:bidi w:val="0"/>
              <w:adjustRightInd/>
              <w:spacing w:before="50" w:after="50" w:line="360" w:lineRule="auto"/>
              <w:textAlignment w:val="baseline"/>
              <w:rPr>
                <w:rFonts w:hint="eastAsia" w:ascii="仿宋" w:hAnsi="仿宋" w:eastAsia="仿宋" w:cs="仿宋"/>
                <w:color w:val="auto"/>
                <w:kern w:val="0"/>
                <w:sz w:val="32"/>
                <w:szCs w:val="32"/>
                <w:highlight w:val="none"/>
                <w:lang w:val="en-US" w:eastAsia="zh-CN"/>
              </w:rPr>
            </w:pPr>
            <w:r>
              <w:rPr>
                <w:rFonts w:hint="eastAsia" w:ascii="仿宋" w:hAnsi="仿宋" w:eastAsia="仿宋" w:cs="仿宋"/>
                <w:color w:val="auto"/>
                <w:kern w:val="0"/>
                <w:sz w:val="32"/>
                <w:szCs w:val="32"/>
                <w:highlight w:val="none"/>
                <w:lang w:val="en-US" w:eastAsia="zh-CN"/>
              </w:rPr>
              <w:t>没有不得分；</w:t>
            </w:r>
          </w:p>
          <w:p w14:paraId="6984079B">
            <w:pPr>
              <w:keepNext w:val="0"/>
              <w:keepLines w:val="0"/>
              <w:pageBreakBefore w:val="0"/>
              <w:widowControl/>
              <w:kinsoku/>
              <w:wordWrap/>
              <w:overflowPunct/>
              <w:topLinePunct w:val="0"/>
              <w:autoSpaceDE/>
              <w:autoSpaceDN/>
              <w:bidi w:val="0"/>
              <w:adjustRightInd/>
              <w:spacing w:before="50" w:after="50" w:line="360" w:lineRule="auto"/>
              <w:textAlignment w:val="baseline"/>
              <w:rPr>
                <w:rFonts w:hint="eastAsia" w:ascii="仿宋" w:hAnsi="仿宋" w:eastAsia="仿宋" w:cs="仿宋"/>
                <w:color w:val="auto"/>
                <w:kern w:val="0"/>
                <w:sz w:val="32"/>
                <w:szCs w:val="32"/>
                <w:highlight w:val="none"/>
                <w:lang w:val="en-US" w:eastAsia="zh-CN"/>
              </w:rPr>
            </w:pPr>
            <w:r>
              <w:rPr>
                <w:rFonts w:hint="eastAsia" w:ascii="仿宋" w:hAnsi="仿宋" w:eastAsia="仿宋" w:cs="仿宋"/>
                <w:color w:val="auto"/>
                <w:kern w:val="0"/>
                <w:sz w:val="32"/>
                <w:szCs w:val="32"/>
                <w:highlight w:val="none"/>
                <w:lang w:val="en-US" w:eastAsia="zh-CN"/>
              </w:rPr>
              <w:t>2.承诺中标后仓储场地设在伊宁市范围内的，加2分。</w:t>
            </w:r>
          </w:p>
          <w:p w14:paraId="7AE26FBF">
            <w:pPr>
              <w:keepNext w:val="0"/>
              <w:keepLines w:val="0"/>
              <w:pageBreakBefore w:val="0"/>
              <w:widowControl/>
              <w:kinsoku/>
              <w:wordWrap/>
              <w:overflowPunct/>
              <w:topLinePunct w:val="0"/>
              <w:autoSpaceDE/>
              <w:autoSpaceDN/>
              <w:bidi w:val="0"/>
              <w:adjustRightInd/>
              <w:spacing w:before="50" w:after="50" w:line="360" w:lineRule="auto"/>
              <w:textAlignment w:val="baseline"/>
              <w:rPr>
                <w:rFonts w:hint="eastAsia" w:ascii="仿宋" w:hAnsi="仿宋" w:eastAsia="仿宋" w:cs="仿宋"/>
                <w:b/>
                <w:bCs/>
                <w:color w:val="auto"/>
                <w:kern w:val="0"/>
                <w:sz w:val="32"/>
                <w:szCs w:val="32"/>
                <w:highlight w:val="none"/>
                <w:lang w:val="en-US" w:eastAsia="zh-CN"/>
              </w:rPr>
            </w:pPr>
            <w:r>
              <w:rPr>
                <w:rFonts w:hint="eastAsia" w:ascii="仿宋" w:hAnsi="仿宋" w:eastAsia="仿宋" w:cs="仿宋"/>
                <w:b/>
                <w:bCs/>
                <w:color w:val="auto"/>
                <w:kern w:val="0"/>
                <w:sz w:val="32"/>
                <w:szCs w:val="32"/>
                <w:highlight w:val="none"/>
                <w:lang w:val="en-US" w:eastAsia="zh-CN"/>
              </w:rPr>
              <w:t>注：场地以购房合同或租赁合同或其他能够证明该场地为投标人自有的相关证明文件为准</w:t>
            </w:r>
            <w:r>
              <w:rPr>
                <w:rFonts w:hint="eastAsia" w:ascii="仿宋" w:hAnsi="仿宋" w:eastAsia="仿宋" w:cs="仿宋"/>
                <w:color w:val="auto"/>
                <w:kern w:val="0"/>
                <w:sz w:val="32"/>
                <w:szCs w:val="32"/>
                <w:highlight w:val="none"/>
                <w:lang w:val="en-US" w:eastAsia="zh-CN"/>
              </w:rPr>
              <w:t>。</w:t>
            </w:r>
          </w:p>
        </w:tc>
        <w:tc>
          <w:tcPr>
            <w:tcW w:w="1608" w:type="dxa"/>
            <w:noWrap w:val="0"/>
            <w:vAlign w:val="center"/>
          </w:tcPr>
          <w:p w14:paraId="604C88E3">
            <w:pPr>
              <w:keepNext w:val="0"/>
              <w:keepLines w:val="0"/>
              <w:pageBreakBefore w:val="0"/>
              <w:widowControl/>
              <w:kinsoku/>
              <w:wordWrap/>
              <w:overflowPunct/>
              <w:topLinePunct w:val="0"/>
              <w:autoSpaceDE/>
              <w:autoSpaceDN/>
              <w:bidi w:val="0"/>
              <w:adjustRightInd/>
              <w:spacing w:line="360" w:lineRule="auto"/>
              <w:jc w:val="center"/>
              <w:textAlignment w:val="baseline"/>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0-5</w:t>
            </w:r>
          </w:p>
        </w:tc>
      </w:tr>
      <w:tr w14:paraId="3DE8E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1245" w:type="dxa"/>
            <w:vMerge w:val="restart"/>
            <w:noWrap w:val="0"/>
            <w:vAlign w:val="center"/>
          </w:tcPr>
          <w:p w14:paraId="789ECF9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kern w:val="0"/>
                <w:sz w:val="32"/>
                <w:szCs w:val="32"/>
                <w:lang w:val="en-US" w:eastAsia="zh-CN"/>
              </w:rPr>
            </w:pPr>
          </w:p>
          <w:p w14:paraId="45F9927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kern w:val="0"/>
                <w:sz w:val="32"/>
                <w:szCs w:val="32"/>
                <w:lang w:val="en-US" w:eastAsia="zh-CN"/>
              </w:rPr>
            </w:pPr>
          </w:p>
          <w:p w14:paraId="1150C4A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kern w:val="0"/>
                <w:sz w:val="32"/>
                <w:szCs w:val="32"/>
                <w:lang w:val="en-US" w:eastAsia="zh-CN"/>
              </w:rPr>
            </w:pPr>
          </w:p>
          <w:p w14:paraId="1BEB0DE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kern w:val="0"/>
                <w:sz w:val="32"/>
                <w:szCs w:val="32"/>
                <w:lang w:val="en-US" w:eastAsia="zh-CN"/>
              </w:rPr>
            </w:pPr>
          </w:p>
          <w:p w14:paraId="1E0510F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kern w:val="0"/>
                <w:sz w:val="32"/>
                <w:szCs w:val="32"/>
                <w:lang w:val="en-US" w:eastAsia="zh-CN"/>
              </w:rPr>
            </w:pPr>
          </w:p>
          <w:p w14:paraId="7BE9A2A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kern w:val="0"/>
                <w:sz w:val="32"/>
                <w:szCs w:val="32"/>
                <w:lang w:val="en-US" w:eastAsia="zh-CN"/>
              </w:rPr>
            </w:pPr>
          </w:p>
          <w:p w14:paraId="34B8B26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kern w:val="0"/>
                <w:sz w:val="32"/>
                <w:szCs w:val="32"/>
                <w:lang w:val="en-US" w:eastAsia="zh-CN"/>
              </w:rPr>
            </w:pPr>
          </w:p>
          <w:p w14:paraId="4809796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kern w:val="0"/>
                <w:sz w:val="32"/>
                <w:szCs w:val="32"/>
                <w:lang w:val="en-US" w:eastAsia="zh-CN"/>
              </w:rPr>
            </w:pPr>
          </w:p>
          <w:p w14:paraId="7F1537D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kern w:val="0"/>
                <w:sz w:val="32"/>
                <w:szCs w:val="32"/>
                <w:lang w:val="en-US" w:eastAsia="zh-CN"/>
              </w:rPr>
            </w:pPr>
          </w:p>
          <w:p w14:paraId="72A55FB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kern w:val="0"/>
                <w:sz w:val="32"/>
                <w:szCs w:val="32"/>
                <w:lang w:val="en-US" w:eastAsia="zh-CN"/>
              </w:rPr>
            </w:pPr>
          </w:p>
          <w:p w14:paraId="5451592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kern w:val="0"/>
                <w:sz w:val="32"/>
                <w:szCs w:val="32"/>
                <w:lang w:val="en-US" w:eastAsia="zh-CN"/>
              </w:rPr>
            </w:pPr>
          </w:p>
          <w:p w14:paraId="20C6B93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kern w:val="0"/>
                <w:sz w:val="32"/>
                <w:szCs w:val="32"/>
                <w:lang w:val="en-US" w:eastAsia="zh-CN"/>
              </w:rPr>
            </w:pPr>
          </w:p>
          <w:p w14:paraId="3F2A1A9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kern w:val="0"/>
                <w:sz w:val="32"/>
                <w:szCs w:val="32"/>
                <w:lang w:val="en-US" w:eastAsia="zh-CN"/>
              </w:rPr>
            </w:pPr>
          </w:p>
          <w:p w14:paraId="5EA00F4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kern w:val="0"/>
                <w:sz w:val="32"/>
                <w:szCs w:val="32"/>
                <w:lang w:val="en-US" w:eastAsia="zh-CN"/>
              </w:rPr>
            </w:pPr>
          </w:p>
          <w:p w14:paraId="2EF1B9B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kern w:val="0"/>
                <w:sz w:val="32"/>
                <w:szCs w:val="32"/>
                <w:lang w:val="en-US" w:eastAsia="zh-CN"/>
              </w:rPr>
            </w:pPr>
          </w:p>
          <w:p w14:paraId="49F2D52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kern w:val="0"/>
                <w:sz w:val="32"/>
                <w:szCs w:val="32"/>
                <w:lang w:val="en-US" w:eastAsia="zh-CN"/>
              </w:rPr>
            </w:pPr>
          </w:p>
          <w:p w14:paraId="24EB202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kern w:val="0"/>
                <w:sz w:val="32"/>
                <w:szCs w:val="32"/>
                <w:lang w:val="en-US" w:eastAsia="zh-CN"/>
              </w:rPr>
            </w:pPr>
          </w:p>
          <w:p w14:paraId="4F6820B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kern w:val="0"/>
                <w:sz w:val="32"/>
                <w:szCs w:val="32"/>
                <w:highlight w:val="none"/>
                <w:lang w:val="en-US" w:eastAsia="zh-CN"/>
              </w:rPr>
            </w:pPr>
          </w:p>
          <w:p w14:paraId="09CBF56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highlight w:val="none"/>
                <w:lang w:val="en-US" w:eastAsia="zh-CN"/>
              </w:rPr>
              <w:t>技术部分权重47%</w:t>
            </w:r>
          </w:p>
        </w:tc>
        <w:tc>
          <w:tcPr>
            <w:tcW w:w="1686" w:type="dxa"/>
            <w:noWrap w:val="0"/>
            <w:vAlign w:val="center"/>
          </w:tcPr>
          <w:p w14:paraId="12E420B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kern w:val="0"/>
                <w:sz w:val="32"/>
                <w:szCs w:val="32"/>
                <w:highlight w:val="none"/>
                <w:lang w:val="en-US" w:eastAsia="zh-CN"/>
              </w:rPr>
            </w:pPr>
          </w:p>
          <w:p w14:paraId="299EB65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color w:val="auto"/>
                <w:kern w:val="0"/>
                <w:sz w:val="32"/>
                <w:szCs w:val="32"/>
                <w:highlight w:val="none"/>
                <w:lang w:eastAsia="zh-CN"/>
              </w:rPr>
            </w:pPr>
            <w:r>
              <w:rPr>
                <w:rFonts w:hint="eastAsia" w:ascii="仿宋" w:hAnsi="仿宋" w:eastAsia="仿宋" w:cs="仿宋"/>
                <w:color w:val="auto"/>
                <w:kern w:val="0"/>
                <w:sz w:val="32"/>
                <w:szCs w:val="32"/>
                <w:highlight w:val="none"/>
                <w:lang w:val="en-US" w:eastAsia="zh-CN"/>
              </w:rPr>
              <w:t>配送方案</w:t>
            </w:r>
          </w:p>
        </w:tc>
        <w:tc>
          <w:tcPr>
            <w:tcW w:w="5989" w:type="dxa"/>
            <w:noWrap w:val="0"/>
            <w:vAlign w:val="center"/>
          </w:tcPr>
          <w:p w14:paraId="637299B0">
            <w:pPr>
              <w:keepNext w:val="0"/>
              <w:keepLines w:val="0"/>
              <w:pageBreakBefore w:val="0"/>
              <w:widowControl/>
              <w:numPr>
                <w:ilvl w:val="0"/>
                <w:numId w:val="56"/>
              </w:numPr>
              <w:kinsoku/>
              <w:wordWrap/>
              <w:overflowPunct/>
              <w:topLinePunct w:val="0"/>
              <w:autoSpaceDE/>
              <w:autoSpaceDN/>
              <w:bidi w:val="0"/>
              <w:adjustRightInd/>
              <w:snapToGrid/>
              <w:spacing w:before="117" w:line="360" w:lineRule="auto"/>
              <w:ind w:right="71"/>
              <w:jc w:val="both"/>
              <w:textAlignment w:val="baseline"/>
              <w:rPr>
                <w:rFonts w:hint="eastAsia" w:ascii="仿宋" w:hAnsi="仿宋" w:eastAsia="仿宋" w:cs="仿宋"/>
                <w:b w:val="0"/>
                <w:bCs w:val="0"/>
                <w:color w:val="auto"/>
                <w:kern w:val="0"/>
                <w:sz w:val="32"/>
                <w:szCs w:val="32"/>
                <w:highlight w:val="none"/>
                <w:lang w:val="en-US" w:eastAsia="zh-CN" w:bidi="ar-SA"/>
              </w:rPr>
            </w:pPr>
            <w:r>
              <w:rPr>
                <w:rFonts w:hint="eastAsia" w:ascii="仿宋" w:hAnsi="仿宋" w:eastAsia="仿宋" w:cs="仿宋"/>
                <w:b w:val="0"/>
                <w:bCs w:val="0"/>
                <w:color w:val="auto"/>
                <w:kern w:val="0"/>
                <w:sz w:val="32"/>
                <w:szCs w:val="32"/>
                <w:highlight w:val="none"/>
                <w:lang w:val="en-US" w:eastAsia="zh-CN" w:bidi="ar-SA"/>
              </w:rPr>
              <w:t>投标单位对货物的运输的具体方案；内容包括：①针对本项目的运输服务方案、正确处理、完美解决问题的方式；②针对项目运输方案实施提出措施建议，确保配送顺利完成。</w:t>
            </w:r>
            <w:r>
              <w:rPr>
                <w:rFonts w:hint="eastAsia" w:ascii="仿宋" w:hAnsi="仿宋" w:eastAsia="仿宋" w:cs="仿宋"/>
                <w:b/>
                <w:bCs/>
                <w:color w:val="auto"/>
                <w:kern w:val="0"/>
                <w:sz w:val="32"/>
                <w:szCs w:val="32"/>
                <w:highlight w:val="none"/>
                <w:lang w:val="en-US" w:eastAsia="zh-CN" w:bidi="ar-SA"/>
              </w:rPr>
              <w:t>注：提供一项得1分，本项满分2分，未提供不得分。</w:t>
            </w:r>
          </w:p>
          <w:p w14:paraId="5B5D6D02">
            <w:pPr>
              <w:keepNext w:val="0"/>
              <w:keepLines w:val="0"/>
              <w:pageBreakBefore w:val="0"/>
              <w:widowControl/>
              <w:numPr>
                <w:ilvl w:val="0"/>
                <w:numId w:val="56"/>
              </w:numPr>
              <w:kinsoku/>
              <w:wordWrap/>
              <w:overflowPunct/>
              <w:topLinePunct w:val="0"/>
              <w:autoSpaceDE/>
              <w:autoSpaceDN/>
              <w:bidi w:val="0"/>
              <w:adjustRightInd/>
              <w:snapToGrid/>
              <w:spacing w:before="117" w:line="360" w:lineRule="auto"/>
              <w:ind w:right="71"/>
              <w:jc w:val="both"/>
              <w:textAlignment w:val="baseline"/>
              <w:rPr>
                <w:rFonts w:hint="eastAsia" w:ascii="仿宋" w:hAnsi="仿宋" w:eastAsia="仿宋" w:cs="仿宋"/>
                <w:b/>
                <w:bCs/>
                <w:color w:val="auto"/>
                <w:kern w:val="0"/>
                <w:sz w:val="32"/>
                <w:szCs w:val="32"/>
                <w:highlight w:val="none"/>
                <w:lang w:val="en-US" w:eastAsia="zh-CN" w:bidi="ar-SA"/>
              </w:rPr>
            </w:pPr>
            <w:r>
              <w:rPr>
                <w:rFonts w:hint="eastAsia" w:ascii="仿宋" w:hAnsi="仿宋" w:eastAsia="仿宋" w:cs="仿宋"/>
                <w:color w:val="auto"/>
                <w:kern w:val="0"/>
                <w:sz w:val="32"/>
                <w:szCs w:val="32"/>
                <w:highlight w:val="none"/>
                <w:lang w:val="en-US" w:eastAsia="zh-CN" w:bidi="ar-SA"/>
              </w:rPr>
              <w:t>投标单位对货物配送的具体方案；内容包括：①出入库管理②货物交接③配送时间安排。</w:t>
            </w:r>
            <w:r>
              <w:rPr>
                <w:rFonts w:hint="eastAsia" w:ascii="仿宋" w:hAnsi="仿宋" w:eastAsia="仿宋" w:cs="仿宋"/>
                <w:b/>
                <w:bCs/>
                <w:color w:val="auto"/>
                <w:kern w:val="0"/>
                <w:sz w:val="32"/>
                <w:szCs w:val="32"/>
                <w:highlight w:val="none"/>
                <w:lang w:val="en-US" w:eastAsia="zh-CN" w:bidi="ar-SA"/>
              </w:rPr>
              <w:t>注：提供一项得1分，本项满分3分，未提供不得分。</w:t>
            </w:r>
          </w:p>
          <w:p w14:paraId="056B83B0">
            <w:pPr>
              <w:keepNext w:val="0"/>
              <w:keepLines w:val="0"/>
              <w:pageBreakBefore w:val="0"/>
              <w:widowControl/>
              <w:numPr>
                <w:ilvl w:val="0"/>
                <w:numId w:val="56"/>
              </w:numPr>
              <w:kinsoku/>
              <w:wordWrap/>
              <w:overflowPunct/>
              <w:topLinePunct w:val="0"/>
              <w:autoSpaceDE/>
              <w:autoSpaceDN/>
              <w:bidi w:val="0"/>
              <w:adjustRightInd/>
              <w:snapToGrid/>
              <w:spacing w:before="182" w:line="360" w:lineRule="auto"/>
              <w:ind w:left="0" w:leftChars="0" w:firstLine="0" w:firstLineChars="0"/>
              <w:jc w:val="both"/>
              <w:textAlignment w:val="baseline"/>
              <w:rPr>
                <w:rFonts w:hint="eastAsia" w:ascii="仿宋" w:hAnsi="仿宋" w:eastAsia="仿宋" w:cs="仿宋"/>
                <w:color w:val="auto"/>
                <w:kern w:val="0"/>
                <w:sz w:val="32"/>
                <w:szCs w:val="32"/>
                <w:highlight w:val="none"/>
                <w:lang w:val="en-US" w:eastAsia="zh-CN" w:bidi="ar-SA"/>
              </w:rPr>
            </w:pPr>
            <w:r>
              <w:rPr>
                <w:rFonts w:hint="eastAsia" w:ascii="仿宋" w:hAnsi="仿宋" w:eastAsia="仿宋" w:cs="仿宋"/>
                <w:color w:val="auto"/>
                <w:kern w:val="0"/>
                <w:sz w:val="32"/>
                <w:szCs w:val="32"/>
                <w:highlight w:val="none"/>
                <w:lang w:val="en-US" w:eastAsia="zh-CN" w:bidi="ar-SA"/>
              </w:rPr>
              <w:t>投标单位对货物装卸的具体方案；内容包括：①货物装卸流程②货物装卸工具③货物装卸安全管理。</w:t>
            </w:r>
            <w:r>
              <w:rPr>
                <w:rFonts w:hint="eastAsia" w:ascii="仿宋" w:hAnsi="仿宋" w:eastAsia="仿宋" w:cs="仿宋"/>
                <w:b/>
                <w:bCs/>
                <w:color w:val="auto"/>
                <w:kern w:val="0"/>
                <w:sz w:val="32"/>
                <w:szCs w:val="32"/>
                <w:highlight w:val="none"/>
                <w:lang w:val="en-US" w:eastAsia="zh-CN" w:bidi="ar-SA"/>
              </w:rPr>
              <w:t>注：提供一项得1分，本项满分3 分，未提供不得分。</w:t>
            </w:r>
          </w:p>
          <w:p w14:paraId="65C9984E">
            <w:pPr>
              <w:keepNext w:val="0"/>
              <w:keepLines w:val="0"/>
              <w:pageBreakBefore w:val="0"/>
              <w:widowControl/>
              <w:numPr>
                <w:ilvl w:val="0"/>
                <w:numId w:val="0"/>
              </w:numPr>
              <w:kinsoku/>
              <w:wordWrap/>
              <w:overflowPunct/>
              <w:topLinePunct w:val="0"/>
              <w:autoSpaceDE/>
              <w:autoSpaceDN/>
              <w:bidi w:val="0"/>
              <w:adjustRightInd/>
              <w:snapToGrid/>
              <w:spacing w:before="182" w:line="360" w:lineRule="auto"/>
              <w:ind w:leftChars="0"/>
              <w:jc w:val="both"/>
              <w:textAlignment w:val="baseline"/>
              <w:rPr>
                <w:rFonts w:hint="eastAsia" w:ascii="仿宋" w:hAnsi="仿宋" w:eastAsia="仿宋" w:cs="仿宋"/>
                <w:color w:val="auto"/>
                <w:kern w:val="0"/>
                <w:sz w:val="32"/>
                <w:szCs w:val="32"/>
                <w:highlight w:val="none"/>
                <w:lang w:val="en-US" w:eastAsia="zh-CN" w:bidi="ar-SA"/>
              </w:rPr>
            </w:pPr>
            <w:r>
              <w:rPr>
                <w:rFonts w:hint="eastAsia" w:ascii="仿宋" w:hAnsi="仿宋" w:eastAsia="仿宋" w:cs="仿宋"/>
                <w:color w:val="auto"/>
                <w:kern w:val="0"/>
                <w:sz w:val="32"/>
                <w:szCs w:val="32"/>
                <w:highlight w:val="none"/>
                <w:lang w:val="en-US" w:eastAsia="zh-CN" w:bidi="ar-SA"/>
              </w:rPr>
              <w:t>注：以上内容每项内容中每有一处内容缺陷扣1分(缺陷是指：存在不适用项目实际情况的情形、凭空编造、内容前后不一致、前后逻辑错误、涉及的规范及标准错误、地点区域错误、内容遗漏、不符合采购需求等)，扣完为止。</w:t>
            </w:r>
          </w:p>
        </w:tc>
        <w:tc>
          <w:tcPr>
            <w:tcW w:w="1608" w:type="dxa"/>
            <w:noWrap w:val="0"/>
            <w:vAlign w:val="center"/>
          </w:tcPr>
          <w:p w14:paraId="22E7DAED">
            <w:pPr>
              <w:keepNext w:val="0"/>
              <w:keepLines w:val="0"/>
              <w:pageBreakBefore w:val="0"/>
              <w:widowControl/>
              <w:kinsoku/>
              <w:wordWrap/>
              <w:overflowPunct/>
              <w:topLinePunct w:val="0"/>
              <w:autoSpaceDE/>
              <w:autoSpaceDN/>
              <w:bidi w:val="0"/>
              <w:adjustRightInd/>
              <w:spacing w:line="360" w:lineRule="auto"/>
              <w:jc w:val="center"/>
              <w:textAlignment w:val="baseline"/>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0-8</w:t>
            </w:r>
          </w:p>
        </w:tc>
      </w:tr>
      <w:tr w14:paraId="56DBB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1245" w:type="dxa"/>
            <w:vMerge w:val="continue"/>
            <w:noWrap w:val="0"/>
            <w:vAlign w:val="center"/>
          </w:tcPr>
          <w:p w14:paraId="622FF40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kern w:val="0"/>
                <w:sz w:val="32"/>
                <w:szCs w:val="32"/>
              </w:rPr>
            </w:pPr>
          </w:p>
        </w:tc>
        <w:tc>
          <w:tcPr>
            <w:tcW w:w="1686" w:type="dxa"/>
            <w:noWrap w:val="0"/>
            <w:vAlign w:val="center"/>
          </w:tcPr>
          <w:p w14:paraId="0DB5B80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kern w:val="0"/>
                <w:sz w:val="32"/>
                <w:szCs w:val="32"/>
                <w:highlight w:val="none"/>
                <w:lang w:val="en-US" w:eastAsia="zh-CN"/>
              </w:rPr>
            </w:pPr>
            <w:r>
              <w:rPr>
                <w:rFonts w:hint="eastAsia" w:ascii="仿宋" w:hAnsi="仿宋" w:eastAsia="仿宋" w:cs="仿宋"/>
                <w:color w:val="auto"/>
                <w:kern w:val="0"/>
                <w:sz w:val="32"/>
                <w:szCs w:val="32"/>
                <w:highlight w:val="none"/>
                <w:lang w:val="en-US" w:eastAsia="zh-CN" w:bidi="ar-SA"/>
              </w:rPr>
              <w:t>货源保障能力</w:t>
            </w:r>
          </w:p>
        </w:tc>
        <w:tc>
          <w:tcPr>
            <w:tcW w:w="5989" w:type="dxa"/>
            <w:noWrap w:val="0"/>
            <w:vAlign w:val="center"/>
          </w:tcPr>
          <w:p w14:paraId="1AB96C42">
            <w:pPr>
              <w:keepNext w:val="0"/>
              <w:keepLines w:val="0"/>
              <w:pageBreakBefore w:val="0"/>
              <w:widowControl/>
              <w:numPr>
                <w:ilvl w:val="0"/>
                <w:numId w:val="0"/>
              </w:numPr>
              <w:kinsoku/>
              <w:wordWrap/>
              <w:overflowPunct/>
              <w:topLinePunct w:val="0"/>
              <w:autoSpaceDE/>
              <w:autoSpaceDN/>
              <w:bidi w:val="0"/>
              <w:adjustRightInd/>
              <w:snapToGrid/>
              <w:spacing w:before="182" w:line="360" w:lineRule="auto"/>
              <w:ind w:leftChars="0"/>
              <w:jc w:val="both"/>
              <w:textAlignment w:val="baseline"/>
              <w:rPr>
                <w:rFonts w:hint="eastAsia" w:ascii="仿宋" w:hAnsi="仿宋" w:eastAsia="仿宋" w:cs="仿宋"/>
                <w:color w:val="auto"/>
                <w:kern w:val="0"/>
                <w:sz w:val="32"/>
                <w:szCs w:val="32"/>
                <w:highlight w:val="none"/>
                <w:lang w:val="en-US" w:eastAsia="zh-CN" w:bidi="ar-SA"/>
              </w:rPr>
            </w:pPr>
            <w:r>
              <w:rPr>
                <w:rFonts w:hint="eastAsia" w:ascii="仿宋" w:hAnsi="仿宋" w:eastAsia="仿宋" w:cs="仿宋"/>
                <w:color w:val="auto"/>
                <w:kern w:val="0"/>
                <w:sz w:val="32"/>
                <w:szCs w:val="32"/>
                <w:highlight w:val="none"/>
                <w:lang w:val="en-US" w:eastAsia="zh-CN" w:bidi="ar-SA"/>
              </w:rPr>
              <w:t>货源保障能力包括：①确保所有货品的新鲜度措施；②配送途中质量保证的措施；③检测证书（报告）完备； ④缺送漏送的解决办法；⑤临时少量货品的及时送货措施；⑥对不合格货品、价格虚高的处罚办法。以上内容完整且完全满足项目要求得12分，每缺失一项内容扣2分，每项内容中每有一处内容缺陷扣0.5分(缺陷是指：存在不适用项目实际情况的情形、凭空编造、内容前后不一致、前后逻辑错误、涉及的规范及标准错误、地点区域错误、内容遗漏、不符合采购需求等)，扣完为止。</w:t>
            </w:r>
          </w:p>
        </w:tc>
        <w:tc>
          <w:tcPr>
            <w:tcW w:w="1608" w:type="dxa"/>
            <w:noWrap w:val="0"/>
            <w:vAlign w:val="center"/>
          </w:tcPr>
          <w:p w14:paraId="2D574E80">
            <w:pPr>
              <w:keepNext w:val="0"/>
              <w:keepLines w:val="0"/>
              <w:pageBreakBefore w:val="0"/>
              <w:widowControl/>
              <w:kinsoku/>
              <w:wordWrap/>
              <w:overflowPunct/>
              <w:topLinePunct w:val="0"/>
              <w:autoSpaceDE/>
              <w:autoSpaceDN/>
              <w:bidi w:val="0"/>
              <w:adjustRightInd/>
              <w:spacing w:line="360" w:lineRule="auto"/>
              <w:jc w:val="center"/>
              <w:textAlignment w:val="baseline"/>
              <w:rPr>
                <w:rFonts w:hint="default" w:ascii="仿宋" w:hAnsi="仿宋" w:eastAsia="仿宋" w:cs="仿宋"/>
                <w:color w:val="auto"/>
                <w:kern w:val="0"/>
                <w:sz w:val="32"/>
                <w:szCs w:val="32"/>
                <w:highlight w:val="none"/>
                <w:lang w:val="en-US" w:eastAsia="zh-CN"/>
              </w:rPr>
            </w:pPr>
            <w:r>
              <w:rPr>
                <w:rFonts w:hint="eastAsia" w:ascii="仿宋" w:hAnsi="仿宋" w:eastAsia="仿宋" w:cs="仿宋"/>
                <w:color w:val="auto"/>
                <w:kern w:val="0"/>
                <w:sz w:val="32"/>
                <w:szCs w:val="32"/>
                <w:highlight w:val="none"/>
                <w:lang w:val="en-US" w:eastAsia="zh-CN"/>
              </w:rPr>
              <w:t>0-12</w:t>
            </w:r>
          </w:p>
        </w:tc>
      </w:tr>
      <w:tr w14:paraId="644DE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1245" w:type="dxa"/>
            <w:vMerge w:val="continue"/>
            <w:noWrap w:val="0"/>
            <w:vAlign w:val="center"/>
          </w:tcPr>
          <w:p w14:paraId="46C7A72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kern w:val="0"/>
                <w:sz w:val="32"/>
                <w:szCs w:val="32"/>
                <w:lang w:val="en-US" w:eastAsia="zh-CN"/>
              </w:rPr>
            </w:pPr>
          </w:p>
        </w:tc>
        <w:tc>
          <w:tcPr>
            <w:tcW w:w="1686" w:type="dxa"/>
            <w:noWrap w:val="0"/>
            <w:vAlign w:val="center"/>
          </w:tcPr>
          <w:p w14:paraId="3409769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kern w:val="0"/>
                <w:sz w:val="32"/>
                <w:szCs w:val="32"/>
                <w:lang w:val="en-US"/>
              </w:rPr>
            </w:pPr>
            <w:r>
              <w:rPr>
                <w:rFonts w:hint="eastAsia" w:ascii="仿宋" w:hAnsi="仿宋" w:eastAsia="仿宋" w:cs="仿宋"/>
                <w:color w:val="auto"/>
                <w:kern w:val="0"/>
                <w:sz w:val="32"/>
                <w:szCs w:val="32"/>
                <w:lang w:val="en-US" w:eastAsia="zh-CN"/>
              </w:rPr>
              <w:t>质量安全</w:t>
            </w:r>
          </w:p>
        </w:tc>
        <w:tc>
          <w:tcPr>
            <w:tcW w:w="5989" w:type="dxa"/>
            <w:noWrap w:val="0"/>
            <w:vAlign w:val="center"/>
          </w:tcPr>
          <w:p w14:paraId="72B31BE6">
            <w:pPr>
              <w:keepNext w:val="0"/>
              <w:keepLines w:val="0"/>
              <w:pageBreakBefore w:val="0"/>
              <w:widowControl/>
              <w:numPr>
                <w:ilvl w:val="0"/>
                <w:numId w:val="57"/>
              </w:numPr>
              <w:kinsoku/>
              <w:wordWrap/>
              <w:overflowPunct/>
              <w:topLinePunct w:val="0"/>
              <w:autoSpaceDE/>
              <w:autoSpaceDN/>
              <w:bidi w:val="0"/>
              <w:adjustRightInd/>
              <w:snapToGrid/>
              <w:spacing w:before="117" w:line="360" w:lineRule="auto"/>
              <w:ind w:right="68" w:rightChars="0"/>
              <w:jc w:val="both"/>
              <w:textAlignment w:val="baseline"/>
              <w:rPr>
                <w:rFonts w:hint="eastAsia" w:ascii="仿宋" w:hAnsi="仿宋" w:eastAsia="仿宋" w:cs="仿宋"/>
                <w:b/>
                <w:bCs/>
                <w:color w:val="auto"/>
                <w:kern w:val="0"/>
                <w:sz w:val="32"/>
                <w:szCs w:val="32"/>
                <w:highlight w:val="none"/>
                <w:lang w:val="en-US" w:eastAsia="zh-CN" w:bidi="ar-SA"/>
              </w:rPr>
            </w:pPr>
            <w:r>
              <w:rPr>
                <w:rFonts w:hint="eastAsia" w:ascii="仿宋" w:hAnsi="仿宋" w:eastAsia="仿宋" w:cs="仿宋"/>
                <w:color w:val="auto"/>
                <w:kern w:val="0"/>
                <w:sz w:val="32"/>
                <w:szCs w:val="32"/>
                <w:highlight w:val="none"/>
                <w:lang w:val="en-US" w:eastAsia="zh-CN" w:bidi="ar-SA"/>
              </w:rPr>
              <w:t>针对质量安全控制的操作流程、下游控制流程以及安全控制的安全举措。（1）仓储安全管理内容包括：①具有仓储卫生管理制度②配置仓储安全设施（包括但不限于温度测量、湿度测量、挡鼠板、备用电机等，须提供照片相关证明材料）</w:t>
            </w:r>
            <w:r>
              <w:rPr>
                <w:rFonts w:hint="eastAsia" w:ascii="仿宋" w:hAnsi="仿宋" w:eastAsia="仿宋" w:cs="仿宋"/>
                <w:b/>
                <w:bCs/>
                <w:color w:val="auto"/>
                <w:kern w:val="0"/>
                <w:sz w:val="32"/>
                <w:szCs w:val="32"/>
                <w:highlight w:val="none"/>
                <w:lang w:val="en-US" w:eastAsia="zh-CN" w:bidi="ar-SA"/>
              </w:rPr>
              <w:t>注：提供一项得2.5分，本项满分5分，未提供不得分；每有一处不具有合理性、不详尽或不能满足采购需求的扣0.5分；扣完为止。</w:t>
            </w:r>
          </w:p>
          <w:p w14:paraId="1B2E2DF1">
            <w:pPr>
              <w:keepNext w:val="0"/>
              <w:keepLines w:val="0"/>
              <w:pageBreakBefore w:val="0"/>
              <w:widowControl/>
              <w:numPr>
                <w:ilvl w:val="0"/>
                <w:numId w:val="57"/>
              </w:numPr>
              <w:kinsoku/>
              <w:wordWrap/>
              <w:overflowPunct/>
              <w:topLinePunct w:val="0"/>
              <w:autoSpaceDE/>
              <w:autoSpaceDN/>
              <w:bidi w:val="0"/>
              <w:adjustRightInd/>
              <w:snapToGrid/>
              <w:spacing w:before="117" w:line="360" w:lineRule="auto"/>
              <w:ind w:left="0" w:leftChars="0" w:right="68" w:rightChars="0" w:firstLine="0" w:firstLineChars="0"/>
              <w:jc w:val="both"/>
              <w:textAlignment w:val="baseline"/>
              <w:rPr>
                <w:rFonts w:hint="eastAsia" w:ascii="仿宋" w:hAnsi="仿宋" w:eastAsia="仿宋" w:cs="仿宋"/>
                <w:color w:val="auto"/>
                <w:kern w:val="0"/>
                <w:sz w:val="32"/>
                <w:szCs w:val="32"/>
                <w:highlight w:val="none"/>
                <w:lang w:val="en-US" w:eastAsia="zh-CN" w:bidi="ar-SA"/>
              </w:rPr>
            </w:pPr>
            <w:r>
              <w:rPr>
                <w:rFonts w:hint="eastAsia" w:ascii="仿宋" w:hAnsi="仿宋" w:eastAsia="仿宋" w:cs="仿宋"/>
                <w:color w:val="auto"/>
                <w:kern w:val="0"/>
                <w:sz w:val="32"/>
                <w:szCs w:val="32"/>
                <w:highlight w:val="none"/>
                <w:lang w:val="en-US" w:eastAsia="zh-CN" w:bidi="ar-SA"/>
              </w:rPr>
              <w:t>安全生产管理人员：至少配备1名安全生产管理人员且须提供健康证、劳动合同及近半年任意3个月的社保证。</w:t>
            </w:r>
            <w:r>
              <w:rPr>
                <w:rFonts w:hint="eastAsia" w:ascii="仿宋" w:hAnsi="仿宋" w:eastAsia="仿宋" w:cs="仿宋"/>
                <w:b/>
                <w:bCs/>
                <w:color w:val="auto"/>
                <w:kern w:val="0"/>
                <w:sz w:val="32"/>
                <w:szCs w:val="32"/>
                <w:highlight w:val="none"/>
                <w:lang w:val="en-US" w:eastAsia="zh-CN" w:bidi="ar-SA"/>
              </w:rPr>
              <w:t>注：满足得2分，不提供证明材料不得分</w:t>
            </w:r>
          </w:p>
          <w:p w14:paraId="58515BF4">
            <w:pPr>
              <w:keepNext w:val="0"/>
              <w:keepLines w:val="0"/>
              <w:pageBreakBefore w:val="0"/>
              <w:widowControl/>
              <w:numPr>
                <w:ilvl w:val="0"/>
                <w:numId w:val="57"/>
              </w:numPr>
              <w:kinsoku/>
              <w:wordWrap/>
              <w:overflowPunct/>
              <w:topLinePunct w:val="0"/>
              <w:autoSpaceDE/>
              <w:autoSpaceDN/>
              <w:bidi w:val="0"/>
              <w:adjustRightInd/>
              <w:snapToGrid/>
              <w:spacing w:before="117" w:line="360" w:lineRule="auto"/>
              <w:ind w:left="0" w:leftChars="0" w:right="68" w:rightChars="0" w:firstLine="0" w:firstLineChars="0"/>
              <w:jc w:val="both"/>
              <w:textAlignment w:val="baseline"/>
              <w:rPr>
                <w:rFonts w:hint="eastAsia" w:ascii="仿宋" w:hAnsi="仿宋" w:eastAsia="仿宋" w:cs="仿宋"/>
                <w:color w:val="auto"/>
                <w:kern w:val="0"/>
                <w:sz w:val="32"/>
                <w:szCs w:val="32"/>
                <w:highlight w:val="none"/>
                <w:lang w:val="en-US" w:eastAsia="zh-CN" w:bidi="ar-SA"/>
              </w:rPr>
            </w:pPr>
            <w:r>
              <w:rPr>
                <w:rFonts w:hint="eastAsia" w:ascii="仿宋" w:hAnsi="仿宋" w:eastAsia="仿宋" w:cs="仿宋"/>
                <w:color w:val="auto"/>
                <w:kern w:val="0"/>
                <w:sz w:val="32"/>
                <w:szCs w:val="32"/>
                <w:highlight w:val="none"/>
                <w:lang w:val="en-US" w:eastAsia="zh-CN" w:bidi="ar-SA"/>
              </w:rPr>
              <w:t>安全质量制度：①具有完善的安全制度②具有完善的安全标准。</w:t>
            </w:r>
            <w:r>
              <w:rPr>
                <w:rFonts w:hint="eastAsia" w:ascii="仿宋" w:hAnsi="仿宋" w:eastAsia="仿宋" w:cs="仿宋"/>
                <w:b/>
                <w:bCs/>
                <w:color w:val="auto"/>
                <w:kern w:val="0"/>
                <w:sz w:val="32"/>
                <w:szCs w:val="32"/>
                <w:highlight w:val="none"/>
                <w:lang w:val="en-US" w:eastAsia="zh-CN" w:bidi="ar-SA"/>
              </w:rPr>
              <w:t>注：注：提供一项得2.5分，本项满分5分，未提供不得分；</w:t>
            </w:r>
            <w:r>
              <w:rPr>
                <w:rFonts w:hint="eastAsia" w:ascii="仿宋" w:hAnsi="仿宋" w:eastAsia="仿宋" w:cs="仿宋"/>
                <w:color w:val="auto"/>
                <w:kern w:val="0"/>
                <w:sz w:val="32"/>
                <w:szCs w:val="32"/>
                <w:highlight w:val="none"/>
                <w:lang w:val="en-US" w:eastAsia="zh-CN" w:bidi="ar-SA"/>
              </w:rPr>
              <w:t>每有一处不具有合理性、不详尽或不能满足采购需求的扣0.5分；扣完为止。</w:t>
            </w:r>
          </w:p>
        </w:tc>
        <w:tc>
          <w:tcPr>
            <w:tcW w:w="1608" w:type="dxa"/>
            <w:noWrap w:val="0"/>
            <w:vAlign w:val="center"/>
          </w:tcPr>
          <w:p w14:paraId="20F720C8">
            <w:pPr>
              <w:keepNext w:val="0"/>
              <w:keepLines w:val="0"/>
              <w:pageBreakBefore w:val="0"/>
              <w:widowControl/>
              <w:kinsoku/>
              <w:wordWrap/>
              <w:overflowPunct/>
              <w:topLinePunct w:val="0"/>
              <w:autoSpaceDE/>
              <w:autoSpaceDN/>
              <w:bidi w:val="0"/>
              <w:adjustRightInd/>
              <w:spacing w:line="360" w:lineRule="auto"/>
              <w:jc w:val="center"/>
              <w:textAlignment w:val="baseline"/>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highlight w:val="none"/>
                <w:lang w:val="en-US" w:eastAsia="zh-CN"/>
              </w:rPr>
              <w:t>0-12</w:t>
            </w:r>
          </w:p>
        </w:tc>
      </w:tr>
      <w:tr w14:paraId="226CC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 w:hRule="atLeast"/>
          <w:jc w:val="center"/>
        </w:trPr>
        <w:tc>
          <w:tcPr>
            <w:tcW w:w="1245" w:type="dxa"/>
            <w:vMerge w:val="continue"/>
            <w:noWrap w:val="0"/>
            <w:vAlign w:val="center"/>
          </w:tcPr>
          <w:p w14:paraId="6158686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kern w:val="0"/>
                <w:sz w:val="32"/>
                <w:szCs w:val="32"/>
              </w:rPr>
            </w:pPr>
          </w:p>
        </w:tc>
        <w:tc>
          <w:tcPr>
            <w:tcW w:w="1686" w:type="dxa"/>
            <w:noWrap w:val="0"/>
            <w:vAlign w:val="center"/>
          </w:tcPr>
          <w:p w14:paraId="2820AFB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服务质量</w:t>
            </w:r>
          </w:p>
        </w:tc>
        <w:tc>
          <w:tcPr>
            <w:tcW w:w="5989" w:type="dxa"/>
            <w:noWrap w:val="0"/>
            <w:vAlign w:val="center"/>
          </w:tcPr>
          <w:p w14:paraId="117872BB">
            <w:pPr>
              <w:keepNext w:val="0"/>
              <w:keepLines w:val="0"/>
              <w:pageBreakBefore w:val="0"/>
              <w:numPr>
                <w:ilvl w:val="0"/>
                <w:numId w:val="0"/>
              </w:numPr>
              <w:kinsoku/>
              <w:wordWrap/>
              <w:overflowPunct/>
              <w:topLinePunct w:val="0"/>
              <w:autoSpaceDE/>
              <w:autoSpaceDN/>
              <w:bidi w:val="0"/>
              <w:adjustRightInd/>
              <w:spacing w:before="117" w:line="360" w:lineRule="auto"/>
              <w:ind w:right="71" w:rightChars="0"/>
              <w:jc w:val="both"/>
              <w:textAlignment w:val="baseline"/>
              <w:rPr>
                <w:rFonts w:hint="eastAsia" w:ascii="仿宋" w:hAnsi="仿宋" w:eastAsia="仿宋" w:cs="仿宋"/>
                <w:color w:val="auto"/>
                <w:kern w:val="0"/>
                <w:sz w:val="32"/>
                <w:szCs w:val="32"/>
                <w:highlight w:val="none"/>
                <w:lang w:val="en-US" w:eastAsia="zh-CN" w:bidi="ar-SA"/>
              </w:rPr>
            </w:pPr>
            <w:r>
              <w:rPr>
                <w:rFonts w:hint="eastAsia" w:ascii="仿宋" w:hAnsi="仿宋" w:eastAsia="仿宋" w:cs="仿宋"/>
                <w:color w:val="auto"/>
                <w:kern w:val="0"/>
                <w:sz w:val="32"/>
                <w:szCs w:val="32"/>
                <w:highlight w:val="none"/>
                <w:lang w:val="en-US" w:eastAsia="zh-CN" w:bidi="ar-SA"/>
              </w:rPr>
              <w:t>投标单位按项目理解制定详细服务方案，如每个环节合理安排专职人员推进各项工作有序开展，保证项目按计划交付的基本承诺内容，包括不限于：订单、到货、退换、报账。</w:t>
            </w:r>
          </w:p>
          <w:p w14:paraId="4F240B40">
            <w:pPr>
              <w:keepNext w:val="0"/>
              <w:keepLines w:val="0"/>
              <w:pageBreakBefore w:val="0"/>
              <w:numPr>
                <w:ilvl w:val="0"/>
                <w:numId w:val="0"/>
              </w:numPr>
              <w:kinsoku/>
              <w:wordWrap/>
              <w:overflowPunct/>
              <w:topLinePunct w:val="0"/>
              <w:autoSpaceDE/>
              <w:autoSpaceDN/>
              <w:bidi w:val="0"/>
              <w:adjustRightInd/>
              <w:spacing w:before="117" w:line="360" w:lineRule="auto"/>
              <w:ind w:right="71" w:rightChars="0"/>
              <w:jc w:val="both"/>
              <w:textAlignment w:val="baseline"/>
              <w:rPr>
                <w:rFonts w:hint="eastAsia" w:ascii="仿宋" w:hAnsi="仿宋" w:eastAsia="仿宋" w:cs="仿宋"/>
                <w:color w:val="auto"/>
                <w:kern w:val="0"/>
                <w:sz w:val="32"/>
                <w:szCs w:val="32"/>
                <w:highlight w:val="none"/>
                <w:lang w:val="en-US" w:eastAsia="zh-CN" w:bidi="ar-SA"/>
              </w:rPr>
            </w:pPr>
            <w:r>
              <w:rPr>
                <w:rFonts w:hint="eastAsia" w:ascii="仿宋" w:hAnsi="仿宋" w:eastAsia="仿宋" w:cs="仿宋"/>
                <w:color w:val="auto"/>
                <w:kern w:val="0"/>
                <w:sz w:val="32"/>
                <w:szCs w:val="32"/>
                <w:highlight w:val="none"/>
                <w:lang w:val="en-US" w:eastAsia="zh-CN" w:bidi="ar-SA"/>
              </w:rPr>
              <w:t>（1）投标单位须提供整个环节的流程图得1分，否则不得分；</w:t>
            </w:r>
          </w:p>
          <w:p w14:paraId="2B5A9BF0">
            <w:pPr>
              <w:keepNext w:val="0"/>
              <w:keepLines w:val="0"/>
              <w:pageBreakBefore w:val="0"/>
              <w:numPr>
                <w:ilvl w:val="0"/>
                <w:numId w:val="0"/>
              </w:numPr>
              <w:kinsoku/>
              <w:wordWrap/>
              <w:overflowPunct/>
              <w:topLinePunct w:val="0"/>
              <w:autoSpaceDE/>
              <w:autoSpaceDN/>
              <w:bidi w:val="0"/>
              <w:adjustRightInd/>
              <w:spacing w:before="117" w:line="360" w:lineRule="auto"/>
              <w:ind w:right="71" w:rightChars="0"/>
              <w:jc w:val="both"/>
              <w:textAlignment w:val="baseline"/>
              <w:rPr>
                <w:rFonts w:hint="eastAsia" w:ascii="仿宋" w:hAnsi="仿宋" w:eastAsia="仿宋" w:cs="仿宋"/>
                <w:color w:val="auto"/>
                <w:kern w:val="0"/>
                <w:sz w:val="32"/>
                <w:szCs w:val="32"/>
                <w:highlight w:val="none"/>
                <w:lang w:val="en-US" w:eastAsia="zh-CN" w:bidi="ar-SA"/>
              </w:rPr>
            </w:pPr>
            <w:r>
              <w:rPr>
                <w:rFonts w:hint="eastAsia" w:ascii="仿宋" w:hAnsi="仿宋" w:eastAsia="仿宋" w:cs="仿宋"/>
                <w:color w:val="auto"/>
                <w:kern w:val="0"/>
                <w:sz w:val="32"/>
                <w:szCs w:val="32"/>
                <w:highlight w:val="none"/>
                <w:lang w:val="en-US" w:eastAsia="zh-CN" w:bidi="ar-SA"/>
              </w:rPr>
              <w:t>（2）投标单位对整个流程时间节点设置合理，提供时间节点计划得1分，否则不得分；</w:t>
            </w:r>
          </w:p>
          <w:p w14:paraId="5CAB3AE0">
            <w:pPr>
              <w:keepNext w:val="0"/>
              <w:keepLines w:val="0"/>
              <w:pageBreakBefore w:val="0"/>
              <w:numPr>
                <w:ilvl w:val="0"/>
                <w:numId w:val="0"/>
              </w:numPr>
              <w:kinsoku/>
              <w:wordWrap/>
              <w:overflowPunct/>
              <w:topLinePunct w:val="0"/>
              <w:autoSpaceDE/>
              <w:autoSpaceDN/>
              <w:bidi w:val="0"/>
              <w:adjustRightInd/>
              <w:spacing w:before="117" w:line="360" w:lineRule="auto"/>
              <w:ind w:right="71" w:rightChars="0"/>
              <w:jc w:val="both"/>
              <w:textAlignment w:val="baseline"/>
              <w:rPr>
                <w:rFonts w:hint="eastAsia" w:ascii="仿宋" w:hAnsi="仿宋" w:eastAsia="仿宋" w:cs="仿宋"/>
                <w:color w:val="auto"/>
                <w:kern w:val="0"/>
                <w:sz w:val="32"/>
                <w:szCs w:val="32"/>
                <w:highlight w:val="none"/>
                <w:lang w:val="en-US" w:eastAsia="zh-CN" w:bidi="ar-SA"/>
              </w:rPr>
            </w:pPr>
            <w:r>
              <w:rPr>
                <w:rFonts w:hint="eastAsia" w:ascii="仿宋" w:hAnsi="仿宋" w:eastAsia="仿宋" w:cs="仿宋"/>
                <w:color w:val="auto"/>
                <w:kern w:val="0"/>
                <w:sz w:val="32"/>
                <w:szCs w:val="32"/>
                <w:highlight w:val="none"/>
                <w:lang w:val="en-US" w:eastAsia="zh-CN" w:bidi="ar-SA"/>
              </w:rPr>
              <w:t>（3）每个环节服务人员的操作流程，提供操作流程得1分，否则不得分；</w:t>
            </w:r>
          </w:p>
          <w:p w14:paraId="18926000">
            <w:pPr>
              <w:keepNext w:val="0"/>
              <w:keepLines w:val="0"/>
              <w:pageBreakBefore w:val="0"/>
              <w:numPr>
                <w:ilvl w:val="0"/>
                <w:numId w:val="0"/>
              </w:numPr>
              <w:kinsoku/>
              <w:wordWrap/>
              <w:overflowPunct/>
              <w:topLinePunct w:val="0"/>
              <w:autoSpaceDE/>
              <w:autoSpaceDN/>
              <w:bidi w:val="0"/>
              <w:adjustRightInd/>
              <w:spacing w:before="117" w:line="360" w:lineRule="auto"/>
              <w:ind w:right="71" w:rightChars="0"/>
              <w:jc w:val="both"/>
              <w:textAlignment w:val="baseline"/>
              <w:rPr>
                <w:rFonts w:hint="eastAsia" w:ascii="仿宋" w:hAnsi="仿宋" w:eastAsia="仿宋" w:cs="仿宋"/>
                <w:color w:val="auto"/>
                <w:kern w:val="0"/>
                <w:sz w:val="32"/>
                <w:szCs w:val="32"/>
                <w:highlight w:val="none"/>
                <w:lang w:val="en-US" w:eastAsia="en-US" w:bidi="ar-SA"/>
              </w:rPr>
            </w:pPr>
            <w:r>
              <w:rPr>
                <w:rFonts w:hint="eastAsia" w:ascii="仿宋" w:hAnsi="仿宋" w:eastAsia="仿宋" w:cs="仿宋"/>
                <w:color w:val="auto"/>
                <w:kern w:val="0"/>
                <w:sz w:val="32"/>
                <w:szCs w:val="32"/>
                <w:highlight w:val="none"/>
                <w:lang w:val="en-US" w:eastAsia="zh-CN" w:bidi="ar-SA"/>
              </w:rPr>
              <w:t>（4）投标单位至少配备1人负责协调退换货工作以及报账，须提供人员的劳动合同及近1个月的社保证明，提供资料齐全得1分，否则不得分。</w:t>
            </w:r>
            <w:r>
              <w:rPr>
                <w:rFonts w:hint="eastAsia" w:ascii="仿宋" w:hAnsi="仿宋" w:eastAsia="仿宋" w:cs="仿宋"/>
                <w:b/>
                <w:bCs/>
                <w:color w:val="auto"/>
                <w:kern w:val="0"/>
                <w:sz w:val="32"/>
                <w:szCs w:val="32"/>
                <w:highlight w:val="none"/>
                <w:lang w:val="en-US" w:eastAsia="zh-CN" w:bidi="ar-SA"/>
              </w:rPr>
              <w:t>注：以上每有一处不具有合理性、不详尽或不能满足采购需求的扣0.5分；扣完为止。</w:t>
            </w:r>
          </w:p>
        </w:tc>
        <w:tc>
          <w:tcPr>
            <w:tcW w:w="1608" w:type="dxa"/>
            <w:noWrap w:val="0"/>
            <w:vAlign w:val="center"/>
          </w:tcPr>
          <w:p w14:paraId="64F4E744">
            <w:pPr>
              <w:keepNext w:val="0"/>
              <w:keepLines w:val="0"/>
              <w:pageBreakBefore w:val="0"/>
              <w:widowControl/>
              <w:kinsoku/>
              <w:wordWrap/>
              <w:overflowPunct/>
              <w:topLinePunct w:val="0"/>
              <w:autoSpaceDE/>
              <w:autoSpaceDN/>
              <w:bidi w:val="0"/>
              <w:adjustRightInd/>
              <w:spacing w:line="360" w:lineRule="auto"/>
              <w:jc w:val="center"/>
              <w:textAlignment w:val="baseline"/>
              <w:rPr>
                <w:rFonts w:hint="default"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0-4</w:t>
            </w:r>
          </w:p>
        </w:tc>
      </w:tr>
      <w:tr w14:paraId="5DE0D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1245" w:type="dxa"/>
            <w:vMerge w:val="continue"/>
            <w:noWrap w:val="0"/>
            <w:vAlign w:val="center"/>
          </w:tcPr>
          <w:p w14:paraId="743BF91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kern w:val="0"/>
                <w:sz w:val="32"/>
                <w:szCs w:val="32"/>
              </w:rPr>
            </w:pPr>
          </w:p>
        </w:tc>
        <w:tc>
          <w:tcPr>
            <w:tcW w:w="1686" w:type="dxa"/>
            <w:noWrap w:val="0"/>
            <w:vAlign w:val="center"/>
          </w:tcPr>
          <w:p w14:paraId="3335DB2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应急措施</w:t>
            </w:r>
          </w:p>
        </w:tc>
        <w:tc>
          <w:tcPr>
            <w:tcW w:w="5989" w:type="dxa"/>
            <w:noWrap w:val="0"/>
            <w:vAlign w:val="center"/>
          </w:tcPr>
          <w:p w14:paraId="5C5B579E">
            <w:pPr>
              <w:keepNext w:val="0"/>
              <w:keepLines w:val="0"/>
              <w:pageBreakBefore w:val="0"/>
              <w:numPr>
                <w:ilvl w:val="0"/>
                <w:numId w:val="0"/>
              </w:numPr>
              <w:kinsoku/>
              <w:wordWrap/>
              <w:overflowPunct/>
              <w:topLinePunct w:val="0"/>
              <w:autoSpaceDE/>
              <w:autoSpaceDN/>
              <w:bidi w:val="0"/>
              <w:adjustRightInd/>
              <w:spacing w:before="117" w:line="360" w:lineRule="auto"/>
              <w:ind w:right="71" w:rightChars="0"/>
              <w:jc w:val="both"/>
              <w:textAlignment w:val="baseline"/>
              <w:rPr>
                <w:rFonts w:hint="eastAsia" w:ascii="仿宋" w:hAnsi="仿宋" w:eastAsia="仿宋" w:cs="仿宋"/>
                <w:color w:val="auto"/>
                <w:kern w:val="0"/>
                <w:sz w:val="32"/>
                <w:szCs w:val="32"/>
                <w:highlight w:val="none"/>
                <w:lang w:val="en-US" w:eastAsia="zh-CN" w:bidi="ar-SA"/>
              </w:rPr>
            </w:pPr>
            <w:r>
              <w:rPr>
                <w:rFonts w:hint="eastAsia" w:ascii="仿宋" w:hAnsi="仿宋" w:eastAsia="仿宋" w:cs="仿宋"/>
                <w:color w:val="auto"/>
                <w:kern w:val="0"/>
                <w:sz w:val="32"/>
                <w:szCs w:val="32"/>
                <w:highlight w:val="none"/>
                <w:lang w:val="en-US" w:eastAsia="zh-CN" w:bidi="ar-SA"/>
              </w:rPr>
              <w:t>应急采购措施方案包括在①急需大量物资配货方案②不合格货物的退货方案 ③零星增补供应保障情况，但不限于针对恶劣天气影响 ④重大节假日或活动等特殊情况制定应急处置方案。</w:t>
            </w:r>
          </w:p>
          <w:p w14:paraId="54A74481">
            <w:pPr>
              <w:keepNext w:val="0"/>
              <w:keepLines w:val="0"/>
              <w:pageBreakBefore w:val="0"/>
              <w:numPr>
                <w:ilvl w:val="0"/>
                <w:numId w:val="0"/>
              </w:numPr>
              <w:kinsoku/>
              <w:wordWrap/>
              <w:overflowPunct/>
              <w:topLinePunct w:val="0"/>
              <w:autoSpaceDE/>
              <w:autoSpaceDN/>
              <w:bidi w:val="0"/>
              <w:adjustRightInd/>
              <w:spacing w:before="117" w:line="360" w:lineRule="auto"/>
              <w:ind w:right="71" w:rightChars="0"/>
              <w:jc w:val="both"/>
              <w:textAlignment w:val="baseline"/>
              <w:rPr>
                <w:rFonts w:hint="eastAsia" w:ascii="仿宋" w:hAnsi="仿宋" w:eastAsia="仿宋" w:cs="仿宋"/>
                <w:color w:val="auto"/>
                <w:kern w:val="0"/>
                <w:sz w:val="32"/>
                <w:szCs w:val="32"/>
                <w:highlight w:val="none"/>
                <w:lang w:val="en-US" w:eastAsia="zh-CN" w:bidi="ar-SA"/>
              </w:rPr>
            </w:pPr>
            <w:r>
              <w:rPr>
                <w:rFonts w:hint="eastAsia" w:ascii="仿宋" w:hAnsi="仿宋" w:eastAsia="仿宋" w:cs="仿宋"/>
                <w:b/>
                <w:bCs/>
                <w:color w:val="auto"/>
                <w:kern w:val="0"/>
                <w:sz w:val="32"/>
                <w:szCs w:val="32"/>
                <w:highlight w:val="none"/>
                <w:lang w:val="en-US" w:eastAsia="zh-CN" w:bidi="ar-SA"/>
              </w:rPr>
              <w:t>注：提供一项得1分,本项满分4分，不提供不得分。每有一处不具有合理性、不详尽或不能满足采购需求的扣0.5分；扣完为止。</w:t>
            </w:r>
          </w:p>
        </w:tc>
        <w:tc>
          <w:tcPr>
            <w:tcW w:w="1608" w:type="dxa"/>
            <w:noWrap w:val="0"/>
            <w:vAlign w:val="center"/>
          </w:tcPr>
          <w:p w14:paraId="36092152">
            <w:pPr>
              <w:keepNext w:val="0"/>
              <w:keepLines w:val="0"/>
              <w:pageBreakBefore w:val="0"/>
              <w:widowControl/>
              <w:kinsoku/>
              <w:wordWrap/>
              <w:overflowPunct/>
              <w:topLinePunct w:val="0"/>
              <w:autoSpaceDE/>
              <w:autoSpaceDN/>
              <w:bidi w:val="0"/>
              <w:adjustRightInd/>
              <w:spacing w:line="360" w:lineRule="auto"/>
              <w:jc w:val="center"/>
              <w:textAlignment w:val="baseline"/>
              <w:rPr>
                <w:rFonts w:hint="eastAsia" w:ascii="仿宋" w:hAnsi="仿宋" w:eastAsia="仿宋" w:cs="仿宋"/>
                <w:color w:val="auto"/>
                <w:kern w:val="0"/>
                <w:sz w:val="32"/>
                <w:szCs w:val="32"/>
                <w:highlight w:val="none"/>
                <w:lang w:val="en-US" w:eastAsia="zh-CN"/>
              </w:rPr>
            </w:pPr>
            <w:r>
              <w:rPr>
                <w:rFonts w:hint="eastAsia" w:ascii="仿宋" w:hAnsi="仿宋" w:eastAsia="仿宋" w:cs="仿宋"/>
                <w:color w:val="auto"/>
                <w:kern w:val="0"/>
                <w:sz w:val="32"/>
                <w:szCs w:val="32"/>
                <w:highlight w:val="none"/>
                <w:lang w:val="en-US" w:eastAsia="zh-CN"/>
              </w:rPr>
              <w:t>0-4</w:t>
            </w:r>
          </w:p>
        </w:tc>
      </w:tr>
      <w:tr w14:paraId="1D6F1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1245" w:type="dxa"/>
            <w:vMerge w:val="continue"/>
            <w:noWrap w:val="0"/>
            <w:vAlign w:val="center"/>
          </w:tcPr>
          <w:p w14:paraId="48C5216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kern w:val="0"/>
                <w:sz w:val="32"/>
                <w:szCs w:val="32"/>
              </w:rPr>
            </w:pPr>
          </w:p>
        </w:tc>
        <w:tc>
          <w:tcPr>
            <w:tcW w:w="1686" w:type="dxa"/>
            <w:noWrap w:val="0"/>
            <w:vAlign w:val="center"/>
          </w:tcPr>
          <w:p w14:paraId="4DCD96A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售后服务</w:t>
            </w:r>
          </w:p>
        </w:tc>
        <w:tc>
          <w:tcPr>
            <w:tcW w:w="5989" w:type="dxa"/>
            <w:noWrap w:val="0"/>
            <w:vAlign w:val="center"/>
          </w:tcPr>
          <w:p w14:paraId="171BAB69">
            <w:pPr>
              <w:keepNext w:val="0"/>
              <w:keepLines w:val="0"/>
              <w:pageBreakBefore w:val="0"/>
              <w:widowControl/>
              <w:numPr>
                <w:ilvl w:val="0"/>
                <w:numId w:val="58"/>
              </w:numPr>
              <w:kinsoku/>
              <w:wordWrap/>
              <w:overflowPunct/>
              <w:topLinePunct w:val="0"/>
              <w:autoSpaceDE/>
              <w:autoSpaceDN/>
              <w:bidi w:val="0"/>
              <w:adjustRightInd/>
              <w:spacing w:line="360" w:lineRule="auto"/>
              <w:textAlignment w:val="baseline"/>
              <w:rPr>
                <w:rFonts w:hint="eastAsia" w:ascii="仿宋" w:hAnsi="仿宋" w:eastAsia="仿宋" w:cs="仿宋"/>
                <w:color w:val="auto"/>
                <w:kern w:val="0"/>
                <w:sz w:val="32"/>
                <w:szCs w:val="32"/>
                <w:highlight w:val="none"/>
                <w:lang w:val="en-US" w:eastAsia="zh-CN" w:bidi="ar-SA"/>
              </w:rPr>
            </w:pPr>
            <w:r>
              <w:rPr>
                <w:rFonts w:hint="eastAsia" w:ascii="仿宋" w:hAnsi="仿宋" w:eastAsia="仿宋" w:cs="仿宋"/>
                <w:color w:val="auto"/>
                <w:kern w:val="0"/>
                <w:sz w:val="32"/>
                <w:szCs w:val="32"/>
                <w:highlight w:val="none"/>
                <w:lang w:val="en-US" w:eastAsia="zh-CN" w:bidi="ar-SA"/>
              </w:rPr>
              <w:t>投标人根据本项目需求提供详细的售后服务方案，内容包含但不限于：</w:t>
            </w:r>
          </w:p>
          <w:p w14:paraId="3E84E2D4">
            <w:pPr>
              <w:keepNext w:val="0"/>
              <w:keepLines w:val="0"/>
              <w:pageBreakBefore w:val="0"/>
              <w:widowControl/>
              <w:numPr>
                <w:ilvl w:val="0"/>
                <w:numId w:val="0"/>
              </w:numPr>
              <w:kinsoku/>
              <w:wordWrap/>
              <w:overflowPunct/>
              <w:topLinePunct w:val="0"/>
              <w:autoSpaceDE/>
              <w:autoSpaceDN/>
              <w:bidi w:val="0"/>
              <w:adjustRightInd/>
              <w:spacing w:line="360" w:lineRule="auto"/>
              <w:textAlignment w:val="baseline"/>
              <w:rPr>
                <w:rFonts w:hint="eastAsia" w:ascii="仿宋" w:hAnsi="仿宋" w:eastAsia="仿宋" w:cs="仿宋"/>
                <w:color w:val="auto"/>
                <w:kern w:val="0"/>
                <w:sz w:val="32"/>
                <w:szCs w:val="32"/>
                <w:highlight w:val="none"/>
                <w:lang w:val="en-US" w:eastAsia="zh-CN" w:bidi="ar-SA"/>
              </w:rPr>
            </w:pPr>
            <w:r>
              <w:rPr>
                <w:rFonts w:hint="eastAsia" w:ascii="仿宋" w:hAnsi="仿宋" w:eastAsia="仿宋" w:cs="仿宋"/>
                <w:color w:val="auto"/>
                <w:kern w:val="0"/>
                <w:sz w:val="32"/>
                <w:szCs w:val="32"/>
                <w:highlight w:val="none"/>
                <w:lang w:val="en-US" w:eastAsia="zh-CN" w:bidi="ar-SA"/>
              </w:rPr>
              <w:t>①退换货及缺送漏送的处理方案；</w:t>
            </w:r>
          </w:p>
          <w:p w14:paraId="0FD4CD8F">
            <w:pPr>
              <w:keepNext w:val="0"/>
              <w:keepLines w:val="0"/>
              <w:pageBreakBefore w:val="0"/>
              <w:widowControl/>
              <w:numPr>
                <w:ilvl w:val="0"/>
                <w:numId w:val="0"/>
              </w:numPr>
              <w:kinsoku/>
              <w:wordWrap/>
              <w:overflowPunct/>
              <w:topLinePunct w:val="0"/>
              <w:autoSpaceDE/>
              <w:autoSpaceDN/>
              <w:bidi w:val="0"/>
              <w:adjustRightInd/>
              <w:spacing w:line="360" w:lineRule="auto"/>
              <w:textAlignment w:val="baseline"/>
              <w:rPr>
                <w:rFonts w:hint="eastAsia" w:ascii="仿宋" w:hAnsi="仿宋" w:eastAsia="仿宋" w:cs="仿宋"/>
                <w:color w:val="auto"/>
                <w:kern w:val="0"/>
                <w:sz w:val="32"/>
                <w:szCs w:val="32"/>
                <w:highlight w:val="none"/>
                <w:lang w:val="en-US" w:eastAsia="zh-CN" w:bidi="ar-SA"/>
              </w:rPr>
            </w:pPr>
            <w:r>
              <w:rPr>
                <w:rFonts w:hint="eastAsia" w:ascii="仿宋" w:hAnsi="仿宋" w:eastAsia="仿宋" w:cs="仿宋"/>
                <w:color w:val="auto"/>
                <w:kern w:val="0"/>
                <w:sz w:val="32"/>
                <w:szCs w:val="32"/>
                <w:highlight w:val="none"/>
                <w:lang w:val="en-US" w:eastAsia="zh-CN" w:bidi="ar-SA"/>
              </w:rPr>
              <w:t>②售后服务承诺以及响应时间等；</w:t>
            </w:r>
          </w:p>
          <w:p w14:paraId="46BAB006">
            <w:pPr>
              <w:keepNext w:val="0"/>
              <w:keepLines w:val="0"/>
              <w:pageBreakBefore w:val="0"/>
              <w:widowControl/>
              <w:numPr>
                <w:ilvl w:val="0"/>
                <w:numId w:val="0"/>
              </w:numPr>
              <w:kinsoku/>
              <w:wordWrap/>
              <w:overflowPunct/>
              <w:topLinePunct w:val="0"/>
              <w:autoSpaceDE/>
              <w:autoSpaceDN/>
              <w:bidi w:val="0"/>
              <w:adjustRightInd/>
              <w:spacing w:line="360" w:lineRule="auto"/>
              <w:textAlignment w:val="baseline"/>
              <w:rPr>
                <w:rFonts w:hint="eastAsia" w:ascii="仿宋" w:hAnsi="仿宋" w:eastAsia="仿宋" w:cs="仿宋"/>
                <w:color w:val="auto"/>
                <w:kern w:val="0"/>
                <w:sz w:val="32"/>
                <w:szCs w:val="32"/>
                <w:highlight w:val="none"/>
                <w:lang w:val="en-US" w:eastAsia="zh-CN" w:bidi="ar-SA"/>
              </w:rPr>
            </w:pPr>
            <w:r>
              <w:rPr>
                <w:rFonts w:hint="eastAsia" w:ascii="仿宋" w:hAnsi="仿宋" w:eastAsia="仿宋" w:cs="仿宋"/>
                <w:color w:val="auto"/>
                <w:kern w:val="0"/>
                <w:sz w:val="32"/>
                <w:szCs w:val="32"/>
                <w:highlight w:val="none"/>
                <w:lang w:val="en-US" w:eastAsia="zh-CN" w:bidi="ar-SA"/>
              </w:rPr>
              <w:t>③有针对本项目的特殊情况（如专项行动、公共食品安全危机等）保证措施；</w:t>
            </w:r>
          </w:p>
          <w:p w14:paraId="0D4E86A2">
            <w:pPr>
              <w:keepNext w:val="0"/>
              <w:keepLines w:val="0"/>
              <w:pageBreakBefore w:val="0"/>
              <w:widowControl/>
              <w:kinsoku/>
              <w:wordWrap/>
              <w:overflowPunct/>
              <w:topLinePunct w:val="0"/>
              <w:autoSpaceDE/>
              <w:autoSpaceDN/>
              <w:bidi w:val="0"/>
              <w:adjustRightInd/>
              <w:spacing w:line="360" w:lineRule="auto"/>
              <w:textAlignment w:val="baseline"/>
              <w:rPr>
                <w:rFonts w:hint="eastAsia" w:ascii="仿宋" w:hAnsi="仿宋" w:eastAsia="仿宋" w:cs="仿宋"/>
                <w:color w:val="auto"/>
                <w:kern w:val="0"/>
                <w:sz w:val="32"/>
                <w:szCs w:val="32"/>
                <w:highlight w:val="none"/>
                <w:lang w:val="en-US" w:eastAsia="zh-CN" w:bidi="ar-SA"/>
              </w:rPr>
            </w:pPr>
            <w:r>
              <w:rPr>
                <w:rFonts w:hint="eastAsia" w:ascii="仿宋" w:hAnsi="仿宋" w:eastAsia="仿宋" w:cs="仿宋"/>
                <w:color w:val="auto"/>
                <w:kern w:val="0"/>
                <w:sz w:val="32"/>
                <w:szCs w:val="32"/>
                <w:highlight w:val="none"/>
                <w:lang w:val="en-US" w:eastAsia="zh-CN" w:bidi="ar-SA"/>
              </w:rPr>
              <w:t>以上方案内容完整清晰明确、科学合理、提高售后能力且满足采购需求的得6分，每缺少内容且不完整的扣2分，每有一处不具有合理性、不详尽或不能满足采购需求的扣0.5分；扣完为止。</w:t>
            </w:r>
          </w:p>
          <w:p w14:paraId="03A33F3F">
            <w:pPr>
              <w:keepNext w:val="0"/>
              <w:keepLines w:val="0"/>
              <w:pageBreakBefore w:val="0"/>
              <w:numPr>
                <w:ilvl w:val="0"/>
                <w:numId w:val="0"/>
              </w:numPr>
              <w:kinsoku/>
              <w:wordWrap/>
              <w:overflowPunct/>
              <w:topLinePunct w:val="0"/>
              <w:autoSpaceDE/>
              <w:autoSpaceDN/>
              <w:bidi w:val="0"/>
              <w:adjustRightInd/>
              <w:spacing w:before="117" w:line="360" w:lineRule="auto"/>
              <w:ind w:right="71" w:rightChars="0"/>
              <w:jc w:val="both"/>
              <w:textAlignment w:val="baseline"/>
              <w:rPr>
                <w:rFonts w:hint="eastAsia" w:ascii="仿宋" w:hAnsi="仿宋" w:eastAsia="仿宋" w:cs="仿宋"/>
                <w:color w:val="auto"/>
                <w:kern w:val="0"/>
                <w:sz w:val="32"/>
                <w:szCs w:val="32"/>
                <w:highlight w:val="none"/>
                <w:lang w:val="en-US" w:eastAsia="zh-CN" w:bidi="ar-SA"/>
              </w:rPr>
            </w:pPr>
            <w:r>
              <w:rPr>
                <w:rFonts w:hint="eastAsia" w:ascii="仿宋" w:hAnsi="仿宋" w:eastAsia="仿宋" w:cs="仿宋"/>
                <w:color w:val="auto"/>
                <w:kern w:val="0"/>
                <w:sz w:val="32"/>
                <w:szCs w:val="32"/>
                <w:highlight w:val="none"/>
                <w:lang w:val="en-US" w:eastAsia="zh-CN" w:bidi="ar-SA"/>
              </w:rPr>
              <w:t>2、承诺承担所供商品质量、安全所致事件为完全责任得1分。</w:t>
            </w:r>
          </w:p>
        </w:tc>
        <w:tc>
          <w:tcPr>
            <w:tcW w:w="1608" w:type="dxa"/>
            <w:noWrap w:val="0"/>
            <w:vAlign w:val="center"/>
          </w:tcPr>
          <w:p w14:paraId="563C7189">
            <w:pPr>
              <w:keepNext w:val="0"/>
              <w:keepLines w:val="0"/>
              <w:pageBreakBefore w:val="0"/>
              <w:widowControl/>
              <w:kinsoku/>
              <w:wordWrap/>
              <w:overflowPunct/>
              <w:topLinePunct w:val="0"/>
              <w:autoSpaceDE/>
              <w:autoSpaceDN/>
              <w:bidi w:val="0"/>
              <w:adjustRightInd/>
              <w:spacing w:line="360" w:lineRule="auto"/>
              <w:jc w:val="center"/>
              <w:textAlignment w:val="baseline"/>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0-7</w:t>
            </w:r>
          </w:p>
        </w:tc>
      </w:tr>
    </w:tbl>
    <w:p w14:paraId="49B6EA19">
      <w:pPr>
        <w:pStyle w:val="19"/>
        <w:spacing w:line="360" w:lineRule="auto"/>
        <w:jc w:val="both"/>
        <w:rPr>
          <w:rFonts w:hint="eastAsia" w:ascii="仿宋_GB2312" w:hAnsi="仿宋_GB2312" w:eastAsia="仿宋_GB2312" w:cs="仿宋_GB2312"/>
          <w:color w:val="auto"/>
          <w:sz w:val="32"/>
          <w:szCs w:val="32"/>
          <w:lang w:val="en-US" w:eastAsia="zh-CN"/>
        </w:rPr>
      </w:pPr>
    </w:p>
    <w:bookmarkEnd w:id="333"/>
    <w:sectPr>
      <w:pgSz w:w="11905" w:h="16838"/>
      <w:pgMar w:top="1531" w:right="1531" w:bottom="1531" w:left="1531" w:header="1134" w:footer="1134" w:gutter="0"/>
      <w:cols w:space="720" w:num="1"/>
      <w:docGrid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楷体_GB2312">
    <w:panose1 w:val="02010609030101010101"/>
    <w:charset w:val="86"/>
    <w:family w:val="modern"/>
    <w:pitch w:val="default"/>
    <w:sig w:usb0="00000001" w:usb1="080E0000" w:usb2="00000000" w:usb3="00000000" w:csb0="00040000" w:csb1="00000000"/>
  </w:font>
  <w:font w:name="Copperplate Gothic Bold">
    <w:altName w:val="Segoe Print"/>
    <w:panose1 w:val="020E0705020206020404"/>
    <w:charset w:val="00"/>
    <w:family w:val="swiss"/>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swiss"/>
    <w:pitch w:val="default"/>
    <w:sig w:usb0="80000287" w:usb1="2ACF3C50" w:usb2="00000016" w:usb3="00000000" w:csb0="0004001F" w:csb1="00000000"/>
  </w:font>
  <w:font w:name="Wingdings 2">
    <w:altName w:val="Wingdings"/>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Microsoft YaHei UI">
    <w:panose1 w:val="020B0503020204020204"/>
    <w:charset w:val="86"/>
    <w:family w:val="swiss"/>
    <w:pitch w:val="default"/>
    <w:sig w:usb0="80000287" w:usb1="2ACF3C50" w:usb2="00000016" w:usb3="00000000" w:csb0="0004001F" w:csb1="00000000"/>
  </w:font>
  <w:font w:name="方正小标宋_GBK">
    <w:altName w:val="微软雅黑"/>
    <w:panose1 w:val="03000509000000000000"/>
    <w:charset w:val="86"/>
    <w:family w:val="auto"/>
    <w:pitch w:val="default"/>
    <w:sig w:usb0="00000000" w:usb1="00000000" w:usb2="00000000" w:usb3="00000000" w:csb0="00040000" w:csb1="00000000"/>
  </w:font>
  <w:font w:name="KSOF8080F95D">
    <w:panose1 w:val="020B0503020204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DED89B">
    <w:pPr>
      <w:pStyle w:val="16"/>
      <w:jc w:val="center"/>
    </w:pPr>
  </w:p>
  <w:p w14:paraId="028997AE">
    <w:pPr>
      <w:pStyle w:val="16"/>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353BAA">
    <w:pPr>
      <w:pStyle w:val="16"/>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A8CCD7">
    <w:pPr>
      <w:pStyle w:val="16"/>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097514C">
                          <w:pPr>
                            <w:pStyle w:val="16"/>
                            <w:jc w:val="center"/>
                          </w:pPr>
                          <w:r>
                            <w:fldChar w:fldCharType="begin"/>
                          </w:r>
                          <w:r>
                            <w:instrText xml:space="preserve">PAGE   \* MERGEFORMAT</w:instrText>
                          </w:r>
                          <w:r>
                            <w:fldChar w:fldCharType="separate"/>
                          </w:r>
                          <w:r>
                            <w:rPr>
                              <w:lang w:val="zh-CN"/>
                            </w:rPr>
                            <w:t>202</w:t>
                          </w:r>
                          <w:r>
                            <w:rPr>
                              <w:lang w:val="zh-CN"/>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kA7I80BAACpAwAADgAAAGRycy9lMm9Eb2MueG1srVPNjtMwEL4j8Q6W&#10;7zRpJVAVNV3tqlqEhABp4QFcx2ks+U8zbpO+ALwBJy7cea4+B2Mn6cJy2QMXZ/78zXyfJ5ubwRp2&#10;UoDau5ovFyVnyknfaHeo+ZfP96/WnGEUrhHGO1Xzs0J+s335YtOHSq18502jgBGIw6oPNe9iDFVR&#10;oOyUFbjwQTlKth6siOTCoWhA9IRuTbEqyzdF76EJ4KVCpOhuTPIJEZ4D6NtWS7Xz8miViyMqKCMi&#10;UcJOB+TbPG3bKhk/ti2qyEzNiWnMJzUhe5/OYrsR1QFE6LScRhDPGeEJJyu0o6ZXqJ2Igh1B/wNl&#10;tQSPvo0L6W0xEsmKEItl+USbh04ElbmQ1BiuouP/g5UfTp+A6YY24TVnTlh68cv3b5cfvy4/vzKK&#10;kUB9wIrqHgJVxuHOD1Q8x5GCiffQgk1fYsQoT/Ker/KqITKZLq1X63VJKUm52SH84vF6AIxvlbcs&#10;GTUHer8sqzi9xziWziWpm/P32pj8hsb9FSDMMaLyEky3E5Nx4mTFYT9M9Pa+ORO7nhah5o72njPz&#10;zpHOaWdmA2ZjPxvHAPrQ0aDLPCWG22OkkfKkqcMISwyTQy+YuU7bllbkTz9XPf5h29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vkA7I80BAACpAwAADgAAAAAAAAABACAAAAAeAQAAZHJzL2Uy&#10;b0RvYy54bWxQSwUGAAAAAAYABgBZAQAAXQUAAAAA&#10;">
              <v:fill on="f" focussize="0,0"/>
              <v:stroke on="f"/>
              <v:imagedata o:title=""/>
              <o:lock v:ext="edit" aspectratio="f"/>
              <v:textbox inset="0mm,0mm,0mm,0mm" style="mso-fit-shape-to-text:t;">
                <w:txbxContent>
                  <w:p w14:paraId="4097514C">
                    <w:pPr>
                      <w:pStyle w:val="16"/>
                      <w:jc w:val="center"/>
                    </w:pPr>
                    <w:r>
                      <w:fldChar w:fldCharType="begin"/>
                    </w:r>
                    <w:r>
                      <w:instrText xml:space="preserve">PAGE   \* MERGEFORMAT</w:instrText>
                    </w:r>
                    <w:r>
                      <w:fldChar w:fldCharType="separate"/>
                    </w:r>
                    <w:r>
                      <w:rPr>
                        <w:lang w:val="zh-CN"/>
                      </w:rPr>
                      <w:t>202</w:t>
                    </w:r>
                    <w:r>
                      <w:rPr>
                        <w:lang w:val="zh-CN"/>
                      </w:rPr>
                      <w:fldChar w:fldCharType="end"/>
                    </w:r>
                  </w:p>
                </w:txbxContent>
              </v:textbox>
            </v:shape>
          </w:pict>
        </mc:Fallback>
      </mc:AlternateContent>
    </w:r>
  </w:p>
  <w:p w14:paraId="2211AC79">
    <w:pPr>
      <w:pStyle w:val="16"/>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C5698A">
    <w:pPr>
      <w:pStyle w:val="17"/>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709C79">
    <w:pPr>
      <w:pStyle w:val="17"/>
      <w:pBdr>
        <w:bottom w:val="none" w:color="auto" w:sz="0" w:space="1"/>
      </w:pBdr>
      <w:jc w:val="both"/>
      <w:rPr>
        <w:u w:val="single"/>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CF3F1B">
    <w:pPr>
      <w:autoSpaceDE w:val="0"/>
      <w:autoSpaceDN w:val="0"/>
      <w:adjustRightInd w:val="0"/>
      <w:spacing w:line="360" w:lineRule="auto"/>
      <w:ind w:left="1470" w:hanging="1470" w:hangingChars="700"/>
      <w:rPr>
        <w:u w:val="doub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96569D"/>
    <w:multiLevelType w:val="multilevel"/>
    <w:tmpl w:val="8096569D"/>
    <w:lvl w:ilvl="0" w:tentative="0">
      <w:start w:val="1"/>
      <w:numFmt w:val="decimal"/>
      <w:lvlText w:val="%1."/>
      <w:lvlJc w:val="left"/>
      <w:pPr>
        <w:tabs>
          <w:tab w:val="left" w:pos="907"/>
        </w:tabs>
        <w:ind w:left="907" w:hanging="907"/>
      </w:pPr>
      <w:rPr>
        <w:rFonts w:hint="eastAsia"/>
        <w:b/>
      </w:rPr>
    </w:lvl>
    <w:lvl w:ilvl="1" w:tentative="0">
      <w:start w:val="1"/>
      <w:numFmt w:val="decimal"/>
      <w:isLgl/>
      <w:lvlText w:val="10.%2."/>
      <w:lvlJc w:val="left"/>
      <w:pPr>
        <w:tabs>
          <w:tab w:val="left" w:pos="907"/>
        </w:tabs>
        <w:ind w:left="907" w:hanging="907"/>
      </w:pPr>
      <w:rPr>
        <w:rFonts w:hint="default" w:ascii="宋体" w:hAnsi="宋体" w:eastAsia="宋体" w:cs="宋体"/>
        <w:b w:val="0"/>
      </w:rPr>
    </w:lvl>
    <w:lvl w:ilvl="2" w:tentative="0">
      <w:start w:val="1"/>
      <w:numFmt w:val="decimal"/>
      <w:lvlText w:val="2.%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92333B14"/>
    <w:multiLevelType w:val="multilevel"/>
    <w:tmpl w:val="92333B14"/>
    <w:lvl w:ilvl="0" w:tentative="0">
      <w:start w:val="1"/>
      <w:numFmt w:val="decimal"/>
      <w:lvlText w:val="17.5.%1"/>
      <w:lvlJc w:val="left"/>
      <w:pPr>
        <w:tabs>
          <w:tab w:val="left" w:pos="907"/>
        </w:tabs>
        <w:ind w:left="907" w:hanging="907"/>
      </w:pPr>
      <w:rPr>
        <w:rFonts w:hint="default" w:ascii="宋体" w:hAnsi="宋体" w:eastAsia="宋体" w:cs="宋体"/>
        <w:b w:val="0"/>
      </w:rPr>
    </w:lvl>
    <w:lvl w:ilvl="1" w:tentative="0">
      <w:start w:val="1"/>
      <w:numFmt w:val="decimal"/>
      <w:isLgl/>
      <w:lvlText w:val="18.%2."/>
      <w:lvlJc w:val="left"/>
      <w:pPr>
        <w:tabs>
          <w:tab w:val="left" w:pos="907"/>
        </w:tabs>
        <w:ind w:left="907" w:hanging="907"/>
      </w:pPr>
      <w:rPr>
        <w:rFonts w:hint="default" w:ascii="宋体" w:hAnsi="宋体" w:eastAsia="宋体" w:cs="宋体"/>
        <w:b w:val="0"/>
      </w:rPr>
    </w:lvl>
    <w:lvl w:ilvl="2" w:tentative="0">
      <w:start w:val="1"/>
      <w:numFmt w:val="decimal"/>
      <w:lvlText w:val="17.%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
    <w:nsid w:val="9954953A"/>
    <w:multiLevelType w:val="multilevel"/>
    <w:tmpl w:val="9954953A"/>
    <w:lvl w:ilvl="0" w:tentative="0">
      <w:start w:val="1"/>
      <w:numFmt w:val="decimal"/>
      <w:lvlText w:val="%1."/>
      <w:lvlJc w:val="left"/>
      <w:pPr>
        <w:tabs>
          <w:tab w:val="left" w:pos="907"/>
        </w:tabs>
        <w:ind w:left="907" w:hanging="907"/>
      </w:pPr>
      <w:rPr>
        <w:rFonts w:hint="eastAsia"/>
        <w:b/>
      </w:rPr>
    </w:lvl>
    <w:lvl w:ilvl="1" w:tentative="0">
      <w:start w:val="1"/>
      <w:numFmt w:val="decimal"/>
      <w:isLgl/>
      <w:lvlText w:val="36.%2."/>
      <w:lvlJc w:val="left"/>
      <w:pPr>
        <w:tabs>
          <w:tab w:val="left" w:pos="907"/>
        </w:tabs>
        <w:ind w:left="907" w:hanging="907"/>
      </w:pPr>
      <w:rPr>
        <w:rFonts w:hint="default" w:ascii="宋体" w:hAnsi="宋体" w:eastAsia="宋体" w:cs="宋体"/>
        <w:b w:val="0"/>
      </w:rPr>
    </w:lvl>
    <w:lvl w:ilvl="2" w:tentative="0">
      <w:start w:val="1"/>
      <w:numFmt w:val="decimal"/>
      <w:lvlText w:val="28.%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
    <w:nsid w:val="9E1A86F1"/>
    <w:multiLevelType w:val="multilevel"/>
    <w:tmpl w:val="9E1A86F1"/>
    <w:lvl w:ilvl="0" w:tentative="0">
      <w:start w:val="1"/>
      <w:numFmt w:val="decimal"/>
      <w:lvlText w:val="%1."/>
      <w:lvlJc w:val="left"/>
      <w:pPr>
        <w:tabs>
          <w:tab w:val="left" w:pos="907"/>
        </w:tabs>
        <w:ind w:left="907" w:hanging="907"/>
      </w:pPr>
      <w:rPr>
        <w:rFonts w:hint="eastAsia"/>
        <w:b/>
      </w:rPr>
    </w:lvl>
    <w:lvl w:ilvl="1" w:tentative="0">
      <w:start w:val="1"/>
      <w:numFmt w:val="decimal"/>
      <w:isLgl/>
      <w:lvlText w:val="42.%2."/>
      <w:lvlJc w:val="left"/>
      <w:pPr>
        <w:tabs>
          <w:tab w:val="left" w:pos="907"/>
        </w:tabs>
        <w:ind w:left="907" w:hanging="907"/>
      </w:pPr>
      <w:rPr>
        <w:rFonts w:hint="eastAsia" w:eastAsia="宋体"/>
        <w:b w:val="0"/>
      </w:rPr>
    </w:lvl>
    <w:lvl w:ilvl="2" w:tentative="0">
      <w:start w:val="1"/>
      <w:numFmt w:val="decimal"/>
      <w:lvlText w:val="43.3.%3."/>
      <w:lvlJc w:val="left"/>
      <w:pPr>
        <w:tabs>
          <w:tab w:val="left" w:pos="907"/>
        </w:tabs>
        <w:ind w:left="907" w:hanging="907"/>
      </w:pPr>
      <w:rPr>
        <w:rFonts w:hint="default" w:ascii="宋体" w:hAnsi="宋体" w:eastAsia="宋体" w:cs="宋体"/>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
    <w:nsid w:val="A48F9CC7"/>
    <w:multiLevelType w:val="multilevel"/>
    <w:tmpl w:val="A48F9CC7"/>
    <w:lvl w:ilvl="0" w:tentative="0">
      <w:start w:val="1"/>
      <w:numFmt w:val="decimal"/>
      <w:lvlText w:val="%1."/>
      <w:lvlJc w:val="left"/>
      <w:pPr>
        <w:tabs>
          <w:tab w:val="left" w:pos="907"/>
        </w:tabs>
        <w:ind w:left="907" w:hanging="907"/>
      </w:pPr>
      <w:rPr>
        <w:rFonts w:hint="eastAsia"/>
        <w:b/>
      </w:rPr>
    </w:lvl>
    <w:lvl w:ilvl="1" w:tentative="0">
      <w:start w:val="1"/>
      <w:numFmt w:val="decimal"/>
      <w:isLgl/>
      <w:lvlText w:val="34.%2."/>
      <w:lvlJc w:val="left"/>
      <w:pPr>
        <w:tabs>
          <w:tab w:val="left" w:pos="907"/>
        </w:tabs>
        <w:ind w:left="907" w:hanging="907"/>
      </w:pPr>
      <w:rPr>
        <w:rFonts w:hint="default" w:ascii="宋体" w:hAnsi="宋体" w:eastAsia="宋体" w:cs="宋体"/>
        <w:b w:val="0"/>
      </w:rPr>
    </w:lvl>
    <w:lvl w:ilvl="2" w:tentative="0">
      <w:start w:val="1"/>
      <w:numFmt w:val="decimal"/>
      <w:lvlText w:val="28.%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5">
    <w:nsid w:val="A7A2FB09"/>
    <w:multiLevelType w:val="multilevel"/>
    <w:tmpl w:val="A7A2FB09"/>
    <w:lvl w:ilvl="0" w:tentative="0">
      <w:start w:val="1"/>
      <w:numFmt w:val="decimal"/>
      <w:lvlText w:val="%1."/>
      <w:lvlJc w:val="left"/>
      <w:pPr>
        <w:tabs>
          <w:tab w:val="left" w:pos="907"/>
        </w:tabs>
        <w:ind w:left="907" w:hanging="907"/>
      </w:pPr>
      <w:rPr>
        <w:rFonts w:hint="eastAsia"/>
        <w:b/>
      </w:rPr>
    </w:lvl>
    <w:lvl w:ilvl="1" w:tentative="0">
      <w:start w:val="1"/>
      <w:numFmt w:val="decimal"/>
      <w:isLgl/>
      <w:lvlText w:val="27.%2."/>
      <w:lvlJc w:val="left"/>
      <w:pPr>
        <w:tabs>
          <w:tab w:val="left" w:pos="907"/>
        </w:tabs>
        <w:ind w:left="907" w:hanging="907"/>
      </w:pPr>
      <w:rPr>
        <w:rFonts w:hint="default" w:ascii="宋体" w:hAnsi="宋体" w:eastAsia="宋体" w:cs="宋体"/>
        <w:b w:val="0"/>
      </w:rPr>
    </w:lvl>
    <w:lvl w:ilvl="2" w:tentative="0">
      <w:start w:val="1"/>
      <w:numFmt w:val="decimal"/>
      <w:lvlText w:val="29.%2.%3."/>
      <w:lvlJc w:val="left"/>
      <w:pPr>
        <w:tabs>
          <w:tab w:val="left" w:pos="907"/>
        </w:tabs>
        <w:ind w:left="907" w:hanging="907"/>
      </w:pPr>
      <w:rPr>
        <w:rFonts w:hint="eastAsia"/>
      </w:rPr>
    </w:lvl>
    <w:lvl w:ilvl="3" w:tentative="0">
      <w:start w:val="1"/>
      <w:numFmt w:val="decimal"/>
      <w:lvlText w:val="29.1.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6">
    <w:nsid w:val="A9E10F71"/>
    <w:multiLevelType w:val="multilevel"/>
    <w:tmpl w:val="A9E10F71"/>
    <w:lvl w:ilvl="0" w:tentative="0">
      <w:start w:val="1"/>
      <w:numFmt w:val="decimal"/>
      <w:lvlText w:val="%1."/>
      <w:lvlJc w:val="left"/>
      <w:pPr>
        <w:tabs>
          <w:tab w:val="left" w:pos="907"/>
        </w:tabs>
        <w:ind w:left="907" w:hanging="907"/>
      </w:pPr>
      <w:rPr>
        <w:rFonts w:hint="eastAsia"/>
        <w:b/>
      </w:rPr>
    </w:lvl>
    <w:lvl w:ilvl="1" w:tentative="0">
      <w:start w:val="1"/>
      <w:numFmt w:val="decimal"/>
      <w:isLgl/>
      <w:lvlText w:val="33.%2."/>
      <w:lvlJc w:val="left"/>
      <w:pPr>
        <w:tabs>
          <w:tab w:val="left" w:pos="907"/>
        </w:tabs>
        <w:ind w:left="907" w:hanging="907"/>
      </w:pPr>
      <w:rPr>
        <w:rFonts w:hint="default" w:ascii="宋体" w:hAnsi="宋体" w:eastAsia="宋体" w:cs="宋体"/>
        <w:b w:val="0"/>
      </w:rPr>
    </w:lvl>
    <w:lvl w:ilvl="2" w:tentative="0">
      <w:start w:val="1"/>
      <w:numFmt w:val="decimal"/>
      <w:lvlText w:val="28.%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7">
    <w:nsid w:val="AA4DD313"/>
    <w:multiLevelType w:val="multilevel"/>
    <w:tmpl w:val="AA4DD313"/>
    <w:lvl w:ilvl="0" w:tentative="0">
      <w:start w:val="1"/>
      <w:numFmt w:val="decimal"/>
      <w:lvlText w:val="%1."/>
      <w:lvlJc w:val="left"/>
      <w:pPr>
        <w:tabs>
          <w:tab w:val="left" w:pos="907"/>
        </w:tabs>
        <w:ind w:left="907" w:hanging="907"/>
      </w:pPr>
      <w:rPr>
        <w:rFonts w:hint="eastAsia"/>
        <w:b/>
      </w:rPr>
    </w:lvl>
    <w:lvl w:ilvl="1" w:tentative="0">
      <w:start w:val="1"/>
      <w:numFmt w:val="decimal"/>
      <w:isLgl/>
      <w:lvlText w:val="12.%2."/>
      <w:lvlJc w:val="left"/>
      <w:pPr>
        <w:tabs>
          <w:tab w:val="left" w:pos="907"/>
        </w:tabs>
        <w:ind w:left="907" w:hanging="907"/>
      </w:pPr>
      <w:rPr>
        <w:rFonts w:hint="default" w:ascii="宋体" w:hAnsi="宋体" w:eastAsia="宋体" w:cs="宋体"/>
        <w:b w:val="0"/>
      </w:rPr>
    </w:lvl>
    <w:lvl w:ilvl="2" w:tentative="0">
      <w:start w:val="1"/>
      <w:numFmt w:val="decimal"/>
      <w:lvlText w:val="2.%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8">
    <w:nsid w:val="AF9868AF"/>
    <w:multiLevelType w:val="multilevel"/>
    <w:tmpl w:val="AF9868AF"/>
    <w:lvl w:ilvl="0" w:tentative="0">
      <w:start w:val="1"/>
      <w:numFmt w:val="decimal"/>
      <w:lvlText w:val="20.%1"/>
      <w:lvlJc w:val="left"/>
      <w:pPr>
        <w:tabs>
          <w:tab w:val="left" w:pos="907"/>
        </w:tabs>
        <w:ind w:left="907" w:hanging="907"/>
      </w:pPr>
      <w:rPr>
        <w:rFonts w:hint="default" w:ascii="宋体" w:hAnsi="宋体" w:eastAsia="宋体" w:cs="宋体"/>
        <w:b w:val="0"/>
      </w:rPr>
    </w:lvl>
    <w:lvl w:ilvl="1" w:tentative="0">
      <w:start w:val="1"/>
      <w:numFmt w:val="decimal"/>
      <w:isLgl/>
      <w:lvlText w:val="19.%2."/>
      <w:lvlJc w:val="left"/>
      <w:pPr>
        <w:tabs>
          <w:tab w:val="left" w:pos="907"/>
        </w:tabs>
        <w:ind w:left="907" w:hanging="907"/>
      </w:pPr>
      <w:rPr>
        <w:rFonts w:hint="eastAsia" w:eastAsia="宋体"/>
        <w:b w:val="0"/>
      </w:rPr>
    </w:lvl>
    <w:lvl w:ilvl="2" w:tentative="0">
      <w:start w:val="1"/>
      <w:numFmt w:val="decimal"/>
      <w:lvlText w:val="17.%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9">
    <w:nsid w:val="AFD2DA23"/>
    <w:multiLevelType w:val="multilevel"/>
    <w:tmpl w:val="AFD2DA23"/>
    <w:lvl w:ilvl="0" w:tentative="0">
      <w:start w:val="1"/>
      <w:numFmt w:val="decimal"/>
      <w:lvlText w:val="%1."/>
      <w:lvlJc w:val="left"/>
      <w:pPr>
        <w:tabs>
          <w:tab w:val="left" w:pos="907"/>
        </w:tabs>
        <w:ind w:left="907" w:hanging="907"/>
      </w:pPr>
      <w:rPr>
        <w:rFonts w:hint="eastAsia"/>
        <w:b/>
      </w:rPr>
    </w:lvl>
    <w:lvl w:ilvl="1" w:tentative="0">
      <w:start w:val="1"/>
      <w:numFmt w:val="decimal"/>
      <w:isLgl/>
      <w:lvlText w:val="21.%2."/>
      <w:lvlJc w:val="left"/>
      <w:pPr>
        <w:tabs>
          <w:tab w:val="left" w:pos="907"/>
        </w:tabs>
        <w:ind w:left="907" w:hanging="907"/>
      </w:pPr>
      <w:rPr>
        <w:rFonts w:hint="default" w:ascii="宋体" w:hAnsi="宋体" w:eastAsia="宋体" w:cs="宋体"/>
        <w:b w:val="0"/>
      </w:rPr>
    </w:lvl>
    <w:lvl w:ilvl="2" w:tentative="0">
      <w:start w:val="1"/>
      <w:numFmt w:val="decimal"/>
      <w:lvlText w:val="17.%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0">
    <w:nsid w:val="B00E335D"/>
    <w:multiLevelType w:val="multilevel"/>
    <w:tmpl w:val="B00E335D"/>
    <w:lvl w:ilvl="0" w:tentative="0">
      <w:start w:val="1"/>
      <w:numFmt w:val="decimal"/>
      <w:lvlText w:val="%1."/>
      <w:lvlJc w:val="left"/>
      <w:pPr>
        <w:tabs>
          <w:tab w:val="left" w:pos="907"/>
        </w:tabs>
        <w:ind w:left="907" w:hanging="907"/>
      </w:pPr>
      <w:rPr>
        <w:rFonts w:hint="eastAsia"/>
        <w:b/>
      </w:rPr>
    </w:lvl>
    <w:lvl w:ilvl="1" w:tentative="0">
      <w:start w:val="1"/>
      <w:numFmt w:val="decimal"/>
      <w:isLgl/>
      <w:lvlText w:val="6.%2."/>
      <w:lvlJc w:val="left"/>
      <w:pPr>
        <w:tabs>
          <w:tab w:val="left" w:pos="907"/>
        </w:tabs>
        <w:ind w:left="907" w:hanging="907"/>
      </w:pPr>
      <w:rPr>
        <w:rFonts w:hint="default" w:ascii="宋体" w:hAnsi="宋体" w:eastAsia="宋体" w:cs="宋体"/>
        <w:b w:val="0"/>
      </w:rPr>
    </w:lvl>
    <w:lvl w:ilvl="2" w:tentative="0">
      <w:start w:val="1"/>
      <w:numFmt w:val="decimal"/>
      <w:lvlText w:val="2.%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1">
    <w:nsid w:val="B0A54B1F"/>
    <w:multiLevelType w:val="singleLevel"/>
    <w:tmpl w:val="B0A54B1F"/>
    <w:lvl w:ilvl="0" w:tentative="0">
      <w:start w:val="15"/>
      <w:numFmt w:val="decimal"/>
      <w:suff w:val="nothing"/>
      <w:lvlText w:val="%1、"/>
      <w:lvlJc w:val="left"/>
    </w:lvl>
  </w:abstractNum>
  <w:abstractNum w:abstractNumId="12">
    <w:nsid w:val="B8EACBA9"/>
    <w:multiLevelType w:val="multilevel"/>
    <w:tmpl w:val="B8EACBA9"/>
    <w:lvl w:ilvl="0" w:tentative="0">
      <w:start w:val="1"/>
      <w:numFmt w:val="decimal"/>
      <w:lvlText w:val="%1."/>
      <w:lvlJc w:val="left"/>
      <w:pPr>
        <w:tabs>
          <w:tab w:val="left" w:pos="907"/>
        </w:tabs>
        <w:ind w:left="907" w:hanging="907"/>
      </w:pPr>
      <w:rPr>
        <w:rFonts w:hint="eastAsia"/>
        <w:b/>
      </w:rPr>
    </w:lvl>
    <w:lvl w:ilvl="1" w:tentative="0">
      <w:start w:val="1"/>
      <w:numFmt w:val="decimal"/>
      <w:isLgl/>
      <w:lvlText w:val="22.%2."/>
      <w:lvlJc w:val="left"/>
      <w:pPr>
        <w:tabs>
          <w:tab w:val="left" w:pos="907"/>
        </w:tabs>
        <w:ind w:left="907" w:hanging="907"/>
      </w:pPr>
      <w:rPr>
        <w:rFonts w:hint="default" w:ascii="宋体" w:hAnsi="宋体" w:eastAsia="宋体" w:cs="宋体"/>
        <w:b w:val="0"/>
      </w:rPr>
    </w:lvl>
    <w:lvl w:ilvl="2" w:tentative="0">
      <w:start w:val="1"/>
      <w:numFmt w:val="decimal"/>
      <w:lvlText w:val="17.%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3">
    <w:nsid w:val="BB4DA63D"/>
    <w:multiLevelType w:val="singleLevel"/>
    <w:tmpl w:val="BB4DA63D"/>
    <w:lvl w:ilvl="0" w:tentative="0">
      <w:start w:val="5"/>
      <w:numFmt w:val="chineseCounting"/>
      <w:suff w:val="space"/>
      <w:lvlText w:val="第%1章"/>
      <w:lvlJc w:val="left"/>
      <w:rPr>
        <w:rFonts w:hint="eastAsia"/>
      </w:rPr>
    </w:lvl>
  </w:abstractNum>
  <w:abstractNum w:abstractNumId="14">
    <w:nsid w:val="BC19AF0D"/>
    <w:multiLevelType w:val="multilevel"/>
    <w:tmpl w:val="BC19AF0D"/>
    <w:lvl w:ilvl="0" w:tentative="0">
      <w:start w:val="1"/>
      <w:numFmt w:val="decimal"/>
      <w:lvlText w:val="%1."/>
      <w:lvlJc w:val="left"/>
      <w:pPr>
        <w:tabs>
          <w:tab w:val="left" w:pos="907"/>
        </w:tabs>
        <w:ind w:left="907" w:hanging="907"/>
      </w:pPr>
      <w:rPr>
        <w:rFonts w:hint="eastAsia"/>
        <w:b/>
      </w:rPr>
    </w:lvl>
    <w:lvl w:ilvl="1" w:tentative="0">
      <w:start w:val="1"/>
      <w:numFmt w:val="decimal"/>
      <w:isLgl/>
      <w:lvlText w:val="32.%2."/>
      <w:lvlJc w:val="left"/>
      <w:pPr>
        <w:tabs>
          <w:tab w:val="left" w:pos="907"/>
        </w:tabs>
        <w:ind w:left="907" w:hanging="907"/>
      </w:pPr>
      <w:rPr>
        <w:rFonts w:hint="default" w:ascii="宋体" w:hAnsi="宋体" w:eastAsia="宋体" w:cs="宋体"/>
        <w:b w:val="0"/>
      </w:rPr>
    </w:lvl>
    <w:lvl w:ilvl="2" w:tentative="0">
      <w:start w:val="1"/>
      <w:numFmt w:val="decimal"/>
      <w:lvlText w:val="29.%2.%3."/>
      <w:lvlJc w:val="left"/>
      <w:pPr>
        <w:tabs>
          <w:tab w:val="left" w:pos="907"/>
        </w:tabs>
        <w:ind w:left="907" w:hanging="907"/>
      </w:pPr>
      <w:rPr>
        <w:rFonts w:hint="eastAsia"/>
      </w:rPr>
    </w:lvl>
    <w:lvl w:ilvl="3" w:tentative="0">
      <w:start w:val="1"/>
      <w:numFmt w:val="decimal"/>
      <w:lvlText w:val="29.1.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5">
    <w:nsid w:val="C0CBC2A9"/>
    <w:multiLevelType w:val="multilevel"/>
    <w:tmpl w:val="C0CBC2A9"/>
    <w:lvl w:ilvl="0" w:tentative="0">
      <w:start w:val="1"/>
      <w:numFmt w:val="decimal"/>
      <w:lvlText w:val="%1."/>
      <w:lvlJc w:val="left"/>
      <w:pPr>
        <w:tabs>
          <w:tab w:val="left" w:pos="907"/>
        </w:tabs>
        <w:ind w:left="907" w:hanging="907"/>
      </w:pPr>
      <w:rPr>
        <w:rFonts w:hint="eastAsia"/>
        <w:b/>
      </w:rPr>
    </w:lvl>
    <w:lvl w:ilvl="1" w:tentative="0">
      <w:start w:val="1"/>
      <w:numFmt w:val="decimal"/>
      <w:isLgl/>
      <w:lvlText w:val="13.%2."/>
      <w:lvlJc w:val="left"/>
      <w:pPr>
        <w:tabs>
          <w:tab w:val="left" w:pos="907"/>
        </w:tabs>
        <w:ind w:left="907" w:hanging="907"/>
      </w:pPr>
      <w:rPr>
        <w:rFonts w:hint="default" w:ascii="宋体" w:hAnsi="宋体" w:eastAsia="宋体" w:cs="宋体"/>
        <w:b w:val="0"/>
      </w:rPr>
    </w:lvl>
    <w:lvl w:ilvl="2" w:tentative="0">
      <w:start w:val="1"/>
      <w:numFmt w:val="decimal"/>
      <w:lvlText w:val="2.%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6">
    <w:nsid w:val="C22701CE"/>
    <w:multiLevelType w:val="multilevel"/>
    <w:tmpl w:val="C22701CE"/>
    <w:lvl w:ilvl="0" w:tentative="0">
      <w:start w:val="1"/>
      <w:numFmt w:val="decimal"/>
      <w:lvlText w:val="%1."/>
      <w:lvlJc w:val="left"/>
      <w:pPr>
        <w:tabs>
          <w:tab w:val="left" w:pos="907"/>
        </w:tabs>
        <w:ind w:left="907" w:hanging="907"/>
      </w:pPr>
      <w:rPr>
        <w:rFonts w:hint="default" w:ascii="宋体" w:hAnsi="宋体" w:eastAsia="宋体" w:cs="宋体"/>
        <w:b/>
      </w:rPr>
    </w:lvl>
    <w:lvl w:ilvl="1" w:tentative="0">
      <w:start w:val="1"/>
      <w:numFmt w:val="decimal"/>
      <w:isLgl/>
      <w:lvlText w:val="29.%2."/>
      <w:lvlJc w:val="left"/>
      <w:pPr>
        <w:tabs>
          <w:tab w:val="left" w:pos="907"/>
        </w:tabs>
        <w:ind w:left="907" w:hanging="907"/>
      </w:pPr>
      <w:rPr>
        <w:rFonts w:hint="default" w:ascii="宋体" w:hAnsi="宋体" w:eastAsia="宋体" w:cs="宋体"/>
        <w:b w:val="0"/>
      </w:rPr>
    </w:lvl>
    <w:lvl w:ilvl="2" w:tentative="0">
      <w:start w:val="1"/>
      <w:numFmt w:val="decimal"/>
      <w:lvlText w:val="34.1.%3."/>
      <w:lvlJc w:val="left"/>
      <w:pPr>
        <w:tabs>
          <w:tab w:val="left" w:pos="907"/>
        </w:tabs>
        <w:ind w:left="907" w:hanging="907"/>
      </w:pPr>
      <w:rPr>
        <w:rFonts w:hint="default" w:ascii="宋体" w:hAnsi="宋体" w:eastAsia="宋体" w:cs="宋体"/>
      </w:rPr>
    </w:lvl>
    <w:lvl w:ilvl="3" w:tentative="0">
      <w:start w:val="1"/>
      <w:numFmt w:val="decimal"/>
      <w:lvlText w:val="29.1.3.%4."/>
      <w:lvlJc w:val="left"/>
      <w:pPr>
        <w:tabs>
          <w:tab w:val="left" w:pos="907"/>
        </w:tabs>
        <w:ind w:left="907" w:hanging="907"/>
      </w:pPr>
      <w:rPr>
        <w:rFonts w:hint="default" w:ascii="宋体" w:hAnsi="宋体" w:eastAsia="宋体" w:cs="宋体"/>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7">
    <w:nsid w:val="C2417F32"/>
    <w:multiLevelType w:val="multilevel"/>
    <w:tmpl w:val="C2417F32"/>
    <w:lvl w:ilvl="0" w:tentative="0">
      <w:start w:val="1"/>
      <w:numFmt w:val="decimal"/>
      <w:lvlText w:val="%1."/>
      <w:lvlJc w:val="left"/>
      <w:pPr>
        <w:tabs>
          <w:tab w:val="left" w:pos="907"/>
        </w:tabs>
        <w:ind w:left="907" w:hanging="907"/>
      </w:pPr>
      <w:rPr>
        <w:rFonts w:hint="eastAsia"/>
        <w:b/>
      </w:rPr>
    </w:lvl>
    <w:lvl w:ilvl="1" w:tentative="0">
      <w:start w:val="1"/>
      <w:numFmt w:val="decimal"/>
      <w:isLgl/>
      <w:lvlText w:val="43.%2."/>
      <w:lvlJc w:val="left"/>
      <w:pPr>
        <w:tabs>
          <w:tab w:val="left" w:pos="907"/>
        </w:tabs>
        <w:ind w:left="907" w:hanging="907"/>
      </w:pPr>
      <w:rPr>
        <w:rFonts w:hint="default" w:ascii="宋体" w:hAnsi="宋体" w:eastAsia="宋体" w:cs="宋体"/>
        <w:b w:val="0"/>
      </w:rPr>
    </w:lvl>
    <w:lvl w:ilvl="2" w:tentative="0">
      <w:start w:val="1"/>
      <w:numFmt w:val="decimal"/>
      <w:lvlText w:val="42.%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8">
    <w:nsid w:val="D002ECE8"/>
    <w:multiLevelType w:val="multilevel"/>
    <w:tmpl w:val="D002ECE8"/>
    <w:lvl w:ilvl="0" w:tentative="0">
      <w:start w:val="1"/>
      <w:numFmt w:val="decimal"/>
      <w:lvlText w:val="%1."/>
      <w:lvlJc w:val="left"/>
      <w:pPr>
        <w:tabs>
          <w:tab w:val="left" w:pos="907"/>
        </w:tabs>
        <w:ind w:left="907" w:hanging="907"/>
      </w:pPr>
      <w:rPr>
        <w:rFonts w:hint="eastAsia"/>
        <w:b/>
      </w:rPr>
    </w:lvl>
    <w:lvl w:ilvl="1" w:tentative="0">
      <w:start w:val="1"/>
      <w:numFmt w:val="decimal"/>
      <w:isLgl/>
      <w:lvlText w:val="38.%2."/>
      <w:lvlJc w:val="left"/>
      <w:pPr>
        <w:tabs>
          <w:tab w:val="left" w:pos="907"/>
        </w:tabs>
        <w:ind w:left="907" w:hanging="907"/>
      </w:pPr>
      <w:rPr>
        <w:rFonts w:hint="default" w:ascii="宋体" w:hAnsi="宋体" w:eastAsia="宋体" w:cs="宋体"/>
        <w:b w:val="0"/>
      </w:rPr>
    </w:lvl>
    <w:lvl w:ilvl="2" w:tentative="0">
      <w:start w:val="1"/>
      <w:numFmt w:val="decimal"/>
      <w:lvlText w:val="28.%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9">
    <w:nsid w:val="D0600834"/>
    <w:multiLevelType w:val="singleLevel"/>
    <w:tmpl w:val="D0600834"/>
    <w:lvl w:ilvl="0" w:tentative="0">
      <w:start w:val="1"/>
      <w:numFmt w:val="decimal"/>
      <w:suff w:val="nothing"/>
      <w:lvlText w:val="%1、"/>
      <w:lvlJc w:val="left"/>
    </w:lvl>
  </w:abstractNum>
  <w:abstractNum w:abstractNumId="20">
    <w:nsid w:val="D228F261"/>
    <w:multiLevelType w:val="multilevel"/>
    <w:tmpl w:val="D228F261"/>
    <w:lvl w:ilvl="0" w:tentative="0">
      <w:start w:val="1"/>
      <w:numFmt w:val="decimal"/>
      <w:lvlText w:val="%1."/>
      <w:lvlJc w:val="left"/>
      <w:pPr>
        <w:tabs>
          <w:tab w:val="left" w:pos="907"/>
        </w:tabs>
        <w:ind w:left="907" w:hanging="907"/>
      </w:pPr>
      <w:rPr>
        <w:rFonts w:hint="default" w:ascii="宋体" w:hAnsi="宋体" w:eastAsia="宋体" w:cs="宋体"/>
        <w:b/>
      </w:rPr>
    </w:lvl>
    <w:lvl w:ilvl="1" w:tentative="0">
      <w:start w:val="1"/>
      <w:numFmt w:val="decimal"/>
      <w:isLgl/>
      <w:lvlText w:val="29.%2."/>
      <w:lvlJc w:val="left"/>
      <w:pPr>
        <w:tabs>
          <w:tab w:val="left" w:pos="907"/>
        </w:tabs>
        <w:ind w:left="907" w:hanging="907"/>
      </w:pPr>
      <w:rPr>
        <w:rFonts w:hint="default" w:ascii="宋体" w:hAnsi="宋体" w:eastAsia="宋体" w:cs="宋体"/>
        <w:b w:val="0"/>
      </w:rPr>
    </w:lvl>
    <w:lvl w:ilvl="2" w:tentative="0">
      <w:start w:val="1"/>
      <w:numFmt w:val="decimal"/>
      <w:lvlText w:val="31.2.%3."/>
      <w:lvlJc w:val="left"/>
      <w:pPr>
        <w:tabs>
          <w:tab w:val="left" w:pos="907"/>
        </w:tabs>
        <w:ind w:left="907" w:hanging="907"/>
      </w:pPr>
      <w:rPr>
        <w:rFonts w:hint="default" w:ascii="宋体" w:hAnsi="宋体" w:eastAsia="宋体" w:cs="宋体"/>
      </w:rPr>
    </w:lvl>
    <w:lvl w:ilvl="3" w:tentative="0">
      <w:start w:val="1"/>
      <w:numFmt w:val="decimal"/>
      <w:lvlText w:val="29.1.3.%4."/>
      <w:lvlJc w:val="left"/>
      <w:pPr>
        <w:tabs>
          <w:tab w:val="left" w:pos="907"/>
        </w:tabs>
        <w:ind w:left="907" w:hanging="907"/>
      </w:pPr>
      <w:rPr>
        <w:rFonts w:hint="default" w:ascii="宋体" w:hAnsi="宋体" w:eastAsia="宋体" w:cs="宋体"/>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1">
    <w:nsid w:val="D2D509F7"/>
    <w:multiLevelType w:val="multilevel"/>
    <w:tmpl w:val="D2D509F7"/>
    <w:lvl w:ilvl="0" w:tentative="0">
      <w:start w:val="1"/>
      <w:numFmt w:val="decimal"/>
      <w:lvlText w:val="%1."/>
      <w:lvlJc w:val="left"/>
      <w:pPr>
        <w:tabs>
          <w:tab w:val="left" w:pos="907"/>
        </w:tabs>
        <w:ind w:left="907" w:hanging="907"/>
      </w:pPr>
      <w:rPr>
        <w:rFonts w:hint="eastAsia"/>
        <w:b/>
      </w:rPr>
    </w:lvl>
    <w:lvl w:ilvl="1" w:tentative="0">
      <w:start w:val="1"/>
      <w:numFmt w:val="decimal"/>
      <w:isLgl/>
      <w:lvlText w:val="37.%2."/>
      <w:lvlJc w:val="left"/>
      <w:pPr>
        <w:tabs>
          <w:tab w:val="left" w:pos="907"/>
        </w:tabs>
        <w:ind w:left="907" w:hanging="907"/>
      </w:pPr>
      <w:rPr>
        <w:rFonts w:hint="default" w:ascii="宋体" w:hAnsi="宋体" w:eastAsia="宋体" w:cs="宋体"/>
        <w:b w:val="0"/>
      </w:rPr>
    </w:lvl>
    <w:lvl w:ilvl="2" w:tentative="0">
      <w:start w:val="1"/>
      <w:numFmt w:val="decimal"/>
      <w:lvlText w:val="28.%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2">
    <w:nsid w:val="D82FDC4F"/>
    <w:multiLevelType w:val="multilevel"/>
    <w:tmpl w:val="D82FDC4F"/>
    <w:lvl w:ilvl="0" w:tentative="0">
      <w:start w:val="1"/>
      <w:numFmt w:val="decimal"/>
      <w:lvlText w:val="%1."/>
      <w:lvlJc w:val="left"/>
      <w:pPr>
        <w:tabs>
          <w:tab w:val="left" w:pos="907"/>
        </w:tabs>
        <w:ind w:left="907" w:hanging="907"/>
      </w:pPr>
      <w:rPr>
        <w:rFonts w:hint="eastAsia"/>
        <w:b/>
      </w:rPr>
    </w:lvl>
    <w:lvl w:ilvl="1" w:tentative="0">
      <w:start w:val="1"/>
      <w:numFmt w:val="decimal"/>
      <w:isLgl/>
      <w:lvlText w:val="31.%2."/>
      <w:lvlJc w:val="left"/>
      <w:pPr>
        <w:tabs>
          <w:tab w:val="left" w:pos="907"/>
        </w:tabs>
        <w:ind w:left="907" w:hanging="907"/>
      </w:pPr>
      <w:rPr>
        <w:rFonts w:hint="default" w:ascii="宋体" w:hAnsi="宋体" w:eastAsia="宋体" w:cs="宋体"/>
        <w:b w:val="0"/>
      </w:rPr>
    </w:lvl>
    <w:lvl w:ilvl="2" w:tentative="0">
      <w:start w:val="1"/>
      <w:numFmt w:val="decimal"/>
      <w:lvlText w:val="29.%2.%3."/>
      <w:lvlJc w:val="left"/>
      <w:pPr>
        <w:tabs>
          <w:tab w:val="left" w:pos="907"/>
        </w:tabs>
        <w:ind w:left="907" w:hanging="907"/>
      </w:pPr>
      <w:rPr>
        <w:rFonts w:hint="eastAsia"/>
      </w:rPr>
    </w:lvl>
    <w:lvl w:ilvl="3" w:tentative="0">
      <w:start w:val="1"/>
      <w:numFmt w:val="decimal"/>
      <w:lvlText w:val="29.1.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3">
    <w:nsid w:val="DA854457"/>
    <w:multiLevelType w:val="multilevel"/>
    <w:tmpl w:val="DA854457"/>
    <w:lvl w:ilvl="0" w:tentative="0">
      <w:start w:val="1"/>
      <w:numFmt w:val="decimal"/>
      <w:lvlText w:val="%1."/>
      <w:lvlJc w:val="left"/>
      <w:pPr>
        <w:tabs>
          <w:tab w:val="left" w:pos="907"/>
        </w:tabs>
        <w:ind w:left="907" w:hanging="907"/>
      </w:pPr>
      <w:rPr>
        <w:rFonts w:hint="eastAsia"/>
        <w:b/>
      </w:rPr>
    </w:lvl>
    <w:lvl w:ilvl="1" w:tentative="0">
      <w:start w:val="1"/>
      <w:numFmt w:val="decimal"/>
      <w:isLgl/>
      <w:lvlText w:val="17.%2."/>
      <w:lvlJc w:val="left"/>
      <w:pPr>
        <w:tabs>
          <w:tab w:val="left" w:pos="907"/>
        </w:tabs>
        <w:ind w:left="907" w:hanging="907"/>
      </w:pPr>
      <w:rPr>
        <w:rFonts w:hint="default" w:ascii="宋体" w:hAnsi="宋体" w:eastAsia="宋体" w:cs="宋体"/>
        <w:b w:val="0"/>
      </w:rPr>
    </w:lvl>
    <w:lvl w:ilvl="2" w:tentative="0">
      <w:start w:val="1"/>
      <w:numFmt w:val="decimal"/>
      <w:lvlText w:val="17.%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4">
    <w:nsid w:val="DB667128"/>
    <w:multiLevelType w:val="multilevel"/>
    <w:tmpl w:val="DB667128"/>
    <w:lvl w:ilvl="0" w:tentative="0">
      <w:start w:val="1"/>
      <w:numFmt w:val="decimal"/>
      <w:lvlText w:val="%1."/>
      <w:lvlJc w:val="left"/>
      <w:pPr>
        <w:tabs>
          <w:tab w:val="left" w:pos="907"/>
        </w:tabs>
        <w:ind w:left="907" w:hanging="907"/>
      </w:pPr>
      <w:rPr>
        <w:rFonts w:hint="eastAsia"/>
        <w:b/>
      </w:rPr>
    </w:lvl>
    <w:lvl w:ilvl="1" w:tentative="0">
      <w:start w:val="1"/>
      <w:numFmt w:val="decimal"/>
      <w:isLgl/>
      <w:lvlText w:val="39.%2."/>
      <w:lvlJc w:val="left"/>
      <w:pPr>
        <w:tabs>
          <w:tab w:val="left" w:pos="907"/>
        </w:tabs>
        <w:ind w:left="907" w:hanging="907"/>
      </w:pPr>
      <w:rPr>
        <w:rFonts w:hint="default" w:ascii="宋体" w:hAnsi="宋体" w:eastAsia="宋体" w:cs="宋体"/>
        <w:b w:val="0"/>
      </w:rPr>
    </w:lvl>
    <w:lvl w:ilvl="2" w:tentative="0">
      <w:start w:val="1"/>
      <w:numFmt w:val="decimal"/>
      <w:lvlText w:val="28.%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5">
    <w:nsid w:val="E6A74FC1"/>
    <w:multiLevelType w:val="multilevel"/>
    <w:tmpl w:val="E6A74FC1"/>
    <w:lvl w:ilvl="0" w:tentative="0">
      <w:start w:val="1"/>
      <w:numFmt w:val="decimal"/>
      <w:lvlText w:val="%1."/>
      <w:lvlJc w:val="left"/>
      <w:pPr>
        <w:tabs>
          <w:tab w:val="left" w:pos="907"/>
        </w:tabs>
        <w:ind w:left="907" w:hanging="907"/>
      </w:pPr>
      <w:rPr>
        <w:rFonts w:hint="eastAsia"/>
        <w:b/>
      </w:rPr>
    </w:lvl>
    <w:lvl w:ilvl="1" w:tentative="0">
      <w:start w:val="1"/>
      <w:numFmt w:val="decimal"/>
      <w:isLgl/>
      <w:lvlText w:val="30.%2."/>
      <w:lvlJc w:val="left"/>
      <w:pPr>
        <w:tabs>
          <w:tab w:val="left" w:pos="907"/>
        </w:tabs>
        <w:ind w:left="907" w:hanging="907"/>
      </w:pPr>
      <w:rPr>
        <w:rFonts w:hint="default" w:ascii="宋体" w:hAnsi="宋体" w:eastAsia="宋体" w:cs="宋体"/>
        <w:b w:val="0"/>
      </w:rPr>
    </w:lvl>
    <w:lvl w:ilvl="2" w:tentative="0">
      <w:start w:val="1"/>
      <w:numFmt w:val="decimal"/>
      <w:lvlText w:val="29.%2.%3."/>
      <w:lvlJc w:val="left"/>
      <w:pPr>
        <w:tabs>
          <w:tab w:val="left" w:pos="907"/>
        </w:tabs>
        <w:ind w:left="907" w:hanging="907"/>
      </w:pPr>
      <w:rPr>
        <w:rFonts w:hint="eastAsia"/>
      </w:rPr>
    </w:lvl>
    <w:lvl w:ilvl="3" w:tentative="0">
      <w:start w:val="1"/>
      <w:numFmt w:val="decimal"/>
      <w:lvlText w:val="29.1.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6">
    <w:nsid w:val="F0530013"/>
    <w:multiLevelType w:val="multilevel"/>
    <w:tmpl w:val="F0530013"/>
    <w:lvl w:ilvl="0" w:tentative="0">
      <w:start w:val="1"/>
      <w:numFmt w:val="decimal"/>
      <w:lvlText w:val="%1."/>
      <w:lvlJc w:val="left"/>
      <w:pPr>
        <w:tabs>
          <w:tab w:val="left" w:pos="907"/>
        </w:tabs>
        <w:ind w:left="907" w:hanging="907"/>
      </w:pPr>
      <w:rPr>
        <w:rFonts w:hint="eastAsia"/>
        <w:b/>
      </w:rPr>
    </w:lvl>
    <w:lvl w:ilvl="1" w:tentative="0">
      <w:start w:val="1"/>
      <w:numFmt w:val="decimal"/>
      <w:isLgl/>
      <w:lvlText w:val="28.%2."/>
      <w:lvlJc w:val="left"/>
      <w:pPr>
        <w:tabs>
          <w:tab w:val="left" w:pos="907"/>
        </w:tabs>
        <w:ind w:left="907" w:hanging="907"/>
      </w:pPr>
      <w:rPr>
        <w:rFonts w:hint="default" w:ascii="宋体" w:hAnsi="宋体" w:eastAsia="宋体" w:cs="宋体"/>
        <w:b w:val="0"/>
      </w:rPr>
    </w:lvl>
    <w:lvl w:ilvl="2" w:tentative="0">
      <w:start w:val="1"/>
      <w:numFmt w:val="decimal"/>
      <w:lvlText w:val="28.%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7">
    <w:nsid w:val="F204C63F"/>
    <w:multiLevelType w:val="multilevel"/>
    <w:tmpl w:val="F204C63F"/>
    <w:lvl w:ilvl="0" w:tentative="0">
      <w:start w:val="1"/>
      <w:numFmt w:val="decimal"/>
      <w:lvlText w:val="%1."/>
      <w:lvlJc w:val="left"/>
      <w:pPr>
        <w:tabs>
          <w:tab w:val="left" w:pos="907"/>
        </w:tabs>
        <w:ind w:left="907" w:hanging="907"/>
      </w:pPr>
      <w:rPr>
        <w:rFonts w:hint="eastAsia"/>
        <w:b/>
      </w:rPr>
    </w:lvl>
    <w:lvl w:ilvl="1" w:tentative="0">
      <w:start w:val="1"/>
      <w:numFmt w:val="decimal"/>
      <w:isLgl/>
      <w:lvlText w:val="42.%2."/>
      <w:lvlJc w:val="left"/>
      <w:pPr>
        <w:tabs>
          <w:tab w:val="left" w:pos="907"/>
        </w:tabs>
        <w:ind w:left="907" w:hanging="907"/>
      </w:pPr>
      <w:rPr>
        <w:rFonts w:hint="default" w:ascii="宋体" w:hAnsi="宋体" w:eastAsia="宋体" w:cs="宋体"/>
        <w:b w:val="0"/>
      </w:rPr>
    </w:lvl>
    <w:lvl w:ilvl="2" w:tentative="0">
      <w:start w:val="1"/>
      <w:numFmt w:val="decimal"/>
      <w:lvlText w:val="28.%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8">
    <w:nsid w:val="FD3D99E3"/>
    <w:multiLevelType w:val="multilevel"/>
    <w:tmpl w:val="FD3D99E3"/>
    <w:lvl w:ilvl="0" w:tentative="0">
      <w:start w:val="1"/>
      <w:numFmt w:val="decimal"/>
      <w:lvlText w:val="%1."/>
      <w:lvlJc w:val="left"/>
      <w:pPr>
        <w:tabs>
          <w:tab w:val="left" w:pos="907"/>
        </w:tabs>
        <w:ind w:left="907" w:hanging="907"/>
      </w:pPr>
      <w:rPr>
        <w:rFonts w:hint="default" w:ascii="宋体" w:hAnsi="宋体" w:eastAsia="宋体" w:cs="宋体"/>
        <w:b/>
      </w:rPr>
    </w:lvl>
    <w:lvl w:ilvl="1" w:tentative="0">
      <w:start w:val="1"/>
      <w:numFmt w:val="decimal"/>
      <w:isLgl/>
      <w:lvlText w:val="29.%2."/>
      <w:lvlJc w:val="left"/>
      <w:pPr>
        <w:tabs>
          <w:tab w:val="left" w:pos="907"/>
        </w:tabs>
        <w:ind w:left="907" w:hanging="907"/>
      </w:pPr>
      <w:rPr>
        <w:rFonts w:hint="default" w:ascii="宋体" w:hAnsi="宋体" w:eastAsia="宋体" w:cs="宋体"/>
        <w:b w:val="0"/>
      </w:rPr>
    </w:lvl>
    <w:lvl w:ilvl="2" w:tentative="0">
      <w:start w:val="1"/>
      <w:numFmt w:val="decimal"/>
      <w:lvlText w:val="34.2.%3."/>
      <w:lvlJc w:val="left"/>
      <w:pPr>
        <w:tabs>
          <w:tab w:val="left" w:pos="907"/>
        </w:tabs>
        <w:ind w:left="907" w:hanging="907"/>
      </w:pPr>
      <w:rPr>
        <w:rFonts w:hint="default" w:ascii="宋体" w:hAnsi="宋体" w:eastAsia="宋体" w:cs="宋体"/>
      </w:rPr>
    </w:lvl>
    <w:lvl w:ilvl="3" w:tentative="0">
      <w:start w:val="1"/>
      <w:numFmt w:val="decimal"/>
      <w:lvlText w:val="29.1.3.%4."/>
      <w:lvlJc w:val="left"/>
      <w:pPr>
        <w:tabs>
          <w:tab w:val="left" w:pos="907"/>
        </w:tabs>
        <w:ind w:left="907" w:hanging="907"/>
      </w:pPr>
      <w:rPr>
        <w:rFonts w:hint="default" w:ascii="宋体" w:hAnsi="宋体" w:eastAsia="宋体" w:cs="宋体"/>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9">
    <w:nsid w:val="FF5CA5AF"/>
    <w:multiLevelType w:val="multilevel"/>
    <w:tmpl w:val="FF5CA5AF"/>
    <w:lvl w:ilvl="0" w:tentative="0">
      <w:start w:val="1"/>
      <w:numFmt w:val="decimal"/>
      <w:lvlText w:val="%1."/>
      <w:lvlJc w:val="left"/>
      <w:pPr>
        <w:tabs>
          <w:tab w:val="left" w:pos="907"/>
        </w:tabs>
        <w:ind w:left="907" w:hanging="907"/>
      </w:pPr>
      <w:rPr>
        <w:rFonts w:hint="default" w:ascii="宋体" w:hAnsi="宋体" w:eastAsia="宋体" w:cs="宋体"/>
        <w:b/>
      </w:rPr>
    </w:lvl>
    <w:lvl w:ilvl="1" w:tentative="0">
      <w:start w:val="1"/>
      <w:numFmt w:val="decimal"/>
      <w:isLgl/>
      <w:lvlText w:val="29.%2."/>
      <w:lvlJc w:val="left"/>
      <w:pPr>
        <w:tabs>
          <w:tab w:val="left" w:pos="907"/>
        </w:tabs>
        <w:ind w:left="907" w:hanging="907"/>
      </w:pPr>
      <w:rPr>
        <w:rFonts w:hint="default" w:ascii="宋体" w:hAnsi="宋体" w:eastAsia="宋体" w:cs="宋体"/>
        <w:b w:val="0"/>
      </w:rPr>
    </w:lvl>
    <w:lvl w:ilvl="2" w:tentative="0">
      <w:start w:val="1"/>
      <w:numFmt w:val="decimal"/>
      <w:lvlText w:val="26.1.%3."/>
      <w:lvlJc w:val="left"/>
      <w:pPr>
        <w:tabs>
          <w:tab w:val="left" w:pos="907"/>
        </w:tabs>
        <w:ind w:left="907" w:hanging="907"/>
      </w:pPr>
      <w:rPr>
        <w:rFonts w:hint="default" w:ascii="宋体" w:hAnsi="宋体" w:eastAsia="宋体" w:cs="宋体"/>
      </w:rPr>
    </w:lvl>
    <w:lvl w:ilvl="3" w:tentative="0">
      <w:start w:val="1"/>
      <w:numFmt w:val="decimal"/>
      <w:lvlText w:val="29.1.3.%4."/>
      <w:lvlJc w:val="left"/>
      <w:pPr>
        <w:tabs>
          <w:tab w:val="left" w:pos="907"/>
        </w:tabs>
        <w:ind w:left="907" w:hanging="907"/>
      </w:pPr>
      <w:rPr>
        <w:rFonts w:hint="default" w:ascii="宋体" w:hAnsi="宋体" w:eastAsia="宋体" w:cs="宋体"/>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0">
    <w:nsid w:val="00000028"/>
    <w:multiLevelType w:val="multilevel"/>
    <w:tmpl w:val="00000028"/>
    <w:lvl w:ilvl="0" w:tentative="0">
      <w:start w:val="1"/>
      <w:numFmt w:val="decimal"/>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31">
    <w:nsid w:val="0000003A"/>
    <w:multiLevelType w:val="multilevel"/>
    <w:tmpl w:val="0000003A"/>
    <w:lvl w:ilvl="0" w:tentative="0">
      <w:start w:val="1"/>
      <w:numFmt w:val="decimal"/>
      <w:lvlText w:val="%1."/>
      <w:lvlJc w:val="left"/>
      <w:pPr>
        <w:tabs>
          <w:tab w:val="left" w:pos="907"/>
        </w:tabs>
        <w:ind w:left="907" w:hanging="907"/>
      </w:pPr>
      <w:rPr>
        <w:rFonts w:hint="eastAsia"/>
        <w:b/>
      </w:rPr>
    </w:lvl>
    <w:lvl w:ilvl="1" w:tentative="0">
      <w:start w:val="1"/>
      <w:numFmt w:val="decimal"/>
      <w:isLgl/>
      <w:lvlText w:val="4.%2."/>
      <w:lvlJc w:val="left"/>
      <w:pPr>
        <w:tabs>
          <w:tab w:val="left" w:pos="907"/>
        </w:tabs>
        <w:ind w:left="907" w:hanging="907"/>
      </w:pPr>
      <w:rPr>
        <w:rFonts w:hint="eastAsia"/>
        <w:b w:val="0"/>
      </w:rPr>
    </w:lvl>
    <w:lvl w:ilvl="2" w:tentative="0">
      <w:start w:val="1"/>
      <w:numFmt w:val="decimal"/>
      <w:lvlText w:val="2.%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2">
    <w:nsid w:val="0000004F"/>
    <w:multiLevelType w:val="multilevel"/>
    <w:tmpl w:val="0000004F"/>
    <w:lvl w:ilvl="0" w:tentative="0">
      <w:start w:val="1"/>
      <w:numFmt w:val="decimal"/>
      <w:lvlText w:val="%1."/>
      <w:lvlJc w:val="left"/>
      <w:pPr>
        <w:tabs>
          <w:tab w:val="left" w:pos="907"/>
        </w:tabs>
        <w:ind w:left="907" w:hanging="907"/>
      </w:pPr>
      <w:rPr>
        <w:rFonts w:hint="eastAsia"/>
        <w:b/>
      </w:rPr>
    </w:lvl>
    <w:lvl w:ilvl="1" w:tentative="0">
      <w:start w:val="1"/>
      <w:numFmt w:val="decimal"/>
      <w:isLgl/>
      <w:lvlText w:val="2.%2."/>
      <w:lvlJc w:val="left"/>
      <w:pPr>
        <w:tabs>
          <w:tab w:val="left" w:pos="907"/>
        </w:tabs>
        <w:ind w:left="907" w:hanging="907"/>
      </w:pPr>
      <w:rPr>
        <w:rFonts w:hint="eastAsia"/>
        <w:b w:val="0"/>
      </w:rPr>
    </w:lvl>
    <w:lvl w:ilvl="2" w:tentative="0">
      <w:start w:val="1"/>
      <w:numFmt w:val="decimal"/>
      <w:lvlText w:val="2.%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3">
    <w:nsid w:val="0609AC39"/>
    <w:multiLevelType w:val="singleLevel"/>
    <w:tmpl w:val="0609AC39"/>
    <w:lvl w:ilvl="0" w:tentative="0">
      <w:start w:val="2"/>
      <w:numFmt w:val="chineseCounting"/>
      <w:suff w:val="nothing"/>
      <w:lvlText w:val="（%1）"/>
      <w:lvlJc w:val="left"/>
      <w:rPr>
        <w:rFonts w:hint="eastAsia"/>
      </w:rPr>
    </w:lvl>
  </w:abstractNum>
  <w:abstractNum w:abstractNumId="34">
    <w:nsid w:val="09DB2046"/>
    <w:multiLevelType w:val="multilevel"/>
    <w:tmpl w:val="09DB2046"/>
    <w:lvl w:ilvl="0" w:tentative="0">
      <w:start w:val="1"/>
      <w:numFmt w:val="decimal"/>
      <w:lvlText w:val="%1."/>
      <w:lvlJc w:val="left"/>
      <w:pPr>
        <w:tabs>
          <w:tab w:val="left" w:pos="907"/>
        </w:tabs>
        <w:ind w:left="907" w:hanging="907"/>
      </w:pPr>
      <w:rPr>
        <w:rFonts w:hint="default" w:ascii="宋体" w:hAnsi="宋体" w:eastAsia="宋体" w:cs="宋体"/>
        <w:b/>
      </w:rPr>
    </w:lvl>
    <w:lvl w:ilvl="1" w:tentative="0">
      <w:start w:val="1"/>
      <w:numFmt w:val="decimal"/>
      <w:isLgl/>
      <w:lvlText w:val="29.%2."/>
      <w:lvlJc w:val="left"/>
      <w:pPr>
        <w:tabs>
          <w:tab w:val="left" w:pos="907"/>
        </w:tabs>
        <w:ind w:left="907" w:hanging="907"/>
      </w:pPr>
      <w:rPr>
        <w:rFonts w:hint="default" w:ascii="宋体" w:hAnsi="宋体" w:eastAsia="宋体" w:cs="宋体"/>
        <w:b w:val="0"/>
      </w:rPr>
    </w:lvl>
    <w:lvl w:ilvl="2" w:tentative="0">
      <w:start w:val="1"/>
      <w:numFmt w:val="decimal"/>
      <w:lvlText w:val="27.4.%3"/>
      <w:lvlJc w:val="left"/>
      <w:pPr>
        <w:tabs>
          <w:tab w:val="left" w:pos="907"/>
        </w:tabs>
        <w:ind w:left="907" w:hanging="907"/>
      </w:pPr>
      <w:rPr>
        <w:rFonts w:hint="default" w:ascii="宋体" w:hAnsi="宋体" w:eastAsia="宋体" w:cs="宋体"/>
      </w:rPr>
    </w:lvl>
    <w:lvl w:ilvl="3" w:tentative="0">
      <w:start w:val="1"/>
      <w:numFmt w:val="decimal"/>
      <w:lvlText w:val="29.1.3.%4."/>
      <w:lvlJc w:val="left"/>
      <w:pPr>
        <w:tabs>
          <w:tab w:val="left" w:pos="907"/>
        </w:tabs>
        <w:ind w:left="907" w:hanging="907"/>
      </w:pPr>
      <w:rPr>
        <w:rFonts w:hint="default" w:ascii="宋体" w:hAnsi="宋体" w:eastAsia="宋体" w:cs="宋体"/>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5">
    <w:nsid w:val="1175E00E"/>
    <w:multiLevelType w:val="multilevel"/>
    <w:tmpl w:val="1175E00E"/>
    <w:lvl w:ilvl="0" w:tentative="0">
      <w:start w:val="1"/>
      <w:numFmt w:val="decimal"/>
      <w:lvlText w:val="%1."/>
      <w:lvlJc w:val="left"/>
      <w:pPr>
        <w:tabs>
          <w:tab w:val="left" w:pos="907"/>
        </w:tabs>
        <w:ind w:left="907" w:hanging="907"/>
      </w:pPr>
      <w:rPr>
        <w:rFonts w:hint="eastAsia"/>
        <w:b/>
      </w:rPr>
    </w:lvl>
    <w:lvl w:ilvl="1" w:tentative="0">
      <w:start w:val="1"/>
      <w:numFmt w:val="decimal"/>
      <w:isLgl/>
      <w:lvlText w:val="29.%2."/>
      <w:lvlJc w:val="left"/>
      <w:pPr>
        <w:tabs>
          <w:tab w:val="left" w:pos="907"/>
        </w:tabs>
        <w:ind w:left="907" w:hanging="907"/>
      </w:pPr>
      <w:rPr>
        <w:rFonts w:hint="default" w:ascii="宋体" w:hAnsi="宋体" w:eastAsia="宋体" w:cs="宋体"/>
        <w:b w:val="0"/>
      </w:rPr>
    </w:lvl>
    <w:lvl w:ilvl="2" w:tentative="0">
      <w:start w:val="1"/>
      <w:numFmt w:val="decimal"/>
      <w:lvlText w:val="29.%2.%3."/>
      <w:lvlJc w:val="left"/>
      <w:pPr>
        <w:tabs>
          <w:tab w:val="left" w:pos="907"/>
        </w:tabs>
        <w:ind w:left="907" w:hanging="907"/>
      </w:pPr>
      <w:rPr>
        <w:rFonts w:hint="eastAsia"/>
      </w:rPr>
    </w:lvl>
    <w:lvl w:ilvl="3" w:tentative="0">
      <w:start w:val="1"/>
      <w:numFmt w:val="decimal"/>
      <w:lvlText w:val="29.1.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6">
    <w:nsid w:val="11AE64C4"/>
    <w:multiLevelType w:val="multilevel"/>
    <w:tmpl w:val="11AE64C4"/>
    <w:lvl w:ilvl="0" w:tentative="0">
      <w:start w:val="1"/>
      <w:numFmt w:val="none"/>
      <w:lvlText w:val="3.1."/>
      <w:lvlJc w:val="left"/>
      <w:pPr>
        <w:tabs>
          <w:tab w:val="left" w:pos="907"/>
        </w:tabs>
        <w:ind w:left="907" w:hanging="907"/>
      </w:pPr>
      <w:rPr>
        <w:rFonts w:hint="eastAsia"/>
        <w:b/>
      </w:rPr>
    </w:lvl>
    <w:lvl w:ilvl="1" w:tentative="0">
      <w:start w:val="1"/>
      <w:numFmt w:val="none"/>
      <w:isLgl/>
      <w:lvlText w:val="3.1."/>
      <w:lvlJc w:val="left"/>
      <w:pPr>
        <w:tabs>
          <w:tab w:val="left" w:pos="907"/>
        </w:tabs>
        <w:ind w:left="907" w:hanging="907"/>
      </w:pPr>
      <w:rPr>
        <w:rFonts w:hint="eastAsia"/>
        <w:b w:val="0"/>
      </w:rPr>
    </w:lvl>
    <w:lvl w:ilvl="2" w:tentative="0">
      <w:start w:val="1"/>
      <w:numFmt w:val="decimal"/>
      <w:lvlText w:val="2.%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7">
    <w:nsid w:val="2358F3A8"/>
    <w:multiLevelType w:val="multilevel"/>
    <w:tmpl w:val="2358F3A8"/>
    <w:lvl w:ilvl="0" w:tentative="0">
      <w:start w:val="1"/>
      <w:numFmt w:val="decimal"/>
      <w:lvlText w:val="%1."/>
      <w:lvlJc w:val="left"/>
      <w:pPr>
        <w:tabs>
          <w:tab w:val="left" w:pos="907"/>
        </w:tabs>
        <w:ind w:left="907" w:hanging="907"/>
      </w:pPr>
      <w:rPr>
        <w:rFonts w:hint="eastAsia"/>
        <w:b/>
      </w:rPr>
    </w:lvl>
    <w:lvl w:ilvl="1" w:tentative="0">
      <w:start w:val="1"/>
      <w:numFmt w:val="decimal"/>
      <w:isLgl/>
      <w:lvlText w:val="14.%2."/>
      <w:lvlJc w:val="left"/>
      <w:pPr>
        <w:tabs>
          <w:tab w:val="left" w:pos="907"/>
        </w:tabs>
        <w:ind w:left="907" w:hanging="907"/>
      </w:pPr>
      <w:rPr>
        <w:rFonts w:hint="default" w:ascii="宋体" w:hAnsi="宋体" w:eastAsia="宋体" w:cs="宋体"/>
        <w:b w:val="0"/>
      </w:rPr>
    </w:lvl>
    <w:lvl w:ilvl="2" w:tentative="0">
      <w:start w:val="1"/>
      <w:numFmt w:val="decimal"/>
      <w:lvlText w:val="14.%2.%3."/>
      <w:lvlJc w:val="left"/>
      <w:pPr>
        <w:tabs>
          <w:tab w:val="left" w:pos="907"/>
        </w:tabs>
        <w:ind w:left="907" w:hanging="907"/>
      </w:pPr>
      <w:rPr>
        <w:rFonts w:hint="default" w:ascii="宋体" w:hAnsi="宋体" w:eastAsia="宋体" w:cs="宋体"/>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8">
    <w:nsid w:val="29A13BAF"/>
    <w:multiLevelType w:val="multilevel"/>
    <w:tmpl w:val="29A13BAF"/>
    <w:lvl w:ilvl="0" w:tentative="0">
      <w:start w:val="1"/>
      <w:numFmt w:val="bullet"/>
      <w:lvlText w:val=""/>
      <w:lvlJc w:val="left"/>
      <w:pPr>
        <w:ind w:left="421" w:hanging="420"/>
      </w:pPr>
      <w:rPr>
        <w:rFonts w:hint="default" w:ascii="Wingdings" w:hAnsi="Wingdings"/>
      </w:rPr>
    </w:lvl>
    <w:lvl w:ilvl="1" w:tentative="0">
      <w:start w:val="1"/>
      <w:numFmt w:val="decimal"/>
      <w:lvlText w:val="%2、"/>
      <w:lvlJc w:val="left"/>
      <w:pPr>
        <w:ind w:left="786" w:hanging="360"/>
      </w:pPr>
      <w:rPr>
        <w:rFonts w:hint="default"/>
      </w:rPr>
    </w:lvl>
    <w:lvl w:ilvl="2" w:tentative="0">
      <w:start w:val="1"/>
      <w:numFmt w:val="japaneseCounting"/>
      <w:lvlText w:val="（%3）"/>
      <w:lvlJc w:val="left"/>
      <w:pPr>
        <w:ind w:left="1561" w:hanging="720"/>
      </w:pPr>
      <w:rPr>
        <w:rFonts w:hint="default"/>
      </w:rPr>
    </w:lvl>
    <w:lvl w:ilvl="3" w:tentative="0">
      <w:start w:val="1"/>
      <w:numFmt w:val="decimal"/>
      <w:lvlText w:val="%4."/>
      <w:lvlJc w:val="left"/>
      <w:pPr>
        <w:ind w:left="1681" w:hanging="420"/>
      </w:pPr>
    </w:lvl>
    <w:lvl w:ilvl="4" w:tentative="0">
      <w:start w:val="1"/>
      <w:numFmt w:val="lowerLetter"/>
      <w:lvlText w:val="%5)"/>
      <w:lvlJc w:val="left"/>
      <w:pPr>
        <w:ind w:left="2101" w:hanging="420"/>
      </w:pPr>
    </w:lvl>
    <w:lvl w:ilvl="5" w:tentative="0">
      <w:start w:val="1"/>
      <w:numFmt w:val="lowerRoman"/>
      <w:lvlText w:val="%6."/>
      <w:lvlJc w:val="right"/>
      <w:pPr>
        <w:ind w:left="2521" w:hanging="420"/>
      </w:pPr>
    </w:lvl>
    <w:lvl w:ilvl="6" w:tentative="0">
      <w:start w:val="1"/>
      <w:numFmt w:val="decimal"/>
      <w:lvlText w:val="%7."/>
      <w:lvlJc w:val="left"/>
      <w:pPr>
        <w:ind w:left="2941" w:hanging="420"/>
      </w:pPr>
    </w:lvl>
    <w:lvl w:ilvl="7" w:tentative="0">
      <w:start w:val="1"/>
      <w:numFmt w:val="lowerLetter"/>
      <w:lvlText w:val="%8)"/>
      <w:lvlJc w:val="left"/>
      <w:pPr>
        <w:ind w:left="3361" w:hanging="420"/>
      </w:pPr>
    </w:lvl>
    <w:lvl w:ilvl="8" w:tentative="0">
      <w:start w:val="1"/>
      <w:numFmt w:val="lowerRoman"/>
      <w:lvlText w:val="%9."/>
      <w:lvlJc w:val="right"/>
      <w:pPr>
        <w:ind w:left="3781" w:hanging="420"/>
      </w:pPr>
    </w:lvl>
  </w:abstractNum>
  <w:abstractNum w:abstractNumId="39">
    <w:nsid w:val="2C48416B"/>
    <w:multiLevelType w:val="multilevel"/>
    <w:tmpl w:val="2C48416B"/>
    <w:lvl w:ilvl="0" w:tentative="0">
      <w:start w:val="1"/>
      <w:numFmt w:val="decimal"/>
      <w:lvlText w:val="4.1.%1"/>
      <w:lvlJc w:val="left"/>
      <w:pPr>
        <w:tabs>
          <w:tab w:val="left" w:pos="907"/>
        </w:tabs>
        <w:ind w:left="907" w:hanging="907"/>
      </w:pPr>
      <w:rPr>
        <w:rFonts w:hint="default" w:ascii="宋体" w:hAnsi="宋体" w:eastAsia="宋体" w:cs="宋体"/>
        <w:b w:val="0"/>
      </w:rPr>
    </w:lvl>
    <w:lvl w:ilvl="1" w:tentative="0">
      <w:start w:val="1"/>
      <w:numFmt w:val="decimal"/>
      <w:lvlText w:val="6.2.%2"/>
      <w:lvlJc w:val="left"/>
      <w:pPr>
        <w:tabs>
          <w:tab w:val="left" w:pos="907"/>
        </w:tabs>
        <w:ind w:left="907" w:hanging="907"/>
      </w:pPr>
      <w:rPr>
        <w:rFonts w:hint="default" w:ascii="宋体" w:hAnsi="宋体" w:eastAsia="宋体" w:cs="宋体"/>
        <w:b w:val="0"/>
      </w:rPr>
    </w:lvl>
    <w:lvl w:ilvl="2" w:tentative="0">
      <w:start w:val="1"/>
      <w:numFmt w:val="decimal"/>
      <w:lvlText w:val="2.%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0">
    <w:nsid w:val="30954545"/>
    <w:multiLevelType w:val="singleLevel"/>
    <w:tmpl w:val="30954545"/>
    <w:lvl w:ilvl="0" w:tentative="0">
      <w:start w:val="1"/>
      <w:numFmt w:val="decimal"/>
      <w:suff w:val="nothing"/>
      <w:lvlText w:val="(%1)"/>
      <w:lvlJc w:val="left"/>
      <w:rPr>
        <w:rFonts w:hint="default"/>
        <w:b w:val="0"/>
        <w:bCs w:val="0"/>
      </w:rPr>
    </w:lvl>
  </w:abstractNum>
  <w:abstractNum w:abstractNumId="41">
    <w:nsid w:val="3165F6A4"/>
    <w:multiLevelType w:val="multilevel"/>
    <w:tmpl w:val="3165F6A4"/>
    <w:lvl w:ilvl="0" w:tentative="0">
      <w:start w:val="1"/>
      <w:numFmt w:val="decimal"/>
      <w:lvlText w:val="%1."/>
      <w:lvlJc w:val="left"/>
      <w:pPr>
        <w:tabs>
          <w:tab w:val="left" w:pos="907"/>
        </w:tabs>
        <w:ind w:left="907" w:hanging="907"/>
      </w:pPr>
      <w:rPr>
        <w:rFonts w:hint="eastAsia"/>
        <w:b/>
      </w:rPr>
    </w:lvl>
    <w:lvl w:ilvl="1" w:tentative="0">
      <w:start w:val="1"/>
      <w:numFmt w:val="decimal"/>
      <w:isLgl/>
      <w:lvlText w:val="26.%2."/>
      <w:lvlJc w:val="left"/>
      <w:pPr>
        <w:tabs>
          <w:tab w:val="left" w:pos="907"/>
        </w:tabs>
        <w:ind w:left="907" w:hanging="907"/>
      </w:pPr>
      <w:rPr>
        <w:rFonts w:hint="default" w:ascii="宋体" w:hAnsi="宋体" w:eastAsia="宋体" w:cs="宋体"/>
        <w:b w:val="0"/>
      </w:rPr>
    </w:lvl>
    <w:lvl w:ilvl="2" w:tentative="0">
      <w:start w:val="1"/>
      <w:numFmt w:val="decimal"/>
      <w:lvlText w:val="29.%2.%3."/>
      <w:lvlJc w:val="left"/>
      <w:pPr>
        <w:tabs>
          <w:tab w:val="left" w:pos="907"/>
        </w:tabs>
        <w:ind w:left="907" w:hanging="907"/>
      </w:pPr>
      <w:rPr>
        <w:rFonts w:hint="eastAsia"/>
      </w:rPr>
    </w:lvl>
    <w:lvl w:ilvl="3" w:tentative="0">
      <w:start w:val="1"/>
      <w:numFmt w:val="decimal"/>
      <w:lvlText w:val="29.1.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2">
    <w:nsid w:val="3E8846B6"/>
    <w:multiLevelType w:val="multilevel"/>
    <w:tmpl w:val="3E8846B6"/>
    <w:lvl w:ilvl="0" w:tentative="0">
      <w:start w:val="1"/>
      <w:numFmt w:val="decimal"/>
      <w:lvlText w:val="%1."/>
      <w:lvlJc w:val="left"/>
      <w:pPr>
        <w:tabs>
          <w:tab w:val="left" w:pos="907"/>
        </w:tabs>
        <w:ind w:left="907" w:hanging="907"/>
      </w:pPr>
      <w:rPr>
        <w:rFonts w:hint="eastAsia"/>
        <w:b/>
      </w:rPr>
    </w:lvl>
    <w:lvl w:ilvl="1" w:tentative="0">
      <w:start w:val="1"/>
      <w:numFmt w:val="decimal"/>
      <w:isLgl/>
      <w:lvlText w:val="25.%2."/>
      <w:lvlJc w:val="left"/>
      <w:pPr>
        <w:tabs>
          <w:tab w:val="left" w:pos="907"/>
        </w:tabs>
        <w:ind w:left="907" w:hanging="907"/>
      </w:pPr>
      <w:rPr>
        <w:rFonts w:hint="default" w:ascii="宋体" w:hAnsi="宋体" w:eastAsia="宋体" w:cs="宋体"/>
        <w:b w:val="0"/>
      </w:rPr>
    </w:lvl>
    <w:lvl w:ilvl="2" w:tentative="0">
      <w:start w:val="1"/>
      <w:numFmt w:val="decimal"/>
      <w:lvlText w:val="28.%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3">
    <w:nsid w:val="3F8DA08C"/>
    <w:multiLevelType w:val="multilevel"/>
    <w:tmpl w:val="3F8DA08C"/>
    <w:lvl w:ilvl="0" w:tentative="0">
      <w:start w:val="1"/>
      <w:numFmt w:val="decimal"/>
      <w:lvlText w:val="%1."/>
      <w:lvlJc w:val="left"/>
      <w:pPr>
        <w:tabs>
          <w:tab w:val="left" w:pos="907"/>
        </w:tabs>
        <w:ind w:left="907" w:hanging="907"/>
      </w:pPr>
      <w:rPr>
        <w:rFonts w:hint="default" w:ascii="宋体" w:hAnsi="宋体" w:eastAsia="宋体" w:cs="宋体"/>
        <w:b/>
      </w:rPr>
    </w:lvl>
    <w:lvl w:ilvl="1" w:tentative="0">
      <w:start w:val="1"/>
      <w:numFmt w:val="decimal"/>
      <w:isLgl/>
      <w:lvlText w:val="29.%2."/>
      <w:lvlJc w:val="left"/>
      <w:pPr>
        <w:tabs>
          <w:tab w:val="left" w:pos="907"/>
        </w:tabs>
        <w:ind w:left="907" w:hanging="907"/>
      </w:pPr>
      <w:rPr>
        <w:rFonts w:hint="default" w:ascii="宋体" w:hAnsi="宋体" w:eastAsia="宋体" w:cs="宋体"/>
        <w:b w:val="0"/>
      </w:rPr>
    </w:lvl>
    <w:lvl w:ilvl="2" w:tentative="0">
      <w:start w:val="1"/>
      <w:numFmt w:val="decimal"/>
      <w:lvlText w:val="31.1.%3."/>
      <w:lvlJc w:val="left"/>
      <w:pPr>
        <w:tabs>
          <w:tab w:val="left" w:pos="907"/>
        </w:tabs>
        <w:ind w:left="907" w:hanging="907"/>
      </w:pPr>
      <w:rPr>
        <w:rFonts w:hint="default" w:ascii="宋体" w:hAnsi="宋体" w:eastAsia="宋体" w:cs="宋体"/>
      </w:rPr>
    </w:lvl>
    <w:lvl w:ilvl="3" w:tentative="0">
      <w:start w:val="1"/>
      <w:numFmt w:val="decimal"/>
      <w:lvlText w:val="29.1.3.%4."/>
      <w:lvlJc w:val="left"/>
      <w:pPr>
        <w:tabs>
          <w:tab w:val="left" w:pos="907"/>
        </w:tabs>
        <w:ind w:left="907" w:hanging="907"/>
      </w:pPr>
      <w:rPr>
        <w:rFonts w:hint="default" w:ascii="宋体" w:hAnsi="宋体" w:eastAsia="宋体" w:cs="宋体"/>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4">
    <w:nsid w:val="401A4206"/>
    <w:multiLevelType w:val="multilevel"/>
    <w:tmpl w:val="401A4206"/>
    <w:lvl w:ilvl="0" w:tentative="0">
      <w:start w:val="1"/>
      <w:numFmt w:val="decimal"/>
      <w:lvlText w:val="%1."/>
      <w:lvlJc w:val="left"/>
      <w:pPr>
        <w:tabs>
          <w:tab w:val="left" w:pos="907"/>
        </w:tabs>
        <w:ind w:left="907" w:hanging="907"/>
      </w:pPr>
      <w:rPr>
        <w:rFonts w:hint="eastAsia"/>
        <w:b/>
      </w:rPr>
    </w:lvl>
    <w:lvl w:ilvl="1" w:tentative="0">
      <w:start w:val="1"/>
      <w:numFmt w:val="decimal"/>
      <w:isLgl/>
      <w:lvlText w:val="40.%2."/>
      <w:lvlJc w:val="left"/>
      <w:pPr>
        <w:tabs>
          <w:tab w:val="left" w:pos="907"/>
        </w:tabs>
        <w:ind w:left="907" w:hanging="907"/>
      </w:pPr>
      <w:rPr>
        <w:rFonts w:hint="default" w:ascii="宋体" w:hAnsi="宋体" w:eastAsia="宋体" w:cs="宋体"/>
        <w:b w:val="0"/>
      </w:rPr>
    </w:lvl>
    <w:lvl w:ilvl="2" w:tentative="0">
      <w:start w:val="1"/>
      <w:numFmt w:val="decimal"/>
      <w:lvlText w:val="28.%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5">
    <w:nsid w:val="48024D8F"/>
    <w:multiLevelType w:val="multilevel"/>
    <w:tmpl w:val="48024D8F"/>
    <w:lvl w:ilvl="0" w:tentative="0">
      <w:start w:val="1"/>
      <w:numFmt w:val="decimal"/>
      <w:lvlText w:val="%1."/>
      <w:lvlJc w:val="left"/>
      <w:pPr>
        <w:tabs>
          <w:tab w:val="left" w:pos="907"/>
        </w:tabs>
        <w:ind w:left="907" w:hanging="907"/>
      </w:pPr>
      <w:rPr>
        <w:rFonts w:hint="eastAsia"/>
        <w:b/>
      </w:rPr>
    </w:lvl>
    <w:lvl w:ilvl="1" w:tentative="0">
      <w:start w:val="1"/>
      <w:numFmt w:val="decimal"/>
      <w:isLgl/>
      <w:lvlText w:val="7.%2."/>
      <w:lvlJc w:val="left"/>
      <w:pPr>
        <w:tabs>
          <w:tab w:val="left" w:pos="907"/>
        </w:tabs>
        <w:ind w:left="907" w:hanging="907"/>
      </w:pPr>
      <w:rPr>
        <w:rFonts w:hint="default" w:ascii="宋体" w:hAnsi="宋体" w:eastAsia="宋体" w:cs="宋体"/>
        <w:b w:val="0"/>
      </w:rPr>
    </w:lvl>
    <w:lvl w:ilvl="2" w:tentative="0">
      <w:start w:val="1"/>
      <w:numFmt w:val="decimal"/>
      <w:lvlText w:val="2.%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6">
    <w:nsid w:val="495B9921"/>
    <w:multiLevelType w:val="singleLevel"/>
    <w:tmpl w:val="495B9921"/>
    <w:lvl w:ilvl="0" w:tentative="0">
      <w:start w:val="1"/>
      <w:numFmt w:val="decimal"/>
      <w:suff w:val="nothing"/>
      <w:lvlText w:val="%1、"/>
      <w:lvlJc w:val="left"/>
    </w:lvl>
  </w:abstractNum>
  <w:abstractNum w:abstractNumId="47">
    <w:nsid w:val="4A8B0558"/>
    <w:multiLevelType w:val="multilevel"/>
    <w:tmpl w:val="4A8B0558"/>
    <w:lvl w:ilvl="0" w:tentative="0">
      <w:start w:val="1"/>
      <w:numFmt w:val="decimal"/>
      <w:lvlText w:val="%1）"/>
      <w:lvlJc w:val="left"/>
      <w:pPr>
        <w:tabs>
          <w:tab w:val="left" w:pos="1920"/>
        </w:tabs>
        <w:ind w:left="192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8">
    <w:nsid w:val="4C56676A"/>
    <w:multiLevelType w:val="multilevel"/>
    <w:tmpl w:val="4C56676A"/>
    <w:lvl w:ilvl="0" w:tentative="0">
      <w:start w:val="1"/>
      <w:numFmt w:val="decimal"/>
      <w:lvlText w:val="19.%1"/>
      <w:lvlJc w:val="left"/>
      <w:pPr>
        <w:tabs>
          <w:tab w:val="left" w:pos="907"/>
        </w:tabs>
        <w:ind w:left="907" w:hanging="907"/>
      </w:pPr>
      <w:rPr>
        <w:rFonts w:hint="default" w:ascii="宋体" w:hAnsi="宋体" w:eastAsia="宋体" w:cs="宋体"/>
        <w:b w:val="0"/>
      </w:rPr>
    </w:lvl>
    <w:lvl w:ilvl="1" w:tentative="0">
      <w:start w:val="1"/>
      <w:numFmt w:val="decimal"/>
      <w:isLgl/>
      <w:lvlText w:val="19.%2."/>
      <w:lvlJc w:val="left"/>
      <w:pPr>
        <w:tabs>
          <w:tab w:val="left" w:pos="907"/>
        </w:tabs>
        <w:ind w:left="907" w:hanging="907"/>
      </w:pPr>
      <w:rPr>
        <w:rFonts w:hint="eastAsia" w:eastAsia="宋体"/>
        <w:b w:val="0"/>
      </w:rPr>
    </w:lvl>
    <w:lvl w:ilvl="2" w:tentative="0">
      <w:start w:val="1"/>
      <w:numFmt w:val="decimal"/>
      <w:lvlText w:val="17.%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9">
    <w:nsid w:val="4D4FE455"/>
    <w:multiLevelType w:val="multilevel"/>
    <w:tmpl w:val="4D4FE455"/>
    <w:lvl w:ilvl="0" w:tentative="0">
      <w:start w:val="1"/>
      <w:numFmt w:val="decimal"/>
      <w:lvlText w:val="%1."/>
      <w:lvlJc w:val="left"/>
      <w:pPr>
        <w:tabs>
          <w:tab w:val="left" w:pos="907"/>
        </w:tabs>
        <w:ind w:left="907" w:hanging="907"/>
      </w:pPr>
      <w:rPr>
        <w:rFonts w:hint="eastAsia"/>
        <w:b/>
      </w:rPr>
    </w:lvl>
    <w:lvl w:ilvl="1" w:tentative="0">
      <w:start w:val="1"/>
      <w:numFmt w:val="decimal"/>
      <w:isLgl/>
      <w:lvlText w:val="16.%2."/>
      <w:lvlJc w:val="left"/>
      <w:pPr>
        <w:tabs>
          <w:tab w:val="left" w:pos="907"/>
        </w:tabs>
        <w:ind w:left="907" w:hanging="907"/>
      </w:pPr>
      <w:rPr>
        <w:rFonts w:hint="default" w:ascii="宋体" w:hAnsi="宋体" w:eastAsia="宋体" w:cs="宋体"/>
        <w:b w:val="0"/>
      </w:rPr>
    </w:lvl>
    <w:lvl w:ilvl="2" w:tentative="0">
      <w:start w:val="1"/>
      <w:numFmt w:val="decimal"/>
      <w:lvlText w:val="17.%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50">
    <w:nsid w:val="57FDEF10"/>
    <w:multiLevelType w:val="multilevel"/>
    <w:tmpl w:val="57FDEF10"/>
    <w:lvl w:ilvl="0" w:tentative="0">
      <w:start w:val="1"/>
      <w:numFmt w:val="decimal"/>
      <w:lvlText w:val="24.4.%1"/>
      <w:lvlJc w:val="left"/>
      <w:pPr>
        <w:ind w:left="425" w:hanging="425"/>
      </w:pPr>
      <w:rPr>
        <w:rFonts w:hint="default" w:ascii="宋体" w:hAnsi="宋体" w:eastAsia="宋体" w:cs="宋体"/>
        <w:w w:val="100"/>
        <w:lang w:val="zh-CN" w:eastAsia="zh-CN" w:bidi="zh-CN"/>
      </w:rPr>
    </w:lvl>
    <w:lvl w:ilvl="1" w:tentative="0">
      <w:start w:val="1"/>
      <w:numFmt w:val="decimal"/>
      <w:lvlText w:val="%1.%2."/>
      <w:lvlJc w:val="left"/>
      <w:pPr>
        <w:ind w:left="566" w:hanging="567"/>
      </w:pPr>
      <w:rPr>
        <w:rFonts w:hint="default"/>
        <w:w w:val="100"/>
        <w:lang w:val="zh-CN" w:eastAsia="zh-CN" w:bidi="zh-CN"/>
      </w:rPr>
    </w:lvl>
    <w:lvl w:ilvl="2" w:tentative="0">
      <w:start w:val="1"/>
      <w:numFmt w:val="decimal"/>
      <w:lvlText w:val="27.2.%3"/>
      <w:lvlJc w:val="left"/>
      <w:pPr>
        <w:ind w:left="708" w:hanging="567"/>
      </w:pPr>
      <w:rPr>
        <w:rFonts w:hint="default" w:ascii="宋体" w:hAnsi="宋体" w:eastAsia="宋体" w:cs="宋体"/>
        <w:w w:val="100"/>
        <w:sz w:val="21"/>
        <w:szCs w:val="21"/>
        <w:lang w:val="zh-CN" w:eastAsia="zh-CN" w:bidi="zh-CN"/>
      </w:rPr>
    </w:lvl>
    <w:lvl w:ilvl="3" w:tentative="0">
      <w:start w:val="0"/>
      <w:numFmt w:val="bullet"/>
      <w:lvlText w:val="•"/>
      <w:lvlJc w:val="left"/>
      <w:pPr>
        <w:ind w:left="1850" w:hanging="567"/>
      </w:pPr>
      <w:rPr>
        <w:rFonts w:hint="default"/>
        <w:lang w:val="zh-CN" w:eastAsia="zh-CN" w:bidi="zh-CN"/>
      </w:rPr>
    </w:lvl>
    <w:lvl w:ilvl="4" w:tentative="0">
      <w:start w:val="0"/>
      <w:numFmt w:val="bullet"/>
      <w:lvlText w:val="•"/>
      <w:lvlJc w:val="left"/>
      <w:pPr>
        <w:ind w:left="3001" w:hanging="567"/>
      </w:pPr>
      <w:rPr>
        <w:rFonts w:hint="default"/>
        <w:lang w:val="zh-CN" w:eastAsia="zh-CN" w:bidi="zh-CN"/>
      </w:rPr>
    </w:lvl>
    <w:lvl w:ilvl="5" w:tentative="0">
      <w:start w:val="0"/>
      <w:numFmt w:val="bullet"/>
      <w:lvlText w:val="•"/>
      <w:lvlJc w:val="left"/>
      <w:pPr>
        <w:ind w:left="4152" w:hanging="567"/>
      </w:pPr>
      <w:rPr>
        <w:rFonts w:hint="default"/>
        <w:lang w:val="zh-CN" w:eastAsia="zh-CN" w:bidi="zh-CN"/>
      </w:rPr>
    </w:lvl>
    <w:lvl w:ilvl="6" w:tentative="0">
      <w:start w:val="0"/>
      <w:numFmt w:val="bullet"/>
      <w:lvlText w:val="•"/>
      <w:lvlJc w:val="left"/>
      <w:pPr>
        <w:ind w:left="5303" w:hanging="567"/>
      </w:pPr>
      <w:rPr>
        <w:rFonts w:hint="default"/>
        <w:lang w:val="zh-CN" w:eastAsia="zh-CN" w:bidi="zh-CN"/>
      </w:rPr>
    </w:lvl>
    <w:lvl w:ilvl="7" w:tentative="0">
      <w:start w:val="0"/>
      <w:numFmt w:val="bullet"/>
      <w:lvlText w:val="•"/>
      <w:lvlJc w:val="left"/>
      <w:pPr>
        <w:ind w:left="6454" w:hanging="567"/>
      </w:pPr>
      <w:rPr>
        <w:rFonts w:hint="default"/>
        <w:lang w:val="zh-CN" w:eastAsia="zh-CN" w:bidi="zh-CN"/>
      </w:rPr>
    </w:lvl>
    <w:lvl w:ilvl="8" w:tentative="0">
      <w:start w:val="0"/>
      <w:numFmt w:val="bullet"/>
      <w:lvlText w:val="•"/>
      <w:lvlJc w:val="left"/>
      <w:pPr>
        <w:ind w:left="7604" w:hanging="567"/>
      </w:pPr>
      <w:rPr>
        <w:rFonts w:hint="default"/>
        <w:lang w:val="zh-CN" w:eastAsia="zh-CN" w:bidi="zh-CN"/>
      </w:rPr>
    </w:lvl>
  </w:abstractNum>
  <w:abstractNum w:abstractNumId="51">
    <w:nsid w:val="6639293E"/>
    <w:multiLevelType w:val="multilevel"/>
    <w:tmpl w:val="6639293E"/>
    <w:lvl w:ilvl="0" w:tentative="0">
      <w:start w:val="1"/>
      <w:numFmt w:val="decimal"/>
      <w:lvlText w:val="%1."/>
      <w:lvlJc w:val="left"/>
      <w:pPr>
        <w:tabs>
          <w:tab w:val="left" w:pos="907"/>
        </w:tabs>
        <w:ind w:left="907" w:hanging="907"/>
      </w:pPr>
      <w:rPr>
        <w:rFonts w:hint="eastAsia"/>
        <w:b/>
      </w:rPr>
    </w:lvl>
    <w:lvl w:ilvl="1" w:tentative="0">
      <w:start w:val="1"/>
      <w:numFmt w:val="decimal"/>
      <w:isLgl/>
      <w:lvlText w:val="24.%2."/>
      <w:lvlJc w:val="left"/>
      <w:pPr>
        <w:tabs>
          <w:tab w:val="left" w:pos="907"/>
        </w:tabs>
        <w:ind w:left="907" w:hanging="907"/>
      </w:pPr>
      <w:rPr>
        <w:rFonts w:hint="default" w:ascii="宋体" w:hAnsi="宋体" w:eastAsia="宋体" w:cs="宋体"/>
        <w:b w:val="0"/>
      </w:rPr>
    </w:lvl>
    <w:lvl w:ilvl="2" w:tentative="0">
      <w:start w:val="1"/>
      <w:numFmt w:val="decimal"/>
      <w:lvlText w:val="17.%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52">
    <w:nsid w:val="671913AA"/>
    <w:multiLevelType w:val="multilevel"/>
    <w:tmpl w:val="671913AA"/>
    <w:lvl w:ilvl="0" w:tentative="0">
      <w:start w:val="1"/>
      <w:numFmt w:val="decimal"/>
      <w:lvlText w:val="%1."/>
      <w:lvlJc w:val="left"/>
      <w:pPr>
        <w:tabs>
          <w:tab w:val="left" w:pos="907"/>
        </w:tabs>
        <w:ind w:left="907" w:hanging="907"/>
      </w:pPr>
      <w:rPr>
        <w:rFonts w:hint="default" w:ascii="宋体" w:hAnsi="宋体" w:eastAsia="宋体" w:cs="宋体"/>
        <w:b/>
      </w:rPr>
    </w:lvl>
    <w:lvl w:ilvl="1" w:tentative="0">
      <w:start w:val="1"/>
      <w:numFmt w:val="decimal"/>
      <w:isLgl/>
      <w:lvlText w:val="29.%2."/>
      <w:lvlJc w:val="left"/>
      <w:pPr>
        <w:tabs>
          <w:tab w:val="left" w:pos="907"/>
        </w:tabs>
        <w:ind w:left="907" w:hanging="907"/>
      </w:pPr>
      <w:rPr>
        <w:rFonts w:hint="default" w:ascii="宋体" w:hAnsi="宋体" w:eastAsia="宋体" w:cs="宋体"/>
        <w:b w:val="0"/>
      </w:rPr>
    </w:lvl>
    <w:lvl w:ilvl="2" w:tentative="0">
      <w:start w:val="1"/>
      <w:numFmt w:val="decimal"/>
      <w:lvlText w:val="31.3.%3."/>
      <w:lvlJc w:val="left"/>
      <w:pPr>
        <w:tabs>
          <w:tab w:val="left" w:pos="907"/>
        </w:tabs>
        <w:ind w:left="907" w:hanging="907"/>
      </w:pPr>
      <w:rPr>
        <w:rFonts w:hint="default" w:ascii="宋体" w:hAnsi="宋体" w:eastAsia="宋体" w:cs="宋体"/>
      </w:rPr>
    </w:lvl>
    <w:lvl w:ilvl="3" w:tentative="0">
      <w:start w:val="1"/>
      <w:numFmt w:val="decimal"/>
      <w:lvlText w:val="29.1.3.%4."/>
      <w:lvlJc w:val="left"/>
      <w:pPr>
        <w:tabs>
          <w:tab w:val="left" w:pos="907"/>
        </w:tabs>
        <w:ind w:left="907" w:hanging="907"/>
      </w:pPr>
      <w:rPr>
        <w:rFonts w:hint="default" w:ascii="宋体" w:hAnsi="宋体" w:eastAsia="宋体" w:cs="宋体"/>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53">
    <w:nsid w:val="67CD9943"/>
    <w:multiLevelType w:val="multilevel"/>
    <w:tmpl w:val="67CD9943"/>
    <w:lvl w:ilvl="0" w:tentative="0">
      <w:start w:val="1"/>
      <w:numFmt w:val="decimal"/>
      <w:lvlText w:val="23.1.%1"/>
      <w:lvlJc w:val="left"/>
      <w:pPr>
        <w:tabs>
          <w:tab w:val="left" w:pos="907"/>
        </w:tabs>
        <w:ind w:left="907" w:hanging="907"/>
      </w:pPr>
      <w:rPr>
        <w:rFonts w:hint="default" w:ascii="宋体" w:hAnsi="宋体" w:eastAsia="宋体" w:cs="宋体"/>
        <w:b w:val="0"/>
      </w:rPr>
    </w:lvl>
    <w:lvl w:ilvl="1" w:tentative="0">
      <w:start w:val="1"/>
      <w:numFmt w:val="decimal"/>
      <w:isLgl/>
      <w:lvlText w:val="27.%2."/>
      <w:lvlJc w:val="left"/>
      <w:pPr>
        <w:tabs>
          <w:tab w:val="left" w:pos="907"/>
        </w:tabs>
        <w:ind w:left="907" w:hanging="907"/>
      </w:pPr>
      <w:rPr>
        <w:rFonts w:hint="eastAsia" w:eastAsia="宋体"/>
        <w:b w:val="0"/>
      </w:rPr>
    </w:lvl>
    <w:lvl w:ilvl="2" w:tentative="0">
      <w:start w:val="1"/>
      <w:numFmt w:val="decimal"/>
      <w:lvlText w:val="17.%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54">
    <w:nsid w:val="6CE7ABAE"/>
    <w:multiLevelType w:val="singleLevel"/>
    <w:tmpl w:val="6CE7ABAE"/>
    <w:lvl w:ilvl="0" w:tentative="0">
      <w:start w:val="2"/>
      <w:numFmt w:val="decimal"/>
      <w:suff w:val="nothing"/>
      <w:lvlText w:val="%1、"/>
      <w:lvlJc w:val="left"/>
    </w:lvl>
  </w:abstractNum>
  <w:abstractNum w:abstractNumId="55">
    <w:nsid w:val="71BCB1A9"/>
    <w:multiLevelType w:val="multilevel"/>
    <w:tmpl w:val="71BCB1A9"/>
    <w:lvl w:ilvl="0" w:tentative="0">
      <w:start w:val="1"/>
      <w:numFmt w:val="decimal"/>
      <w:lvlText w:val="28.1.%1"/>
      <w:lvlJc w:val="left"/>
      <w:pPr>
        <w:tabs>
          <w:tab w:val="left" w:pos="907"/>
        </w:tabs>
        <w:ind w:left="907" w:hanging="907"/>
      </w:pPr>
      <w:rPr>
        <w:rFonts w:hint="default" w:ascii="宋体" w:hAnsi="宋体" w:eastAsia="宋体" w:cs="宋体"/>
        <w:b w:val="0"/>
      </w:rPr>
    </w:lvl>
    <w:lvl w:ilvl="1" w:tentative="0">
      <w:start w:val="1"/>
      <w:numFmt w:val="decimal"/>
      <w:isLgl/>
      <w:lvlText w:val="23.%2."/>
      <w:lvlJc w:val="left"/>
      <w:pPr>
        <w:tabs>
          <w:tab w:val="left" w:pos="907"/>
        </w:tabs>
        <w:ind w:left="907" w:hanging="907"/>
      </w:pPr>
      <w:rPr>
        <w:rFonts w:hint="eastAsia" w:eastAsia="宋体" w:cs="宋体"/>
        <w:b w:val="0"/>
      </w:rPr>
    </w:lvl>
    <w:lvl w:ilvl="2" w:tentative="0">
      <w:start w:val="1"/>
      <w:numFmt w:val="decimal"/>
      <w:lvlText w:val="17.%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56">
    <w:nsid w:val="74A59161"/>
    <w:multiLevelType w:val="multilevel"/>
    <w:tmpl w:val="74A59161"/>
    <w:lvl w:ilvl="0" w:tentative="0">
      <w:start w:val="1"/>
      <w:numFmt w:val="decimal"/>
      <w:lvlText w:val="%1."/>
      <w:lvlJc w:val="left"/>
      <w:pPr>
        <w:tabs>
          <w:tab w:val="left" w:pos="907"/>
        </w:tabs>
        <w:ind w:left="907" w:hanging="907"/>
      </w:pPr>
      <w:rPr>
        <w:rFonts w:hint="eastAsia"/>
        <w:b/>
      </w:rPr>
    </w:lvl>
    <w:lvl w:ilvl="1" w:tentative="0">
      <w:start w:val="1"/>
      <w:numFmt w:val="decimal"/>
      <w:isLgl/>
      <w:lvlText w:val="15.%2."/>
      <w:lvlJc w:val="left"/>
      <w:pPr>
        <w:tabs>
          <w:tab w:val="left" w:pos="907"/>
        </w:tabs>
        <w:ind w:left="907" w:hanging="907"/>
      </w:pPr>
      <w:rPr>
        <w:rFonts w:hint="default" w:ascii="宋体" w:hAnsi="宋体" w:eastAsia="宋体" w:cs="宋体"/>
        <w:b w:val="0"/>
      </w:rPr>
    </w:lvl>
    <w:lvl w:ilvl="2" w:tentative="0">
      <w:start w:val="1"/>
      <w:numFmt w:val="decimal"/>
      <w:lvlText w:val="15.%2.%3."/>
      <w:lvlJc w:val="left"/>
      <w:pPr>
        <w:tabs>
          <w:tab w:val="left" w:pos="907"/>
        </w:tabs>
        <w:ind w:left="907" w:hanging="907"/>
      </w:pPr>
      <w:rPr>
        <w:rFonts w:hint="default" w:ascii="宋体" w:hAnsi="宋体" w:eastAsia="宋体" w:cs="宋体"/>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57">
    <w:nsid w:val="7E212080"/>
    <w:multiLevelType w:val="multilevel"/>
    <w:tmpl w:val="7E212080"/>
    <w:lvl w:ilvl="0" w:tentative="0">
      <w:start w:val="1"/>
      <w:numFmt w:val="decimal"/>
      <w:lvlText w:val="%1."/>
      <w:lvlJc w:val="left"/>
      <w:pPr>
        <w:tabs>
          <w:tab w:val="left" w:pos="907"/>
        </w:tabs>
        <w:ind w:left="907" w:hanging="907"/>
      </w:pPr>
      <w:rPr>
        <w:rFonts w:hint="eastAsia"/>
        <w:b/>
      </w:rPr>
    </w:lvl>
    <w:lvl w:ilvl="1" w:tentative="0">
      <w:start w:val="1"/>
      <w:numFmt w:val="decimal"/>
      <w:isLgl/>
      <w:lvlText w:val="35.%2."/>
      <w:lvlJc w:val="left"/>
      <w:pPr>
        <w:tabs>
          <w:tab w:val="left" w:pos="907"/>
        </w:tabs>
        <w:ind w:left="907" w:hanging="907"/>
      </w:pPr>
      <w:rPr>
        <w:rFonts w:hint="default" w:ascii="宋体" w:hAnsi="宋体" w:eastAsia="宋体" w:cs="宋体"/>
        <w:b w:val="0"/>
      </w:rPr>
    </w:lvl>
    <w:lvl w:ilvl="2" w:tentative="0">
      <w:start w:val="1"/>
      <w:numFmt w:val="decimal"/>
      <w:lvlText w:val="28.%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54"/>
  </w:num>
  <w:num w:numId="2">
    <w:abstractNumId w:val="30"/>
  </w:num>
  <w:num w:numId="3">
    <w:abstractNumId w:val="38"/>
  </w:num>
  <w:num w:numId="4">
    <w:abstractNumId w:val="32"/>
  </w:num>
  <w:num w:numId="5">
    <w:abstractNumId w:val="36"/>
  </w:num>
  <w:num w:numId="6">
    <w:abstractNumId w:val="31"/>
  </w:num>
  <w:num w:numId="7">
    <w:abstractNumId w:val="39"/>
  </w:num>
  <w:num w:numId="8">
    <w:abstractNumId w:val="10"/>
  </w:num>
  <w:num w:numId="9">
    <w:abstractNumId w:val="45"/>
  </w:num>
  <w:num w:numId="10">
    <w:abstractNumId w:val="0"/>
  </w:num>
  <w:num w:numId="11">
    <w:abstractNumId w:val="7"/>
  </w:num>
  <w:num w:numId="12">
    <w:abstractNumId w:val="15"/>
  </w:num>
  <w:num w:numId="13">
    <w:abstractNumId w:val="37"/>
  </w:num>
  <w:num w:numId="14">
    <w:abstractNumId w:val="56"/>
  </w:num>
  <w:num w:numId="15">
    <w:abstractNumId w:val="49"/>
  </w:num>
  <w:num w:numId="16">
    <w:abstractNumId w:val="23"/>
  </w:num>
  <w:num w:numId="17">
    <w:abstractNumId w:val="1"/>
  </w:num>
  <w:num w:numId="18">
    <w:abstractNumId w:val="48"/>
  </w:num>
  <w:num w:numId="19">
    <w:abstractNumId w:val="8"/>
  </w:num>
  <w:num w:numId="20">
    <w:abstractNumId w:val="9"/>
  </w:num>
  <w:num w:numId="21">
    <w:abstractNumId w:val="12"/>
  </w:num>
  <w:num w:numId="22">
    <w:abstractNumId w:val="55"/>
  </w:num>
  <w:num w:numId="23">
    <w:abstractNumId w:val="53"/>
  </w:num>
  <w:num w:numId="24">
    <w:abstractNumId w:val="51"/>
  </w:num>
  <w:num w:numId="25">
    <w:abstractNumId w:val="50"/>
  </w:num>
  <w:num w:numId="26">
    <w:abstractNumId w:val="42"/>
  </w:num>
  <w:num w:numId="27">
    <w:abstractNumId w:val="41"/>
  </w:num>
  <w:num w:numId="28">
    <w:abstractNumId w:val="29"/>
  </w:num>
  <w:num w:numId="29">
    <w:abstractNumId w:val="5"/>
  </w:num>
  <w:num w:numId="30">
    <w:abstractNumId w:val="34"/>
  </w:num>
  <w:num w:numId="31">
    <w:abstractNumId w:val="26"/>
  </w:num>
  <w:num w:numId="32">
    <w:abstractNumId w:val="35"/>
  </w:num>
  <w:num w:numId="33">
    <w:abstractNumId w:val="25"/>
  </w:num>
  <w:num w:numId="34">
    <w:abstractNumId w:val="22"/>
  </w:num>
  <w:num w:numId="35">
    <w:abstractNumId w:val="43"/>
  </w:num>
  <w:num w:numId="36">
    <w:abstractNumId w:val="20"/>
  </w:num>
  <w:num w:numId="37">
    <w:abstractNumId w:val="52"/>
  </w:num>
  <w:num w:numId="38">
    <w:abstractNumId w:val="14"/>
  </w:num>
  <w:num w:numId="39">
    <w:abstractNumId w:val="6"/>
  </w:num>
  <w:num w:numId="40">
    <w:abstractNumId w:val="4"/>
  </w:num>
  <w:num w:numId="41">
    <w:abstractNumId w:val="16"/>
  </w:num>
  <w:num w:numId="42">
    <w:abstractNumId w:val="28"/>
  </w:num>
  <w:num w:numId="43">
    <w:abstractNumId w:val="47"/>
  </w:num>
  <w:num w:numId="44">
    <w:abstractNumId w:val="57"/>
  </w:num>
  <w:num w:numId="45">
    <w:abstractNumId w:val="2"/>
  </w:num>
  <w:num w:numId="46">
    <w:abstractNumId w:val="21"/>
  </w:num>
  <w:num w:numId="47">
    <w:abstractNumId w:val="18"/>
  </w:num>
  <w:num w:numId="48">
    <w:abstractNumId w:val="24"/>
  </w:num>
  <w:num w:numId="49">
    <w:abstractNumId w:val="44"/>
  </w:num>
  <w:num w:numId="50">
    <w:abstractNumId w:val="27"/>
  </w:num>
  <w:num w:numId="51">
    <w:abstractNumId w:val="17"/>
  </w:num>
  <w:num w:numId="52">
    <w:abstractNumId w:val="3"/>
  </w:num>
  <w:num w:numId="53">
    <w:abstractNumId w:val="13"/>
  </w:num>
  <w:num w:numId="54">
    <w:abstractNumId w:val="33"/>
  </w:num>
  <w:num w:numId="55">
    <w:abstractNumId w:val="11"/>
  </w:num>
  <w:num w:numId="56">
    <w:abstractNumId w:val="40"/>
  </w:num>
  <w:num w:numId="57">
    <w:abstractNumId w:val="19"/>
  </w:num>
  <w:num w:numId="58">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HorizontalSpacing w:val="210"/>
  <w:drawingGridVerticalSpacing w:val="-794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M4Y2UzYzhjZmU1OTg3ZDU3NjNkYTJjMTMxNGJkZjMifQ=="/>
    <w:docVar w:name="KSO_WPS_MARK_KEY" w:val="0049fd8d-ec39-492d-9389-813d853fb3ec"/>
  </w:docVars>
  <w:rsids>
    <w:rsidRoot w:val="004D745D"/>
    <w:rsid w:val="0002561E"/>
    <w:rsid w:val="000268AB"/>
    <w:rsid w:val="00040642"/>
    <w:rsid w:val="00062C58"/>
    <w:rsid w:val="000630E8"/>
    <w:rsid w:val="000755AA"/>
    <w:rsid w:val="000A1C5F"/>
    <w:rsid w:val="000D1780"/>
    <w:rsid w:val="000F7605"/>
    <w:rsid w:val="00124A8F"/>
    <w:rsid w:val="00131EFB"/>
    <w:rsid w:val="001445B4"/>
    <w:rsid w:val="00195545"/>
    <w:rsid w:val="002039FE"/>
    <w:rsid w:val="002232B4"/>
    <w:rsid w:val="002520CC"/>
    <w:rsid w:val="00255931"/>
    <w:rsid w:val="00271920"/>
    <w:rsid w:val="003916CF"/>
    <w:rsid w:val="003A52DA"/>
    <w:rsid w:val="003F6C93"/>
    <w:rsid w:val="004243B5"/>
    <w:rsid w:val="004B71AB"/>
    <w:rsid w:val="004B7BE0"/>
    <w:rsid w:val="004D4324"/>
    <w:rsid w:val="004D745D"/>
    <w:rsid w:val="005140A0"/>
    <w:rsid w:val="00536F1D"/>
    <w:rsid w:val="005A18F3"/>
    <w:rsid w:val="005D7312"/>
    <w:rsid w:val="00636825"/>
    <w:rsid w:val="006A122F"/>
    <w:rsid w:val="006A1773"/>
    <w:rsid w:val="006C5C9E"/>
    <w:rsid w:val="0075366B"/>
    <w:rsid w:val="007538CE"/>
    <w:rsid w:val="007C1288"/>
    <w:rsid w:val="00831EB2"/>
    <w:rsid w:val="0086078F"/>
    <w:rsid w:val="00883C54"/>
    <w:rsid w:val="009A078B"/>
    <w:rsid w:val="009A6B48"/>
    <w:rsid w:val="009F2A63"/>
    <w:rsid w:val="00A11027"/>
    <w:rsid w:val="00A338A6"/>
    <w:rsid w:val="00A4483F"/>
    <w:rsid w:val="00A758B8"/>
    <w:rsid w:val="00AC7EC5"/>
    <w:rsid w:val="00AD63BD"/>
    <w:rsid w:val="00B24090"/>
    <w:rsid w:val="00B62A93"/>
    <w:rsid w:val="00B95B2D"/>
    <w:rsid w:val="00BC3E67"/>
    <w:rsid w:val="00BF50F3"/>
    <w:rsid w:val="00C01EBD"/>
    <w:rsid w:val="00C106BE"/>
    <w:rsid w:val="00C16B46"/>
    <w:rsid w:val="00C33D60"/>
    <w:rsid w:val="00CA2485"/>
    <w:rsid w:val="00CC41B7"/>
    <w:rsid w:val="00CF1D1F"/>
    <w:rsid w:val="00D2762D"/>
    <w:rsid w:val="00D37E42"/>
    <w:rsid w:val="00D44368"/>
    <w:rsid w:val="00D931B2"/>
    <w:rsid w:val="00DD0E0A"/>
    <w:rsid w:val="00E35776"/>
    <w:rsid w:val="00EA0245"/>
    <w:rsid w:val="00EB23BF"/>
    <w:rsid w:val="00EF38D6"/>
    <w:rsid w:val="00F3014A"/>
    <w:rsid w:val="00F77098"/>
    <w:rsid w:val="00F96F6D"/>
    <w:rsid w:val="011D29D3"/>
    <w:rsid w:val="01585B53"/>
    <w:rsid w:val="01AE0890"/>
    <w:rsid w:val="01E21263"/>
    <w:rsid w:val="01FD4B08"/>
    <w:rsid w:val="020A1A6F"/>
    <w:rsid w:val="020A3493"/>
    <w:rsid w:val="022402D8"/>
    <w:rsid w:val="028B69D5"/>
    <w:rsid w:val="02B7380B"/>
    <w:rsid w:val="02C74C71"/>
    <w:rsid w:val="02D63DA2"/>
    <w:rsid w:val="032C04DE"/>
    <w:rsid w:val="039B6A7A"/>
    <w:rsid w:val="039D29C7"/>
    <w:rsid w:val="03B44D43"/>
    <w:rsid w:val="03C42B10"/>
    <w:rsid w:val="03D1540B"/>
    <w:rsid w:val="04284DF7"/>
    <w:rsid w:val="045A4620"/>
    <w:rsid w:val="04934A97"/>
    <w:rsid w:val="04BA0D70"/>
    <w:rsid w:val="04C81EB4"/>
    <w:rsid w:val="04E86B91"/>
    <w:rsid w:val="052B7D68"/>
    <w:rsid w:val="052E063C"/>
    <w:rsid w:val="052E4DBA"/>
    <w:rsid w:val="053510ED"/>
    <w:rsid w:val="053C7EE8"/>
    <w:rsid w:val="05BB1EF6"/>
    <w:rsid w:val="05DD405D"/>
    <w:rsid w:val="0619721E"/>
    <w:rsid w:val="062B6BB0"/>
    <w:rsid w:val="064C3C4E"/>
    <w:rsid w:val="065A4F71"/>
    <w:rsid w:val="06BE5447"/>
    <w:rsid w:val="06F92A76"/>
    <w:rsid w:val="0734362F"/>
    <w:rsid w:val="084618E3"/>
    <w:rsid w:val="08813251"/>
    <w:rsid w:val="088338E8"/>
    <w:rsid w:val="08B96BD8"/>
    <w:rsid w:val="091B45C5"/>
    <w:rsid w:val="091B505B"/>
    <w:rsid w:val="09241EA7"/>
    <w:rsid w:val="09710ACA"/>
    <w:rsid w:val="09866FB3"/>
    <w:rsid w:val="099459C5"/>
    <w:rsid w:val="09BC676A"/>
    <w:rsid w:val="09BD0AC3"/>
    <w:rsid w:val="09F75AC8"/>
    <w:rsid w:val="0A2A15BD"/>
    <w:rsid w:val="0A2D5F61"/>
    <w:rsid w:val="0AA365D4"/>
    <w:rsid w:val="0AAC68B2"/>
    <w:rsid w:val="0ADD2F10"/>
    <w:rsid w:val="0ADD43C6"/>
    <w:rsid w:val="0B29656B"/>
    <w:rsid w:val="0B5C2B1E"/>
    <w:rsid w:val="0B5D1218"/>
    <w:rsid w:val="0B6C4C4F"/>
    <w:rsid w:val="0BBA6DAD"/>
    <w:rsid w:val="0BD61FD8"/>
    <w:rsid w:val="0BDB7443"/>
    <w:rsid w:val="0C231BE3"/>
    <w:rsid w:val="0C3274C0"/>
    <w:rsid w:val="0C562952"/>
    <w:rsid w:val="0C9C64B3"/>
    <w:rsid w:val="0D103128"/>
    <w:rsid w:val="0D4F196D"/>
    <w:rsid w:val="0D50335E"/>
    <w:rsid w:val="0D807ECA"/>
    <w:rsid w:val="0DAA3099"/>
    <w:rsid w:val="0DEC55AB"/>
    <w:rsid w:val="0DF769B1"/>
    <w:rsid w:val="0E230C39"/>
    <w:rsid w:val="0EB421D9"/>
    <w:rsid w:val="0EB45D35"/>
    <w:rsid w:val="0EEB675D"/>
    <w:rsid w:val="0EF32D02"/>
    <w:rsid w:val="0EFD09D9"/>
    <w:rsid w:val="0F21471A"/>
    <w:rsid w:val="0F37538B"/>
    <w:rsid w:val="0FA1458E"/>
    <w:rsid w:val="0FAE4599"/>
    <w:rsid w:val="0FC71A98"/>
    <w:rsid w:val="0FCC570D"/>
    <w:rsid w:val="0FCD5301"/>
    <w:rsid w:val="0FEE5277"/>
    <w:rsid w:val="10581D7E"/>
    <w:rsid w:val="10C52A4F"/>
    <w:rsid w:val="10CA581C"/>
    <w:rsid w:val="113969C6"/>
    <w:rsid w:val="11771132"/>
    <w:rsid w:val="117B184C"/>
    <w:rsid w:val="1186727F"/>
    <w:rsid w:val="11A62133"/>
    <w:rsid w:val="1222036C"/>
    <w:rsid w:val="125300E4"/>
    <w:rsid w:val="12695089"/>
    <w:rsid w:val="12737232"/>
    <w:rsid w:val="12833431"/>
    <w:rsid w:val="129739A4"/>
    <w:rsid w:val="129F1877"/>
    <w:rsid w:val="13024DEA"/>
    <w:rsid w:val="1307145F"/>
    <w:rsid w:val="1331143C"/>
    <w:rsid w:val="134B39F9"/>
    <w:rsid w:val="13795061"/>
    <w:rsid w:val="13B77AAE"/>
    <w:rsid w:val="13DC7AA5"/>
    <w:rsid w:val="1413180E"/>
    <w:rsid w:val="144933C4"/>
    <w:rsid w:val="14B35AE2"/>
    <w:rsid w:val="14D2098F"/>
    <w:rsid w:val="14D94748"/>
    <w:rsid w:val="15194501"/>
    <w:rsid w:val="151A7A0E"/>
    <w:rsid w:val="15CF32C4"/>
    <w:rsid w:val="15EC1502"/>
    <w:rsid w:val="15ED0C83"/>
    <w:rsid w:val="164D4226"/>
    <w:rsid w:val="16BB21F0"/>
    <w:rsid w:val="16C65BD4"/>
    <w:rsid w:val="16D40DE1"/>
    <w:rsid w:val="16D50F3F"/>
    <w:rsid w:val="16EA2E29"/>
    <w:rsid w:val="17066644"/>
    <w:rsid w:val="173D4519"/>
    <w:rsid w:val="179359CE"/>
    <w:rsid w:val="179424FA"/>
    <w:rsid w:val="17E66293"/>
    <w:rsid w:val="17F11DA8"/>
    <w:rsid w:val="17FE78E9"/>
    <w:rsid w:val="18461A87"/>
    <w:rsid w:val="1871436F"/>
    <w:rsid w:val="187273DD"/>
    <w:rsid w:val="187C3D68"/>
    <w:rsid w:val="18827DFA"/>
    <w:rsid w:val="189925AD"/>
    <w:rsid w:val="18A57411"/>
    <w:rsid w:val="19201045"/>
    <w:rsid w:val="197E6B9A"/>
    <w:rsid w:val="19F823A8"/>
    <w:rsid w:val="1A036844"/>
    <w:rsid w:val="1A0373FB"/>
    <w:rsid w:val="1A1E30CC"/>
    <w:rsid w:val="1A426357"/>
    <w:rsid w:val="1A5A361C"/>
    <w:rsid w:val="1A845156"/>
    <w:rsid w:val="1AF220BF"/>
    <w:rsid w:val="1B7E7A42"/>
    <w:rsid w:val="1C1A557B"/>
    <w:rsid w:val="1C1C5B40"/>
    <w:rsid w:val="1C790EA2"/>
    <w:rsid w:val="1CBB4733"/>
    <w:rsid w:val="1CCD3F1F"/>
    <w:rsid w:val="1CFE11EF"/>
    <w:rsid w:val="1DA12814"/>
    <w:rsid w:val="1E0B405F"/>
    <w:rsid w:val="1E0F00DB"/>
    <w:rsid w:val="1E135B88"/>
    <w:rsid w:val="1E6E2AFC"/>
    <w:rsid w:val="1E8F3EF6"/>
    <w:rsid w:val="1F6E1431"/>
    <w:rsid w:val="1F6F7E60"/>
    <w:rsid w:val="1F775289"/>
    <w:rsid w:val="1F8D474B"/>
    <w:rsid w:val="1FB82B1F"/>
    <w:rsid w:val="1FD13B1D"/>
    <w:rsid w:val="1FD618FC"/>
    <w:rsid w:val="20341B32"/>
    <w:rsid w:val="205D4431"/>
    <w:rsid w:val="20BF6817"/>
    <w:rsid w:val="210C2083"/>
    <w:rsid w:val="210F11B6"/>
    <w:rsid w:val="211A5ECC"/>
    <w:rsid w:val="21321990"/>
    <w:rsid w:val="21342863"/>
    <w:rsid w:val="213F154D"/>
    <w:rsid w:val="214804E7"/>
    <w:rsid w:val="21963A92"/>
    <w:rsid w:val="21DE185B"/>
    <w:rsid w:val="21FC191D"/>
    <w:rsid w:val="22205764"/>
    <w:rsid w:val="222B5EB7"/>
    <w:rsid w:val="225E44DE"/>
    <w:rsid w:val="22616361"/>
    <w:rsid w:val="22771648"/>
    <w:rsid w:val="22867DF2"/>
    <w:rsid w:val="22D77E03"/>
    <w:rsid w:val="22E31687"/>
    <w:rsid w:val="22E96105"/>
    <w:rsid w:val="22FA3DE7"/>
    <w:rsid w:val="23121327"/>
    <w:rsid w:val="23AE6E53"/>
    <w:rsid w:val="241B025E"/>
    <w:rsid w:val="24373E9F"/>
    <w:rsid w:val="243B67B0"/>
    <w:rsid w:val="24594FDD"/>
    <w:rsid w:val="24672DFE"/>
    <w:rsid w:val="247F6640"/>
    <w:rsid w:val="24FB0BDF"/>
    <w:rsid w:val="25063990"/>
    <w:rsid w:val="252B0548"/>
    <w:rsid w:val="252D375F"/>
    <w:rsid w:val="25B46952"/>
    <w:rsid w:val="261908B2"/>
    <w:rsid w:val="262302AF"/>
    <w:rsid w:val="26263565"/>
    <w:rsid w:val="2666343C"/>
    <w:rsid w:val="26753BA5"/>
    <w:rsid w:val="26935AE1"/>
    <w:rsid w:val="26A55722"/>
    <w:rsid w:val="26FE220C"/>
    <w:rsid w:val="274F505D"/>
    <w:rsid w:val="27E33F9B"/>
    <w:rsid w:val="2842528D"/>
    <w:rsid w:val="28437DE4"/>
    <w:rsid w:val="285D75ED"/>
    <w:rsid w:val="287B1BD9"/>
    <w:rsid w:val="28812EEF"/>
    <w:rsid w:val="29005CC7"/>
    <w:rsid w:val="2929146E"/>
    <w:rsid w:val="29A92FCA"/>
    <w:rsid w:val="29DE4CF7"/>
    <w:rsid w:val="29EC6874"/>
    <w:rsid w:val="2A3B4AC8"/>
    <w:rsid w:val="2A77438F"/>
    <w:rsid w:val="2A83359C"/>
    <w:rsid w:val="2A853E22"/>
    <w:rsid w:val="2AB60B33"/>
    <w:rsid w:val="2ABE1535"/>
    <w:rsid w:val="2B231E21"/>
    <w:rsid w:val="2B276251"/>
    <w:rsid w:val="2B4E2E20"/>
    <w:rsid w:val="2B5C0B7A"/>
    <w:rsid w:val="2BBE40F5"/>
    <w:rsid w:val="2BD470A7"/>
    <w:rsid w:val="2C0A43BD"/>
    <w:rsid w:val="2C140573"/>
    <w:rsid w:val="2C7E52A0"/>
    <w:rsid w:val="2CA03577"/>
    <w:rsid w:val="2CB766F7"/>
    <w:rsid w:val="2CD94F5A"/>
    <w:rsid w:val="2DAE231D"/>
    <w:rsid w:val="2DED7AAD"/>
    <w:rsid w:val="2E183793"/>
    <w:rsid w:val="2E415527"/>
    <w:rsid w:val="2E873790"/>
    <w:rsid w:val="2E877731"/>
    <w:rsid w:val="2E953458"/>
    <w:rsid w:val="2EB01C1E"/>
    <w:rsid w:val="2ED26038"/>
    <w:rsid w:val="2EEC5850"/>
    <w:rsid w:val="2F204FF5"/>
    <w:rsid w:val="2F4F0B88"/>
    <w:rsid w:val="2F7316F6"/>
    <w:rsid w:val="2FB1262D"/>
    <w:rsid w:val="2FD55B62"/>
    <w:rsid w:val="2FE97E3B"/>
    <w:rsid w:val="2FF27415"/>
    <w:rsid w:val="2FF40230"/>
    <w:rsid w:val="30697C39"/>
    <w:rsid w:val="3082362C"/>
    <w:rsid w:val="308E41E1"/>
    <w:rsid w:val="30A25EDE"/>
    <w:rsid w:val="30BE5574"/>
    <w:rsid w:val="30D82570"/>
    <w:rsid w:val="31006665"/>
    <w:rsid w:val="31090939"/>
    <w:rsid w:val="318E7AE9"/>
    <w:rsid w:val="31AD0696"/>
    <w:rsid w:val="31C205E6"/>
    <w:rsid w:val="325B2CD1"/>
    <w:rsid w:val="3273487A"/>
    <w:rsid w:val="32B24F2C"/>
    <w:rsid w:val="32D2384E"/>
    <w:rsid w:val="32EC494E"/>
    <w:rsid w:val="32F347CF"/>
    <w:rsid w:val="32F85095"/>
    <w:rsid w:val="332A215C"/>
    <w:rsid w:val="332B3F69"/>
    <w:rsid w:val="33723946"/>
    <w:rsid w:val="33802506"/>
    <w:rsid w:val="3392111C"/>
    <w:rsid w:val="33ED7A2D"/>
    <w:rsid w:val="33F51DC1"/>
    <w:rsid w:val="33F7090C"/>
    <w:rsid w:val="342655A2"/>
    <w:rsid w:val="343727B9"/>
    <w:rsid w:val="343A1627"/>
    <w:rsid w:val="34666D77"/>
    <w:rsid w:val="34BB18DF"/>
    <w:rsid w:val="34BC593E"/>
    <w:rsid w:val="34C172EE"/>
    <w:rsid w:val="35492DCC"/>
    <w:rsid w:val="35836DF6"/>
    <w:rsid w:val="35984464"/>
    <w:rsid w:val="35E42426"/>
    <w:rsid w:val="361D0069"/>
    <w:rsid w:val="36392E40"/>
    <w:rsid w:val="36410489"/>
    <w:rsid w:val="36600766"/>
    <w:rsid w:val="367932A1"/>
    <w:rsid w:val="36BB706D"/>
    <w:rsid w:val="36C50230"/>
    <w:rsid w:val="36CD288E"/>
    <w:rsid w:val="37C83251"/>
    <w:rsid w:val="37DE5A4E"/>
    <w:rsid w:val="38095824"/>
    <w:rsid w:val="386717C0"/>
    <w:rsid w:val="38691290"/>
    <w:rsid w:val="38784439"/>
    <w:rsid w:val="3895798B"/>
    <w:rsid w:val="38AC16A8"/>
    <w:rsid w:val="38EA4F9B"/>
    <w:rsid w:val="38F110E6"/>
    <w:rsid w:val="39022224"/>
    <w:rsid w:val="39211E7C"/>
    <w:rsid w:val="3958538C"/>
    <w:rsid w:val="39AD284D"/>
    <w:rsid w:val="39EC248F"/>
    <w:rsid w:val="39FB1F96"/>
    <w:rsid w:val="3A35183F"/>
    <w:rsid w:val="3AD6370D"/>
    <w:rsid w:val="3AFE45A9"/>
    <w:rsid w:val="3AFF4AFA"/>
    <w:rsid w:val="3B3C613D"/>
    <w:rsid w:val="3B4E6A46"/>
    <w:rsid w:val="3B554135"/>
    <w:rsid w:val="3B8065B2"/>
    <w:rsid w:val="3B9C1459"/>
    <w:rsid w:val="3BC822BA"/>
    <w:rsid w:val="3BED7720"/>
    <w:rsid w:val="3C0817F8"/>
    <w:rsid w:val="3C4E0CC8"/>
    <w:rsid w:val="3C6D0808"/>
    <w:rsid w:val="3CD54FDA"/>
    <w:rsid w:val="3CD64F45"/>
    <w:rsid w:val="3CDD7527"/>
    <w:rsid w:val="3D2C1009"/>
    <w:rsid w:val="3D9425AC"/>
    <w:rsid w:val="3DAB63D2"/>
    <w:rsid w:val="3DB30D2D"/>
    <w:rsid w:val="3DC329AA"/>
    <w:rsid w:val="3DD1764D"/>
    <w:rsid w:val="3E2A3832"/>
    <w:rsid w:val="3E3433D8"/>
    <w:rsid w:val="3E5C0C91"/>
    <w:rsid w:val="3E7E5C40"/>
    <w:rsid w:val="3E8B7504"/>
    <w:rsid w:val="3E924A3A"/>
    <w:rsid w:val="3EBA6151"/>
    <w:rsid w:val="3EDB6353"/>
    <w:rsid w:val="3F1730A2"/>
    <w:rsid w:val="3F8C5775"/>
    <w:rsid w:val="3FBC52EF"/>
    <w:rsid w:val="40087ED4"/>
    <w:rsid w:val="40122B01"/>
    <w:rsid w:val="40546445"/>
    <w:rsid w:val="407C5D89"/>
    <w:rsid w:val="407C5FDC"/>
    <w:rsid w:val="40906885"/>
    <w:rsid w:val="40B27A77"/>
    <w:rsid w:val="40CA5CFC"/>
    <w:rsid w:val="41103EBE"/>
    <w:rsid w:val="4128697B"/>
    <w:rsid w:val="416A65A4"/>
    <w:rsid w:val="4185309F"/>
    <w:rsid w:val="420978AD"/>
    <w:rsid w:val="421309EA"/>
    <w:rsid w:val="42240501"/>
    <w:rsid w:val="424D5666"/>
    <w:rsid w:val="42703746"/>
    <w:rsid w:val="427174BE"/>
    <w:rsid w:val="4277558C"/>
    <w:rsid w:val="42842B6E"/>
    <w:rsid w:val="42AE2961"/>
    <w:rsid w:val="42F51E9D"/>
    <w:rsid w:val="43122A4F"/>
    <w:rsid w:val="436676EB"/>
    <w:rsid w:val="436E1D9B"/>
    <w:rsid w:val="438B6993"/>
    <w:rsid w:val="448B5355"/>
    <w:rsid w:val="45084376"/>
    <w:rsid w:val="459920A5"/>
    <w:rsid w:val="45EE1F1D"/>
    <w:rsid w:val="45F13F14"/>
    <w:rsid w:val="45FD2CF9"/>
    <w:rsid w:val="45FD6CFD"/>
    <w:rsid w:val="46AF1AC2"/>
    <w:rsid w:val="47501092"/>
    <w:rsid w:val="477F0223"/>
    <w:rsid w:val="47874D28"/>
    <w:rsid w:val="47887784"/>
    <w:rsid w:val="47AA16A3"/>
    <w:rsid w:val="47C07F1D"/>
    <w:rsid w:val="47E464E1"/>
    <w:rsid w:val="47EE59A4"/>
    <w:rsid w:val="489804DA"/>
    <w:rsid w:val="49530909"/>
    <w:rsid w:val="496C41A4"/>
    <w:rsid w:val="49CF51F6"/>
    <w:rsid w:val="4A041EBB"/>
    <w:rsid w:val="4A0D7887"/>
    <w:rsid w:val="4A132597"/>
    <w:rsid w:val="4A22313A"/>
    <w:rsid w:val="4A6C0323"/>
    <w:rsid w:val="4A9B2152"/>
    <w:rsid w:val="4AB96B61"/>
    <w:rsid w:val="4B1E3E8D"/>
    <w:rsid w:val="4B545D45"/>
    <w:rsid w:val="4B800849"/>
    <w:rsid w:val="4B9D26F9"/>
    <w:rsid w:val="4BB328F5"/>
    <w:rsid w:val="4BB618E9"/>
    <w:rsid w:val="4BF90C50"/>
    <w:rsid w:val="4C3605C6"/>
    <w:rsid w:val="4C800A2A"/>
    <w:rsid w:val="4C9F674F"/>
    <w:rsid w:val="4CA24E44"/>
    <w:rsid w:val="4D1C7CE2"/>
    <w:rsid w:val="4D3E287F"/>
    <w:rsid w:val="4D476B6B"/>
    <w:rsid w:val="4D7C1694"/>
    <w:rsid w:val="4D9571DB"/>
    <w:rsid w:val="4E4A6596"/>
    <w:rsid w:val="4E586946"/>
    <w:rsid w:val="4E736C23"/>
    <w:rsid w:val="4E767F57"/>
    <w:rsid w:val="4E9844D8"/>
    <w:rsid w:val="4EBB2F25"/>
    <w:rsid w:val="4EEF40A5"/>
    <w:rsid w:val="4F351F9F"/>
    <w:rsid w:val="4F885092"/>
    <w:rsid w:val="4F8C3B89"/>
    <w:rsid w:val="4F9F1B0F"/>
    <w:rsid w:val="4FF80DD0"/>
    <w:rsid w:val="508E2130"/>
    <w:rsid w:val="509052E3"/>
    <w:rsid w:val="51A3460B"/>
    <w:rsid w:val="51A52CE0"/>
    <w:rsid w:val="51D25A47"/>
    <w:rsid w:val="51D83680"/>
    <w:rsid w:val="520E24F1"/>
    <w:rsid w:val="52144A57"/>
    <w:rsid w:val="524B1ADA"/>
    <w:rsid w:val="52C376E8"/>
    <w:rsid w:val="535624E4"/>
    <w:rsid w:val="5371638D"/>
    <w:rsid w:val="53F200E2"/>
    <w:rsid w:val="53F47251"/>
    <w:rsid w:val="541E2BDE"/>
    <w:rsid w:val="54793D50"/>
    <w:rsid w:val="547A0D72"/>
    <w:rsid w:val="54E52CDB"/>
    <w:rsid w:val="54EE5BBD"/>
    <w:rsid w:val="55071EB1"/>
    <w:rsid w:val="55396727"/>
    <w:rsid w:val="55532D28"/>
    <w:rsid w:val="55C3525E"/>
    <w:rsid w:val="55CA71B9"/>
    <w:rsid w:val="55EE796A"/>
    <w:rsid w:val="563A359D"/>
    <w:rsid w:val="56FC234E"/>
    <w:rsid w:val="570478FE"/>
    <w:rsid w:val="574B2D4E"/>
    <w:rsid w:val="576A00F7"/>
    <w:rsid w:val="57F16C7F"/>
    <w:rsid w:val="58082C12"/>
    <w:rsid w:val="58380643"/>
    <w:rsid w:val="584977FD"/>
    <w:rsid w:val="58511E7C"/>
    <w:rsid w:val="58984200"/>
    <w:rsid w:val="58E660B8"/>
    <w:rsid w:val="591D43C4"/>
    <w:rsid w:val="59207B25"/>
    <w:rsid w:val="598E4D65"/>
    <w:rsid w:val="59BC6E5A"/>
    <w:rsid w:val="59E40804"/>
    <w:rsid w:val="5A27176C"/>
    <w:rsid w:val="5A2A085B"/>
    <w:rsid w:val="5A4E2167"/>
    <w:rsid w:val="5A750890"/>
    <w:rsid w:val="5AB05476"/>
    <w:rsid w:val="5AC30E2E"/>
    <w:rsid w:val="5AFA0244"/>
    <w:rsid w:val="5B9B691A"/>
    <w:rsid w:val="5BA3015F"/>
    <w:rsid w:val="5C43724B"/>
    <w:rsid w:val="5C682135"/>
    <w:rsid w:val="5CFA1019"/>
    <w:rsid w:val="5D1523DC"/>
    <w:rsid w:val="5D4765AB"/>
    <w:rsid w:val="5D564D89"/>
    <w:rsid w:val="5D7D2FEA"/>
    <w:rsid w:val="5DB1283B"/>
    <w:rsid w:val="5DEF1EB3"/>
    <w:rsid w:val="5E364156"/>
    <w:rsid w:val="5E4E4F75"/>
    <w:rsid w:val="5F8D4FB7"/>
    <w:rsid w:val="5F904FD0"/>
    <w:rsid w:val="5FB962D5"/>
    <w:rsid w:val="5FF616A2"/>
    <w:rsid w:val="60440664"/>
    <w:rsid w:val="604B2B9F"/>
    <w:rsid w:val="608139CC"/>
    <w:rsid w:val="608B4B9C"/>
    <w:rsid w:val="60B80169"/>
    <w:rsid w:val="60D618C6"/>
    <w:rsid w:val="6105535C"/>
    <w:rsid w:val="613D0EE1"/>
    <w:rsid w:val="614E0E03"/>
    <w:rsid w:val="616D55C9"/>
    <w:rsid w:val="617A45EC"/>
    <w:rsid w:val="618A3466"/>
    <w:rsid w:val="62067841"/>
    <w:rsid w:val="620F4506"/>
    <w:rsid w:val="624D6221"/>
    <w:rsid w:val="625B3673"/>
    <w:rsid w:val="627C7AED"/>
    <w:rsid w:val="62ED6B99"/>
    <w:rsid w:val="62F970A5"/>
    <w:rsid w:val="631D6B7A"/>
    <w:rsid w:val="633534E8"/>
    <w:rsid w:val="63517B56"/>
    <w:rsid w:val="63625F7D"/>
    <w:rsid w:val="63DA4A6C"/>
    <w:rsid w:val="63EC14BE"/>
    <w:rsid w:val="641C5C65"/>
    <w:rsid w:val="642A3B5D"/>
    <w:rsid w:val="64373C6C"/>
    <w:rsid w:val="6446136F"/>
    <w:rsid w:val="646E7959"/>
    <w:rsid w:val="647D5E76"/>
    <w:rsid w:val="649966D5"/>
    <w:rsid w:val="64D47053"/>
    <w:rsid w:val="651D1F50"/>
    <w:rsid w:val="652C6ECE"/>
    <w:rsid w:val="653B0AC5"/>
    <w:rsid w:val="656A2A17"/>
    <w:rsid w:val="65BC2F98"/>
    <w:rsid w:val="65CA4EE1"/>
    <w:rsid w:val="66592469"/>
    <w:rsid w:val="67182CDE"/>
    <w:rsid w:val="673D70A9"/>
    <w:rsid w:val="67513297"/>
    <w:rsid w:val="67780823"/>
    <w:rsid w:val="67961104"/>
    <w:rsid w:val="67A27F96"/>
    <w:rsid w:val="67C21EE4"/>
    <w:rsid w:val="67E22141"/>
    <w:rsid w:val="688B35FB"/>
    <w:rsid w:val="68BB51BC"/>
    <w:rsid w:val="68C07218"/>
    <w:rsid w:val="69467738"/>
    <w:rsid w:val="696F71F1"/>
    <w:rsid w:val="69726D67"/>
    <w:rsid w:val="69AF0748"/>
    <w:rsid w:val="69BD315D"/>
    <w:rsid w:val="69D501AF"/>
    <w:rsid w:val="69E74060"/>
    <w:rsid w:val="6A52585A"/>
    <w:rsid w:val="6A582B8E"/>
    <w:rsid w:val="6A72490A"/>
    <w:rsid w:val="6AAB1A1A"/>
    <w:rsid w:val="6AD00976"/>
    <w:rsid w:val="6B570E7E"/>
    <w:rsid w:val="6B7414E7"/>
    <w:rsid w:val="6B816AA3"/>
    <w:rsid w:val="6BEA3CBA"/>
    <w:rsid w:val="6C1379F3"/>
    <w:rsid w:val="6C1942F1"/>
    <w:rsid w:val="6C23729E"/>
    <w:rsid w:val="6C2C3342"/>
    <w:rsid w:val="6D0C27FF"/>
    <w:rsid w:val="6DA57E98"/>
    <w:rsid w:val="6DC741A0"/>
    <w:rsid w:val="6DE02D21"/>
    <w:rsid w:val="6DF350A8"/>
    <w:rsid w:val="6E1A0886"/>
    <w:rsid w:val="6E781A51"/>
    <w:rsid w:val="6EC72CAC"/>
    <w:rsid w:val="6EE6509E"/>
    <w:rsid w:val="6EF660CF"/>
    <w:rsid w:val="6F420324"/>
    <w:rsid w:val="6F99590B"/>
    <w:rsid w:val="6FF60E93"/>
    <w:rsid w:val="701E3F32"/>
    <w:rsid w:val="703A53FC"/>
    <w:rsid w:val="707E2326"/>
    <w:rsid w:val="717E3F4B"/>
    <w:rsid w:val="719C2A2E"/>
    <w:rsid w:val="71B633FC"/>
    <w:rsid w:val="71C0515B"/>
    <w:rsid w:val="72356C99"/>
    <w:rsid w:val="724C02E6"/>
    <w:rsid w:val="727B1B10"/>
    <w:rsid w:val="72AC5157"/>
    <w:rsid w:val="72F86CBC"/>
    <w:rsid w:val="72FC0D51"/>
    <w:rsid w:val="733C1156"/>
    <w:rsid w:val="741F3F1C"/>
    <w:rsid w:val="74336552"/>
    <w:rsid w:val="7456013E"/>
    <w:rsid w:val="748E3F2E"/>
    <w:rsid w:val="75155029"/>
    <w:rsid w:val="75356FAC"/>
    <w:rsid w:val="75587EE6"/>
    <w:rsid w:val="756C5068"/>
    <w:rsid w:val="764741F6"/>
    <w:rsid w:val="768935A6"/>
    <w:rsid w:val="76FB6D7B"/>
    <w:rsid w:val="773504DF"/>
    <w:rsid w:val="77404207"/>
    <w:rsid w:val="776D2192"/>
    <w:rsid w:val="77E70A98"/>
    <w:rsid w:val="77F547F3"/>
    <w:rsid w:val="78060B96"/>
    <w:rsid w:val="784F29CE"/>
    <w:rsid w:val="786D18CA"/>
    <w:rsid w:val="78A45B28"/>
    <w:rsid w:val="78AC1897"/>
    <w:rsid w:val="78D77A8A"/>
    <w:rsid w:val="79362FB2"/>
    <w:rsid w:val="79427BC7"/>
    <w:rsid w:val="79C21DD2"/>
    <w:rsid w:val="79C73309"/>
    <w:rsid w:val="7A1054F4"/>
    <w:rsid w:val="7A552EF7"/>
    <w:rsid w:val="7AAB520E"/>
    <w:rsid w:val="7AAF7060"/>
    <w:rsid w:val="7ABF6A78"/>
    <w:rsid w:val="7AFE5AFB"/>
    <w:rsid w:val="7B6B2630"/>
    <w:rsid w:val="7B6C0247"/>
    <w:rsid w:val="7BB572E9"/>
    <w:rsid w:val="7BCC42E0"/>
    <w:rsid w:val="7C030CE9"/>
    <w:rsid w:val="7C0C5586"/>
    <w:rsid w:val="7C2E19A1"/>
    <w:rsid w:val="7C7C3D2F"/>
    <w:rsid w:val="7C981799"/>
    <w:rsid w:val="7CAF680C"/>
    <w:rsid w:val="7DB4751F"/>
    <w:rsid w:val="7E187791"/>
    <w:rsid w:val="7EC56E34"/>
    <w:rsid w:val="7EEB44A8"/>
    <w:rsid w:val="7EF30E13"/>
    <w:rsid w:val="7F0D2E6D"/>
    <w:rsid w:val="7F1B67EE"/>
    <w:rsid w:val="7F224D4A"/>
    <w:rsid w:val="7F4719DD"/>
    <w:rsid w:val="7F7818B1"/>
    <w:rsid w:val="7FE5352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qFormat="1" w:unhideWhenUsed="0" w:uiPriority="99"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qFormat="1" w:unhideWhenUsed="0" w:uiPriority="99" w:semiHidden="0" w:name="Body Text First Indent"/>
    <w:lsdException w:qFormat="1"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pBdr>
        <w:top w:val="none" w:color="auto" w:sz="0" w:space="0"/>
        <w:left w:val="none" w:color="auto" w:sz="0" w:space="0"/>
        <w:bottom w:val="none" w:color="auto" w:sz="0" w:space="0"/>
        <w:right w:val="none" w:color="auto" w:sz="0" w:space="0"/>
      </w:pBdr>
      <w:spacing w:before="200" w:beforeAutospacing="0" w:after="0" w:afterAutospacing="0" w:line="276" w:lineRule="auto"/>
      <w:ind w:left="0" w:right="0"/>
      <w:jc w:val="left"/>
      <w:outlineLvl w:val="2"/>
    </w:pPr>
    <w:rPr>
      <w:rFonts w:hint="default" w:ascii="Cambria" w:hAnsi="Cambria" w:eastAsia="Cambria" w:cs="Cambria"/>
      <w:b/>
      <w:kern w:val="0"/>
      <w:sz w:val="22"/>
      <w:szCs w:val="22"/>
      <w:lang w:val="en-US" w:eastAsia="zh-CN" w:bidi="ar"/>
    </w:rPr>
  </w:style>
  <w:style w:type="paragraph" w:styleId="5">
    <w:name w:val="heading 4"/>
    <w:basedOn w:val="1"/>
    <w:next w:val="1"/>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paragraph" w:styleId="6">
    <w:name w:val="heading 5"/>
    <w:basedOn w:val="1"/>
    <w:next w:val="1"/>
    <w:qFormat/>
    <w:uiPriority w:val="0"/>
    <w:pPr>
      <w:keepNext/>
      <w:keepLines/>
      <w:spacing w:before="280" w:beforeLines="0" w:beforeAutospacing="0" w:after="290" w:afterLines="0" w:afterAutospacing="0" w:line="372" w:lineRule="auto"/>
      <w:outlineLvl w:val="4"/>
    </w:pPr>
    <w:rPr>
      <w:b/>
      <w:sz w:val="28"/>
    </w:rPr>
  </w:style>
  <w:style w:type="character" w:default="1" w:styleId="29">
    <w:name w:val="Default Paragraph Font"/>
    <w:unhideWhenUsed/>
    <w:qFormat/>
    <w:uiPriority w:val="1"/>
  </w:style>
  <w:style w:type="table" w:default="1" w:styleId="27">
    <w:name w:val="Normal Table"/>
    <w:unhideWhenUsed/>
    <w:qFormat/>
    <w:uiPriority w:val="99"/>
    <w:tblPr>
      <w:tblCellMar>
        <w:top w:w="0" w:type="dxa"/>
        <w:left w:w="108" w:type="dxa"/>
        <w:bottom w:w="0" w:type="dxa"/>
        <w:right w:w="108" w:type="dxa"/>
      </w:tblCellMar>
    </w:tblPr>
  </w:style>
  <w:style w:type="paragraph" w:styleId="7">
    <w:name w:val="List 3"/>
    <w:basedOn w:val="1"/>
    <w:qFormat/>
    <w:uiPriority w:val="0"/>
    <w:pPr>
      <w:ind w:left="100" w:leftChars="400" w:hanging="200" w:hangingChars="200"/>
      <w:contextualSpacing/>
    </w:pPr>
  </w:style>
  <w:style w:type="paragraph" w:styleId="8">
    <w:name w:val="Normal Indent"/>
    <w:basedOn w:val="1"/>
    <w:next w:val="1"/>
    <w:qFormat/>
    <w:uiPriority w:val="99"/>
    <w:pPr>
      <w:widowControl w:val="0"/>
      <w:adjustRightInd w:val="0"/>
      <w:spacing w:line="360" w:lineRule="atLeast"/>
      <w:ind w:firstLine="482"/>
    </w:pPr>
    <w:rPr>
      <w:color w:val="auto"/>
      <w:sz w:val="24"/>
    </w:rPr>
  </w:style>
  <w:style w:type="paragraph" w:styleId="9">
    <w:name w:val="caption"/>
    <w:basedOn w:val="1"/>
    <w:next w:val="1"/>
    <w:qFormat/>
    <w:uiPriority w:val="0"/>
    <w:pPr>
      <w:spacing w:before="152" w:after="160"/>
    </w:pPr>
    <w:rPr>
      <w:rFonts w:ascii="Arial" w:hAnsi="Arial" w:eastAsia="黑体" w:cs="Arial"/>
      <w:sz w:val="20"/>
    </w:rPr>
  </w:style>
  <w:style w:type="paragraph" w:styleId="10">
    <w:name w:val="annotation text"/>
    <w:basedOn w:val="1"/>
    <w:link w:val="36"/>
    <w:qFormat/>
    <w:uiPriority w:val="0"/>
    <w:pPr>
      <w:adjustRightInd w:val="0"/>
      <w:spacing w:line="360" w:lineRule="atLeast"/>
      <w:jc w:val="left"/>
      <w:textAlignment w:val="baseline"/>
    </w:pPr>
    <w:rPr>
      <w:kern w:val="0"/>
      <w:sz w:val="24"/>
    </w:rPr>
  </w:style>
  <w:style w:type="paragraph" w:styleId="11">
    <w:name w:val="Salutation"/>
    <w:basedOn w:val="1"/>
    <w:next w:val="1"/>
    <w:link w:val="37"/>
    <w:qFormat/>
    <w:uiPriority w:val="0"/>
    <w:rPr>
      <w:kern w:val="0"/>
      <w:sz w:val="24"/>
    </w:rPr>
  </w:style>
  <w:style w:type="paragraph" w:styleId="12">
    <w:name w:val="Body Text"/>
    <w:basedOn w:val="1"/>
    <w:link w:val="38"/>
    <w:qFormat/>
    <w:uiPriority w:val="0"/>
    <w:pPr>
      <w:spacing w:after="120"/>
    </w:pPr>
    <w:rPr>
      <w:kern w:val="0"/>
      <w:sz w:val="20"/>
      <w:szCs w:val="24"/>
    </w:rPr>
  </w:style>
  <w:style w:type="paragraph" w:styleId="13">
    <w:name w:val="Body Text Indent"/>
    <w:basedOn w:val="1"/>
    <w:qFormat/>
    <w:uiPriority w:val="99"/>
    <w:pPr>
      <w:adjustRightInd w:val="0"/>
      <w:snapToGrid w:val="0"/>
      <w:spacing w:line="460" w:lineRule="exact"/>
      <w:ind w:firstLine="560" w:firstLineChars="200"/>
    </w:pPr>
    <w:rPr>
      <w:rFonts w:ascii="仿宋_GB2312" w:hAnsi="Tahoma" w:eastAsia="仿宋_GB2312"/>
      <w:sz w:val="28"/>
    </w:rPr>
  </w:style>
  <w:style w:type="paragraph" w:styleId="14">
    <w:name w:val="List 2"/>
    <w:basedOn w:val="1"/>
    <w:qFormat/>
    <w:uiPriority w:val="0"/>
    <w:pPr>
      <w:ind w:left="100" w:leftChars="200" w:hanging="200" w:hangingChars="200"/>
    </w:pPr>
    <w:rPr>
      <w:szCs w:val="24"/>
    </w:rPr>
  </w:style>
  <w:style w:type="paragraph" w:styleId="15">
    <w:name w:val="Plain Text"/>
    <w:basedOn w:val="1"/>
    <w:link w:val="39"/>
    <w:qFormat/>
    <w:uiPriority w:val="0"/>
    <w:rPr>
      <w:rFonts w:ascii="宋体" w:hAnsi="Courier New"/>
      <w:kern w:val="0"/>
      <w:sz w:val="20"/>
    </w:rPr>
  </w:style>
  <w:style w:type="paragraph" w:styleId="16">
    <w:name w:val="footer"/>
    <w:basedOn w:val="1"/>
    <w:link w:val="40"/>
    <w:qFormat/>
    <w:uiPriority w:val="0"/>
    <w:pPr>
      <w:tabs>
        <w:tab w:val="center" w:pos="4153"/>
        <w:tab w:val="right" w:pos="8306"/>
      </w:tabs>
      <w:snapToGrid w:val="0"/>
      <w:jc w:val="left"/>
    </w:pPr>
    <w:rPr>
      <w:sz w:val="18"/>
      <w:szCs w:val="18"/>
    </w:rPr>
  </w:style>
  <w:style w:type="paragraph" w:styleId="17">
    <w:name w:val="header"/>
    <w:basedOn w:val="1"/>
    <w:link w:val="41"/>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qFormat/>
    <w:uiPriority w:val="0"/>
    <w:pPr>
      <w:tabs>
        <w:tab w:val="right" w:leader="dot" w:pos="9628"/>
      </w:tabs>
      <w:spacing w:line="360" w:lineRule="auto"/>
    </w:pPr>
    <w:rPr>
      <w:szCs w:val="24"/>
    </w:rPr>
  </w:style>
  <w:style w:type="paragraph" w:styleId="19">
    <w:name w:val="footnote text"/>
    <w:basedOn w:val="1"/>
    <w:link w:val="42"/>
    <w:qFormat/>
    <w:uiPriority w:val="99"/>
    <w:pPr>
      <w:snapToGrid w:val="0"/>
      <w:jc w:val="left"/>
    </w:pPr>
    <w:rPr>
      <w:kern w:val="0"/>
      <w:sz w:val="18"/>
    </w:rPr>
  </w:style>
  <w:style w:type="paragraph" w:styleId="20">
    <w:name w:val="toc 2"/>
    <w:basedOn w:val="1"/>
    <w:next w:val="1"/>
    <w:qFormat/>
    <w:uiPriority w:val="0"/>
    <w:pPr>
      <w:adjustRightInd w:val="0"/>
      <w:spacing w:line="360" w:lineRule="auto"/>
      <w:ind w:left="240" w:firstLine="425"/>
      <w:jc w:val="left"/>
      <w:textAlignment w:val="baseline"/>
    </w:pPr>
    <w:rPr>
      <w:smallCaps/>
      <w:sz w:val="20"/>
    </w:rPr>
  </w:style>
  <w:style w:type="paragraph" w:styleId="21">
    <w:name w:val="Body Text 2"/>
    <w:basedOn w:val="1"/>
    <w:qFormat/>
    <w:uiPriority w:val="0"/>
    <w:pPr>
      <w:keepNext w:val="0"/>
      <w:keepLines w:val="0"/>
      <w:widowControl w:val="0"/>
      <w:suppressLineNumbers w:val="0"/>
      <w:spacing w:before="0" w:beforeAutospacing="0" w:after="0" w:afterAutospacing="0"/>
      <w:ind w:left="0" w:right="0"/>
      <w:jc w:val="both"/>
    </w:pPr>
    <w:rPr>
      <w:rFonts w:hint="default" w:ascii="楷体_GB2312" w:hAnsi="Copperplate Gothic Bold" w:eastAsia="楷体_GB2312" w:cs="Times New Roman"/>
      <w:kern w:val="2"/>
      <w:sz w:val="28"/>
      <w:szCs w:val="28"/>
      <w:lang w:val="en-US" w:eastAsia="zh-CN" w:bidi="ar"/>
    </w:rPr>
  </w:style>
  <w:style w:type="paragraph" w:styleId="22">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rPr>
  </w:style>
  <w:style w:type="paragraph" w:styleId="23">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24">
    <w:name w:val="Title"/>
    <w:basedOn w:val="1"/>
    <w:next w:val="1"/>
    <w:link w:val="43"/>
    <w:qFormat/>
    <w:uiPriority w:val="10"/>
    <w:pPr>
      <w:adjustRightInd w:val="0"/>
      <w:snapToGrid w:val="0"/>
      <w:spacing w:before="120" w:after="120" w:line="520" w:lineRule="exact"/>
      <w:jc w:val="center"/>
      <w:outlineLvl w:val="0"/>
    </w:pPr>
    <w:rPr>
      <w:rFonts w:ascii="Cambria" w:hAnsi="Cambria"/>
      <w:b/>
      <w:bCs/>
      <w:kern w:val="0"/>
      <w:sz w:val="32"/>
      <w:szCs w:val="32"/>
    </w:rPr>
  </w:style>
  <w:style w:type="paragraph" w:styleId="25">
    <w:name w:val="Body Text First Indent"/>
    <w:basedOn w:val="12"/>
    <w:qFormat/>
    <w:uiPriority w:val="99"/>
    <w:pPr>
      <w:spacing w:after="120"/>
      <w:ind w:firstLine="420" w:firstLineChars="100"/>
    </w:pPr>
  </w:style>
  <w:style w:type="paragraph" w:styleId="26">
    <w:name w:val="Body Text First Indent 2"/>
    <w:basedOn w:val="13"/>
    <w:unhideWhenUsed/>
    <w:qFormat/>
    <w:uiPriority w:val="0"/>
    <w:pPr>
      <w:adjustRightInd/>
      <w:snapToGrid/>
      <w:spacing w:after="120" w:line="360" w:lineRule="auto"/>
      <w:ind w:left="420" w:leftChars="200" w:firstLine="420"/>
    </w:pPr>
    <w:rPr>
      <w:rFonts w:ascii="Calibri" w:hAnsi="Calibri" w:eastAsia="宋体"/>
      <w:sz w:val="24"/>
      <w:szCs w:val="22"/>
    </w:rPr>
  </w:style>
  <w:style w:type="table" w:styleId="28">
    <w:name w:val="Table Grid"/>
    <w:basedOn w:val="2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basedOn w:val="29"/>
    <w:qFormat/>
    <w:uiPriority w:val="0"/>
    <w:rPr>
      <w:rFonts w:ascii="Calibri" w:hAnsi="Calibri" w:eastAsia="宋体" w:cs="Times New Roman"/>
      <w:b/>
      <w:bCs/>
    </w:rPr>
  </w:style>
  <w:style w:type="character" w:styleId="31">
    <w:name w:val="Hyperlink"/>
    <w:basedOn w:val="29"/>
    <w:qFormat/>
    <w:uiPriority w:val="0"/>
    <w:rPr>
      <w:color w:val="0000FF"/>
      <w:u w:val="single"/>
    </w:rPr>
  </w:style>
  <w:style w:type="character" w:styleId="32">
    <w:name w:val="annotation reference"/>
    <w:basedOn w:val="29"/>
    <w:qFormat/>
    <w:uiPriority w:val="0"/>
    <w:rPr>
      <w:sz w:val="21"/>
      <w:szCs w:val="21"/>
    </w:rPr>
  </w:style>
  <w:style w:type="paragraph" w:customStyle="1" w:styleId="33">
    <w:name w:val="样式 正文缩进 + 首行缩进:  2 字符"/>
    <w:basedOn w:val="8"/>
    <w:qFormat/>
    <w:uiPriority w:val="0"/>
    <w:pPr>
      <w:spacing w:line="360" w:lineRule="auto"/>
      <w:ind w:firstLine="200"/>
    </w:pPr>
    <w:rPr>
      <w:rFonts w:ascii="Times New Roman" w:hAnsi="Times New Roman" w:eastAsia="宋体" w:cs="Times New Roman"/>
    </w:rPr>
  </w:style>
  <w:style w:type="character" w:customStyle="1" w:styleId="34">
    <w:name w:val="标题 1 Char"/>
    <w:basedOn w:val="29"/>
    <w:link w:val="2"/>
    <w:qFormat/>
    <w:uiPriority w:val="0"/>
    <w:rPr>
      <w:rFonts w:ascii="Times New Roman" w:hAnsi="Times New Roman" w:eastAsia="宋体" w:cs="Times New Roman"/>
      <w:b/>
      <w:bCs/>
      <w:kern w:val="44"/>
      <w:sz w:val="44"/>
      <w:szCs w:val="44"/>
    </w:rPr>
  </w:style>
  <w:style w:type="character" w:customStyle="1" w:styleId="35">
    <w:name w:val="标题 2 Char"/>
    <w:basedOn w:val="29"/>
    <w:link w:val="3"/>
    <w:qFormat/>
    <w:uiPriority w:val="0"/>
    <w:rPr>
      <w:rFonts w:ascii="Arial" w:hAnsi="Arial" w:eastAsia="黑体" w:cs="Times New Roman"/>
      <w:b/>
      <w:bCs/>
      <w:sz w:val="32"/>
      <w:szCs w:val="32"/>
    </w:rPr>
  </w:style>
  <w:style w:type="character" w:customStyle="1" w:styleId="36">
    <w:name w:val="批注文字 Char"/>
    <w:link w:val="10"/>
    <w:qFormat/>
    <w:uiPriority w:val="0"/>
    <w:rPr>
      <w:rFonts w:ascii="Times New Roman" w:hAnsi="Times New Roman" w:eastAsia="宋体" w:cs="Times New Roman"/>
      <w:kern w:val="0"/>
      <w:sz w:val="24"/>
      <w:szCs w:val="20"/>
    </w:rPr>
  </w:style>
  <w:style w:type="character" w:customStyle="1" w:styleId="37">
    <w:name w:val="称呼 Char"/>
    <w:link w:val="11"/>
    <w:qFormat/>
    <w:uiPriority w:val="0"/>
    <w:rPr>
      <w:rFonts w:ascii="Times New Roman" w:hAnsi="Times New Roman" w:eastAsia="宋体" w:cs="Times New Roman"/>
      <w:sz w:val="24"/>
      <w:szCs w:val="20"/>
    </w:rPr>
  </w:style>
  <w:style w:type="character" w:customStyle="1" w:styleId="38">
    <w:name w:val="正文文本 Char"/>
    <w:link w:val="12"/>
    <w:qFormat/>
    <w:uiPriority w:val="0"/>
    <w:rPr>
      <w:rFonts w:eastAsia="宋体"/>
      <w:szCs w:val="24"/>
    </w:rPr>
  </w:style>
  <w:style w:type="character" w:customStyle="1" w:styleId="39">
    <w:name w:val="纯文本 Char1"/>
    <w:link w:val="15"/>
    <w:qFormat/>
    <w:uiPriority w:val="0"/>
    <w:rPr>
      <w:rFonts w:ascii="宋体" w:hAnsi="Courier New" w:eastAsia="宋体" w:cs="Times New Roman"/>
      <w:szCs w:val="20"/>
    </w:rPr>
  </w:style>
  <w:style w:type="character" w:customStyle="1" w:styleId="40">
    <w:name w:val="页脚 Char"/>
    <w:basedOn w:val="29"/>
    <w:link w:val="16"/>
    <w:qFormat/>
    <w:uiPriority w:val="0"/>
    <w:rPr>
      <w:rFonts w:ascii="Times New Roman" w:hAnsi="Times New Roman" w:eastAsia="宋体" w:cs="Times New Roman"/>
      <w:sz w:val="18"/>
      <w:szCs w:val="18"/>
    </w:rPr>
  </w:style>
  <w:style w:type="character" w:customStyle="1" w:styleId="41">
    <w:name w:val="页眉 Char"/>
    <w:basedOn w:val="29"/>
    <w:link w:val="17"/>
    <w:qFormat/>
    <w:uiPriority w:val="0"/>
    <w:rPr>
      <w:rFonts w:ascii="Times New Roman" w:hAnsi="Times New Roman" w:eastAsia="宋体" w:cs="Times New Roman"/>
      <w:sz w:val="18"/>
      <w:szCs w:val="18"/>
    </w:rPr>
  </w:style>
  <w:style w:type="character" w:customStyle="1" w:styleId="42">
    <w:name w:val="脚注文本 Char"/>
    <w:link w:val="19"/>
    <w:qFormat/>
    <w:uiPriority w:val="99"/>
    <w:rPr>
      <w:sz w:val="18"/>
    </w:rPr>
  </w:style>
  <w:style w:type="character" w:customStyle="1" w:styleId="43">
    <w:name w:val="标题 Char2"/>
    <w:link w:val="24"/>
    <w:qFormat/>
    <w:uiPriority w:val="10"/>
    <w:rPr>
      <w:rFonts w:ascii="Cambria" w:hAnsi="Cambria"/>
      <w:b/>
      <w:bCs/>
      <w:sz w:val="32"/>
      <w:szCs w:val="32"/>
    </w:rPr>
  </w:style>
  <w:style w:type="character" w:customStyle="1" w:styleId="44">
    <w:name w:val="15"/>
    <w:qFormat/>
    <w:uiPriority w:val="0"/>
    <w:rPr>
      <w:rFonts w:hint="default" w:ascii="Times New Roman" w:hAnsi="Times New Roman" w:cs="Times New Roman"/>
    </w:rPr>
  </w:style>
  <w:style w:type="character" w:customStyle="1" w:styleId="45">
    <w:name w:val="称呼 Char1"/>
    <w:basedOn w:val="29"/>
    <w:semiHidden/>
    <w:qFormat/>
    <w:uiPriority w:val="99"/>
    <w:rPr>
      <w:rFonts w:ascii="Times New Roman" w:hAnsi="Times New Roman" w:eastAsia="宋体" w:cs="Times New Roman"/>
      <w:szCs w:val="20"/>
    </w:rPr>
  </w:style>
  <w:style w:type="character" w:customStyle="1" w:styleId="46">
    <w:name w:val="标题 3 Char Char"/>
    <w:qFormat/>
    <w:uiPriority w:val="0"/>
    <w:rPr>
      <w:rFonts w:ascii="黑体" w:eastAsia="黑体"/>
      <w:bCs/>
      <w:sz w:val="30"/>
    </w:rPr>
  </w:style>
  <w:style w:type="character" w:customStyle="1" w:styleId="47">
    <w:name w:val="标题 Char"/>
    <w:qFormat/>
    <w:uiPriority w:val="0"/>
    <w:rPr>
      <w:rFonts w:ascii="黑体"/>
      <w:b/>
      <w:snapToGrid w:val="0"/>
      <w:sz w:val="44"/>
    </w:rPr>
  </w:style>
  <w:style w:type="character" w:customStyle="1" w:styleId="48">
    <w:name w:val="页脚 Char1"/>
    <w:basedOn w:val="29"/>
    <w:semiHidden/>
    <w:qFormat/>
    <w:uiPriority w:val="99"/>
    <w:rPr>
      <w:sz w:val="18"/>
      <w:szCs w:val="18"/>
    </w:rPr>
  </w:style>
  <w:style w:type="character" w:customStyle="1" w:styleId="49">
    <w:name w:val="font41"/>
    <w:basedOn w:val="29"/>
    <w:qFormat/>
    <w:uiPriority w:val="0"/>
    <w:rPr>
      <w:rFonts w:hint="eastAsia" w:ascii="宋体" w:hAnsi="宋体" w:eastAsia="宋体" w:cs="宋体"/>
      <w:color w:val="000000"/>
      <w:sz w:val="20"/>
      <w:szCs w:val="20"/>
      <w:u w:val="none"/>
    </w:rPr>
  </w:style>
  <w:style w:type="character" w:customStyle="1" w:styleId="50">
    <w:name w:val="NormalCharacter"/>
    <w:qFormat/>
    <w:uiPriority w:val="0"/>
    <w:rPr>
      <w:rFonts w:ascii="Times New Roman" w:hAnsi="Times New Roman" w:eastAsia="宋体" w:cs="Times New Roman"/>
      <w:kern w:val="2"/>
      <w:sz w:val="21"/>
      <w:lang w:val="en-US" w:eastAsia="zh-CN" w:bidi="ar-SA"/>
    </w:rPr>
  </w:style>
  <w:style w:type="character" w:customStyle="1" w:styleId="51">
    <w:name w:val="标题1"/>
    <w:qFormat/>
    <w:uiPriority w:val="0"/>
  </w:style>
  <w:style w:type="character" w:customStyle="1" w:styleId="52">
    <w:name w:val="标题 1 Char1"/>
    <w:qFormat/>
    <w:uiPriority w:val="0"/>
    <w:rPr>
      <w:rFonts w:ascii="Times New Roman" w:hAnsi="Times New Roman" w:eastAsia="宋体" w:cs="Times New Roman"/>
      <w:sz w:val="28"/>
      <w:szCs w:val="28"/>
    </w:rPr>
  </w:style>
  <w:style w:type="character" w:customStyle="1" w:styleId="53">
    <w:name w:val="标题 3 Char"/>
    <w:qFormat/>
    <w:uiPriority w:val="0"/>
    <w:rPr>
      <w:rFonts w:eastAsia="宋体"/>
      <w:b/>
      <w:bCs/>
      <w:kern w:val="2"/>
      <w:sz w:val="32"/>
      <w:szCs w:val="32"/>
      <w:lang w:val="en-US" w:eastAsia="zh-CN" w:bidi="ar-SA"/>
    </w:rPr>
  </w:style>
  <w:style w:type="character" w:customStyle="1" w:styleId="54">
    <w:name w:val="批注文字 Char1"/>
    <w:basedOn w:val="29"/>
    <w:semiHidden/>
    <w:qFormat/>
    <w:uiPriority w:val="99"/>
    <w:rPr>
      <w:rFonts w:ascii="Times New Roman" w:hAnsi="Times New Roman" w:eastAsia="宋体" w:cs="Times New Roman"/>
      <w:szCs w:val="20"/>
    </w:rPr>
  </w:style>
  <w:style w:type="character" w:customStyle="1" w:styleId="55">
    <w:name w:val="font61"/>
    <w:basedOn w:val="29"/>
    <w:qFormat/>
    <w:uiPriority w:val="0"/>
    <w:rPr>
      <w:rFonts w:hint="eastAsia" w:ascii="微软雅黑" w:hAnsi="微软雅黑" w:eastAsia="微软雅黑" w:cs="微软雅黑"/>
      <w:b/>
      <w:color w:val="000000"/>
      <w:sz w:val="21"/>
      <w:szCs w:val="21"/>
      <w:u w:val="none"/>
    </w:rPr>
  </w:style>
  <w:style w:type="character" w:customStyle="1" w:styleId="56">
    <w:name w:val="font71"/>
    <w:basedOn w:val="29"/>
    <w:qFormat/>
    <w:uiPriority w:val="0"/>
    <w:rPr>
      <w:rFonts w:ascii="Wingdings 2" w:hAnsi="Wingdings 2" w:eastAsia="Wingdings 2" w:cs="Wingdings 2"/>
      <w:color w:val="000000"/>
      <w:sz w:val="20"/>
      <w:szCs w:val="20"/>
      <w:u w:val="none"/>
    </w:rPr>
  </w:style>
  <w:style w:type="character" w:customStyle="1" w:styleId="57">
    <w:name w:val="脚注文本 Char1"/>
    <w:basedOn w:val="29"/>
    <w:semiHidden/>
    <w:qFormat/>
    <w:uiPriority w:val="99"/>
    <w:rPr>
      <w:rFonts w:ascii="Times New Roman" w:hAnsi="Times New Roman" w:eastAsia="宋体" w:cs="Times New Roman"/>
      <w:sz w:val="18"/>
      <w:szCs w:val="18"/>
    </w:rPr>
  </w:style>
  <w:style w:type="character" w:customStyle="1" w:styleId="58">
    <w:name w:val="font81"/>
    <w:basedOn w:val="29"/>
    <w:qFormat/>
    <w:uiPriority w:val="0"/>
    <w:rPr>
      <w:rFonts w:hint="default" w:ascii="Wingdings 2" w:hAnsi="Wingdings 2" w:eastAsia="Wingdings 2" w:cs="Wingdings 2"/>
      <w:color w:val="000000"/>
      <w:sz w:val="20"/>
      <w:szCs w:val="20"/>
      <w:u w:val="none"/>
    </w:rPr>
  </w:style>
  <w:style w:type="character" w:customStyle="1" w:styleId="59">
    <w:name w:val="Default Text Char Char"/>
    <w:link w:val="60"/>
    <w:qFormat/>
    <w:uiPriority w:val="0"/>
    <w:rPr>
      <w:rFonts w:ascii="Calibri" w:hAnsi="Calibri"/>
      <w:color w:val="000000"/>
      <w:kern w:val="2"/>
      <w:sz w:val="24"/>
      <w:szCs w:val="22"/>
      <w:lang w:val="en-US" w:eastAsia="zh-CN" w:bidi="ar-SA"/>
    </w:rPr>
  </w:style>
  <w:style w:type="paragraph" w:customStyle="1" w:styleId="60">
    <w:name w:val="Default Text"/>
    <w:link w:val="59"/>
    <w:qFormat/>
    <w:uiPriority w:val="0"/>
    <w:pPr>
      <w:widowControl w:val="0"/>
      <w:autoSpaceDE w:val="0"/>
      <w:autoSpaceDN w:val="0"/>
      <w:adjustRightInd w:val="0"/>
    </w:pPr>
    <w:rPr>
      <w:rFonts w:ascii="Calibri" w:hAnsi="Calibri" w:eastAsia="宋体" w:cs="Times New Roman"/>
      <w:color w:val="000000"/>
      <w:kern w:val="2"/>
      <w:sz w:val="24"/>
      <w:szCs w:val="22"/>
      <w:lang w:val="en-US" w:eastAsia="zh-CN" w:bidi="ar-SA"/>
    </w:rPr>
  </w:style>
  <w:style w:type="character" w:customStyle="1" w:styleId="61">
    <w:name w:val="标题 Char1"/>
    <w:basedOn w:val="29"/>
    <w:qFormat/>
    <w:uiPriority w:val="10"/>
    <w:rPr>
      <w:rFonts w:ascii="Cambria" w:hAnsi="Cambria" w:eastAsia="宋体" w:cs="Times New Roman"/>
      <w:b/>
      <w:bCs/>
      <w:sz w:val="32"/>
      <w:szCs w:val="32"/>
    </w:rPr>
  </w:style>
  <w:style w:type="character" w:customStyle="1" w:styleId="62">
    <w:name w:val="纯文本 Char"/>
    <w:basedOn w:val="29"/>
    <w:semiHidden/>
    <w:qFormat/>
    <w:uiPriority w:val="99"/>
    <w:rPr>
      <w:rFonts w:ascii="宋体" w:hAnsi="Courier New" w:eastAsia="宋体" w:cs="Courier New"/>
      <w:szCs w:val="21"/>
    </w:rPr>
  </w:style>
  <w:style w:type="character" w:customStyle="1" w:styleId="63">
    <w:name w:val="正文文本 Char1"/>
    <w:basedOn w:val="29"/>
    <w:semiHidden/>
    <w:qFormat/>
    <w:uiPriority w:val="99"/>
    <w:rPr>
      <w:rFonts w:ascii="Times New Roman" w:hAnsi="Times New Roman" w:eastAsia="宋体" w:cs="Times New Roman"/>
      <w:szCs w:val="20"/>
    </w:rPr>
  </w:style>
  <w:style w:type="character" w:customStyle="1" w:styleId="64">
    <w:name w:val="正文缩进2格 Char"/>
    <w:link w:val="65"/>
    <w:qFormat/>
    <w:uiPriority w:val="0"/>
    <w:rPr>
      <w:rFonts w:ascii="仿宋_GB2312" w:hAnsi="宋体" w:eastAsia="仿宋_GB2312"/>
      <w:kern w:val="2"/>
      <w:sz w:val="31"/>
      <w:szCs w:val="28"/>
    </w:rPr>
  </w:style>
  <w:style w:type="paragraph" w:customStyle="1" w:styleId="65">
    <w:name w:val="正文缩进2格"/>
    <w:basedOn w:val="1"/>
    <w:link w:val="64"/>
    <w:qFormat/>
    <w:uiPriority w:val="0"/>
    <w:pPr>
      <w:spacing w:line="600" w:lineRule="exact"/>
      <w:ind w:firstLine="639" w:firstLineChars="206"/>
    </w:pPr>
    <w:rPr>
      <w:rFonts w:ascii="仿宋_GB2312" w:hAnsi="宋体" w:eastAsia="仿宋_GB2312"/>
      <w:sz w:val="31"/>
      <w:szCs w:val="28"/>
    </w:rPr>
  </w:style>
  <w:style w:type="character" w:customStyle="1" w:styleId="66">
    <w:name w:val="font11"/>
    <w:basedOn w:val="29"/>
    <w:qFormat/>
    <w:uiPriority w:val="0"/>
    <w:rPr>
      <w:rFonts w:hint="eastAsia" w:ascii="宋体" w:hAnsi="宋体" w:eastAsia="宋体" w:cs="宋体"/>
      <w:color w:val="000000"/>
      <w:sz w:val="24"/>
      <w:szCs w:val="24"/>
      <w:u w:val="none"/>
    </w:rPr>
  </w:style>
  <w:style w:type="character" w:customStyle="1" w:styleId="67">
    <w:name w:val="font01"/>
    <w:basedOn w:val="29"/>
    <w:qFormat/>
    <w:uiPriority w:val="0"/>
    <w:rPr>
      <w:rFonts w:hint="eastAsia" w:ascii="宋体" w:hAnsi="宋体" w:eastAsia="宋体" w:cs="宋体"/>
      <w:color w:val="000000"/>
      <w:sz w:val="24"/>
      <w:szCs w:val="24"/>
      <w:u w:val="none"/>
    </w:rPr>
  </w:style>
  <w:style w:type="paragraph" w:customStyle="1" w:styleId="68">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69">
    <w:name w:val="Normal"/>
    <w:qFormat/>
    <w:uiPriority w:val="0"/>
    <w:pPr>
      <w:widowControl w:val="0"/>
      <w:jc w:val="both"/>
    </w:pPr>
    <w:rPr>
      <w:rFonts w:ascii="Calibri" w:hAnsi="Calibri" w:eastAsia="宋体" w:cs="Times New Roman"/>
      <w:kern w:val="2"/>
      <w:sz w:val="21"/>
      <w:szCs w:val="22"/>
      <w:lang w:val="en-US" w:eastAsia="zh-CN" w:bidi="ar-SA"/>
    </w:rPr>
  </w:style>
  <w:style w:type="paragraph" w:customStyle="1" w:styleId="70">
    <w:name w:val="È¡ÀÊ¡ÎÄ¡À¾"/>
    <w:basedOn w:val="1"/>
    <w:qFormat/>
    <w:uiPriority w:val="99"/>
    <w:pPr>
      <w:overflowPunct w:val="0"/>
      <w:autoSpaceDE w:val="0"/>
      <w:autoSpaceDN w:val="0"/>
      <w:textAlignment w:val="baseline"/>
    </w:pPr>
    <w:rPr>
      <w:rFonts w:ascii="Calibri" w:hAnsi="Calibri"/>
      <w:sz w:val="24"/>
    </w:rPr>
  </w:style>
  <w:style w:type="paragraph" w:customStyle="1" w:styleId="71">
    <w:name w:val="缺省文本"/>
    <w:qFormat/>
    <w:uiPriority w:val="0"/>
    <w:pPr>
      <w:widowControl w:val="0"/>
      <w:autoSpaceDE w:val="0"/>
      <w:autoSpaceDN w:val="0"/>
      <w:adjustRightInd w:val="0"/>
    </w:pPr>
    <w:rPr>
      <w:rFonts w:ascii="Times New Roman" w:hAnsi="Times New Roman" w:eastAsia="宋体" w:cs="Times New Roman"/>
      <w:color w:val="000000"/>
      <w:lang w:val="en-US" w:eastAsia="zh-CN" w:bidi="ar-SA"/>
    </w:rPr>
  </w:style>
  <w:style w:type="paragraph" w:customStyle="1" w:styleId="72">
    <w:name w:val="首行缩进"/>
    <w:basedOn w:val="1"/>
    <w:qFormat/>
    <w:uiPriority w:val="99"/>
    <w:pPr>
      <w:ind w:firstLine="480" w:firstLineChars="200"/>
    </w:pPr>
    <w:rPr>
      <w:lang w:val="zh-CN"/>
    </w:rPr>
  </w:style>
  <w:style w:type="paragraph" w:customStyle="1" w:styleId="73">
    <w:name w:val="Table Text"/>
    <w:basedOn w:val="1"/>
    <w:semiHidden/>
    <w:qFormat/>
    <w:uiPriority w:val="0"/>
    <w:rPr>
      <w:rFonts w:ascii="仿宋" w:hAnsi="仿宋" w:eastAsia="仿宋" w:cs="仿宋"/>
      <w:sz w:val="28"/>
      <w:szCs w:val="28"/>
      <w:lang w:val="en-US" w:eastAsia="en-US" w:bidi="ar-SA"/>
    </w:rPr>
  </w:style>
  <w:style w:type="paragraph" w:styleId="74">
    <w:name w:val="List Paragraph"/>
    <w:basedOn w:val="1"/>
    <w:qFormat/>
    <w:uiPriority w:val="99"/>
    <w:pPr>
      <w:ind w:firstLine="420" w:firstLineChars="200"/>
    </w:pPr>
  </w:style>
  <w:style w:type="paragraph" w:customStyle="1" w:styleId="75">
    <w:name w:val="5）标书正文 首行缩进2字符"/>
    <w:basedOn w:val="1"/>
    <w:qFormat/>
    <w:uiPriority w:val="99"/>
    <w:pPr>
      <w:spacing w:line="480" w:lineRule="exact"/>
      <w:ind w:firstLine="200" w:firstLineChars="200"/>
    </w:pPr>
    <w:rPr>
      <w:rFonts w:ascii="仿宋_GB2312" w:eastAsia="仿宋_GB2312"/>
      <w:sz w:val="28"/>
    </w:rPr>
  </w:style>
  <w:style w:type="paragraph" w:customStyle="1" w:styleId="76">
    <w:name w:val="列出段落1"/>
    <w:basedOn w:val="1"/>
    <w:qFormat/>
    <w:uiPriority w:val="34"/>
    <w:pPr>
      <w:ind w:firstLine="420" w:firstLineChars="200"/>
    </w:pPr>
  </w:style>
  <w:style w:type="paragraph" w:customStyle="1" w:styleId="77">
    <w:name w:val="Default"/>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paragraph" w:customStyle="1" w:styleId="78">
    <w:name w:val="索引 11"/>
    <w:basedOn w:val="1"/>
    <w:next w:val="1"/>
    <w:qFormat/>
    <w:uiPriority w:val="0"/>
    <w:pPr>
      <w:spacing w:line="360" w:lineRule="auto"/>
    </w:pPr>
    <w:rPr>
      <w:rFonts w:ascii="仿宋_GB2312" w:eastAsia="仿宋_GB2312"/>
      <w:sz w:val="24"/>
      <w:szCs w:val="20"/>
    </w:rPr>
  </w:style>
  <w:style w:type="paragraph" w:customStyle="1" w:styleId="79">
    <w:name w:val="_Style 2"/>
    <w:basedOn w:val="2"/>
    <w:next w:val="1"/>
    <w:qFormat/>
    <w:uiPriority w:val="39"/>
    <w:pPr>
      <w:widowControl/>
      <w:spacing w:before="480" w:line="276" w:lineRule="auto"/>
      <w:jc w:val="left"/>
      <w:outlineLvl w:val="9"/>
    </w:pPr>
    <w:rPr>
      <w:rFonts w:ascii="Cambria" w:hAnsi="Cambria"/>
      <w:b w:val="0"/>
      <w:color w:val="365F91"/>
      <w:kern w:val="0"/>
      <w:szCs w:val="28"/>
    </w:rPr>
  </w:style>
  <w:style w:type="paragraph" w:customStyle="1" w:styleId="80">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81">
    <w:name w:val="正文缩进1"/>
    <w:basedOn w:val="1"/>
    <w:qFormat/>
    <w:uiPriority w:val="0"/>
    <w:pPr>
      <w:ind w:firstLine="420" w:firstLineChars="200"/>
    </w:pPr>
  </w:style>
  <w:style w:type="paragraph" w:customStyle="1" w:styleId="82">
    <w:name w:val="其他"/>
    <w:basedOn w:val="1"/>
    <w:qFormat/>
    <w:uiPriority w:val="0"/>
    <w:pPr>
      <w:shd w:val="clear" w:color="auto" w:fill="FFFFFF"/>
      <w:spacing w:line="303" w:lineRule="exact"/>
      <w:jc w:val="left"/>
    </w:pPr>
    <w:rPr>
      <w:rFonts w:ascii="黑体" w:hAnsi="黑体" w:eastAsia="黑体" w:cs="黑体"/>
      <w:sz w:val="19"/>
      <w:szCs w:val="19"/>
      <w:lang w:val="zh-CN" w:bidi="zh-CN"/>
    </w:rPr>
  </w:style>
  <w:style w:type="paragraph" w:styleId="83">
    <w:name w:val="No Spacing"/>
    <w:qFormat/>
    <w:uiPriority w:val="1"/>
    <w:pPr>
      <w:widowControl w:val="0"/>
    </w:pPr>
    <w:rPr>
      <w:rFonts w:ascii="宋体" w:hAnsi="宋体" w:eastAsia="宋体" w:cs="Times New Roman"/>
      <w:kern w:val="2"/>
      <w:sz w:val="21"/>
      <w:szCs w:val="22"/>
      <w:lang w:val="en-US" w:eastAsia="zh-CN" w:bidi="ar-SA"/>
    </w:rPr>
  </w:style>
  <w:style w:type="paragraph" w:customStyle="1" w:styleId="84">
    <w:name w:val="标题 1 New"/>
    <w:qFormat/>
    <w:uiPriority w:val="0"/>
    <w:pPr>
      <w:keepNext/>
      <w:jc w:val="center"/>
      <w:outlineLvl w:val="0"/>
    </w:pPr>
    <w:rPr>
      <w:rFonts w:ascii="Times New Roman" w:hAnsi="Times New Roman" w:eastAsia="宋体" w:cs="Times New Roman"/>
      <w:sz w:val="28"/>
      <w:szCs w:val="28"/>
      <w:lang w:val="en-US" w:eastAsia="zh-CN" w:bidi="ar-SA"/>
    </w:rPr>
  </w:style>
  <w:style w:type="paragraph" w:customStyle="1" w:styleId="85">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86">
    <w:name w:val="纯文本1"/>
    <w:basedOn w:val="1"/>
    <w:qFormat/>
    <w:uiPriority w:val="0"/>
    <w:rPr>
      <w:rFonts w:ascii="宋体" w:hAnsi="Courier New" w:eastAsia="宋体" w:cs="Times New Roman"/>
      <w:szCs w:val="22"/>
    </w:rPr>
  </w:style>
  <w:style w:type="paragraph" w:customStyle="1" w:styleId="87">
    <w:name w:val="默认段落字体 Para Char Char Char Char Char Char Char Char Char Char"/>
    <w:basedOn w:val="1"/>
    <w:qFormat/>
    <w:uiPriority w:val="0"/>
    <w:rPr>
      <w:rFonts w:ascii="Tahoma" w:hAnsi="Tahoma"/>
      <w:sz w:val="24"/>
    </w:rPr>
  </w:style>
  <w:style w:type="table" w:customStyle="1" w:styleId="88">
    <w:name w:val="Table Normal"/>
    <w:unhideWhenUsed/>
    <w:qFormat/>
    <w:uiPriority w:val="0"/>
    <w:rPr>
      <w:lang w:val="en-US" w:eastAsia="zh-CN" w:bidi="ar-SA"/>
    </w:rPr>
    <w:tblPr>
      <w:tblCellMar>
        <w:top w:w="0" w:type="dxa"/>
        <w:left w:w="0" w:type="dxa"/>
        <w:bottom w:w="0" w:type="dxa"/>
        <w:right w:w="0" w:type="dxa"/>
      </w:tblCellMar>
    </w:tblPr>
  </w:style>
  <w:style w:type="character" w:customStyle="1" w:styleId="89">
    <w:name w:val="cf01"/>
    <w:basedOn w:val="29"/>
    <w:qFormat/>
    <w:uiPriority w:val="0"/>
    <w:rPr>
      <w:rFonts w:hint="eastAsia" w:ascii="Microsoft YaHei UI" w:hAnsi="Microsoft YaHei UI" w:eastAsia="Microsoft YaHei UI"/>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Home</Company>
  <Pages>124</Pages>
  <Words>12975</Words>
  <Characters>13927</Characters>
  <Lines>590</Lines>
  <Paragraphs>166</Paragraphs>
  <TotalTime>103</TotalTime>
  <ScaleCrop>false</ScaleCrop>
  <LinksUpToDate>false</LinksUpToDate>
  <CharactersWithSpaces>14169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2020-12-11T09:06:00Z</dcterms:created>
  <dc:creator>正版用户</dc:creator>
  <cp:lastModifiedBy>黄新新</cp:lastModifiedBy>
  <cp:lastPrinted>2025-12-01T07:58:00Z</cp:lastPrinted>
  <dcterms:modified xsi:type="dcterms:W3CDTF">2026-05-08T06:50:32Z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D196C89F66D44A86AB50C441785415BC_13</vt:lpwstr>
  </property>
  <property fmtid="{D5CDD505-2E9C-101B-9397-08002B2CF9AE}" pid="4" name="KSOTemplateDocerSaveRecord">
    <vt:lpwstr>eyJoZGlkIjoiMmI3OGJjOGFkOTA0ZWQ5ZDQ3Yjg1ODBmMWRkYjA4MDQiLCJ1c2VySWQiOiIyNjk4Mzk3MDEifQ==</vt:lpwstr>
  </property>
</Properties>
</file>