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E9523">
      <w:pPr>
        <w:jc w:val="center"/>
        <w:rPr>
          <w:rFonts w:ascii="仿宋" w:hAnsi="仿宋" w:eastAsia="仿宋" w:cs="仿宋"/>
          <w:sz w:val="32"/>
          <w:szCs w:val="32"/>
        </w:rPr>
      </w:pPr>
    </w:p>
    <w:p w14:paraId="6E4C3D39">
      <w:pPr>
        <w:jc w:val="center"/>
        <w:rPr>
          <w:rFonts w:ascii="仿宋" w:hAnsi="仿宋" w:eastAsia="仿宋" w:cs="仿宋"/>
          <w:sz w:val="32"/>
          <w:szCs w:val="32"/>
        </w:rPr>
      </w:pPr>
    </w:p>
    <w:p w14:paraId="7DD5A7EB">
      <w:pPr>
        <w:jc w:val="center"/>
        <w:rPr>
          <w:rFonts w:ascii="仿宋" w:hAnsi="仿宋" w:eastAsia="仿宋" w:cs="仿宋"/>
          <w:sz w:val="32"/>
          <w:szCs w:val="32"/>
        </w:rPr>
      </w:pPr>
    </w:p>
    <w:p w14:paraId="0897D816">
      <w:pPr>
        <w:jc w:val="center"/>
        <w:rPr>
          <w:rFonts w:hint="eastAsia" w:ascii="仿宋" w:hAnsi="仿宋" w:eastAsia="仿宋" w:cs="仿宋"/>
          <w:sz w:val="40"/>
          <w:szCs w:val="32"/>
          <w:lang w:eastAsia="zh-CN"/>
        </w:rPr>
      </w:pPr>
      <w:r>
        <w:rPr>
          <w:rFonts w:hint="eastAsia" w:ascii="仿宋" w:hAnsi="仿宋" w:eastAsia="仿宋" w:cs="仿宋"/>
          <w:sz w:val="40"/>
          <w:szCs w:val="32"/>
          <w:lang w:eastAsia="zh-CN"/>
        </w:rPr>
        <w:t>乌鲁木齐市部分区域数据要素采集项目</w:t>
      </w:r>
    </w:p>
    <w:p w14:paraId="44498541">
      <w:pPr>
        <w:jc w:val="center"/>
        <w:rPr>
          <w:rFonts w:ascii="仿宋" w:hAnsi="仿宋" w:eastAsia="仿宋" w:cs="仿宋"/>
          <w:sz w:val="32"/>
          <w:szCs w:val="32"/>
        </w:rPr>
      </w:pPr>
    </w:p>
    <w:p w14:paraId="5389F078">
      <w:pPr>
        <w:jc w:val="center"/>
        <w:rPr>
          <w:rFonts w:ascii="仿宋" w:hAnsi="仿宋" w:eastAsia="仿宋" w:cs="仿宋"/>
          <w:sz w:val="32"/>
          <w:szCs w:val="32"/>
        </w:rPr>
      </w:pPr>
    </w:p>
    <w:p w14:paraId="6DDB0DF9">
      <w:pPr>
        <w:jc w:val="center"/>
        <w:rPr>
          <w:rFonts w:ascii="仿宋" w:hAnsi="仿宋" w:eastAsia="仿宋" w:cs="仿宋"/>
          <w:sz w:val="32"/>
          <w:szCs w:val="32"/>
        </w:rPr>
      </w:pPr>
    </w:p>
    <w:p w14:paraId="07B3F642">
      <w:pPr>
        <w:jc w:val="center"/>
        <w:rPr>
          <w:rFonts w:ascii="仿宋" w:hAnsi="仿宋" w:eastAsia="仿宋" w:cs="仿宋"/>
          <w:sz w:val="40"/>
          <w:szCs w:val="32"/>
        </w:rPr>
      </w:pPr>
      <w:r>
        <w:rPr>
          <w:rFonts w:hint="eastAsia" w:ascii="仿宋" w:hAnsi="仿宋" w:eastAsia="仿宋" w:cs="仿宋"/>
          <w:sz w:val="40"/>
          <w:szCs w:val="32"/>
        </w:rPr>
        <w:t>公开招标采购文件</w:t>
      </w:r>
    </w:p>
    <w:p w14:paraId="1DFAEB90">
      <w:pPr>
        <w:jc w:val="center"/>
        <w:rPr>
          <w:rFonts w:ascii="仿宋" w:hAnsi="仿宋" w:eastAsia="仿宋" w:cs="仿宋"/>
          <w:sz w:val="32"/>
          <w:szCs w:val="32"/>
        </w:rPr>
      </w:pPr>
    </w:p>
    <w:p w14:paraId="3E2BC5E2">
      <w:pPr>
        <w:jc w:val="center"/>
        <w:rPr>
          <w:rFonts w:ascii="仿宋" w:hAnsi="仿宋" w:eastAsia="仿宋" w:cs="仿宋"/>
          <w:sz w:val="32"/>
          <w:szCs w:val="32"/>
        </w:rPr>
      </w:pPr>
    </w:p>
    <w:p w14:paraId="30534F63">
      <w:pPr>
        <w:jc w:val="center"/>
        <w:rPr>
          <w:rFonts w:ascii="仿宋" w:hAnsi="仿宋" w:eastAsia="仿宋" w:cs="仿宋"/>
          <w:sz w:val="32"/>
          <w:szCs w:val="32"/>
        </w:rPr>
      </w:pPr>
    </w:p>
    <w:p w14:paraId="07194C1B">
      <w:pPr>
        <w:jc w:val="center"/>
        <w:rPr>
          <w:rFonts w:ascii="仿宋" w:hAnsi="仿宋" w:eastAsia="仿宋" w:cs="仿宋"/>
          <w:sz w:val="32"/>
          <w:szCs w:val="32"/>
        </w:rPr>
      </w:pPr>
    </w:p>
    <w:p w14:paraId="708951B1">
      <w:pPr>
        <w:jc w:val="center"/>
        <w:rPr>
          <w:rFonts w:ascii="仿宋" w:hAnsi="仿宋" w:eastAsia="仿宋" w:cs="仿宋"/>
          <w:sz w:val="32"/>
          <w:szCs w:val="32"/>
        </w:rPr>
      </w:pPr>
    </w:p>
    <w:p w14:paraId="5F0FE1BE">
      <w:pPr>
        <w:jc w:val="center"/>
        <w:rPr>
          <w:rFonts w:ascii="仿宋" w:hAnsi="仿宋" w:eastAsia="仿宋" w:cs="仿宋"/>
          <w:sz w:val="32"/>
          <w:szCs w:val="32"/>
        </w:rPr>
      </w:pPr>
    </w:p>
    <w:p w14:paraId="7F542C55">
      <w:pPr>
        <w:jc w:val="center"/>
        <w:rPr>
          <w:rFonts w:ascii="仿宋" w:hAnsi="仿宋" w:eastAsia="仿宋" w:cs="仿宋"/>
          <w:sz w:val="32"/>
          <w:szCs w:val="32"/>
        </w:rPr>
      </w:pPr>
    </w:p>
    <w:p w14:paraId="5B35B1D0">
      <w:pPr>
        <w:rPr>
          <w:rFonts w:cs="仿宋" w:asciiTheme="majorEastAsia" w:hAnsiTheme="majorEastAsia" w:eastAsiaTheme="majorEastAsia"/>
          <w:sz w:val="32"/>
          <w:szCs w:val="32"/>
        </w:rPr>
      </w:pPr>
      <w:r>
        <w:rPr>
          <w:rFonts w:hint="eastAsia" w:cs="微软雅黑" w:asciiTheme="majorEastAsia" w:hAnsiTheme="majorEastAsia" w:eastAsiaTheme="majorEastAsia"/>
          <w:bCs/>
          <w:sz w:val="32"/>
          <w:szCs w:val="32"/>
        </w:rPr>
        <w:t>采购人：</w:t>
      </w:r>
      <w:r>
        <w:rPr>
          <w:rFonts w:hint="eastAsia" w:cs="微软雅黑" w:asciiTheme="majorEastAsia" w:hAnsiTheme="majorEastAsia" w:eastAsiaTheme="majorEastAsia"/>
          <w:bCs/>
          <w:sz w:val="32"/>
          <w:szCs w:val="32"/>
          <w:lang w:eastAsia="zh-CN"/>
        </w:rPr>
        <w:t>乌鲁木齐市城市勘察测绘院（乌鲁木齐市基础地理信息中心）</w:t>
      </w:r>
      <w:r>
        <w:rPr>
          <w:rFonts w:hint="eastAsia" w:cs="微软雅黑" w:asciiTheme="majorEastAsia" w:hAnsiTheme="majorEastAsia" w:eastAsiaTheme="majorEastAsia"/>
          <w:bCs/>
          <w:sz w:val="32"/>
          <w:szCs w:val="32"/>
        </w:rPr>
        <w:t>（盖章）</w:t>
      </w:r>
    </w:p>
    <w:p w14:paraId="35F358FF">
      <w:pPr>
        <w:rPr>
          <w:rFonts w:cs="仿宋" w:asciiTheme="majorEastAsia" w:hAnsiTheme="majorEastAsia" w:eastAsiaTheme="majorEastAsia"/>
          <w:sz w:val="32"/>
          <w:szCs w:val="32"/>
        </w:rPr>
      </w:pPr>
      <w:r>
        <w:rPr>
          <w:rFonts w:hint="eastAsia" w:cs="微软雅黑" w:asciiTheme="majorEastAsia" w:hAnsiTheme="majorEastAsia" w:eastAsiaTheme="majorEastAsia"/>
          <w:bCs/>
          <w:sz w:val="32"/>
          <w:szCs w:val="32"/>
        </w:rPr>
        <w:t>采购代理机构：新疆城基宏业工程管理咨询有限公司（盖章）</w:t>
      </w:r>
    </w:p>
    <w:p w14:paraId="53A9FFB5">
      <w:pPr>
        <w:jc w:val="center"/>
        <w:rPr>
          <w:rFonts w:cs="仿宋" w:asciiTheme="majorEastAsia" w:hAnsiTheme="majorEastAsia" w:eastAsiaTheme="majorEastAsia"/>
          <w:sz w:val="32"/>
          <w:szCs w:val="32"/>
        </w:rPr>
      </w:pPr>
    </w:p>
    <w:p w14:paraId="3BC3B120">
      <w:pPr>
        <w:jc w:val="center"/>
        <w:rPr>
          <w:rFonts w:cs="仿宋" w:asciiTheme="majorEastAsia" w:hAnsiTheme="majorEastAsia" w:eastAsiaTheme="majorEastAsia"/>
          <w:sz w:val="32"/>
          <w:szCs w:val="32"/>
        </w:rPr>
      </w:pPr>
      <w:r>
        <w:rPr>
          <w:rFonts w:hint="eastAsia" w:cs="微软雅黑" w:asciiTheme="majorEastAsia" w:hAnsiTheme="majorEastAsia" w:eastAsiaTheme="majorEastAsia"/>
          <w:bCs/>
          <w:sz w:val="32"/>
          <w:szCs w:val="32"/>
        </w:rPr>
        <w:t>日期：2026年0</w:t>
      </w:r>
      <w:r>
        <w:rPr>
          <w:rFonts w:hint="eastAsia" w:cs="微软雅黑" w:asciiTheme="majorEastAsia" w:hAnsiTheme="majorEastAsia" w:eastAsiaTheme="majorEastAsia"/>
          <w:bCs/>
          <w:sz w:val="32"/>
          <w:szCs w:val="32"/>
          <w:lang w:val="en-US" w:eastAsia="zh-CN"/>
        </w:rPr>
        <w:t>5</w:t>
      </w:r>
      <w:r>
        <w:rPr>
          <w:rFonts w:hint="eastAsia" w:cs="微软雅黑" w:asciiTheme="majorEastAsia" w:hAnsiTheme="majorEastAsia" w:eastAsiaTheme="majorEastAsia"/>
          <w:bCs/>
          <w:sz w:val="32"/>
          <w:szCs w:val="32"/>
        </w:rPr>
        <w:t>月</w:t>
      </w:r>
    </w:p>
    <w:p w14:paraId="5D6EE174">
      <w:pPr>
        <w:jc w:val="center"/>
        <w:rPr>
          <w:rFonts w:ascii="仿宋" w:hAnsi="仿宋" w:eastAsia="仿宋" w:cs="仿宋"/>
          <w:sz w:val="32"/>
          <w:szCs w:val="32"/>
        </w:rPr>
      </w:pPr>
    </w:p>
    <w:p w14:paraId="01CC0E43">
      <w:pPr>
        <w:jc w:val="center"/>
        <w:rPr>
          <w:rFonts w:ascii="仿宋" w:hAnsi="仿宋" w:eastAsia="仿宋" w:cs="仿宋"/>
          <w:sz w:val="32"/>
          <w:szCs w:val="32"/>
        </w:rPr>
      </w:pPr>
    </w:p>
    <w:p w14:paraId="0C4BE221">
      <w:pPr>
        <w:jc w:val="center"/>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14:paraId="12F736DB">
      <w:pPr>
        <w:jc w:val="center"/>
        <w:rPr>
          <w:rFonts w:ascii="仿宋" w:hAnsi="仿宋" w:eastAsia="仿宋" w:cs="仿宋"/>
          <w:sz w:val="32"/>
          <w:szCs w:val="32"/>
        </w:rPr>
      </w:pPr>
    </w:p>
    <w:tbl>
      <w:tblPr>
        <w:tblStyle w:val="44"/>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10C3B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14:paraId="562ED1E6">
            <w:pPr>
              <w:rPr>
                <w:rFonts w:ascii="仿宋" w:hAnsi="仿宋" w:eastAsia="仿宋" w:cs="仿宋"/>
                <w:b/>
                <w:bCs/>
                <w:sz w:val="32"/>
                <w:szCs w:val="32"/>
              </w:rPr>
            </w:pPr>
            <w:r>
              <w:rPr>
                <w:rFonts w:hint="eastAsia" w:ascii="仿宋" w:hAnsi="仿宋" w:eastAsia="仿宋" w:cs="仿宋"/>
                <w:sz w:val="32"/>
                <w:szCs w:val="32"/>
              </w:rPr>
              <w:br w:type="page"/>
            </w:r>
          </w:p>
          <w:p w14:paraId="5D374115">
            <w:pPr>
              <w:spacing w:line="360" w:lineRule="auto"/>
              <w:ind w:right="31" w:rightChars="15"/>
              <w:jc w:val="center"/>
              <w:rPr>
                <w:rFonts w:ascii="仿宋" w:hAnsi="仿宋" w:eastAsia="仿宋" w:cs="仿宋"/>
                <w:b/>
                <w:bCs/>
                <w:sz w:val="32"/>
                <w:szCs w:val="32"/>
              </w:rPr>
            </w:pPr>
          </w:p>
          <w:p w14:paraId="2BC899B2">
            <w:pPr>
              <w:spacing w:line="360" w:lineRule="auto"/>
              <w:ind w:right="31" w:rightChars="15"/>
              <w:jc w:val="center"/>
              <w:rPr>
                <w:rFonts w:ascii="仿宋" w:hAnsi="仿宋" w:eastAsia="仿宋" w:cs="仿宋"/>
                <w:b/>
                <w:bCs/>
                <w:sz w:val="32"/>
                <w:szCs w:val="32"/>
              </w:rPr>
            </w:pPr>
            <w:r>
              <w:rPr>
                <w:rFonts w:hint="eastAsia" w:ascii="仿宋" w:hAnsi="仿宋" w:eastAsia="仿宋" w:cs="仿宋"/>
                <w:b/>
                <w:bCs/>
                <w:sz w:val="32"/>
                <w:szCs w:val="32"/>
              </w:rPr>
              <w:t>招标文件确认表</w:t>
            </w:r>
          </w:p>
          <w:p w14:paraId="49BD1E0D">
            <w:pPr>
              <w:spacing w:line="360" w:lineRule="auto"/>
              <w:ind w:firstLine="720" w:firstLineChars="300"/>
              <w:rPr>
                <w:rFonts w:ascii="仿宋" w:hAnsi="仿宋" w:eastAsia="仿宋" w:cs="仿宋"/>
                <w:sz w:val="24"/>
              </w:rPr>
            </w:pPr>
          </w:p>
          <w:p w14:paraId="7736B123">
            <w:pPr>
              <w:spacing w:line="360" w:lineRule="auto"/>
              <w:rPr>
                <w:rFonts w:ascii="仿宋" w:hAnsi="仿宋" w:eastAsia="仿宋" w:cs="仿宋"/>
                <w:sz w:val="28"/>
                <w:szCs w:val="28"/>
              </w:rPr>
            </w:pPr>
            <w:r>
              <w:rPr>
                <w:rFonts w:hint="eastAsia" w:ascii="仿宋" w:hAnsi="仿宋" w:eastAsia="仿宋" w:cs="仿宋"/>
                <w:sz w:val="28"/>
                <w:szCs w:val="28"/>
              </w:rPr>
              <w:t>新疆城基宏业工程管理咨询有限公司：</w:t>
            </w:r>
          </w:p>
          <w:p w14:paraId="08367272">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u w:val="single"/>
                <w:lang w:eastAsia="zh-CN"/>
              </w:rPr>
              <w:t>乌鲁木齐市部分区域数据要素采集项目</w:t>
            </w:r>
            <w:r>
              <w:rPr>
                <w:rFonts w:hint="eastAsia" w:ascii="仿宋" w:hAnsi="仿宋" w:eastAsia="仿宋" w:cs="仿宋"/>
                <w:sz w:val="28"/>
                <w:szCs w:val="28"/>
                <w:u w:val="single"/>
              </w:rPr>
              <w:t>（项目编号：</w:t>
            </w:r>
            <w:r>
              <w:rPr>
                <w:rFonts w:hint="eastAsia" w:ascii="仿宋" w:hAnsi="仿宋" w:eastAsia="仿宋" w:cs="仿宋"/>
                <w:sz w:val="28"/>
                <w:szCs w:val="28"/>
                <w:u w:val="single"/>
              </w:rPr>
              <w:fldChar w:fldCharType="begin"/>
            </w:r>
            <w:r>
              <w:rPr>
                <w:rFonts w:hint="eastAsia" w:ascii="仿宋" w:hAnsi="仿宋" w:eastAsia="仿宋" w:cs="仿宋"/>
                <w:sz w:val="28"/>
                <w:szCs w:val="28"/>
                <w:u w:val="single"/>
              </w:rPr>
              <w:instrText xml:space="preserve"> HYPERLINK "https://www.zcygov.cn/delegation-order/_procurement_/order/orderInfo/detail/6821773913924109370" \t "https://www.zcygov.cn/delegation-order/_procurement_/order/_blank" </w:instrText>
            </w:r>
            <w:r>
              <w:rPr>
                <w:rFonts w:hint="eastAsia" w:ascii="仿宋" w:hAnsi="仿宋" w:eastAsia="仿宋" w:cs="仿宋"/>
                <w:sz w:val="28"/>
                <w:szCs w:val="28"/>
                <w:u w:val="single"/>
              </w:rPr>
              <w:fldChar w:fldCharType="separate"/>
            </w:r>
            <w:r>
              <w:rPr>
                <w:rFonts w:hint="eastAsia" w:ascii="仿宋" w:hAnsi="仿宋" w:eastAsia="仿宋" w:cs="仿宋"/>
                <w:sz w:val="28"/>
                <w:szCs w:val="28"/>
                <w:u w:val="single"/>
              </w:rPr>
              <w:t>2026-0506-125201</w:t>
            </w:r>
            <w:r>
              <w:rPr>
                <w:rFonts w:hint="eastAsia" w:ascii="仿宋" w:hAnsi="仿宋" w:eastAsia="仿宋" w:cs="仿宋"/>
                <w:sz w:val="28"/>
                <w:szCs w:val="28"/>
                <w:u w:val="single"/>
              </w:rPr>
              <w:fldChar w:fldCharType="end"/>
            </w:r>
            <w:r>
              <w:rPr>
                <w:rFonts w:hint="eastAsia" w:ascii="仿宋" w:hAnsi="仿宋" w:eastAsia="仿宋" w:cs="仿宋"/>
                <w:sz w:val="28"/>
                <w:szCs w:val="28"/>
                <w:u w:val="single"/>
              </w:rPr>
              <w:t>）</w:t>
            </w:r>
            <w:r>
              <w:rPr>
                <w:rFonts w:hint="eastAsia" w:ascii="仿宋" w:hAnsi="仿宋" w:eastAsia="仿宋" w:cs="仿宋"/>
                <w:sz w:val="28"/>
                <w:szCs w:val="28"/>
              </w:rPr>
              <w:t>招标文件，经我单位审核符合我单位提出的招标要求，同意对外发布。</w:t>
            </w:r>
          </w:p>
          <w:p w14:paraId="2BD13417">
            <w:pPr>
              <w:spacing w:line="360" w:lineRule="auto"/>
              <w:rPr>
                <w:rFonts w:ascii="仿宋" w:hAnsi="仿宋" w:eastAsia="仿宋" w:cs="仿宋"/>
                <w:sz w:val="28"/>
                <w:szCs w:val="28"/>
              </w:rPr>
            </w:pPr>
          </w:p>
          <w:p w14:paraId="13C8246F">
            <w:pPr>
              <w:spacing w:line="360" w:lineRule="auto"/>
              <w:ind w:right="240"/>
              <w:rPr>
                <w:rFonts w:ascii="仿宋" w:hAnsi="仿宋" w:eastAsia="仿宋" w:cs="仿宋"/>
                <w:sz w:val="28"/>
                <w:szCs w:val="28"/>
              </w:rPr>
            </w:pPr>
          </w:p>
          <w:p w14:paraId="002A7425">
            <w:pPr>
              <w:spacing w:line="360" w:lineRule="auto"/>
              <w:ind w:right="240"/>
              <w:rPr>
                <w:rFonts w:ascii="仿宋" w:hAnsi="仿宋" w:eastAsia="仿宋" w:cs="仿宋"/>
                <w:sz w:val="28"/>
                <w:szCs w:val="28"/>
              </w:rPr>
            </w:pPr>
          </w:p>
          <w:p w14:paraId="77B65D4B">
            <w:pPr>
              <w:spacing w:line="360" w:lineRule="auto"/>
              <w:ind w:right="840"/>
              <w:jc w:val="right"/>
              <w:rPr>
                <w:rFonts w:hint="eastAsia" w:ascii="仿宋" w:hAnsi="仿宋" w:eastAsia="仿宋" w:cs="仿宋"/>
                <w:sz w:val="28"/>
                <w:szCs w:val="28"/>
                <w:lang w:eastAsia="zh-CN"/>
              </w:rPr>
            </w:pPr>
            <w:r>
              <w:rPr>
                <w:rFonts w:hint="eastAsia" w:ascii="仿宋" w:hAnsi="仿宋" w:eastAsia="仿宋" w:cs="仿宋"/>
                <w:sz w:val="28"/>
                <w:szCs w:val="28"/>
              </w:rPr>
              <w:t xml:space="preserve">                     采购人：</w:t>
            </w:r>
            <w:r>
              <w:rPr>
                <w:rFonts w:hint="eastAsia" w:ascii="仿宋" w:hAnsi="仿宋" w:eastAsia="仿宋" w:cs="仿宋"/>
                <w:sz w:val="28"/>
                <w:szCs w:val="28"/>
                <w:lang w:eastAsia="zh-CN"/>
              </w:rPr>
              <w:t>乌鲁木齐市城市勘察测绘院（乌鲁木齐市基础地理信息中心）</w:t>
            </w:r>
          </w:p>
          <w:p w14:paraId="2A260CBF">
            <w:pPr>
              <w:spacing w:line="360" w:lineRule="auto"/>
              <w:ind w:right="960"/>
              <w:rPr>
                <w:rFonts w:ascii="仿宋" w:hAnsi="仿宋" w:eastAsia="仿宋" w:cs="仿宋"/>
                <w:b/>
                <w:sz w:val="40"/>
                <w:szCs w:val="32"/>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2026年0</w:t>
            </w:r>
            <w:r>
              <w:rPr>
                <w:rFonts w:hint="eastAsia" w:ascii="仿宋" w:hAnsi="仿宋" w:eastAsia="仿宋" w:cs="仿宋"/>
                <w:sz w:val="28"/>
                <w:szCs w:val="28"/>
                <w:lang w:val="en-US" w:eastAsia="zh-CN"/>
              </w:rPr>
              <w:t>5</w:t>
            </w:r>
            <w:r>
              <w:rPr>
                <w:rFonts w:hint="eastAsia" w:ascii="仿宋" w:hAnsi="仿宋" w:eastAsia="仿宋" w:cs="仿宋"/>
                <w:sz w:val="28"/>
                <w:szCs w:val="28"/>
              </w:rPr>
              <w:t>月</w:t>
            </w:r>
          </w:p>
        </w:tc>
      </w:tr>
    </w:tbl>
    <w:p w14:paraId="061D38F5">
      <w:pPr>
        <w:jc w:val="center"/>
        <w:rPr>
          <w:rFonts w:hint="eastAsia" w:ascii="仿宋" w:hAnsi="仿宋" w:eastAsia="仿宋" w:cs="仿宋"/>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4ADE59C7">
      <w:pPr>
        <w:jc w:val="center"/>
        <w:rPr>
          <w:rFonts w:ascii="仿宋" w:hAnsi="仿宋" w:eastAsia="仿宋" w:cs="仿宋"/>
          <w:sz w:val="32"/>
          <w:szCs w:val="32"/>
        </w:rPr>
      </w:pPr>
      <w:r>
        <w:rPr>
          <w:rFonts w:hint="eastAsia" w:ascii="仿宋" w:hAnsi="仿宋" w:eastAsia="仿宋" w:cs="仿宋"/>
          <w:sz w:val="32"/>
          <w:szCs w:val="32"/>
        </w:rPr>
        <w:t>目  录</w:t>
      </w:r>
    </w:p>
    <w:sdt>
      <w:sdtPr>
        <w:rPr>
          <w:rFonts w:hint="eastAsia" w:ascii="仿宋" w:hAnsi="仿宋" w:eastAsia="仿宋" w:cs="仿宋"/>
        </w:rPr>
        <w:id w:val="147457632"/>
        <w15:color w:val="DBDBDB"/>
        <w:docPartObj>
          <w:docPartGallery w:val="Table of Contents"/>
          <w:docPartUnique/>
        </w:docPartObj>
      </w:sdtPr>
      <w:sdtEndPr>
        <w:rPr>
          <w:rFonts w:hint="eastAsia" w:ascii="仿宋" w:hAnsi="仿宋" w:eastAsia="仿宋" w:cs="仿宋"/>
          <w:b/>
          <w:szCs w:val="32"/>
        </w:rPr>
      </w:sdtEndPr>
      <w:sdtContent>
        <w:p w14:paraId="4F26F9B7">
          <w:pPr>
            <w:jc w:val="center"/>
            <w:rPr>
              <w:rFonts w:ascii="仿宋" w:hAnsi="仿宋" w:eastAsia="仿宋" w:cs="仿宋"/>
            </w:rPr>
          </w:pPr>
        </w:p>
        <w:p w14:paraId="2546B3D4">
          <w:pPr>
            <w:pStyle w:val="30"/>
            <w:tabs>
              <w:tab w:val="right" w:leader="dot" w:pos="8296"/>
            </w:tabs>
            <w:spacing w:line="360" w:lineRule="auto"/>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TOC \o "1-2" \h \u </w:instrText>
          </w:r>
          <w:r>
            <w:rPr>
              <w:rFonts w:hint="eastAsia" w:ascii="仿宋" w:hAnsi="仿宋" w:eastAsia="仿宋" w:cs="仿宋"/>
              <w:sz w:val="24"/>
            </w:rPr>
            <w:fldChar w:fldCharType="separate"/>
          </w:r>
          <w:r>
            <w:fldChar w:fldCharType="begin"/>
          </w:r>
          <w:r>
            <w:instrText xml:space="preserve"> HYPERLINK \l "_Toc155630071" </w:instrText>
          </w:r>
          <w:r>
            <w:fldChar w:fldCharType="separate"/>
          </w:r>
          <w:r>
            <w:rPr>
              <w:rStyle w:val="51"/>
              <w:rFonts w:hint="eastAsia" w:ascii="仿宋" w:hAnsi="仿宋" w:eastAsia="仿宋" w:cs="仿宋"/>
              <w:sz w:val="24"/>
            </w:rPr>
            <w:t>第一章 招标公告</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rPr>
            <w:t>1</w:t>
          </w:r>
        </w:p>
        <w:p w14:paraId="246D9765">
          <w:pPr>
            <w:pStyle w:val="30"/>
            <w:tabs>
              <w:tab w:val="right" w:leader="dot" w:pos="8296"/>
            </w:tabs>
            <w:spacing w:line="360" w:lineRule="auto"/>
            <w:rPr>
              <w:rFonts w:ascii="仿宋" w:hAnsi="仿宋" w:eastAsia="仿宋" w:cs="仿宋"/>
              <w:sz w:val="24"/>
            </w:rPr>
          </w:pPr>
          <w:r>
            <w:fldChar w:fldCharType="begin"/>
          </w:r>
          <w:r>
            <w:instrText xml:space="preserve"> HYPERLINK \l "_Toc155630073" </w:instrText>
          </w:r>
          <w:r>
            <w:fldChar w:fldCharType="separate"/>
          </w:r>
          <w:r>
            <w:rPr>
              <w:rStyle w:val="51"/>
              <w:rFonts w:hint="eastAsia" w:ascii="仿宋" w:hAnsi="仿宋" w:eastAsia="仿宋" w:cs="仿宋"/>
              <w:sz w:val="24"/>
            </w:rPr>
            <w:t>第二章 投标须知前附表</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_Toc155630073 \h </w:instrText>
          </w:r>
          <w:r>
            <w:rPr>
              <w:rFonts w:hint="eastAsia" w:ascii="仿宋" w:hAnsi="仿宋" w:eastAsia="仿宋" w:cs="仿宋"/>
              <w:sz w:val="24"/>
            </w:rPr>
            <w:fldChar w:fldCharType="separate"/>
          </w:r>
          <w:r>
            <w:rPr>
              <w:rFonts w:ascii="仿宋" w:hAnsi="仿宋" w:eastAsia="仿宋" w:cs="仿宋"/>
              <w:sz w:val="24"/>
            </w:rPr>
            <w:t>4</w:t>
          </w:r>
          <w:r>
            <w:rPr>
              <w:rFonts w:hint="eastAsia" w:ascii="仿宋" w:hAnsi="仿宋" w:eastAsia="仿宋" w:cs="仿宋"/>
              <w:sz w:val="24"/>
            </w:rPr>
            <w:fldChar w:fldCharType="end"/>
          </w:r>
          <w:r>
            <w:rPr>
              <w:rFonts w:hint="eastAsia" w:ascii="仿宋" w:hAnsi="仿宋" w:eastAsia="仿宋" w:cs="仿宋"/>
              <w:sz w:val="24"/>
            </w:rPr>
            <w:fldChar w:fldCharType="end"/>
          </w:r>
        </w:p>
        <w:p w14:paraId="1B55CD31">
          <w:pPr>
            <w:pStyle w:val="30"/>
            <w:tabs>
              <w:tab w:val="right" w:leader="dot" w:pos="8296"/>
            </w:tabs>
            <w:spacing w:line="360" w:lineRule="auto"/>
            <w:rPr>
              <w:rFonts w:ascii="仿宋" w:hAnsi="仿宋" w:eastAsia="仿宋" w:cs="仿宋"/>
              <w:sz w:val="24"/>
            </w:rPr>
          </w:pPr>
          <w:r>
            <w:fldChar w:fldCharType="begin"/>
          </w:r>
          <w:r>
            <w:instrText xml:space="preserve"> HYPERLINK \l "_Toc155630074" </w:instrText>
          </w:r>
          <w:r>
            <w:fldChar w:fldCharType="separate"/>
          </w:r>
          <w:r>
            <w:rPr>
              <w:rStyle w:val="51"/>
              <w:rFonts w:hint="eastAsia" w:ascii="仿宋" w:hAnsi="仿宋" w:eastAsia="仿宋" w:cs="仿宋"/>
              <w:sz w:val="24"/>
            </w:rPr>
            <w:t>第三章 投标人须知</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_Toc155630074 \h </w:instrText>
          </w:r>
          <w:r>
            <w:rPr>
              <w:rFonts w:hint="eastAsia" w:ascii="仿宋" w:hAnsi="仿宋" w:eastAsia="仿宋" w:cs="仿宋"/>
              <w:sz w:val="24"/>
            </w:rPr>
            <w:fldChar w:fldCharType="separate"/>
          </w:r>
          <w:r>
            <w:rPr>
              <w:rFonts w:ascii="仿宋" w:hAnsi="仿宋" w:eastAsia="仿宋" w:cs="仿宋"/>
              <w:sz w:val="24"/>
            </w:rPr>
            <w:t>9</w:t>
          </w:r>
          <w:r>
            <w:rPr>
              <w:rFonts w:hint="eastAsia" w:ascii="仿宋" w:hAnsi="仿宋" w:eastAsia="仿宋" w:cs="仿宋"/>
              <w:sz w:val="24"/>
            </w:rPr>
            <w:fldChar w:fldCharType="end"/>
          </w:r>
          <w:r>
            <w:rPr>
              <w:rFonts w:hint="eastAsia" w:ascii="仿宋" w:hAnsi="仿宋" w:eastAsia="仿宋" w:cs="仿宋"/>
              <w:sz w:val="24"/>
            </w:rPr>
            <w:fldChar w:fldCharType="end"/>
          </w:r>
        </w:p>
        <w:p w14:paraId="45AD9FED">
          <w:pPr>
            <w:pStyle w:val="30"/>
            <w:tabs>
              <w:tab w:val="right" w:leader="dot" w:pos="8296"/>
            </w:tabs>
            <w:spacing w:line="360" w:lineRule="auto"/>
            <w:rPr>
              <w:rFonts w:ascii="仿宋" w:hAnsi="仿宋" w:eastAsia="仿宋" w:cs="仿宋"/>
              <w:sz w:val="24"/>
            </w:rPr>
          </w:pPr>
          <w:r>
            <w:fldChar w:fldCharType="begin"/>
          </w:r>
          <w:r>
            <w:instrText xml:space="preserve"> HYPERLINK \l "_Toc155630081" </w:instrText>
          </w:r>
          <w:r>
            <w:fldChar w:fldCharType="separate"/>
          </w:r>
          <w:r>
            <w:rPr>
              <w:rStyle w:val="51"/>
              <w:rFonts w:hint="eastAsia" w:ascii="仿宋" w:hAnsi="仿宋" w:eastAsia="仿宋" w:cs="仿宋"/>
              <w:sz w:val="24"/>
            </w:rPr>
            <w:t>第四章 政府采购合同</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_Toc155630081 \h </w:instrText>
          </w:r>
          <w:r>
            <w:rPr>
              <w:rFonts w:hint="eastAsia" w:ascii="仿宋" w:hAnsi="仿宋" w:eastAsia="仿宋" w:cs="仿宋"/>
              <w:sz w:val="24"/>
            </w:rPr>
            <w:fldChar w:fldCharType="separate"/>
          </w:r>
          <w:r>
            <w:rPr>
              <w:rFonts w:ascii="仿宋" w:hAnsi="仿宋" w:eastAsia="仿宋" w:cs="仿宋"/>
              <w:sz w:val="24"/>
            </w:rPr>
            <w:t>28</w:t>
          </w:r>
          <w:r>
            <w:rPr>
              <w:rFonts w:hint="eastAsia" w:ascii="仿宋" w:hAnsi="仿宋" w:eastAsia="仿宋" w:cs="仿宋"/>
              <w:sz w:val="24"/>
            </w:rPr>
            <w:fldChar w:fldCharType="end"/>
          </w:r>
          <w:r>
            <w:rPr>
              <w:rFonts w:hint="eastAsia" w:ascii="仿宋" w:hAnsi="仿宋" w:eastAsia="仿宋" w:cs="仿宋"/>
              <w:sz w:val="24"/>
            </w:rPr>
            <w:fldChar w:fldCharType="end"/>
          </w:r>
        </w:p>
        <w:p w14:paraId="30DD19BF">
          <w:pPr>
            <w:pStyle w:val="30"/>
            <w:tabs>
              <w:tab w:val="right" w:leader="dot" w:pos="8296"/>
            </w:tabs>
            <w:spacing w:line="360" w:lineRule="auto"/>
            <w:rPr>
              <w:rFonts w:ascii="仿宋" w:hAnsi="仿宋" w:eastAsia="仿宋" w:cs="仿宋"/>
              <w:sz w:val="24"/>
            </w:rPr>
          </w:pPr>
          <w:r>
            <w:fldChar w:fldCharType="begin"/>
          </w:r>
          <w:r>
            <w:instrText xml:space="preserve"> HYPERLINK \l "_Toc155630085" </w:instrText>
          </w:r>
          <w:r>
            <w:fldChar w:fldCharType="separate"/>
          </w:r>
          <w:r>
            <w:rPr>
              <w:rStyle w:val="51"/>
              <w:rFonts w:hint="eastAsia" w:ascii="仿宋" w:hAnsi="仿宋" w:eastAsia="仿宋" w:cs="仿宋"/>
              <w:sz w:val="24"/>
            </w:rPr>
            <w:t>第五章 采购需求</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_Toc155630085 \h </w:instrText>
          </w:r>
          <w:r>
            <w:rPr>
              <w:rFonts w:hint="eastAsia" w:ascii="仿宋" w:hAnsi="仿宋" w:eastAsia="仿宋" w:cs="仿宋"/>
              <w:sz w:val="24"/>
            </w:rPr>
            <w:fldChar w:fldCharType="separate"/>
          </w:r>
          <w:r>
            <w:rPr>
              <w:rFonts w:ascii="仿宋" w:hAnsi="仿宋" w:eastAsia="仿宋" w:cs="仿宋"/>
              <w:sz w:val="24"/>
            </w:rPr>
            <w:t>39</w:t>
          </w:r>
          <w:r>
            <w:rPr>
              <w:rFonts w:hint="eastAsia" w:ascii="仿宋" w:hAnsi="仿宋" w:eastAsia="仿宋" w:cs="仿宋"/>
              <w:sz w:val="24"/>
            </w:rPr>
            <w:fldChar w:fldCharType="end"/>
          </w:r>
          <w:r>
            <w:rPr>
              <w:rFonts w:hint="eastAsia" w:ascii="仿宋" w:hAnsi="仿宋" w:eastAsia="仿宋" w:cs="仿宋"/>
              <w:sz w:val="24"/>
            </w:rPr>
            <w:fldChar w:fldCharType="end"/>
          </w:r>
        </w:p>
        <w:p w14:paraId="2D317547">
          <w:pPr>
            <w:pStyle w:val="30"/>
            <w:tabs>
              <w:tab w:val="right" w:leader="dot" w:pos="8296"/>
            </w:tabs>
            <w:spacing w:line="360" w:lineRule="auto"/>
            <w:rPr>
              <w:rFonts w:ascii="仿宋" w:hAnsi="仿宋" w:eastAsia="仿宋" w:cs="仿宋"/>
              <w:sz w:val="24"/>
            </w:rPr>
          </w:pPr>
          <w:r>
            <w:fldChar w:fldCharType="begin"/>
          </w:r>
          <w:r>
            <w:instrText xml:space="preserve"> HYPERLINK \l "_Toc155630086" </w:instrText>
          </w:r>
          <w:r>
            <w:fldChar w:fldCharType="separate"/>
          </w:r>
          <w:r>
            <w:rPr>
              <w:rStyle w:val="51"/>
              <w:rFonts w:hint="eastAsia" w:ascii="仿宋" w:hAnsi="仿宋" w:eastAsia="仿宋" w:cs="仿宋"/>
              <w:sz w:val="24"/>
            </w:rPr>
            <w:t>第六章 评标程序、评标方法和评标标准</w:t>
          </w:r>
          <w:r>
            <w:rPr>
              <w:rFonts w:hint="eastAsia" w:ascii="仿宋" w:hAnsi="仿宋" w:eastAsia="仿宋" w:cs="仿宋"/>
              <w:sz w:val="24"/>
            </w:rPr>
            <w:tab/>
          </w:r>
          <w:r>
            <w:rPr>
              <w:rFonts w:hint="eastAsia" w:ascii="仿宋" w:hAnsi="仿宋" w:eastAsia="仿宋" w:cs="仿宋"/>
              <w:sz w:val="24"/>
            </w:rPr>
            <w:t>4</w:t>
          </w:r>
          <w:r>
            <w:rPr>
              <w:rFonts w:hint="eastAsia" w:ascii="仿宋" w:hAnsi="仿宋" w:eastAsia="仿宋" w:cs="仿宋"/>
              <w:sz w:val="24"/>
            </w:rPr>
            <w:fldChar w:fldCharType="end"/>
          </w:r>
          <w:r>
            <w:rPr>
              <w:rFonts w:hint="eastAsia" w:ascii="仿宋" w:hAnsi="仿宋" w:eastAsia="仿宋" w:cs="仿宋"/>
              <w:sz w:val="24"/>
            </w:rPr>
            <w:t>8</w:t>
          </w:r>
        </w:p>
        <w:p w14:paraId="5D6CE3CE">
          <w:pPr>
            <w:pStyle w:val="30"/>
            <w:tabs>
              <w:tab w:val="right" w:leader="dot" w:pos="8296"/>
            </w:tabs>
            <w:spacing w:line="360" w:lineRule="auto"/>
            <w:rPr>
              <w:rFonts w:ascii="仿宋" w:hAnsi="仿宋" w:eastAsia="仿宋" w:cs="仿宋"/>
              <w:sz w:val="24"/>
            </w:rPr>
          </w:pPr>
          <w:r>
            <w:fldChar w:fldCharType="begin"/>
          </w:r>
          <w:r>
            <w:instrText xml:space="preserve"> HYPERLINK \l "_Toc155630093" </w:instrText>
          </w:r>
          <w:r>
            <w:fldChar w:fldCharType="separate"/>
          </w:r>
          <w:r>
            <w:rPr>
              <w:rStyle w:val="51"/>
              <w:rFonts w:hint="eastAsia" w:ascii="仿宋" w:hAnsi="仿宋" w:eastAsia="仿宋" w:cs="仿宋"/>
              <w:sz w:val="24"/>
            </w:rPr>
            <w:t>第七章 投标文件格式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_Toc155630093 \h </w:instrText>
          </w:r>
          <w:r>
            <w:rPr>
              <w:rFonts w:hint="eastAsia" w:ascii="仿宋" w:hAnsi="仿宋" w:eastAsia="仿宋" w:cs="仿宋"/>
              <w:sz w:val="24"/>
            </w:rPr>
            <w:fldChar w:fldCharType="separate"/>
          </w:r>
          <w:r>
            <w:rPr>
              <w:rFonts w:ascii="仿宋" w:hAnsi="仿宋" w:eastAsia="仿宋" w:cs="仿宋"/>
              <w:sz w:val="24"/>
            </w:rPr>
            <w:t>50</w:t>
          </w:r>
          <w:r>
            <w:rPr>
              <w:rFonts w:hint="eastAsia" w:ascii="仿宋" w:hAnsi="仿宋" w:eastAsia="仿宋" w:cs="仿宋"/>
              <w:sz w:val="24"/>
            </w:rPr>
            <w:fldChar w:fldCharType="end"/>
          </w:r>
          <w:r>
            <w:rPr>
              <w:rFonts w:hint="eastAsia" w:ascii="仿宋" w:hAnsi="仿宋" w:eastAsia="仿宋" w:cs="仿宋"/>
              <w:sz w:val="24"/>
            </w:rPr>
            <w:fldChar w:fldCharType="end"/>
          </w:r>
        </w:p>
        <w:p w14:paraId="356C4CD3">
          <w:pPr>
            <w:spacing w:line="360" w:lineRule="auto"/>
            <w:rPr>
              <w:rFonts w:ascii="仿宋" w:hAnsi="仿宋" w:eastAsia="仿宋" w:cs="仿宋"/>
              <w:sz w:val="32"/>
              <w:szCs w:val="32"/>
            </w:rPr>
          </w:pPr>
          <w:r>
            <w:rPr>
              <w:rFonts w:hint="eastAsia" w:ascii="仿宋" w:hAnsi="仿宋" w:eastAsia="仿宋" w:cs="仿宋"/>
              <w:b/>
              <w:sz w:val="24"/>
            </w:rPr>
            <w:fldChar w:fldCharType="end"/>
          </w:r>
        </w:p>
      </w:sdtContent>
    </w:sdt>
    <w:p w14:paraId="16CBFF37">
      <w:pPr>
        <w:pStyle w:val="2"/>
        <w:rPr>
          <w:rFonts w:cs="仿宋"/>
        </w:rPr>
        <w:sectPr>
          <w:footerReference r:id="rId4" w:type="default"/>
          <w:pgSz w:w="11906" w:h="16838"/>
          <w:pgMar w:top="1440" w:right="1800" w:bottom="1440" w:left="1800" w:header="851" w:footer="992" w:gutter="0"/>
          <w:pgNumType w:start="1"/>
          <w:cols w:space="425" w:num="1"/>
          <w:docGrid w:type="lines" w:linePitch="312" w:charSpace="0"/>
        </w:sectPr>
      </w:pPr>
    </w:p>
    <w:p w14:paraId="2B0A9C2D">
      <w:pPr>
        <w:pStyle w:val="2"/>
        <w:rPr>
          <w:rFonts w:cs="仿宋"/>
        </w:rPr>
      </w:pPr>
      <w:bookmarkStart w:id="0" w:name="_Toc155630071"/>
      <w:r>
        <w:rPr>
          <w:rFonts w:hint="eastAsia" w:cs="仿宋"/>
        </w:rPr>
        <w:t>招标公告</w:t>
      </w:r>
      <w:bookmarkEnd w:id="0"/>
    </w:p>
    <w:p w14:paraId="511630DB">
      <w:pPr>
        <w:spacing w:line="500" w:lineRule="exact"/>
        <w:outlineLvl w:val="1"/>
        <w:rPr>
          <w:rFonts w:ascii="仿宋" w:hAnsi="仿宋" w:eastAsia="仿宋" w:cs="仿宋"/>
          <w:b/>
          <w:bCs/>
          <w:sz w:val="24"/>
        </w:rPr>
      </w:pPr>
      <w:bookmarkStart w:id="1" w:name="_Toc155630072"/>
      <w:r>
        <w:rPr>
          <w:rFonts w:hint="eastAsia" w:ascii="仿宋" w:hAnsi="仿宋" w:eastAsia="仿宋" w:cs="仿宋"/>
          <w:b/>
          <w:bCs/>
          <w:sz w:val="24"/>
        </w:rPr>
        <w:t>一、项目基本情况</w:t>
      </w:r>
      <w:bookmarkEnd w:id="1"/>
    </w:p>
    <w:p w14:paraId="5B5D1879">
      <w:pPr>
        <w:spacing w:line="500" w:lineRule="exact"/>
        <w:rPr>
          <w:rFonts w:ascii="仿宋" w:hAnsi="仿宋" w:eastAsia="仿宋" w:cs="仿宋"/>
          <w:sz w:val="24"/>
        </w:rPr>
      </w:pPr>
      <w:r>
        <w:rPr>
          <w:rFonts w:hint="eastAsia" w:ascii="仿宋" w:hAnsi="仿宋" w:eastAsia="仿宋" w:cs="仿宋"/>
          <w:sz w:val="24"/>
        </w:rPr>
        <w:t>项目编号：</w:t>
      </w:r>
      <w:r>
        <w:rPr>
          <w:rFonts w:hint="eastAsia" w:ascii="仿宋" w:hAnsi="仿宋" w:eastAsia="仿宋" w:cs="仿宋"/>
          <w:sz w:val="24"/>
        </w:rPr>
        <w:fldChar w:fldCharType="begin"/>
      </w:r>
      <w:r>
        <w:rPr>
          <w:rFonts w:hint="eastAsia" w:ascii="仿宋" w:hAnsi="仿宋" w:eastAsia="仿宋" w:cs="仿宋"/>
          <w:sz w:val="24"/>
        </w:rPr>
        <w:instrText xml:space="preserve"> HYPERLINK "https://www.zcygov.cn/delegation-order/_procurement_/order/orderInfo/detail/6821773913924109370" \t "https://www.zcygov.cn/delegation-order/_procurement_/order/_blank" </w:instrText>
      </w:r>
      <w:r>
        <w:rPr>
          <w:rFonts w:hint="eastAsia" w:ascii="仿宋" w:hAnsi="仿宋" w:eastAsia="仿宋" w:cs="仿宋"/>
          <w:sz w:val="24"/>
        </w:rPr>
        <w:fldChar w:fldCharType="separate"/>
      </w:r>
      <w:r>
        <w:rPr>
          <w:rFonts w:hint="eastAsia" w:ascii="仿宋" w:hAnsi="仿宋" w:eastAsia="仿宋" w:cs="仿宋"/>
          <w:sz w:val="24"/>
        </w:rPr>
        <w:t>2026-0506-125201</w:t>
      </w:r>
      <w:r>
        <w:rPr>
          <w:rFonts w:hint="eastAsia" w:ascii="仿宋" w:hAnsi="仿宋" w:eastAsia="仿宋" w:cs="仿宋"/>
          <w:sz w:val="24"/>
        </w:rPr>
        <w:fldChar w:fldCharType="end"/>
      </w:r>
    </w:p>
    <w:p w14:paraId="1D80CEC6">
      <w:pPr>
        <w:spacing w:line="500" w:lineRule="exact"/>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sz w:val="24"/>
          <w:lang w:eastAsia="zh-CN"/>
        </w:rPr>
        <w:t>乌鲁木齐市部分区域数据要素采集项目</w:t>
      </w:r>
    </w:p>
    <w:p w14:paraId="71893C39">
      <w:pPr>
        <w:spacing w:line="500" w:lineRule="exact"/>
        <w:rPr>
          <w:rFonts w:ascii="仿宋" w:hAnsi="仿宋" w:eastAsia="仿宋" w:cs="仿宋"/>
          <w:sz w:val="24"/>
        </w:rPr>
      </w:pPr>
      <w:r>
        <w:rPr>
          <w:rFonts w:hint="eastAsia" w:ascii="仿宋" w:hAnsi="仿宋" w:eastAsia="仿宋" w:cs="仿宋"/>
          <w:sz w:val="24"/>
        </w:rPr>
        <w:t>采购方式：公开招标</w:t>
      </w:r>
    </w:p>
    <w:p w14:paraId="38D83CAF">
      <w:pPr>
        <w:spacing w:line="500" w:lineRule="exact"/>
        <w:rPr>
          <w:rFonts w:ascii="仿宋" w:hAnsi="仿宋" w:eastAsia="仿宋" w:cs="仿宋"/>
          <w:sz w:val="24"/>
        </w:rPr>
      </w:pPr>
      <w:r>
        <w:rPr>
          <w:rFonts w:hint="eastAsia" w:ascii="仿宋" w:hAnsi="仿宋" w:eastAsia="仿宋" w:cs="仿宋"/>
          <w:sz w:val="24"/>
        </w:rPr>
        <w:t>预算金额：</w:t>
      </w:r>
      <w:r>
        <w:rPr>
          <w:rFonts w:hint="eastAsia" w:ascii="仿宋" w:hAnsi="仿宋" w:eastAsia="仿宋" w:cs="仿宋"/>
          <w:sz w:val="24"/>
          <w:lang w:val="en-US" w:eastAsia="zh-CN"/>
        </w:rPr>
        <w:t>6750000.00</w:t>
      </w:r>
      <w:r>
        <w:rPr>
          <w:rFonts w:hint="eastAsia" w:ascii="仿宋" w:hAnsi="仿宋" w:eastAsia="仿宋" w:cs="仿宋"/>
          <w:sz w:val="24"/>
        </w:rPr>
        <w:t>元（人民币）</w:t>
      </w:r>
    </w:p>
    <w:p w14:paraId="5A9CE7A7">
      <w:pPr>
        <w:spacing w:line="500" w:lineRule="exact"/>
        <w:rPr>
          <w:rFonts w:ascii="仿宋" w:hAnsi="仿宋" w:eastAsia="仿宋" w:cs="仿宋"/>
          <w:sz w:val="24"/>
        </w:rPr>
      </w:pPr>
      <w:r>
        <w:rPr>
          <w:rFonts w:hint="eastAsia" w:ascii="仿宋" w:hAnsi="仿宋" w:eastAsia="仿宋" w:cs="仿宋"/>
          <w:sz w:val="24"/>
        </w:rPr>
        <w:t>最高限价：</w:t>
      </w:r>
      <w:r>
        <w:rPr>
          <w:rFonts w:hint="eastAsia" w:ascii="仿宋" w:hAnsi="仿宋" w:eastAsia="仿宋" w:cs="仿宋"/>
          <w:sz w:val="24"/>
          <w:lang w:val="en-US" w:eastAsia="zh-CN"/>
        </w:rPr>
        <w:t>6750000.00</w:t>
      </w:r>
      <w:r>
        <w:rPr>
          <w:rFonts w:hint="eastAsia" w:ascii="仿宋" w:hAnsi="仿宋" w:eastAsia="仿宋" w:cs="仿宋"/>
          <w:sz w:val="24"/>
        </w:rPr>
        <w:t>元（人民币）</w:t>
      </w:r>
    </w:p>
    <w:p w14:paraId="506FE8F4">
      <w:pPr>
        <w:spacing w:line="500" w:lineRule="exact"/>
        <w:rPr>
          <w:rFonts w:ascii="仿宋" w:hAnsi="仿宋" w:eastAsia="仿宋" w:cs="仿宋"/>
          <w:sz w:val="24"/>
        </w:rPr>
      </w:pPr>
      <w:r>
        <w:rPr>
          <w:rFonts w:hint="eastAsia" w:ascii="仿宋" w:hAnsi="仿宋" w:eastAsia="仿宋" w:cs="仿宋"/>
          <w:sz w:val="24"/>
        </w:rPr>
        <w:t>采购需求：</w:t>
      </w:r>
    </w:p>
    <w:p w14:paraId="7048B912">
      <w:pPr>
        <w:spacing w:line="500" w:lineRule="exact"/>
        <w:rPr>
          <w:rFonts w:ascii="仿宋" w:hAnsi="仿宋" w:eastAsia="仿宋" w:cs="仿宋"/>
          <w:sz w:val="24"/>
        </w:rPr>
      </w:pPr>
      <w:r>
        <w:rPr>
          <w:rFonts w:hint="eastAsia" w:ascii="仿宋" w:hAnsi="仿宋" w:eastAsia="仿宋" w:cs="仿宋"/>
          <w:sz w:val="24"/>
        </w:rPr>
        <w:t>标项一：</w:t>
      </w:r>
    </w:p>
    <w:p w14:paraId="30F0DEFA">
      <w:pPr>
        <w:spacing w:line="500" w:lineRule="exact"/>
        <w:rPr>
          <w:rFonts w:hint="eastAsia" w:ascii="仿宋" w:hAnsi="仿宋" w:cs="仿宋" w:eastAsiaTheme="minorEastAsia"/>
          <w:sz w:val="24"/>
          <w:lang w:eastAsia="zh-CN"/>
        </w:rPr>
      </w:pPr>
      <w:r>
        <w:rPr>
          <w:rFonts w:hint="eastAsia" w:ascii="仿宋" w:hAnsi="仿宋" w:eastAsia="仿宋" w:cs="仿宋"/>
          <w:sz w:val="24"/>
        </w:rPr>
        <w:t>标项名称:</w:t>
      </w:r>
      <w:r>
        <w:rPr>
          <w:rFonts w:hint="eastAsia"/>
        </w:rPr>
        <w:t xml:space="preserve"> </w:t>
      </w:r>
      <w:r>
        <w:rPr>
          <w:rFonts w:hint="eastAsia" w:ascii="仿宋" w:hAnsi="仿宋" w:eastAsia="仿宋" w:cs="仿宋"/>
          <w:sz w:val="24"/>
          <w:lang w:eastAsia="zh-CN"/>
        </w:rPr>
        <w:t>乌鲁木齐市部分区域数据要素采集项目</w:t>
      </w:r>
    </w:p>
    <w:p w14:paraId="23A6E4FA">
      <w:pPr>
        <w:spacing w:line="500" w:lineRule="exact"/>
        <w:rPr>
          <w:rFonts w:ascii="仿宋" w:hAnsi="仿宋" w:eastAsia="仿宋" w:cs="仿宋"/>
          <w:sz w:val="24"/>
        </w:rPr>
      </w:pPr>
      <w:r>
        <w:rPr>
          <w:rFonts w:hint="eastAsia" w:ascii="仿宋" w:hAnsi="仿宋" w:eastAsia="仿宋" w:cs="仿宋"/>
          <w:sz w:val="24"/>
        </w:rPr>
        <w:t>数量：</w:t>
      </w:r>
      <w:r>
        <w:rPr>
          <w:rFonts w:ascii="仿宋" w:hAnsi="仿宋" w:eastAsia="仿宋" w:cs="仿宋"/>
          <w:sz w:val="24"/>
        </w:rPr>
        <w:t>1</w:t>
      </w:r>
    </w:p>
    <w:p w14:paraId="54AB2196">
      <w:pPr>
        <w:spacing w:line="500" w:lineRule="exact"/>
        <w:rPr>
          <w:rFonts w:ascii="仿宋" w:hAnsi="仿宋" w:eastAsia="仿宋" w:cs="仿宋"/>
          <w:sz w:val="24"/>
        </w:rPr>
      </w:pPr>
      <w:r>
        <w:rPr>
          <w:rFonts w:hint="eastAsia" w:ascii="仿宋" w:hAnsi="仿宋" w:eastAsia="仿宋" w:cs="仿宋"/>
          <w:sz w:val="24"/>
        </w:rPr>
        <w:t>预算金额（元）:</w:t>
      </w:r>
      <w:r>
        <w:t xml:space="preserve"> </w:t>
      </w:r>
      <w:r>
        <w:rPr>
          <w:rFonts w:hint="eastAsia" w:ascii="仿宋" w:hAnsi="仿宋" w:eastAsia="仿宋" w:cs="仿宋"/>
          <w:sz w:val="24"/>
          <w:lang w:val="en-US" w:eastAsia="zh-CN"/>
        </w:rPr>
        <w:t>6750000.00</w:t>
      </w:r>
    </w:p>
    <w:p w14:paraId="7C47A46B">
      <w:pPr>
        <w:spacing w:line="500" w:lineRule="exact"/>
        <w:rPr>
          <w:rFonts w:ascii="仿宋" w:hAnsi="仿宋" w:eastAsia="仿宋" w:cs="仿宋"/>
          <w:sz w:val="24"/>
        </w:rPr>
      </w:pPr>
      <w:r>
        <w:rPr>
          <w:rFonts w:hint="eastAsia" w:ascii="仿宋" w:hAnsi="仿宋" w:eastAsia="仿宋" w:cs="仿宋"/>
          <w:sz w:val="24"/>
        </w:rPr>
        <w:t>简要规格描述：</w:t>
      </w:r>
      <w:r>
        <w:rPr>
          <w:rFonts w:hint="eastAsia" w:ascii="仿宋" w:hAnsi="仿宋" w:eastAsia="仿宋" w:cs="仿宋"/>
          <w:kern w:val="2"/>
          <w:sz w:val="24"/>
          <w:szCs w:val="24"/>
          <w:lang w:val="en-US" w:eastAsia="zh-CN" w:bidi="ar-SA"/>
        </w:rPr>
        <w:t>完成乌鲁木齐市城市开发边界内193.5平方公里优于3cm分辨率的倾斜摄影数据获取、像片控制点布设与测量、城市地理信息数据的生产；完成乌鲁木齐城市开发边界内10平方公里新型基础测绘数据产品试点生产。数据成果需提供2000国家大地坐标系（CGCS2000）、乌鲁木齐2000城市坐标系成果各一套。</w:t>
      </w:r>
    </w:p>
    <w:p w14:paraId="637B9D12">
      <w:pPr>
        <w:spacing w:line="500" w:lineRule="exact"/>
        <w:rPr>
          <w:rFonts w:ascii="仿宋" w:hAnsi="仿宋" w:eastAsia="仿宋" w:cs="仿宋"/>
          <w:sz w:val="24"/>
        </w:rPr>
      </w:pPr>
      <w:r>
        <w:rPr>
          <w:rFonts w:hint="eastAsia" w:ascii="仿宋" w:hAnsi="仿宋" w:eastAsia="仿宋" w:cs="仿宋"/>
          <w:sz w:val="24"/>
        </w:rPr>
        <w:t>合同履约期限：</w:t>
      </w:r>
      <w:r>
        <w:rPr>
          <w:rFonts w:hint="eastAsia" w:ascii="仿宋" w:hAnsi="仿宋" w:eastAsia="仿宋" w:cs="仿宋"/>
          <w:kern w:val="2"/>
          <w:sz w:val="24"/>
          <w:szCs w:val="24"/>
          <w:lang w:val="en-US" w:eastAsia="zh-CN" w:bidi="ar-SA"/>
        </w:rPr>
        <w:t xml:space="preserve">自合同签订之日起45个日历日完成所有工作内容。（其中，自合同签订之日起15个日历日内提交像控点布设联测、倾斜航空摄影测量成果；自合同签订之日起25个日历日提交基于倾斜航空摄影测量成果完成的城市建筑模型建设成果；自合同签订之日起45个日历日内完成倾斜摄影场景数据构建和修饰工作以及其他工作。）  </w:t>
      </w:r>
    </w:p>
    <w:p w14:paraId="1845B3A7">
      <w:pPr>
        <w:spacing w:line="500" w:lineRule="exact"/>
        <w:rPr>
          <w:rFonts w:ascii="仿宋" w:hAnsi="仿宋" w:eastAsia="仿宋" w:cs="仿宋"/>
          <w:sz w:val="24"/>
        </w:rPr>
      </w:pPr>
      <w:r>
        <w:rPr>
          <w:rFonts w:hint="eastAsia" w:ascii="仿宋" w:hAnsi="仿宋" w:eastAsia="仿宋" w:cs="仿宋"/>
          <w:sz w:val="24"/>
        </w:rPr>
        <w:t>本项目（否）接受联合体投标。</w:t>
      </w:r>
    </w:p>
    <w:p w14:paraId="4509C7AA">
      <w:pPr>
        <w:spacing w:line="500" w:lineRule="exact"/>
        <w:rPr>
          <w:rFonts w:ascii="仿宋" w:hAnsi="仿宋" w:eastAsia="仿宋" w:cs="仿宋"/>
          <w:b/>
          <w:bCs/>
          <w:sz w:val="24"/>
        </w:rPr>
      </w:pPr>
      <w:r>
        <w:rPr>
          <w:rFonts w:hint="eastAsia" w:ascii="仿宋" w:hAnsi="仿宋" w:eastAsia="仿宋" w:cs="仿宋"/>
          <w:b/>
          <w:bCs/>
          <w:sz w:val="24"/>
        </w:rPr>
        <w:t>二、申请人的资格要求：</w:t>
      </w:r>
    </w:p>
    <w:p w14:paraId="233D8EDD">
      <w:pPr>
        <w:spacing w:line="500" w:lineRule="exact"/>
        <w:rPr>
          <w:rFonts w:ascii="仿宋" w:hAnsi="仿宋" w:eastAsia="仿宋" w:cs="仿宋"/>
          <w:sz w:val="24"/>
        </w:rPr>
      </w:pPr>
      <w:r>
        <w:rPr>
          <w:rFonts w:hint="eastAsia" w:ascii="仿宋" w:hAnsi="仿宋" w:eastAsia="仿宋" w:cs="仿宋"/>
          <w:sz w:val="24"/>
        </w:rPr>
        <w:t>1.满足《中华人民共和国政府采购法》第二十二条规定；</w:t>
      </w:r>
    </w:p>
    <w:p w14:paraId="0B9E806A">
      <w:pPr>
        <w:spacing w:line="500" w:lineRule="exact"/>
        <w:rPr>
          <w:rFonts w:ascii="仿宋" w:hAnsi="仿宋" w:eastAsia="仿宋" w:cs="仿宋"/>
          <w:sz w:val="24"/>
        </w:rPr>
      </w:pPr>
      <w:r>
        <w:rPr>
          <w:rFonts w:hint="eastAsia" w:ascii="仿宋" w:hAnsi="仿宋" w:eastAsia="仿宋" w:cs="仿宋"/>
          <w:sz w:val="24"/>
        </w:rPr>
        <w:t>2.落实政府采购政策需满足的资格要求：无。</w:t>
      </w:r>
    </w:p>
    <w:p w14:paraId="768991DC">
      <w:pPr>
        <w:spacing w:line="360" w:lineRule="auto"/>
        <w:rPr>
          <w:rFonts w:hint="eastAsia" w:ascii="仿宋" w:hAnsi="仿宋" w:eastAsia="仿宋" w:cs="仿宋"/>
          <w:sz w:val="24"/>
        </w:rPr>
      </w:pPr>
      <w:r>
        <w:rPr>
          <w:rFonts w:hint="eastAsia" w:ascii="仿宋" w:hAnsi="仿宋" w:eastAsia="仿宋" w:cs="仿宋"/>
          <w:sz w:val="24"/>
        </w:rPr>
        <w:t>3.本项目的特定资格要求：</w:t>
      </w:r>
    </w:p>
    <w:p w14:paraId="1AD67E02">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3.1、投标人须具备有效的乙级及以上测绘资质证书（须包含大地测量、工程测量、摄影测量与遥感、地理信息系统工程、测绘航空摄影）；</w:t>
      </w:r>
    </w:p>
    <w:p w14:paraId="7DB43867">
      <w:pPr>
        <w:widowControl w:val="0"/>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3.2、投标人须具备有效的中国民用航空局颁发的民用无人机驾驶航空器运营合格证。</w:t>
      </w:r>
    </w:p>
    <w:p w14:paraId="18FF5783">
      <w:pPr>
        <w:widowControl w:val="0"/>
        <w:spacing w:line="500" w:lineRule="exact"/>
        <w:ind w:left="0" w:leftChars="0" w:firstLine="0" w:firstLine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4.本项目不允许联合体投标</w:t>
      </w:r>
    </w:p>
    <w:p w14:paraId="59CA1202">
      <w:pPr>
        <w:spacing w:line="500" w:lineRule="exact"/>
        <w:rPr>
          <w:rFonts w:ascii="仿宋" w:hAnsi="仿宋" w:eastAsia="仿宋" w:cs="仿宋"/>
          <w:b/>
          <w:bCs/>
          <w:sz w:val="24"/>
        </w:rPr>
      </w:pPr>
      <w:r>
        <w:rPr>
          <w:rFonts w:hint="eastAsia" w:ascii="仿宋" w:hAnsi="仿宋" w:eastAsia="仿宋" w:cs="仿宋"/>
          <w:b/>
          <w:bCs/>
          <w:sz w:val="24"/>
        </w:rPr>
        <w:t>三、获取招标文件</w:t>
      </w:r>
    </w:p>
    <w:p w14:paraId="3821AD1F">
      <w:pPr>
        <w:spacing w:line="500" w:lineRule="exact"/>
        <w:rPr>
          <w:rFonts w:ascii="仿宋" w:hAnsi="仿宋" w:eastAsia="仿宋" w:cs="仿宋"/>
          <w:sz w:val="24"/>
        </w:rPr>
      </w:pPr>
      <w:r>
        <w:rPr>
          <w:rFonts w:hint="eastAsia" w:ascii="仿宋" w:hAnsi="仿宋" w:eastAsia="仿宋" w:cs="仿宋"/>
          <w:sz w:val="24"/>
        </w:rPr>
        <w:t>时间：2026年0</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08</w:t>
      </w:r>
      <w:r>
        <w:rPr>
          <w:rFonts w:hint="eastAsia" w:ascii="仿宋" w:hAnsi="仿宋" w:eastAsia="仿宋" w:cs="仿宋"/>
          <w:sz w:val="24"/>
        </w:rPr>
        <w:t>日至2026年0</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日，每天上午00:00至14:00，下午14:00至23:59（北京时间，法定节假日除外）</w:t>
      </w:r>
    </w:p>
    <w:p w14:paraId="7EFB424B">
      <w:pPr>
        <w:spacing w:line="500" w:lineRule="exact"/>
        <w:rPr>
          <w:rFonts w:ascii="仿宋" w:hAnsi="仿宋" w:eastAsia="仿宋" w:cs="仿宋"/>
          <w:sz w:val="24"/>
        </w:rPr>
      </w:pPr>
      <w:r>
        <w:rPr>
          <w:rFonts w:hint="eastAsia" w:ascii="仿宋" w:hAnsi="仿宋" w:eastAsia="仿宋" w:cs="仿宋"/>
          <w:sz w:val="24"/>
        </w:rPr>
        <w:t>地点：政采云平台（https://www.zcygov.cn/）</w:t>
      </w:r>
    </w:p>
    <w:p w14:paraId="082B34C1">
      <w:pPr>
        <w:spacing w:line="500" w:lineRule="exact"/>
        <w:rPr>
          <w:rFonts w:ascii="仿宋" w:hAnsi="仿宋" w:eastAsia="仿宋" w:cs="仿宋"/>
          <w:sz w:val="24"/>
        </w:rPr>
      </w:pPr>
      <w:r>
        <w:rPr>
          <w:rFonts w:hint="eastAsia" w:ascii="仿宋" w:hAnsi="仿宋" w:eastAsia="仿宋" w:cs="仿宋"/>
          <w:sz w:val="24"/>
        </w:rPr>
        <w:t>方式：投标人登录政采云平台https://www.zcygov.cn/在线申请获取采购文件（进入“项目采购”应用，在获取采购文件菜单中选择项目，申请获取采购文件）本次招标不提供纸质版招标文件。</w:t>
      </w:r>
    </w:p>
    <w:p w14:paraId="7C938D2D">
      <w:pPr>
        <w:spacing w:line="500" w:lineRule="exact"/>
        <w:rPr>
          <w:rFonts w:ascii="仿宋" w:hAnsi="仿宋" w:eastAsia="仿宋" w:cs="仿宋"/>
          <w:sz w:val="24"/>
        </w:rPr>
      </w:pPr>
      <w:r>
        <w:rPr>
          <w:rFonts w:hint="eastAsia" w:ascii="仿宋" w:hAnsi="仿宋" w:eastAsia="仿宋" w:cs="仿宋"/>
          <w:sz w:val="24"/>
        </w:rPr>
        <w:t>售价（元）：0元</w:t>
      </w:r>
    </w:p>
    <w:p w14:paraId="439BF8F9">
      <w:pPr>
        <w:spacing w:line="500" w:lineRule="exact"/>
        <w:rPr>
          <w:rFonts w:ascii="仿宋" w:hAnsi="仿宋" w:eastAsia="仿宋" w:cs="仿宋"/>
          <w:b/>
          <w:bCs/>
          <w:sz w:val="24"/>
        </w:rPr>
      </w:pPr>
      <w:r>
        <w:rPr>
          <w:rFonts w:hint="eastAsia" w:ascii="仿宋" w:hAnsi="仿宋" w:eastAsia="仿宋" w:cs="仿宋"/>
          <w:b/>
          <w:bCs/>
          <w:sz w:val="24"/>
        </w:rPr>
        <w:t>四、提交投标文件截止时间、开标时间和地点</w:t>
      </w:r>
    </w:p>
    <w:p w14:paraId="51AB4B96">
      <w:pPr>
        <w:spacing w:line="500" w:lineRule="exact"/>
        <w:rPr>
          <w:rFonts w:ascii="仿宋" w:hAnsi="仿宋" w:eastAsia="仿宋" w:cs="仿宋"/>
          <w:sz w:val="24"/>
        </w:rPr>
      </w:pPr>
      <w:r>
        <w:rPr>
          <w:rFonts w:hint="eastAsia" w:ascii="仿宋" w:hAnsi="仿宋" w:eastAsia="仿宋" w:cs="仿宋"/>
          <w:sz w:val="24"/>
        </w:rPr>
        <w:t>提交投标文件截止时间：2026年0</w:t>
      </w:r>
      <w:r>
        <w:rPr>
          <w:rFonts w:hint="eastAsia" w:ascii="仿宋" w:hAnsi="仿宋" w:eastAsia="仿宋" w:cs="仿宋"/>
          <w:sz w:val="24"/>
          <w:lang w:val="en-US" w:eastAsia="zh-CN"/>
        </w:rPr>
        <w:t>6</w:t>
      </w:r>
      <w:r>
        <w:rPr>
          <w:rFonts w:hint="eastAsia" w:ascii="仿宋" w:hAnsi="仿宋" w:eastAsia="仿宋" w:cs="仿宋"/>
          <w:sz w:val="24"/>
        </w:rPr>
        <w:t>月</w:t>
      </w:r>
      <w:r>
        <w:rPr>
          <w:rFonts w:ascii="仿宋" w:hAnsi="仿宋" w:eastAsia="仿宋" w:cs="仿宋"/>
          <w:sz w:val="24"/>
        </w:rPr>
        <w:t>0</w:t>
      </w:r>
      <w:r>
        <w:rPr>
          <w:rFonts w:hint="eastAsia" w:ascii="仿宋" w:hAnsi="仿宋" w:eastAsia="仿宋" w:cs="仿宋"/>
          <w:sz w:val="24"/>
          <w:lang w:val="en-US" w:eastAsia="zh-CN"/>
        </w:rPr>
        <w:t>1</w:t>
      </w:r>
      <w:r>
        <w:rPr>
          <w:rFonts w:hint="eastAsia" w:ascii="仿宋" w:hAnsi="仿宋" w:eastAsia="仿宋" w:cs="仿宋"/>
          <w:sz w:val="24"/>
        </w:rPr>
        <w:t>日11时00分（北京时间）</w:t>
      </w:r>
    </w:p>
    <w:p w14:paraId="337F9F3F">
      <w:pPr>
        <w:spacing w:line="500" w:lineRule="exact"/>
        <w:rPr>
          <w:rFonts w:ascii="仿宋" w:hAnsi="仿宋" w:eastAsia="仿宋" w:cs="仿宋"/>
          <w:sz w:val="24"/>
        </w:rPr>
      </w:pPr>
      <w:r>
        <w:rPr>
          <w:rFonts w:hint="eastAsia" w:ascii="仿宋" w:hAnsi="仿宋" w:eastAsia="仿宋" w:cs="仿宋"/>
          <w:sz w:val="24"/>
        </w:rPr>
        <w:t>投标地点：政采云平台（https://www.zcygov.cn/），本项目采用不见面开标，加密的电子投标文件在投标截止时间前在政采云平台上传。</w:t>
      </w:r>
    </w:p>
    <w:p w14:paraId="420D00FD">
      <w:pPr>
        <w:spacing w:line="500" w:lineRule="exact"/>
        <w:rPr>
          <w:rFonts w:ascii="仿宋" w:hAnsi="仿宋" w:eastAsia="仿宋" w:cs="仿宋"/>
          <w:sz w:val="24"/>
        </w:rPr>
      </w:pPr>
      <w:r>
        <w:rPr>
          <w:rFonts w:hint="eastAsia" w:ascii="仿宋" w:hAnsi="仿宋" w:eastAsia="仿宋" w:cs="仿宋"/>
          <w:sz w:val="24"/>
        </w:rPr>
        <w:t>开标时间：2026年0</w:t>
      </w:r>
      <w:r>
        <w:rPr>
          <w:rFonts w:hint="eastAsia" w:ascii="仿宋" w:hAnsi="仿宋" w:eastAsia="仿宋" w:cs="仿宋"/>
          <w:sz w:val="24"/>
          <w:lang w:val="en-US" w:eastAsia="zh-CN"/>
        </w:rPr>
        <w:t>6</w:t>
      </w:r>
      <w:r>
        <w:rPr>
          <w:rFonts w:hint="eastAsia" w:ascii="仿宋" w:hAnsi="仿宋" w:eastAsia="仿宋" w:cs="仿宋"/>
          <w:sz w:val="24"/>
        </w:rPr>
        <w:t>月</w:t>
      </w:r>
      <w:r>
        <w:rPr>
          <w:rFonts w:ascii="仿宋" w:hAnsi="仿宋" w:eastAsia="仿宋" w:cs="仿宋"/>
          <w:sz w:val="24"/>
        </w:rPr>
        <w:t>0</w:t>
      </w:r>
      <w:r>
        <w:rPr>
          <w:rFonts w:hint="eastAsia" w:ascii="仿宋" w:hAnsi="仿宋" w:eastAsia="仿宋" w:cs="仿宋"/>
          <w:sz w:val="24"/>
          <w:lang w:val="en-US" w:eastAsia="zh-CN"/>
        </w:rPr>
        <w:t>1</w:t>
      </w:r>
      <w:r>
        <w:rPr>
          <w:rFonts w:hint="eastAsia" w:ascii="仿宋" w:hAnsi="仿宋" w:eastAsia="仿宋" w:cs="仿宋"/>
          <w:sz w:val="24"/>
        </w:rPr>
        <w:t>日11时00分（北京时间）</w:t>
      </w:r>
    </w:p>
    <w:p w14:paraId="07EBC03B">
      <w:pPr>
        <w:spacing w:line="500" w:lineRule="exact"/>
        <w:rPr>
          <w:rFonts w:ascii="仿宋" w:hAnsi="仿宋" w:eastAsia="仿宋" w:cs="仿宋"/>
          <w:sz w:val="24"/>
        </w:rPr>
      </w:pPr>
      <w:r>
        <w:rPr>
          <w:rFonts w:hint="eastAsia" w:ascii="仿宋" w:hAnsi="仿宋" w:eastAsia="仿宋" w:cs="仿宋"/>
          <w:sz w:val="24"/>
        </w:rPr>
        <w:t>开标地点：政采云平台（https://www.zcygov.cn/）不见面开标系统</w:t>
      </w:r>
    </w:p>
    <w:p w14:paraId="7A3A547F">
      <w:pPr>
        <w:spacing w:line="500" w:lineRule="exact"/>
        <w:rPr>
          <w:rFonts w:ascii="仿宋" w:hAnsi="仿宋" w:eastAsia="仿宋" w:cs="仿宋"/>
          <w:b/>
          <w:bCs/>
          <w:sz w:val="24"/>
        </w:rPr>
      </w:pPr>
      <w:r>
        <w:rPr>
          <w:rFonts w:hint="eastAsia" w:ascii="仿宋" w:hAnsi="仿宋" w:eastAsia="仿宋" w:cs="仿宋"/>
          <w:b/>
          <w:bCs/>
          <w:sz w:val="24"/>
        </w:rPr>
        <w:t>五、公告期限</w:t>
      </w:r>
    </w:p>
    <w:p w14:paraId="2AC88DC4">
      <w:pPr>
        <w:spacing w:line="500" w:lineRule="exact"/>
        <w:rPr>
          <w:rFonts w:ascii="仿宋" w:hAnsi="仿宋" w:eastAsia="仿宋" w:cs="仿宋"/>
          <w:sz w:val="24"/>
        </w:rPr>
      </w:pPr>
      <w:r>
        <w:rPr>
          <w:rFonts w:hint="eastAsia" w:ascii="仿宋" w:hAnsi="仿宋" w:eastAsia="仿宋" w:cs="仿宋"/>
          <w:sz w:val="24"/>
        </w:rPr>
        <w:t>自本公告发布之日起5个工作日。</w:t>
      </w:r>
    </w:p>
    <w:p w14:paraId="6AF354F8">
      <w:pPr>
        <w:spacing w:line="500" w:lineRule="exact"/>
        <w:rPr>
          <w:rFonts w:ascii="仿宋" w:hAnsi="仿宋" w:eastAsia="仿宋" w:cs="仿宋"/>
          <w:b/>
          <w:bCs/>
          <w:sz w:val="24"/>
        </w:rPr>
      </w:pPr>
      <w:r>
        <w:rPr>
          <w:rFonts w:hint="eastAsia" w:ascii="仿宋" w:hAnsi="仿宋" w:eastAsia="仿宋" w:cs="仿宋"/>
          <w:b/>
          <w:bCs/>
          <w:sz w:val="24"/>
        </w:rPr>
        <w:t>六、其他补充事宜</w:t>
      </w:r>
    </w:p>
    <w:p w14:paraId="140F93D9">
      <w:pPr>
        <w:spacing w:line="500" w:lineRule="exact"/>
        <w:rPr>
          <w:rFonts w:ascii="仿宋" w:hAnsi="仿宋" w:eastAsia="仿宋" w:cs="仿宋"/>
          <w:sz w:val="24"/>
        </w:rPr>
      </w:pPr>
      <w:r>
        <w:rPr>
          <w:rFonts w:hint="eastAsia" w:ascii="仿宋" w:hAnsi="仿宋" w:eastAsia="仿宋" w:cs="仿宋"/>
          <w:sz w:val="24"/>
        </w:rPr>
        <w:t>1.关于本项目所有公告、公示在新疆政府采购网发布。</w:t>
      </w:r>
    </w:p>
    <w:p w14:paraId="34A7B916">
      <w:pPr>
        <w:spacing w:line="500" w:lineRule="exact"/>
        <w:rPr>
          <w:rFonts w:ascii="仿宋" w:hAnsi="仿宋" w:eastAsia="仿宋" w:cs="仿宋"/>
          <w:sz w:val="24"/>
        </w:rPr>
      </w:pPr>
      <w:r>
        <w:rPr>
          <w:rFonts w:hint="eastAsia" w:ascii="仿宋" w:hAnsi="仿宋" w:eastAsia="仿宋" w:cs="仿宋"/>
          <w:sz w:val="24"/>
        </w:rPr>
        <w:t>2.请投标单位随时关注本项目的澄清、答疑、变更事项。</w:t>
      </w:r>
    </w:p>
    <w:p w14:paraId="21743EE3">
      <w:pPr>
        <w:spacing w:line="500" w:lineRule="exact"/>
        <w:rPr>
          <w:rFonts w:ascii="仿宋" w:hAnsi="仿宋" w:eastAsia="仿宋" w:cs="仿宋"/>
          <w:sz w:val="24"/>
        </w:rPr>
      </w:pPr>
      <w:r>
        <w:rPr>
          <w:rFonts w:hint="eastAsia" w:ascii="仿宋" w:hAnsi="仿宋" w:eastAsia="仿宋" w:cs="仿宋"/>
          <w:sz w:val="24"/>
        </w:rPr>
        <w:t>3.本项目实行电子招投标，投标人须登录政采云平台申请获取招标文件，并通过政采云电子投标客户端制作响应文件，同时自行承担与投标有关的一切费用。</w:t>
      </w:r>
    </w:p>
    <w:p w14:paraId="039D3F4B">
      <w:pPr>
        <w:spacing w:line="500" w:lineRule="exact"/>
        <w:rPr>
          <w:rFonts w:ascii="仿宋" w:hAnsi="仿宋" w:eastAsia="仿宋" w:cs="仿宋"/>
          <w:sz w:val="24"/>
        </w:rPr>
      </w:pPr>
      <w:r>
        <w:rPr>
          <w:rFonts w:hint="eastAsia" w:ascii="仿宋" w:hAnsi="仿宋" w:eastAsia="仿宋" w:cs="仿宋"/>
          <w:sz w:val="24"/>
        </w:rPr>
        <w:t>4.各投标人应在开标前确保成为</w:t>
      </w:r>
      <w:r>
        <w:rPr>
          <w:rFonts w:hint="eastAsia" w:ascii="仿宋" w:hAnsi="仿宋" w:eastAsia="仿宋" w:cs="仿宋"/>
          <w:b/>
          <w:bCs/>
          <w:sz w:val="24"/>
        </w:rPr>
        <w:t>新疆政府采购网</w:t>
      </w:r>
      <w:r>
        <w:rPr>
          <w:rFonts w:hint="eastAsia" w:ascii="仿宋" w:hAnsi="仿宋" w:eastAsia="仿宋" w:cs="仿宋"/>
          <w:sz w:val="24"/>
        </w:rPr>
        <w:t>正式注册入库投标人，并完成CA数字证书申领。因未注册入库、未办理CA数字证书等原因造成无法投标或投标失败等后果由投标人自行承担。</w:t>
      </w:r>
    </w:p>
    <w:p w14:paraId="4291D5E5">
      <w:pPr>
        <w:spacing w:line="500" w:lineRule="exact"/>
        <w:rPr>
          <w:rFonts w:ascii="仿宋" w:hAnsi="仿宋" w:eastAsia="仿宋" w:cs="仿宋"/>
          <w:sz w:val="24"/>
        </w:rPr>
      </w:pPr>
      <w:r>
        <w:rPr>
          <w:rFonts w:hint="eastAsia" w:ascii="仿宋" w:hAnsi="仿宋" w:eastAsia="仿宋" w:cs="仿宋"/>
          <w:sz w:val="24"/>
        </w:rPr>
        <w:t xml:space="preserve">5.有意向参与电子开评标的投标人，可访问新疆数字证书认证中心官方网站（https://www.xjca.com.cn/）或下载“新疆政务通”APP自行进行申领。如需咨询，请联系新疆CA服务热线0991-2819290。 </w:t>
      </w:r>
    </w:p>
    <w:p w14:paraId="6FC78E20">
      <w:pPr>
        <w:spacing w:line="500" w:lineRule="exact"/>
        <w:rPr>
          <w:rFonts w:ascii="仿宋" w:hAnsi="仿宋" w:eastAsia="仿宋" w:cs="仿宋"/>
          <w:b/>
          <w:bCs/>
          <w:sz w:val="24"/>
        </w:rPr>
      </w:pPr>
      <w:r>
        <w:rPr>
          <w:rFonts w:hint="eastAsia" w:ascii="仿宋" w:hAnsi="仿宋" w:eastAsia="仿宋" w:cs="仿宋"/>
          <w:b/>
          <w:bCs/>
          <w:sz w:val="24"/>
        </w:rPr>
        <w:t>七、对本次招标提出询问，请按以下方式联系。</w:t>
      </w:r>
    </w:p>
    <w:p w14:paraId="55A45CF5">
      <w:pPr>
        <w:spacing w:line="500" w:lineRule="exact"/>
        <w:rPr>
          <w:rFonts w:ascii="仿宋" w:hAnsi="仿宋" w:eastAsia="仿宋" w:cs="仿宋"/>
          <w:sz w:val="24"/>
        </w:rPr>
      </w:pPr>
      <w:r>
        <w:rPr>
          <w:rFonts w:hint="eastAsia" w:ascii="仿宋" w:hAnsi="仿宋" w:eastAsia="仿宋" w:cs="仿宋"/>
          <w:sz w:val="24"/>
        </w:rPr>
        <w:t>1.采购人信息</w:t>
      </w:r>
    </w:p>
    <w:p w14:paraId="1D8EFC3F">
      <w:pPr>
        <w:spacing w:line="500" w:lineRule="exact"/>
        <w:rPr>
          <w:rFonts w:hint="eastAsia" w:ascii="仿宋" w:hAnsi="仿宋" w:eastAsia="仿宋" w:cs="仿宋"/>
          <w:sz w:val="24"/>
          <w:lang w:eastAsia="zh-CN"/>
        </w:rPr>
      </w:pPr>
      <w:r>
        <w:rPr>
          <w:rFonts w:hint="eastAsia" w:ascii="仿宋" w:hAnsi="仿宋" w:eastAsia="仿宋" w:cs="仿宋"/>
          <w:sz w:val="24"/>
        </w:rPr>
        <w:t>名 称：</w:t>
      </w:r>
      <w:r>
        <w:rPr>
          <w:rFonts w:hint="eastAsia" w:ascii="仿宋" w:hAnsi="仿宋" w:eastAsia="仿宋" w:cs="仿宋"/>
          <w:sz w:val="24"/>
          <w:lang w:eastAsia="zh-CN"/>
        </w:rPr>
        <w:t>乌鲁木齐市城市勘察测绘院（乌鲁木齐市基础地理信息中心）</w:t>
      </w:r>
    </w:p>
    <w:p w14:paraId="116FBD2E">
      <w:pPr>
        <w:spacing w:line="500" w:lineRule="exact"/>
        <w:rPr>
          <w:rFonts w:ascii="仿宋" w:hAnsi="仿宋" w:eastAsia="仿宋" w:cs="仿宋"/>
          <w:sz w:val="24"/>
        </w:rPr>
      </w:pPr>
      <w:r>
        <w:rPr>
          <w:rFonts w:hint="eastAsia" w:ascii="仿宋" w:hAnsi="仿宋" w:eastAsia="仿宋" w:cs="仿宋"/>
          <w:sz w:val="24"/>
        </w:rPr>
        <w:t>地 址：乌鲁木齐市会展大道599号</w:t>
      </w:r>
    </w:p>
    <w:p w14:paraId="06B93B59">
      <w:pPr>
        <w:spacing w:line="500" w:lineRule="exact"/>
        <w:rPr>
          <w:rFonts w:ascii="仿宋" w:hAnsi="仿宋" w:eastAsia="仿宋" w:cs="仿宋"/>
          <w:sz w:val="24"/>
        </w:rPr>
      </w:pPr>
      <w:r>
        <w:rPr>
          <w:rFonts w:hint="eastAsia" w:ascii="仿宋" w:hAnsi="仿宋" w:eastAsia="仿宋" w:cs="仿宋"/>
          <w:sz w:val="24"/>
        </w:rPr>
        <w:t>联系方式：0991</w:t>
      </w:r>
      <w:r>
        <w:rPr>
          <w:rFonts w:hint="eastAsia" w:ascii="仿宋" w:hAnsi="仿宋" w:eastAsia="仿宋" w:cs="仿宋"/>
          <w:sz w:val="24"/>
          <w:lang w:val="en-US" w:eastAsia="zh-CN"/>
        </w:rPr>
        <w:t>-</w:t>
      </w:r>
      <w:r>
        <w:rPr>
          <w:rFonts w:hint="eastAsia" w:ascii="仿宋" w:hAnsi="仿宋" w:eastAsia="仿宋" w:cs="仿宋"/>
          <w:sz w:val="24"/>
        </w:rPr>
        <w:t>4518728</w:t>
      </w:r>
    </w:p>
    <w:p w14:paraId="0B266A33">
      <w:pPr>
        <w:spacing w:line="500" w:lineRule="exact"/>
        <w:rPr>
          <w:rFonts w:ascii="仿宋" w:hAnsi="仿宋" w:eastAsia="仿宋" w:cs="仿宋"/>
          <w:sz w:val="24"/>
        </w:rPr>
      </w:pPr>
      <w:r>
        <w:rPr>
          <w:rFonts w:hint="eastAsia" w:ascii="仿宋" w:hAnsi="仿宋" w:eastAsia="仿宋" w:cs="仿宋"/>
          <w:sz w:val="24"/>
        </w:rPr>
        <w:t>2.采购代理机构信息</w:t>
      </w:r>
    </w:p>
    <w:p w14:paraId="5BC4E817">
      <w:pPr>
        <w:spacing w:line="500" w:lineRule="exact"/>
        <w:rPr>
          <w:rFonts w:ascii="仿宋" w:hAnsi="仿宋" w:eastAsia="仿宋" w:cs="仿宋"/>
          <w:sz w:val="24"/>
        </w:rPr>
      </w:pPr>
      <w:r>
        <w:rPr>
          <w:rFonts w:hint="eastAsia" w:ascii="仿宋" w:hAnsi="仿宋" w:eastAsia="仿宋" w:cs="仿宋"/>
          <w:sz w:val="24"/>
        </w:rPr>
        <w:t>名 称：新疆城基宏业工程管理咨询有限公司</w:t>
      </w:r>
    </w:p>
    <w:p w14:paraId="2C0891B9">
      <w:pPr>
        <w:spacing w:line="500" w:lineRule="exact"/>
        <w:rPr>
          <w:rFonts w:ascii="仿宋" w:hAnsi="仿宋" w:eastAsia="仿宋" w:cs="仿宋"/>
          <w:sz w:val="24"/>
        </w:rPr>
      </w:pPr>
      <w:r>
        <w:rPr>
          <w:rFonts w:hint="eastAsia" w:ascii="仿宋" w:hAnsi="仿宋" w:eastAsia="仿宋" w:cs="仿宋"/>
          <w:sz w:val="24"/>
        </w:rPr>
        <w:t>地址：乌鲁木齐市水磨沟区立井街198号丽景中央城10-2301室</w:t>
      </w:r>
    </w:p>
    <w:p w14:paraId="5FCB381A">
      <w:pPr>
        <w:spacing w:line="500" w:lineRule="exact"/>
        <w:rPr>
          <w:rFonts w:hint="default" w:ascii="仿宋" w:hAnsi="仿宋" w:eastAsia="仿宋" w:cs="仿宋"/>
          <w:sz w:val="24"/>
          <w:lang w:val="en-US" w:eastAsia="zh-CN"/>
        </w:rPr>
      </w:pPr>
      <w:r>
        <w:rPr>
          <w:rFonts w:hint="eastAsia" w:ascii="仿宋" w:hAnsi="仿宋" w:eastAsia="仿宋" w:cs="仿宋"/>
          <w:sz w:val="24"/>
        </w:rPr>
        <w:t>联系方式：</w:t>
      </w:r>
      <w:r>
        <w:rPr>
          <w:rFonts w:hint="eastAsia" w:ascii="仿宋" w:hAnsi="仿宋" w:eastAsia="仿宋" w:cs="仿宋"/>
          <w:sz w:val="24"/>
          <w:lang w:val="en-US" w:eastAsia="zh-CN"/>
        </w:rPr>
        <w:t>17799770881</w:t>
      </w:r>
    </w:p>
    <w:p w14:paraId="12342BBE">
      <w:pPr>
        <w:spacing w:line="500" w:lineRule="exact"/>
        <w:rPr>
          <w:rFonts w:ascii="仿宋" w:hAnsi="仿宋" w:eastAsia="仿宋" w:cs="仿宋"/>
          <w:sz w:val="24"/>
        </w:rPr>
      </w:pPr>
      <w:r>
        <w:rPr>
          <w:rFonts w:hint="eastAsia" w:ascii="仿宋" w:hAnsi="仿宋" w:eastAsia="仿宋" w:cs="仿宋"/>
          <w:sz w:val="24"/>
        </w:rPr>
        <w:t>3.项目联系方式</w:t>
      </w:r>
    </w:p>
    <w:p w14:paraId="767ED9E2">
      <w:pPr>
        <w:spacing w:line="500" w:lineRule="exact"/>
        <w:rPr>
          <w:rFonts w:ascii="仿宋" w:hAnsi="仿宋" w:eastAsia="仿宋" w:cs="仿宋"/>
          <w:sz w:val="24"/>
        </w:rPr>
      </w:pPr>
      <w:r>
        <w:rPr>
          <w:rFonts w:hint="eastAsia" w:ascii="仿宋" w:hAnsi="仿宋" w:eastAsia="仿宋" w:cs="仿宋"/>
          <w:sz w:val="24"/>
        </w:rPr>
        <w:t>项目联系人：江硕苇</w:t>
      </w:r>
    </w:p>
    <w:p w14:paraId="7B79A657">
      <w:pPr>
        <w:spacing w:line="500" w:lineRule="exact"/>
        <w:rPr>
          <w:rFonts w:hint="default" w:ascii="仿宋" w:hAnsi="仿宋" w:eastAsia="仿宋" w:cs="仿宋"/>
          <w:sz w:val="24"/>
          <w:lang w:val="en-US" w:eastAsia="zh-CN"/>
        </w:rPr>
      </w:pPr>
      <w:r>
        <w:rPr>
          <w:rFonts w:hint="eastAsia" w:ascii="仿宋" w:hAnsi="仿宋" w:eastAsia="仿宋" w:cs="仿宋"/>
          <w:sz w:val="24"/>
        </w:rPr>
        <w:t>电 话：</w:t>
      </w:r>
      <w:r>
        <w:rPr>
          <w:rFonts w:hint="eastAsia" w:ascii="仿宋" w:hAnsi="仿宋" w:eastAsia="仿宋" w:cs="仿宋"/>
          <w:sz w:val="24"/>
          <w:lang w:val="en-US" w:eastAsia="zh-CN"/>
        </w:rPr>
        <w:t>17799770881</w:t>
      </w:r>
    </w:p>
    <w:p w14:paraId="04EF3F89">
      <w:pPr>
        <w:rPr>
          <w:rFonts w:ascii="仿宋" w:hAnsi="仿宋" w:eastAsia="仿宋" w:cs="仿宋"/>
          <w:sz w:val="24"/>
        </w:rPr>
      </w:pPr>
      <w:r>
        <w:rPr>
          <w:rFonts w:hint="eastAsia" w:ascii="仿宋" w:hAnsi="仿宋" w:eastAsia="仿宋" w:cs="仿宋"/>
          <w:sz w:val="24"/>
        </w:rPr>
        <w:br w:type="page"/>
      </w:r>
    </w:p>
    <w:p w14:paraId="69651BD8">
      <w:pPr>
        <w:pStyle w:val="2"/>
        <w:rPr>
          <w:rFonts w:cs="仿宋"/>
        </w:rPr>
      </w:pPr>
      <w:bookmarkStart w:id="2" w:name="_Toc155630073"/>
      <w:r>
        <w:rPr>
          <w:rFonts w:hint="eastAsia" w:cs="仿宋"/>
        </w:rPr>
        <w:t>投标须知前附表</w:t>
      </w:r>
      <w:bookmarkEnd w:id="2"/>
    </w:p>
    <w:p w14:paraId="66EA2CB2">
      <w:pPr>
        <w:spacing w:line="500" w:lineRule="exact"/>
        <w:ind w:firstLine="480" w:firstLineChars="200"/>
        <w:rPr>
          <w:rFonts w:ascii="仿宋" w:hAnsi="仿宋" w:eastAsia="仿宋" w:cs="仿宋"/>
          <w:sz w:val="24"/>
        </w:rPr>
      </w:pPr>
      <w:r>
        <w:rPr>
          <w:rFonts w:hint="eastAsia" w:ascii="仿宋" w:hAnsi="仿宋" w:eastAsia="仿宋" w:cs="仿宋"/>
          <w:sz w:val="24"/>
        </w:rPr>
        <w:t>本表是本招标项目的具体资料，是对投标人须知的具体补充和修改，如有矛盾，均以本资料表为准。标记“☑”的选项意为适用于本项目，标记“□”的选项意为不适用于本项目。</w:t>
      </w:r>
    </w:p>
    <w:p w14:paraId="40C192D6">
      <w:pPr>
        <w:spacing w:line="500" w:lineRule="exact"/>
        <w:ind w:firstLine="480" w:firstLineChars="200"/>
        <w:rPr>
          <w:rFonts w:ascii="仿宋" w:hAnsi="仿宋" w:eastAsia="仿宋" w:cs="仿宋"/>
          <w:sz w:val="24"/>
        </w:rPr>
      </w:pPr>
    </w:p>
    <w:tbl>
      <w:tblPr>
        <w:tblStyle w:val="45"/>
        <w:tblW w:w="852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56"/>
        <w:gridCol w:w="251"/>
        <w:gridCol w:w="7515"/>
      </w:tblGrid>
      <w:tr w14:paraId="3338DC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5D2B0457">
            <w:pPr>
              <w:spacing w:line="440" w:lineRule="exact"/>
              <w:jc w:val="center"/>
              <w:rPr>
                <w:rFonts w:ascii="仿宋" w:hAnsi="仿宋" w:eastAsia="仿宋" w:cs="仿宋"/>
                <w:b/>
                <w:bCs/>
                <w:sz w:val="24"/>
              </w:rPr>
            </w:pPr>
            <w:r>
              <w:rPr>
                <w:rFonts w:hint="eastAsia" w:ascii="仿宋" w:hAnsi="仿宋" w:eastAsia="仿宋" w:cs="仿宋"/>
                <w:b/>
                <w:bCs/>
                <w:sz w:val="24"/>
              </w:rPr>
              <w:t>条款号</w:t>
            </w:r>
          </w:p>
        </w:tc>
        <w:tc>
          <w:tcPr>
            <w:tcW w:w="7515" w:type="dxa"/>
            <w:tcBorders>
              <w:tl2br w:val="nil"/>
              <w:tr2bl w:val="nil"/>
            </w:tcBorders>
          </w:tcPr>
          <w:p w14:paraId="56526D53">
            <w:pPr>
              <w:spacing w:line="440" w:lineRule="exact"/>
              <w:jc w:val="center"/>
              <w:rPr>
                <w:rFonts w:ascii="仿宋" w:hAnsi="仿宋" w:eastAsia="仿宋" w:cs="仿宋"/>
                <w:b/>
                <w:bCs/>
                <w:sz w:val="24"/>
              </w:rPr>
            </w:pPr>
            <w:r>
              <w:rPr>
                <w:rFonts w:hint="eastAsia" w:ascii="仿宋" w:hAnsi="仿宋" w:eastAsia="仿宋" w:cs="仿宋"/>
                <w:b/>
                <w:bCs/>
                <w:sz w:val="24"/>
              </w:rPr>
              <w:t>内容</w:t>
            </w:r>
          </w:p>
        </w:tc>
      </w:tr>
      <w:tr w14:paraId="708EC5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27692775">
            <w:pPr>
              <w:spacing w:line="440" w:lineRule="exact"/>
              <w:jc w:val="center"/>
              <w:rPr>
                <w:rFonts w:ascii="仿宋" w:hAnsi="仿宋" w:eastAsia="仿宋" w:cs="仿宋"/>
                <w:sz w:val="24"/>
              </w:rPr>
            </w:pPr>
            <w:r>
              <w:rPr>
                <w:rFonts w:hint="eastAsia" w:ascii="仿宋" w:hAnsi="仿宋" w:eastAsia="仿宋" w:cs="仿宋"/>
                <w:sz w:val="24"/>
              </w:rPr>
              <w:t>1.1</w:t>
            </w:r>
          </w:p>
        </w:tc>
        <w:tc>
          <w:tcPr>
            <w:tcW w:w="7515" w:type="dxa"/>
            <w:tcBorders>
              <w:tl2br w:val="nil"/>
              <w:tr2bl w:val="nil"/>
            </w:tcBorders>
            <w:vAlign w:val="center"/>
          </w:tcPr>
          <w:p w14:paraId="081B7C0A">
            <w:pPr>
              <w:spacing w:line="440" w:lineRule="exact"/>
              <w:rPr>
                <w:rFonts w:hint="eastAsia" w:ascii="仿宋" w:hAnsi="仿宋" w:eastAsia="仿宋" w:cs="仿宋"/>
                <w:sz w:val="24"/>
                <w:lang w:eastAsia="zh-CN"/>
              </w:rPr>
            </w:pPr>
            <w:r>
              <w:rPr>
                <w:rFonts w:hint="eastAsia" w:ascii="仿宋" w:hAnsi="仿宋" w:eastAsia="仿宋" w:cs="仿宋"/>
                <w:sz w:val="24"/>
              </w:rPr>
              <w:t>名 称：</w:t>
            </w:r>
            <w:r>
              <w:rPr>
                <w:rFonts w:hint="eastAsia" w:ascii="仿宋" w:hAnsi="仿宋" w:eastAsia="仿宋" w:cs="仿宋"/>
                <w:sz w:val="24"/>
                <w:lang w:eastAsia="zh-CN"/>
              </w:rPr>
              <w:t>乌鲁木齐市城市勘察测绘院（乌鲁木齐市基础地理信息中心）</w:t>
            </w:r>
          </w:p>
          <w:p w14:paraId="21723884">
            <w:pPr>
              <w:spacing w:line="440" w:lineRule="exact"/>
              <w:rPr>
                <w:rFonts w:ascii="仿宋" w:hAnsi="仿宋" w:eastAsia="仿宋" w:cs="仿宋"/>
                <w:sz w:val="24"/>
              </w:rPr>
            </w:pPr>
            <w:r>
              <w:rPr>
                <w:rFonts w:hint="eastAsia" w:ascii="仿宋" w:hAnsi="仿宋" w:eastAsia="仿宋" w:cs="仿宋"/>
                <w:sz w:val="24"/>
              </w:rPr>
              <w:t>地 址：乌鲁木齐市会展大道599号</w:t>
            </w:r>
          </w:p>
          <w:p w14:paraId="35EEF23A">
            <w:pPr>
              <w:spacing w:line="440" w:lineRule="exact"/>
              <w:rPr>
                <w:rFonts w:ascii="仿宋" w:hAnsi="仿宋" w:eastAsia="仿宋" w:cs="仿宋"/>
                <w:sz w:val="24"/>
              </w:rPr>
            </w:pPr>
            <w:r>
              <w:rPr>
                <w:rFonts w:hint="eastAsia" w:ascii="仿宋" w:hAnsi="仿宋" w:eastAsia="仿宋" w:cs="仿宋"/>
                <w:sz w:val="24"/>
              </w:rPr>
              <w:t>联系人：李宝明</w:t>
            </w:r>
          </w:p>
          <w:p w14:paraId="2ACF5F7B">
            <w:pPr>
              <w:spacing w:line="440" w:lineRule="exact"/>
              <w:rPr>
                <w:rFonts w:ascii="仿宋" w:hAnsi="仿宋" w:eastAsia="仿宋" w:cs="仿宋"/>
                <w:sz w:val="24"/>
              </w:rPr>
            </w:pPr>
            <w:r>
              <w:rPr>
                <w:rFonts w:hint="eastAsia" w:ascii="仿宋" w:hAnsi="仿宋" w:eastAsia="仿宋" w:cs="仿宋"/>
                <w:sz w:val="24"/>
              </w:rPr>
              <w:t>联系方式：0991</w:t>
            </w:r>
            <w:r>
              <w:rPr>
                <w:rFonts w:hint="eastAsia" w:ascii="仿宋" w:hAnsi="仿宋" w:eastAsia="仿宋" w:cs="仿宋"/>
                <w:sz w:val="24"/>
                <w:lang w:val="en-US" w:eastAsia="zh-CN"/>
              </w:rPr>
              <w:t>-</w:t>
            </w:r>
            <w:r>
              <w:rPr>
                <w:rFonts w:hint="eastAsia" w:ascii="仿宋" w:hAnsi="仿宋" w:eastAsia="仿宋" w:cs="仿宋"/>
                <w:sz w:val="24"/>
              </w:rPr>
              <w:t>4518728</w:t>
            </w:r>
          </w:p>
        </w:tc>
      </w:tr>
      <w:tr w14:paraId="52A652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30341016">
            <w:pPr>
              <w:spacing w:line="440" w:lineRule="exact"/>
              <w:jc w:val="center"/>
              <w:rPr>
                <w:rFonts w:ascii="仿宋" w:hAnsi="仿宋" w:eastAsia="仿宋" w:cs="仿宋"/>
                <w:sz w:val="24"/>
              </w:rPr>
            </w:pPr>
            <w:r>
              <w:rPr>
                <w:rFonts w:hint="eastAsia" w:ascii="仿宋" w:hAnsi="仿宋" w:eastAsia="仿宋" w:cs="仿宋"/>
                <w:sz w:val="24"/>
              </w:rPr>
              <w:t>1.2</w:t>
            </w:r>
          </w:p>
        </w:tc>
        <w:tc>
          <w:tcPr>
            <w:tcW w:w="7515" w:type="dxa"/>
            <w:tcBorders>
              <w:tl2br w:val="nil"/>
              <w:tr2bl w:val="nil"/>
            </w:tcBorders>
            <w:vAlign w:val="center"/>
          </w:tcPr>
          <w:p w14:paraId="5859F23C">
            <w:pPr>
              <w:spacing w:line="440" w:lineRule="exact"/>
              <w:rPr>
                <w:rFonts w:ascii="仿宋" w:hAnsi="仿宋" w:eastAsia="仿宋" w:cs="仿宋"/>
                <w:sz w:val="24"/>
              </w:rPr>
            </w:pPr>
            <w:r>
              <w:rPr>
                <w:rFonts w:hint="eastAsia" w:ascii="仿宋" w:hAnsi="仿宋" w:eastAsia="仿宋" w:cs="仿宋"/>
                <w:sz w:val="24"/>
              </w:rPr>
              <w:t xml:space="preserve">采购代理机构：新疆城基宏业工程管理咨询有限公司 </w:t>
            </w:r>
          </w:p>
          <w:p w14:paraId="0DAEC443">
            <w:pPr>
              <w:spacing w:line="440" w:lineRule="exact"/>
              <w:rPr>
                <w:rFonts w:ascii="仿宋" w:hAnsi="仿宋" w:eastAsia="仿宋" w:cs="仿宋"/>
                <w:sz w:val="24"/>
              </w:rPr>
            </w:pPr>
            <w:r>
              <w:rPr>
                <w:rFonts w:hint="eastAsia" w:ascii="仿宋" w:hAnsi="仿宋" w:eastAsia="仿宋" w:cs="仿宋"/>
                <w:sz w:val="24"/>
              </w:rPr>
              <w:t>地址：乌鲁木齐市水磨沟区立井街198号丽景中央城10-2301室</w:t>
            </w:r>
          </w:p>
          <w:p w14:paraId="04ABF75D">
            <w:pPr>
              <w:spacing w:line="440" w:lineRule="exact"/>
              <w:rPr>
                <w:rFonts w:ascii="仿宋" w:hAnsi="仿宋" w:eastAsia="仿宋" w:cs="仿宋"/>
                <w:sz w:val="24"/>
              </w:rPr>
            </w:pPr>
            <w:r>
              <w:rPr>
                <w:rFonts w:hint="eastAsia" w:ascii="仿宋" w:hAnsi="仿宋" w:eastAsia="仿宋" w:cs="仿宋"/>
                <w:sz w:val="24"/>
              </w:rPr>
              <w:t>业务联系人：江硕苇</w:t>
            </w:r>
          </w:p>
          <w:p w14:paraId="543D6707">
            <w:pPr>
              <w:spacing w:line="440" w:lineRule="exact"/>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lang w:val="en-US" w:eastAsia="zh-CN"/>
              </w:rPr>
              <w:t>17799770881</w:t>
            </w:r>
          </w:p>
        </w:tc>
      </w:tr>
      <w:tr w14:paraId="50BDA6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51C66BB0">
            <w:pPr>
              <w:spacing w:line="440" w:lineRule="exact"/>
              <w:jc w:val="center"/>
              <w:rPr>
                <w:rFonts w:ascii="仿宋" w:hAnsi="仿宋" w:eastAsia="仿宋" w:cs="仿宋"/>
                <w:sz w:val="24"/>
              </w:rPr>
            </w:pPr>
            <w:r>
              <w:rPr>
                <w:rFonts w:hint="eastAsia" w:ascii="仿宋" w:hAnsi="仿宋" w:eastAsia="仿宋" w:cs="仿宋"/>
                <w:sz w:val="24"/>
              </w:rPr>
              <w:t>1.3.3</w:t>
            </w:r>
          </w:p>
        </w:tc>
        <w:tc>
          <w:tcPr>
            <w:tcW w:w="7515" w:type="dxa"/>
            <w:tcBorders>
              <w:tl2br w:val="nil"/>
              <w:tr2bl w:val="nil"/>
            </w:tcBorders>
            <w:vAlign w:val="center"/>
          </w:tcPr>
          <w:p w14:paraId="327D2041">
            <w:pPr>
              <w:spacing w:line="440" w:lineRule="exact"/>
              <w:rPr>
                <w:rFonts w:hint="eastAsia" w:ascii="仿宋" w:hAnsi="仿宋" w:eastAsia="仿宋" w:cs="仿宋"/>
                <w:sz w:val="24"/>
              </w:rPr>
            </w:pPr>
            <w:r>
              <w:rPr>
                <w:rFonts w:hint="eastAsia" w:ascii="仿宋" w:hAnsi="仿宋" w:eastAsia="仿宋" w:cs="仿宋"/>
                <w:sz w:val="24"/>
              </w:rPr>
              <w:t>合格投标人的其他资格要求：</w:t>
            </w:r>
          </w:p>
          <w:p w14:paraId="71240E24">
            <w:pPr>
              <w:spacing w:line="440" w:lineRule="exact"/>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652D46FD">
            <w:pPr>
              <w:spacing w:line="440" w:lineRule="exact"/>
              <w:rPr>
                <w:rFonts w:hint="eastAsia" w:ascii="仿宋" w:hAnsi="仿宋" w:eastAsia="仿宋" w:cs="仿宋"/>
                <w:sz w:val="24"/>
              </w:rPr>
            </w:pPr>
            <w:r>
              <w:rPr>
                <w:rFonts w:hint="eastAsia" w:ascii="仿宋" w:hAnsi="仿宋" w:eastAsia="仿宋" w:cs="仿宋"/>
                <w:sz w:val="24"/>
              </w:rPr>
              <w:t>2.落实政府采购政策需满足的资格要求：无</w:t>
            </w:r>
          </w:p>
          <w:p w14:paraId="26EDC61D">
            <w:pPr>
              <w:spacing w:line="440" w:lineRule="exact"/>
              <w:rPr>
                <w:rFonts w:hint="eastAsia" w:ascii="仿宋" w:hAnsi="仿宋" w:eastAsia="仿宋" w:cs="仿宋"/>
                <w:sz w:val="24"/>
              </w:rPr>
            </w:pPr>
            <w:r>
              <w:rPr>
                <w:rFonts w:hint="eastAsia" w:ascii="仿宋" w:hAnsi="仿宋" w:eastAsia="仿宋" w:cs="仿宋"/>
                <w:sz w:val="24"/>
              </w:rPr>
              <w:t>3.本项目资格要求：</w:t>
            </w:r>
          </w:p>
          <w:p w14:paraId="2E03999B">
            <w:pPr>
              <w:spacing w:line="440" w:lineRule="exact"/>
              <w:rPr>
                <w:rFonts w:hint="eastAsia" w:ascii="仿宋" w:hAnsi="仿宋" w:eastAsia="仿宋" w:cs="仿宋"/>
                <w:sz w:val="24"/>
              </w:rPr>
            </w:pPr>
            <w:r>
              <w:rPr>
                <w:rFonts w:hint="eastAsia" w:ascii="仿宋" w:hAnsi="仿宋" w:eastAsia="仿宋" w:cs="仿宋"/>
                <w:sz w:val="24"/>
              </w:rPr>
              <w:t>3.1、</w:t>
            </w:r>
            <w:r>
              <w:rPr>
                <w:rFonts w:hint="eastAsia" w:ascii="仿宋" w:hAnsi="仿宋" w:eastAsia="仿宋" w:cs="仿宋"/>
                <w:sz w:val="24"/>
                <w:lang w:eastAsia="zh-CN"/>
              </w:rPr>
              <w:t>投标人</w:t>
            </w:r>
            <w:r>
              <w:rPr>
                <w:rFonts w:hint="eastAsia" w:ascii="仿宋" w:hAnsi="仿宋" w:eastAsia="仿宋" w:cs="仿宋"/>
                <w:sz w:val="24"/>
              </w:rPr>
              <w:t>须具备有效的乙级及以上测绘资质证书（须包含大地测量、工程测量、摄影测量与遥感、</w:t>
            </w:r>
            <w:r>
              <w:rPr>
                <w:rFonts w:hint="eastAsia" w:ascii="仿宋" w:hAnsi="仿宋" w:eastAsia="仿宋" w:cs="仿宋"/>
                <w:sz w:val="24"/>
                <w:lang w:eastAsia="zh-CN"/>
              </w:rPr>
              <w:t>地理信息系统工程</w:t>
            </w:r>
            <w:r>
              <w:rPr>
                <w:rFonts w:hint="eastAsia" w:ascii="仿宋" w:hAnsi="仿宋" w:eastAsia="仿宋" w:cs="仿宋"/>
                <w:sz w:val="24"/>
              </w:rPr>
              <w:t>、测绘航空摄影）；</w:t>
            </w:r>
          </w:p>
          <w:p w14:paraId="5F8B27B9">
            <w:pPr>
              <w:spacing w:line="440" w:lineRule="exact"/>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eastAsia="zh-CN"/>
              </w:rPr>
              <w:t>投标人</w:t>
            </w:r>
            <w:r>
              <w:rPr>
                <w:rFonts w:hint="eastAsia" w:ascii="仿宋" w:hAnsi="仿宋" w:eastAsia="仿宋" w:cs="仿宋"/>
                <w:sz w:val="24"/>
              </w:rPr>
              <w:t>须具备有效的中国民用航空局颁发的民用无人机驾驶航空器运营合格证。</w:t>
            </w:r>
          </w:p>
          <w:p w14:paraId="64990339">
            <w:pPr>
              <w:spacing w:line="440" w:lineRule="exact"/>
              <w:rPr>
                <w:rFonts w:hint="eastAsia" w:ascii="仿宋" w:hAnsi="仿宋" w:eastAsia="仿宋" w:cs="仿宋"/>
                <w:sz w:val="24"/>
              </w:rPr>
            </w:pPr>
            <w:r>
              <w:rPr>
                <w:rFonts w:hint="eastAsia" w:ascii="仿宋" w:hAnsi="仿宋" w:eastAsia="仿宋" w:cs="仿宋"/>
                <w:sz w:val="24"/>
              </w:rPr>
              <w:t>4.本项目不允许联合体投标。</w:t>
            </w:r>
          </w:p>
          <w:p w14:paraId="02FBEC63">
            <w:pPr>
              <w:spacing w:line="440" w:lineRule="exact"/>
              <w:rPr>
                <w:rFonts w:ascii="仿宋" w:hAnsi="仿宋" w:eastAsia="仿宋" w:cs="仿宋"/>
                <w:sz w:val="24"/>
              </w:rPr>
            </w:pPr>
          </w:p>
        </w:tc>
      </w:tr>
      <w:tr w14:paraId="5DB99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16AC0117">
            <w:pPr>
              <w:spacing w:line="440" w:lineRule="exact"/>
              <w:jc w:val="center"/>
              <w:rPr>
                <w:rFonts w:ascii="仿宋" w:hAnsi="仿宋" w:eastAsia="仿宋" w:cs="仿宋"/>
                <w:sz w:val="24"/>
              </w:rPr>
            </w:pPr>
            <w:r>
              <w:rPr>
                <w:rFonts w:hint="eastAsia" w:ascii="仿宋" w:hAnsi="仿宋" w:eastAsia="仿宋" w:cs="仿宋"/>
                <w:sz w:val="24"/>
              </w:rPr>
              <w:t>1.4</w:t>
            </w:r>
          </w:p>
        </w:tc>
        <w:tc>
          <w:tcPr>
            <w:tcW w:w="7515" w:type="dxa"/>
            <w:tcBorders>
              <w:tl2br w:val="nil"/>
              <w:tr2bl w:val="nil"/>
            </w:tcBorders>
            <w:vAlign w:val="center"/>
          </w:tcPr>
          <w:p w14:paraId="5FB27EDC">
            <w:pPr>
              <w:spacing w:line="440" w:lineRule="exact"/>
              <w:rPr>
                <w:rFonts w:ascii="仿宋" w:hAnsi="仿宋" w:eastAsia="仿宋" w:cs="仿宋"/>
                <w:sz w:val="24"/>
              </w:rPr>
            </w:pPr>
            <w:r>
              <w:rPr>
                <w:rFonts w:hint="eastAsia" w:ascii="仿宋" w:hAnsi="仿宋" w:eastAsia="仿宋" w:cs="仿宋"/>
                <w:sz w:val="24"/>
              </w:rPr>
              <w:t>是否允许采购进口产品：否</w:t>
            </w:r>
          </w:p>
        </w:tc>
      </w:tr>
      <w:tr w14:paraId="71883B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34EB9AE8">
            <w:pPr>
              <w:spacing w:line="440" w:lineRule="exact"/>
              <w:jc w:val="center"/>
              <w:rPr>
                <w:rFonts w:ascii="仿宋" w:hAnsi="仿宋" w:eastAsia="仿宋" w:cs="仿宋"/>
                <w:sz w:val="24"/>
              </w:rPr>
            </w:pPr>
            <w:r>
              <w:rPr>
                <w:rFonts w:hint="eastAsia" w:ascii="仿宋" w:hAnsi="仿宋" w:eastAsia="仿宋" w:cs="仿宋"/>
                <w:sz w:val="24"/>
              </w:rPr>
              <w:t>1.5.1</w:t>
            </w:r>
          </w:p>
        </w:tc>
        <w:tc>
          <w:tcPr>
            <w:tcW w:w="7515" w:type="dxa"/>
            <w:tcBorders>
              <w:tl2br w:val="nil"/>
              <w:tr2bl w:val="nil"/>
            </w:tcBorders>
            <w:vAlign w:val="center"/>
          </w:tcPr>
          <w:p w14:paraId="4DA29703">
            <w:pPr>
              <w:spacing w:line="440" w:lineRule="exact"/>
              <w:rPr>
                <w:rFonts w:ascii="仿宋" w:hAnsi="仿宋" w:eastAsia="仿宋" w:cs="仿宋"/>
                <w:b/>
                <w:sz w:val="24"/>
              </w:rPr>
            </w:pPr>
            <w:r>
              <w:rPr>
                <w:rFonts w:hint="eastAsia" w:ascii="仿宋" w:hAnsi="仿宋" w:eastAsia="仿宋" w:cs="仿宋"/>
                <w:b/>
                <w:sz w:val="24"/>
              </w:rPr>
              <w:t>本项目采购标的对应的中小企业划分标准所属行业：其他未列明行业</w:t>
            </w:r>
          </w:p>
        </w:tc>
      </w:tr>
      <w:tr w14:paraId="28A8A9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124DA628">
            <w:pPr>
              <w:spacing w:line="440" w:lineRule="exact"/>
              <w:jc w:val="center"/>
              <w:rPr>
                <w:rFonts w:ascii="仿宋" w:hAnsi="仿宋" w:eastAsia="仿宋" w:cs="仿宋"/>
                <w:sz w:val="24"/>
              </w:rPr>
            </w:pPr>
            <w:r>
              <w:rPr>
                <w:rFonts w:hint="eastAsia" w:ascii="仿宋" w:hAnsi="仿宋" w:eastAsia="仿宋" w:cs="仿宋"/>
                <w:sz w:val="24"/>
              </w:rPr>
              <w:t>1.5.2</w:t>
            </w:r>
          </w:p>
        </w:tc>
        <w:tc>
          <w:tcPr>
            <w:tcW w:w="7515" w:type="dxa"/>
            <w:tcBorders>
              <w:tl2br w:val="nil"/>
              <w:tr2bl w:val="nil"/>
            </w:tcBorders>
            <w:vAlign w:val="center"/>
          </w:tcPr>
          <w:p w14:paraId="47EC16EF">
            <w:pPr>
              <w:spacing w:line="440" w:lineRule="exac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本项目不专门面向中小企业预留采购份额。</w:t>
            </w:r>
          </w:p>
          <w:p w14:paraId="4738B6D3">
            <w:pPr>
              <w:spacing w:line="440" w:lineRule="exac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本项目专门面向</w:t>
            </w:r>
            <w:r>
              <w:rPr>
                <w:rFonts w:hint="eastAsia" w:ascii="仿宋" w:hAnsi="仿宋" w:eastAsia="仿宋" w:cs="仿宋"/>
                <w:bCs/>
                <w:sz w:val="24"/>
              </w:rPr>
              <w:sym w:font="Wingdings 2" w:char="00A3"/>
            </w:r>
            <w:r>
              <w:rPr>
                <w:rFonts w:hint="eastAsia" w:ascii="仿宋" w:hAnsi="仿宋" w:eastAsia="仿宋" w:cs="仿宋"/>
                <w:bCs/>
                <w:sz w:val="24"/>
              </w:rPr>
              <w:t xml:space="preserve">小微企业 </w:t>
            </w:r>
            <w:r>
              <w:rPr>
                <w:rFonts w:hint="eastAsia" w:ascii="仿宋" w:hAnsi="仿宋" w:eastAsia="仿宋" w:cs="仿宋"/>
                <w:sz w:val="24"/>
              </w:rPr>
              <w:t>采购。即: 提供的服务全部由符合政策要求的</w:t>
            </w:r>
            <w:r>
              <w:rPr>
                <w:rFonts w:hint="eastAsia" w:ascii="仿宋" w:hAnsi="仿宋" w:eastAsia="仿宋" w:cs="仿宋"/>
                <w:bCs/>
                <w:sz w:val="24"/>
              </w:rPr>
              <w:sym w:font="Wingdings 2" w:char="00A3"/>
            </w:r>
            <w:r>
              <w:rPr>
                <w:rFonts w:hint="eastAsia" w:ascii="仿宋" w:hAnsi="仿宋" w:eastAsia="仿宋" w:cs="仿宋"/>
                <w:bCs/>
                <w:sz w:val="24"/>
              </w:rPr>
              <w:t>小微</w:t>
            </w:r>
            <w:r>
              <w:rPr>
                <w:rFonts w:hint="eastAsia" w:ascii="仿宋" w:hAnsi="仿宋" w:eastAsia="仿宋" w:cs="仿宋"/>
                <w:sz w:val="24"/>
              </w:rPr>
              <w:t>企业承接。</w:t>
            </w:r>
          </w:p>
          <w:p w14:paraId="65CA9AFC">
            <w:pPr>
              <w:spacing w:line="440" w:lineRule="exact"/>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Cs/>
                <w:sz w:val="24"/>
                <w:u w:val="single"/>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p>
        </w:tc>
      </w:tr>
      <w:tr w14:paraId="20097E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69828D3E">
            <w:pPr>
              <w:spacing w:line="440" w:lineRule="exact"/>
              <w:jc w:val="center"/>
              <w:rPr>
                <w:rFonts w:ascii="仿宋" w:hAnsi="仿宋" w:eastAsia="仿宋" w:cs="仿宋"/>
                <w:sz w:val="24"/>
              </w:rPr>
            </w:pPr>
            <w:r>
              <w:rPr>
                <w:rFonts w:hint="eastAsia" w:ascii="仿宋" w:hAnsi="仿宋" w:eastAsia="仿宋" w:cs="仿宋"/>
                <w:sz w:val="24"/>
              </w:rPr>
              <w:t>1.11</w:t>
            </w:r>
          </w:p>
        </w:tc>
        <w:tc>
          <w:tcPr>
            <w:tcW w:w="7515" w:type="dxa"/>
            <w:tcBorders>
              <w:tl2br w:val="nil"/>
              <w:tr2bl w:val="nil"/>
            </w:tcBorders>
            <w:vAlign w:val="center"/>
          </w:tcPr>
          <w:p w14:paraId="5071683A">
            <w:pPr>
              <w:spacing w:line="440" w:lineRule="exact"/>
              <w:rPr>
                <w:rFonts w:ascii="仿宋" w:hAnsi="仿宋" w:eastAsia="仿宋" w:cs="仿宋"/>
                <w:sz w:val="24"/>
              </w:rPr>
            </w:pPr>
            <w:r>
              <w:rPr>
                <w:rFonts w:hint="eastAsia" w:ascii="仿宋" w:hAnsi="仿宋" w:eastAsia="仿宋" w:cs="仿宋"/>
                <w:sz w:val="24"/>
              </w:rPr>
              <w:t>是否允许联合体投标：否</w:t>
            </w:r>
          </w:p>
          <w:p w14:paraId="29B857B5">
            <w:pPr>
              <w:spacing w:line="440" w:lineRule="exact"/>
              <w:rPr>
                <w:rFonts w:ascii="仿宋" w:hAnsi="仿宋" w:eastAsia="仿宋" w:cs="仿宋"/>
                <w:sz w:val="24"/>
              </w:rPr>
            </w:pPr>
            <w:r>
              <w:rPr>
                <w:rFonts w:hint="eastAsia" w:ascii="仿宋" w:hAnsi="仿宋" w:eastAsia="仿宋" w:cs="仿宋"/>
                <w:sz w:val="24"/>
              </w:rPr>
              <w:t>联合体的其他资格要求：无</w:t>
            </w:r>
          </w:p>
        </w:tc>
      </w:tr>
      <w:tr w14:paraId="066D7A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273523D2">
            <w:pPr>
              <w:spacing w:line="440" w:lineRule="exact"/>
              <w:jc w:val="center"/>
              <w:rPr>
                <w:rFonts w:ascii="仿宋" w:hAnsi="仿宋" w:eastAsia="仿宋" w:cs="仿宋"/>
                <w:sz w:val="24"/>
              </w:rPr>
            </w:pPr>
            <w:r>
              <w:rPr>
                <w:rFonts w:hint="eastAsia" w:ascii="仿宋" w:hAnsi="仿宋" w:eastAsia="仿宋" w:cs="仿宋"/>
                <w:sz w:val="24"/>
              </w:rPr>
              <w:t>2.2</w:t>
            </w:r>
          </w:p>
        </w:tc>
        <w:tc>
          <w:tcPr>
            <w:tcW w:w="7515" w:type="dxa"/>
            <w:tcBorders>
              <w:tl2br w:val="nil"/>
              <w:tr2bl w:val="nil"/>
            </w:tcBorders>
            <w:vAlign w:val="center"/>
          </w:tcPr>
          <w:p w14:paraId="3CABEF21">
            <w:pPr>
              <w:spacing w:line="440" w:lineRule="exact"/>
              <w:jc w:val="left"/>
              <w:rPr>
                <w:rFonts w:ascii="仿宋" w:hAnsi="仿宋" w:eastAsia="仿宋" w:cs="仿宋"/>
                <w:sz w:val="24"/>
              </w:rPr>
            </w:pPr>
            <w:r>
              <w:rPr>
                <w:rFonts w:hint="eastAsia" w:ascii="仿宋" w:hAnsi="仿宋" w:eastAsia="仿宋" w:cs="仿宋"/>
                <w:sz w:val="24"/>
              </w:rPr>
              <w:t>项目预算金额：</w:t>
            </w:r>
            <w:r>
              <w:rPr>
                <w:rFonts w:hint="eastAsia" w:ascii="仿宋" w:hAnsi="仿宋" w:eastAsia="仿宋" w:cs="仿宋"/>
                <w:sz w:val="24"/>
                <w:lang w:val="en-US" w:eastAsia="zh-CN"/>
              </w:rPr>
              <w:t>6750000.00</w:t>
            </w:r>
            <w:r>
              <w:rPr>
                <w:rFonts w:hint="eastAsia" w:ascii="仿宋" w:hAnsi="仿宋" w:eastAsia="仿宋" w:cs="仿宋"/>
                <w:sz w:val="24"/>
              </w:rPr>
              <w:t>元；</w:t>
            </w:r>
          </w:p>
          <w:p w14:paraId="2B01958A">
            <w:pPr>
              <w:spacing w:line="440" w:lineRule="exact"/>
              <w:jc w:val="left"/>
              <w:rPr>
                <w:rFonts w:ascii="仿宋" w:hAnsi="仿宋" w:eastAsia="仿宋" w:cs="仿宋"/>
                <w:sz w:val="24"/>
              </w:rPr>
            </w:pPr>
            <w:r>
              <w:rPr>
                <w:rFonts w:hint="eastAsia" w:ascii="仿宋" w:hAnsi="仿宋" w:eastAsia="仿宋" w:cs="仿宋"/>
                <w:sz w:val="24"/>
              </w:rPr>
              <w:t>最高限价：</w:t>
            </w:r>
            <w:r>
              <w:rPr>
                <w:rFonts w:hint="eastAsia" w:ascii="仿宋" w:hAnsi="仿宋" w:eastAsia="仿宋" w:cs="仿宋"/>
                <w:sz w:val="24"/>
                <w:lang w:val="en-US" w:eastAsia="zh-CN"/>
              </w:rPr>
              <w:t>6750000.00</w:t>
            </w:r>
            <w:r>
              <w:rPr>
                <w:rFonts w:hint="eastAsia" w:ascii="仿宋" w:hAnsi="仿宋" w:eastAsia="仿宋" w:cs="仿宋"/>
                <w:sz w:val="24"/>
              </w:rPr>
              <w:t>元；</w:t>
            </w:r>
          </w:p>
          <w:p w14:paraId="76D28CB9">
            <w:pPr>
              <w:widowControl/>
              <w:adjustRightInd w:val="0"/>
              <w:snapToGrid w:val="0"/>
              <w:spacing w:line="440" w:lineRule="exact"/>
              <w:jc w:val="left"/>
              <w:rPr>
                <w:rFonts w:ascii="仿宋" w:hAnsi="仿宋" w:eastAsia="仿宋" w:cs="仿宋"/>
                <w:b/>
                <w:bCs/>
                <w:sz w:val="24"/>
              </w:rPr>
            </w:pPr>
            <w:r>
              <w:rPr>
                <w:rFonts w:hint="eastAsia" w:ascii="仿宋" w:hAnsi="仿宋" w:eastAsia="仿宋" w:cs="仿宋"/>
                <w:b/>
                <w:bCs/>
                <w:sz w:val="24"/>
              </w:rPr>
              <w:t>注：投标人投标总报价不得高于本项目最高限价，且投标人各项目区报价不得高于各项目区最高限价，高于最高限价作废标处理。</w:t>
            </w:r>
          </w:p>
        </w:tc>
      </w:tr>
      <w:tr w14:paraId="096B08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31101CAD">
            <w:pPr>
              <w:spacing w:line="440" w:lineRule="exact"/>
              <w:jc w:val="center"/>
              <w:rPr>
                <w:rFonts w:ascii="仿宋" w:hAnsi="仿宋" w:eastAsia="仿宋" w:cs="仿宋"/>
                <w:sz w:val="24"/>
              </w:rPr>
            </w:pPr>
            <w:r>
              <w:rPr>
                <w:rFonts w:hint="eastAsia" w:ascii="仿宋" w:hAnsi="仿宋" w:eastAsia="仿宋" w:cs="仿宋"/>
                <w:sz w:val="24"/>
              </w:rPr>
              <w:t>5.4</w:t>
            </w:r>
          </w:p>
        </w:tc>
        <w:tc>
          <w:tcPr>
            <w:tcW w:w="7515" w:type="dxa"/>
            <w:tcBorders>
              <w:tl2br w:val="nil"/>
              <w:tr2bl w:val="nil"/>
            </w:tcBorders>
            <w:vAlign w:val="center"/>
          </w:tcPr>
          <w:p w14:paraId="5228D3E4">
            <w:pPr>
              <w:spacing w:line="440" w:lineRule="exact"/>
              <w:rPr>
                <w:rFonts w:ascii="仿宋" w:hAnsi="仿宋" w:eastAsia="仿宋" w:cs="仿宋"/>
                <w:sz w:val="24"/>
              </w:rPr>
            </w:pPr>
            <w:r>
              <w:rPr>
                <w:rFonts w:hint="eastAsia" w:ascii="仿宋" w:hAnsi="仿宋" w:eastAsia="仿宋" w:cs="仿宋"/>
                <w:sz w:val="24"/>
              </w:rPr>
              <w:t xml:space="preserve">是否组织现场考察或者召开答疑会：否 </w:t>
            </w:r>
          </w:p>
          <w:p w14:paraId="0355B0C4">
            <w:pPr>
              <w:spacing w:line="440" w:lineRule="exact"/>
              <w:rPr>
                <w:rFonts w:ascii="仿宋" w:hAnsi="仿宋" w:eastAsia="仿宋" w:cs="仿宋"/>
                <w:sz w:val="24"/>
              </w:rPr>
            </w:pPr>
            <w:r>
              <w:rPr>
                <w:rFonts w:hint="eastAsia" w:ascii="仿宋" w:hAnsi="仿宋" w:eastAsia="仿宋" w:cs="仿宋"/>
                <w:sz w:val="24"/>
              </w:rPr>
              <w:t>组织现场考察或者召开答疑会相关要求：/</w:t>
            </w:r>
          </w:p>
        </w:tc>
      </w:tr>
      <w:tr w14:paraId="32213B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6A1EB5B3">
            <w:pPr>
              <w:spacing w:line="440" w:lineRule="exact"/>
              <w:jc w:val="center"/>
              <w:rPr>
                <w:rFonts w:ascii="仿宋" w:hAnsi="仿宋" w:eastAsia="仿宋" w:cs="仿宋"/>
                <w:sz w:val="24"/>
              </w:rPr>
            </w:pPr>
            <w:r>
              <w:rPr>
                <w:rFonts w:hint="eastAsia" w:ascii="仿宋" w:hAnsi="仿宋" w:eastAsia="仿宋" w:cs="仿宋"/>
                <w:sz w:val="24"/>
              </w:rPr>
              <w:t xml:space="preserve">5.7 </w:t>
            </w:r>
          </w:p>
        </w:tc>
        <w:tc>
          <w:tcPr>
            <w:tcW w:w="7515" w:type="dxa"/>
            <w:tcBorders>
              <w:tl2br w:val="nil"/>
              <w:tr2bl w:val="nil"/>
            </w:tcBorders>
            <w:vAlign w:val="center"/>
          </w:tcPr>
          <w:p w14:paraId="372D7BBB">
            <w:pPr>
              <w:spacing w:line="440" w:lineRule="exact"/>
              <w:rPr>
                <w:rFonts w:ascii="仿宋" w:hAnsi="仿宋" w:eastAsia="仿宋" w:cs="仿宋"/>
                <w:sz w:val="24"/>
              </w:rPr>
            </w:pPr>
            <w:r>
              <w:rPr>
                <w:rFonts w:hint="eastAsia" w:ascii="仿宋" w:hAnsi="仿宋" w:eastAsia="仿宋" w:cs="仿宋"/>
                <w:sz w:val="24"/>
              </w:rPr>
              <w:t xml:space="preserve">是否需要提供样品：否 </w:t>
            </w:r>
          </w:p>
          <w:p w14:paraId="66F07765">
            <w:pPr>
              <w:spacing w:line="440" w:lineRule="exact"/>
              <w:rPr>
                <w:rFonts w:ascii="仿宋" w:hAnsi="仿宋" w:eastAsia="仿宋" w:cs="仿宋"/>
                <w:sz w:val="24"/>
              </w:rPr>
            </w:pPr>
            <w:r>
              <w:rPr>
                <w:rFonts w:hint="eastAsia" w:ascii="仿宋" w:hAnsi="仿宋" w:eastAsia="仿宋" w:cs="仿宋"/>
                <w:sz w:val="24"/>
              </w:rPr>
              <w:t>提供样品要求包括：/</w:t>
            </w:r>
          </w:p>
        </w:tc>
      </w:tr>
      <w:tr w14:paraId="65B46B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4005C673">
            <w:pPr>
              <w:spacing w:line="440" w:lineRule="exact"/>
              <w:jc w:val="center"/>
              <w:rPr>
                <w:rFonts w:ascii="仿宋" w:hAnsi="仿宋" w:eastAsia="仿宋" w:cs="仿宋"/>
                <w:sz w:val="24"/>
              </w:rPr>
            </w:pPr>
            <w:r>
              <w:rPr>
                <w:rFonts w:hint="eastAsia" w:ascii="仿宋" w:hAnsi="仿宋" w:eastAsia="仿宋" w:cs="仿宋"/>
                <w:sz w:val="24"/>
              </w:rPr>
              <w:t>10</w:t>
            </w:r>
          </w:p>
        </w:tc>
        <w:tc>
          <w:tcPr>
            <w:tcW w:w="7515" w:type="dxa"/>
            <w:tcBorders>
              <w:tl2br w:val="nil"/>
              <w:tr2bl w:val="nil"/>
            </w:tcBorders>
            <w:vAlign w:val="center"/>
          </w:tcPr>
          <w:p w14:paraId="389AF634">
            <w:pPr>
              <w:spacing w:line="440" w:lineRule="exact"/>
              <w:rPr>
                <w:rFonts w:ascii="仿宋" w:hAnsi="仿宋" w:eastAsia="仿宋" w:cs="仿宋"/>
                <w:sz w:val="24"/>
              </w:rPr>
            </w:pPr>
            <w:r>
              <w:rPr>
                <w:rFonts w:hint="eastAsia" w:ascii="仿宋" w:hAnsi="仿宋" w:eastAsia="仿宋" w:cs="仿宋"/>
                <w:sz w:val="24"/>
              </w:rPr>
              <w:t>保证金形式：支票、汇票、本票、网上银行支付或者金融机构、担保机构出具的保函等政府采购法律法规中要求的非现金形式</w:t>
            </w:r>
          </w:p>
          <w:p w14:paraId="2BE40D39">
            <w:pPr>
              <w:spacing w:line="440" w:lineRule="exact"/>
              <w:rPr>
                <w:rFonts w:ascii="仿宋" w:hAnsi="仿宋" w:eastAsia="仿宋" w:cs="仿宋"/>
                <w:sz w:val="24"/>
              </w:rPr>
            </w:pPr>
            <w:r>
              <w:rPr>
                <w:rFonts w:hint="eastAsia" w:ascii="仿宋" w:hAnsi="仿宋" w:eastAsia="仿宋" w:cs="仿宋"/>
                <w:sz w:val="24"/>
              </w:rPr>
              <w:t>保证金数额：</w:t>
            </w:r>
            <w:r>
              <w:rPr>
                <w:rFonts w:hint="eastAsia" w:ascii="仿宋" w:hAnsi="仿宋" w:eastAsia="仿宋" w:cs="仿宋"/>
                <w:sz w:val="24"/>
                <w:lang w:val="en-US" w:eastAsia="zh-CN"/>
              </w:rPr>
              <w:t>20</w:t>
            </w:r>
            <w:r>
              <w:rPr>
                <w:rFonts w:ascii="仿宋" w:hAnsi="仿宋" w:eastAsia="仿宋" w:cs="仿宋"/>
                <w:sz w:val="24"/>
              </w:rPr>
              <w:t>000</w:t>
            </w:r>
            <w:r>
              <w:rPr>
                <w:rFonts w:hint="eastAsia" w:ascii="仿宋" w:hAnsi="仿宋" w:eastAsia="仿宋" w:cs="仿宋"/>
                <w:sz w:val="24"/>
              </w:rPr>
              <w:t>元</w:t>
            </w:r>
          </w:p>
          <w:p w14:paraId="66DBFF7F">
            <w:pPr>
              <w:spacing w:line="440" w:lineRule="exact"/>
              <w:rPr>
                <w:rFonts w:ascii="仿宋" w:hAnsi="仿宋" w:eastAsia="仿宋" w:cs="仿宋"/>
                <w:sz w:val="24"/>
              </w:rPr>
            </w:pPr>
            <w:r>
              <w:rPr>
                <w:rFonts w:hint="eastAsia" w:ascii="仿宋" w:hAnsi="仿宋" w:eastAsia="仿宋" w:cs="仿宋"/>
                <w:sz w:val="24"/>
              </w:rPr>
              <w:t>如采用网上银行方式，采购代理机构账号信息如下：</w:t>
            </w:r>
          </w:p>
          <w:p w14:paraId="20E5A965">
            <w:pPr>
              <w:spacing w:line="440" w:lineRule="exact"/>
              <w:rPr>
                <w:rFonts w:ascii="仿宋" w:hAnsi="仿宋" w:eastAsia="仿宋" w:cs="仿宋"/>
                <w:sz w:val="24"/>
              </w:rPr>
            </w:pPr>
            <w:r>
              <w:rPr>
                <w:rFonts w:hint="eastAsia" w:ascii="仿宋" w:hAnsi="仿宋" w:eastAsia="仿宋" w:cs="仿宋"/>
                <w:sz w:val="24"/>
              </w:rPr>
              <w:t>保证金收款人：新疆城基宏业工程管理咨询有限公司</w:t>
            </w:r>
          </w:p>
          <w:p w14:paraId="25A03DA4">
            <w:pPr>
              <w:spacing w:line="440" w:lineRule="exact"/>
              <w:rPr>
                <w:rFonts w:ascii="仿宋" w:hAnsi="仿宋" w:eastAsia="仿宋" w:cs="仿宋"/>
                <w:sz w:val="24"/>
              </w:rPr>
            </w:pPr>
            <w:r>
              <w:rPr>
                <w:rFonts w:hint="eastAsia" w:ascii="仿宋" w:hAnsi="仿宋" w:eastAsia="仿宋" w:cs="仿宋"/>
                <w:sz w:val="24"/>
              </w:rPr>
              <w:t>保证金收款账号：</w:t>
            </w:r>
            <w:r>
              <w:rPr>
                <w:rFonts w:ascii="仿宋" w:hAnsi="仿宋" w:eastAsia="仿宋" w:cs="仿宋"/>
                <w:sz w:val="24"/>
              </w:rPr>
              <w:t>30704501040007573</w:t>
            </w:r>
          </w:p>
          <w:p w14:paraId="0F698E07">
            <w:pPr>
              <w:spacing w:line="440" w:lineRule="exact"/>
              <w:rPr>
                <w:rFonts w:ascii="仿宋" w:hAnsi="仿宋" w:eastAsia="仿宋" w:cs="仿宋"/>
                <w:sz w:val="24"/>
              </w:rPr>
            </w:pPr>
            <w:r>
              <w:rPr>
                <w:rFonts w:hint="eastAsia" w:ascii="仿宋" w:hAnsi="仿宋" w:eastAsia="仿宋" w:cs="仿宋"/>
                <w:sz w:val="24"/>
              </w:rPr>
              <w:t>保证收款银行: 中国农业银行股份有限公司乌鲁木齐南湖路（兵团）支行</w:t>
            </w:r>
          </w:p>
          <w:p w14:paraId="5F7A6707">
            <w:pPr>
              <w:spacing w:line="440" w:lineRule="exact"/>
              <w:rPr>
                <w:rFonts w:ascii="仿宋" w:hAnsi="仿宋" w:eastAsia="仿宋" w:cs="仿宋"/>
                <w:sz w:val="24"/>
              </w:rPr>
            </w:pPr>
            <w:r>
              <w:rPr>
                <w:rFonts w:hint="eastAsia" w:ascii="仿宋" w:hAnsi="仿宋" w:eastAsia="仿宋" w:cs="仿宋"/>
                <w:sz w:val="24"/>
              </w:rPr>
              <w:t>投标保证金到账（保函提交）截止时间同投标截止时间。</w:t>
            </w:r>
          </w:p>
          <w:p w14:paraId="75CF5221">
            <w:pPr>
              <w:spacing w:line="440" w:lineRule="exact"/>
              <w:rPr>
                <w:rFonts w:ascii="仿宋" w:hAnsi="仿宋" w:eastAsia="仿宋" w:cs="仿宋"/>
                <w:sz w:val="24"/>
              </w:rPr>
            </w:pPr>
            <w:r>
              <w:rPr>
                <w:rFonts w:hint="eastAsia" w:ascii="仿宋" w:hAnsi="仿宋" w:eastAsia="仿宋" w:cs="仿宋"/>
                <w:sz w:val="24"/>
              </w:rPr>
              <w:t>以支票、汇票、本票、网上银行支付等形式提交投标保证金的，应在投标截止时间前到账；</w:t>
            </w:r>
          </w:p>
          <w:p w14:paraId="2D8EACFB">
            <w:pPr>
              <w:spacing w:line="440" w:lineRule="exact"/>
              <w:rPr>
                <w:rFonts w:ascii="仿宋" w:hAnsi="仿宋" w:eastAsia="仿宋" w:cs="仿宋"/>
                <w:b/>
                <w:bCs/>
                <w:sz w:val="24"/>
              </w:rPr>
            </w:pPr>
            <w:r>
              <w:rPr>
                <w:rFonts w:hint="eastAsia" w:ascii="仿宋" w:hAnsi="仿宋" w:eastAsia="仿宋" w:cs="仿宋"/>
                <w:b/>
                <w:bCs/>
                <w:sz w:val="24"/>
              </w:rPr>
              <w:t>投标保函递交方式：</w:t>
            </w:r>
          </w:p>
          <w:p w14:paraId="558EEFBA">
            <w:pPr>
              <w:numPr>
                <w:ilvl w:val="0"/>
                <w:numId w:val="4"/>
              </w:numPr>
              <w:spacing w:line="440" w:lineRule="exact"/>
              <w:rPr>
                <w:rFonts w:ascii="仿宋" w:hAnsi="仿宋" w:eastAsia="仿宋" w:cs="仿宋"/>
                <w:sz w:val="24"/>
              </w:rPr>
            </w:pPr>
            <w:r>
              <w:rPr>
                <w:rFonts w:hint="eastAsia" w:ascii="仿宋" w:hAnsi="仿宋" w:eastAsia="仿宋" w:cs="仿宋"/>
                <w:b/>
                <w:bCs/>
                <w:sz w:val="24"/>
              </w:rPr>
              <w:t>电子保函：</w:t>
            </w:r>
            <w:r>
              <w:rPr>
                <w:rFonts w:hint="eastAsia" w:ascii="仿宋" w:hAnsi="仿宋" w:eastAsia="仿宋" w:cs="仿宋"/>
                <w:sz w:val="24"/>
              </w:rPr>
              <w:t>投标人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678F848A">
            <w:pPr>
              <w:numPr>
                <w:ilvl w:val="0"/>
                <w:numId w:val="4"/>
              </w:numPr>
              <w:spacing w:line="440" w:lineRule="exact"/>
              <w:rPr>
                <w:rFonts w:ascii="仿宋" w:hAnsi="仿宋" w:eastAsia="仿宋" w:cs="仿宋"/>
                <w:sz w:val="24"/>
              </w:rPr>
            </w:pPr>
            <w:r>
              <w:rPr>
                <w:rFonts w:hint="eastAsia" w:ascii="仿宋" w:hAnsi="仿宋" w:eastAsia="仿宋" w:cs="仿宋"/>
                <w:b/>
                <w:bCs/>
                <w:sz w:val="24"/>
              </w:rPr>
              <w:t>纸质保函：</w:t>
            </w:r>
            <w:r>
              <w:rPr>
                <w:rFonts w:hint="eastAsia" w:ascii="仿宋" w:hAnsi="仿宋" w:eastAsia="仿宋" w:cs="仿宋"/>
                <w:sz w:val="24"/>
              </w:rPr>
              <w:t xml:space="preserve">将纸质保函原件扫描件编入投标文件对应位置。保函中有提供网络验证保函真伪方式的，投标时无须提供保函原件； </w:t>
            </w:r>
          </w:p>
          <w:p w14:paraId="07DC9766">
            <w:pPr>
              <w:spacing w:line="440" w:lineRule="exact"/>
              <w:rPr>
                <w:rFonts w:ascii="仿宋" w:hAnsi="仿宋" w:eastAsia="仿宋" w:cs="仿宋"/>
                <w:sz w:val="24"/>
              </w:rPr>
            </w:pPr>
            <w:r>
              <w:rPr>
                <w:rFonts w:hint="eastAsia" w:ascii="仿宋" w:hAnsi="仿宋" w:eastAsia="仿宋" w:cs="仿宋"/>
                <w:sz w:val="24"/>
              </w:rPr>
              <w:t>纸质保函的开立人应当是具有相应资格的银行、保险机构、融资担保公司，其信用资质、履约能力、担保能力、赔付流程、安全保密等应符合保函业务条件。纸质保函应合法合规，符合行政监督部门、行业主管部门和金融监管部门的相关规定。投标人对所提交的纸质保函的真实性、合法性、有效性负责。</w:t>
            </w:r>
          </w:p>
          <w:p w14:paraId="34A8E1CC">
            <w:pPr>
              <w:spacing w:line="440" w:lineRule="exact"/>
              <w:rPr>
                <w:rFonts w:ascii="仿宋" w:hAnsi="仿宋" w:eastAsia="仿宋" w:cs="仿宋"/>
                <w:sz w:val="24"/>
              </w:rPr>
            </w:pPr>
            <w:r>
              <w:rPr>
                <w:rFonts w:hint="eastAsia" w:ascii="仿宋" w:hAnsi="仿宋" w:eastAsia="仿宋" w:cs="仿宋"/>
                <w:sz w:val="24"/>
              </w:rPr>
              <w:t>纸质保函应至少体现如下内容：</w:t>
            </w:r>
          </w:p>
          <w:p w14:paraId="4DEB1C5C">
            <w:pPr>
              <w:spacing w:line="440" w:lineRule="exact"/>
              <w:rPr>
                <w:rFonts w:ascii="仿宋" w:hAnsi="仿宋" w:eastAsia="仿宋" w:cs="仿宋"/>
                <w:sz w:val="24"/>
              </w:rPr>
            </w:pPr>
            <w:r>
              <w:rPr>
                <w:rFonts w:hint="eastAsia" w:ascii="仿宋" w:hAnsi="仿宋" w:eastAsia="仿宋" w:cs="仿宋"/>
                <w:sz w:val="24"/>
              </w:rPr>
              <w:t>①担保项目必须为本项目；</w:t>
            </w:r>
          </w:p>
          <w:p w14:paraId="4FABD9AD">
            <w:pPr>
              <w:spacing w:line="440" w:lineRule="exact"/>
              <w:rPr>
                <w:rFonts w:ascii="仿宋" w:hAnsi="仿宋" w:eastAsia="仿宋" w:cs="仿宋"/>
                <w:sz w:val="24"/>
              </w:rPr>
            </w:pPr>
            <w:r>
              <w:rPr>
                <w:rFonts w:hint="eastAsia" w:ascii="仿宋" w:hAnsi="仿宋" w:eastAsia="仿宋" w:cs="仿宋"/>
                <w:sz w:val="24"/>
              </w:rPr>
              <w:t>②受益人必须为本项目采购人；</w:t>
            </w:r>
          </w:p>
          <w:p w14:paraId="0ECA9D0A">
            <w:pPr>
              <w:spacing w:line="440" w:lineRule="exact"/>
              <w:rPr>
                <w:rFonts w:ascii="仿宋" w:hAnsi="仿宋" w:eastAsia="仿宋" w:cs="仿宋"/>
                <w:sz w:val="24"/>
              </w:rPr>
            </w:pPr>
            <w:r>
              <w:rPr>
                <w:rFonts w:hint="eastAsia" w:ascii="仿宋" w:hAnsi="仿宋" w:eastAsia="仿宋" w:cs="仿宋"/>
                <w:sz w:val="24"/>
              </w:rPr>
              <w:t>③保函担保金额必须满足本项目要求；</w:t>
            </w:r>
          </w:p>
          <w:p w14:paraId="0DF73E49">
            <w:pPr>
              <w:spacing w:line="440" w:lineRule="exact"/>
              <w:rPr>
                <w:rFonts w:ascii="仿宋" w:hAnsi="仿宋" w:eastAsia="仿宋" w:cs="仿宋"/>
                <w:sz w:val="24"/>
              </w:rPr>
            </w:pPr>
            <w:r>
              <w:rPr>
                <w:rFonts w:hint="eastAsia" w:ascii="仿宋" w:hAnsi="仿宋" w:eastAsia="仿宋" w:cs="仿宋"/>
                <w:sz w:val="24"/>
              </w:rPr>
              <w:t>④保函生效时间必须在投标（响应）文件递交截止时间前，有效期限必须至少包含整个投标（响应）有效期；</w:t>
            </w:r>
          </w:p>
          <w:p w14:paraId="611D2C17">
            <w:pPr>
              <w:spacing w:line="440" w:lineRule="exact"/>
              <w:rPr>
                <w:rFonts w:ascii="仿宋" w:hAnsi="仿宋" w:eastAsia="仿宋" w:cs="仿宋"/>
                <w:sz w:val="24"/>
              </w:rPr>
            </w:pPr>
            <w:r>
              <w:rPr>
                <w:rFonts w:hint="eastAsia" w:ascii="仿宋" w:hAnsi="仿宋" w:eastAsia="仿宋" w:cs="仿宋"/>
                <w:sz w:val="24"/>
              </w:rPr>
              <w:t>⑤保函须不可撤销且见索即付。</w:t>
            </w:r>
          </w:p>
          <w:p w14:paraId="373169B0">
            <w:pPr>
              <w:spacing w:line="440" w:lineRule="exact"/>
              <w:rPr>
                <w:rFonts w:ascii="仿宋" w:hAnsi="仿宋" w:eastAsia="仿宋" w:cs="仿宋"/>
                <w:sz w:val="24"/>
              </w:rPr>
            </w:pPr>
            <w:r>
              <w:rPr>
                <w:rFonts w:hint="eastAsia" w:ascii="仿宋" w:hAnsi="仿宋" w:eastAsia="仿宋" w:cs="仿宋"/>
                <w:sz w:val="24"/>
              </w:rPr>
              <w:t>若投标文件递交截止时间延期，则纸质保函递交的截止时间和投标文件递交截止时间保持一致。</w:t>
            </w:r>
          </w:p>
          <w:p w14:paraId="7DB05E06">
            <w:pPr>
              <w:spacing w:line="440" w:lineRule="exact"/>
              <w:rPr>
                <w:rFonts w:ascii="仿宋" w:hAnsi="仿宋" w:eastAsia="仿宋" w:cs="仿宋"/>
                <w:b/>
                <w:bCs/>
                <w:sz w:val="24"/>
              </w:rPr>
            </w:pPr>
            <w:r>
              <w:rPr>
                <w:rFonts w:hint="eastAsia" w:ascii="仿宋" w:hAnsi="仿宋" w:eastAsia="仿宋" w:cs="仿宋"/>
                <w:b/>
                <w:bCs/>
                <w:sz w:val="24"/>
              </w:rPr>
              <w:t>不满足上述要求的纸质保函无效。</w:t>
            </w:r>
          </w:p>
          <w:p w14:paraId="72140B41">
            <w:pPr>
              <w:spacing w:line="440" w:lineRule="exact"/>
              <w:rPr>
                <w:rFonts w:ascii="仿宋" w:hAnsi="仿宋" w:eastAsia="仿宋" w:cs="仿宋"/>
                <w:sz w:val="24"/>
              </w:rPr>
            </w:pPr>
            <w:r>
              <w:rPr>
                <w:rFonts w:hint="eastAsia" w:ascii="仿宋" w:hAnsi="仿宋" w:eastAsia="仿宋" w:cs="仿宋"/>
                <w:sz w:val="24"/>
              </w:rPr>
              <w:t>由于到账时间晚于投标截止时间的，或者票据错误、印鉴不清等原因导致不能到账的，其投标无效。</w:t>
            </w:r>
          </w:p>
          <w:p w14:paraId="0600BF38">
            <w:pPr>
              <w:spacing w:line="440" w:lineRule="exact"/>
              <w:rPr>
                <w:rFonts w:ascii="仿宋" w:hAnsi="仿宋" w:eastAsia="仿宋" w:cs="仿宋"/>
                <w:sz w:val="24"/>
              </w:rPr>
            </w:pPr>
            <w:r>
              <w:rPr>
                <w:rFonts w:hint="eastAsia" w:ascii="仿宋" w:hAnsi="仿宋" w:eastAsia="仿宋" w:cs="仿宋"/>
                <w:sz w:val="24"/>
              </w:rPr>
              <w:t>投标保证金（投标电子保函）有效期与投标有效期一致。</w:t>
            </w:r>
          </w:p>
        </w:tc>
      </w:tr>
      <w:tr w14:paraId="44EDC8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558E3658">
            <w:pPr>
              <w:spacing w:line="440" w:lineRule="exact"/>
              <w:jc w:val="center"/>
              <w:rPr>
                <w:rFonts w:ascii="仿宋" w:hAnsi="仿宋" w:eastAsia="仿宋" w:cs="仿宋"/>
                <w:sz w:val="24"/>
              </w:rPr>
            </w:pPr>
            <w:r>
              <w:rPr>
                <w:rFonts w:hint="eastAsia" w:ascii="仿宋" w:hAnsi="仿宋" w:eastAsia="仿宋" w:cs="仿宋"/>
                <w:sz w:val="24"/>
              </w:rPr>
              <w:t>11.1</w:t>
            </w:r>
          </w:p>
        </w:tc>
        <w:tc>
          <w:tcPr>
            <w:tcW w:w="7515" w:type="dxa"/>
            <w:tcBorders>
              <w:tl2br w:val="nil"/>
              <w:tr2bl w:val="nil"/>
            </w:tcBorders>
            <w:vAlign w:val="center"/>
          </w:tcPr>
          <w:p w14:paraId="4BC7A410">
            <w:pPr>
              <w:spacing w:line="440" w:lineRule="exact"/>
              <w:rPr>
                <w:rFonts w:ascii="仿宋" w:hAnsi="仿宋" w:eastAsia="仿宋" w:cs="仿宋"/>
                <w:b/>
                <w:bCs/>
                <w:sz w:val="24"/>
              </w:rPr>
            </w:pPr>
            <w:r>
              <w:rPr>
                <w:rFonts w:hint="eastAsia" w:ascii="仿宋" w:hAnsi="仿宋" w:eastAsia="仿宋" w:cs="仿宋"/>
                <w:sz w:val="24"/>
              </w:rPr>
              <w:t>投标有效期：90 日历日</w:t>
            </w:r>
          </w:p>
        </w:tc>
      </w:tr>
      <w:tr w14:paraId="50CE87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712B72DE">
            <w:pPr>
              <w:spacing w:line="440" w:lineRule="exact"/>
              <w:jc w:val="center"/>
              <w:rPr>
                <w:rFonts w:ascii="仿宋" w:hAnsi="仿宋" w:eastAsia="仿宋" w:cs="仿宋"/>
                <w:sz w:val="24"/>
              </w:rPr>
            </w:pPr>
            <w:r>
              <w:rPr>
                <w:rFonts w:hint="eastAsia" w:ascii="仿宋" w:hAnsi="仿宋" w:eastAsia="仿宋" w:cs="仿宋"/>
                <w:sz w:val="24"/>
              </w:rPr>
              <w:t>13.1</w:t>
            </w:r>
          </w:p>
        </w:tc>
        <w:tc>
          <w:tcPr>
            <w:tcW w:w="7515" w:type="dxa"/>
            <w:tcBorders>
              <w:tl2br w:val="nil"/>
              <w:tr2bl w:val="nil"/>
            </w:tcBorders>
            <w:vAlign w:val="center"/>
          </w:tcPr>
          <w:p w14:paraId="2AE29082">
            <w:pPr>
              <w:spacing w:line="440" w:lineRule="exact"/>
              <w:rPr>
                <w:rFonts w:ascii="仿宋" w:hAnsi="仿宋" w:eastAsia="仿宋" w:cs="仿宋"/>
                <w:sz w:val="24"/>
              </w:rPr>
            </w:pPr>
            <w:r>
              <w:rPr>
                <w:rFonts w:hint="eastAsia" w:ascii="仿宋" w:hAnsi="仿宋" w:eastAsia="仿宋" w:cs="仿宋"/>
                <w:sz w:val="24"/>
              </w:rPr>
              <w:t>投标截止时间：2026年0</w:t>
            </w:r>
            <w:r>
              <w:rPr>
                <w:rFonts w:hint="eastAsia" w:ascii="仿宋" w:hAnsi="仿宋" w:eastAsia="仿宋" w:cs="仿宋"/>
                <w:sz w:val="24"/>
                <w:lang w:val="en-US" w:eastAsia="zh-CN"/>
              </w:rPr>
              <w:t>6</w:t>
            </w:r>
            <w:r>
              <w:rPr>
                <w:rFonts w:hint="eastAsia" w:ascii="仿宋" w:hAnsi="仿宋" w:eastAsia="仿宋" w:cs="仿宋"/>
                <w:sz w:val="24"/>
              </w:rPr>
              <w:t>月</w:t>
            </w:r>
            <w:r>
              <w:rPr>
                <w:rFonts w:ascii="仿宋" w:hAnsi="仿宋" w:eastAsia="仿宋" w:cs="仿宋"/>
                <w:sz w:val="24"/>
              </w:rPr>
              <w:t>0</w:t>
            </w:r>
            <w:r>
              <w:rPr>
                <w:rFonts w:hint="eastAsia" w:ascii="仿宋" w:hAnsi="仿宋" w:eastAsia="仿宋" w:cs="仿宋"/>
                <w:sz w:val="24"/>
                <w:lang w:val="en-US" w:eastAsia="zh-CN"/>
              </w:rPr>
              <w:t>1</w:t>
            </w:r>
            <w:r>
              <w:rPr>
                <w:rFonts w:hint="eastAsia" w:ascii="仿宋" w:hAnsi="仿宋" w:eastAsia="仿宋" w:cs="仿宋"/>
                <w:sz w:val="24"/>
              </w:rPr>
              <w:t>日11时00分（北京时间）</w:t>
            </w:r>
          </w:p>
        </w:tc>
      </w:tr>
      <w:tr w14:paraId="3F45C2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1E2D0210">
            <w:pPr>
              <w:spacing w:line="440" w:lineRule="exact"/>
              <w:jc w:val="center"/>
              <w:rPr>
                <w:rFonts w:ascii="仿宋" w:hAnsi="仿宋" w:eastAsia="仿宋" w:cs="仿宋"/>
                <w:sz w:val="24"/>
              </w:rPr>
            </w:pPr>
            <w:r>
              <w:rPr>
                <w:rFonts w:hint="eastAsia" w:ascii="仿宋" w:hAnsi="仿宋" w:eastAsia="仿宋" w:cs="仿宋"/>
                <w:sz w:val="24"/>
              </w:rPr>
              <w:t>14.1</w:t>
            </w:r>
          </w:p>
        </w:tc>
        <w:tc>
          <w:tcPr>
            <w:tcW w:w="7515" w:type="dxa"/>
            <w:tcBorders>
              <w:tl2br w:val="nil"/>
              <w:tr2bl w:val="nil"/>
            </w:tcBorders>
            <w:vAlign w:val="center"/>
          </w:tcPr>
          <w:p w14:paraId="3FB4E785">
            <w:pPr>
              <w:spacing w:line="440" w:lineRule="exact"/>
              <w:rPr>
                <w:rFonts w:ascii="仿宋" w:hAnsi="仿宋" w:eastAsia="仿宋" w:cs="仿宋"/>
                <w:sz w:val="24"/>
              </w:rPr>
            </w:pPr>
            <w:r>
              <w:rPr>
                <w:rFonts w:hint="eastAsia" w:ascii="仿宋" w:hAnsi="仿宋" w:eastAsia="仿宋" w:cs="仿宋"/>
                <w:sz w:val="24"/>
              </w:rPr>
              <w:t xml:space="preserve">开标时间：同投标截止时间 </w:t>
            </w:r>
          </w:p>
          <w:p w14:paraId="1A22ACA4">
            <w:pPr>
              <w:spacing w:line="440" w:lineRule="exact"/>
              <w:rPr>
                <w:rFonts w:hint="eastAsia" w:ascii="仿宋" w:hAnsi="仿宋" w:eastAsia="仿宋" w:cs="仿宋"/>
                <w:sz w:val="24"/>
              </w:rPr>
            </w:pPr>
            <w:r>
              <w:rPr>
                <w:rFonts w:hint="eastAsia" w:ascii="仿宋" w:hAnsi="仿宋" w:eastAsia="仿宋" w:cs="仿宋"/>
                <w:sz w:val="24"/>
              </w:rPr>
              <w:t>开标地点：政采云平台（https://www.zcygov.cn/）不见面开标系统</w:t>
            </w:r>
          </w:p>
          <w:p w14:paraId="29AEE29D">
            <w:pPr>
              <w:spacing w:line="440" w:lineRule="exact"/>
              <w:rPr>
                <w:rFonts w:hint="eastAsia" w:ascii="仿宋" w:hAnsi="仿宋" w:eastAsia="仿宋" w:cs="仿宋"/>
                <w:sz w:val="24"/>
                <w:lang w:eastAsia="zh-CN"/>
              </w:rPr>
            </w:pPr>
            <w:r>
              <w:rPr>
                <w:rFonts w:hint="eastAsia" w:ascii="仿宋" w:hAnsi="仿宋" w:eastAsia="仿宋" w:cs="仿宋"/>
                <w:sz w:val="24"/>
                <w:lang w:eastAsia="zh-CN"/>
              </w:rPr>
              <w:t>本次采购采用电子交易方式，电子交易平台为“政府采购云平台（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550A4AD3">
            <w:pPr>
              <w:spacing w:line="440" w:lineRule="exact"/>
              <w:rPr>
                <w:rFonts w:hint="eastAsia" w:ascii="仿宋" w:hAnsi="仿宋" w:eastAsia="仿宋" w:cs="仿宋"/>
                <w:sz w:val="24"/>
                <w:lang w:eastAsia="zh-CN"/>
              </w:rPr>
            </w:pPr>
            <w:r>
              <w:rPr>
                <w:rFonts w:hint="eastAsia" w:ascii="仿宋" w:hAnsi="仿宋" w:eastAsia="仿宋" w:cs="仿宋"/>
                <w:sz w:val="24"/>
                <w:lang w:eastAsia="zh-CN"/>
              </w:rPr>
              <w:t>2、投标人须在在提交投标文件截止时间前通过CA在政采云平台上传加密的电子投标文件。投标人在开标时须使用制作加密电子投标文件所使用的CA锁解密，投标人须提前配置好浏览器（建议使用360浏览器或谷歌浏览器），并确保开标期间电脑网络环境畅通，以便开标时解密。本项目解密时间定为30分钟，如因投标人自身原因导致无法正常解密，后果由投标人自行承担。</w:t>
            </w:r>
          </w:p>
          <w:p w14:paraId="53D68395">
            <w:pPr>
              <w:spacing w:line="440" w:lineRule="exact"/>
              <w:rPr>
                <w:rFonts w:hint="eastAsia" w:ascii="仿宋" w:hAnsi="仿宋" w:eastAsia="仿宋" w:cs="仿宋"/>
                <w:sz w:val="24"/>
              </w:rPr>
            </w:pPr>
            <w:r>
              <w:rPr>
                <w:rFonts w:hint="eastAsia" w:ascii="仿宋" w:hAnsi="仿宋" w:eastAsia="仿宋" w:cs="仿宋"/>
                <w:sz w:val="24"/>
              </w:rPr>
              <w:t>3、参与电子投标投标人，“不见面开标”大厅操作提示：①开标前一小时在系统进行在线签到②30分钟内完成在线解密③开标结束后30分钟内完成“开标一览表”在线签章。注意：如未在规定时间进行以上操作，将导致投标（响应）无效。</w:t>
            </w:r>
          </w:p>
          <w:p w14:paraId="6F6390ED">
            <w:pPr>
              <w:spacing w:line="440" w:lineRule="exact"/>
              <w:rPr>
                <w:rFonts w:hint="eastAsia" w:ascii="仿宋" w:hAnsi="仿宋" w:eastAsia="仿宋" w:cs="仿宋"/>
                <w:sz w:val="24"/>
              </w:rPr>
            </w:pPr>
            <w:r>
              <w:rPr>
                <w:rFonts w:hint="eastAsia" w:ascii="仿宋" w:hAnsi="仿宋" w:eastAsia="仿宋" w:cs="仿宋"/>
                <w:sz w:val="24"/>
              </w:rPr>
              <w:t>4、各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sz w:val="24"/>
                <w:lang w:eastAsia="zh-CN"/>
              </w:rPr>
              <w:t>投标人</w:t>
            </w:r>
            <w:r>
              <w:rPr>
                <w:rFonts w:hint="eastAsia" w:ascii="仿宋" w:hAnsi="仿宋" w:eastAsia="仿宋" w:cs="仿宋"/>
                <w:sz w:val="24"/>
              </w:rPr>
              <w:t>”版面获取操作指南，同时对自助查询无法解决的问题可通过钉钉群及政采云在线客服获取服务支持。</w:t>
            </w:r>
          </w:p>
        </w:tc>
      </w:tr>
      <w:tr w14:paraId="651479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007" w:type="dxa"/>
            <w:gridSpan w:val="2"/>
            <w:tcBorders>
              <w:bottom w:val="single" w:color="auto" w:sz="4" w:space="0"/>
              <w:tl2br w:val="nil"/>
              <w:tr2bl w:val="nil"/>
            </w:tcBorders>
            <w:vAlign w:val="center"/>
          </w:tcPr>
          <w:p w14:paraId="7241C2CA">
            <w:pPr>
              <w:spacing w:line="440" w:lineRule="exact"/>
              <w:jc w:val="center"/>
              <w:rPr>
                <w:rFonts w:ascii="仿宋" w:hAnsi="仿宋" w:eastAsia="仿宋" w:cs="仿宋"/>
                <w:sz w:val="24"/>
              </w:rPr>
            </w:pPr>
            <w:r>
              <w:rPr>
                <w:rFonts w:hint="eastAsia" w:ascii="仿宋" w:hAnsi="仿宋" w:eastAsia="仿宋" w:cs="仿宋"/>
                <w:sz w:val="24"/>
              </w:rPr>
              <w:t>18.1</w:t>
            </w:r>
          </w:p>
        </w:tc>
        <w:tc>
          <w:tcPr>
            <w:tcW w:w="7515" w:type="dxa"/>
            <w:tcBorders>
              <w:bottom w:val="single" w:color="auto" w:sz="4" w:space="0"/>
              <w:tl2br w:val="nil"/>
              <w:tr2bl w:val="nil"/>
            </w:tcBorders>
            <w:vAlign w:val="center"/>
          </w:tcPr>
          <w:p w14:paraId="5FDAB9BD">
            <w:pPr>
              <w:spacing w:line="440" w:lineRule="exact"/>
              <w:rPr>
                <w:rFonts w:ascii="仿宋" w:hAnsi="仿宋" w:eastAsia="仿宋" w:cs="仿宋"/>
                <w:sz w:val="24"/>
              </w:rPr>
            </w:pPr>
            <w:r>
              <w:rPr>
                <w:rFonts w:hint="eastAsia" w:ascii="仿宋" w:hAnsi="仿宋" w:eastAsia="仿宋" w:cs="仿宋"/>
                <w:sz w:val="24"/>
              </w:rPr>
              <w:t xml:space="preserve">采购人是否委托评标委员会直接确定中标人：否 </w:t>
            </w:r>
          </w:p>
        </w:tc>
      </w:tr>
      <w:tr w14:paraId="684738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007" w:type="dxa"/>
            <w:gridSpan w:val="2"/>
            <w:tcBorders>
              <w:top w:val="single" w:color="auto" w:sz="4" w:space="0"/>
              <w:tl2br w:val="nil"/>
              <w:tr2bl w:val="nil"/>
            </w:tcBorders>
            <w:vAlign w:val="center"/>
          </w:tcPr>
          <w:p w14:paraId="5D7F540B">
            <w:pPr>
              <w:spacing w:line="440" w:lineRule="exact"/>
              <w:jc w:val="center"/>
              <w:rPr>
                <w:rFonts w:ascii="仿宋" w:hAnsi="仿宋" w:eastAsia="仿宋" w:cs="仿宋"/>
                <w:sz w:val="24"/>
              </w:rPr>
            </w:pPr>
            <w:r>
              <w:rPr>
                <w:rFonts w:hint="eastAsia" w:ascii="仿宋" w:hAnsi="仿宋" w:eastAsia="仿宋" w:cs="仿宋"/>
                <w:sz w:val="24"/>
              </w:rPr>
              <w:t>21.5</w:t>
            </w:r>
          </w:p>
        </w:tc>
        <w:tc>
          <w:tcPr>
            <w:tcW w:w="7515" w:type="dxa"/>
            <w:tcBorders>
              <w:top w:val="single" w:color="auto" w:sz="4" w:space="0"/>
              <w:tl2br w:val="nil"/>
              <w:tr2bl w:val="nil"/>
            </w:tcBorders>
            <w:vAlign w:val="center"/>
          </w:tcPr>
          <w:p w14:paraId="78C8239A">
            <w:pPr>
              <w:spacing w:line="440" w:lineRule="exact"/>
              <w:rPr>
                <w:rFonts w:ascii="仿宋" w:hAnsi="仿宋" w:eastAsia="仿宋" w:cs="仿宋"/>
                <w:sz w:val="24"/>
              </w:rPr>
            </w:pPr>
            <w:r>
              <w:rPr>
                <w:rFonts w:hint="eastAsia" w:ascii="仿宋" w:hAnsi="仿宋" w:eastAsia="仿宋" w:cs="仿宋"/>
                <w:sz w:val="24"/>
              </w:rPr>
              <w:t>本项目是否允许分包：</w:t>
            </w:r>
          </w:p>
          <w:p w14:paraId="310AC395">
            <w:pPr>
              <w:spacing w:line="440" w:lineRule="exact"/>
              <w:rPr>
                <w:rFonts w:ascii="仿宋" w:hAnsi="仿宋" w:eastAsia="仿宋" w:cs="仿宋"/>
                <w:sz w:val="24"/>
              </w:rPr>
            </w:pPr>
            <w:r>
              <w:rPr>
                <w:rFonts w:hint="eastAsia" w:ascii="仿宋" w:hAnsi="仿宋" w:eastAsia="仿宋" w:cs="仿宋"/>
                <w:sz w:val="24"/>
              </w:rPr>
              <w:t>☑不允许</w:t>
            </w:r>
          </w:p>
          <w:p w14:paraId="04FDEFB1">
            <w:pPr>
              <w:spacing w:line="440" w:lineRule="exact"/>
              <w:rPr>
                <w:rFonts w:ascii="仿宋" w:hAnsi="仿宋" w:eastAsia="仿宋" w:cs="仿宋"/>
                <w:sz w:val="24"/>
              </w:rPr>
            </w:pPr>
            <w:r>
              <w:rPr>
                <w:rFonts w:hint="eastAsia" w:ascii="仿宋" w:hAnsi="仿宋" w:eastAsia="仿宋" w:cs="仿宋"/>
                <w:sz w:val="24"/>
              </w:rPr>
              <w:t>□允许，具体要求：</w:t>
            </w:r>
          </w:p>
          <w:p w14:paraId="1CE1147F">
            <w:pPr>
              <w:spacing w:line="440" w:lineRule="exact"/>
              <w:rPr>
                <w:rFonts w:ascii="仿宋" w:hAnsi="仿宋" w:eastAsia="仿宋" w:cs="仿宋"/>
                <w:sz w:val="24"/>
              </w:rPr>
            </w:pPr>
            <w:r>
              <w:rPr>
                <w:rFonts w:hint="eastAsia" w:ascii="仿宋" w:hAnsi="仿宋" w:eastAsia="仿宋" w:cs="仿宋"/>
                <w:sz w:val="24"/>
              </w:rPr>
              <w:t>（1）可以分包履行的具体内容：</w:t>
            </w:r>
            <w:r>
              <w:rPr>
                <w:rFonts w:hint="eastAsia" w:ascii="仿宋" w:hAnsi="仿宋" w:eastAsia="仿宋" w:cs="仿宋"/>
                <w:sz w:val="24"/>
                <w:u w:val="single"/>
              </w:rPr>
              <w:t>/</w:t>
            </w:r>
            <w:r>
              <w:rPr>
                <w:rFonts w:hint="eastAsia" w:ascii="仿宋" w:hAnsi="仿宋" w:eastAsia="仿宋" w:cs="仿宋"/>
                <w:sz w:val="24"/>
              </w:rPr>
              <w:t>；</w:t>
            </w:r>
          </w:p>
          <w:p w14:paraId="01DC12A6">
            <w:pPr>
              <w:spacing w:line="440" w:lineRule="exact"/>
              <w:rPr>
                <w:rFonts w:ascii="仿宋" w:hAnsi="仿宋" w:eastAsia="仿宋" w:cs="仿宋"/>
                <w:sz w:val="24"/>
              </w:rPr>
            </w:pPr>
            <w:r>
              <w:rPr>
                <w:rFonts w:hint="eastAsia" w:ascii="仿宋" w:hAnsi="仿宋" w:eastAsia="仿宋" w:cs="仿宋"/>
                <w:sz w:val="24"/>
              </w:rPr>
              <w:t>（2）允许分包的金额或者比例：</w:t>
            </w:r>
            <w:r>
              <w:rPr>
                <w:rFonts w:hint="eastAsia" w:ascii="仿宋" w:hAnsi="仿宋" w:eastAsia="仿宋" w:cs="仿宋"/>
                <w:sz w:val="24"/>
                <w:u w:val="single"/>
              </w:rPr>
              <w:t>/</w:t>
            </w:r>
            <w:r>
              <w:rPr>
                <w:rFonts w:hint="eastAsia" w:ascii="仿宋" w:hAnsi="仿宋" w:eastAsia="仿宋" w:cs="仿宋"/>
                <w:sz w:val="24"/>
              </w:rPr>
              <w:t>；</w:t>
            </w:r>
          </w:p>
          <w:p w14:paraId="72C41ADB">
            <w:pPr>
              <w:spacing w:line="440" w:lineRule="exact"/>
              <w:rPr>
                <w:rFonts w:ascii="仿宋" w:hAnsi="仿宋" w:eastAsia="仿宋" w:cs="仿宋"/>
                <w:sz w:val="24"/>
              </w:rPr>
            </w:pPr>
            <w:r>
              <w:rPr>
                <w:rFonts w:hint="eastAsia" w:ascii="仿宋" w:hAnsi="仿宋" w:eastAsia="仿宋" w:cs="仿宋"/>
                <w:sz w:val="24"/>
              </w:rPr>
              <w:t>（3）其他要求：</w:t>
            </w:r>
            <w:r>
              <w:rPr>
                <w:rFonts w:hint="eastAsia" w:ascii="仿宋" w:hAnsi="仿宋" w:eastAsia="仿宋" w:cs="仿宋"/>
                <w:sz w:val="24"/>
                <w:u w:val="single"/>
              </w:rPr>
              <w:t>/</w:t>
            </w:r>
            <w:r>
              <w:rPr>
                <w:rFonts w:hint="eastAsia" w:ascii="仿宋" w:hAnsi="仿宋" w:eastAsia="仿宋" w:cs="仿宋"/>
                <w:sz w:val="24"/>
              </w:rPr>
              <w:t>。</w:t>
            </w:r>
          </w:p>
        </w:tc>
      </w:tr>
      <w:tr w14:paraId="535C44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007" w:type="dxa"/>
            <w:gridSpan w:val="2"/>
            <w:tcBorders>
              <w:tl2br w:val="nil"/>
              <w:tr2bl w:val="nil"/>
            </w:tcBorders>
            <w:vAlign w:val="center"/>
          </w:tcPr>
          <w:p w14:paraId="0F4A8C2D">
            <w:pPr>
              <w:spacing w:line="440" w:lineRule="exact"/>
              <w:jc w:val="center"/>
              <w:rPr>
                <w:rFonts w:ascii="仿宋" w:hAnsi="仿宋" w:eastAsia="仿宋" w:cs="仿宋"/>
                <w:sz w:val="24"/>
              </w:rPr>
            </w:pPr>
            <w:r>
              <w:rPr>
                <w:rFonts w:hint="eastAsia" w:ascii="仿宋" w:hAnsi="仿宋" w:eastAsia="仿宋" w:cs="仿宋"/>
                <w:sz w:val="24"/>
              </w:rPr>
              <w:t>22.1</w:t>
            </w:r>
          </w:p>
        </w:tc>
        <w:tc>
          <w:tcPr>
            <w:tcW w:w="7515" w:type="dxa"/>
            <w:tcBorders>
              <w:tl2br w:val="nil"/>
              <w:tr2bl w:val="nil"/>
            </w:tcBorders>
            <w:vAlign w:val="center"/>
          </w:tcPr>
          <w:p w14:paraId="39F050E5">
            <w:pPr>
              <w:spacing w:line="440" w:lineRule="exact"/>
              <w:rPr>
                <w:rFonts w:ascii="仿宋" w:hAnsi="仿宋" w:eastAsia="仿宋" w:cs="仿宋"/>
                <w:sz w:val="24"/>
              </w:rPr>
            </w:pPr>
            <w:r>
              <w:rPr>
                <w:rFonts w:hint="eastAsia" w:ascii="仿宋" w:hAnsi="仿宋" w:eastAsia="仿宋" w:cs="仿宋"/>
                <w:sz w:val="24"/>
              </w:rPr>
              <w:t>本项目不要求履约保证金。</w:t>
            </w:r>
          </w:p>
        </w:tc>
      </w:tr>
      <w:tr w14:paraId="3E51D1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1007" w:type="dxa"/>
            <w:gridSpan w:val="2"/>
            <w:tcBorders>
              <w:bottom w:val="single" w:color="auto" w:sz="4" w:space="0"/>
              <w:tl2br w:val="nil"/>
              <w:tr2bl w:val="nil"/>
            </w:tcBorders>
            <w:vAlign w:val="center"/>
          </w:tcPr>
          <w:p w14:paraId="15AA6410">
            <w:pPr>
              <w:spacing w:line="440" w:lineRule="exact"/>
              <w:jc w:val="center"/>
              <w:rPr>
                <w:rFonts w:ascii="仿宋" w:hAnsi="仿宋" w:eastAsia="仿宋" w:cs="仿宋"/>
                <w:sz w:val="24"/>
              </w:rPr>
            </w:pPr>
            <w:r>
              <w:rPr>
                <w:rFonts w:hint="eastAsia" w:ascii="仿宋" w:hAnsi="仿宋" w:eastAsia="仿宋" w:cs="仿宋"/>
                <w:sz w:val="24"/>
              </w:rPr>
              <w:t>23.1</w:t>
            </w:r>
          </w:p>
        </w:tc>
        <w:tc>
          <w:tcPr>
            <w:tcW w:w="7515" w:type="dxa"/>
            <w:tcBorders>
              <w:bottom w:val="single" w:color="auto" w:sz="4" w:space="0"/>
              <w:tl2br w:val="nil"/>
              <w:tr2bl w:val="nil"/>
            </w:tcBorders>
            <w:vAlign w:val="center"/>
          </w:tcPr>
          <w:p w14:paraId="44CD7109">
            <w:pPr>
              <w:spacing w:line="440" w:lineRule="exact"/>
              <w:rPr>
                <w:rFonts w:ascii="仿宋" w:hAnsi="仿宋" w:eastAsia="仿宋" w:cs="仿宋"/>
                <w:sz w:val="24"/>
              </w:rPr>
            </w:pPr>
            <w:r>
              <w:rPr>
                <w:rFonts w:hint="eastAsia" w:ascii="仿宋" w:hAnsi="仿宋" w:eastAsia="仿宋" w:cs="仿宋"/>
                <w:sz w:val="24"/>
              </w:rPr>
              <w:t xml:space="preserve">是否由中标人缴纳招标代理费：是 </w:t>
            </w:r>
          </w:p>
          <w:p w14:paraId="18763B17">
            <w:pPr>
              <w:spacing w:line="440" w:lineRule="exact"/>
              <w:rPr>
                <w:rFonts w:ascii="仿宋" w:hAnsi="仿宋" w:eastAsia="仿宋" w:cs="仿宋"/>
                <w:sz w:val="24"/>
              </w:rPr>
            </w:pPr>
            <w:r>
              <w:rPr>
                <w:rFonts w:hint="eastAsia" w:ascii="仿宋" w:hAnsi="仿宋" w:eastAsia="仿宋" w:cs="仿宋"/>
                <w:sz w:val="24"/>
              </w:rPr>
              <w:t xml:space="preserve">招标代理费：参照《招标代理服务收费管理暂行办法》（[2002]1980号）号文件，代理服务费由中标人支付。   </w:t>
            </w:r>
          </w:p>
          <w:p w14:paraId="0AC5AC83">
            <w:pPr>
              <w:spacing w:line="440" w:lineRule="exact"/>
              <w:rPr>
                <w:rFonts w:ascii="仿宋" w:hAnsi="仿宋" w:eastAsia="仿宋" w:cs="仿宋"/>
                <w:sz w:val="24"/>
              </w:rPr>
            </w:pPr>
            <w:r>
              <w:rPr>
                <w:rFonts w:hint="eastAsia" w:ascii="仿宋" w:hAnsi="仿宋" w:eastAsia="仿宋" w:cs="仿宋"/>
                <w:sz w:val="24"/>
              </w:rPr>
              <w:t xml:space="preserve">支付形式：支票、电汇等形式 </w:t>
            </w:r>
          </w:p>
          <w:p w14:paraId="5C77D82F">
            <w:pPr>
              <w:spacing w:line="440" w:lineRule="exact"/>
              <w:rPr>
                <w:rFonts w:ascii="仿宋" w:hAnsi="仿宋" w:eastAsia="仿宋" w:cs="仿宋"/>
                <w:sz w:val="24"/>
              </w:rPr>
            </w:pPr>
            <w:r>
              <w:rPr>
                <w:rFonts w:hint="eastAsia" w:ascii="仿宋" w:hAnsi="仿宋" w:eastAsia="仿宋" w:cs="仿宋"/>
                <w:sz w:val="24"/>
              </w:rPr>
              <w:t>支付时间：在中标人领取中标通知书时，由中标人向采购代理机构一次性支付全部招标代理服务费</w:t>
            </w:r>
          </w:p>
          <w:p w14:paraId="7CAD5E8F">
            <w:pPr>
              <w:spacing w:line="440" w:lineRule="exact"/>
              <w:rPr>
                <w:rFonts w:ascii="仿宋" w:hAnsi="仿宋" w:eastAsia="仿宋" w:cs="仿宋"/>
                <w:sz w:val="24"/>
              </w:rPr>
            </w:pPr>
            <w:r>
              <w:rPr>
                <w:rFonts w:hint="eastAsia" w:ascii="仿宋" w:hAnsi="仿宋" w:eastAsia="仿宋" w:cs="仿宋"/>
                <w:sz w:val="24"/>
              </w:rPr>
              <w:t>代理服务费缴纳账户：</w:t>
            </w:r>
          </w:p>
          <w:p w14:paraId="22118BD6">
            <w:pPr>
              <w:spacing w:line="440" w:lineRule="exact"/>
              <w:rPr>
                <w:rFonts w:ascii="仿宋" w:hAnsi="仿宋" w:eastAsia="仿宋" w:cs="仿宋"/>
                <w:sz w:val="24"/>
              </w:rPr>
            </w:pPr>
            <w:r>
              <w:rPr>
                <w:rFonts w:hint="eastAsia" w:ascii="仿宋" w:hAnsi="仿宋" w:eastAsia="仿宋" w:cs="仿宋"/>
                <w:sz w:val="24"/>
              </w:rPr>
              <w:t>账户名称：新疆城基宏业工程管理咨询有限公司</w:t>
            </w:r>
          </w:p>
          <w:p w14:paraId="162E5C33">
            <w:pPr>
              <w:spacing w:line="440" w:lineRule="exact"/>
              <w:rPr>
                <w:rFonts w:ascii="仿宋" w:hAnsi="仿宋" w:eastAsia="仿宋" w:cs="仿宋"/>
                <w:sz w:val="24"/>
              </w:rPr>
            </w:pPr>
            <w:r>
              <w:rPr>
                <w:rFonts w:hint="eastAsia" w:ascii="仿宋" w:hAnsi="仿宋" w:eastAsia="仿宋" w:cs="仿宋"/>
                <w:sz w:val="24"/>
              </w:rPr>
              <w:t>账户号码：</w:t>
            </w:r>
            <w:r>
              <w:rPr>
                <w:rFonts w:ascii="仿宋" w:hAnsi="仿宋" w:eastAsia="仿宋" w:cs="仿宋"/>
                <w:sz w:val="24"/>
              </w:rPr>
              <w:t>30704501040007573</w:t>
            </w:r>
          </w:p>
          <w:p w14:paraId="0B93C0A3">
            <w:pPr>
              <w:spacing w:line="440" w:lineRule="exact"/>
              <w:rPr>
                <w:rFonts w:ascii="仿宋" w:hAnsi="仿宋" w:eastAsia="仿宋" w:cs="仿宋"/>
                <w:sz w:val="24"/>
              </w:rPr>
            </w:pPr>
            <w:r>
              <w:rPr>
                <w:rFonts w:hint="eastAsia" w:ascii="仿宋" w:hAnsi="仿宋" w:eastAsia="仿宋" w:cs="仿宋"/>
                <w:sz w:val="24"/>
              </w:rPr>
              <w:t>开户银行：中国农业银行股份有限公司乌鲁木齐南湖路（兵团）支行</w:t>
            </w:r>
          </w:p>
        </w:tc>
      </w:tr>
      <w:tr w14:paraId="6F7DE2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007" w:type="dxa"/>
            <w:gridSpan w:val="2"/>
            <w:tcBorders>
              <w:top w:val="single" w:color="auto" w:sz="4" w:space="0"/>
              <w:tl2br w:val="nil"/>
              <w:tr2bl w:val="nil"/>
            </w:tcBorders>
            <w:vAlign w:val="center"/>
          </w:tcPr>
          <w:p w14:paraId="63EC9194">
            <w:pPr>
              <w:spacing w:line="440" w:lineRule="exact"/>
              <w:jc w:val="center"/>
              <w:rPr>
                <w:rFonts w:ascii="仿宋" w:hAnsi="仿宋" w:eastAsia="仿宋" w:cs="仿宋"/>
                <w:sz w:val="24"/>
              </w:rPr>
            </w:pPr>
            <w:r>
              <w:rPr>
                <w:rFonts w:hint="eastAsia" w:ascii="仿宋" w:hAnsi="仿宋" w:eastAsia="仿宋" w:cs="仿宋"/>
                <w:sz w:val="24"/>
              </w:rPr>
              <w:t>24</w:t>
            </w:r>
          </w:p>
        </w:tc>
        <w:tc>
          <w:tcPr>
            <w:tcW w:w="7515" w:type="dxa"/>
            <w:tcBorders>
              <w:top w:val="single" w:color="auto" w:sz="4" w:space="0"/>
              <w:tl2br w:val="nil"/>
              <w:tr2bl w:val="nil"/>
            </w:tcBorders>
            <w:vAlign w:val="center"/>
          </w:tcPr>
          <w:p w14:paraId="0599BE80">
            <w:pPr>
              <w:spacing w:line="440" w:lineRule="exact"/>
              <w:rPr>
                <w:rFonts w:ascii="仿宋" w:hAnsi="仿宋" w:eastAsia="仿宋" w:cs="仿宋"/>
                <w:sz w:val="24"/>
              </w:rPr>
            </w:pPr>
            <w:r>
              <w:rPr>
                <w:rFonts w:hint="eastAsia" w:ascii="仿宋" w:hAnsi="仿宋" w:eastAsia="仿宋" w:cs="仿宋"/>
                <w:sz w:val="24"/>
              </w:rPr>
              <w:t>接收询问和质疑的联系方式：</w:t>
            </w:r>
          </w:p>
          <w:p w14:paraId="762DDEE8">
            <w:pPr>
              <w:spacing w:line="440" w:lineRule="exact"/>
              <w:rPr>
                <w:rFonts w:ascii="仿宋" w:hAnsi="仿宋" w:eastAsia="仿宋" w:cs="仿宋"/>
                <w:sz w:val="24"/>
              </w:rPr>
            </w:pPr>
            <w:r>
              <w:rPr>
                <w:rFonts w:hint="eastAsia" w:ascii="仿宋" w:hAnsi="仿宋" w:eastAsia="仿宋" w:cs="仿宋"/>
                <w:sz w:val="24"/>
              </w:rPr>
              <w:t>1、询问</w:t>
            </w:r>
          </w:p>
          <w:p w14:paraId="58CD6324">
            <w:pPr>
              <w:spacing w:line="440" w:lineRule="exact"/>
              <w:rPr>
                <w:rFonts w:ascii="仿宋" w:hAnsi="仿宋" w:eastAsia="仿宋" w:cs="仿宋"/>
                <w:sz w:val="24"/>
              </w:rPr>
            </w:pPr>
            <w:r>
              <w:rPr>
                <w:rFonts w:hint="eastAsia" w:ascii="仿宋" w:hAnsi="仿宋" w:eastAsia="仿宋" w:cs="仿宋"/>
                <w:sz w:val="24"/>
              </w:rPr>
              <w:t>联系部门、联系电话、通讯地址：见第一章《招标公告》中的采购代理机构信息和项目联系方式。</w:t>
            </w:r>
          </w:p>
          <w:p w14:paraId="5A613577">
            <w:pPr>
              <w:spacing w:line="440" w:lineRule="exact"/>
              <w:rPr>
                <w:rFonts w:ascii="仿宋" w:hAnsi="仿宋" w:eastAsia="仿宋" w:cs="仿宋"/>
                <w:sz w:val="24"/>
              </w:rPr>
            </w:pPr>
            <w:r>
              <w:rPr>
                <w:rFonts w:hint="eastAsia" w:ascii="仿宋" w:hAnsi="仿宋" w:eastAsia="仿宋" w:cs="仿宋"/>
                <w:sz w:val="24"/>
              </w:rPr>
              <w:t>2、质疑</w:t>
            </w:r>
          </w:p>
          <w:p w14:paraId="5E4D0AD1">
            <w:pPr>
              <w:spacing w:line="440" w:lineRule="exact"/>
              <w:rPr>
                <w:rFonts w:ascii="仿宋" w:hAnsi="仿宋" w:eastAsia="仿宋" w:cs="仿宋"/>
                <w:sz w:val="24"/>
              </w:rPr>
            </w:pPr>
            <w:r>
              <w:rPr>
                <w:rFonts w:hint="eastAsia" w:ascii="仿宋" w:hAnsi="仿宋" w:eastAsia="仿宋" w:cs="仿宋"/>
                <w:sz w:val="24"/>
              </w:rPr>
              <w:t>联系部门：新疆城基宏业工程管理咨询有限公司招标部</w:t>
            </w:r>
          </w:p>
          <w:p w14:paraId="4CA4E60B">
            <w:pPr>
              <w:spacing w:line="440" w:lineRule="exact"/>
              <w:rPr>
                <w:rFonts w:hint="default" w:ascii="仿宋" w:hAnsi="仿宋" w:eastAsia="仿宋" w:cs="仿宋"/>
                <w:sz w:val="24"/>
                <w:lang w:val="en-US" w:eastAsia="zh-CN"/>
              </w:rPr>
            </w:pPr>
            <w:r>
              <w:rPr>
                <w:rFonts w:hint="eastAsia" w:ascii="仿宋" w:hAnsi="仿宋" w:eastAsia="仿宋" w:cs="仿宋"/>
                <w:sz w:val="24"/>
              </w:rPr>
              <w:t xml:space="preserve">联系人、联系电话：江硕苇    </w:t>
            </w:r>
            <w:r>
              <w:rPr>
                <w:rFonts w:hint="eastAsia" w:ascii="仿宋" w:hAnsi="仿宋" w:eastAsia="仿宋" w:cs="仿宋"/>
                <w:sz w:val="24"/>
                <w:lang w:val="en-US" w:eastAsia="zh-CN"/>
              </w:rPr>
              <w:t>17799770881</w:t>
            </w:r>
          </w:p>
          <w:p w14:paraId="6D19FFF9">
            <w:pPr>
              <w:spacing w:line="440" w:lineRule="exact"/>
              <w:rPr>
                <w:rFonts w:ascii="仿宋" w:hAnsi="仿宋" w:eastAsia="仿宋" w:cs="仿宋"/>
                <w:sz w:val="24"/>
              </w:rPr>
            </w:pPr>
            <w:r>
              <w:rPr>
                <w:rFonts w:hint="eastAsia" w:ascii="仿宋" w:hAnsi="仿宋" w:eastAsia="仿宋" w:cs="仿宋"/>
                <w:sz w:val="24"/>
              </w:rPr>
              <w:t>通讯地址：乌鲁木齐市水磨沟区立井街198号丽景中央城10-2301室</w:t>
            </w:r>
          </w:p>
          <w:p w14:paraId="197DD458">
            <w:pPr>
              <w:spacing w:line="440" w:lineRule="exact"/>
              <w:rPr>
                <w:rFonts w:ascii="仿宋" w:hAnsi="仿宋" w:eastAsia="仿宋" w:cs="仿宋"/>
                <w:b/>
                <w:bCs/>
                <w:sz w:val="24"/>
              </w:rPr>
            </w:pPr>
            <w:r>
              <w:rPr>
                <w:rFonts w:hint="eastAsia" w:ascii="仿宋" w:hAnsi="仿宋" w:eastAsia="仿宋" w:cs="仿宋"/>
                <w:b/>
                <w:bCs/>
                <w:sz w:val="24"/>
              </w:rPr>
              <w:t>其他要求：质疑书、授权委托书及报名成功截图PDF扫描件发送至代理机构邮箱，以上资料原件邮寄或送至代理机构。</w:t>
            </w:r>
          </w:p>
          <w:p w14:paraId="0B47E234">
            <w:pPr>
              <w:spacing w:line="440" w:lineRule="exact"/>
              <w:rPr>
                <w:rFonts w:ascii="仿宋" w:hAnsi="仿宋" w:eastAsia="仿宋" w:cs="仿宋"/>
                <w:sz w:val="24"/>
              </w:rPr>
            </w:pPr>
            <w:r>
              <w:rPr>
                <w:rFonts w:hint="eastAsia" w:ascii="仿宋" w:hAnsi="仿宋" w:eastAsia="仿宋" w:cs="仿宋"/>
                <w:sz w:val="24"/>
              </w:rPr>
              <w:t xml:space="preserve">3、针对同一采购程序环节的质疑次数： </w:t>
            </w:r>
          </w:p>
          <w:p w14:paraId="5FBD9B23">
            <w:pPr>
              <w:spacing w:line="440" w:lineRule="exact"/>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 xml:space="preserve">一次性提出 </w:t>
            </w:r>
            <w:r>
              <w:rPr>
                <w:rFonts w:hint="eastAsia" w:ascii="仿宋" w:hAnsi="仿宋" w:eastAsia="仿宋" w:cs="仿宋"/>
                <w:sz w:val="24"/>
              </w:rPr>
              <w:sym w:font="Wingdings 2" w:char="00A3"/>
            </w:r>
            <w:r>
              <w:rPr>
                <w:rFonts w:hint="eastAsia" w:ascii="仿宋" w:hAnsi="仿宋" w:eastAsia="仿宋" w:cs="仿宋"/>
                <w:sz w:val="24"/>
              </w:rPr>
              <w:t>多次提出</w:t>
            </w:r>
          </w:p>
          <w:p w14:paraId="07F57B0A">
            <w:pPr>
              <w:spacing w:line="440" w:lineRule="exact"/>
              <w:rPr>
                <w:rFonts w:ascii="仿宋" w:hAnsi="仿宋" w:eastAsia="仿宋" w:cs="仿宋"/>
                <w:sz w:val="24"/>
              </w:rPr>
            </w:pPr>
            <w:r>
              <w:rPr>
                <w:rFonts w:hint="eastAsia" w:ascii="仿宋" w:hAnsi="仿宋" w:eastAsia="仿宋" w:cs="仿宋"/>
                <w:sz w:val="24"/>
              </w:rPr>
              <w:t>注：投标人在法定质疑期内一次性提出针对同一采购程序环节的质疑，本项目不接受投标人多次/反复质疑。</w:t>
            </w:r>
          </w:p>
        </w:tc>
      </w:tr>
      <w:tr w14:paraId="126AA6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3"/>
            <w:tcBorders>
              <w:top w:val="single" w:color="auto" w:sz="4" w:space="0"/>
              <w:bottom w:val="single" w:color="auto" w:sz="4" w:space="0"/>
              <w:tl2br w:val="nil"/>
              <w:tr2bl w:val="nil"/>
            </w:tcBorders>
            <w:vAlign w:val="center"/>
          </w:tcPr>
          <w:p w14:paraId="4B6C3CF0">
            <w:pPr>
              <w:spacing w:line="440" w:lineRule="exact"/>
              <w:rPr>
                <w:rFonts w:ascii="仿宋" w:hAnsi="仿宋" w:eastAsia="仿宋" w:cs="仿宋"/>
                <w:sz w:val="24"/>
              </w:rPr>
            </w:pPr>
            <w:r>
              <w:rPr>
                <w:rFonts w:hint="eastAsia" w:ascii="仿宋" w:hAnsi="仿宋" w:eastAsia="仿宋" w:cs="仿宋"/>
                <w:sz w:val="24"/>
              </w:rPr>
              <w:t>适用于本投标人须知的额外增加的变动：</w:t>
            </w:r>
          </w:p>
        </w:tc>
      </w:tr>
      <w:tr w14:paraId="5012FD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007" w:type="dxa"/>
            <w:gridSpan w:val="2"/>
            <w:tcBorders>
              <w:top w:val="single" w:color="auto" w:sz="4" w:space="0"/>
              <w:bottom w:val="single" w:color="auto" w:sz="4" w:space="0"/>
              <w:tl2br w:val="nil"/>
              <w:tr2bl w:val="nil"/>
            </w:tcBorders>
            <w:vAlign w:val="center"/>
          </w:tcPr>
          <w:p w14:paraId="20759770">
            <w:pPr>
              <w:spacing w:line="440" w:lineRule="exact"/>
              <w:jc w:val="center"/>
              <w:rPr>
                <w:rFonts w:ascii="仿宋" w:hAnsi="仿宋" w:eastAsia="仿宋" w:cs="仿宋"/>
                <w:sz w:val="24"/>
              </w:rPr>
            </w:pPr>
          </w:p>
        </w:tc>
        <w:tc>
          <w:tcPr>
            <w:tcW w:w="7515" w:type="dxa"/>
            <w:tcBorders>
              <w:top w:val="single" w:color="auto" w:sz="4" w:space="0"/>
              <w:bottom w:val="single" w:color="auto" w:sz="4" w:space="0"/>
              <w:tl2br w:val="nil"/>
              <w:tr2bl w:val="nil"/>
            </w:tcBorders>
            <w:vAlign w:val="center"/>
          </w:tcPr>
          <w:p w14:paraId="5A3F7908">
            <w:pPr>
              <w:spacing w:line="440" w:lineRule="exact"/>
              <w:rPr>
                <w:rFonts w:ascii="仿宋" w:hAnsi="仿宋" w:eastAsia="仿宋" w:cs="仿宋"/>
                <w:sz w:val="24"/>
              </w:rPr>
            </w:pPr>
            <w:r>
              <w:rPr>
                <w:rFonts w:hint="eastAsia" w:ascii="仿宋" w:hAnsi="仿宋" w:eastAsia="仿宋" w:cs="仿宋"/>
                <w:sz w:val="24"/>
              </w:rPr>
              <w:t>评标方法：综合评分法</w:t>
            </w:r>
          </w:p>
        </w:tc>
      </w:tr>
      <w:tr w14:paraId="6858A0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007" w:type="dxa"/>
            <w:gridSpan w:val="2"/>
            <w:tcBorders>
              <w:top w:val="single" w:color="auto" w:sz="4" w:space="0"/>
              <w:bottom w:val="single" w:color="auto" w:sz="4" w:space="0"/>
              <w:tl2br w:val="nil"/>
              <w:tr2bl w:val="nil"/>
            </w:tcBorders>
            <w:vAlign w:val="center"/>
          </w:tcPr>
          <w:p w14:paraId="0392F56F">
            <w:pPr>
              <w:spacing w:line="440" w:lineRule="exact"/>
              <w:jc w:val="center"/>
              <w:rPr>
                <w:rFonts w:ascii="仿宋" w:hAnsi="仿宋" w:eastAsia="仿宋" w:cs="仿宋"/>
                <w:sz w:val="24"/>
              </w:rPr>
            </w:pPr>
          </w:p>
        </w:tc>
        <w:tc>
          <w:tcPr>
            <w:tcW w:w="7515" w:type="dxa"/>
            <w:tcBorders>
              <w:top w:val="single" w:color="auto" w:sz="4" w:space="0"/>
              <w:tl2br w:val="nil"/>
              <w:tr2bl w:val="nil"/>
            </w:tcBorders>
            <w:vAlign w:val="center"/>
          </w:tcPr>
          <w:p w14:paraId="37DE5B12">
            <w:pPr>
              <w:spacing w:line="440" w:lineRule="exact"/>
              <w:rPr>
                <w:rFonts w:ascii="仿宋" w:hAnsi="仿宋" w:eastAsia="仿宋" w:cs="仿宋"/>
                <w:sz w:val="24"/>
              </w:rPr>
            </w:pPr>
            <w:r>
              <w:rPr>
                <w:rFonts w:hint="eastAsia" w:ascii="仿宋" w:hAnsi="仿宋" w:eastAsia="仿宋" w:cs="仿宋"/>
                <w:sz w:val="24"/>
              </w:rPr>
              <w:t>项目属性：服务</w:t>
            </w:r>
          </w:p>
        </w:tc>
      </w:tr>
      <w:tr w14:paraId="1C13F5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3"/>
            <w:tcBorders>
              <w:top w:val="single" w:color="auto" w:sz="4" w:space="0"/>
              <w:bottom w:val="single" w:color="auto" w:sz="4" w:space="0"/>
              <w:tl2br w:val="nil"/>
              <w:tr2bl w:val="nil"/>
            </w:tcBorders>
            <w:vAlign w:val="center"/>
          </w:tcPr>
          <w:p w14:paraId="2B1CA09A">
            <w:pPr>
              <w:spacing w:line="440" w:lineRule="exact"/>
              <w:rPr>
                <w:rFonts w:ascii="仿宋" w:hAnsi="仿宋" w:eastAsia="仿宋" w:cs="仿宋"/>
                <w:sz w:val="24"/>
              </w:rPr>
            </w:pPr>
            <w:r>
              <w:rPr>
                <w:rFonts w:hint="eastAsia" w:ascii="仿宋" w:hAnsi="仿宋" w:eastAsia="仿宋" w:cs="仿宋"/>
                <w:sz w:val="24"/>
              </w:rPr>
              <w:t>适用于本投标人须知的额外增加的变动：</w:t>
            </w:r>
          </w:p>
          <w:p w14:paraId="0449F12A">
            <w:pPr>
              <w:spacing w:line="440" w:lineRule="exact"/>
              <w:rPr>
                <w:rFonts w:ascii="仿宋" w:hAnsi="仿宋" w:eastAsia="仿宋" w:cs="仿宋"/>
                <w:sz w:val="24"/>
              </w:rPr>
            </w:pPr>
            <w:r>
              <w:rPr>
                <w:rFonts w:hint="eastAsia" w:ascii="仿宋" w:hAnsi="仿宋" w:eastAsia="仿宋" w:cs="仿宋"/>
                <w:sz w:val="24"/>
              </w:rPr>
              <w:t>1、关于本项目所有公告、公示在新疆政府采购网发布。</w:t>
            </w:r>
          </w:p>
          <w:p w14:paraId="23B59B19">
            <w:pPr>
              <w:spacing w:line="440" w:lineRule="exact"/>
              <w:rPr>
                <w:rFonts w:ascii="仿宋" w:hAnsi="仿宋" w:eastAsia="仿宋" w:cs="仿宋"/>
                <w:sz w:val="24"/>
              </w:rPr>
            </w:pPr>
            <w:r>
              <w:rPr>
                <w:rFonts w:hint="eastAsia" w:ascii="仿宋" w:hAnsi="仿宋" w:eastAsia="仿宋" w:cs="仿宋"/>
                <w:sz w:val="24"/>
              </w:rPr>
              <w:t>2、请投标单位随时关注本项目的澄清、答疑、变更事项。</w:t>
            </w:r>
          </w:p>
          <w:p w14:paraId="090BC276">
            <w:pPr>
              <w:spacing w:line="440" w:lineRule="exact"/>
              <w:rPr>
                <w:rFonts w:ascii="仿宋" w:hAnsi="仿宋" w:eastAsia="仿宋" w:cs="仿宋"/>
                <w:sz w:val="24"/>
              </w:rPr>
            </w:pPr>
            <w:r>
              <w:rPr>
                <w:rFonts w:hint="eastAsia" w:ascii="仿宋" w:hAnsi="仿宋" w:eastAsia="仿宋" w:cs="仿宋"/>
                <w:sz w:val="24"/>
              </w:rPr>
              <w:t>3、本项目实行电子招投标，投标人须登录政采云平台申请获取招标文件，并通过政采云电子投标客户端制作响应文件，同时自行承担与投标有关的一切费用。</w:t>
            </w:r>
          </w:p>
          <w:p w14:paraId="232FDB12">
            <w:pPr>
              <w:spacing w:line="440" w:lineRule="exact"/>
              <w:rPr>
                <w:rFonts w:ascii="仿宋" w:hAnsi="仿宋" w:eastAsia="仿宋" w:cs="仿宋"/>
                <w:sz w:val="24"/>
              </w:rPr>
            </w:pPr>
            <w:r>
              <w:rPr>
                <w:rFonts w:hint="eastAsia" w:ascii="仿宋" w:hAnsi="仿宋" w:eastAsia="仿宋" w:cs="仿宋"/>
                <w:sz w:val="24"/>
              </w:rPr>
              <w:t>4、各投标人应在开标前确保成为新疆维吾尔自治区政府采购网正式注册入库投标人，并完成CA数字证书申领。因未注册入库、未办理CA数字证书等原因造成无法投标或投标失败等后果由投标人自行承担。</w:t>
            </w:r>
          </w:p>
          <w:p w14:paraId="7DF40FD6">
            <w:pPr>
              <w:spacing w:line="440" w:lineRule="exact"/>
              <w:rPr>
                <w:rFonts w:ascii="仿宋" w:hAnsi="仿宋" w:eastAsia="仿宋" w:cs="仿宋"/>
                <w:sz w:val="24"/>
              </w:rPr>
            </w:pPr>
            <w:r>
              <w:rPr>
                <w:rFonts w:hint="eastAsia" w:ascii="仿宋" w:hAnsi="仿宋" w:eastAsia="仿宋" w:cs="仿宋"/>
                <w:sz w:val="24"/>
              </w:rPr>
              <w:t>5、有意向参与新疆区域电子开评标的投标人，可访问新疆数字证书认证中心官方网站（https://www.xjca.com.cn/）或下载“新疆政务通”APP自行进行申领。如需咨询，请联系新疆CA服务热线0991-2819290。</w:t>
            </w:r>
          </w:p>
          <w:p w14:paraId="17107DD4">
            <w:pPr>
              <w:spacing w:line="440" w:lineRule="exact"/>
              <w:rPr>
                <w:rFonts w:ascii="仿宋" w:hAnsi="仿宋" w:eastAsia="仿宋" w:cs="仿宋"/>
                <w:sz w:val="24"/>
              </w:rPr>
            </w:pPr>
            <w:r>
              <w:rPr>
                <w:rFonts w:hint="eastAsia" w:ascii="仿宋" w:hAnsi="仿宋" w:eastAsia="仿宋" w:cs="仿宋"/>
                <w:sz w:val="24"/>
              </w:rPr>
              <w:t>6、投标人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6EB7F5DF">
            <w:pPr>
              <w:spacing w:line="440" w:lineRule="exact"/>
              <w:rPr>
                <w:rFonts w:ascii="仿宋" w:hAnsi="仿宋" w:eastAsia="仿宋" w:cs="仿宋"/>
                <w:sz w:val="24"/>
              </w:rPr>
            </w:pPr>
            <w:r>
              <w:rPr>
                <w:rFonts w:hint="eastAsia" w:ascii="仿宋" w:hAnsi="仿宋" w:eastAsia="仿宋" w:cs="仿宋"/>
                <w:sz w:val="24"/>
              </w:rPr>
              <w:t>7、本项目采用不见面开标，投标人须在投标截止时间前通过CA在政采云平台上传加密的电子响应文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p w14:paraId="22604D45">
            <w:pPr>
              <w:spacing w:line="440" w:lineRule="exact"/>
              <w:rPr>
                <w:rFonts w:ascii="仿宋" w:hAnsi="仿宋" w:eastAsia="仿宋" w:cs="仿宋"/>
                <w:sz w:val="24"/>
              </w:rPr>
            </w:pPr>
            <w:r>
              <w:rPr>
                <w:rFonts w:hint="eastAsia" w:ascii="仿宋" w:hAnsi="仿宋" w:eastAsia="仿宋" w:cs="仿宋"/>
                <w:sz w:val="24"/>
              </w:rPr>
              <w:t>8、投标人在开标前须提前配置好电脑浏览器（建议使用360浏览器或谷歌浏览器），开标时请使用制作加密电子响应文件的CA锁进行解密及报价确认。本项目投标文件解密时间定为30分钟，如投标人因自身原因导致在规定的时间无法正常解密，视为开标后撤销其投标文件，投标保证金招标人有权不予退还。</w:t>
            </w:r>
          </w:p>
          <w:p w14:paraId="63812136">
            <w:pPr>
              <w:spacing w:line="440" w:lineRule="exact"/>
              <w:rPr>
                <w:rFonts w:ascii="仿宋" w:hAnsi="仿宋" w:eastAsia="仿宋" w:cs="仿宋"/>
                <w:sz w:val="24"/>
              </w:rPr>
            </w:pPr>
            <w:r>
              <w:rPr>
                <w:rFonts w:hint="eastAsia" w:ascii="仿宋" w:hAnsi="仿宋" w:eastAsia="仿宋" w:cs="仿宋"/>
                <w:sz w:val="24"/>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6BE409F4">
            <w:pPr>
              <w:spacing w:line="440" w:lineRule="exact"/>
              <w:rPr>
                <w:rFonts w:ascii="仿宋" w:hAnsi="仿宋" w:eastAsia="仿宋" w:cs="仿宋"/>
                <w:sz w:val="24"/>
              </w:rPr>
            </w:pPr>
            <w:r>
              <w:rPr>
                <w:rFonts w:hint="eastAsia" w:ascii="仿宋" w:hAnsi="仿宋" w:eastAsia="仿宋" w:cs="仿宋"/>
                <w:sz w:val="24"/>
              </w:rPr>
              <w:t>10、报价构成：包含完成本项目采购需求，并达到采购人要求所需要的全部费用，包括但不限于各项服务以及其他有关费用等。</w:t>
            </w:r>
          </w:p>
          <w:p w14:paraId="265EC0B7">
            <w:pPr>
              <w:keepNext/>
              <w:keepLines/>
              <w:spacing w:line="440" w:lineRule="atLeast"/>
              <w:rPr>
                <w:rFonts w:ascii="仿宋" w:hAnsi="仿宋" w:eastAsia="仿宋" w:cs="仿宋"/>
                <w:b/>
                <w:bCs/>
                <w:color w:val="000000"/>
                <w:kern w:val="0"/>
                <w:sz w:val="24"/>
                <w:szCs w:val="22"/>
              </w:rPr>
            </w:pPr>
            <w:r>
              <w:rPr>
                <w:rFonts w:hint="eastAsia" w:ascii="仿宋" w:hAnsi="仿宋" w:eastAsia="仿宋" w:cs="仿宋"/>
                <w:color w:val="000000"/>
                <w:kern w:val="0"/>
                <w:sz w:val="24"/>
                <w:szCs w:val="22"/>
              </w:rPr>
              <w:t>11、如后文中相关格式要求表述与文件前附表，表述不一致的，以前附表为准（除资格审查、符合性审查及采购人需求外）。</w:t>
            </w:r>
          </w:p>
        </w:tc>
      </w:tr>
      <w:tr w14:paraId="1DADC6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3"/>
            <w:tcBorders>
              <w:top w:val="single" w:color="auto" w:sz="4" w:space="0"/>
              <w:bottom w:val="single" w:color="auto" w:sz="4" w:space="0"/>
              <w:tl2br w:val="nil"/>
              <w:tr2bl w:val="nil"/>
            </w:tcBorders>
            <w:vAlign w:val="center"/>
          </w:tcPr>
          <w:p w14:paraId="5C995890">
            <w:pPr>
              <w:keepNext/>
              <w:keepLines/>
              <w:spacing w:line="440" w:lineRule="atLeast"/>
              <w:rPr>
                <w:rFonts w:hint="eastAsia" w:ascii="仿宋" w:hAnsi="仿宋" w:eastAsia="仿宋" w:cs="仿宋"/>
                <w:color w:val="000000"/>
                <w:kern w:val="0"/>
                <w:sz w:val="24"/>
                <w:szCs w:val="22"/>
              </w:rPr>
            </w:pPr>
            <w:bookmarkStart w:id="3" w:name="_Toc155630074"/>
            <w:r>
              <w:rPr>
                <w:rFonts w:hint="eastAsia" w:ascii="仿宋" w:hAnsi="仿宋" w:eastAsia="仿宋" w:cs="仿宋"/>
                <w:color w:val="000000"/>
                <w:kern w:val="0"/>
                <w:sz w:val="24"/>
                <w:szCs w:val="22"/>
              </w:rPr>
              <w:t>本国产品标准认定</w:t>
            </w:r>
          </w:p>
          <w:p w14:paraId="42C0A3B0">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 xml:space="preserve">□适用  ☑不适用  </w:t>
            </w:r>
          </w:p>
          <w:p w14:paraId="7506A7FA">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根据《国务院办公厅关于在政府采购中实施本国产品标准及相关政策的通知》（国办发〔2025〕34 号）的相关规定，投标产品符合“本国产品标准”的，按照以下政策执行价格评审优惠：</w:t>
            </w:r>
          </w:p>
          <w:p w14:paraId="41ED701A">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政府采购活动中既有本国产品又有非本国产品参与竞争的，依法对本国产品给予价格评审优惠，对本国产品的报价给予 20%的价格扣除，用扣除后的价格参与评审。</w:t>
            </w:r>
          </w:p>
          <w:p w14:paraId="3445C60D">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80%以上时，依法对该投标人提供的全部产品给予价格评审优惠，即对该投标人提供的全部产品的总报价给予 20%的价格扣除，用扣除后的价格参与评审。</w:t>
            </w:r>
          </w:p>
          <w:p w14:paraId="717FBBDF">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符合以上政策价格评审优惠政策的，需按以下要求提供证明文件，否则不予享受价格评审优惠政策：</w:t>
            </w:r>
          </w:p>
          <w:p w14:paraId="7AA49243">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（一）产品在中国境内生产的组件成本核算规则。产品在中国境内生产的组件成本，按照《中国境内生产的组件成本核算基本规则》。</w:t>
            </w:r>
          </w:p>
          <w:p w14:paraId="0E588E1B">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二）有关证明文件。投标人对其提供的产品出具《关于符合本国产品标准的声明函》，以下简称《声明函》）或财政部会同有关部门规定的有关证明文件。出具符合要求的《声明函》或有关证明文件的，该产品视为本国产品。投标人提供虚假《声明函》、虚假证明文件谋取中标、成交的，依照《中华人民共和国政府采购法》等法律法规规定追究相应责任。中标、成交结果同时公告中标、成交</w:t>
            </w:r>
            <w:r>
              <w:rPr>
                <w:rFonts w:hint="eastAsia" w:ascii="仿宋" w:hAnsi="仿宋" w:eastAsia="仿宋" w:cs="仿宋"/>
                <w:color w:val="000000"/>
                <w:kern w:val="0"/>
                <w:sz w:val="24"/>
                <w:szCs w:val="22"/>
                <w:lang w:eastAsia="zh-CN"/>
              </w:rPr>
              <w:t>投标人</w:t>
            </w:r>
            <w:r>
              <w:rPr>
                <w:rFonts w:hint="eastAsia" w:ascii="仿宋" w:hAnsi="仿宋" w:eastAsia="仿宋" w:cs="仿宋"/>
                <w:color w:val="000000"/>
                <w:kern w:val="0"/>
                <w:sz w:val="24"/>
                <w:szCs w:val="22"/>
              </w:rPr>
              <w:t>提供的《声明函》或有关证明文件。</w:t>
            </w:r>
          </w:p>
        </w:tc>
      </w:tr>
      <w:tr w14:paraId="4459E9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3"/>
            <w:tcBorders>
              <w:top w:val="single" w:color="auto" w:sz="4" w:space="0"/>
              <w:bottom w:val="single" w:color="auto" w:sz="4" w:space="0"/>
              <w:tl2br w:val="nil"/>
              <w:tr2bl w:val="nil"/>
            </w:tcBorders>
            <w:vAlign w:val="center"/>
          </w:tcPr>
          <w:p w14:paraId="6BC1225E">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异常低价审查：评审委员会认为投标人报价过低，有可能影响产品质量或者不能诚信履约的，评审委员会启动异常低价投标（响应）审查后，应当要求相关投标人在30分钟内提供书面说明及必要的证明材料,证明材料包括（1）报价合理性说明，对项目包括人工、材料（如有）、利润、税金及其它成本的分析及测算。（2）以往项目同类产品的成交金额，如中标（成交）通知书或交易发票或合同。如未有同类产品交易的则无须提供（2）项的证明材料。被启动异常低价审查的投标人，如果未在规定时间内提供书面说明、证明材料，或者提供的书面说明、证明材料不能证明其报价合理性的，应当将其作为无效投标（响应）处理。</w:t>
            </w:r>
          </w:p>
          <w:p w14:paraId="761A04DB">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异常低价的情形：</w:t>
            </w:r>
          </w:p>
          <w:p w14:paraId="49499306">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1.投标（响应）报价低于全部通过符合性审查投标人投标（响应）报价平均值50%的，即投标（响应）报价&lt;全部通过符合性审查投标人投标（响应）报价平均值×50%；</w:t>
            </w:r>
          </w:p>
          <w:p w14:paraId="454A2D8A">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2.投标（响应）报价低于通过符合性审查的次低报价投标人投标（响应）报价50%的，即投标（响应）报价&lt;通过符合性审查的次低报价投标人投标（响应）报价×50%；</w:t>
            </w:r>
          </w:p>
          <w:p w14:paraId="7E6C0B19">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3.投标（响应）报价低于采购项目最高限价45%的，即投标（响应）报价&lt;采购项目最高限价×45%；</w:t>
            </w:r>
          </w:p>
          <w:p w14:paraId="37984CDA">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4.评审委员会基于专业判断，认为投标人报价过低，有可能影响产品质量或者不能诚信履约的其他情形。</w:t>
            </w:r>
          </w:p>
        </w:tc>
      </w:tr>
      <w:tr w14:paraId="0E10EA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756" w:type="dxa"/>
            <w:tcBorders>
              <w:top w:val="single" w:color="auto" w:sz="4" w:space="0"/>
              <w:bottom w:val="single" w:color="auto" w:sz="4" w:space="0"/>
              <w:tl2br w:val="nil"/>
              <w:tr2bl w:val="nil"/>
            </w:tcBorders>
            <w:vAlign w:val="center"/>
          </w:tcPr>
          <w:p w14:paraId="3FF95CAB">
            <w:pPr>
              <w:keepNext/>
              <w:keepLines/>
              <w:spacing w:line="440" w:lineRule="atLeast"/>
              <w:rPr>
                <w:rFonts w:hint="eastAsia" w:ascii="仿宋" w:hAnsi="仿宋" w:eastAsia="仿宋" w:cs="仿宋"/>
                <w:color w:val="000000"/>
                <w:kern w:val="0"/>
                <w:sz w:val="24"/>
                <w:szCs w:val="22"/>
                <w:lang w:val="en-US" w:eastAsia="zh-CN"/>
              </w:rPr>
            </w:pPr>
            <w:r>
              <w:rPr>
                <w:rFonts w:hint="eastAsia" w:ascii="仿宋" w:hAnsi="仿宋" w:eastAsia="仿宋" w:cs="仿宋"/>
                <w:color w:val="000000"/>
                <w:kern w:val="0"/>
                <w:sz w:val="24"/>
                <w:szCs w:val="22"/>
                <w:lang w:val="en-US" w:eastAsia="zh-CN"/>
              </w:rPr>
              <w:t>所属行业</w:t>
            </w:r>
          </w:p>
        </w:tc>
        <w:tc>
          <w:tcPr>
            <w:tcW w:w="7766" w:type="dxa"/>
            <w:gridSpan w:val="2"/>
            <w:tcBorders>
              <w:top w:val="single" w:color="auto" w:sz="4" w:space="0"/>
              <w:bottom w:val="single" w:color="auto" w:sz="4" w:space="0"/>
              <w:tl2br w:val="nil"/>
              <w:tr2bl w:val="nil"/>
            </w:tcBorders>
            <w:vAlign w:val="center"/>
          </w:tcPr>
          <w:p w14:paraId="056286C5">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根据《关于印发中小企业划型标准规定的通知》工信部联企业〔2011〕300号，本项目属行业为：其他未列明行业</w:t>
            </w:r>
          </w:p>
          <w:p w14:paraId="2EEAE9B1">
            <w:pPr>
              <w:keepNext/>
              <w:keepLines/>
              <w:spacing w:line="440" w:lineRule="atLeast"/>
              <w:rPr>
                <w:rFonts w:hint="eastAsia" w:ascii="仿宋" w:hAnsi="仿宋" w:eastAsia="仿宋" w:cs="仿宋"/>
                <w:color w:val="000000"/>
                <w:kern w:val="0"/>
                <w:sz w:val="24"/>
                <w:szCs w:val="22"/>
              </w:rPr>
            </w:pPr>
            <w:r>
              <w:rPr>
                <w:rFonts w:hint="eastAsia" w:ascii="仿宋" w:hAnsi="仿宋" w:eastAsia="仿宋" w:cs="仿宋"/>
                <w:color w:val="000000"/>
                <w:kern w:val="0"/>
                <w:sz w:val="24"/>
                <w:szCs w:val="22"/>
              </w:rPr>
              <w:t>从业人员300人以下的为中小微型企业。其中，从业人员100人及以上的为中型企业；从业人员10人及以上的为小型企业；从业人员10人以下的为微型企业。</w:t>
            </w:r>
          </w:p>
        </w:tc>
      </w:tr>
    </w:tbl>
    <w:p w14:paraId="38668C51">
      <w:pPr>
        <w:spacing w:line="500" w:lineRule="exact"/>
        <w:ind w:firstLine="480" w:firstLineChars="200"/>
        <w:rPr>
          <w:rFonts w:ascii="仿宋" w:hAnsi="仿宋" w:eastAsia="仿宋" w:cs="仿宋"/>
          <w:sz w:val="24"/>
        </w:rPr>
      </w:pPr>
    </w:p>
    <w:p w14:paraId="5A563987">
      <w:pPr>
        <w:spacing w:line="500" w:lineRule="exact"/>
        <w:ind w:firstLine="480" w:firstLineChars="200"/>
        <w:rPr>
          <w:rFonts w:ascii="仿宋" w:hAnsi="仿宋" w:eastAsia="仿宋" w:cs="仿宋"/>
          <w:sz w:val="24"/>
        </w:rPr>
      </w:pPr>
    </w:p>
    <w:p w14:paraId="38E9DE30">
      <w:pPr>
        <w:spacing w:line="500" w:lineRule="exact"/>
        <w:ind w:firstLine="480" w:firstLineChars="200"/>
        <w:rPr>
          <w:rFonts w:ascii="仿宋" w:hAnsi="仿宋" w:eastAsia="仿宋" w:cs="仿宋"/>
          <w:sz w:val="24"/>
        </w:rPr>
      </w:pPr>
    </w:p>
    <w:p w14:paraId="7EFDB1B9">
      <w:pPr>
        <w:spacing w:line="500" w:lineRule="exact"/>
        <w:ind w:firstLine="480" w:firstLineChars="200"/>
        <w:rPr>
          <w:rFonts w:ascii="仿宋" w:hAnsi="仿宋" w:eastAsia="仿宋" w:cs="仿宋"/>
          <w:sz w:val="24"/>
        </w:rPr>
      </w:pPr>
    </w:p>
    <w:p w14:paraId="41EFAEBB">
      <w:pPr>
        <w:rPr>
          <w:rFonts w:cs="仿宋"/>
        </w:rPr>
      </w:pPr>
      <w:r>
        <w:rPr>
          <w:rFonts w:hint="eastAsia" w:cs="仿宋"/>
        </w:rPr>
        <w:br w:type="page"/>
      </w:r>
    </w:p>
    <w:p w14:paraId="659801B0">
      <w:pPr>
        <w:pStyle w:val="2"/>
        <w:rPr>
          <w:rFonts w:cs="仿宋"/>
        </w:rPr>
      </w:pPr>
      <w:r>
        <w:rPr>
          <w:rFonts w:hint="eastAsia" w:cs="仿宋"/>
        </w:rPr>
        <w:t>投标人须知</w:t>
      </w:r>
      <w:bookmarkEnd w:id="3"/>
    </w:p>
    <w:p w14:paraId="1385A3F8">
      <w:pPr>
        <w:spacing w:line="500" w:lineRule="exact"/>
        <w:rPr>
          <w:rFonts w:ascii="仿宋" w:hAnsi="仿宋" w:eastAsia="仿宋" w:cs="仿宋"/>
          <w:sz w:val="24"/>
        </w:rPr>
      </w:pPr>
    </w:p>
    <w:p w14:paraId="08F00B35">
      <w:pPr>
        <w:numPr>
          <w:ilvl w:val="0"/>
          <w:numId w:val="5"/>
        </w:numPr>
        <w:spacing w:line="500" w:lineRule="exact"/>
        <w:jc w:val="center"/>
        <w:outlineLvl w:val="1"/>
        <w:rPr>
          <w:rFonts w:ascii="仿宋" w:hAnsi="仿宋" w:eastAsia="仿宋" w:cs="仿宋"/>
          <w:b/>
          <w:bCs/>
          <w:sz w:val="24"/>
        </w:rPr>
      </w:pPr>
      <w:bookmarkStart w:id="4" w:name="_Toc155630075"/>
      <w:r>
        <w:rPr>
          <w:rFonts w:hint="eastAsia" w:ascii="仿宋" w:hAnsi="仿宋" w:eastAsia="仿宋" w:cs="仿宋"/>
          <w:b/>
          <w:bCs/>
          <w:sz w:val="24"/>
        </w:rPr>
        <w:t>说 明</w:t>
      </w:r>
      <w:bookmarkEnd w:id="4"/>
    </w:p>
    <w:p w14:paraId="7BEAA6E0">
      <w:pPr>
        <w:numPr>
          <w:ilvl w:val="0"/>
          <w:numId w:val="6"/>
        </w:numPr>
        <w:spacing w:line="500" w:lineRule="exact"/>
        <w:rPr>
          <w:rFonts w:ascii="仿宋" w:hAnsi="仿宋" w:eastAsia="仿宋" w:cs="仿宋"/>
          <w:b/>
          <w:bCs/>
          <w:sz w:val="24"/>
        </w:rPr>
      </w:pPr>
      <w:r>
        <w:rPr>
          <w:rFonts w:hint="eastAsia" w:ascii="仿宋" w:hAnsi="仿宋" w:eastAsia="仿宋" w:cs="仿宋"/>
          <w:b/>
          <w:bCs/>
          <w:sz w:val="24"/>
        </w:rPr>
        <w:t>采购人、采购代理机构及投标人</w:t>
      </w:r>
    </w:p>
    <w:p w14:paraId="7410C92C">
      <w:pPr>
        <w:numPr>
          <w:ilvl w:val="1"/>
          <w:numId w:val="7"/>
        </w:numPr>
        <w:spacing w:line="500" w:lineRule="exact"/>
        <w:rPr>
          <w:rFonts w:ascii="仿宋" w:hAnsi="仿宋" w:eastAsia="仿宋" w:cs="仿宋"/>
          <w:sz w:val="24"/>
        </w:rPr>
      </w:pPr>
      <w:r>
        <w:rPr>
          <w:rFonts w:hint="eastAsia" w:ascii="仿宋" w:hAnsi="仿宋" w:eastAsia="仿宋" w:cs="仿宋"/>
          <w:sz w:val="24"/>
        </w:rPr>
        <w:t>采购人：是指依法进行政府采购的国家机构、事业单位、团体组织。</w:t>
      </w:r>
    </w:p>
    <w:p w14:paraId="4302891B">
      <w:pPr>
        <w:numPr>
          <w:ilvl w:val="1"/>
          <w:numId w:val="7"/>
        </w:numPr>
        <w:spacing w:line="500" w:lineRule="exact"/>
        <w:rPr>
          <w:rFonts w:ascii="仿宋" w:hAnsi="仿宋" w:eastAsia="仿宋" w:cs="仿宋"/>
          <w:sz w:val="24"/>
        </w:rPr>
      </w:pPr>
      <w:r>
        <w:rPr>
          <w:rFonts w:hint="eastAsia" w:ascii="仿宋" w:hAnsi="仿宋" w:eastAsia="仿宋" w:cs="仿宋"/>
          <w:sz w:val="24"/>
        </w:rPr>
        <w:t>采购代理机构：本次招标的采购代理机构为新疆城基宏业工程管理咨询有限公司。</w:t>
      </w:r>
    </w:p>
    <w:p w14:paraId="5352AED8">
      <w:pPr>
        <w:numPr>
          <w:ilvl w:val="1"/>
          <w:numId w:val="7"/>
        </w:numPr>
        <w:spacing w:line="500" w:lineRule="exact"/>
        <w:rPr>
          <w:rFonts w:ascii="仿宋" w:hAnsi="仿宋" w:eastAsia="仿宋" w:cs="仿宋"/>
          <w:sz w:val="24"/>
        </w:rPr>
      </w:pPr>
      <w:r>
        <w:rPr>
          <w:rFonts w:hint="eastAsia" w:ascii="仿宋" w:hAnsi="仿宋" w:eastAsia="仿宋" w:cs="仿宋"/>
          <w:sz w:val="24"/>
        </w:rPr>
        <w:t>投标人：是指向采购人提供货物、工程或者服务的法人、其他组织或者自然人。</w:t>
      </w:r>
    </w:p>
    <w:p w14:paraId="260A6CBC">
      <w:pPr>
        <w:spacing w:line="500" w:lineRule="exact"/>
        <w:rPr>
          <w:rFonts w:ascii="仿宋" w:hAnsi="仿宋" w:eastAsia="仿宋" w:cs="仿宋"/>
          <w:b/>
          <w:bCs/>
          <w:sz w:val="24"/>
        </w:rPr>
      </w:pPr>
      <w:r>
        <w:rPr>
          <w:rFonts w:hint="eastAsia" w:ascii="仿宋" w:hAnsi="仿宋" w:eastAsia="仿宋" w:cs="仿宋"/>
          <w:b/>
          <w:bCs/>
          <w:sz w:val="24"/>
        </w:rPr>
        <w:t>投标人须满足以下条件：</w:t>
      </w:r>
    </w:p>
    <w:p w14:paraId="78FA4115">
      <w:pPr>
        <w:numPr>
          <w:ilvl w:val="2"/>
          <w:numId w:val="7"/>
        </w:numPr>
        <w:spacing w:line="500" w:lineRule="exact"/>
        <w:rPr>
          <w:rFonts w:ascii="仿宋" w:hAnsi="仿宋" w:eastAsia="仿宋" w:cs="仿宋"/>
          <w:sz w:val="24"/>
        </w:rPr>
      </w:pPr>
      <w:r>
        <w:rPr>
          <w:rFonts w:hint="eastAsia" w:ascii="仿宋" w:hAnsi="仿宋" w:eastAsia="仿宋" w:cs="仿宋"/>
          <w:sz w:val="24"/>
        </w:rPr>
        <w:t>具备《中华人民共和国政府采购法》第二十二条关于投标人条件的规定，遵守国家、本项目采购人本级和上级财政部门政府采购的有关规定。</w:t>
      </w:r>
    </w:p>
    <w:p w14:paraId="339FCC33">
      <w:pPr>
        <w:numPr>
          <w:ilvl w:val="2"/>
          <w:numId w:val="7"/>
        </w:numPr>
        <w:spacing w:line="500" w:lineRule="exact"/>
        <w:rPr>
          <w:rFonts w:ascii="仿宋" w:hAnsi="仿宋" w:eastAsia="仿宋" w:cs="仿宋"/>
          <w:sz w:val="24"/>
        </w:rPr>
      </w:pPr>
      <w:r>
        <w:rPr>
          <w:rFonts w:hint="eastAsia" w:ascii="仿宋" w:hAnsi="仿宋" w:eastAsia="仿宋" w:cs="仿宋"/>
          <w:sz w:val="24"/>
        </w:rPr>
        <w:t>以招标文件规定的方式获得了本项目的招标文件。</w:t>
      </w:r>
    </w:p>
    <w:p w14:paraId="146986E3">
      <w:pPr>
        <w:numPr>
          <w:ilvl w:val="2"/>
          <w:numId w:val="7"/>
        </w:numPr>
        <w:spacing w:line="500" w:lineRule="exact"/>
        <w:rPr>
          <w:rFonts w:ascii="仿宋" w:hAnsi="仿宋" w:eastAsia="仿宋" w:cs="仿宋"/>
          <w:sz w:val="24"/>
        </w:rPr>
      </w:pPr>
      <w:r>
        <w:rPr>
          <w:rFonts w:hint="eastAsia" w:ascii="仿宋" w:hAnsi="仿宋" w:eastAsia="仿宋" w:cs="仿宋"/>
          <w:sz w:val="24"/>
        </w:rPr>
        <w:t>符合</w:t>
      </w:r>
      <w:r>
        <w:rPr>
          <w:rFonts w:hint="eastAsia" w:ascii="仿宋" w:hAnsi="仿宋" w:eastAsia="仿宋" w:cs="仿宋"/>
          <w:sz w:val="24"/>
          <w:u w:val="single"/>
        </w:rPr>
        <w:t>投标须知前附表</w:t>
      </w:r>
      <w:r>
        <w:rPr>
          <w:rFonts w:hint="eastAsia" w:ascii="仿宋" w:hAnsi="仿宋" w:eastAsia="仿宋" w:cs="仿宋"/>
          <w:sz w:val="24"/>
        </w:rPr>
        <w:t>中规定的其他资格要求。</w:t>
      </w:r>
    </w:p>
    <w:p w14:paraId="2F687B72">
      <w:pPr>
        <w:numPr>
          <w:ilvl w:val="1"/>
          <w:numId w:val="7"/>
        </w:numPr>
        <w:spacing w:line="500" w:lineRule="exact"/>
        <w:rPr>
          <w:rFonts w:ascii="仿宋" w:hAnsi="仿宋" w:eastAsia="仿宋" w:cs="仿宋"/>
          <w:sz w:val="24"/>
        </w:rPr>
      </w:pPr>
      <w:r>
        <w:rPr>
          <w:rFonts w:hint="eastAsia" w:ascii="仿宋" w:hAnsi="仿宋" w:eastAsia="仿宋" w:cs="仿宋"/>
          <w:sz w:val="24"/>
        </w:rPr>
        <w:t>如经财政主管部门批准可以采购进口产品，将在投标须知前附表中写明。但投标人应保证所投产品可履行合法报通关手续进入中国关境内。若</w:t>
      </w:r>
      <w:r>
        <w:rPr>
          <w:rFonts w:hint="eastAsia" w:ascii="仿宋" w:hAnsi="仿宋" w:eastAsia="仿宋" w:cs="仿宋"/>
          <w:sz w:val="24"/>
          <w:u w:val="single"/>
        </w:rPr>
        <w:t>投标须知前附表</w:t>
      </w:r>
      <w:r>
        <w:rPr>
          <w:rFonts w:hint="eastAsia" w:ascii="仿宋" w:hAnsi="仿宋" w:eastAsia="仿宋" w:cs="仿宋"/>
          <w:sz w:val="24"/>
        </w:rPr>
        <w:t>中未写明允许采购进口产品，如投标人所投产品为进口产品，其投标将作为</w:t>
      </w:r>
      <w:r>
        <w:rPr>
          <w:rFonts w:hint="eastAsia" w:ascii="仿宋" w:hAnsi="仿宋" w:eastAsia="仿宋" w:cs="仿宋"/>
          <w:b/>
          <w:bCs/>
          <w:sz w:val="24"/>
        </w:rPr>
        <w:t>无效投标</w:t>
      </w:r>
      <w:r>
        <w:rPr>
          <w:rFonts w:hint="eastAsia" w:ascii="仿宋" w:hAnsi="仿宋" w:eastAsia="仿宋" w:cs="仿宋"/>
          <w:sz w:val="24"/>
        </w:rPr>
        <w:t xml:space="preserve">被拒绝。 </w:t>
      </w:r>
    </w:p>
    <w:p w14:paraId="56549B1B">
      <w:pPr>
        <w:numPr>
          <w:ilvl w:val="1"/>
          <w:numId w:val="7"/>
        </w:numPr>
        <w:spacing w:line="500" w:lineRule="exact"/>
        <w:rPr>
          <w:rFonts w:ascii="仿宋" w:hAnsi="仿宋" w:eastAsia="仿宋" w:cs="仿宋"/>
          <w:sz w:val="24"/>
        </w:rPr>
      </w:pPr>
      <w:r>
        <w:rPr>
          <w:rFonts w:hint="eastAsia" w:ascii="仿宋" w:hAnsi="仿宋" w:eastAsia="仿宋" w:cs="仿宋"/>
          <w:sz w:val="24"/>
        </w:rPr>
        <w:t>中小企业、监狱企业及残疾人福利性单位。</w:t>
      </w:r>
    </w:p>
    <w:p w14:paraId="06CF3AB8">
      <w:pPr>
        <w:numPr>
          <w:ilvl w:val="2"/>
          <w:numId w:val="7"/>
        </w:numPr>
        <w:spacing w:line="500" w:lineRule="exact"/>
        <w:rPr>
          <w:rFonts w:ascii="仿宋" w:hAnsi="仿宋" w:eastAsia="仿宋" w:cs="仿宋"/>
          <w:sz w:val="24"/>
        </w:rPr>
      </w:pPr>
      <w:r>
        <w:rPr>
          <w:rFonts w:hint="eastAsia" w:ascii="仿宋" w:hAnsi="仿宋" w:eastAsia="仿宋" w:cs="仿宋"/>
          <w:sz w:val="24"/>
        </w:rPr>
        <w:t>采购标的对应的中小企业划分标准所属行业见</w:t>
      </w:r>
      <w:r>
        <w:rPr>
          <w:rFonts w:hint="eastAsia" w:ascii="仿宋" w:hAnsi="仿宋" w:eastAsia="仿宋" w:cs="仿宋"/>
          <w:sz w:val="24"/>
          <w:u w:val="single"/>
        </w:rPr>
        <w:t>投标须知前附表</w:t>
      </w:r>
      <w:r>
        <w:rPr>
          <w:rFonts w:hint="eastAsia" w:ascii="仿宋" w:hAnsi="仿宋" w:eastAsia="仿宋" w:cs="仿宋"/>
          <w:sz w:val="24"/>
        </w:rPr>
        <w:t>。</w:t>
      </w:r>
    </w:p>
    <w:p w14:paraId="570C6B80">
      <w:pPr>
        <w:numPr>
          <w:ilvl w:val="2"/>
          <w:numId w:val="7"/>
        </w:numPr>
        <w:spacing w:line="500" w:lineRule="exact"/>
        <w:rPr>
          <w:rFonts w:ascii="仿宋" w:hAnsi="仿宋" w:eastAsia="仿宋" w:cs="仿宋"/>
          <w:sz w:val="24"/>
        </w:rPr>
      </w:pPr>
      <w:r>
        <w:rPr>
          <w:rFonts w:hint="eastAsia" w:ascii="仿宋" w:hAnsi="仿宋" w:eastAsia="仿宋" w:cs="仿宋"/>
          <w:sz w:val="24"/>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sz w:val="24"/>
        </w:rPr>
        <w:t>投标无效</w:t>
      </w:r>
      <w:r>
        <w:rPr>
          <w:rFonts w:hint="eastAsia" w:ascii="仿宋" w:hAnsi="仿宋" w:eastAsia="仿宋" w:cs="仿宋"/>
          <w:sz w:val="24"/>
        </w:rPr>
        <w:t>。若投标须知前附表中写明本项目预留部分采购项目预算专门面向中小企业采购的，本项目面向中小企业采购预留份额、措施及比例见</w:t>
      </w:r>
      <w:r>
        <w:rPr>
          <w:rFonts w:hint="eastAsia" w:ascii="仿宋" w:hAnsi="仿宋" w:eastAsia="仿宋" w:cs="仿宋"/>
          <w:sz w:val="24"/>
          <w:u w:val="single"/>
        </w:rPr>
        <w:t>投标须知前附表</w:t>
      </w:r>
      <w:r>
        <w:rPr>
          <w:rFonts w:hint="eastAsia" w:ascii="仿宋" w:hAnsi="仿宋" w:eastAsia="仿宋" w:cs="仿宋"/>
          <w:sz w:val="24"/>
        </w:rPr>
        <w:t>，未达到上述比例的投标将被认定为</w:t>
      </w:r>
      <w:r>
        <w:rPr>
          <w:rFonts w:hint="eastAsia" w:ascii="仿宋" w:hAnsi="仿宋" w:eastAsia="仿宋" w:cs="仿宋"/>
          <w:b/>
          <w:bCs/>
          <w:sz w:val="24"/>
        </w:rPr>
        <w:t>投标无效</w:t>
      </w:r>
      <w:r>
        <w:rPr>
          <w:rFonts w:hint="eastAsia" w:ascii="仿宋" w:hAnsi="仿宋" w:eastAsia="仿宋" w:cs="仿宋"/>
          <w:sz w:val="24"/>
        </w:rPr>
        <w:t>。承接企业如为监狱企业或残疾人福利性单位的，视同为小型、微型企业。</w:t>
      </w:r>
    </w:p>
    <w:p w14:paraId="1284F25B">
      <w:pPr>
        <w:numPr>
          <w:ilvl w:val="2"/>
          <w:numId w:val="7"/>
        </w:numPr>
        <w:spacing w:line="500" w:lineRule="exact"/>
        <w:rPr>
          <w:rFonts w:ascii="仿宋" w:hAnsi="仿宋" w:eastAsia="仿宋" w:cs="仿宋"/>
          <w:sz w:val="24"/>
        </w:rPr>
      </w:pPr>
      <w:r>
        <w:rPr>
          <w:rFonts w:hint="eastAsia" w:ascii="仿宋" w:hAnsi="仿宋" w:eastAsia="仿宋" w:cs="仿宋"/>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11525345">
      <w:pPr>
        <w:numPr>
          <w:ilvl w:val="2"/>
          <w:numId w:val="7"/>
        </w:numPr>
        <w:spacing w:line="500" w:lineRule="exact"/>
        <w:rPr>
          <w:rFonts w:ascii="仿宋" w:hAnsi="仿宋" w:eastAsia="仿宋" w:cs="仿宋"/>
          <w:sz w:val="24"/>
        </w:rPr>
      </w:pPr>
      <w:r>
        <w:rPr>
          <w:rFonts w:hint="eastAsia" w:ascii="仿宋" w:hAnsi="仿宋" w:eastAsia="仿宋" w:cs="仿宋"/>
          <w:sz w:val="24"/>
        </w:rPr>
        <w:t xml:space="preserve"> 投标人提供的货物、工程或者服务符合下列情形的，享受中小企业扶持政策：</w:t>
      </w:r>
    </w:p>
    <w:p w14:paraId="1E51391D">
      <w:pPr>
        <w:numPr>
          <w:ilvl w:val="0"/>
          <w:numId w:val="8"/>
        </w:numPr>
        <w:spacing w:line="500" w:lineRule="exact"/>
        <w:rPr>
          <w:rFonts w:ascii="仿宋" w:hAnsi="仿宋" w:eastAsia="仿宋" w:cs="仿宋"/>
          <w:sz w:val="24"/>
        </w:rPr>
      </w:pPr>
      <w:r>
        <w:rPr>
          <w:rFonts w:hint="eastAsia" w:ascii="仿宋" w:hAnsi="仿宋" w:eastAsia="仿宋" w:cs="仿宋"/>
          <w:sz w:val="24"/>
        </w:rPr>
        <w:t>在货物采购项目中，货物由中小企业制造，即货物由中小企业生产且使用该中小企业商号或者注册商标；</w:t>
      </w:r>
    </w:p>
    <w:p w14:paraId="2D08C61C">
      <w:pPr>
        <w:numPr>
          <w:ilvl w:val="0"/>
          <w:numId w:val="8"/>
        </w:numPr>
        <w:spacing w:line="500" w:lineRule="exact"/>
        <w:rPr>
          <w:rFonts w:ascii="仿宋" w:hAnsi="仿宋" w:eastAsia="仿宋" w:cs="仿宋"/>
          <w:sz w:val="24"/>
        </w:rPr>
      </w:pPr>
      <w:r>
        <w:rPr>
          <w:rFonts w:hint="eastAsia" w:ascii="仿宋" w:hAnsi="仿宋" w:eastAsia="仿宋" w:cs="仿宋"/>
          <w:sz w:val="24"/>
        </w:rPr>
        <w:t>在工程采购项目中，工程由中小企业承建，即工程施工单位为中小企业；</w:t>
      </w:r>
    </w:p>
    <w:p w14:paraId="44A4D8F8">
      <w:pPr>
        <w:numPr>
          <w:ilvl w:val="0"/>
          <w:numId w:val="8"/>
        </w:numPr>
        <w:spacing w:line="500" w:lineRule="exact"/>
        <w:rPr>
          <w:rFonts w:ascii="仿宋" w:hAnsi="仿宋" w:eastAsia="仿宋" w:cs="仿宋"/>
          <w:sz w:val="24"/>
        </w:rPr>
      </w:pPr>
      <w:r>
        <w:rPr>
          <w:rFonts w:hint="eastAsia" w:ascii="仿宋" w:hAnsi="仿宋" w:eastAsia="仿宋" w:cs="仿宋"/>
          <w:sz w:val="24"/>
        </w:rPr>
        <w:t xml:space="preserve">在服务采购项目中，服务由中小企业承接，即提供服务的人员为中小企业依照《中华人民共和国劳动合同法》订立劳动合同的从业人员。 </w:t>
      </w:r>
    </w:p>
    <w:p w14:paraId="03246FCC">
      <w:pPr>
        <w:numPr>
          <w:ilvl w:val="2"/>
          <w:numId w:val="7"/>
        </w:numPr>
        <w:spacing w:line="500" w:lineRule="exact"/>
        <w:rPr>
          <w:rFonts w:ascii="仿宋" w:hAnsi="仿宋" w:eastAsia="仿宋" w:cs="仿宋"/>
          <w:sz w:val="24"/>
        </w:rPr>
      </w:pPr>
      <w:r>
        <w:rPr>
          <w:rFonts w:hint="eastAsia" w:ascii="仿宋" w:hAnsi="仿宋" w:eastAsia="仿宋" w:cs="仿宋"/>
          <w:sz w:val="24"/>
        </w:rPr>
        <w:t xml:space="preserve">在货物采购项目中，投标人提供的货物既有中小企业制造货物，也有大型企业制造货物的，不享受中小企业扶持政策。 </w:t>
      </w:r>
    </w:p>
    <w:p w14:paraId="27E1A673">
      <w:pPr>
        <w:numPr>
          <w:ilvl w:val="2"/>
          <w:numId w:val="7"/>
        </w:numPr>
        <w:spacing w:line="500" w:lineRule="exact"/>
        <w:rPr>
          <w:rFonts w:ascii="仿宋" w:hAnsi="仿宋" w:eastAsia="仿宋" w:cs="仿宋"/>
          <w:sz w:val="24"/>
        </w:rPr>
      </w:pPr>
      <w:r>
        <w:rPr>
          <w:rFonts w:hint="eastAsia" w:ascii="仿宋" w:hAnsi="仿宋" w:eastAsia="仿宋" w:cs="仿宋"/>
          <w:sz w:val="24"/>
        </w:rPr>
        <w:t>以联合体形式参加政府采购活动，联合体各方均为中小企业的，联合体视同中小企业。其中，联合体各方均为小微企业的，联合体视同小微企业。</w:t>
      </w:r>
    </w:p>
    <w:p w14:paraId="16BB4C3E">
      <w:pPr>
        <w:numPr>
          <w:ilvl w:val="2"/>
          <w:numId w:val="7"/>
        </w:numPr>
        <w:spacing w:line="500" w:lineRule="exact"/>
        <w:rPr>
          <w:rFonts w:ascii="仿宋" w:hAnsi="仿宋" w:eastAsia="仿宋" w:cs="仿宋"/>
          <w:sz w:val="24"/>
        </w:rPr>
      </w:pPr>
      <w:r>
        <w:rPr>
          <w:rFonts w:hint="eastAsia" w:ascii="仿宋" w:hAnsi="仿宋" w:eastAsia="仿宋" w:cs="仿宋"/>
          <w:sz w:val="24"/>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A68B56D">
      <w:pPr>
        <w:numPr>
          <w:ilvl w:val="2"/>
          <w:numId w:val="7"/>
        </w:numPr>
        <w:spacing w:line="500" w:lineRule="exact"/>
        <w:rPr>
          <w:rFonts w:ascii="仿宋" w:hAnsi="仿宋" w:eastAsia="仿宋" w:cs="仿宋"/>
          <w:sz w:val="24"/>
        </w:rPr>
      </w:pPr>
      <w:r>
        <w:rPr>
          <w:rFonts w:hint="eastAsia" w:ascii="仿宋" w:hAnsi="仿宋" w:eastAsia="仿宋" w:cs="仿宋"/>
          <w:sz w:val="24"/>
        </w:rPr>
        <w:t xml:space="preserve">享受政府采购支持政策的残疾人福利性单位根据《关于促进残疾人就业政府采购政策的通知》（财库〔2017〕141号）应当同时满足以下条件： </w:t>
      </w:r>
    </w:p>
    <w:p w14:paraId="0E04D458">
      <w:pPr>
        <w:numPr>
          <w:ilvl w:val="0"/>
          <w:numId w:val="9"/>
        </w:numPr>
        <w:spacing w:line="500" w:lineRule="exact"/>
        <w:rPr>
          <w:rFonts w:ascii="仿宋" w:hAnsi="仿宋" w:eastAsia="仿宋" w:cs="仿宋"/>
          <w:sz w:val="24"/>
        </w:rPr>
      </w:pPr>
      <w:r>
        <w:rPr>
          <w:rFonts w:hint="eastAsia" w:ascii="仿宋" w:hAnsi="仿宋" w:eastAsia="仿宋" w:cs="仿宋"/>
          <w:sz w:val="24"/>
        </w:rPr>
        <w:t xml:space="preserve">安置的残疾人占本单位在职职工人数的比例不低于25%（含25%），并且安置的残疾人人数不少于10人（含10人）； </w:t>
      </w:r>
    </w:p>
    <w:p w14:paraId="6A52DADB">
      <w:pPr>
        <w:numPr>
          <w:ilvl w:val="0"/>
          <w:numId w:val="9"/>
        </w:numPr>
        <w:spacing w:line="500" w:lineRule="exact"/>
        <w:rPr>
          <w:rFonts w:ascii="仿宋" w:hAnsi="仿宋" w:eastAsia="仿宋" w:cs="仿宋"/>
          <w:sz w:val="24"/>
        </w:rPr>
      </w:pPr>
      <w:r>
        <w:rPr>
          <w:rFonts w:hint="eastAsia" w:ascii="仿宋" w:hAnsi="仿宋" w:eastAsia="仿宋" w:cs="仿宋"/>
          <w:sz w:val="24"/>
        </w:rPr>
        <w:t>依法与安置的每位残疾人签订了一年以上（含一年）的劳动合同或服务协议；</w:t>
      </w:r>
    </w:p>
    <w:p w14:paraId="07A2E7D1">
      <w:pPr>
        <w:numPr>
          <w:ilvl w:val="0"/>
          <w:numId w:val="9"/>
        </w:numPr>
        <w:spacing w:line="500" w:lineRule="exact"/>
        <w:rPr>
          <w:rFonts w:ascii="仿宋" w:hAnsi="仿宋" w:eastAsia="仿宋" w:cs="仿宋"/>
          <w:sz w:val="24"/>
        </w:rPr>
      </w:pPr>
      <w:r>
        <w:rPr>
          <w:rFonts w:hint="eastAsia" w:ascii="仿宋" w:hAnsi="仿宋" w:eastAsia="仿宋" w:cs="仿宋"/>
          <w:sz w:val="24"/>
        </w:rPr>
        <w:t>为安置的每位残疾人按月足额缴纳了基本养老保险、基本医疗保险、失业保险、工伤保险和生育保险等社会保险费；</w:t>
      </w:r>
    </w:p>
    <w:p w14:paraId="0FA3F1C1">
      <w:pPr>
        <w:numPr>
          <w:ilvl w:val="0"/>
          <w:numId w:val="9"/>
        </w:numPr>
        <w:spacing w:line="500" w:lineRule="exact"/>
        <w:rPr>
          <w:rFonts w:ascii="仿宋" w:hAnsi="仿宋" w:eastAsia="仿宋" w:cs="仿宋"/>
          <w:sz w:val="24"/>
        </w:rPr>
      </w:pPr>
      <w:r>
        <w:rPr>
          <w:rFonts w:hint="eastAsia" w:ascii="仿宋" w:hAnsi="仿宋" w:eastAsia="仿宋" w:cs="仿宋"/>
          <w:sz w:val="24"/>
        </w:rPr>
        <w:t>通过银行等金融机构向安置的每位残疾人，按月支付了不低于单位所在区县适用的经省级人民政府批准的月最低工资标准的工资；</w:t>
      </w:r>
    </w:p>
    <w:p w14:paraId="1F7E2EC4">
      <w:pPr>
        <w:numPr>
          <w:ilvl w:val="0"/>
          <w:numId w:val="9"/>
        </w:numPr>
        <w:spacing w:line="500" w:lineRule="exact"/>
        <w:rPr>
          <w:rFonts w:ascii="仿宋" w:hAnsi="仿宋" w:eastAsia="仿宋" w:cs="仿宋"/>
          <w:sz w:val="24"/>
        </w:rPr>
      </w:pPr>
      <w:r>
        <w:rPr>
          <w:rFonts w:hint="eastAsia" w:ascii="仿宋" w:hAnsi="仿宋" w:eastAsia="仿宋" w:cs="仿宋"/>
          <w:sz w:val="24"/>
        </w:rPr>
        <w:t>提供本单位制造的货物、承担的工程或者服务，或者提供其他残疾人福利性单位制造的货物（不包括使用非残疾人福利性单位注册商标的货物）。</w:t>
      </w:r>
    </w:p>
    <w:p w14:paraId="46D4CAC7">
      <w:pPr>
        <w:numPr>
          <w:ilvl w:val="0"/>
          <w:numId w:val="9"/>
        </w:numPr>
        <w:spacing w:line="500" w:lineRule="exact"/>
        <w:rPr>
          <w:rFonts w:ascii="仿宋" w:hAnsi="仿宋" w:eastAsia="仿宋" w:cs="仿宋"/>
          <w:sz w:val="24"/>
        </w:rPr>
      </w:pPr>
      <w:r>
        <w:rPr>
          <w:rFonts w:hint="eastAsia" w:ascii="仿宋" w:hAnsi="仿宋" w:eastAsia="仿宋" w:cs="仿宋"/>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740942">
      <w:pPr>
        <w:numPr>
          <w:ilvl w:val="2"/>
          <w:numId w:val="7"/>
        </w:numPr>
        <w:spacing w:line="500" w:lineRule="exact"/>
        <w:rPr>
          <w:rFonts w:ascii="仿宋" w:hAnsi="仿宋" w:eastAsia="仿宋" w:cs="仿宋"/>
          <w:sz w:val="24"/>
        </w:rPr>
      </w:pPr>
      <w:r>
        <w:rPr>
          <w:rFonts w:hint="eastAsia" w:ascii="仿宋" w:hAnsi="仿宋" w:eastAsia="仿宋" w:cs="仿宋"/>
          <w:sz w:val="24"/>
        </w:rPr>
        <w:t>享受中小企业扶持政策获得政府采购合同的，小微企业不得将合同分包给大中型企业，中型企业不得将合同分包给大型企业。</w:t>
      </w:r>
    </w:p>
    <w:p w14:paraId="3A94286E">
      <w:pPr>
        <w:numPr>
          <w:ilvl w:val="1"/>
          <w:numId w:val="7"/>
        </w:numPr>
        <w:spacing w:line="500" w:lineRule="exact"/>
        <w:rPr>
          <w:rFonts w:ascii="仿宋" w:hAnsi="仿宋" w:eastAsia="仿宋" w:cs="仿宋"/>
          <w:sz w:val="24"/>
        </w:rPr>
      </w:pPr>
      <w:r>
        <w:rPr>
          <w:rFonts w:hint="eastAsia" w:ascii="仿宋" w:hAnsi="仿宋" w:eastAsia="仿宋" w:cs="仿宋"/>
          <w:sz w:val="24"/>
        </w:rPr>
        <w:t>政府采购节能产品、环境标志产品</w:t>
      </w:r>
    </w:p>
    <w:p w14:paraId="60DFDCC0">
      <w:pPr>
        <w:numPr>
          <w:ilvl w:val="2"/>
          <w:numId w:val="7"/>
        </w:numPr>
        <w:spacing w:line="500" w:lineRule="exact"/>
        <w:rPr>
          <w:rFonts w:ascii="仿宋" w:hAnsi="仿宋" w:eastAsia="仿宋" w:cs="仿宋"/>
          <w:sz w:val="24"/>
        </w:rPr>
      </w:pPr>
      <w:r>
        <w:rPr>
          <w:rFonts w:hint="eastAsia" w:ascii="仿宋" w:hAnsi="仿宋" w:eastAsia="仿宋"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2494F5">
      <w:pPr>
        <w:numPr>
          <w:ilvl w:val="2"/>
          <w:numId w:val="7"/>
        </w:numPr>
        <w:spacing w:line="500" w:lineRule="exact"/>
        <w:rPr>
          <w:rFonts w:ascii="仿宋" w:hAnsi="仿宋" w:eastAsia="仿宋" w:cs="仿宋"/>
          <w:sz w:val="24"/>
        </w:rPr>
      </w:pPr>
      <w:r>
        <w:rPr>
          <w:rFonts w:hint="eastAsia" w:ascii="仿宋" w:hAnsi="仿宋" w:eastAsia="仿宋"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2173415D">
      <w:pPr>
        <w:numPr>
          <w:ilvl w:val="2"/>
          <w:numId w:val="7"/>
        </w:numPr>
        <w:spacing w:line="500" w:lineRule="exact"/>
        <w:rPr>
          <w:rFonts w:ascii="仿宋" w:hAnsi="仿宋" w:eastAsia="仿宋" w:cs="仿宋"/>
          <w:sz w:val="24"/>
        </w:rPr>
      </w:pPr>
      <w:r>
        <w:rPr>
          <w:rFonts w:hint="eastAsia" w:ascii="仿宋" w:hAnsi="仿宋" w:eastAsia="仿宋" w:cs="仿宋"/>
          <w:sz w:val="24"/>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rPr>
        <w:t>投标无效</w:t>
      </w:r>
      <w:r>
        <w:rPr>
          <w:rFonts w:hint="eastAsia" w:ascii="仿宋" w:hAnsi="仿宋" w:eastAsia="仿宋" w:cs="仿宋"/>
          <w:sz w:val="24"/>
        </w:rPr>
        <w:t>；</w:t>
      </w:r>
    </w:p>
    <w:p w14:paraId="5D9F55C4">
      <w:pPr>
        <w:numPr>
          <w:ilvl w:val="2"/>
          <w:numId w:val="7"/>
        </w:numPr>
        <w:spacing w:line="500" w:lineRule="exact"/>
        <w:rPr>
          <w:rFonts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非政府强制采购的节能产品或环境标志产品，依据品目清单和认证证书实施政府优先采购。优先采购的具体规定见第六章《评标程序、评标方法和评标标准》（如涉及）。</w:t>
      </w:r>
    </w:p>
    <w:p w14:paraId="44AA16E5">
      <w:pPr>
        <w:numPr>
          <w:ilvl w:val="1"/>
          <w:numId w:val="7"/>
        </w:numPr>
        <w:spacing w:line="500" w:lineRule="exact"/>
        <w:rPr>
          <w:rFonts w:ascii="仿宋" w:hAnsi="仿宋" w:eastAsia="仿宋" w:cs="仿宋"/>
          <w:sz w:val="24"/>
        </w:rPr>
      </w:pPr>
      <w:r>
        <w:rPr>
          <w:rFonts w:hint="eastAsia" w:ascii="仿宋" w:hAnsi="仿宋" w:eastAsia="仿宋" w:cs="仿宋"/>
          <w:sz w:val="24"/>
        </w:rPr>
        <w:t>支持乡村产业振兴管理</w:t>
      </w:r>
    </w:p>
    <w:p w14:paraId="4C3D2F19">
      <w:pPr>
        <w:numPr>
          <w:ilvl w:val="2"/>
          <w:numId w:val="7"/>
        </w:numPr>
        <w:spacing w:line="500" w:lineRule="exact"/>
        <w:rPr>
          <w:rFonts w:ascii="仿宋" w:hAnsi="仿宋" w:eastAsia="仿宋" w:cs="仿宋"/>
          <w:sz w:val="24"/>
        </w:rPr>
      </w:pPr>
      <w:r>
        <w:rPr>
          <w:rFonts w:hint="eastAsia" w:ascii="仿宋" w:hAnsi="仿宋" w:eastAsia="仿宋" w:cs="仿宋"/>
          <w:sz w:val="24"/>
        </w:rPr>
        <w:t>为落实《关于运用政府采购政策支持乡村产业振兴的通知》（财库〔2021〕19 号）有关要求，做好支持脱贫攻坚工作，本项目采购活动中对于支持乡村振兴管理的相关要求见第五章《采购需求》（如涉及）。</w:t>
      </w:r>
    </w:p>
    <w:p w14:paraId="6244BF1A">
      <w:pPr>
        <w:numPr>
          <w:ilvl w:val="1"/>
          <w:numId w:val="7"/>
        </w:numPr>
        <w:spacing w:line="500" w:lineRule="exact"/>
        <w:rPr>
          <w:rFonts w:ascii="仿宋" w:hAnsi="仿宋" w:eastAsia="仿宋" w:cs="仿宋"/>
          <w:sz w:val="24"/>
        </w:rPr>
      </w:pPr>
      <w:r>
        <w:rPr>
          <w:rFonts w:hint="eastAsia" w:ascii="仿宋" w:hAnsi="仿宋" w:eastAsia="仿宋" w:cs="仿宋"/>
          <w:sz w:val="24"/>
        </w:rPr>
        <w:t xml:space="preserve"> 正版软件</w:t>
      </w:r>
    </w:p>
    <w:p w14:paraId="02642D4E">
      <w:pPr>
        <w:numPr>
          <w:ilvl w:val="2"/>
          <w:numId w:val="7"/>
        </w:numPr>
        <w:spacing w:line="500" w:lineRule="exact"/>
        <w:rPr>
          <w:rFonts w:ascii="仿宋" w:hAnsi="仿宋" w:eastAsia="仿宋" w:cs="仿宋"/>
          <w:sz w:val="24"/>
        </w:rPr>
      </w:pPr>
      <w:r>
        <w:rPr>
          <w:rFonts w:hint="eastAsia" w:ascii="仿宋" w:hAnsi="仿宋" w:eastAsia="仿宋" w:cs="仿宋"/>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rPr>
        <w:t>投标无效</w:t>
      </w:r>
      <w:r>
        <w:rPr>
          <w:rFonts w:hint="eastAsia" w:ascii="仿宋" w:hAnsi="仿宋" w:eastAsia="仿宋" w:cs="仿宋"/>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82AA92E">
      <w:pPr>
        <w:numPr>
          <w:ilvl w:val="2"/>
          <w:numId w:val="7"/>
        </w:numPr>
        <w:spacing w:line="500" w:lineRule="exact"/>
        <w:rPr>
          <w:rFonts w:ascii="仿宋" w:hAnsi="仿宋" w:eastAsia="仿宋" w:cs="仿宋"/>
          <w:sz w:val="24"/>
        </w:rPr>
      </w:pPr>
      <w:r>
        <w:rPr>
          <w:rFonts w:hint="eastAsia" w:ascii="仿宋" w:hAnsi="仿宋" w:eastAsia="仿宋" w:cs="仿宋"/>
          <w:sz w:val="24"/>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7A92B1E">
      <w:pPr>
        <w:numPr>
          <w:ilvl w:val="1"/>
          <w:numId w:val="7"/>
        </w:numPr>
        <w:spacing w:line="500" w:lineRule="exact"/>
        <w:rPr>
          <w:rFonts w:ascii="仿宋" w:hAnsi="仿宋" w:eastAsia="仿宋" w:cs="仿宋"/>
          <w:sz w:val="24"/>
        </w:rPr>
      </w:pPr>
      <w:r>
        <w:rPr>
          <w:rFonts w:hint="eastAsia" w:ascii="仿宋" w:hAnsi="仿宋" w:eastAsia="仿宋" w:cs="仿宋"/>
          <w:sz w:val="24"/>
        </w:rPr>
        <w:t>投标人信用记录</w:t>
      </w:r>
    </w:p>
    <w:p w14:paraId="2FE813D6">
      <w:pPr>
        <w:numPr>
          <w:ilvl w:val="2"/>
          <w:numId w:val="7"/>
        </w:numPr>
        <w:spacing w:line="500" w:lineRule="exact"/>
        <w:rPr>
          <w:rFonts w:ascii="仿宋" w:hAnsi="仿宋" w:eastAsia="仿宋" w:cs="仿宋"/>
          <w:sz w:val="24"/>
        </w:rPr>
      </w:pPr>
      <w:r>
        <w:rPr>
          <w:rFonts w:hint="eastAsia" w:ascii="仿宋" w:hAnsi="仿宋" w:eastAsia="仿宋" w:cs="仿宋"/>
          <w:sz w:val="24"/>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投标人，其响应文件将被认定为无效响应。两个以上的自然人、法人或者其他组织组成一个联合体，以一个投标人的身份共同参加政府采购活动的，应当对所有联合体成员进行信用记录查询，联合体成员存在不良信用记录的，视同联合体存在不良信用记录，其响应文件将被认定为无效响应。</w:t>
      </w:r>
    </w:p>
    <w:p w14:paraId="754DCEFB">
      <w:pPr>
        <w:numPr>
          <w:ilvl w:val="1"/>
          <w:numId w:val="7"/>
        </w:numPr>
        <w:spacing w:line="500" w:lineRule="exact"/>
        <w:rPr>
          <w:rFonts w:ascii="仿宋" w:hAnsi="仿宋" w:eastAsia="仿宋" w:cs="仿宋"/>
          <w:sz w:val="24"/>
        </w:rPr>
      </w:pPr>
      <w:r>
        <w:rPr>
          <w:rFonts w:hint="eastAsia" w:ascii="仿宋" w:hAnsi="仿宋" w:eastAsia="仿宋" w:cs="仿宋"/>
          <w:sz w:val="24"/>
        </w:rPr>
        <w:t>采购需求标准</w:t>
      </w:r>
    </w:p>
    <w:p w14:paraId="450A7602">
      <w:pPr>
        <w:numPr>
          <w:ilvl w:val="2"/>
          <w:numId w:val="7"/>
        </w:numPr>
        <w:spacing w:line="500" w:lineRule="exact"/>
        <w:rPr>
          <w:rFonts w:ascii="仿宋" w:hAnsi="仿宋" w:eastAsia="仿宋" w:cs="仿宋"/>
          <w:sz w:val="24"/>
        </w:rPr>
      </w:pPr>
      <w:r>
        <w:rPr>
          <w:rFonts w:hint="eastAsia" w:ascii="仿宋" w:hAnsi="仿宋" w:eastAsia="仿宋" w:cs="仿宋"/>
          <w:sz w:val="24"/>
        </w:rPr>
        <w:t>商品包装、快递包装政府采购需求标准（试行）</w:t>
      </w:r>
    </w:p>
    <w:p w14:paraId="3D5E0A43">
      <w:pPr>
        <w:spacing w:line="500" w:lineRule="exact"/>
        <w:rPr>
          <w:rFonts w:ascii="仿宋" w:hAnsi="仿宋" w:eastAsia="仿宋" w:cs="仿宋"/>
          <w:sz w:val="24"/>
        </w:rPr>
      </w:pPr>
      <w:r>
        <w:rPr>
          <w:rFonts w:hint="eastAsia" w:ascii="仿宋" w:hAnsi="仿宋" w:eastAsia="仿宋" w:cs="仿宋"/>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BBC7684">
      <w:pPr>
        <w:numPr>
          <w:ilvl w:val="2"/>
          <w:numId w:val="7"/>
        </w:numPr>
        <w:spacing w:line="500" w:lineRule="exact"/>
        <w:rPr>
          <w:rFonts w:ascii="仿宋" w:hAnsi="仿宋" w:eastAsia="仿宋" w:cs="仿宋"/>
          <w:sz w:val="24"/>
        </w:rPr>
      </w:pPr>
      <w:r>
        <w:rPr>
          <w:rFonts w:hint="eastAsia" w:ascii="仿宋" w:hAnsi="仿宋" w:eastAsia="仿宋" w:cs="仿宋"/>
          <w:sz w:val="24"/>
        </w:rPr>
        <w:t>绿色数据中心政府采购需求标准（试行）</w:t>
      </w:r>
    </w:p>
    <w:p w14:paraId="681B9F69">
      <w:pPr>
        <w:spacing w:line="500" w:lineRule="exact"/>
        <w:rPr>
          <w:rFonts w:ascii="仿宋" w:hAnsi="仿宋" w:eastAsia="仿宋" w:cs="仿宋"/>
          <w:sz w:val="24"/>
        </w:rPr>
      </w:pPr>
      <w:r>
        <w:rPr>
          <w:rFonts w:hint="eastAsia" w:ascii="仿宋" w:hAnsi="仿宋" w:eastAsia="仿宋" w:cs="仿宋"/>
          <w:sz w:val="24"/>
        </w:rPr>
        <w:t>为加快数据中心绿色转型，根据财政部生态环境部工业和信息化部关于印发《绿色数据中心政府采购需求标准（试行）》的通知（财库〔2023〕7 号），本项目如涉及绿色数据中心，则具体要求见第五章《采购需求》。</w:t>
      </w:r>
    </w:p>
    <w:p w14:paraId="06BF69D9">
      <w:pPr>
        <w:numPr>
          <w:ilvl w:val="2"/>
          <w:numId w:val="7"/>
        </w:numPr>
        <w:spacing w:line="500" w:lineRule="exact"/>
        <w:rPr>
          <w:rFonts w:ascii="仿宋" w:hAnsi="仿宋" w:eastAsia="仿宋" w:cs="仿宋"/>
          <w:sz w:val="24"/>
        </w:rPr>
      </w:pPr>
      <w:r>
        <w:rPr>
          <w:rFonts w:hint="eastAsia" w:ascii="仿宋" w:hAnsi="仿宋" w:eastAsia="仿宋" w:cs="仿宋"/>
          <w:sz w:val="24"/>
        </w:rPr>
        <w:t>其他采购需求标准</w:t>
      </w:r>
    </w:p>
    <w:p w14:paraId="784C501E">
      <w:pPr>
        <w:spacing w:line="500" w:lineRule="exact"/>
        <w:rPr>
          <w:rFonts w:ascii="仿宋" w:hAnsi="仿宋" w:eastAsia="仿宋" w:cs="仿宋"/>
          <w:sz w:val="24"/>
        </w:rPr>
      </w:pPr>
      <w:r>
        <w:rPr>
          <w:rFonts w:hint="eastAsia" w:ascii="仿宋" w:hAnsi="仿宋" w:eastAsia="仿宋" w:cs="仿宋"/>
          <w:sz w:val="24"/>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22AA8822">
      <w:pPr>
        <w:numPr>
          <w:ilvl w:val="1"/>
          <w:numId w:val="7"/>
        </w:numPr>
        <w:spacing w:line="500" w:lineRule="exact"/>
        <w:rPr>
          <w:rFonts w:ascii="仿宋" w:hAnsi="仿宋" w:eastAsia="仿宋" w:cs="仿宋"/>
          <w:sz w:val="24"/>
        </w:rPr>
      </w:pPr>
      <w:r>
        <w:rPr>
          <w:rFonts w:hint="eastAsia" w:ascii="仿宋" w:hAnsi="仿宋" w:eastAsia="仿宋" w:cs="仿宋"/>
          <w:sz w:val="24"/>
        </w:rPr>
        <w:t>如</w:t>
      </w:r>
      <w:r>
        <w:rPr>
          <w:rFonts w:hint="eastAsia" w:ascii="仿宋" w:hAnsi="仿宋" w:eastAsia="仿宋" w:cs="仿宋"/>
          <w:sz w:val="24"/>
          <w:u w:val="single"/>
        </w:rPr>
        <w:t>投标须知前附表</w:t>
      </w:r>
      <w:r>
        <w:rPr>
          <w:rFonts w:hint="eastAsia" w:ascii="仿宋" w:hAnsi="仿宋" w:eastAsia="仿宋" w:cs="仿宋"/>
          <w:sz w:val="24"/>
        </w:rPr>
        <w:t>中允许联合体投标，对联合体规定如下：</w:t>
      </w:r>
    </w:p>
    <w:p w14:paraId="0335564C">
      <w:pPr>
        <w:numPr>
          <w:ilvl w:val="2"/>
          <w:numId w:val="7"/>
        </w:numPr>
        <w:spacing w:line="500" w:lineRule="exact"/>
        <w:rPr>
          <w:rFonts w:ascii="仿宋" w:hAnsi="仿宋" w:eastAsia="仿宋" w:cs="仿宋"/>
          <w:sz w:val="24"/>
        </w:rPr>
      </w:pPr>
      <w:r>
        <w:rPr>
          <w:rFonts w:hint="eastAsia" w:ascii="仿宋" w:hAnsi="仿宋" w:eastAsia="仿宋" w:cs="仿宋"/>
          <w:sz w:val="24"/>
        </w:rPr>
        <w:t xml:space="preserve">两个以上投标人可以组成一个投标联合体，以一个投标人的身份投标。  </w:t>
      </w:r>
    </w:p>
    <w:p w14:paraId="303C6233">
      <w:pPr>
        <w:numPr>
          <w:ilvl w:val="2"/>
          <w:numId w:val="7"/>
        </w:numPr>
        <w:spacing w:line="500" w:lineRule="exact"/>
        <w:rPr>
          <w:rFonts w:ascii="仿宋" w:hAnsi="仿宋" w:eastAsia="仿宋" w:cs="仿宋"/>
          <w:sz w:val="24"/>
        </w:rPr>
      </w:pPr>
      <w:r>
        <w:rPr>
          <w:rFonts w:hint="eastAsia" w:ascii="仿宋" w:hAnsi="仿宋" w:eastAsia="仿宋" w:cs="仿宋"/>
          <w:sz w:val="24"/>
        </w:rPr>
        <w:t>联合体各方均应符合《中华人民共和国政府采购法》第二十二条规定的条件，遵守国家、本项目采购人本级和上级财政部门政府采购的有关规定。</w:t>
      </w:r>
    </w:p>
    <w:p w14:paraId="1790080A">
      <w:pPr>
        <w:numPr>
          <w:ilvl w:val="2"/>
          <w:numId w:val="7"/>
        </w:numPr>
        <w:spacing w:line="500" w:lineRule="exact"/>
        <w:rPr>
          <w:rFonts w:ascii="仿宋" w:hAnsi="仿宋" w:eastAsia="仿宋" w:cs="仿宋"/>
          <w:sz w:val="24"/>
        </w:rPr>
      </w:pPr>
      <w:r>
        <w:rPr>
          <w:rFonts w:hint="eastAsia" w:ascii="仿宋" w:hAnsi="仿宋" w:eastAsia="仿宋" w:cs="仿宋"/>
          <w:sz w:val="24"/>
        </w:rPr>
        <w:t>采购人根据采购项目对投标人的特殊要求，联合体中至少应当有一方符合相关规定。</w:t>
      </w:r>
    </w:p>
    <w:p w14:paraId="0B911305">
      <w:pPr>
        <w:numPr>
          <w:ilvl w:val="2"/>
          <w:numId w:val="7"/>
        </w:numPr>
        <w:spacing w:line="500" w:lineRule="exact"/>
        <w:rPr>
          <w:rFonts w:ascii="仿宋" w:hAnsi="仿宋" w:eastAsia="仿宋" w:cs="仿宋"/>
          <w:sz w:val="24"/>
        </w:rPr>
      </w:pPr>
      <w:r>
        <w:rPr>
          <w:rFonts w:hint="eastAsia" w:ascii="仿宋" w:hAnsi="仿宋" w:eastAsia="仿宋" w:cs="仿宋"/>
          <w:sz w:val="24"/>
        </w:rPr>
        <w:t>联合体各方应签订共同投标协议，明确约定联合体各方承担的工作和相应的责任，并将共同投标协议连同投标文件一并提交采购人或采购代理机构。</w:t>
      </w:r>
    </w:p>
    <w:p w14:paraId="579360CF">
      <w:pPr>
        <w:numPr>
          <w:ilvl w:val="2"/>
          <w:numId w:val="7"/>
        </w:numPr>
        <w:spacing w:line="500" w:lineRule="exact"/>
        <w:rPr>
          <w:rFonts w:ascii="仿宋" w:hAnsi="仿宋" w:eastAsia="仿宋" w:cs="仿宋"/>
          <w:sz w:val="24"/>
        </w:rPr>
      </w:pPr>
      <w:r>
        <w:rPr>
          <w:rFonts w:hint="eastAsia" w:ascii="仿宋" w:hAnsi="仿宋" w:eastAsia="仿宋" w:cs="仿宋"/>
          <w:sz w:val="24"/>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4BF5D5AB">
      <w:pPr>
        <w:numPr>
          <w:ilvl w:val="2"/>
          <w:numId w:val="7"/>
        </w:numPr>
        <w:spacing w:line="500" w:lineRule="exact"/>
        <w:rPr>
          <w:rFonts w:ascii="仿宋" w:hAnsi="仿宋" w:eastAsia="仿宋" w:cs="仿宋"/>
          <w:sz w:val="24"/>
        </w:rPr>
      </w:pPr>
      <w:r>
        <w:rPr>
          <w:rFonts w:hint="eastAsia" w:ascii="仿宋" w:hAnsi="仿宋" w:eastAsia="仿宋" w:cs="仿宋"/>
          <w:sz w:val="24"/>
        </w:rPr>
        <w:t>联合体中有同类资质的投标人按照联合体分工承担相同工作的，按照资质等级较低的投标人确定资质等级。</w:t>
      </w:r>
    </w:p>
    <w:p w14:paraId="3112CD40">
      <w:pPr>
        <w:numPr>
          <w:ilvl w:val="2"/>
          <w:numId w:val="7"/>
        </w:numPr>
        <w:spacing w:line="500" w:lineRule="exact"/>
        <w:rPr>
          <w:rFonts w:ascii="仿宋" w:hAnsi="仿宋" w:eastAsia="仿宋" w:cs="仿宋"/>
          <w:sz w:val="24"/>
        </w:rPr>
      </w:pPr>
      <w:r>
        <w:rPr>
          <w:rFonts w:hint="eastAsia" w:ascii="仿宋" w:hAnsi="仿宋" w:eastAsia="仿宋" w:cs="仿宋"/>
          <w:sz w:val="24"/>
        </w:rPr>
        <w:t>对联合体投标的其他资格要求见</w:t>
      </w:r>
      <w:r>
        <w:rPr>
          <w:rFonts w:hint="eastAsia" w:ascii="仿宋" w:hAnsi="仿宋" w:eastAsia="仿宋" w:cs="仿宋"/>
          <w:sz w:val="24"/>
          <w:u w:val="single"/>
        </w:rPr>
        <w:t>投标须知前附表</w:t>
      </w:r>
      <w:r>
        <w:rPr>
          <w:rFonts w:hint="eastAsia" w:ascii="仿宋" w:hAnsi="仿宋" w:eastAsia="仿宋" w:cs="仿宋"/>
          <w:sz w:val="24"/>
        </w:rPr>
        <w:t>。</w:t>
      </w:r>
    </w:p>
    <w:p w14:paraId="3958D8B5">
      <w:pPr>
        <w:numPr>
          <w:ilvl w:val="1"/>
          <w:numId w:val="7"/>
        </w:numPr>
        <w:spacing w:line="500" w:lineRule="exact"/>
        <w:rPr>
          <w:rFonts w:ascii="仿宋" w:hAnsi="仿宋" w:eastAsia="仿宋" w:cs="仿宋"/>
          <w:sz w:val="24"/>
        </w:rPr>
      </w:pPr>
      <w:r>
        <w:rPr>
          <w:rFonts w:hint="eastAsia" w:ascii="仿宋" w:hAnsi="仿宋" w:eastAsia="仿宋" w:cs="仿宋"/>
          <w:sz w:val="24"/>
        </w:rPr>
        <w:t>单位负责人为同一人或者存在直接控股、管理关系的不同投标人，其投标将被认定为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207E6408">
      <w:pPr>
        <w:numPr>
          <w:ilvl w:val="1"/>
          <w:numId w:val="7"/>
        </w:numPr>
        <w:spacing w:line="500" w:lineRule="exact"/>
        <w:rPr>
          <w:rFonts w:ascii="仿宋" w:hAnsi="仿宋" w:eastAsia="仿宋" w:cs="仿宋"/>
          <w:sz w:val="24"/>
        </w:rPr>
      </w:pPr>
      <w:r>
        <w:rPr>
          <w:rFonts w:hint="eastAsia" w:ascii="仿宋" w:hAnsi="仿宋" w:eastAsia="仿宋" w:cs="仿宋"/>
          <w:sz w:val="24"/>
        </w:rPr>
        <w:t>为本项目提供整体设计、规范编制或者项目管理、监理、检测等服务的投标人，其投标将被认定为</w:t>
      </w:r>
      <w:r>
        <w:rPr>
          <w:rFonts w:hint="eastAsia" w:ascii="仿宋" w:hAnsi="仿宋" w:eastAsia="仿宋" w:cs="仿宋"/>
          <w:b/>
          <w:bCs/>
          <w:sz w:val="24"/>
        </w:rPr>
        <w:t>投标无效</w:t>
      </w:r>
      <w:r>
        <w:rPr>
          <w:rFonts w:hint="eastAsia" w:ascii="仿宋" w:hAnsi="仿宋" w:eastAsia="仿宋" w:cs="仿宋"/>
          <w:sz w:val="24"/>
        </w:rPr>
        <w:t>。</w:t>
      </w:r>
    </w:p>
    <w:p w14:paraId="2BD05D4D">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 xml:space="preserve"> 资金来源 </w:t>
      </w:r>
    </w:p>
    <w:p w14:paraId="73981701">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本项目的采购人已获得足以支付本次招标后所签订的合同项下的资金（包括财政性资金和本项目采购中无法与财政性资金分割的非财政性资金）。 </w:t>
      </w:r>
    </w:p>
    <w:p w14:paraId="2CB77EDF">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项目预算金额和最高限价见</w:t>
      </w:r>
      <w:r>
        <w:rPr>
          <w:rFonts w:hint="eastAsia" w:ascii="仿宋" w:hAnsi="仿宋" w:eastAsia="仿宋" w:cs="仿宋"/>
          <w:sz w:val="24"/>
          <w:u w:val="single"/>
        </w:rPr>
        <w:t>投标须知前附表</w:t>
      </w:r>
      <w:r>
        <w:rPr>
          <w:rFonts w:hint="eastAsia" w:ascii="仿宋" w:hAnsi="仿宋" w:eastAsia="仿宋" w:cs="仿宋"/>
          <w:sz w:val="24"/>
        </w:rPr>
        <w:t>。</w:t>
      </w:r>
    </w:p>
    <w:p w14:paraId="168AEE15">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投标人报价超过招标文件规定的预算金额或者最高限价的，其投标将被认定为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6ADC5087">
      <w:pPr>
        <w:numPr>
          <w:ilvl w:val="0"/>
          <w:numId w:val="10"/>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投标费用</w:t>
      </w:r>
    </w:p>
    <w:p w14:paraId="210A2E07">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投标人应自行承担所有与准备和参加投标有关的费用，无论投标的结果如何，采购人或采购代理机构在任何情况下均无承担这些费用的义务和责任。</w:t>
      </w:r>
    </w:p>
    <w:p w14:paraId="1E947413">
      <w:pPr>
        <w:numPr>
          <w:ilvl w:val="0"/>
          <w:numId w:val="10"/>
        </w:numPr>
        <w:tabs>
          <w:tab w:val="left" w:pos="0"/>
        </w:tabs>
        <w:spacing w:line="500" w:lineRule="exact"/>
        <w:rPr>
          <w:rFonts w:ascii="仿宋" w:hAnsi="仿宋" w:eastAsia="仿宋" w:cs="仿宋"/>
          <w:sz w:val="24"/>
        </w:rPr>
      </w:pPr>
      <w:r>
        <w:rPr>
          <w:rFonts w:hint="eastAsia" w:ascii="仿宋" w:hAnsi="仿宋" w:eastAsia="仿宋" w:cs="仿宋"/>
          <w:b/>
          <w:bCs/>
          <w:sz w:val="24"/>
        </w:rPr>
        <w:t>适用法律</w:t>
      </w:r>
    </w:p>
    <w:p w14:paraId="4035B2DA">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671B26A4">
      <w:pPr>
        <w:tabs>
          <w:tab w:val="left" w:pos="0"/>
        </w:tabs>
        <w:spacing w:line="500" w:lineRule="exact"/>
        <w:rPr>
          <w:rFonts w:ascii="仿宋" w:hAnsi="仿宋" w:eastAsia="仿宋" w:cs="仿宋"/>
          <w:b/>
          <w:bCs/>
          <w:sz w:val="24"/>
        </w:rPr>
      </w:pPr>
    </w:p>
    <w:p w14:paraId="17A64C6E">
      <w:pPr>
        <w:numPr>
          <w:ilvl w:val="0"/>
          <w:numId w:val="11"/>
        </w:numPr>
        <w:tabs>
          <w:tab w:val="left" w:pos="0"/>
        </w:tabs>
        <w:spacing w:line="500" w:lineRule="exact"/>
        <w:jc w:val="center"/>
        <w:outlineLvl w:val="1"/>
        <w:rPr>
          <w:rFonts w:ascii="仿宋" w:hAnsi="仿宋" w:eastAsia="仿宋" w:cs="仿宋"/>
          <w:b/>
          <w:bCs/>
          <w:sz w:val="24"/>
        </w:rPr>
      </w:pPr>
      <w:bookmarkStart w:id="5" w:name="_Toc155630076"/>
      <w:r>
        <w:rPr>
          <w:rFonts w:hint="eastAsia" w:ascii="仿宋" w:hAnsi="仿宋" w:eastAsia="仿宋" w:cs="仿宋"/>
          <w:b/>
          <w:bCs/>
          <w:sz w:val="24"/>
        </w:rPr>
        <w:t>招标文件</w:t>
      </w:r>
      <w:bookmarkEnd w:id="5"/>
    </w:p>
    <w:p w14:paraId="61CECC2F">
      <w:pPr>
        <w:numPr>
          <w:ilvl w:val="0"/>
          <w:numId w:val="10"/>
        </w:numPr>
        <w:tabs>
          <w:tab w:val="left" w:pos="0"/>
        </w:tabs>
        <w:spacing w:line="500" w:lineRule="exact"/>
        <w:rPr>
          <w:rFonts w:ascii="仿宋" w:hAnsi="仿宋" w:eastAsia="仿宋" w:cs="仿宋"/>
          <w:b/>
          <w:bCs/>
          <w:sz w:val="24"/>
        </w:rPr>
      </w:pPr>
      <w:r>
        <w:rPr>
          <w:rFonts w:hint="eastAsia" w:ascii="仿宋" w:hAnsi="仿宋" w:eastAsia="仿宋" w:cs="仿宋"/>
          <w:b/>
          <w:bCs/>
          <w:sz w:val="24"/>
        </w:rPr>
        <w:t>招标文件构成</w:t>
      </w:r>
    </w:p>
    <w:p w14:paraId="557C1811">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招标文件包括以下部分：</w:t>
      </w:r>
    </w:p>
    <w:p w14:paraId="14B41AB9">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第一章 招标公告（投标邀请） </w:t>
      </w:r>
    </w:p>
    <w:p w14:paraId="5C71D6D0">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第二章 投标须知前附表 </w:t>
      </w:r>
    </w:p>
    <w:p w14:paraId="164ADED4">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第三章 投标人须知</w:t>
      </w:r>
    </w:p>
    <w:p w14:paraId="515328C1">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第四章 政府采购合同 </w:t>
      </w:r>
    </w:p>
    <w:p w14:paraId="7E4F67B9">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第五章 采购需求 </w:t>
      </w:r>
    </w:p>
    <w:p w14:paraId="474B2ED3">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第六章 评标程序、评标方法和评标标准</w:t>
      </w:r>
    </w:p>
    <w:p w14:paraId="2A502FFE">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第七章 投标文件格式 </w:t>
      </w:r>
    </w:p>
    <w:p w14:paraId="614DE6DB">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sz w:val="24"/>
        </w:rPr>
        <w:t>投标无效</w:t>
      </w:r>
      <w:r>
        <w:rPr>
          <w:rFonts w:hint="eastAsia" w:ascii="仿宋" w:hAnsi="仿宋" w:eastAsia="仿宋" w:cs="仿宋"/>
          <w:sz w:val="24"/>
        </w:rPr>
        <w:t>。</w:t>
      </w:r>
    </w:p>
    <w:p w14:paraId="049E599F">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招标文件中有不一致的，有澄清的部分以最终的澄清更正内容为准；未澄清的，以投标须知前附表为准；投标须知前附表不涉及的内容，以编排在后的最后描述为准。</w:t>
      </w:r>
    </w:p>
    <w:p w14:paraId="49E0D81E">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现场考察或者答疑会及相关事项见</w:t>
      </w:r>
      <w:r>
        <w:rPr>
          <w:rFonts w:hint="eastAsia" w:ascii="仿宋" w:hAnsi="仿宋" w:eastAsia="仿宋" w:cs="仿宋"/>
          <w:sz w:val="24"/>
          <w:u w:val="single"/>
        </w:rPr>
        <w:t>投标须知前附表</w:t>
      </w:r>
      <w:r>
        <w:rPr>
          <w:rFonts w:hint="eastAsia" w:ascii="仿宋" w:hAnsi="仿宋" w:eastAsia="仿宋" w:cs="仿宋"/>
          <w:sz w:val="24"/>
        </w:rPr>
        <w:t>。</w:t>
      </w:r>
    </w:p>
    <w:p w14:paraId="51CFC8F2">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采购人在踏勘现场中介绍的资料和数据等，只是为了使投标人能够利用招标人现有的资料。招标人对投标人由此而作出的推论、解释和结论概不负责。</w:t>
      </w:r>
    </w:p>
    <w:p w14:paraId="2B5CC1C9">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投标人自行承担踏勘现场发生的责任、风险和自身费用。</w:t>
      </w:r>
    </w:p>
    <w:p w14:paraId="2082F5A4">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sz w:val="24"/>
          <w:u w:val="single"/>
        </w:rPr>
        <w:t>投标须知前附表</w:t>
      </w:r>
      <w:r>
        <w:rPr>
          <w:rFonts w:hint="eastAsia" w:ascii="仿宋" w:hAnsi="仿宋" w:eastAsia="仿宋" w:cs="仿宋"/>
          <w:sz w:val="24"/>
        </w:rPr>
        <w:t>，对样品的评审方法及评审标准见招标文件第六章《评标程序、评标方法和评标标准》。</w:t>
      </w:r>
    </w:p>
    <w:p w14:paraId="5B166234">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招标文件规定投标人提交样品的，样品属于投标文件的组成部分。样品的生产、运输、安装、保全等一切费用由投标人自理。</w:t>
      </w:r>
    </w:p>
    <w:p w14:paraId="04C245A1">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采购结果公告发布后，中标投标人的样品由采购人封存，作为履约验收的依据之一。未中标投标人在接到采购代理机构通知后，应按规定时间尽快自行取回样品，否则视同投标人不再认领，代理机构有权进行处理。</w:t>
      </w:r>
    </w:p>
    <w:p w14:paraId="2BF5D1B6">
      <w:pPr>
        <w:numPr>
          <w:ilvl w:val="0"/>
          <w:numId w:val="10"/>
        </w:numPr>
        <w:tabs>
          <w:tab w:val="left" w:pos="0"/>
        </w:tabs>
        <w:spacing w:line="500" w:lineRule="exact"/>
        <w:rPr>
          <w:rFonts w:ascii="仿宋" w:hAnsi="仿宋" w:eastAsia="仿宋" w:cs="仿宋"/>
          <w:b/>
          <w:bCs/>
          <w:sz w:val="24"/>
        </w:rPr>
      </w:pPr>
      <w:r>
        <w:rPr>
          <w:rFonts w:hint="eastAsia" w:ascii="仿宋" w:hAnsi="仿宋" w:eastAsia="仿宋" w:cs="仿宋"/>
          <w:b/>
          <w:bCs/>
          <w:sz w:val="24"/>
        </w:rPr>
        <w:t>对招标文件的澄清或修改</w:t>
      </w:r>
    </w:p>
    <w:p w14:paraId="107AEAA4">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56885FE8">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48D42850">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0E1B6786">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为了保证对招标文件的澄清和修改满足法律的时限要求，任何要求对招标文件进行澄清的投标人，均应在投标截止期十五日前，以书面形式将澄清要求通知采购人或采购代理机构。</w:t>
      </w:r>
    </w:p>
    <w:p w14:paraId="4C5F26B8">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如更正公告有重新发布电子招标文件的，投标人应登录电子招投标平台下载最新发布的电子招标文件制作投标文件。</w:t>
      </w:r>
    </w:p>
    <w:p w14:paraId="795D2CAB">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0687956F">
      <w:pPr>
        <w:tabs>
          <w:tab w:val="left" w:pos="0"/>
        </w:tabs>
        <w:spacing w:line="500" w:lineRule="exact"/>
        <w:rPr>
          <w:rFonts w:ascii="仿宋" w:hAnsi="仿宋" w:eastAsia="仿宋" w:cs="仿宋"/>
          <w:sz w:val="24"/>
        </w:rPr>
      </w:pPr>
    </w:p>
    <w:p w14:paraId="1A7C79CD">
      <w:pPr>
        <w:numPr>
          <w:ilvl w:val="0"/>
          <w:numId w:val="11"/>
        </w:numPr>
        <w:tabs>
          <w:tab w:val="left" w:pos="0"/>
        </w:tabs>
        <w:spacing w:line="500" w:lineRule="exact"/>
        <w:jc w:val="center"/>
        <w:outlineLvl w:val="1"/>
        <w:rPr>
          <w:rFonts w:ascii="仿宋" w:hAnsi="仿宋" w:eastAsia="仿宋" w:cs="仿宋"/>
          <w:b/>
          <w:bCs/>
          <w:sz w:val="24"/>
        </w:rPr>
      </w:pPr>
      <w:bookmarkStart w:id="6" w:name="_Toc155630077"/>
      <w:r>
        <w:rPr>
          <w:rFonts w:hint="eastAsia" w:ascii="仿宋" w:hAnsi="仿宋" w:eastAsia="仿宋" w:cs="仿宋"/>
          <w:b/>
          <w:bCs/>
          <w:sz w:val="24"/>
        </w:rPr>
        <w:t>投标文件的编制</w:t>
      </w:r>
      <w:bookmarkEnd w:id="6"/>
    </w:p>
    <w:p w14:paraId="345962F9">
      <w:pPr>
        <w:numPr>
          <w:ilvl w:val="0"/>
          <w:numId w:val="10"/>
        </w:numPr>
        <w:tabs>
          <w:tab w:val="left" w:pos="0"/>
        </w:tabs>
        <w:spacing w:line="500" w:lineRule="exact"/>
        <w:rPr>
          <w:rFonts w:ascii="仿宋" w:hAnsi="仿宋" w:eastAsia="仿宋" w:cs="仿宋"/>
          <w:sz w:val="24"/>
          <w:u w:val="single"/>
        </w:rPr>
      </w:pPr>
      <w:r>
        <w:rPr>
          <w:rFonts w:hint="eastAsia" w:ascii="仿宋" w:hAnsi="仿宋" w:eastAsia="仿宋" w:cs="仿宋"/>
          <w:sz w:val="24"/>
        </w:rPr>
        <w:t>投标范围、投标文件中计量单位的使用及投标语言</w:t>
      </w:r>
    </w:p>
    <w:p w14:paraId="6436B875">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投标人可对招标文件中一个或几个分包进行投标，除非在</w:t>
      </w:r>
      <w:r>
        <w:rPr>
          <w:rFonts w:hint="eastAsia" w:ascii="仿宋" w:hAnsi="仿宋" w:eastAsia="仿宋" w:cs="仿宋"/>
          <w:sz w:val="24"/>
          <w:u w:val="single"/>
        </w:rPr>
        <w:t>投标须知前附表中另有规定</w:t>
      </w:r>
      <w:r>
        <w:rPr>
          <w:rFonts w:hint="eastAsia" w:ascii="仿宋" w:hAnsi="仿宋" w:eastAsia="仿宋" w:cs="仿宋"/>
          <w:sz w:val="24"/>
        </w:rPr>
        <w:t xml:space="preserve">。 </w:t>
      </w:r>
    </w:p>
    <w:p w14:paraId="224F3DB8">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投标人应当对所投采购包对应第五章《采购需求》所列的全部内容进行投标，不得将一个采购包中的内容拆分投标，其该包投标将被认定为</w:t>
      </w:r>
      <w:r>
        <w:rPr>
          <w:rFonts w:hint="eastAsia" w:ascii="仿宋" w:hAnsi="仿宋" w:eastAsia="仿宋" w:cs="仿宋"/>
          <w:b/>
          <w:bCs/>
          <w:sz w:val="24"/>
        </w:rPr>
        <w:t>投标无效</w:t>
      </w:r>
      <w:r>
        <w:rPr>
          <w:rFonts w:hint="eastAsia" w:ascii="仿宋" w:hAnsi="仿宋" w:eastAsia="仿宋" w:cs="仿宋"/>
          <w:sz w:val="24"/>
        </w:rPr>
        <w:t>。</w:t>
      </w:r>
    </w:p>
    <w:p w14:paraId="54FF6DD2">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无论招标文件中是否要求，投标人所投货物或服务均应符合国家强制性标准。</w:t>
      </w:r>
    </w:p>
    <w:p w14:paraId="6624F10C">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除招标文件有特殊要求外，本项目投标所使用的计量单位，应采用中华人民共和国法定计量单位。</w:t>
      </w:r>
    </w:p>
    <w:p w14:paraId="32403872">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4C23425">
      <w:pPr>
        <w:numPr>
          <w:ilvl w:val="0"/>
          <w:numId w:val="10"/>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投标文件构成</w:t>
      </w:r>
    </w:p>
    <w:p w14:paraId="09575B44">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投标人应当按照招标文件的要求编制投标文件。投标文件应由资格证明文件、报价文件、商务和技术文件四部分构成。投标文件的部分格式要求，见第七章《投标文件格式》。</w:t>
      </w:r>
    </w:p>
    <w:p w14:paraId="775501C9">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第五章《采购需求》及第六章《评标程序、评标方法和评标标准》中涉及的证明文件。</w:t>
      </w:r>
    </w:p>
    <w:p w14:paraId="1332842B">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4051AC0">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投标人认为应附的其他材料。</w:t>
      </w:r>
    </w:p>
    <w:p w14:paraId="22DFE2E9">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上述文件应按照招标文件的规定签署和盖公章或经公章授权的其他单位章（以下统称公章）。采用公章授权方式的，应当在投标文件中附公章授权书（格式自定）。使用电子签名和电子印章的（即CA数字证书），投标人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0210D01A">
      <w:pPr>
        <w:numPr>
          <w:ilvl w:val="0"/>
          <w:numId w:val="10"/>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投标报价</w:t>
      </w:r>
    </w:p>
    <w:p w14:paraId="5A0C258C">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所有投标均以人民币报价。</w:t>
      </w:r>
    </w:p>
    <w:p w14:paraId="1F095D3B">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rPr>
        <w:t>投标被拒绝</w:t>
      </w:r>
      <w:r>
        <w:rPr>
          <w:rFonts w:hint="eastAsia" w:ascii="仿宋" w:hAnsi="仿宋" w:eastAsia="仿宋" w:cs="仿宋"/>
          <w:sz w:val="24"/>
        </w:rPr>
        <w:t>。</w:t>
      </w:r>
    </w:p>
    <w:p w14:paraId="454A6418">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51EEC762">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5063CC33">
      <w:pPr>
        <w:numPr>
          <w:ilvl w:val="0"/>
          <w:numId w:val="10"/>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投标保证金</w:t>
      </w:r>
    </w:p>
    <w:p w14:paraId="1F9D92F3">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投标人应按</w:t>
      </w:r>
      <w:r>
        <w:rPr>
          <w:rFonts w:hint="eastAsia" w:ascii="仿宋" w:hAnsi="仿宋" w:eastAsia="仿宋" w:cs="仿宋"/>
          <w:sz w:val="24"/>
          <w:u w:val="single"/>
        </w:rPr>
        <w:t>投标须知前附表</w:t>
      </w:r>
      <w:r>
        <w:rPr>
          <w:rFonts w:hint="eastAsia" w:ascii="仿宋" w:hAnsi="仿宋" w:eastAsia="仿宋" w:cs="仿宋"/>
          <w:sz w:val="24"/>
        </w:rPr>
        <w:t>中规定的金额及要求交纳投标保证金，并作为其投标的一部分。</w:t>
      </w:r>
    </w:p>
    <w:p w14:paraId="7B1B469F">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交纳保证金的形式除</w:t>
      </w:r>
      <w:r>
        <w:rPr>
          <w:rFonts w:hint="eastAsia" w:ascii="仿宋" w:hAnsi="仿宋" w:eastAsia="仿宋" w:cs="仿宋"/>
          <w:sz w:val="24"/>
          <w:u w:val="single"/>
        </w:rPr>
        <w:t>投标人须知前附表</w:t>
      </w:r>
      <w:r>
        <w:rPr>
          <w:rFonts w:hint="eastAsia" w:ascii="仿宋" w:hAnsi="仿宋" w:eastAsia="仿宋" w:cs="仿宋"/>
          <w:sz w:val="24"/>
        </w:rPr>
        <w:t>中另有约定外，可采用的形式：政府采购法律法规接受的支票、汇票、本票、网上银行支付或者金融机构、担保机构出具的保函等非现金形式。</w:t>
      </w:r>
    </w:p>
    <w:p w14:paraId="60713380">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sz w:val="24"/>
        </w:rPr>
        <w:t>投标无效</w:t>
      </w:r>
      <w:r>
        <w:rPr>
          <w:rFonts w:hint="eastAsia" w:ascii="仿宋" w:hAnsi="仿宋" w:eastAsia="仿宋" w:cs="仿宋"/>
          <w:sz w:val="24"/>
        </w:rPr>
        <w:t>。</w:t>
      </w:r>
    </w:p>
    <w:p w14:paraId="71D1AB82">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sz w:val="24"/>
        </w:rPr>
        <w:t>投标无效</w:t>
      </w:r>
      <w:r>
        <w:rPr>
          <w:rFonts w:hint="eastAsia" w:ascii="仿宋" w:hAnsi="仿宋" w:eastAsia="仿宋" w:cs="仿宋"/>
          <w:sz w:val="24"/>
        </w:rPr>
        <w:t>。电子保函与纸质保函具有同样效力。</w:t>
      </w:r>
    </w:p>
    <w:p w14:paraId="13AD9DA7">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投标保证金（保函）有效期同投标有效期。</w:t>
      </w:r>
    </w:p>
    <w:p w14:paraId="0685DA3A">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联合体投标的，可以由联合体中的一方或者共同提交投标保证金，以一方名义提交投标保证金的，对联合体各方均具有约束力。</w:t>
      </w:r>
    </w:p>
    <w:p w14:paraId="58118C48">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43F7C40">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投标人在投标截止时间前撤回已提交的投标文件的，自收到投标人书面撤回通知之日起 5 个工作日内退还已收取的投标保证金。 </w:t>
      </w:r>
    </w:p>
    <w:p w14:paraId="028E71C7">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中标人的投标保证金，自采购合同签订之日起 5 个工作日内退还中标人。 </w:t>
      </w:r>
    </w:p>
    <w:p w14:paraId="2DAFA08F">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未中标投标人的投标保证金，自中标通知书发出之日起 5 个工作日内退还未中标人。</w:t>
      </w:r>
    </w:p>
    <w:p w14:paraId="45AF4972">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终止采购活动的项目已经收取投标保证金的，自终止采购活动后 5 个工作日内退还已收取的投标保证金。</w:t>
      </w:r>
    </w:p>
    <w:p w14:paraId="70A16D6F">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有下列情形之一的，采购人或采购代理机构可以不予退还投标保证金：</w:t>
      </w:r>
    </w:p>
    <w:p w14:paraId="7BF01F0D">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在投标有效期内，投标人撤回投标的； </w:t>
      </w:r>
    </w:p>
    <w:p w14:paraId="45E42CEF">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中标人不按本招标文件的规定与采购人签订合同的； </w:t>
      </w:r>
    </w:p>
    <w:p w14:paraId="5D9CA65D">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中标人不按本招标文件的规定提交履约保证金的； </w:t>
      </w:r>
    </w:p>
    <w:p w14:paraId="5DA719F2">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中标人不按本招标文件的规定缴纳中标服务费的； </w:t>
      </w:r>
    </w:p>
    <w:p w14:paraId="6E9B42C9">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存在的串通投标情形的； </w:t>
      </w:r>
    </w:p>
    <w:p w14:paraId="555E0C1C">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存在向采购人、代理机构或评标专家行贿事实的； </w:t>
      </w:r>
    </w:p>
    <w:p w14:paraId="14036804">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法律、法规规定的其它情况。 </w:t>
      </w:r>
    </w:p>
    <w:p w14:paraId="61BA0CC3">
      <w:pPr>
        <w:numPr>
          <w:ilvl w:val="0"/>
          <w:numId w:val="10"/>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投标有效期</w:t>
      </w:r>
    </w:p>
    <w:p w14:paraId="39886E3B">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投标文件应在</w:t>
      </w:r>
      <w:r>
        <w:rPr>
          <w:rFonts w:hint="eastAsia" w:ascii="仿宋" w:hAnsi="仿宋" w:eastAsia="仿宋" w:cs="仿宋"/>
          <w:sz w:val="24"/>
          <w:u w:val="single"/>
        </w:rPr>
        <w:t>投标须知前附表</w:t>
      </w:r>
      <w:r>
        <w:rPr>
          <w:rFonts w:hint="eastAsia" w:ascii="仿宋" w:hAnsi="仿宋" w:eastAsia="仿宋" w:cs="仿宋"/>
          <w:sz w:val="24"/>
        </w:rPr>
        <w:t>中规定的投标有效期内保持有效，投标有效期少于招标文件规定期限的，其</w:t>
      </w:r>
      <w:r>
        <w:rPr>
          <w:rFonts w:hint="eastAsia" w:ascii="仿宋" w:hAnsi="仿宋" w:eastAsia="仿宋" w:cs="仿宋"/>
          <w:b/>
          <w:bCs/>
          <w:sz w:val="24"/>
        </w:rPr>
        <w:t>投标无效</w:t>
      </w:r>
      <w:r>
        <w:rPr>
          <w:rFonts w:hint="eastAsia" w:ascii="仿宋" w:hAnsi="仿宋" w:eastAsia="仿宋" w:cs="仿宋"/>
          <w:sz w:val="24"/>
        </w:rPr>
        <w:t>。</w:t>
      </w:r>
    </w:p>
    <w:p w14:paraId="41F99BA9">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1FD56E26">
      <w:pPr>
        <w:numPr>
          <w:ilvl w:val="0"/>
          <w:numId w:val="10"/>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投标文件的制作</w:t>
      </w:r>
    </w:p>
    <w:p w14:paraId="59EF73C8">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5239A08A">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投标人应使用电子招投标平台提供的投标客户端编制、标记、加密投标文件，成功加密后将生成指定格式的电子投标文件和电子备用投标文件</w:t>
      </w:r>
    </w:p>
    <w:p w14:paraId="07D0A2A8">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如有对多个采购包投标的，要对每个采购包独立制作电子投标文件。</w:t>
      </w:r>
    </w:p>
    <w:p w14:paraId="69FCB64F">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投标人须对招标文件的对应要求给予唯一的实质性响应，否则将视为</w:t>
      </w:r>
      <w:r>
        <w:rPr>
          <w:rFonts w:hint="eastAsia" w:ascii="仿宋" w:hAnsi="仿宋" w:eastAsia="仿宋" w:cs="仿宋"/>
          <w:b/>
          <w:bCs/>
          <w:sz w:val="24"/>
        </w:rPr>
        <w:t>不响应</w:t>
      </w:r>
      <w:r>
        <w:rPr>
          <w:rFonts w:hint="eastAsia" w:ascii="仿宋" w:hAnsi="仿宋" w:eastAsia="仿宋" w:cs="仿宋"/>
          <w:sz w:val="24"/>
        </w:rPr>
        <w:t>。</w:t>
      </w:r>
    </w:p>
    <w:p w14:paraId="1EEAE625">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348BCD11">
      <w:pPr>
        <w:tabs>
          <w:tab w:val="left" w:pos="0"/>
        </w:tabs>
        <w:spacing w:line="500" w:lineRule="exact"/>
        <w:rPr>
          <w:rFonts w:ascii="仿宋" w:hAnsi="仿宋" w:eastAsia="仿宋" w:cs="仿宋"/>
          <w:sz w:val="24"/>
        </w:rPr>
      </w:pPr>
    </w:p>
    <w:p w14:paraId="7246E4C8">
      <w:pPr>
        <w:numPr>
          <w:ilvl w:val="0"/>
          <w:numId w:val="11"/>
        </w:numPr>
        <w:tabs>
          <w:tab w:val="left" w:pos="0"/>
        </w:tabs>
        <w:spacing w:line="500" w:lineRule="exact"/>
        <w:jc w:val="center"/>
        <w:outlineLvl w:val="1"/>
        <w:rPr>
          <w:rFonts w:ascii="仿宋" w:hAnsi="仿宋" w:eastAsia="仿宋" w:cs="仿宋"/>
          <w:b/>
          <w:bCs/>
          <w:sz w:val="24"/>
        </w:rPr>
      </w:pPr>
      <w:bookmarkStart w:id="7" w:name="_Toc155630078"/>
      <w:r>
        <w:rPr>
          <w:rFonts w:hint="eastAsia" w:ascii="仿宋" w:hAnsi="仿宋" w:eastAsia="仿宋" w:cs="仿宋"/>
          <w:b/>
          <w:bCs/>
          <w:sz w:val="24"/>
        </w:rPr>
        <w:t>投标文件的提交</w:t>
      </w:r>
      <w:bookmarkEnd w:id="7"/>
    </w:p>
    <w:p w14:paraId="24C3C42B">
      <w:pPr>
        <w:numPr>
          <w:ilvl w:val="0"/>
          <w:numId w:val="10"/>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投标文件的提交</w:t>
      </w:r>
    </w:p>
    <w:p w14:paraId="054974AD">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投标人应在</w:t>
      </w:r>
      <w:r>
        <w:rPr>
          <w:rFonts w:hint="eastAsia" w:ascii="仿宋" w:hAnsi="仿宋" w:eastAsia="仿宋" w:cs="仿宋"/>
          <w:sz w:val="24"/>
          <w:u w:val="single"/>
        </w:rPr>
        <w:t>投标须知前附表</w:t>
      </w:r>
      <w:r>
        <w:rPr>
          <w:rFonts w:hint="eastAsia" w:ascii="仿宋" w:hAnsi="仿宋" w:eastAsia="仿宋" w:cs="仿宋"/>
          <w:sz w:val="24"/>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6E0DB629">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代理机构对因不可抗力事件造成的投标文件的损坏、丢失的，不承担责任。</w:t>
      </w:r>
    </w:p>
    <w:p w14:paraId="1F122E45">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出现下述情形之一，属于未成功提交投标文件，按无效</w:t>
      </w:r>
      <w:r>
        <w:rPr>
          <w:rFonts w:hint="eastAsia" w:ascii="仿宋" w:hAnsi="仿宋" w:eastAsia="仿宋" w:cs="仿宋"/>
          <w:b/>
          <w:bCs/>
          <w:sz w:val="24"/>
        </w:rPr>
        <w:t>投标处理</w:t>
      </w:r>
      <w:r>
        <w:rPr>
          <w:rFonts w:hint="eastAsia" w:ascii="仿宋" w:hAnsi="仿宋" w:eastAsia="仿宋" w:cs="仿宋"/>
          <w:sz w:val="24"/>
        </w:rPr>
        <w:t>：</w:t>
      </w:r>
    </w:p>
    <w:p w14:paraId="1785CBC9">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 xml:space="preserve">至提交投标文件截止时，投标文件未完整上传的。 </w:t>
      </w:r>
    </w:p>
    <w:p w14:paraId="02E792C6">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投标文件未按投标格式中注明需签字盖章的要求进行签名（含电子签名）和加盖电子印章，或签名（含电子签名）或电子印章不完整的。</w:t>
      </w:r>
    </w:p>
    <w:p w14:paraId="08F6649D">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投标文件损坏或格式不正确的。</w:t>
      </w:r>
    </w:p>
    <w:p w14:paraId="6F7E94BB">
      <w:pPr>
        <w:numPr>
          <w:ilvl w:val="1"/>
          <w:numId w:val="10"/>
        </w:numPr>
        <w:tabs>
          <w:tab w:val="left" w:pos="0"/>
        </w:tabs>
        <w:spacing w:line="500" w:lineRule="exact"/>
        <w:rPr>
          <w:rFonts w:ascii="仿宋" w:hAnsi="仿宋" w:eastAsia="仿宋" w:cs="仿宋"/>
          <w:sz w:val="24"/>
        </w:rPr>
      </w:pPr>
      <w:r>
        <w:rPr>
          <w:rFonts w:hint="eastAsia" w:ascii="仿宋" w:hAnsi="仿宋" w:eastAsia="仿宋" w:cs="仿宋"/>
          <w:sz w:val="24"/>
        </w:rPr>
        <w:t>投标文件的修改、撤回与撤销</w:t>
      </w:r>
    </w:p>
    <w:p w14:paraId="661CB585">
      <w:pPr>
        <w:numPr>
          <w:ilvl w:val="2"/>
          <w:numId w:val="10"/>
        </w:numPr>
        <w:tabs>
          <w:tab w:val="left" w:pos="0"/>
        </w:tabs>
        <w:spacing w:line="500" w:lineRule="exact"/>
        <w:rPr>
          <w:rFonts w:ascii="仿宋" w:hAnsi="仿宋" w:eastAsia="仿宋" w:cs="仿宋"/>
          <w:sz w:val="24"/>
        </w:rPr>
      </w:pPr>
      <w:r>
        <w:rPr>
          <w:rFonts w:hint="eastAsia" w:ascii="仿宋" w:hAnsi="仿宋" w:eastAsia="仿宋" w:cs="仿宋"/>
          <w:sz w:val="24"/>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6C9A16">
      <w:pPr>
        <w:numPr>
          <w:ilvl w:val="2"/>
          <w:numId w:val="10"/>
        </w:numPr>
        <w:tabs>
          <w:tab w:val="left" w:pos="0"/>
        </w:tabs>
        <w:spacing w:line="500" w:lineRule="exact"/>
        <w:rPr>
          <w:rFonts w:ascii="仿宋" w:hAnsi="仿宋" w:eastAsia="仿宋" w:cs="仿宋"/>
          <w:b/>
          <w:bCs/>
          <w:sz w:val="24"/>
        </w:rPr>
      </w:pPr>
      <w:r>
        <w:rPr>
          <w:rFonts w:hint="eastAsia" w:ascii="仿宋" w:hAnsi="仿宋" w:eastAsia="仿宋" w:cs="仿宋"/>
          <w:sz w:val="24"/>
        </w:rPr>
        <w:t>在提交投标文件截止时间后，投标人不得补充、修改和更换投标文件。</w:t>
      </w:r>
      <w:r>
        <w:rPr>
          <w:rFonts w:hint="eastAsia" w:ascii="仿宋" w:hAnsi="仿宋" w:eastAsia="仿宋" w:cs="仿宋"/>
          <w:b/>
          <w:bCs/>
          <w:sz w:val="24"/>
        </w:rPr>
        <w:t xml:space="preserve"> </w:t>
      </w:r>
    </w:p>
    <w:p w14:paraId="3F6037FA">
      <w:pPr>
        <w:tabs>
          <w:tab w:val="left" w:pos="0"/>
        </w:tabs>
        <w:spacing w:line="500" w:lineRule="exact"/>
        <w:rPr>
          <w:rFonts w:ascii="仿宋" w:hAnsi="仿宋" w:eastAsia="仿宋" w:cs="仿宋"/>
          <w:b/>
          <w:bCs/>
          <w:sz w:val="24"/>
        </w:rPr>
      </w:pPr>
    </w:p>
    <w:p w14:paraId="69504091">
      <w:pPr>
        <w:numPr>
          <w:ilvl w:val="0"/>
          <w:numId w:val="11"/>
        </w:numPr>
        <w:tabs>
          <w:tab w:val="left" w:pos="0"/>
        </w:tabs>
        <w:spacing w:line="500" w:lineRule="exact"/>
        <w:jc w:val="center"/>
        <w:outlineLvl w:val="1"/>
        <w:rPr>
          <w:rFonts w:ascii="仿宋" w:hAnsi="仿宋" w:eastAsia="仿宋" w:cs="仿宋"/>
          <w:b/>
          <w:bCs/>
          <w:sz w:val="24"/>
        </w:rPr>
      </w:pPr>
      <w:bookmarkStart w:id="8" w:name="_Toc155630079"/>
      <w:r>
        <w:rPr>
          <w:rFonts w:hint="eastAsia" w:ascii="仿宋" w:hAnsi="仿宋" w:eastAsia="仿宋" w:cs="仿宋"/>
          <w:b/>
          <w:bCs/>
          <w:sz w:val="24"/>
        </w:rPr>
        <w:t>开标、资格审查及评标</w:t>
      </w:r>
      <w:bookmarkEnd w:id="8"/>
    </w:p>
    <w:p w14:paraId="46C9F735">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开标</w:t>
      </w:r>
    </w:p>
    <w:p w14:paraId="4D1D81BF">
      <w:pPr>
        <w:numPr>
          <w:ilvl w:val="1"/>
          <w:numId w:val="10"/>
        </w:numPr>
        <w:spacing w:line="500" w:lineRule="exact"/>
        <w:rPr>
          <w:rFonts w:ascii="仿宋" w:hAnsi="仿宋" w:eastAsia="仿宋" w:cs="仿宋"/>
          <w:sz w:val="24"/>
        </w:rPr>
      </w:pPr>
      <w:r>
        <w:rPr>
          <w:rFonts w:hint="eastAsia" w:ascii="仿宋" w:hAnsi="仿宋" w:eastAsia="仿宋" w:cs="仿宋"/>
          <w:sz w:val="24"/>
        </w:rPr>
        <w:t>采购人和采购代理机构将按</w:t>
      </w:r>
      <w:r>
        <w:rPr>
          <w:rFonts w:hint="eastAsia" w:ascii="仿宋" w:hAnsi="仿宋" w:eastAsia="仿宋" w:cs="仿宋"/>
          <w:sz w:val="24"/>
          <w:u w:val="single"/>
        </w:rPr>
        <w:t>投标须知前附表</w:t>
      </w:r>
      <w:r>
        <w:rPr>
          <w:rFonts w:hint="eastAsia" w:ascii="仿宋" w:hAnsi="仿宋" w:eastAsia="仿宋" w:cs="仿宋"/>
          <w:sz w:val="24"/>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00075FE5">
      <w:pPr>
        <w:numPr>
          <w:ilvl w:val="1"/>
          <w:numId w:val="10"/>
        </w:numPr>
        <w:spacing w:line="500" w:lineRule="exact"/>
        <w:rPr>
          <w:rFonts w:ascii="仿宋" w:hAnsi="仿宋" w:eastAsia="仿宋" w:cs="仿宋"/>
          <w:sz w:val="24"/>
        </w:rPr>
      </w:pPr>
      <w:r>
        <w:rPr>
          <w:rFonts w:hint="eastAsia" w:ascii="仿宋" w:hAnsi="仿宋" w:eastAsia="仿宋" w:cs="仿宋"/>
          <w:sz w:val="24"/>
        </w:rPr>
        <w:t>采用远程电子开标的：</w:t>
      </w:r>
    </w:p>
    <w:p w14:paraId="35F6900F">
      <w:pPr>
        <w:numPr>
          <w:ilvl w:val="2"/>
          <w:numId w:val="10"/>
        </w:numPr>
        <w:spacing w:line="500" w:lineRule="exact"/>
        <w:rPr>
          <w:rFonts w:ascii="仿宋" w:hAnsi="仿宋" w:eastAsia="仿宋" w:cs="仿宋"/>
          <w:sz w:val="24"/>
        </w:rPr>
      </w:pPr>
      <w:r>
        <w:rPr>
          <w:rFonts w:hint="eastAsia" w:ascii="仿宋" w:hAnsi="仿宋" w:eastAsia="仿宋" w:cs="仿宋"/>
          <w:sz w:val="24"/>
        </w:rPr>
        <w:t>投标人的法定代表人或其授权代表应当按照本招标公告载明的时间和模式等要求参加开标。在投标截止时间前，应当登录开标大厅进行签到，并且填写授权代表的姓名与手机号码。若因签到时填写的授权代表信息有误而导致的不良后果，由投标人自行承担。</w:t>
      </w:r>
    </w:p>
    <w:p w14:paraId="4F016E4F">
      <w:pPr>
        <w:numPr>
          <w:ilvl w:val="2"/>
          <w:numId w:val="10"/>
        </w:numPr>
        <w:spacing w:line="500" w:lineRule="exact"/>
        <w:rPr>
          <w:rFonts w:ascii="仿宋" w:hAnsi="仿宋" w:eastAsia="仿宋" w:cs="仿宋"/>
          <w:sz w:val="24"/>
        </w:rPr>
      </w:pPr>
      <w:r>
        <w:rPr>
          <w:rFonts w:hint="eastAsia" w:ascii="仿宋" w:hAnsi="仿宋" w:eastAsia="仿宋" w:cs="仿宋"/>
          <w:sz w:val="24"/>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04F1B288">
      <w:pPr>
        <w:numPr>
          <w:ilvl w:val="2"/>
          <w:numId w:val="10"/>
        </w:numPr>
        <w:spacing w:line="500" w:lineRule="exact"/>
        <w:rPr>
          <w:rFonts w:ascii="仿宋" w:hAnsi="仿宋" w:eastAsia="仿宋" w:cs="仿宋"/>
          <w:sz w:val="24"/>
        </w:rPr>
      </w:pPr>
      <w:r>
        <w:rPr>
          <w:rFonts w:hint="eastAsia" w:ascii="仿宋" w:hAnsi="仿宋" w:eastAsia="仿宋" w:cs="仿宋"/>
          <w:sz w:val="24"/>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w:t>
      </w:r>
      <w:r>
        <w:rPr>
          <w:rFonts w:hint="eastAsia" w:ascii="仿宋" w:hAnsi="仿宋" w:eastAsia="仿宋" w:cs="仿宋"/>
          <w:b/>
          <w:bCs/>
          <w:sz w:val="24"/>
        </w:rPr>
        <w:t>投标处理</w:t>
      </w:r>
      <w:r>
        <w:rPr>
          <w:rFonts w:hint="eastAsia" w:ascii="仿宋" w:hAnsi="仿宋" w:eastAsia="仿宋" w:cs="仿宋"/>
          <w:sz w:val="24"/>
        </w:rPr>
        <w:t>。</w:t>
      </w:r>
    </w:p>
    <w:p w14:paraId="475AB91D">
      <w:pPr>
        <w:numPr>
          <w:ilvl w:val="1"/>
          <w:numId w:val="10"/>
        </w:numPr>
        <w:spacing w:line="500" w:lineRule="exact"/>
        <w:rPr>
          <w:rFonts w:ascii="仿宋" w:hAnsi="仿宋" w:eastAsia="仿宋" w:cs="仿宋"/>
          <w:sz w:val="24"/>
        </w:rPr>
      </w:pPr>
      <w:r>
        <w:rPr>
          <w:rFonts w:hint="eastAsia" w:ascii="仿宋" w:hAnsi="仿宋" w:eastAsia="仿宋" w:cs="仿宋"/>
          <w:sz w:val="24"/>
        </w:rPr>
        <w:t>投标人代表对开标过程和开标记录有疑义，以及认为采购人、采购代理机构相关工作人员有需要回避的情形的，应当场提出询问或者回避申请。投标人未参加开标的，视同认可开标结果。</w:t>
      </w:r>
    </w:p>
    <w:p w14:paraId="7E7C5FBA">
      <w:pPr>
        <w:numPr>
          <w:ilvl w:val="1"/>
          <w:numId w:val="10"/>
        </w:numPr>
        <w:spacing w:line="500" w:lineRule="exact"/>
        <w:rPr>
          <w:rFonts w:ascii="仿宋" w:hAnsi="仿宋" w:eastAsia="仿宋" w:cs="仿宋"/>
          <w:sz w:val="24"/>
        </w:rPr>
      </w:pPr>
      <w:r>
        <w:rPr>
          <w:rFonts w:hint="eastAsia" w:ascii="仿宋" w:hAnsi="仿宋" w:eastAsia="仿宋" w:cs="仿宋"/>
          <w:sz w:val="24"/>
        </w:rPr>
        <w:t>投标截止时间后，投标人不足3家的，不得开标。同时，本次采购活动结束。</w:t>
      </w:r>
    </w:p>
    <w:p w14:paraId="04716CBE">
      <w:pPr>
        <w:numPr>
          <w:ilvl w:val="1"/>
          <w:numId w:val="10"/>
        </w:numPr>
        <w:spacing w:line="500" w:lineRule="exact"/>
        <w:rPr>
          <w:rFonts w:ascii="仿宋" w:hAnsi="仿宋" w:eastAsia="仿宋" w:cs="仿宋"/>
          <w:sz w:val="24"/>
        </w:rPr>
      </w:pPr>
      <w:r>
        <w:rPr>
          <w:rFonts w:hint="eastAsia" w:ascii="仿宋" w:hAnsi="仿宋" w:eastAsia="仿宋" w:cs="仿宋"/>
          <w:sz w:val="24"/>
        </w:rPr>
        <w:t>开标时出现下列情况的，视为</w:t>
      </w:r>
      <w:r>
        <w:rPr>
          <w:rFonts w:hint="eastAsia" w:ascii="仿宋" w:hAnsi="仿宋" w:eastAsia="仿宋" w:cs="仿宋"/>
          <w:b/>
          <w:bCs/>
          <w:sz w:val="24"/>
        </w:rPr>
        <w:t>投标无效</w:t>
      </w:r>
      <w:r>
        <w:rPr>
          <w:rFonts w:hint="eastAsia" w:ascii="仿宋" w:hAnsi="仿宋" w:eastAsia="仿宋" w:cs="仿宋"/>
          <w:sz w:val="24"/>
        </w:rPr>
        <w:t>处理：</w:t>
      </w:r>
    </w:p>
    <w:p w14:paraId="0E656668">
      <w:pPr>
        <w:numPr>
          <w:ilvl w:val="2"/>
          <w:numId w:val="10"/>
        </w:numPr>
        <w:spacing w:line="500" w:lineRule="exact"/>
        <w:rPr>
          <w:rFonts w:ascii="仿宋" w:hAnsi="仿宋" w:eastAsia="仿宋" w:cs="仿宋"/>
          <w:sz w:val="24"/>
        </w:rPr>
      </w:pPr>
      <w:r>
        <w:rPr>
          <w:rFonts w:hint="eastAsia" w:ascii="仿宋" w:hAnsi="仿宋" w:eastAsia="仿宋" w:cs="仿宋"/>
          <w:sz w:val="24"/>
        </w:rPr>
        <w:t>因投标人自身原因，未在规定时间内完成电子投标文件解密的；</w:t>
      </w:r>
    </w:p>
    <w:p w14:paraId="63164BCB">
      <w:pPr>
        <w:numPr>
          <w:ilvl w:val="2"/>
          <w:numId w:val="10"/>
        </w:numPr>
        <w:spacing w:line="500" w:lineRule="exact"/>
        <w:rPr>
          <w:rFonts w:ascii="仿宋" w:hAnsi="仿宋" w:eastAsia="仿宋" w:cs="仿宋"/>
          <w:sz w:val="24"/>
        </w:rPr>
      </w:pPr>
      <w:r>
        <w:rPr>
          <w:rFonts w:hint="eastAsia" w:ascii="仿宋" w:hAnsi="仿宋" w:eastAsia="仿宋" w:cs="仿宋"/>
          <w:sz w:val="24"/>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6966846F">
      <w:pPr>
        <w:numPr>
          <w:ilvl w:val="1"/>
          <w:numId w:val="10"/>
        </w:numPr>
        <w:spacing w:line="500" w:lineRule="exact"/>
        <w:rPr>
          <w:rFonts w:ascii="仿宋" w:hAnsi="仿宋" w:eastAsia="仿宋" w:cs="仿宋"/>
          <w:sz w:val="24"/>
        </w:rPr>
      </w:pPr>
      <w:r>
        <w:rPr>
          <w:rFonts w:hint="eastAsia" w:ascii="仿宋" w:hAnsi="仿宋" w:eastAsia="仿宋" w:cs="仿宋"/>
          <w:sz w:val="24"/>
        </w:rPr>
        <w:t>采购人或采购代理机构将对开标过程进行记录，由参加开标的各投标人代表和相关工作人员签字确认。</w:t>
      </w:r>
    </w:p>
    <w:p w14:paraId="1CF3806D">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资格审查</w:t>
      </w:r>
    </w:p>
    <w:p w14:paraId="449290DE">
      <w:pPr>
        <w:numPr>
          <w:ilvl w:val="1"/>
          <w:numId w:val="10"/>
        </w:numPr>
        <w:spacing w:line="500" w:lineRule="exact"/>
        <w:rPr>
          <w:rFonts w:ascii="仿宋" w:hAnsi="仿宋" w:eastAsia="仿宋" w:cs="仿宋"/>
          <w:sz w:val="24"/>
        </w:rPr>
      </w:pPr>
      <w:r>
        <w:rPr>
          <w:rFonts w:hint="eastAsia" w:ascii="仿宋" w:hAnsi="仿宋" w:eastAsia="仿宋" w:cs="仿宋"/>
          <w:sz w:val="24"/>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45CC6220">
      <w:pPr>
        <w:numPr>
          <w:ilvl w:val="1"/>
          <w:numId w:val="10"/>
        </w:numPr>
        <w:spacing w:line="500" w:lineRule="exact"/>
        <w:rPr>
          <w:rFonts w:ascii="仿宋" w:hAnsi="仿宋" w:eastAsia="仿宋" w:cs="仿宋"/>
          <w:sz w:val="24"/>
        </w:rPr>
      </w:pPr>
      <w:r>
        <w:rPr>
          <w:rFonts w:hint="eastAsia" w:ascii="仿宋" w:hAnsi="仿宋" w:eastAsia="仿宋" w:cs="仿宋"/>
          <w:sz w:val="24"/>
        </w:rPr>
        <w:t>资格审查要求详见第六章《评标程序、评标方法和评标标准》。</w:t>
      </w:r>
    </w:p>
    <w:p w14:paraId="4CDD386C">
      <w:pPr>
        <w:numPr>
          <w:ilvl w:val="1"/>
          <w:numId w:val="10"/>
        </w:numPr>
        <w:spacing w:line="500" w:lineRule="exact"/>
        <w:rPr>
          <w:rFonts w:ascii="仿宋" w:hAnsi="仿宋" w:eastAsia="仿宋" w:cs="仿宋"/>
          <w:sz w:val="24"/>
        </w:rPr>
      </w:pPr>
      <w:r>
        <w:rPr>
          <w:rFonts w:hint="eastAsia" w:ascii="仿宋" w:hAnsi="仿宋" w:eastAsia="仿宋" w:cs="仿宋"/>
          <w:sz w:val="24"/>
        </w:rPr>
        <w:t>采购人或采购代理机构将按第六章《评标程序、评标方法和评标标准》中规定的时间查询投标人的信用记录。投标人不良信用记录以采购人或采购代理机构查询结果为准。在本招标文件规定的查询时间之外，网站信息发生的任何变更均不作为资格审查依据。</w:t>
      </w:r>
    </w:p>
    <w:p w14:paraId="5DCA560F">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评标委员会</w:t>
      </w:r>
    </w:p>
    <w:p w14:paraId="36545A96">
      <w:pPr>
        <w:numPr>
          <w:ilvl w:val="1"/>
          <w:numId w:val="10"/>
        </w:numPr>
        <w:spacing w:line="500" w:lineRule="exact"/>
        <w:rPr>
          <w:rFonts w:ascii="仿宋" w:hAnsi="仿宋" w:eastAsia="仿宋" w:cs="仿宋"/>
          <w:sz w:val="24"/>
        </w:rPr>
      </w:pPr>
      <w:r>
        <w:rPr>
          <w:rFonts w:hint="eastAsia" w:ascii="仿宋" w:hAnsi="仿宋" w:eastAsia="仿宋" w:cs="仿宋"/>
          <w:sz w:val="24"/>
        </w:rPr>
        <w:t xml:space="preserve">评标委员会根据政府采购有关规定和本次招标采购项目的特点进行组建，并负责具体评标事务，独立履行职责。 </w:t>
      </w:r>
    </w:p>
    <w:p w14:paraId="5D23FDDD">
      <w:pPr>
        <w:numPr>
          <w:ilvl w:val="1"/>
          <w:numId w:val="10"/>
        </w:numPr>
        <w:spacing w:line="500" w:lineRule="exact"/>
        <w:rPr>
          <w:rFonts w:ascii="仿宋" w:hAnsi="仿宋" w:eastAsia="仿宋" w:cs="仿宋"/>
          <w:sz w:val="24"/>
        </w:rPr>
      </w:pPr>
      <w:r>
        <w:rPr>
          <w:rFonts w:hint="eastAsia" w:ascii="仿宋" w:hAnsi="仿宋" w:eastAsia="仿宋" w:cs="仿宋"/>
          <w:sz w:val="24"/>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48CEEB2A">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评标程序、评标方法和评标标准</w:t>
      </w:r>
    </w:p>
    <w:p w14:paraId="452088F8">
      <w:pPr>
        <w:numPr>
          <w:ilvl w:val="1"/>
          <w:numId w:val="10"/>
        </w:numPr>
        <w:spacing w:line="500" w:lineRule="exact"/>
        <w:rPr>
          <w:rFonts w:ascii="仿宋" w:hAnsi="仿宋" w:eastAsia="仿宋" w:cs="仿宋"/>
          <w:sz w:val="24"/>
        </w:rPr>
      </w:pPr>
      <w:r>
        <w:rPr>
          <w:rFonts w:hint="eastAsia" w:ascii="仿宋" w:hAnsi="仿宋" w:eastAsia="仿宋" w:cs="仿宋"/>
          <w:sz w:val="24"/>
        </w:rPr>
        <w:t>详见第六章《评标程序、评标方法和评标标准》</w:t>
      </w:r>
    </w:p>
    <w:p w14:paraId="0C335C5A">
      <w:pPr>
        <w:spacing w:line="500" w:lineRule="exact"/>
        <w:rPr>
          <w:rFonts w:ascii="仿宋" w:hAnsi="仿宋" w:eastAsia="仿宋" w:cs="仿宋"/>
          <w:sz w:val="24"/>
        </w:rPr>
      </w:pPr>
    </w:p>
    <w:p w14:paraId="296A9C66">
      <w:pPr>
        <w:numPr>
          <w:ilvl w:val="0"/>
          <w:numId w:val="11"/>
        </w:numPr>
        <w:spacing w:line="500" w:lineRule="exact"/>
        <w:jc w:val="center"/>
        <w:outlineLvl w:val="1"/>
        <w:rPr>
          <w:rFonts w:ascii="仿宋" w:hAnsi="仿宋" w:eastAsia="仿宋" w:cs="仿宋"/>
          <w:b/>
          <w:bCs/>
          <w:sz w:val="24"/>
        </w:rPr>
      </w:pPr>
      <w:bookmarkStart w:id="9" w:name="_Toc155630080"/>
      <w:r>
        <w:rPr>
          <w:rFonts w:hint="eastAsia" w:ascii="仿宋" w:hAnsi="仿宋" w:eastAsia="仿宋" w:cs="仿宋"/>
          <w:b/>
          <w:bCs/>
          <w:sz w:val="24"/>
        </w:rPr>
        <w:t>确定中标</w:t>
      </w:r>
      <w:bookmarkEnd w:id="9"/>
    </w:p>
    <w:p w14:paraId="79FEB544">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确定中标人</w:t>
      </w:r>
    </w:p>
    <w:p w14:paraId="3B7CE518">
      <w:pPr>
        <w:numPr>
          <w:ilvl w:val="1"/>
          <w:numId w:val="10"/>
        </w:numPr>
        <w:spacing w:line="500" w:lineRule="exact"/>
        <w:rPr>
          <w:rFonts w:ascii="仿宋" w:hAnsi="仿宋" w:eastAsia="仿宋" w:cs="仿宋"/>
          <w:sz w:val="24"/>
        </w:rPr>
      </w:pPr>
      <w:r>
        <w:rPr>
          <w:rFonts w:hint="eastAsia" w:ascii="仿宋" w:hAnsi="仿宋" w:eastAsia="仿宋" w:cs="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sz w:val="24"/>
          <w:u w:val="single"/>
        </w:rPr>
        <w:t>投标须知前附表</w:t>
      </w:r>
      <w:r>
        <w:rPr>
          <w:rFonts w:hint="eastAsia" w:ascii="仿宋" w:hAnsi="仿宋" w:eastAsia="仿宋" w:cs="仿宋"/>
          <w:sz w:val="24"/>
        </w:rPr>
        <w:t>。</w:t>
      </w:r>
    </w:p>
    <w:p w14:paraId="416D9911">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中标公告与中标通知书</w:t>
      </w:r>
    </w:p>
    <w:p w14:paraId="249608BB">
      <w:pPr>
        <w:numPr>
          <w:ilvl w:val="1"/>
          <w:numId w:val="10"/>
        </w:numPr>
        <w:spacing w:line="500" w:lineRule="exact"/>
        <w:rPr>
          <w:rFonts w:ascii="仿宋" w:hAnsi="仿宋" w:eastAsia="仿宋" w:cs="仿宋"/>
          <w:sz w:val="24"/>
        </w:rPr>
      </w:pPr>
      <w:r>
        <w:rPr>
          <w:rFonts w:hint="eastAsia" w:ascii="仿宋" w:hAnsi="仿宋" w:eastAsia="仿宋" w:cs="仿宋"/>
          <w:sz w:val="24"/>
        </w:rPr>
        <w:t>采购人或采购代理机构自中标人确定之日起 2 个工作日内，在招标公告发布媒体发布中标结果，同时向中标人发出中标通知书，中标公告期限为 1 个工作日。</w:t>
      </w:r>
    </w:p>
    <w:p w14:paraId="2AD9A276">
      <w:pPr>
        <w:numPr>
          <w:ilvl w:val="1"/>
          <w:numId w:val="10"/>
        </w:numPr>
        <w:spacing w:line="500" w:lineRule="exact"/>
        <w:rPr>
          <w:rFonts w:ascii="仿宋" w:hAnsi="仿宋" w:eastAsia="仿宋" w:cs="仿宋"/>
          <w:sz w:val="24"/>
        </w:rPr>
      </w:pPr>
      <w:r>
        <w:rPr>
          <w:rFonts w:hint="eastAsia" w:ascii="仿宋" w:hAnsi="仿宋" w:eastAsia="仿宋" w:cs="仿宋"/>
          <w:sz w:val="24"/>
        </w:rPr>
        <w:t>中标通知书对采购人和中标投标人均具有法律效力。中标通知书发出后，中标投标人放弃中标项目的，应当依法承担法律责任。</w:t>
      </w:r>
    </w:p>
    <w:p w14:paraId="7A3A4901">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废标</w:t>
      </w:r>
    </w:p>
    <w:p w14:paraId="290F97C9">
      <w:pPr>
        <w:numPr>
          <w:ilvl w:val="1"/>
          <w:numId w:val="10"/>
        </w:numPr>
        <w:spacing w:line="500" w:lineRule="exact"/>
        <w:rPr>
          <w:rFonts w:ascii="仿宋" w:hAnsi="仿宋" w:eastAsia="仿宋" w:cs="仿宋"/>
          <w:sz w:val="24"/>
        </w:rPr>
      </w:pPr>
      <w:r>
        <w:rPr>
          <w:rFonts w:hint="eastAsia" w:ascii="仿宋" w:hAnsi="仿宋" w:eastAsia="仿宋" w:cs="仿宋"/>
          <w:sz w:val="24"/>
        </w:rPr>
        <w:t>在招标采购中，出现下列情形之一的，应予废标：</w:t>
      </w:r>
    </w:p>
    <w:p w14:paraId="563ECD90">
      <w:pPr>
        <w:numPr>
          <w:ilvl w:val="2"/>
          <w:numId w:val="10"/>
        </w:numPr>
        <w:spacing w:line="500" w:lineRule="exact"/>
        <w:rPr>
          <w:rFonts w:ascii="仿宋" w:hAnsi="仿宋" w:eastAsia="仿宋" w:cs="仿宋"/>
          <w:sz w:val="24"/>
        </w:rPr>
      </w:pPr>
      <w:r>
        <w:rPr>
          <w:rFonts w:hint="eastAsia" w:ascii="仿宋" w:hAnsi="仿宋" w:eastAsia="仿宋" w:cs="仿宋"/>
          <w:sz w:val="24"/>
        </w:rPr>
        <w:t>符合专业条件的投标人或者对招标文件作实质响应的投标人不足三家的；</w:t>
      </w:r>
    </w:p>
    <w:p w14:paraId="4260FB75">
      <w:pPr>
        <w:numPr>
          <w:ilvl w:val="2"/>
          <w:numId w:val="10"/>
        </w:numPr>
        <w:spacing w:line="500" w:lineRule="exact"/>
        <w:rPr>
          <w:rFonts w:ascii="仿宋" w:hAnsi="仿宋" w:eastAsia="仿宋" w:cs="仿宋"/>
          <w:sz w:val="24"/>
        </w:rPr>
      </w:pPr>
      <w:r>
        <w:rPr>
          <w:rFonts w:hint="eastAsia" w:ascii="仿宋" w:hAnsi="仿宋" w:eastAsia="仿宋" w:cs="仿宋"/>
          <w:sz w:val="24"/>
        </w:rPr>
        <w:t>出现影响采购公正的违法、违规行为的；</w:t>
      </w:r>
    </w:p>
    <w:p w14:paraId="1D9B91CC">
      <w:pPr>
        <w:numPr>
          <w:ilvl w:val="2"/>
          <w:numId w:val="10"/>
        </w:numPr>
        <w:spacing w:line="500" w:lineRule="exact"/>
        <w:rPr>
          <w:rFonts w:ascii="仿宋" w:hAnsi="仿宋" w:eastAsia="仿宋" w:cs="仿宋"/>
          <w:sz w:val="24"/>
        </w:rPr>
      </w:pPr>
      <w:r>
        <w:rPr>
          <w:rFonts w:hint="eastAsia" w:ascii="仿宋" w:hAnsi="仿宋" w:eastAsia="仿宋" w:cs="仿宋"/>
          <w:sz w:val="24"/>
        </w:rPr>
        <w:t>投标人的报价均超过了采购预算，采购人不能支付的；</w:t>
      </w:r>
    </w:p>
    <w:p w14:paraId="7434EDDD">
      <w:pPr>
        <w:numPr>
          <w:ilvl w:val="2"/>
          <w:numId w:val="10"/>
        </w:numPr>
        <w:spacing w:line="500" w:lineRule="exact"/>
        <w:rPr>
          <w:rFonts w:ascii="仿宋" w:hAnsi="仿宋" w:eastAsia="仿宋" w:cs="仿宋"/>
          <w:sz w:val="24"/>
        </w:rPr>
      </w:pPr>
      <w:r>
        <w:rPr>
          <w:rFonts w:hint="eastAsia" w:ascii="仿宋" w:hAnsi="仿宋" w:eastAsia="仿宋" w:cs="仿宋"/>
          <w:sz w:val="24"/>
        </w:rPr>
        <w:t>因重大变故，采购任务取消的；</w:t>
      </w:r>
    </w:p>
    <w:p w14:paraId="2D961E50">
      <w:pPr>
        <w:numPr>
          <w:ilvl w:val="2"/>
          <w:numId w:val="10"/>
        </w:numPr>
        <w:spacing w:line="500" w:lineRule="exact"/>
        <w:rPr>
          <w:rFonts w:ascii="仿宋" w:hAnsi="仿宋" w:eastAsia="仿宋" w:cs="仿宋"/>
        </w:rPr>
      </w:pPr>
      <w:r>
        <w:rPr>
          <w:rFonts w:hint="eastAsia" w:ascii="仿宋" w:hAnsi="仿宋" w:eastAsia="仿宋" w:cs="仿宋"/>
          <w:sz w:val="24"/>
        </w:rPr>
        <w:t>法律、法规规定的其他情形。</w:t>
      </w:r>
    </w:p>
    <w:p w14:paraId="7315B39C">
      <w:pPr>
        <w:numPr>
          <w:ilvl w:val="1"/>
          <w:numId w:val="10"/>
        </w:numPr>
        <w:spacing w:line="500" w:lineRule="exact"/>
        <w:rPr>
          <w:rFonts w:ascii="仿宋" w:hAnsi="仿宋" w:eastAsia="仿宋" w:cs="仿宋"/>
          <w:sz w:val="24"/>
        </w:rPr>
      </w:pPr>
      <w:r>
        <w:rPr>
          <w:rFonts w:hint="eastAsia" w:ascii="仿宋" w:hAnsi="仿宋" w:eastAsia="仿宋" w:cs="仿宋"/>
          <w:sz w:val="24"/>
        </w:rPr>
        <w:t>废标后，采购人将废标理由通知所有投标人。</w:t>
      </w:r>
    </w:p>
    <w:p w14:paraId="22984BA1">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签订合同</w:t>
      </w:r>
    </w:p>
    <w:p w14:paraId="479A1EF4">
      <w:pPr>
        <w:numPr>
          <w:ilvl w:val="1"/>
          <w:numId w:val="10"/>
        </w:numPr>
        <w:spacing w:line="500" w:lineRule="exact"/>
        <w:rPr>
          <w:rFonts w:ascii="仿宋" w:hAnsi="仿宋" w:eastAsia="仿宋" w:cs="仿宋"/>
          <w:sz w:val="24"/>
        </w:rPr>
      </w:pPr>
      <w:r>
        <w:rPr>
          <w:rFonts w:hint="eastAsia" w:ascii="仿宋" w:hAnsi="仿宋" w:eastAsia="仿宋" w:cs="仿宋"/>
          <w:sz w:val="24"/>
        </w:rPr>
        <w:t xml:space="preserve">中标人、采购人应当自中标通知书发出之日起 30 日内，按照招标文件和中标人投标文件的规定签订书面合同。所签订的合同不得对招标文件确定的事项和中标人投标文件作实质性修改。 </w:t>
      </w:r>
    </w:p>
    <w:p w14:paraId="7EA24AB5">
      <w:pPr>
        <w:numPr>
          <w:ilvl w:val="1"/>
          <w:numId w:val="10"/>
        </w:numPr>
        <w:spacing w:line="500" w:lineRule="exact"/>
        <w:rPr>
          <w:rFonts w:ascii="仿宋" w:hAnsi="仿宋" w:eastAsia="仿宋" w:cs="仿宋"/>
          <w:sz w:val="24"/>
        </w:rPr>
      </w:pPr>
      <w:r>
        <w:rPr>
          <w:rFonts w:hint="eastAsia" w:ascii="仿宋" w:hAnsi="仿宋" w:eastAsia="仿宋" w:cs="仿宋"/>
          <w:sz w:val="24"/>
        </w:rPr>
        <w:t>中标人拒绝与采购人签订合同的，采购人可以按照评标报告推荐的中标候选人名单排序，确定下一候选人为中标人，也可以重新开展政府采购活动。</w:t>
      </w:r>
    </w:p>
    <w:p w14:paraId="3318FA51">
      <w:pPr>
        <w:numPr>
          <w:ilvl w:val="1"/>
          <w:numId w:val="10"/>
        </w:numPr>
        <w:spacing w:line="500" w:lineRule="exact"/>
        <w:rPr>
          <w:rFonts w:ascii="仿宋" w:hAnsi="仿宋" w:eastAsia="仿宋" w:cs="仿宋"/>
          <w:sz w:val="24"/>
        </w:rPr>
      </w:pPr>
      <w:r>
        <w:rPr>
          <w:rFonts w:hint="eastAsia" w:ascii="仿宋" w:hAnsi="仿宋" w:eastAsia="仿宋" w:cs="仿宋"/>
          <w:sz w:val="24"/>
        </w:rPr>
        <w:t xml:space="preserve">联合体中标的，联合体各方应当共同与采购人签订合同，就中标项目向采购人承担连带责任。 </w:t>
      </w:r>
    </w:p>
    <w:p w14:paraId="6047B2F1">
      <w:pPr>
        <w:numPr>
          <w:ilvl w:val="1"/>
          <w:numId w:val="10"/>
        </w:numPr>
        <w:spacing w:line="500" w:lineRule="exact"/>
        <w:rPr>
          <w:rFonts w:ascii="仿宋" w:hAnsi="仿宋" w:eastAsia="仿宋" w:cs="仿宋"/>
          <w:sz w:val="24"/>
        </w:rPr>
      </w:pPr>
      <w:r>
        <w:rPr>
          <w:rFonts w:hint="eastAsia" w:ascii="仿宋" w:hAnsi="仿宋" w:eastAsia="仿宋" w:cs="仿宋"/>
          <w:sz w:val="24"/>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sz w:val="24"/>
        </w:rPr>
        <w:t>投标无效</w:t>
      </w:r>
      <w:r>
        <w:rPr>
          <w:rFonts w:hint="eastAsia" w:ascii="仿宋" w:hAnsi="仿宋" w:eastAsia="仿宋" w:cs="仿宋"/>
          <w:sz w:val="24"/>
        </w:rPr>
        <w:t>。中标人就采购项目和分包项目向采购人负责，分包投标人就分包项目承担责任。</w:t>
      </w:r>
    </w:p>
    <w:p w14:paraId="39A8A643">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履约保证金</w:t>
      </w:r>
    </w:p>
    <w:p w14:paraId="15FF2299">
      <w:pPr>
        <w:numPr>
          <w:ilvl w:val="1"/>
          <w:numId w:val="10"/>
        </w:numPr>
        <w:spacing w:line="500" w:lineRule="exact"/>
        <w:rPr>
          <w:rFonts w:ascii="仿宋" w:hAnsi="仿宋" w:eastAsia="仿宋" w:cs="仿宋"/>
          <w:sz w:val="24"/>
        </w:rPr>
      </w:pPr>
      <w:r>
        <w:rPr>
          <w:rFonts w:hint="eastAsia" w:ascii="仿宋" w:hAnsi="仿宋" w:eastAsia="仿宋" w:cs="仿宋"/>
          <w:sz w:val="24"/>
        </w:rPr>
        <w:t>中标人应按照</w:t>
      </w:r>
      <w:r>
        <w:rPr>
          <w:rFonts w:hint="eastAsia" w:ascii="仿宋" w:hAnsi="仿宋" w:eastAsia="仿宋" w:cs="仿宋"/>
          <w:sz w:val="24"/>
          <w:u w:val="single"/>
        </w:rPr>
        <w:t>投标须知前附表</w:t>
      </w:r>
      <w:r>
        <w:rPr>
          <w:rFonts w:hint="eastAsia" w:ascii="仿宋" w:hAnsi="仿宋" w:eastAsia="仿宋" w:cs="仿宋"/>
          <w:sz w:val="24"/>
        </w:rPr>
        <w:t>规定的金额、形式和时间向采购人缴纳履约保证金。</w:t>
      </w:r>
    </w:p>
    <w:p w14:paraId="77DEFB48">
      <w:pPr>
        <w:numPr>
          <w:ilvl w:val="1"/>
          <w:numId w:val="10"/>
        </w:numPr>
        <w:spacing w:line="500" w:lineRule="exact"/>
        <w:rPr>
          <w:rFonts w:ascii="仿宋" w:hAnsi="仿宋" w:eastAsia="仿宋" w:cs="仿宋"/>
          <w:sz w:val="24"/>
        </w:rPr>
      </w:pPr>
      <w:r>
        <w:rPr>
          <w:rFonts w:hint="eastAsia" w:ascii="仿宋" w:hAnsi="仿宋" w:eastAsia="仿宋" w:cs="仿宋"/>
          <w:sz w:val="24"/>
        </w:rPr>
        <w:t>经采购人同意，中标人也可以自愿采用其他履约保证金的提供方式。</w:t>
      </w:r>
    </w:p>
    <w:p w14:paraId="405ADFBC">
      <w:pPr>
        <w:numPr>
          <w:ilvl w:val="1"/>
          <w:numId w:val="10"/>
        </w:numPr>
        <w:spacing w:line="500" w:lineRule="exact"/>
        <w:rPr>
          <w:rFonts w:ascii="仿宋" w:hAnsi="仿宋" w:eastAsia="仿宋" w:cs="仿宋"/>
          <w:sz w:val="24"/>
        </w:rPr>
      </w:pPr>
      <w:r>
        <w:rPr>
          <w:rFonts w:hint="eastAsia" w:ascii="仿宋" w:hAnsi="仿宋" w:eastAsia="仿宋" w:cs="仿宋"/>
          <w:sz w:val="24"/>
        </w:rPr>
        <w:t>如果中标人没有按照上述条款规定缴纳履约保证金，将视为放弃中标资格，中标人的投标保证金将被没收。在此情况下，采购人可确定下一候选人为中标人，也可以重新开展政府采购活动。</w:t>
      </w:r>
    </w:p>
    <w:p w14:paraId="7945FC65">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代理服务费</w:t>
      </w:r>
    </w:p>
    <w:p w14:paraId="0CF0AB60">
      <w:pPr>
        <w:numPr>
          <w:ilvl w:val="1"/>
          <w:numId w:val="10"/>
        </w:numPr>
        <w:spacing w:line="500" w:lineRule="exact"/>
        <w:rPr>
          <w:rFonts w:ascii="仿宋" w:hAnsi="仿宋" w:eastAsia="仿宋" w:cs="仿宋"/>
          <w:sz w:val="24"/>
        </w:rPr>
      </w:pPr>
      <w:r>
        <w:rPr>
          <w:rFonts w:hint="eastAsia" w:ascii="仿宋" w:hAnsi="仿宋" w:eastAsia="仿宋" w:cs="仿宋"/>
          <w:sz w:val="24"/>
        </w:rPr>
        <w:t>收费对象、收费标准及缴纳时间见</w:t>
      </w:r>
      <w:r>
        <w:rPr>
          <w:rFonts w:hint="eastAsia" w:ascii="仿宋" w:hAnsi="仿宋" w:eastAsia="仿宋" w:cs="仿宋"/>
          <w:sz w:val="24"/>
          <w:u w:val="single"/>
        </w:rPr>
        <w:t>投标须知前附表</w:t>
      </w:r>
      <w:r>
        <w:rPr>
          <w:rFonts w:hint="eastAsia" w:ascii="仿宋" w:hAnsi="仿宋" w:eastAsia="仿宋" w:cs="仿宋"/>
          <w:sz w:val="24"/>
        </w:rPr>
        <w:t xml:space="preserve">。由中标人支付的，中标人须一次性向采购代理机构缴纳代理费，投标报价应包含代理费用。 </w:t>
      </w:r>
    </w:p>
    <w:p w14:paraId="07EB3EF2">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询问与质疑</w:t>
      </w:r>
    </w:p>
    <w:p w14:paraId="66DA7ED0">
      <w:pPr>
        <w:numPr>
          <w:ilvl w:val="1"/>
          <w:numId w:val="10"/>
        </w:numPr>
        <w:spacing w:line="500" w:lineRule="exact"/>
        <w:rPr>
          <w:rFonts w:ascii="仿宋" w:hAnsi="仿宋" w:eastAsia="仿宋" w:cs="仿宋"/>
          <w:sz w:val="24"/>
        </w:rPr>
      </w:pPr>
      <w:r>
        <w:rPr>
          <w:rFonts w:hint="eastAsia" w:ascii="仿宋" w:hAnsi="仿宋" w:eastAsia="仿宋" w:cs="仿宋"/>
          <w:sz w:val="24"/>
        </w:rPr>
        <w:t>询问</w:t>
      </w:r>
    </w:p>
    <w:p w14:paraId="673FD48A">
      <w:pPr>
        <w:numPr>
          <w:ilvl w:val="2"/>
          <w:numId w:val="10"/>
        </w:numPr>
        <w:spacing w:line="500" w:lineRule="exact"/>
        <w:rPr>
          <w:rFonts w:ascii="仿宋" w:hAnsi="仿宋" w:eastAsia="仿宋" w:cs="仿宋"/>
          <w:sz w:val="24"/>
        </w:rPr>
      </w:pPr>
      <w:r>
        <w:rPr>
          <w:rFonts w:hint="eastAsia" w:ascii="仿宋" w:hAnsi="仿宋" w:eastAsia="仿宋" w:cs="仿宋"/>
          <w:sz w:val="24"/>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sz w:val="24"/>
          <w:u w:val="single"/>
        </w:rPr>
        <w:t>投标须知前附表</w:t>
      </w:r>
      <w:r>
        <w:rPr>
          <w:rFonts w:hint="eastAsia" w:ascii="仿宋" w:hAnsi="仿宋" w:eastAsia="仿宋" w:cs="仿宋"/>
          <w:sz w:val="24"/>
        </w:rPr>
        <w:t>中“采购人、采购代理机构的名称、地址和联系方式”。</w:t>
      </w:r>
    </w:p>
    <w:p w14:paraId="16C9B051">
      <w:pPr>
        <w:numPr>
          <w:ilvl w:val="1"/>
          <w:numId w:val="10"/>
        </w:numPr>
        <w:spacing w:line="500" w:lineRule="exact"/>
        <w:rPr>
          <w:rFonts w:ascii="仿宋" w:hAnsi="仿宋" w:eastAsia="仿宋" w:cs="仿宋"/>
          <w:sz w:val="24"/>
        </w:rPr>
      </w:pPr>
      <w:r>
        <w:rPr>
          <w:rFonts w:hint="eastAsia" w:ascii="仿宋" w:hAnsi="仿宋" w:eastAsia="仿宋" w:cs="仿宋"/>
          <w:sz w:val="24"/>
        </w:rPr>
        <w:t>质疑</w:t>
      </w:r>
    </w:p>
    <w:p w14:paraId="527DC268">
      <w:pPr>
        <w:numPr>
          <w:ilvl w:val="2"/>
          <w:numId w:val="10"/>
        </w:numPr>
        <w:spacing w:line="500" w:lineRule="exact"/>
        <w:rPr>
          <w:rFonts w:ascii="仿宋" w:hAnsi="仿宋" w:eastAsia="仿宋" w:cs="仿宋"/>
          <w:sz w:val="24"/>
        </w:rPr>
      </w:pPr>
      <w:r>
        <w:rPr>
          <w:rFonts w:hint="eastAsia" w:ascii="仿宋" w:hAnsi="仿宋" w:eastAsia="仿宋" w:cs="仿宋"/>
          <w:sz w:val="24"/>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3D97E55A">
      <w:pPr>
        <w:numPr>
          <w:ilvl w:val="2"/>
          <w:numId w:val="10"/>
        </w:numPr>
        <w:spacing w:line="500" w:lineRule="exact"/>
        <w:rPr>
          <w:rFonts w:ascii="仿宋" w:hAnsi="仿宋" w:eastAsia="仿宋" w:cs="仿宋"/>
          <w:sz w:val="24"/>
        </w:rPr>
      </w:pPr>
      <w:r>
        <w:rPr>
          <w:rFonts w:hint="eastAsia" w:ascii="仿宋" w:hAnsi="仿宋" w:eastAsia="仿宋" w:cs="仿宋"/>
          <w:sz w:val="24"/>
        </w:rPr>
        <w:t>投标人应知其权益受到损害之日是指：</w:t>
      </w:r>
    </w:p>
    <w:p w14:paraId="074671CF">
      <w:pPr>
        <w:spacing w:line="500" w:lineRule="exact"/>
        <w:rPr>
          <w:rFonts w:ascii="仿宋" w:hAnsi="仿宋" w:eastAsia="仿宋" w:cs="仿宋"/>
          <w:sz w:val="24"/>
        </w:rPr>
      </w:pPr>
      <w:r>
        <w:rPr>
          <w:rFonts w:hint="eastAsia" w:ascii="仿宋" w:hAnsi="仿宋" w:eastAsia="仿宋" w:cs="仿宋"/>
          <w:sz w:val="24"/>
        </w:rPr>
        <w:t>（1）对招标文件提出质疑的，为获取招标文件之日或者招标文件获取期限届满之日；</w:t>
      </w:r>
    </w:p>
    <w:p w14:paraId="3488C9F2">
      <w:pPr>
        <w:spacing w:line="500" w:lineRule="exact"/>
        <w:rPr>
          <w:rFonts w:ascii="仿宋" w:hAnsi="仿宋" w:eastAsia="仿宋" w:cs="仿宋"/>
          <w:sz w:val="24"/>
        </w:rPr>
      </w:pPr>
      <w:r>
        <w:rPr>
          <w:rFonts w:hint="eastAsia" w:ascii="仿宋" w:hAnsi="仿宋" w:eastAsia="仿宋" w:cs="仿宋"/>
          <w:sz w:val="24"/>
        </w:rPr>
        <w:t>（2）对采购过程提出质疑的，为各采购程序环节结束之日；</w:t>
      </w:r>
    </w:p>
    <w:p w14:paraId="7EB82825">
      <w:pPr>
        <w:spacing w:line="500" w:lineRule="exact"/>
        <w:rPr>
          <w:rFonts w:ascii="仿宋" w:hAnsi="仿宋" w:eastAsia="仿宋" w:cs="仿宋"/>
          <w:sz w:val="24"/>
        </w:rPr>
      </w:pPr>
      <w:r>
        <w:rPr>
          <w:rFonts w:hint="eastAsia" w:ascii="仿宋" w:hAnsi="仿宋" w:eastAsia="仿宋" w:cs="仿宋"/>
          <w:sz w:val="24"/>
        </w:rPr>
        <w:t xml:space="preserve">（3）对中标结果提出质疑的，为中标结果公告期限届满之日。 </w:t>
      </w:r>
    </w:p>
    <w:p w14:paraId="79E90E78">
      <w:pPr>
        <w:numPr>
          <w:ilvl w:val="2"/>
          <w:numId w:val="10"/>
        </w:numPr>
        <w:spacing w:line="500" w:lineRule="exact"/>
        <w:rPr>
          <w:rFonts w:ascii="仿宋" w:hAnsi="仿宋" w:eastAsia="仿宋" w:cs="仿宋"/>
          <w:sz w:val="24"/>
        </w:rPr>
      </w:pPr>
      <w:r>
        <w:rPr>
          <w:rFonts w:hint="eastAsia" w:ascii="仿宋" w:hAnsi="仿宋" w:eastAsia="仿宋" w:cs="仿宋"/>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CDD1BAF">
      <w:pPr>
        <w:numPr>
          <w:ilvl w:val="2"/>
          <w:numId w:val="10"/>
        </w:numPr>
        <w:spacing w:line="500" w:lineRule="exact"/>
        <w:rPr>
          <w:rFonts w:ascii="仿宋" w:hAnsi="仿宋" w:eastAsia="仿宋" w:cs="仿宋"/>
          <w:sz w:val="24"/>
        </w:rPr>
      </w:pPr>
      <w:r>
        <w:rPr>
          <w:rFonts w:hint="eastAsia" w:ascii="仿宋" w:hAnsi="仿宋" w:eastAsia="仿宋" w:cs="仿宋"/>
          <w:sz w:val="24"/>
        </w:rPr>
        <w:t>质疑函须使用财政部制定的范本文件。投标人为自然人的，应当由本人签字；投标人为法人或者其他组织的，应当由法定代表人、主要负责人，或者其授权代表签字或者盖章，并加盖公章。</w:t>
      </w:r>
    </w:p>
    <w:p w14:paraId="497BFFC9">
      <w:pPr>
        <w:spacing w:line="500" w:lineRule="exact"/>
        <w:rPr>
          <w:rFonts w:ascii="仿宋" w:hAnsi="仿宋" w:eastAsia="仿宋" w:cs="仿宋"/>
          <w:sz w:val="24"/>
        </w:rPr>
      </w:pPr>
      <w:r>
        <w:rPr>
          <w:rFonts w:hint="eastAsia" w:ascii="仿宋" w:hAnsi="仿宋" w:eastAsia="仿宋" w:cs="仿宋"/>
          <w:sz w:val="24"/>
        </w:rPr>
        <w:t xml:space="preserve">质疑函应当包括下列内容： </w:t>
      </w:r>
    </w:p>
    <w:p w14:paraId="35109B8F">
      <w:pPr>
        <w:spacing w:line="500" w:lineRule="exact"/>
        <w:rPr>
          <w:rFonts w:ascii="仿宋" w:hAnsi="仿宋" w:eastAsia="仿宋" w:cs="仿宋"/>
          <w:sz w:val="24"/>
        </w:rPr>
      </w:pPr>
      <w:r>
        <w:rPr>
          <w:rFonts w:hint="eastAsia" w:ascii="仿宋" w:hAnsi="仿宋" w:eastAsia="仿宋" w:cs="仿宋"/>
          <w:sz w:val="24"/>
        </w:rPr>
        <w:t xml:space="preserve">（1）投标人名称、地址、邮编、联系人及联系电话； </w:t>
      </w:r>
    </w:p>
    <w:p w14:paraId="592C991C">
      <w:pPr>
        <w:spacing w:line="500" w:lineRule="exact"/>
        <w:rPr>
          <w:rFonts w:ascii="仿宋" w:hAnsi="仿宋" w:eastAsia="仿宋" w:cs="仿宋"/>
          <w:sz w:val="24"/>
        </w:rPr>
      </w:pPr>
      <w:r>
        <w:rPr>
          <w:rFonts w:hint="eastAsia" w:ascii="仿宋" w:hAnsi="仿宋" w:eastAsia="仿宋" w:cs="仿宋"/>
          <w:sz w:val="24"/>
        </w:rPr>
        <w:t xml:space="preserve">（2）质疑项目的名称、编号； </w:t>
      </w:r>
    </w:p>
    <w:p w14:paraId="1EFAB10C">
      <w:pPr>
        <w:spacing w:line="500" w:lineRule="exact"/>
        <w:rPr>
          <w:rFonts w:ascii="仿宋" w:hAnsi="仿宋" w:eastAsia="仿宋" w:cs="仿宋"/>
          <w:sz w:val="24"/>
        </w:rPr>
      </w:pPr>
      <w:r>
        <w:rPr>
          <w:rFonts w:hint="eastAsia" w:ascii="仿宋" w:hAnsi="仿宋" w:eastAsia="仿宋" w:cs="仿宋"/>
          <w:sz w:val="24"/>
        </w:rPr>
        <w:t xml:space="preserve">（3）具体、明确的质疑事项和与质疑事项相关的请求； </w:t>
      </w:r>
    </w:p>
    <w:p w14:paraId="1266E617">
      <w:pPr>
        <w:spacing w:line="500" w:lineRule="exact"/>
        <w:rPr>
          <w:rFonts w:ascii="仿宋" w:hAnsi="仿宋" w:eastAsia="仿宋" w:cs="仿宋"/>
          <w:sz w:val="24"/>
        </w:rPr>
      </w:pPr>
      <w:r>
        <w:rPr>
          <w:rFonts w:hint="eastAsia" w:ascii="仿宋" w:hAnsi="仿宋" w:eastAsia="仿宋" w:cs="仿宋"/>
          <w:sz w:val="24"/>
        </w:rPr>
        <w:t xml:space="preserve">（4）事实依据； </w:t>
      </w:r>
    </w:p>
    <w:p w14:paraId="1095B3D6">
      <w:pPr>
        <w:spacing w:line="500" w:lineRule="exact"/>
        <w:rPr>
          <w:rFonts w:ascii="仿宋" w:hAnsi="仿宋" w:eastAsia="仿宋" w:cs="仿宋"/>
          <w:sz w:val="24"/>
        </w:rPr>
      </w:pPr>
      <w:r>
        <w:rPr>
          <w:rFonts w:hint="eastAsia" w:ascii="仿宋" w:hAnsi="仿宋" w:eastAsia="仿宋" w:cs="仿宋"/>
          <w:sz w:val="24"/>
        </w:rPr>
        <w:t xml:space="preserve">（5）必要的法律依据； </w:t>
      </w:r>
    </w:p>
    <w:p w14:paraId="5A20C40D">
      <w:pPr>
        <w:spacing w:line="500" w:lineRule="exact"/>
        <w:rPr>
          <w:rFonts w:ascii="仿宋" w:hAnsi="仿宋" w:eastAsia="仿宋" w:cs="仿宋"/>
          <w:sz w:val="24"/>
        </w:rPr>
      </w:pPr>
      <w:r>
        <w:rPr>
          <w:rFonts w:hint="eastAsia" w:ascii="仿宋" w:hAnsi="仿宋" w:eastAsia="仿宋" w:cs="仿宋"/>
          <w:sz w:val="24"/>
        </w:rPr>
        <w:t>（6）提出质疑的日期。</w:t>
      </w:r>
    </w:p>
    <w:p w14:paraId="360E001D">
      <w:pPr>
        <w:numPr>
          <w:ilvl w:val="2"/>
          <w:numId w:val="10"/>
        </w:numPr>
        <w:spacing w:line="500" w:lineRule="exact"/>
        <w:rPr>
          <w:rFonts w:ascii="仿宋" w:hAnsi="仿宋" w:eastAsia="仿宋" w:cs="仿宋"/>
          <w:sz w:val="24"/>
        </w:rPr>
      </w:pPr>
      <w:r>
        <w:rPr>
          <w:rFonts w:hint="eastAsia" w:ascii="仿宋" w:hAnsi="仿宋" w:eastAsia="仿宋" w:cs="仿宋"/>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22726C2">
      <w:pPr>
        <w:numPr>
          <w:ilvl w:val="2"/>
          <w:numId w:val="10"/>
        </w:numPr>
        <w:spacing w:line="500" w:lineRule="exact"/>
        <w:rPr>
          <w:rFonts w:ascii="仿宋" w:hAnsi="仿宋" w:eastAsia="仿宋" w:cs="仿宋"/>
          <w:sz w:val="24"/>
        </w:rPr>
      </w:pPr>
      <w:r>
        <w:rPr>
          <w:rFonts w:hint="eastAsia" w:ascii="仿宋" w:hAnsi="仿宋" w:eastAsia="仿宋" w:cs="仿宋"/>
          <w:sz w:val="24"/>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306D298">
      <w:pPr>
        <w:numPr>
          <w:ilvl w:val="0"/>
          <w:numId w:val="10"/>
        </w:numPr>
        <w:spacing w:line="500" w:lineRule="exact"/>
        <w:rPr>
          <w:rFonts w:ascii="仿宋" w:hAnsi="仿宋" w:eastAsia="仿宋" w:cs="仿宋"/>
          <w:b/>
          <w:bCs/>
          <w:sz w:val="24"/>
        </w:rPr>
      </w:pPr>
      <w:r>
        <w:rPr>
          <w:rFonts w:hint="eastAsia" w:ascii="仿宋" w:hAnsi="仿宋" w:eastAsia="仿宋" w:cs="仿宋"/>
          <w:b/>
          <w:bCs/>
          <w:sz w:val="24"/>
        </w:rPr>
        <w:t>其他</w:t>
      </w:r>
    </w:p>
    <w:p w14:paraId="77C9DD31">
      <w:pPr>
        <w:numPr>
          <w:ilvl w:val="1"/>
          <w:numId w:val="10"/>
        </w:numPr>
        <w:spacing w:line="500" w:lineRule="exact"/>
        <w:rPr>
          <w:rFonts w:ascii="仿宋" w:hAnsi="仿宋" w:eastAsia="仿宋" w:cs="仿宋"/>
          <w:sz w:val="24"/>
        </w:rPr>
      </w:pPr>
      <w:r>
        <w:rPr>
          <w:rFonts w:hint="eastAsia" w:ascii="仿宋" w:hAnsi="仿宋" w:eastAsia="仿宋" w:cs="仿宋"/>
          <w:sz w:val="24"/>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1637A80D">
      <w:pPr>
        <w:numPr>
          <w:ilvl w:val="1"/>
          <w:numId w:val="10"/>
        </w:numPr>
        <w:spacing w:line="500" w:lineRule="exact"/>
        <w:rPr>
          <w:rFonts w:ascii="仿宋" w:hAnsi="仿宋" w:eastAsia="仿宋" w:cs="仿宋"/>
          <w:sz w:val="24"/>
        </w:rPr>
      </w:pPr>
      <w:r>
        <w:rPr>
          <w:rFonts w:hint="eastAsia" w:ascii="仿宋" w:hAnsi="仿宋" w:eastAsia="仿宋" w:cs="仿宋"/>
          <w:sz w:val="24"/>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036A8F3">
      <w:pPr>
        <w:numPr>
          <w:ilvl w:val="1"/>
          <w:numId w:val="10"/>
        </w:numPr>
        <w:spacing w:line="500" w:lineRule="exact"/>
        <w:rPr>
          <w:rFonts w:ascii="仿宋" w:hAnsi="仿宋" w:eastAsia="仿宋" w:cs="仿宋"/>
          <w:sz w:val="24"/>
        </w:rPr>
      </w:pPr>
      <w:r>
        <w:rPr>
          <w:rFonts w:hint="eastAsia" w:ascii="仿宋" w:hAnsi="仿宋" w:eastAsia="仿宋" w:cs="仿宋"/>
          <w:sz w:val="24"/>
        </w:rPr>
        <w:t>适用于本投标人须知的额外增加的变动详见</w:t>
      </w:r>
      <w:r>
        <w:rPr>
          <w:rFonts w:hint="eastAsia" w:ascii="仿宋" w:hAnsi="仿宋" w:eastAsia="仿宋" w:cs="仿宋"/>
          <w:sz w:val="24"/>
          <w:u w:val="single"/>
        </w:rPr>
        <w:t>投标须知前附表</w:t>
      </w:r>
      <w:r>
        <w:rPr>
          <w:rFonts w:hint="eastAsia" w:ascii="仿宋" w:hAnsi="仿宋" w:eastAsia="仿宋" w:cs="仿宋"/>
          <w:sz w:val="24"/>
        </w:rPr>
        <w:t>。</w:t>
      </w:r>
    </w:p>
    <w:p w14:paraId="7BFC7540">
      <w:pPr>
        <w:rPr>
          <w:rFonts w:ascii="仿宋" w:hAnsi="仿宋" w:eastAsia="仿宋" w:cs="仿宋"/>
          <w:sz w:val="24"/>
        </w:rPr>
      </w:pPr>
      <w:r>
        <w:rPr>
          <w:rFonts w:hint="eastAsia" w:ascii="仿宋" w:hAnsi="仿宋" w:eastAsia="仿宋" w:cs="仿宋"/>
          <w:sz w:val="24"/>
        </w:rPr>
        <w:br w:type="page"/>
      </w:r>
    </w:p>
    <w:p w14:paraId="1F2B0593">
      <w:pPr>
        <w:pStyle w:val="2"/>
        <w:rPr>
          <w:rFonts w:cs="仿宋"/>
        </w:rPr>
      </w:pPr>
      <w:bookmarkStart w:id="10" w:name="_Toc155630081"/>
      <w:r>
        <w:rPr>
          <w:rFonts w:hint="eastAsia" w:cs="仿宋"/>
        </w:rPr>
        <w:t>政府采购合同</w:t>
      </w:r>
      <w:bookmarkEnd w:id="10"/>
    </w:p>
    <w:p w14:paraId="55D99017">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（仅供参考，以采购人实际签订为准）</w:t>
      </w:r>
    </w:p>
    <w:p w14:paraId="194F45CB">
      <w:pPr>
        <w:pStyle w:val="259"/>
        <w:rPr>
          <w:color w:val="auto"/>
          <w:highlight w:val="none"/>
        </w:rPr>
      </w:pPr>
    </w:p>
    <w:p w14:paraId="3C76841D">
      <w:pPr>
        <w:pStyle w:val="22"/>
        <w:tabs>
          <w:tab w:val="left" w:pos="1260"/>
        </w:tabs>
        <w:spacing w:line="360" w:lineRule="auto"/>
        <w:rPr>
          <w:rFonts w:ascii="黑体" w:hAnsi="宋体" w:eastAsia="黑体" w:cs="宋体"/>
          <w:color w:val="auto"/>
          <w:sz w:val="32"/>
          <w:szCs w:val="32"/>
          <w:highlight w:val="none"/>
          <w:u w:val="words"/>
        </w:rPr>
      </w:pPr>
      <w:r>
        <w:rPr>
          <w:rFonts w:hint="eastAsia" w:ascii="黑体" w:hAnsi="宋体" w:eastAsia="黑体" w:cs="宋体"/>
          <w:color w:val="auto"/>
          <w:sz w:val="32"/>
          <w:szCs w:val="32"/>
          <w:highlight w:val="none"/>
        </w:rPr>
        <w:t>合同编号：</w:t>
      </w:r>
    </w:p>
    <w:p w14:paraId="05510AB5">
      <w:pPr>
        <w:pStyle w:val="22"/>
        <w:spacing w:line="360" w:lineRule="auto"/>
        <w:jc w:val="center"/>
        <w:rPr>
          <w:rFonts w:ascii="黑体" w:hAnsi="宋体" w:eastAsia="黑体" w:cs="宋体"/>
          <w:b/>
          <w:color w:val="auto"/>
          <w:sz w:val="48"/>
          <w:szCs w:val="48"/>
          <w:highlight w:val="none"/>
        </w:rPr>
      </w:pPr>
    </w:p>
    <w:p w14:paraId="1FC9324D">
      <w:pPr>
        <w:pStyle w:val="22"/>
        <w:spacing w:line="360" w:lineRule="auto"/>
        <w:jc w:val="center"/>
        <w:rPr>
          <w:rFonts w:ascii="黑体" w:hAnsi="宋体" w:eastAsia="黑体" w:cs="宋体"/>
          <w:b/>
          <w:color w:val="auto"/>
          <w:sz w:val="48"/>
          <w:szCs w:val="48"/>
          <w:highlight w:val="none"/>
        </w:rPr>
      </w:pPr>
    </w:p>
    <w:p w14:paraId="530A97AB">
      <w:pPr>
        <w:pStyle w:val="22"/>
        <w:spacing w:line="360" w:lineRule="auto"/>
        <w:jc w:val="center"/>
        <w:rPr>
          <w:rFonts w:ascii="黑体" w:hAnsi="宋体" w:eastAsia="黑体" w:cs="宋体"/>
          <w:b/>
          <w:color w:val="auto"/>
          <w:sz w:val="48"/>
          <w:szCs w:val="48"/>
          <w:highlight w:val="none"/>
        </w:rPr>
      </w:pPr>
      <w:r>
        <w:rPr>
          <w:rFonts w:hint="eastAsia" w:ascii="黑体" w:hAnsi="宋体" w:eastAsia="黑体" w:cs="宋体"/>
          <w:b/>
          <w:color w:val="auto"/>
          <w:sz w:val="48"/>
          <w:szCs w:val="48"/>
          <w:highlight w:val="none"/>
        </w:rPr>
        <w:t>技 术 服 务 合 同</w:t>
      </w:r>
    </w:p>
    <w:p w14:paraId="4D97ADA8">
      <w:pPr>
        <w:pStyle w:val="22"/>
        <w:spacing w:line="360" w:lineRule="auto"/>
        <w:rPr>
          <w:rFonts w:hAnsi="宋体" w:cs="宋体"/>
          <w:color w:val="auto"/>
          <w:sz w:val="32"/>
          <w:szCs w:val="32"/>
          <w:highlight w:val="none"/>
        </w:rPr>
      </w:pPr>
    </w:p>
    <w:p w14:paraId="4A27E000">
      <w:pPr>
        <w:pStyle w:val="22"/>
        <w:spacing w:line="360" w:lineRule="auto"/>
        <w:rPr>
          <w:rFonts w:hAnsi="宋体" w:cs="宋体"/>
          <w:color w:val="auto"/>
          <w:sz w:val="32"/>
          <w:szCs w:val="32"/>
          <w:highlight w:val="none"/>
        </w:rPr>
      </w:pPr>
    </w:p>
    <w:p w14:paraId="1E787765">
      <w:pPr>
        <w:pStyle w:val="22"/>
        <w:spacing w:line="360" w:lineRule="auto"/>
        <w:rPr>
          <w:rFonts w:hAnsi="宋体" w:cs="宋体"/>
          <w:color w:val="auto"/>
          <w:sz w:val="32"/>
          <w:szCs w:val="32"/>
          <w:highlight w:val="none"/>
        </w:rPr>
      </w:pPr>
    </w:p>
    <w:p w14:paraId="174622FF">
      <w:pPr>
        <w:shd w:val="solid" w:color="FFFFFF" w:fill="auto"/>
        <w:autoSpaceDN w:val="0"/>
        <w:spacing w:line="460" w:lineRule="exact"/>
        <w:ind w:left="1280" w:hanging="1280" w:hangingChars="400"/>
        <w:rPr>
          <w:rFonts w:ascii="宋体" w:hAnsi="宋体" w:cs="Courier New"/>
          <w:b/>
          <w:bCs/>
          <w:color w:val="auto"/>
          <w:sz w:val="28"/>
          <w:szCs w:val="28"/>
          <w:highlight w:val="none"/>
          <w:u w:val="single"/>
          <w:shd w:val="clear" w:color="auto" w:fill="FFFFFF"/>
        </w:rPr>
      </w:pPr>
      <w:r>
        <w:rPr>
          <w:rFonts w:hint="eastAsia" w:hAnsi="宋体"/>
          <w:color w:val="auto"/>
          <w:sz w:val="32"/>
          <w:szCs w:val="32"/>
          <w:highlight w:val="none"/>
        </w:rPr>
        <w:t>项目名称:</w:t>
      </w:r>
      <w:r>
        <w:rPr>
          <w:rFonts w:hint="eastAsia" w:hAnsi="宋体"/>
          <w:color w:val="auto"/>
          <w:sz w:val="32"/>
          <w:szCs w:val="32"/>
          <w:highlight w:val="none"/>
          <w:u w:val="single"/>
        </w:rPr>
        <w:t xml:space="preserve">                                    </w:t>
      </w:r>
    </w:p>
    <w:p w14:paraId="57D4794F">
      <w:pPr>
        <w:pStyle w:val="22"/>
        <w:spacing w:line="360" w:lineRule="auto"/>
        <w:rPr>
          <w:rFonts w:hAnsi="宋体" w:cs="宋体"/>
          <w:color w:val="auto"/>
          <w:sz w:val="24"/>
          <w:szCs w:val="24"/>
          <w:highlight w:val="none"/>
          <w:u w:val="single"/>
        </w:rPr>
      </w:pPr>
    </w:p>
    <w:p w14:paraId="1345D956">
      <w:pPr>
        <w:pStyle w:val="22"/>
        <w:spacing w:line="360" w:lineRule="auto"/>
        <w:rPr>
          <w:rFonts w:hAnsi="宋体" w:cs="宋体"/>
          <w:color w:val="auto"/>
          <w:sz w:val="32"/>
          <w:szCs w:val="32"/>
          <w:highlight w:val="none"/>
        </w:rPr>
      </w:pPr>
    </w:p>
    <w:p w14:paraId="5DE2A941">
      <w:pPr>
        <w:pStyle w:val="22"/>
        <w:spacing w:line="360" w:lineRule="auto"/>
        <w:ind w:left="2240" w:hanging="2240" w:hangingChars="700"/>
        <w:rPr>
          <w:rFonts w:hAnsi="宋体" w:cs="宋体"/>
          <w:color w:val="auto"/>
          <w:sz w:val="30"/>
          <w:szCs w:val="30"/>
          <w:highlight w:val="none"/>
          <w:u w:val="single"/>
        </w:rPr>
      </w:pPr>
      <w:r>
        <w:rPr>
          <w:rFonts w:hint="eastAsia" w:hAnsi="宋体" w:cs="宋体"/>
          <w:color w:val="auto"/>
          <w:sz w:val="32"/>
          <w:szCs w:val="32"/>
          <w:highlight w:val="none"/>
        </w:rPr>
        <w:t>委托方(甲方):</w:t>
      </w:r>
      <w:r>
        <w:rPr>
          <w:rFonts w:hint="eastAsia" w:hAnsi="宋体" w:cs="宋体"/>
          <w:color w:val="auto"/>
          <w:sz w:val="32"/>
          <w:szCs w:val="32"/>
          <w:highlight w:val="none"/>
          <w:u w:val="single"/>
        </w:rPr>
        <w:t xml:space="preserve">                                </w:t>
      </w:r>
    </w:p>
    <w:p w14:paraId="46496572">
      <w:pPr>
        <w:pStyle w:val="22"/>
        <w:spacing w:line="360" w:lineRule="auto"/>
        <w:rPr>
          <w:rFonts w:hAnsi="宋体" w:cs="宋体"/>
          <w:color w:val="auto"/>
          <w:sz w:val="32"/>
          <w:szCs w:val="32"/>
          <w:highlight w:val="none"/>
        </w:rPr>
      </w:pPr>
    </w:p>
    <w:p w14:paraId="67C3CBD9">
      <w:pPr>
        <w:pStyle w:val="22"/>
        <w:spacing w:line="360" w:lineRule="auto"/>
        <w:rPr>
          <w:rFonts w:hAnsi="宋体" w:cs="宋体"/>
          <w:color w:val="auto"/>
          <w:sz w:val="32"/>
          <w:szCs w:val="32"/>
          <w:highlight w:val="none"/>
        </w:rPr>
      </w:pPr>
      <w:r>
        <w:rPr>
          <w:rFonts w:hint="eastAsia" w:hAnsi="宋体" w:cs="宋体"/>
          <w:color w:val="auto"/>
          <w:sz w:val="32"/>
          <w:szCs w:val="32"/>
          <w:highlight w:val="none"/>
        </w:rPr>
        <w:t>受托方(乙方):</w:t>
      </w:r>
      <w:r>
        <w:rPr>
          <w:rFonts w:hint="eastAsia" w:hAnsi="宋体" w:cs="宋体"/>
          <w:color w:val="auto"/>
          <w:sz w:val="32"/>
          <w:szCs w:val="32"/>
          <w:highlight w:val="none"/>
          <w:u w:val="single"/>
        </w:rPr>
        <w:t xml:space="preserve">                                </w:t>
      </w:r>
    </w:p>
    <w:p w14:paraId="6C8E4C48">
      <w:pPr>
        <w:pStyle w:val="22"/>
        <w:spacing w:line="360" w:lineRule="auto"/>
        <w:rPr>
          <w:rFonts w:hAnsi="宋体" w:cs="宋体"/>
          <w:color w:val="auto"/>
          <w:sz w:val="32"/>
          <w:szCs w:val="32"/>
          <w:highlight w:val="none"/>
        </w:rPr>
      </w:pPr>
    </w:p>
    <w:p w14:paraId="2FEC2414">
      <w:pPr>
        <w:pStyle w:val="22"/>
        <w:spacing w:line="360" w:lineRule="auto"/>
        <w:rPr>
          <w:rFonts w:hAnsi="宋体" w:cs="宋体"/>
          <w:color w:val="auto"/>
          <w:sz w:val="32"/>
          <w:szCs w:val="32"/>
          <w:highlight w:val="none"/>
        </w:rPr>
      </w:pPr>
      <w:r>
        <w:rPr>
          <w:rFonts w:hint="eastAsia" w:hAnsi="宋体" w:cs="宋体"/>
          <w:color w:val="auto"/>
          <w:sz w:val="32"/>
          <w:szCs w:val="32"/>
          <w:highlight w:val="none"/>
        </w:rPr>
        <w:t>签订地点:</w:t>
      </w:r>
      <w:r>
        <w:rPr>
          <w:rFonts w:hint="eastAsia" w:hAnsi="宋体" w:cs="宋体"/>
          <w:color w:val="auto"/>
          <w:sz w:val="32"/>
          <w:szCs w:val="32"/>
          <w:highlight w:val="none"/>
          <w:u w:val="single"/>
        </w:rPr>
        <w:t xml:space="preserve">                                    </w:t>
      </w:r>
    </w:p>
    <w:p w14:paraId="20F903C8">
      <w:pPr>
        <w:pStyle w:val="22"/>
        <w:spacing w:line="360" w:lineRule="auto"/>
        <w:rPr>
          <w:rFonts w:hAnsi="宋体" w:cs="宋体"/>
          <w:color w:val="auto"/>
          <w:sz w:val="32"/>
          <w:szCs w:val="32"/>
          <w:highlight w:val="none"/>
        </w:rPr>
      </w:pPr>
    </w:p>
    <w:p w14:paraId="168568C5">
      <w:pPr>
        <w:pStyle w:val="22"/>
        <w:spacing w:line="360" w:lineRule="auto"/>
        <w:rPr>
          <w:rFonts w:hAnsi="宋体" w:cs="宋体"/>
          <w:color w:val="auto"/>
          <w:sz w:val="32"/>
          <w:szCs w:val="32"/>
          <w:highlight w:val="none"/>
        </w:rPr>
      </w:pPr>
    </w:p>
    <w:p w14:paraId="0B05CAE4">
      <w:pPr>
        <w:pStyle w:val="22"/>
        <w:spacing w:line="360" w:lineRule="auto"/>
        <w:rPr>
          <w:rFonts w:hAnsi="宋体" w:cs="宋体"/>
          <w:color w:val="auto"/>
          <w:sz w:val="32"/>
          <w:szCs w:val="32"/>
          <w:highlight w:val="none"/>
        </w:rPr>
      </w:pPr>
    </w:p>
    <w:p w14:paraId="5D4E71C6">
      <w:pPr>
        <w:pStyle w:val="22"/>
        <w:spacing w:line="360" w:lineRule="auto"/>
        <w:rPr>
          <w:rFonts w:hAnsi="宋体" w:cs="宋体"/>
          <w:color w:val="auto"/>
          <w:sz w:val="32"/>
          <w:szCs w:val="32"/>
          <w:highlight w:val="none"/>
        </w:rPr>
      </w:pPr>
    </w:p>
    <w:p w14:paraId="198CF412">
      <w:pPr>
        <w:pStyle w:val="22"/>
        <w:spacing w:line="360" w:lineRule="auto"/>
        <w:jc w:val="center"/>
        <w:rPr>
          <w:rFonts w:hAnsi="宋体" w:cs="宋体"/>
          <w:b/>
          <w:color w:val="auto"/>
          <w:sz w:val="28"/>
          <w:szCs w:val="28"/>
          <w:highlight w:val="none"/>
        </w:rPr>
      </w:pPr>
      <w:r>
        <w:rPr>
          <w:rFonts w:hint="eastAsia" w:hAnsi="宋体" w:cs="宋体"/>
          <w:color w:val="auto"/>
          <w:sz w:val="36"/>
          <w:szCs w:val="36"/>
          <w:highlight w:val="none"/>
        </w:rPr>
        <w:t>中华人民共和国科学技术部印制</w:t>
      </w:r>
      <w:r>
        <w:rPr>
          <w:rFonts w:hAnsi="宋体" w:cs="宋体"/>
          <w:color w:val="auto"/>
          <w:highlight w:val="none"/>
        </w:rPr>
        <w:br w:type="page"/>
      </w:r>
    </w:p>
    <w:tbl>
      <w:tblPr>
        <w:tblStyle w:val="44"/>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6"/>
      </w:tblGrid>
      <w:tr w14:paraId="251D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1" w:hRule="atLeast"/>
        </w:trPr>
        <w:tc>
          <w:tcPr>
            <w:tcW w:w="8616" w:type="dxa"/>
          </w:tcPr>
          <w:p w14:paraId="31129667">
            <w:pPr>
              <w:pStyle w:val="22"/>
              <w:spacing w:line="360" w:lineRule="auto"/>
              <w:jc w:val="left"/>
              <w:rPr>
                <w:rFonts w:hAnsi="宋体" w:cs="宋体"/>
                <w:b/>
                <w:color w:val="auto"/>
                <w:sz w:val="28"/>
                <w:szCs w:val="28"/>
                <w:highlight w:val="none"/>
              </w:rPr>
            </w:pPr>
            <w:r>
              <w:rPr>
                <w:rFonts w:hint="eastAsia" w:hAnsi="宋体" w:cs="宋体"/>
                <w:b/>
                <w:color w:val="auto"/>
                <w:sz w:val="28"/>
                <w:szCs w:val="28"/>
                <w:highlight w:val="none"/>
              </w:rPr>
              <w:t>技术服务合同</w:t>
            </w:r>
          </w:p>
          <w:p w14:paraId="60CE35A3">
            <w:pPr>
              <w:pStyle w:val="22"/>
              <w:spacing w:line="360" w:lineRule="auto"/>
              <w:jc w:val="left"/>
              <w:rPr>
                <w:rFonts w:hAnsi="宋体" w:cs="宋体"/>
                <w:color w:val="auto"/>
                <w:sz w:val="28"/>
                <w:szCs w:val="28"/>
                <w:highlight w:val="none"/>
              </w:rPr>
            </w:pPr>
          </w:p>
          <w:p w14:paraId="210F463A">
            <w:pPr>
              <w:pStyle w:val="22"/>
              <w:spacing w:line="360" w:lineRule="auto"/>
              <w:rPr>
                <w:rFonts w:hAnsi="宋体" w:cs="宋体"/>
                <w:color w:val="auto"/>
                <w:sz w:val="24"/>
                <w:szCs w:val="24"/>
                <w:highlight w:val="none"/>
              </w:rPr>
            </w:pPr>
            <w:r>
              <w:rPr>
                <w:rFonts w:hint="eastAsia" w:hAnsi="宋体" w:cs="宋体"/>
                <w:color w:val="auto"/>
                <w:sz w:val="24"/>
                <w:szCs w:val="24"/>
                <w:highlight w:val="none"/>
              </w:rPr>
              <w:t>委托方(甲方):</w:t>
            </w:r>
            <w:r>
              <w:rPr>
                <w:rFonts w:hint="eastAsia" w:hAnsi="宋体" w:cs="宋体"/>
                <w:color w:val="auto"/>
                <w:sz w:val="24"/>
                <w:szCs w:val="24"/>
                <w:highlight w:val="none"/>
                <w:u w:val="single"/>
              </w:rPr>
              <w:t xml:space="preserve">                                        </w:t>
            </w:r>
          </w:p>
          <w:p w14:paraId="7F6566C3">
            <w:pPr>
              <w:pStyle w:val="22"/>
              <w:spacing w:line="360" w:lineRule="auto"/>
              <w:rPr>
                <w:rFonts w:hAnsi="宋体" w:cs="宋体"/>
                <w:color w:val="auto"/>
                <w:sz w:val="24"/>
                <w:szCs w:val="24"/>
                <w:highlight w:val="none"/>
              </w:rPr>
            </w:pPr>
            <w:r>
              <w:rPr>
                <w:rFonts w:hint="eastAsia" w:hAnsi="宋体" w:cs="宋体"/>
                <w:color w:val="auto"/>
                <w:sz w:val="24"/>
                <w:szCs w:val="24"/>
                <w:highlight w:val="none"/>
              </w:rPr>
              <w:t xml:space="preserve">法定代表人: </w:t>
            </w:r>
            <w:r>
              <w:rPr>
                <w:rFonts w:hint="eastAsia" w:hAnsi="宋体" w:cs="宋体"/>
                <w:color w:val="auto"/>
                <w:sz w:val="24"/>
                <w:szCs w:val="24"/>
                <w:highlight w:val="none"/>
                <w:u w:val="single"/>
              </w:rPr>
              <w:t xml:space="preserve">                                         </w:t>
            </w:r>
          </w:p>
          <w:p w14:paraId="3EBE7BD1">
            <w:pPr>
              <w:pStyle w:val="22"/>
              <w:spacing w:line="360" w:lineRule="auto"/>
              <w:rPr>
                <w:rFonts w:hAnsi="宋体" w:cs="宋体"/>
                <w:color w:val="auto"/>
                <w:sz w:val="24"/>
                <w:szCs w:val="24"/>
                <w:highlight w:val="none"/>
              </w:rPr>
            </w:pPr>
            <w:r>
              <w:rPr>
                <w:rFonts w:hint="eastAsia" w:hAnsi="宋体" w:cs="宋体"/>
                <w:color w:val="auto"/>
                <w:sz w:val="24"/>
                <w:szCs w:val="24"/>
                <w:highlight w:val="none"/>
              </w:rPr>
              <w:t xml:space="preserve">项目联系人: </w:t>
            </w:r>
            <w:r>
              <w:rPr>
                <w:rFonts w:hint="eastAsia" w:hAnsi="宋体" w:cs="宋体"/>
                <w:color w:val="auto"/>
                <w:sz w:val="24"/>
                <w:szCs w:val="24"/>
                <w:highlight w:val="none"/>
                <w:u w:val="single"/>
              </w:rPr>
              <w:t xml:space="preserve">                                         </w:t>
            </w:r>
          </w:p>
          <w:p w14:paraId="2A41621F">
            <w:pPr>
              <w:pStyle w:val="22"/>
              <w:spacing w:line="360" w:lineRule="auto"/>
              <w:rPr>
                <w:rFonts w:hAnsi="宋体" w:cs="宋体"/>
                <w:color w:val="auto"/>
                <w:sz w:val="24"/>
                <w:szCs w:val="24"/>
                <w:highlight w:val="none"/>
              </w:rPr>
            </w:pPr>
            <w:r>
              <w:rPr>
                <w:rFonts w:hint="eastAsia" w:hAnsi="宋体" w:cs="宋体"/>
                <w:color w:val="auto"/>
                <w:sz w:val="24"/>
                <w:szCs w:val="24"/>
                <w:highlight w:val="none"/>
              </w:rPr>
              <w:t xml:space="preserve">联 系 方 式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886BBA9">
            <w:pPr>
              <w:pStyle w:val="22"/>
              <w:spacing w:line="360" w:lineRule="auto"/>
              <w:rPr>
                <w:rFonts w:hAnsi="宋体" w:cs="宋体"/>
                <w:color w:val="auto"/>
                <w:sz w:val="24"/>
                <w:szCs w:val="24"/>
                <w:highlight w:val="non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传真：</w:t>
            </w:r>
            <w:r>
              <w:rPr>
                <w:rFonts w:hint="eastAsia" w:hAnsi="宋体" w:cs="宋体"/>
                <w:color w:val="auto"/>
                <w:sz w:val="24"/>
                <w:szCs w:val="24"/>
                <w:highlight w:val="none"/>
                <w:u w:val="single"/>
              </w:rPr>
              <w:t xml:space="preserve">                        </w:t>
            </w:r>
          </w:p>
          <w:p w14:paraId="0486696A">
            <w:pPr>
              <w:pStyle w:val="22"/>
              <w:spacing w:line="360" w:lineRule="auto"/>
              <w:rPr>
                <w:rFonts w:hAnsi="宋体" w:cs="宋体"/>
                <w:color w:val="auto"/>
                <w:sz w:val="24"/>
                <w:szCs w:val="24"/>
                <w:highlight w:val="none"/>
              </w:rPr>
            </w:pPr>
          </w:p>
          <w:p w14:paraId="7AF53E69">
            <w:pPr>
              <w:pStyle w:val="22"/>
              <w:spacing w:line="360" w:lineRule="auto"/>
              <w:rPr>
                <w:rFonts w:hAnsi="宋体" w:cs="宋体"/>
                <w:color w:val="auto"/>
                <w:sz w:val="24"/>
                <w:szCs w:val="24"/>
                <w:highlight w:val="none"/>
              </w:rPr>
            </w:pPr>
            <w:r>
              <w:rPr>
                <w:rFonts w:hint="eastAsia" w:hAnsi="宋体" w:cs="宋体"/>
                <w:color w:val="auto"/>
                <w:sz w:val="24"/>
                <w:szCs w:val="24"/>
                <w:highlight w:val="none"/>
              </w:rPr>
              <w:t>受托方(乙方):</w:t>
            </w:r>
            <w:r>
              <w:rPr>
                <w:rFonts w:hint="eastAsia" w:hAnsi="宋体" w:cs="宋体"/>
                <w:color w:val="auto"/>
                <w:sz w:val="24"/>
                <w:szCs w:val="24"/>
                <w:highlight w:val="none"/>
                <w:u w:val="single"/>
              </w:rPr>
              <w:t xml:space="preserve">                                         </w:t>
            </w:r>
          </w:p>
          <w:p w14:paraId="1554103F">
            <w:pPr>
              <w:pStyle w:val="22"/>
              <w:spacing w:line="360" w:lineRule="auto"/>
              <w:rPr>
                <w:rFonts w:hAnsi="宋体" w:cs="宋体"/>
                <w:color w:val="auto"/>
                <w:sz w:val="24"/>
                <w:szCs w:val="24"/>
                <w:highlight w:val="none"/>
                <w:u w:val="single"/>
              </w:rPr>
            </w:pPr>
            <w:r>
              <w:rPr>
                <w:rFonts w:hint="eastAsia" w:hAnsi="宋体" w:cs="宋体"/>
                <w:color w:val="auto"/>
                <w:sz w:val="24"/>
                <w:szCs w:val="24"/>
                <w:highlight w:val="none"/>
              </w:rPr>
              <w:t xml:space="preserve">住  所  地: </w:t>
            </w:r>
            <w:r>
              <w:rPr>
                <w:rFonts w:hint="eastAsia" w:hAnsi="宋体" w:cs="宋体"/>
                <w:color w:val="auto"/>
                <w:sz w:val="24"/>
                <w:szCs w:val="24"/>
                <w:highlight w:val="none"/>
                <w:u w:val="single"/>
              </w:rPr>
              <w:t xml:space="preserve">                                          </w:t>
            </w:r>
          </w:p>
          <w:p w14:paraId="1FFAAE55">
            <w:pPr>
              <w:pStyle w:val="22"/>
              <w:spacing w:line="360" w:lineRule="auto"/>
              <w:rPr>
                <w:rFonts w:hAnsi="宋体" w:cs="宋体"/>
                <w:color w:val="auto"/>
                <w:sz w:val="24"/>
                <w:szCs w:val="24"/>
                <w:highlight w:val="none"/>
              </w:rPr>
            </w:pPr>
            <w:r>
              <w:rPr>
                <w:rFonts w:hint="eastAsia" w:hAnsi="宋体" w:cs="宋体"/>
                <w:color w:val="auto"/>
                <w:sz w:val="24"/>
                <w:szCs w:val="24"/>
                <w:highlight w:val="none"/>
              </w:rPr>
              <w:t xml:space="preserve">法定代表人: </w:t>
            </w:r>
            <w:r>
              <w:rPr>
                <w:rFonts w:hint="eastAsia" w:hAnsi="宋体" w:cs="宋体"/>
                <w:color w:val="auto"/>
                <w:sz w:val="24"/>
                <w:szCs w:val="24"/>
                <w:highlight w:val="none"/>
                <w:u w:val="single"/>
              </w:rPr>
              <w:t xml:space="preserve">                                          </w:t>
            </w:r>
          </w:p>
          <w:p w14:paraId="527626F3">
            <w:pPr>
              <w:pStyle w:val="22"/>
              <w:spacing w:line="360" w:lineRule="auto"/>
              <w:rPr>
                <w:rFonts w:hAnsi="宋体" w:cs="宋体"/>
                <w:color w:val="auto"/>
                <w:sz w:val="24"/>
                <w:szCs w:val="24"/>
                <w:highlight w:val="none"/>
              </w:rPr>
            </w:pPr>
            <w:r>
              <w:rPr>
                <w:rFonts w:hint="eastAsia" w:hAnsi="宋体" w:cs="宋体"/>
                <w:color w:val="auto"/>
                <w:sz w:val="24"/>
                <w:szCs w:val="24"/>
                <w:highlight w:val="none"/>
              </w:rPr>
              <w:t xml:space="preserve">项目联系人: </w:t>
            </w:r>
            <w:r>
              <w:rPr>
                <w:rFonts w:hint="eastAsia" w:hAnsi="宋体" w:cs="宋体"/>
                <w:color w:val="auto"/>
                <w:sz w:val="24"/>
                <w:szCs w:val="24"/>
                <w:highlight w:val="none"/>
                <w:u w:val="single"/>
              </w:rPr>
              <w:t xml:space="preserve">                                          </w:t>
            </w:r>
          </w:p>
          <w:p w14:paraId="454DCE89">
            <w:pPr>
              <w:pStyle w:val="22"/>
              <w:spacing w:line="360" w:lineRule="auto"/>
              <w:rPr>
                <w:rFonts w:hAnsi="宋体" w:cs="宋体"/>
                <w:color w:val="auto"/>
                <w:sz w:val="24"/>
                <w:szCs w:val="24"/>
                <w:highlight w:val="none"/>
              </w:rPr>
            </w:pPr>
            <w:r>
              <w:rPr>
                <w:rFonts w:hint="eastAsia" w:hAnsi="宋体" w:cs="宋体"/>
                <w:color w:val="auto"/>
                <w:sz w:val="24"/>
                <w:szCs w:val="24"/>
                <w:highlight w:val="none"/>
              </w:rPr>
              <w:t>联 系 方 式：</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8B865DF">
            <w:pPr>
              <w:pStyle w:val="22"/>
              <w:spacing w:line="360" w:lineRule="auto"/>
              <w:rPr>
                <w:rFonts w:hAnsi="宋体" w:cs="宋体"/>
                <w:color w:val="auto"/>
                <w:sz w:val="24"/>
                <w:szCs w:val="24"/>
                <w:highlight w:val="none"/>
              </w:rPr>
            </w:pPr>
            <w:r>
              <w:rPr>
                <w:rFonts w:hint="eastAsia" w:hAnsi="宋体" w:cs="宋体"/>
                <w:color w:val="auto"/>
                <w:sz w:val="24"/>
                <w:szCs w:val="24"/>
                <w:highlight w:val="none"/>
              </w:rPr>
              <w:t>通 讯 地 址:</w:t>
            </w:r>
            <w:r>
              <w:rPr>
                <w:rFonts w:hint="eastAsia" w:hAnsi="宋体" w:cs="宋体"/>
                <w:color w:val="auto"/>
                <w:sz w:val="24"/>
                <w:szCs w:val="24"/>
                <w:highlight w:val="none"/>
                <w:u w:val="single"/>
              </w:rPr>
              <w:t xml:space="preserve">                                          </w:t>
            </w:r>
          </w:p>
          <w:p w14:paraId="6633CBB0">
            <w:pPr>
              <w:pStyle w:val="22"/>
              <w:spacing w:line="360" w:lineRule="auto"/>
              <w:rPr>
                <w:rFonts w:hAnsi="宋体" w:cs="宋体"/>
                <w:color w:val="auto"/>
                <w:sz w:val="24"/>
                <w:szCs w:val="24"/>
                <w:highlight w:val="non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传真：</w:t>
            </w:r>
            <w:r>
              <w:rPr>
                <w:rFonts w:hint="eastAsia" w:hAnsi="宋体" w:cs="宋体"/>
                <w:color w:val="auto"/>
                <w:sz w:val="24"/>
                <w:szCs w:val="24"/>
                <w:highlight w:val="none"/>
                <w:u w:val="single"/>
              </w:rPr>
              <w:t xml:space="preserve">                        </w:t>
            </w:r>
          </w:p>
          <w:p w14:paraId="368FE974">
            <w:pPr>
              <w:pStyle w:val="22"/>
              <w:spacing w:line="360" w:lineRule="auto"/>
              <w:rPr>
                <w:rFonts w:hAnsi="宋体" w:cs="宋体"/>
                <w:color w:val="auto"/>
                <w:sz w:val="24"/>
                <w:szCs w:val="24"/>
                <w:highlight w:val="none"/>
              </w:rPr>
            </w:pPr>
            <w:r>
              <w:rPr>
                <w:rFonts w:hint="eastAsia" w:hAnsi="宋体" w:cs="宋体"/>
                <w:color w:val="auto"/>
                <w:sz w:val="24"/>
                <w:highlight w:val="none"/>
              </w:rPr>
              <w:t>本合同甲方委托乙方就</w:t>
            </w:r>
            <w:r>
              <w:rPr>
                <w:rFonts w:hint="eastAsia" w:hAnsi="宋体" w:cs="宋体"/>
                <w:color w:val="auto"/>
                <w:sz w:val="24"/>
                <w:szCs w:val="24"/>
                <w:highlight w:val="none"/>
                <w:u w:val="single"/>
              </w:rPr>
              <w:t xml:space="preserve">                                          </w:t>
            </w:r>
          </w:p>
          <w:p w14:paraId="4D37781F">
            <w:pPr>
              <w:pStyle w:val="22"/>
              <w:spacing w:line="360" w:lineRule="auto"/>
              <w:rPr>
                <w:rFonts w:hAnsi="宋体" w:cs="宋体"/>
                <w:color w:val="auto"/>
                <w:sz w:val="24"/>
                <w:highlight w:val="none"/>
              </w:rPr>
            </w:pPr>
            <w:r>
              <w:rPr>
                <w:rFonts w:hint="eastAsia" w:hAnsi="宋体" w:cs="宋体"/>
                <w:color w:val="auto"/>
                <w:sz w:val="24"/>
                <w:highlight w:val="none"/>
              </w:rPr>
              <w:t>提供技术服务。双方经过平等协商,在真实、充分地表达各自意愿的基础上，就</w:t>
            </w:r>
            <w:r>
              <w:rPr>
                <w:rFonts w:hint="eastAsia" w:hAnsi="宋体" w:cs="宋体"/>
                <w:color w:val="auto"/>
                <w:sz w:val="24"/>
                <w:highlight w:val="none"/>
                <w:u w:val="single"/>
              </w:rPr>
              <w:t>乌鲁木齐市部分区域数据要素采集项目</w:t>
            </w:r>
            <w:r>
              <w:rPr>
                <w:rFonts w:hint="eastAsia" w:hAnsi="宋体" w:cs="宋体"/>
                <w:color w:val="auto"/>
                <w:sz w:val="24"/>
                <w:highlight w:val="none"/>
              </w:rPr>
              <w:t>的专项技术服务,在获取技术成果和支付相关费用的基础上,根据《中华人民共和国民法典》的规定,达成如下协议, 并由双方共同恪守。</w:t>
            </w:r>
          </w:p>
          <w:p w14:paraId="3CB0208E">
            <w:pPr>
              <w:pStyle w:val="22"/>
              <w:spacing w:line="360" w:lineRule="auto"/>
              <w:rPr>
                <w:rFonts w:hAnsi="宋体" w:cs="宋体"/>
                <w:color w:val="auto"/>
                <w:sz w:val="24"/>
                <w:szCs w:val="24"/>
                <w:highlight w:val="none"/>
              </w:rPr>
            </w:pPr>
            <w:r>
              <w:rPr>
                <w:rFonts w:hint="eastAsia" w:hAnsi="宋体" w:cs="宋体"/>
                <w:b/>
                <w:color w:val="auto"/>
                <w:sz w:val="24"/>
                <w:szCs w:val="24"/>
                <w:highlight w:val="none"/>
              </w:rPr>
              <w:t xml:space="preserve">第一条 </w:t>
            </w:r>
            <w:r>
              <w:rPr>
                <w:rFonts w:hint="eastAsia" w:hAnsi="宋体" w:cs="宋体"/>
                <w:color w:val="auto"/>
                <w:sz w:val="24"/>
                <w:szCs w:val="24"/>
                <w:highlight w:val="none"/>
              </w:rPr>
              <w:t xml:space="preserve"> 技术服务的内容及范围（</w:t>
            </w:r>
            <w:r>
              <w:rPr>
                <w:rFonts w:hint="eastAsia"/>
                <w:color w:val="auto"/>
                <w:sz w:val="24"/>
                <w:szCs w:val="24"/>
                <w:highlight w:val="none"/>
              </w:rPr>
              <w:t>包括项目地点、面积、工作项目和工作量等）</w:t>
            </w:r>
            <w:r>
              <w:rPr>
                <w:rFonts w:hint="eastAsia" w:hAnsi="宋体" w:cs="宋体"/>
                <w:color w:val="auto"/>
                <w:sz w:val="24"/>
                <w:szCs w:val="24"/>
                <w:highlight w:val="none"/>
              </w:rPr>
              <w:t>:</w:t>
            </w:r>
          </w:p>
          <w:p w14:paraId="300B1E91">
            <w:pPr>
              <w:pStyle w:val="22"/>
              <w:spacing w:line="360" w:lineRule="auto"/>
              <w:rPr>
                <w:rFonts w:hAnsi="宋体" w:cs="宋体"/>
                <w:color w:val="auto"/>
                <w:sz w:val="24"/>
                <w:szCs w:val="24"/>
                <w:highlight w:val="none"/>
              </w:rPr>
            </w:pPr>
            <w:r>
              <w:rPr>
                <w:rFonts w:hint="eastAsia" w:hAnsi="宋体" w:cs="宋体"/>
                <w:color w:val="auto"/>
                <w:sz w:val="24"/>
                <w:szCs w:val="24"/>
                <w:highlight w:val="none"/>
                <w:u w:val="single"/>
              </w:rPr>
              <w:t xml:space="preserve">                                                                      </w:t>
            </w:r>
          </w:p>
          <w:p w14:paraId="0EE48337">
            <w:pPr>
              <w:pStyle w:val="22"/>
              <w:tabs>
                <w:tab w:val="left" w:pos="4680"/>
                <w:tab w:val="left" w:pos="5040"/>
              </w:tabs>
              <w:spacing w:line="360" w:lineRule="auto"/>
              <w:rPr>
                <w:rFonts w:hAnsi="宋体" w:cs="宋体"/>
                <w:color w:val="auto"/>
                <w:sz w:val="24"/>
                <w:szCs w:val="24"/>
                <w:highlight w:val="none"/>
              </w:rPr>
            </w:pPr>
            <w:r>
              <w:rPr>
                <w:rFonts w:hint="eastAsia" w:hAnsi="宋体" w:cs="宋体"/>
                <w:b/>
                <w:color w:val="auto"/>
                <w:sz w:val="24"/>
                <w:szCs w:val="24"/>
                <w:highlight w:val="none"/>
              </w:rPr>
              <w:t xml:space="preserve">第二条 </w:t>
            </w:r>
            <w:r>
              <w:rPr>
                <w:rFonts w:hint="eastAsia" w:hAnsi="宋体" w:cs="宋体"/>
                <w:color w:val="auto"/>
                <w:sz w:val="24"/>
                <w:szCs w:val="24"/>
                <w:highlight w:val="none"/>
              </w:rPr>
              <w:t>技术服务期限和提交的成果:</w:t>
            </w:r>
          </w:p>
          <w:p w14:paraId="7FDA26A8">
            <w:pPr>
              <w:pStyle w:val="22"/>
              <w:spacing w:line="360" w:lineRule="auto"/>
              <w:rPr>
                <w:rFonts w:hAnsi="宋体" w:cs="宋体"/>
                <w:color w:val="auto"/>
                <w:sz w:val="24"/>
                <w:szCs w:val="24"/>
                <w:highlight w:val="none"/>
              </w:rPr>
            </w:pPr>
            <w:r>
              <w:rPr>
                <w:rFonts w:hint="eastAsia" w:hAnsi="宋体" w:cs="宋体"/>
                <w:color w:val="auto"/>
                <w:sz w:val="24"/>
                <w:szCs w:val="24"/>
                <w:highlight w:val="none"/>
                <w:u w:val="single"/>
              </w:rPr>
              <w:t xml:space="preserve">                                                                       </w:t>
            </w:r>
          </w:p>
          <w:p w14:paraId="400184D5">
            <w:pPr>
              <w:pStyle w:val="22"/>
              <w:tabs>
                <w:tab w:val="left" w:pos="4680"/>
                <w:tab w:val="left" w:pos="5040"/>
              </w:tabs>
              <w:spacing w:line="360" w:lineRule="auto"/>
              <w:rPr>
                <w:rFonts w:hAnsi="宋体" w:cs="宋体"/>
                <w:b/>
                <w:color w:val="auto"/>
                <w:sz w:val="24"/>
                <w:szCs w:val="24"/>
                <w:highlight w:val="none"/>
              </w:rPr>
            </w:pPr>
            <w:r>
              <w:rPr>
                <w:rFonts w:hint="eastAsia" w:hAnsi="宋体" w:cs="宋体"/>
                <w:b/>
                <w:color w:val="auto"/>
                <w:sz w:val="24"/>
                <w:szCs w:val="24"/>
                <w:highlight w:val="none"/>
              </w:rPr>
              <w:t xml:space="preserve">第三条 </w:t>
            </w:r>
            <w:r>
              <w:rPr>
                <w:rFonts w:hint="eastAsia" w:hAnsi="宋体" w:cs="宋体"/>
                <w:color w:val="auto"/>
                <w:sz w:val="24"/>
                <w:szCs w:val="24"/>
                <w:highlight w:val="none"/>
              </w:rPr>
              <w:t>技术服务标准：</w:t>
            </w:r>
          </w:p>
          <w:p w14:paraId="5D5DCE45">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1.《城市测量规范》CJJ/T8-2011</w:t>
            </w:r>
          </w:p>
          <w:p w14:paraId="51BDE2D1">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2.《卫星定位城市测量技术标准》（CJJT73-2019）</w:t>
            </w:r>
          </w:p>
          <w:p w14:paraId="00025F10">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3.《全球卫星定位系统实时动态定位（RTK）技术规范》CH/T2009-2010</w:t>
            </w:r>
          </w:p>
          <w:p w14:paraId="676E8258">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4.《机载激光雷达数据处理技术规范》CH/T 8023-2011</w:t>
            </w:r>
          </w:p>
          <w:p w14:paraId="137EE123">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5.《基础地理信息标准数据基本规定》GB21139—2007</w:t>
            </w:r>
          </w:p>
          <w:p w14:paraId="4E7BE2CC">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6.《基础地理信息数据标准》GB6501/T 021-2021</w:t>
            </w:r>
          </w:p>
          <w:p w14:paraId="1CF13AD9">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合同签订前，如有新颁布的相关规定，需参照新版本执行。</w:t>
            </w:r>
          </w:p>
          <w:p w14:paraId="3D01E673">
            <w:pPr>
              <w:pStyle w:val="22"/>
              <w:tabs>
                <w:tab w:val="left" w:pos="4680"/>
                <w:tab w:val="left" w:pos="5040"/>
              </w:tabs>
              <w:spacing w:line="360" w:lineRule="auto"/>
              <w:rPr>
                <w:rFonts w:hAnsi="宋体" w:cs="宋体"/>
                <w:color w:val="auto"/>
                <w:sz w:val="24"/>
                <w:szCs w:val="24"/>
                <w:highlight w:val="none"/>
              </w:rPr>
            </w:pPr>
            <w:r>
              <w:rPr>
                <w:rFonts w:hint="eastAsia" w:hAnsi="宋体" w:cs="宋体"/>
                <w:b/>
                <w:color w:val="auto"/>
                <w:sz w:val="24"/>
                <w:szCs w:val="24"/>
                <w:highlight w:val="none"/>
              </w:rPr>
              <w:t xml:space="preserve">第四条 </w:t>
            </w:r>
            <w:r>
              <w:rPr>
                <w:rFonts w:hint="eastAsia" w:hAnsi="宋体" w:cs="宋体"/>
                <w:color w:val="auto"/>
                <w:sz w:val="24"/>
                <w:szCs w:val="24"/>
                <w:highlight w:val="none"/>
              </w:rPr>
              <w:t>甲、乙双方责任和义务：</w:t>
            </w:r>
          </w:p>
          <w:p w14:paraId="4D9557E9">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5.1 甲方责任和义务</w:t>
            </w:r>
          </w:p>
          <w:p w14:paraId="169C8A8A">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1.为保证乙方有效进行技术服务工作,提供项目所需的相关基础资料；</w:t>
            </w:r>
          </w:p>
          <w:p w14:paraId="75D84E30">
            <w:pPr>
              <w:pStyle w:val="22"/>
              <w:spacing w:line="360" w:lineRule="auto"/>
              <w:rPr>
                <w:color w:val="auto"/>
                <w:sz w:val="24"/>
                <w:highlight w:val="none"/>
              </w:rPr>
            </w:pPr>
            <w:r>
              <w:rPr>
                <w:rFonts w:hint="eastAsia" w:hAnsi="宋体" w:cs="宋体"/>
                <w:color w:val="auto"/>
                <w:sz w:val="24"/>
                <w:highlight w:val="none"/>
              </w:rPr>
              <w:t>2.</w:t>
            </w:r>
            <w:r>
              <w:rPr>
                <w:rFonts w:hint="eastAsia"/>
                <w:color w:val="auto"/>
                <w:sz w:val="24"/>
                <w:highlight w:val="none"/>
              </w:rPr>
              <w:t>保证乙方的技术服务队伍顺利进入现场工作，做好协调工作，并对乙方进场人员的工作、生活提供必要的条件；</w:t>
            </w:r>
            <w:r>
              <w:rPr>
                <w:color w:val="auto"/>
                <w:sz w:val="24"/>
                <w:highlight w:val="none"/>
              </w:rPr>
              <w:t xml:space="preserve"> </w:t>
            </w:r>
            <w:r>
              <w:rPr>
                <w:rFonts w:hint="eastAsia"/>
                <w:color w:val="auto"/>
                <w:sz w:val="24"/>
                <w:highlight w:val="none"/>
              </w:rPr>
              <w:t xml:space="preserve"> </w:t>
            </w:r>
          </w:p>
          <w:p w14:paraId="73EF7863">
            <w:pPr>
              <w:pStyle w:val="22"/>
              <w:tabs>
                <w:tab w:val="left" w:pos="4680"/>
                <w:tab w:val="left" w:pos="5040"/>
              </w:tabs>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3.甲方应按本合同规定的付款方式向乙方支付相应款项；</w:t>
            </w:r>
          </w:p>
          <w:p w14:paraId="231FAE49">
            <w:pPr>
              <w:pStyle w:val="22"/>
              <w:tabs>
                <w:tab w:val="left" w:pos="4680"/>
                <w:tab w:val="left" w:pos="5040"/>
              </w:tabs>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4.未经甲方书面同意，乙方擅自变更合同，甲方有权单方解除合同并要求乙方赔偿甲方一切损失。</w:t>
            </w:r>
          </w:p>
          <w:p w14:paraId="00D30225">
            <w:pPr>
              <w:pStyle w:val="22"/>
              <w:tabs>
                <w:tab w:val="left" w:pos="4680"/>
                <w:tab w:val="left" w:pos="5040"/>
              </w:tabs>
              <w:spacing w:line="360" w:lineRule="auto"/>
              <w:rPr>
                <w:color w:val="auto"/>
                <w:sz w:val="24"/>
                <w:highlight w:val="none"/>
              </w:rPr>
            </w:pPr>
            <w:r>
              <w:rPr>
                <w:rFonts w:hint="eastAsia"/>
                <w:color w:val="auto"/>
                <w:sz w:val="24"/>
                <w:highlight w:val="none"/>
              </w:rPr>
              <w:t>5.2 乙方的</w:t>
            </w:r>
            <w:r>
              <w:rPr>
                <w:rFonts w:hint="eastAsia" w:hAnsi="宋体" w:cs="宋体"/>
                <w:color w:val="auto"/>
                <w:sz w:val="24"/>
                <w:szCs w:val="24"/>
                <w:highlight w:val="none"/>
              </w:rPr>
              <w:t>责任和</w:t>
            </w:r>
            <w:r>
              <w:rPr>
                <w:rFonts w:hint="eastAsia"/>
                <w:color w:val="auto"/>
                <w:sz w:val="24"/>
                <w:highlight w:val="none"/>
              </w:rPr>
              <w:t>义务</w:t>
            </w:r>
          </w:p>
          <w:p w14:paraId="6BA67F6E">
            <w:pPr>
              <w:pStyle w:val="22"/>
              <w:spacing w:line="360" w:lineRule="auto"/>
              <w:rPr>
                <w:color w:val="auto"/>
                <w:sz w:val="24"/>
                <w:highlight w:val="none"/>
              </w:rPr>
            </w:pPr>
            <w:r>
              <w:rPr>
                <w:rFonts w:hint="eastAsia"/>
                <w:color w:val="auto"/>
                <w:sz w:val="24"/>
                <w:highlight w:val="none"/>
              </w:rPr>
              <w:t>1.根据甲方的要求和国家相关技术规范组织实施技术服务工作；</w:t>
            </w:r>
            <w:r>
              <w:rPr>
                <w:color w:val="auto"/>
                <w:sz w:val="24"/>
                <w:highlight w:val="none"/>
              </w:rPr>
              <w:t xml:space="preserve"> </w:t>
            </w:r>
          </w:p>
          <w:p w14:paraId="55574904">
            <w:pPr>
              <w:pStyle w:val="22"/>
              <w:spacing w:line="360" w:lineRule="auto"/>
              <w:rPr>
                <w:color w:val="auto"/>
                <w:sz w:val="24"/>
                <w:highlight w:val="none"/>
              </w:rPr>
            </w:pPr>
            <w:r>
              <w:rPr>
                <w:rFonts w:hint="eastAsia"/>
                <w:color w:val="auto"/>
                <w:sz w:val="24"/>
                <w:highlight w:val="none"/>
              </w:rPr>
              <w:t>2.按合同约定确保项目服务如期完成；</w:t>
            </w:r>
          </w:p>
          <w:p w14:paraId="7665BDA8">
            <w:pPr>
              <w:pStyle w:val="22"/>
              <w:spacing w:line="360" w:lineRule="auto"/>
              <w:rPr>
                <w:color w:val="auto"/>
                <w:sz w:val="24"/>
                <w:szCs w:val="24"/>
                <w:highlight w:val="none"/>
              </w:rPr>
            </w:pPr>
            <w:r>
              <w:rPr>
                <w:rFonts w:hint="eastAsia"/>
                <w:color w:val="auto"/>
                <w:sz w:val="24"/>
                <w:highlight w:val="none"/>
              </w:rPr>
              <w:t>3.</w:t>
            </w:r>
            <w:r>
              <w:rPr>
                <w:rFonts w:hint="eastAsia" w:ascii="Times New Roman" w:hAnsi="Times New Roman"/>
                <w:color w:val="auto"/>
                <w:sz w:val="24"/>
                <w:szCs w:val="24"/>
                <w:highlight w:val="none"/>
              </w:rPr>
              <w:t>安排责任心强、业务熟练的人员到场进行普查工作，加快人防工程普查进度。</w:t>
            </w:r>
          </w:p>
          <w:p w14:paraId="07CE280B">
            <w:pPr>
              <w:pStyle w:val="22"/>
              <w:spacing w:line="360" w:lineRule="auto"/>
              <w:rPr>
                <w:color w:val="auto"/>
                <w:sz w:val="24"/>
                <w:highlight w:val="none"/>
              </w:rPr>
            </w:pPr>
            <w:r>
              <w:rPr>
                <w:rFonts w:hint="eastAsia"/>
                <w:color w:val="auto"/>
                <w:sz w:val="24"/>
                <w:highlight w:val="none"/>
              </w:rPr>
              <w:t>4.未经甲方允许，乙方不得将本合同的全部或部分转包给第三方。</w:t>
            </w:r>
          </w:p>
          <w:p w14:paraId="6A65AA0F">
            <w:pPr>
              <w:pStyle w:val="22"/>
              <w:spacing w:line="360" w:lineRule="auto"/>
              <w:rPr>
                <w:rFonts w:ascii="Times New Roman" w:hAnsi="Times New Roman"/>
                <w:color w:val="auto"/>
                <w:sz w:val="24"/>
                <w:szCs w:val="24"/>
                <w:highlight w:val="none"/>
              </w:rPr>
            </w:pPr>
            <w:r>
              <w:rPr>
                <w:rFonts w:hint="eastAsia" w:ascii="Times New Roman" w:hAnsi="Times New Roman" w:eastAsia="方正仿宋_GBK"/>
                <w:color w:val="auto"/>
                <w:sz w:val="28"/>
                <w:szCs w:val="28"/>
                <w:highlight w:val="none"/>
              </w:rPr>
              <w:t>5</w:t>
            </w:r>
            <w:r>
              <w:rPr>
                <w:rFonts w:hint="eastAsia" w:ascii="Times New Roman" w:hAnsi="Times New Roman"/>
                <w:color w:val="auto"/>
                <w:sz w:val="24"/>
                <w:szCs w:val="24"/>
                <w:highlight w:val="none"/>
              </w:rPr>
              <w:t>.要保证在项目工期内完成现场普查和数据建库工作，形成定期上报项目进度制度，上报的进度数据要准确，真实，无缺漏，说明清晰，保证项目按进度要求完成。</w:t>
            </w:r>
          </w:p>
          <w:p w14:paraId="0BC6B774">
            <w:pPr>
              <w:pStyle w:val="22"/>
              <w:spacing w:line="360" w:lineRule="auto"/>
              <w:rPr>
                <w:color w:val="auto"/>
                <w:highlight w:val="none"/>
              </w:rPr>
            </w:pPr>
          </w:p>
          <w:p w14:paraId="120478E7">
            <w:pPr>
              <w:pStyle w:val="22"/>
              <w:tabs>
                <w:tab w:val="left" w:pos="4680"/>
                <w:tab w:val="left" w:pos="5040"/>
              </w:tabs>
              <w:spacing w:line="360" w:lineRule="auto"/>
              <w:rPr>
                <w:rFonts w:hAnsi="宋体" w:cs="宋体"/>
                <w:color w:val="auto"/>
                <w:sz w:val="24"/>
                <w:szCs w:val="24"/>
                <w:highlight w:val="none"/>
              </w:rPr>
            </w:pPr>
            <w:r>
              <w:rPr>
                <w:rFonts w:hint="eastAsia" w:hAnsi="宋体" w:cs="宋体"/>
                <w:b/>
                <w:color w:val="auto"/>
                <w:sz w:val="24"/>
                <w:szCs w:val="24"/>
                <w:highlight w:val="none"/>
              </w:rPr>
              <w:t xml:space="preserve">第五条  </w:t>
            </w:r>
            <w:r>
              <w:rPr>
                <w:rFonts w:hint="eastAsia" w:hAnsi="宋体" w:cs="宋体"/>
                <w:color w:val="auto"/>
                <w:sz w:val="24"/>
                <w:szCs w:val="24"/>
                <w:highlight w:val="none"/>
              </w:rPr>
              <w:t>乙方确定因履行本合同应遵守的保密义务如下:</w:t>
            </w:r>
          </w:p>
          <w:p w14:paraId="404EA454">
            <w:pPr>
              <w:pStyle w:val="22"/>
              <w:spacing w:line="360" w:lineRule="auto"/>
              <w:rPr>
                <w:rFonts w:hAnsi="宋体" w:cs="宋体"/>
                <w:color w:val="auto"/>
                <w:sz w:val="24"/>
                <w:szCs w:val="24"/>
                <w:highlight w:val="none"/>
              </w:rPr>
            </w:pPr>
            <w:r>
              <w:rPr>
                <w:rFonts w:hint="eastAsia" w:cs="宋体"/>
                <w:color w:val="auto"/>
                <w:sz w:val="24"/>
                <w:highlight w:val="none"/>
              </w:rPr>
              <w:t>1.保密内容(包括技术信息和经营信息):</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434CCBEC">
            <w:pPr>
              <w:pStyle w:val="22"/>
              <w:spacing w:line="360" w:lineRule="auto"/>
              <w:rPr>
                <w:rFonts w:hAnsi="宋体" w:cs="宋体"/>
                <w:color w:val="auto"/>
                <w:sz w:val="24"/>
                <w:szCs w:val="24"/>
                <w:highlight w:val="none"/>
              </w:rPr>
            </w:pPr>
            <w:r>
              <w:rPr>
                <w:rFonts w:hint="eastAsia" w:hAnsi="宋体" w:cs="宋体"/>
                <w:color w:val="auto"/>
                <w:sz w:val="24"/>
                <w:szCs w:val="24"/>
                <w:highlight w:val="none"/>
              </w:rPr>
              <w:t>2.涉密人员范围:</w:t>
            </w:r>
            <w:r>
              <w:rPr>
                <w:rFonts w:hint="eastAsia" w:hAnsi="宋体" w:cs="宋体"/>
                <w:color w:val="auto"/>
                <w:sz w:val="24"/>
                <w:szCs w:val="24"/>
                <w:highlight w:val="none"/>
                <w:u w:val="single"/>
              </w:rPr>
              <w:t xml:space="preserve">          全体员工                            </w:t>
            </w:r>
            <w:r>
              <w:rPr>
                <w:rFonts w:hint="eastAsia" w:hAnsi="宋体" w:cs="宋体"/>
                <w:color w:val="auto"/>
                <w:sz w:val="24"/>
                <w:szCs w:val="24"/>
                <w:highlight w:val="none"/>
              </w:rPr>
              <w:t>。</w:t>
            </w:r>
          </w:p>
          <w:p w14:paraId="08510D15">
            <w:pPr>
              <w:pStyle w:val="22"/>
              <w:spacing w:line="360" w:lineRule="auto"/>
              <w:rPr>
                <w:rFonts w:hAnsi="宋体" w:cs="宋体"/>
                <w:color w:val="auto"/>
                <w:sz w:val="24"/>
                <w:szCs w:val="24"/>
                <w:highlight w:val="none"/>
              </w:rPr>
            </w:pPr>
            <w:r>
              <w:rPr>
                <w:rFonts w:hint="eastAsia" w:hAnsi="宋体" w:cs="宋体"/>
                <w:color w:val="auto"/>
                <w:sz w:val="24"/>
                <w:szCs w:val="24"/>
                <w:highlight w:val="none"/>
              </w:rPr>
              <w:t>3.保密期限:</w:t>
            </w:r>
            <w:r>
              <w:rPr>
                <w:rFonts w:hint="eastAsia" w:hAnsi="宋体" w:cs="宋体"/>
                <w:color w:val="auto"/>
                <w:sz w:val="24"/>
                <w:szCs w:val="24"/>
                <w:highlight w:val="none"/>
                <w:u w:val="single"/>
              </w:rPr>
              <w:t xml:space="preserve">                长期                              </w:t>
            </w:r>
            <w:r>
              <w:rPr>
                <w:rFonts w:hint="eastAsia" w:hAnsi="宋体" w:cs="宋体"/>
                <w:color w:val="auto"/>
                <w:sz w:val="24"/>
                <w:szCs w:val="24"/>
                <w:highlight w:val="none"/>
              </w:rPr>
              <w:t>。</w:t>
            </w:r>
          </w:p>
          <w:p w14:paraId="11B61440">
            <w:pPr>
              <w:pStyle w:val="22"/>
              <w:spacing w:line="360" w:lineRule="auto"/>
              <w:rPr>
                <w:rFonts w:hAnsi="宋体" w:cs="宋体"/>
                <w:color w:val="auto"/>
                <w:sz w:val="24"/>
                <w:szCs w:val="24"/>
                <w:highlight w:val="none"/>
                <w:u w:val="single"/>
              </w:rPr>
            </w:pPr>
            <w:r>
              <w:rPr>
                <w:rFonts w:hint="eastAsia" w:hAnsi="宋体" w:cs="宋体"/>
                <w:color w:val="auto"/>
                <w:sz w:val="24"/>
                <w:szCs w:val="24"/>
                <w:highlight w:val="none"/>
              </w:rPr>
              <w:t>4.泄密责任:</w:t>
            </w:r>
            <w:r>
              <w:rPr>
                <w:rFonts w:hint="eastAsia" w:hAnsi="宋体" w:cs="宋体"/>
                <w:color w:val="auto"/>
                <w:sz w:val="24"/>
                <w:szCs w:val="24"/>
                <w:highlight w:val="none"/>
                <w:u w:val="single"/>
              </w:rPr>
              <w:t xml:space="preserve"> 依据</w:t>
            </w:r>
            <w:r>
              <w:rPr>
                <w:rFonts w:hint="eastAsia"/>
                <w:color w:val="auto"/>
                <w:sz w:val="24"/>
                <w:szCs w:val="24"/>
                <w:highlight w:val="none"/>
                <w:u w:val="words"/>
              </w:rPr>
              <w:t>《中华人民共和国保密法》、《中华人民共和国测绘法》、《中华人民共和国测绘成果管理条例》等相关保密</w:t>
            </w:r>
            <w:r>
              <w:rPr>
                <w:rFonts w:hint="eastAsia" w:hAnsi="宋体" w:cs="宋体"/>
                <w:color w:val="auto"/>
                <w:sz w:val="24"/>
                <w:szCs w:val="24"/>
                <w:highlight w:val="none"/>
                <w:u w:val="single"/>
              </w:rPr>
              <w:t>条款执行 。</w:t>
            </w:r>
          </w:p>
          <w:p w14:paraId="3FA3B3E3">
            <w:pPr>
              <w:pStyle w:val="22"/>
              <w:spacing w:line="360" w:lineRule="auto"/>
              <w:rPr>
                <w:color w:val="auto"/>
                <w:sz w:val="24"/>
                <w:highlight w:val="none"/>
              </w:rPr>
            </w:pPr>
            <w:r>
              <w:rPr>
                <w:rFonts w:hint="eastAsia" w:hAnsi="宋体" w:cs="宋体"/>
                <w:b/>
                <w:color w:val="auto"/>
                <w:sz w:val="24"/>
                <w:szCs w:val="24"/>
                <w:highlight w:val="none"/>
              </w:rPr>
              <w:t xml:space="preserve">第六条 </w:t>
            </w:r>
            <w:r>
              <w:rPr>
                <w:rFonts w:hint="eastAsia"/>
                <w:color w:val="auto"/>
                <w:sz w:val="24"/>
                <w:highlight w:val="none"/>
              </w:rPr>
              <w:t>技术服务费：</w:t>
            </w:r>
          </w:p>
          <w:p w14:paraId="7808E634">
            <w:pPr>
              <w:pStyle w:val="22"/>
              <w:spacing w:line="360" w:lineRule="auto"/>
              <w:rPr>
                <w:color w:val="auto"/>
                <w:sz w:val="24"/>
                <w:highlight w:val="none"/>
              </w:rPr>
            </w:pPr>
            <w:r>
              <w:rPr>
                <w:rFonts w:hint="eastAsia"/>
                <w:color w:val="auto"/>
                <w:sz w:val="24"/>
                <w:highlight w:val="none"/>
              </w:rPr>
              <w:t>1.项目费用及工作量计算表：</w:t>
            </w:r>
          </w:p>
          <w:tbl>
            <w:tblPr>
              <w:tblStyle w:val="44"/>
              <w:tblW w:w="8159" w:type="dxa"/>
              <w:tblInd w:w="43" w:type="dxa"/>
              <w:tblLayout w:type="fixed"/>
              <w:tblCellMar>
                <w:top w:w="0" w:type="dxa"/>
                <w:left w:w="108" w:type="dxa"/>
                <w:bottom w:w="0" w:type="dxa"/>
                <w:right w:w="108" w:type="dxa"/>
              </w:tblCellMar>
            </w:tblPr>
            <w:tblGrid>
              <w:gridCol w:w="509"/>
              <w:gridCol w:w="1525"/>
              <w:gridCol w:w="1280"/>
              <w:gridCol w:w="1139"/>
              <w:gridCol w:w="1286"/>
              <w:gridCol w:w="2420"/>
            </w:tblGrid>
            <w:tr w14:paraId="26542E34">
              <w:tblPrEx>
                <w:tblCellMar>
                  <w:top w:w="0" w:type="dxa"/>
                  <w:left w:w="108" w:type="dxa"/>
                  <w:bottom w:w="0" w:type="dxa"/>
                  <w:right w:w="108" w:type="dxa"/>
                </w:tblCellMar>
              </w:tblPrEx>
              <w:trPr>
                <w:trHeight w:val="1220" w:hRule="atLeast"/>
              </w:trPr>
              <w:tc>
                <w:tcPr>
                  <w:tcW w:w="509" w:type="dxa"/>
                  <w:tcBorders>
                    <w:top w:val="single" w:color="auto" w:sz="4" w:space="0"/>
                    <w:left w:val="single" w:color="auto" w:sz="4" w:space="0"/>
                    <w:bottom w:val="single" w:color="auto" w:sz="4" w:space="0"/>
                    <w:right w:val="single" w:color="auto" w:sz="4" w:space="0"/>
                  </w:tcBorders>
                </w:tcPr>
                <w:p w14:paraId="35F9093B">
                  <w:pPr>
                    <w:pStyle w:val="22"/>
                    <w:spacing w:line="360" w:lineRule="auto"/>
                    <w:rPr>
                      <w:rFonts w:cs="宋体"/>
                      <w:color w:val="auto"/>
                      <w:sz w:val="24"/>
                      <w:szCs w:val="21"/>
                      <w:highlight w:val="none"/>
                    </w:rPr>
                  </w:pPr>
                  <w:r>
                    <w:rPr>
                      <w:rFonts w:hint="eastAsia" w:cs="宋体"/>
                      <w:color w:val="auto"/>
                      <w:sz w:val="24"/>
                      <w:szCs w:val="21"/>
                      <w:highlight w:val="none"/>
                    </w:rPr>
                    <w:t>序号</w:t>
                  </w:r>
                </w:p>
              </w:tc>
              <w:tc>
                <w:tcPr>
                  <w:tcW w:w="1525" w:type="dxa"/>
                  <w:tcBorders>
                    <w:top w:val="single" w:color="auto" w:sz="4" w:space="0"/>
                    <w:left w:val="nil"/>
                    <w:bottom w:val="single" w:color="auto" w:sz="4" w:space="0"/>
                    <w:right w:val="single" w:color="auto" w:sz="4" w:space="0"/>
                  </w:tcBorders>
                  <w:vAlign w:val="center"/>
                </w:tcPr>
                <w:p w14:paraId="4841D15B">
                  <w:pPr>
                    <w:pStyle w:val="22"/>
                    <w:spacing w:line="360" w:lineRule="auto"/>
                    <w:jc w:val="center"/>
                    <w:rPr>
                      <w:rFonts w:cs="宋体"/>
                      <w:color w:val="auto"/>
                      <w:sz w:val="24"/>
                      <w:szCs w:val="21"/>
                      <w:highlight w:val="none"/>
                    </w:rPr>
                  </w:pPr>
                  <w:r>
                    <w:rPr>
                      <w:rFonts w:hint="eastAsia" w:cs="宋体"/>
                      <w:color w:val="auto"/>
                      <w:sz w:val="24"/>
                      <w:szCs w:val="21"/>
                      <w:highlight w:val="none"/>
                    </w:rPr>
                    <w:t>项目内容</w:t>
                  </w:r>
                </w:p>
              </w:tc>
              <w:tc>
                <w:tcPr>
                  <w:tcW w:w="1280" w:type="dxa"/>
                  <w:tcBorders>
                    <w:top w:val="single" w:color="auto" w:sz="4" w:space="0"/>
                    <w:left w:val="nil"/>
                    <w:bottom w:val="single" w:color="auto" w:sz="4" w:space="0"/>
                    <w:right w:val="single" w:color="auto" w:sz="4" w:space="0"/>
                  </w:tcBorders>
                  <w:vAlign w:val="center"/>
                </w:tcPr>
                <w:p w14:paraId="69733221">
                  <w:pPr>
                    <w:pStyle w:val="22"/>
                    <w:spacing w:line="360" w:lineRule="auto"/>
                    <w:jc w:val="center"/>
                    <w:rPr>
                      <w:rFonts w:cs="宋体"/>
                      <w:color w:val="auto"/>
                      <w:sz w:val="24"/>
                      <w:szCs w:val="21"/>
                      <w:highlight w:val="none"/>
                    </w:rPr>
                  </w:pPr>
                  <w:r>
                    <w:rPr>
                      <w:rFonts w:hint="eastAsia" w:cs="宋体"/>
                      <w:color w:val="auto"/>
                      <w:sz w:val="24"/>
                      <w:szCs w:val="21"/>
                      <w:highlight w:val="none"/>
                    </w:rPr>
                    <w:t>数量</w:t>
                  </w:r>
                </w:p>
              </w:tc>
              <w:tc>
                <w:tcPr>
                  <w:tcW w:w="1139" w:type="dxa"/>
                  <w:tcBorders>
                    <w:top w:val="single" w:color="auto" w:sz="4" w:space="0"/>
                    <w:left w:val="nil"/>
                    <w:bottom w:val="single" w:color="auto" w:sz="4" w:space="0"/>
                    <w:right w:val="single" w:color="auto" w:sz="4" w:space="0"/>
                  </w:tcBorders>
                  <w:vAlign w:val="center"/>
                </w:tcPr>
                <w:p w14:paraId="0C4416C4">
                  <w:pPr>
                    <w:pStyle w:val="22"/>
                    <w:spacing w:line="360" w:lineRule="auto"/>
                    <w:jc w:val="center"/>
                    <w:rPr>
                      <w:rFonts w:cs="宋体"/>
                      <w:color w:val="auto"/>
                      <w:sz w:val="24"/>
                      <w:szCs w:val="21"/>
                      <w:highlight w:val="none"/>
                    </w:rPr>
                  </w:pPr>
                  <w:r>
                    <w:rPr>
                      <w:rFonts w:hint="eastAsia" w:cs="宋体"/>
                      <w:color w:val="auto"/>
                      <w:sz w:val="24"/>
                      <w:szCs w:val="21"/>
                      <w:highlight w:val="none"/>
                    </w:rPr>
                    <w:t>单价</w:t>
                  </w:r>
                </w:p>
              </w:tc>
              <w:tc>
                <w:tcPr>
                  <w:tcW w:w="1286" w:type="dxa"/>
                  <w:tcBorders>
                    <w:top w:val="single" w:color="auto" w:sz="4" w:space="0"/>
                    <w:left w:val="nil"/>
                    <w:bottom w:val="single" w:color="auto" w:sz="4" w:space="0"/>
                    <w:right w:val="single" w:color="auto" w:sz="4" w:space="0"/>
                  </w:tcBorders>
                  <w:vAlign w:val="center"/>
                </w:tcPr>
                <w:p w14:paraId="5CE0C434">
                  <w:pPr>
                    <w:pStyle w:val="22"/>
                    <w:spacing w:line="360" w:lineRule="auto"/>
                    <w:jc w:val="center"/>
                    <w:rPr>
                      <w:rFonts w:cs="宋体"/>
                      <w:color w:val="auto"/>
                      <w:sz w:val="24"/>
                      <w:szCs w:val="21"/>
                      <w:highlight w:val="none"/>
                    </w:rPr>
                  </w:pPr>
                  <w:r>
                    <w:rPr>
                      <w:rFonts w:hint="eastAsia" w:cs="宋体"/>
                      <w:color w:val="auto"/>
                      <w:sz w:val="24"/>
                      <w:szCs w:val="21"/>
                      <w:highlight w:val="none"/>
                    </w:rPr>
                    <w:t>项目费用（万元）</w:t>
                  </w:r>
                </w:p>
              </w:tc>
              <w:tc>
                <w:tcPr>
                  <w:tcW w:w="2420" w:type="dxa"/>
                  <w:tcBorders>
                    <w:top w:val="single" w:color="auto" w:sz="4" w:space="0"/>
                    <w:left w:val="nil"/>
                    <w:bottom w:val="single" w:color="auto" w:sz="4" w:space="0"/>
                    <w:right w:val="single" w:color="auto" w:sz="4" w:space="0"/>
                  </w:tcBorders>
                  <w:vAlign w:val="center"/>
                </w:tcPr>
                <w:p w14:paraId="4822F3C7">
                  <w:pPr>
                    <w:pStyle w:val="22"/>
                    <w:spacing w:line="360" w:lineRule="auto"/>
                    <w:jc w:val="center"/>
                    <w:rPr>
                      <w:rFonts w:ascii="方正仿宋_GBK" w:hAnsi="宋体" w:eastAsia="方正仿宋_GBK" w:cs="宋体"/>
                      <w:b/>
                      <w:bCs/>
                      <w:color w:val="auto"/>
                      <w:kern w:val="0"/>
                      <w:sz w:val="28"/>
                      <w:szCs w:val="28"/>
                      <w:highlight w:val="none"/>
                    </w:rPr>
                  </w:pPr>
                  <w:r>
                    <w:rPr>
                      <w:rFonts w:hint="eastAsia" w:ascii="方正仿宋_GBK" w:hAnsi="宋体" w:eastAsia="方正仿宋_GBK" w:cs="宋体"/>
                      <w:b/>
                      <w:bCs/>
                      <w:color w:val="auto"/>
                      <w:kern w:val="0"/>
                      <w:sz w:val="28"/>
                      <w:szCs w:val="28"/>
                      <w:highlight w:val="none"/>
                    </w:rPr>
                    <w:t>说明</w:t>
                  </w:r>
                </w:p>
              </w:tc>
            </w:tr>
            <w:tr w14:paraId="4F13E9CD">
              <w:tblPrEx>
                <w:tblCellMar>
                  <w:top w:w="0" w:type="dxa"/>
                  <w:left w:w="108" w:type="dxa"/>
                  <w:bottom w:w="0" w:type="dxa"/>
                  <w:right w:w="108" w:type="dxa"/>
                </w:tblCellMar>
              </w:tblPrEx>
              <w:trPr>
                <w:trHeight w:val="1493" w:hRule="atLeast"/>
              </w:trPr>
              <w:tc>
                <w:tcPr>
                  <w:tcW w:w="509" w:type="dxa"/>
                  <w:tcBorders>
                    <w:top w:val="nil"/>
                    <w:left w:val="single" w:color="auto" w:sz="4" w:space="0"/>
                    <w:bottom w:val="single" w:color="auto" w:sz="4" w:space="0"/>
                    <w:right w:val="single" w:color="auto" w:sz="4" w:space="0"/>
                  </w:tcBorders>
                  <w:vAlign w:val="center"/>
                </w:tcPr>
                <w:p w14:paraId="4B8EB548">
                  <w:pPr>
                    <w:pStyle w:val="22"/>
                    <w:spacing w:line="360" w:lineRule="auto"/>
                    <w:rPr>
                      <w:rFonts w:cs="宋体"/>
                      <w:color w:val="auto"/>
                      <w:sz w:val="24"/>
                      <w:szCs w:val="21"/>
                      <w:highlight w:val="none"/>
                    </w:rPr>
                  </w:pPr>
                  <w:r>
                    <w:rPr>
                      <w:rFonts w:hint="eastAsia" w:cs="宋体"/>
                      <w:color w:val="auto"/>
                      <w:sz w:val="24"/>
                      <w:szCs w:val="21"/>
                      <w:highlight w:val="none"/>
                    </w:rPr>
                    <w:t>1</w:t>
                  </w:r>
                </w:p>
              </w:tc>
              <w:tc>
                <w:tcPr>
                  <w:tcW w:w="1525" w:type="dxa"/>
                  <w:tcBorders>
                    <w:top w:val="nil"/>
                    <w:left w:val="nil"/>
                    <w:bottom w:val="single" w:color="auto" w:sz="4" w:space="0"/>
                    <w:right w:val="single" w:color="auto" w:sz="4" w:space="0"/>
                  </w:tcBorders>
                  <w:vAlign w:val="center"/>
                </w:tcPr>
                <w:p w14:paraId="34574D6E">
                  <w:pPr>
                    <w:pStyle w:val="22"/>
                    <w:spacing w:line="360" w:lineRule="auto"/>
                    <w:rPr>
                      <w:rFonts w:cs="宋体"/>
                      <w:color w:val="auto"/>
                      <w:sz w:val="24"/>
                      <w:szCs w:val="21"/>
                      <w:highlight w:val="none"/>
                    </w:rPr>
                  </w:pPr>
                </w:p>
              </w:tc>
              <w:tc>
                <w:tcPr>
                  <w:tcW w:w="1280" w:type="dxa"/>
                  <w:tcBorders>
                    <w:top w:val="nil"/>
                    <w:left w:val="nil"/>
                    <w:bottom w:val="single" w:color="auto" w:sz="4" w:space="0"/>
                    <w:right w:val="single" w:color="auto" w:sz="4" w:space="0"/>
                  </w:tcBorders>
                  <w:vAlign w:val="center"/>
                </w:tcPr>
                <w:p w14:paraId="40541425">
                  <w:pPr>
                    <w:pStyle w:val="22"/>
                    <w:spacing w:line="360" w:lineRule="auto"/>
                    <w:rPr>
                      <w:rFonts w:cs="宋体"/>
                      <w:color w:val="auto"/>
                      <w:sz w:val="24"/>
                      <w:szCs w:val="21"/>
                      <w:highlight w:val="none"/>
                    </w:rPr>
                  </w:pPr>
                </w:p>
              </w:tc>
              <w:tc>
                <w:tcPr>
                  <w:tcW w:w="1139" w:type="dxa"/>
                  <w:tcBorders>
                    <w:top w:val="nil"/>
                    <w:left w:val="nil"/>
                    <w:bottom w:val="single" w:color="auto" w:sz="4" w:space="0"/>
                    <w:right w:val="single" w:color="auto" w:sz="4" w:space="0"/>
                  </w:tcBorders>
                  <w:vAlign w:val="center"/>
                </w:tcPr>
                <w:p w14:paraId="211427A8">
                  <w:pPr>
                    <w:pStyle w:val="22"/>
                    <w:spacing w:line="360" w:lineRule="auto"/>
                    <w:rPr>
                      <w:rFonts w:cs="宋体"/>
                      <w:color w:val="auto"/>
                      <w:sz w:val="24"/>
                      <w:szCs w:val="21"/>
                      <w:highlight w:val="none"/>
                    </w:rPr>
                  </w:pPr>
                </w:p>
              </w:tc>
              <w:tc>
                <w:tcPr>
                  <w:tcW w:w="1286" w:type="dxa"/>
                  <w:tcBorders>
                    <w:top w:val="nil"/>
                    <w:left w:val="nil"/>
                    <w:bottom w:val="single" w:color="auto" w:sz="4" w:space="0"/>
                    <w:right w:val="single" w:color="auto" w:sz="4" w:space="0"/>
                  </w:tcBorders>
                  <w:vAlign w:val="center"/>
                </w:tcPr>
                <w:p w14:paraId="4C9EF4C2">
                  <w:pPr>
                    <w:pStyle w:val="22"/>
                    <w:spacing w:line="360" w:lineRule="auto"/>
                    <w:rPr>
                      <w:rFonts w:cs="宋体"/>
                      <w:color w:val="auto"/>
                      <w:sz w:val="24"/>
                      <w:szCs w:val="21"/>
                      <w:highlight w:val="none"/>
                    </w:rPr>
                  </w:pPr>
                </w:p>
              </w:tc>
              <w:tc>
                <w:tcPr>
                  <w:tcW w:w="2420" w:type="dxa"/>
                  <w:tcBorders>
                    <w:top w:val="nil"/>
                    <w:left w:val="nil"/>
                    <w:bottom w:val="single" w:color="auto" w:sz="4" w:space="0"/>
                    <w:right w:val="single" w:color="auto" w:sz="4" w:space="0"/>
                  </w:tcBorders>
                  <w:vAlign w:val="center"/>
                </w:tcPr>
                <w:p w14:paraId="4C2CD87F">
                  <w:pPr>
                    <w:rPr>
                      <w:color w:val="auto"/>
                      <w:highlight w:val="none"/>
                    </w:rPr>
                  </w:pPr>
                </w:p>
                <w:p w14:paraId="7603EBAC">
                  <w:pPr>
                    <w:pStyle w:val="22"/>
                    <w:spacing w:line="360" w:lineRule="auto"/>
                    <w:rPr>
                      <w:rFonts w:ascii="方正仿宋_GBK" w:hAnsi="宋体" w:eastAsia="方正仿宋_GBK" w:cs="宋体"/>
                      <w:color w:val="auto"/>
                      <w:kern w:val="0"/>
                      <w:sz w:val="28"/>
                      <w:szCs w:val="28"/>
                      <w:highlight w:val="none"/>
                    </w:rPr>
                  </w:pPr>
                </w:p>
              </w:tc>
            </w:tr>
            <w:tr w14:paraId="22D46F50">
              <w:tblPrEx>
                <w:tblCellMar>
                  <w:top w:w="0" w:type="dxa"/>
                  <w:left w:w="108" w:type="dxa"/>
                  <w:bottom w:w="0" w:type="dxa"/>
                  <w:right w:w="108" w:type="dxa"/>
                </w:tblCellMar>
              </w:tblPrEx>
              <w:trPr>
                <w:trHeight w:val="750" w:hRule="atLeast"/>
              </w:trPr>
              <w:tc>
                <w:tcPr>
                  <w:tcW w:w="509" w:type="dxa"/>
                  <w:tcBorders>
                    <w:top w:val="nil"/>
                    <w:left w:val="single" w:color="auto" w:sz="4" w:space="0"/>
                    <w:bottom w:val="single" w:color="auto" w:sz="4" w:space="0"/>
                    <w:right w:val="single" w:color="auto" w:sz="4" w:space="0"/>
                  </w:tcBorders>
                  <w:vAlign w:val="center"/>
                </w:tcPr>
                <w:p w14:paraId="0D6BF286">
                  <w:pPr>
                    <w:pStyle w:val="22"/>
                    <w:spacing w:line="360" w:lineRule="auto"/>
                    <w:rPr>
                      <w:rFonts w:cs="宋体"/>
                      <w:color w:val="auto"/>
                      <w:sz w:val="24"/>
                      <w:szCs w:val="21"/>
                      <w:highlight w:val="none"/>
                    </w:rPr>
                  </w:pPr>
                  <w:r>
                    <w:rPr>
                      <w:rFonts w:hint="eastAsia" w:cs="宋体"/>
                      <w:color w:val="auto"/>
                      <w:sz w:val="24"/>
                      <w:szCs w:val="21"/>
                      <w:highlight w:val="none"/>
                    </w:rPr>
                    <w:t>2</w:t>
                  </w:r>
                </w:p>
              </w:tc>
              <w:tc>
                <w:tcPr>
                  <w:tcW w:w="1525" w:type="dxa"/>
                  <w:tcBorders>
                    <w:top w:val="nil"/>
                    <w:left w:val="nil"/>
                    <w:bottom w:val="single" w:color="auto" w:sz="4" w:space="0"/>
                    <w:right w:val="single" w:color="auto" w:sz="4" w:space="0"/>
                  </w:tcBorders>
                  <w:vAlign w:val="center"/>
                </w:tcPr>
                <w:p w14:paraId="596E8100">
                  <w:pPr>
                    <w:pStyle w:val="22"/>
                    <w:spacing w:line="360" w:lineRule="auto"/>
                    <w:rPr>
                      <w:rFonts w:cs="宋体"/>
                      <w:color w:val="auto"/>
                      <w:sz w:val="24"/>
                      <w:szCs w:val="21"/>
                      <w:highlight w:val="none"/>
                    </w:rPr>
                  </w:pPr>
                </w:p>
              </w:tc>
              <w:tc>
                <w:tcPr>
                  <w:tcW w:w="1280" w:type="dxa"/>
                  <w:tcBorders>
                    <w:top w:val="nil"/>
                    <w:left w:val="nil"/>
                    <w:bottom w:val="single" w:color="auto" w:sz="4" w:space="0"/>
                    <w:right w:val="single" w:color="auto" w:sz="4" w:space="0"/>
                  </w:tcBorders>
                  <w:vAlign w:val="center"/>
                </w:tcPr>
                <w:p w14:paraId="388824DA">
                  <w:pPr>
                    <w:pStyle w:val="22"/>
                    <w:spacing w:line="360" w:lineRule="auto"/>
                    <w:rPr>
                      <w:rFonts w:cs="宋体"/>
                      <w:color w:val="auto"/>
                      <w:sz w:val="24"/>
                      <w:szCs w:val="21"/>
                      <w:highlight w:val="none"/>
                    </w:rPr>
                  </w:pPr>
                </w:p>
              </w:tc>
              <w:tc>
                <w:tcPr>
                  <w:tcW w:w="1139" w:type="dxa"/>
                  <w:tcBorders>
                    <w:top w:val="nil"/>
                    <w:left w:val="nil"/>
                    <w:bottom w:val="single" w:color="auto" w:sz="4" w:space="0"/>
                    <w:right w:val="single" w:color="auto" w:sz="4" w:space="0"/>
                  </w:tcBorders>
                  <w:vAlign w:val="center"/>
                </w:tcPr>
                <w:p w14:paraId="0FCA7F4B">
                  <w:pPr>
                    <w:pStyle w:val="22"/>
                    <w:spacing w:line="360" w:lineRule="auto"/>
                    <w:rPr>
                      <w:rFonts w:cs="宋体"/>
                      <w:color w:val="auto"/>
                      <w:sz w:val="24"/>
                      <w:szCs w:val="21"/>
                      <w:highlight w:val="none"/>
                    </w:rPr>
                  </w:pPr>
                </w:p>
              </w:tc>
              <w:tc>
                <w:tcPr>
                  <w:tcW w:w="1286" w:type="dxa"/>
                  <w:tcBorders>
                    <w:top w:val="nil"/>
                    <w:left w:val="nil"/>
                    <w:bottom w:val="single" w:color="auto" w:sz="4" w:space="0"/>
                    <w:right w:val="single" w:color="auto" w:sz="4" w:space="0"/>
                  </w:tcBorders>
                  <w:vAlign w:val="center"/>
                </w:tcPr>
                <w:p w14:paraId="2B72C446">
                  <w:pPr>
                    <w:pStyle w:val="22"/>
                    <w:spacing w:line="360" w:lineRule="auto"/>
                    <w:rPr>
                      <w:rFonts w:cs="宋体"/>
                      <w:color w:val="auto"/>
                      <w:sz w:val="24"/>
                      <w:szCs w:val="21"/>
                      <w:highlight w:val="none"/>
                    </w:rPr>
                  </w:pPr>
                </w:p>
              </w:tc>
              <w:tc>
                <w:tcPr>
                  <w:tcW w:w="2420" w:type="dxa"/>
                  <w:tcBorders>
                    <w:top w:val="nil"/>
                    <w:left w:val="nil"/>
                    <w:bottom w:val="single" w:color="auto" w:sz="4" w:space="0"/>
                    <w:right w:val="single" w:color="auto" w:sz="4" w:space="0"/>
                  </w:tcBorders>
                  <w:vAlign w:val="center"/>
                </w:tcPr>
                <w:p w14:paraId="2F359B62">
                  <w:pPr>
                    <w:pStyle w:val="22"/>
                    <w:spacing w:line="360" w:lineRule="auto"/>
                    <w:rPr>
                      <w:rFonts w:ascii="方正仿宋_GBK" w:hAnsi="宋体" w:eastAsia="方正仿宋_GBK" w:cs="宋体"/>
                      <w:color w:val="auto"/>
                      <w:kern w:val="0"/>
                      <w:sz w:val="28"/>
                      <w:szCs w:val="28"/>
                      <w:highlight w:val="none"/>
                    </w:rPr>
                  </w:pPr>
                </w:p>
              </w:tc>
            </w:tr>
            <w:tr w14:paraId="3AB2F337">
              <w:tblPrEx>
                <w:tblCellMar>
                  <w:top w:w="0" w:type="dxa"/>
                  <w:left w:w="108" w:type="dxa"/>
                  <w:bottom w:w="0" w:type="dxa"/>
                  <w:right w:w="108" w:type="dxa"/>
                </w:tblCellMar>
              </w:tblPrEx>
              <w:trPr>
                <w:trHeight w:val="1020" w:hRule="atLeast"/>
              </w:trPr>
              <w:tc>
                <w:tcPr>
                  <w:tcW w:w="4453" w:type="dxa"/>
                  <w:gridSpan w:val="4"/>
                  <w:tcBorders>
                    <w:top w:val="single" w:color="auto" w:sz="4" w:space="0"/>
                    <w:left w:val="single" w:color="auto" w:sz="4" w:space="0"/>
                    <w:bottom w:val="single" w:color="auto" w:sz="4" w:space="0"/>
                    <w:right w:val="single" w:color="auto" w:sz="4" w:space="0"/>
                  </w:tcBorders>
                  <w:vAlign w:val="center"/>
                </w:tcPr>
                <w:p w14:paraId="39CFD3A5">
                  <w:pPr>
                    <w:pStyle w:val="22"/>
                    <w:spacing w:line="360" w:lineRule="auto"/>
                    <w:rPr>
                      <w:rFonts w:ascii="方正仿宋_GBK" w:hAnsi="宋体" w:eastAsia="方正仿宋_GBK" w:cs="宋体"/>
                      <w:b/>
                      <w:bCs/>
                      <w:color w:val="auto"/>
                      <w:kern w:val="0"/>
                      <w:sz w:val="28"/>
                      <w:szCs w:val="28"/>
                      <w:highlight w:val="none"/>
                    </w:rPr>
                  </w:pPr>
                  <w:r>
                    <w:rPr>
                      <w:rFonts w:hint="eastAsia" w:ascii="方正仿宋_GBK" w:hAnsi="宋体" w:eastAsia="方正仿宋_GBK" w:cs="宋体"/>
                      <w:b/>
                      <w:bCs/>
                      <w:color w:val="auto"/>
                      <w:kern w:val="0"/>
                      <w:sz w:val="28"/>
                      <w:szCs w:val="28"/>
                      <w:highlight w:val="none"/>
                    </w:rPr>
                    <w:t>合      计</w:t>
                  </w:r>
                </w:p>
              </w:tc>
              <w:tc>
                <w:tcPr>
                  <w:tcW w:w="1286" w:type="dxa"/>
                  <w:tcBorders>
                    <w:top w:val="nil"/>
                    <w:left w:val="nil"/>
                    <w:bottom w:val="single" w:color="auto" w:sz="4" w:space="0"/>
                    <w:right w:val="single" w:color="auto" w:sz="4" w:space="0"/>
                  </w:tcBorders>
                  <w:vAlign w:val="center"/>
                </w:tcPr>
                <w:p w14:paraId="544DDB2D">
                  <w:pPr>
                    <w:pStyle w:val="22"/>
                    <w:spacing w:line="360" w:lineRule="auto"/>
                    <w:rPr>
                      <w:rFonts w:ascii="方正仿宋_GBK" w:hAnsi="宋体" w:eastAsia="方正仿宋_GBK" w:cs="宋体"/>
                      <w:color w:val="auto"/>
                      <w:kern w:val="0"/>
                      <w:sz w:val="28"/>
                      <w:szCs w:val="28"/>
                      <w:highlight w:val="none"/>
                    </w:rPr>
                  </w:pPr>
                </w:p>
              </w:tc>
              <w:tc>
                <w:tcPr>
                  <w:tcW w:w="2420" w:type="dxa"/>
                  <w:tcBorders>
                    <w:top w:val="nil"/>
                    <w:left w:val="nil"/>
                    <w:bottom w:val="single" w:color="auto" w:sz="4" w:space="0"/>
                    <w:right w:val="single" w:color="auto" w:sz="4" w:space="0"/>
                  </w:tcBorders>
                  <w:noWrap/>
                  <w:vAlign w:val="center"/>
                </w:tcPr>
                <w:p w14:paraId="0E17B992">
                  <w:pPr>
                    <w:pStyle w:val="22"/>
                    <w:spacing w:line="360" w:lineRule="auto"/>
                    <w:rPr>
                      <w:rFonts w:hAnsi="宋体" w:cs="宋体"/>
                      <w:color w:val="auto"/>
                      <w:kern w:val="0"/>
                      <w:sz w:val="22"/>
                      <w:szCs w:val="22"/>
                      <w:highlight w:val="none"/>
                    </w:rPr>
                  </w:pPr>
                </w:p>
              </w:tc>
            </w:tr>
          </w:tbl>
          <w:p w14:paraId="3B949806">
            <w:pPr>
              <w:pStyle w:val="22"/>
              <w:spacing w:line="360" w:lineRule="auto"/>
              <w:rPr>
                <w:color w:val="auto"/>
                <w:sz w:val="24"/>
                <w:highlight w:val="none"/>
              </w:rPr>
            </w:pPr>
            <w:r>
              <w:rPr>
                <w:rFonts w:hint="eastAsia" w:hAnsi="宋体" w:cs="宋体"/>
                <w:color w:val="auto"/>
                <w:sz w:val="24"/>
                <w:szCs w:val="24"/>
                <w:highlight w:val="none"/>
              </w:rPr>
              <w:t>2.技术服务</w:t>
            </w:r>
            <w:r>
              <w:rPr>
                <w:rFonts w:hint="eastAsia"/>
                <w:color w:val="auto"/>
                <w:sz w:val="24"/>
                <w:highlight w:val="none"/>
              </w:rPr>
              <w:t>费以</w:t>
            </w:r>
            <w:r>
              <w:rPr>
                <w:rFonts w:hint="eastAsia" w:hAnsi="宋体" w:cs="宋体"/>
                <w:color w:val="auto"/>
                <w:sz w:val="24"/>
                <w:szCs w:val="24"/>
                <w:highlight w:val="none"/>
              </w:rPr>
              <w:t>包干价核算费用。</w:t>
            </w:r>
          </w:p>
          <w:p w14:paraId="1FA306FB">
            <w:pPr>
              <w:pStyle w:val="22"/>
              <w:tabs>
                <w:tab w:val="left" w:pos="4680"/>
                <w:tab w:val="left" w:pos="5040"/>
              </w:tabs>
              <w:spacing w:line="360" w:lineRule="auto"/>
              <w:rPr>
                <w:rFonts w:hint="eastAsia"/>
                <w:color w:val="auto"/>
                <w:sz w:val="24"/>
                <w:highlight w:val="none"/>
              </w:rPr>
            </w:pPr>
            <w:r>
              <w:rPr>
                <w:rFonts w:hint="eastAsia" w:hAnsi="宋体" w:cs="宋体"/>
                <w:color w:val="auto"/>
                <w:sz w:val="24"/>
                <w:szCs w:val="24"/>
                <w:highlight w:val="none"/>
              </w:rPr>
              <w:t>3.</w:t>
            </w:r>
            <w:r>
              <w:rPr>
                <w:rFonts w:hint="eastAsia"/>
                <w:color w:val="auto"/>
                <w:sz w:val="24"/>
                <w:highlight w:val="none"/>
              </w:rPr>
              <w:t>甲乙双方确定按照下列方式支付合同款</w:t>
            </w:r>
          </w:p>
          <w:p w14:paraId="792A7CCA">
            <w:pPr>
              <w:pStyle w:val="22"/>
              <w:tabs>
                <w:tab w:val="left" w:pos="4680"/>
                <w:tab w:val="left" w:pos="5040"/>
              </w:tabs>
              <w:spacing w:line="360" w:lineRule="auto"/>
              <w:rPr>
                <w:rFonts w:hint="eastAsia"/>
                <w:color w:val="auto"/>
                <w:sz w:val="24"/>
                <w:highlight w:val="none"/>
              </w:rPr>
            </w:pPr>
            <w:r>
              <w:rPr>
                <w:rFonts w:hint="eastAsia"/>
                <w:color w:val="auto"/>
                <w:sz w:val="24"/>
                <w:highlight w:val="none"/>
              </w:rPr>
              <w:t>第一期：项目合同签订后15日内，甲方向乙方支付合同金额的30%。</w:t>
            </w:r>
          </w:p>
          <w:p w14:paraId="5B731ECB">
            <w:pPr>
              <w:pStyle w:val="22"/>
              <w:tabs>
                <w:tab w:val="left" w:pos="4680"/>
                <w:tab w:val="left" w:pos="5040"/>
              </w:tabs>
              <w:spacing w:line="360" w:lineRule="auto"/>
              <w:rPr>
                <w:rFonts w:hint="eastAsia"/>
                <w:color w:val="auto"/>
                <w:sz w:val="24"/>
                <w:highlight w:val="none"/>
              </w:rPr>
            </w:pPr>
            <w:r>
              <w:rPr>
                <w:rFonts w:hint="eastAsia"/>
                <w:color w:val="auto"/>
                <w:sz w:val="24"/>
                <w:highlight w:val="none"/>
              </w:rPr>
              <w:t>第二期：乙方完成倾斜摄影数据获取、像片控制点布设与测量、城市地理信息数据的生产以及市开发边界内10平方公里新型基础测绘数据产品试点生产建设任务后15日内，甲方向乙方支付合同金额的60%。</w:t>
            </w:r>
          </w:p>
          <w:p w14:paraId="68B87327">
            <w:pPr>
              <w:pStyle w:val="22"/>
              <w:tabs>
                <w:tab w:val="left" w:pos="4680"/>
                <w:tab w:val="left" w:pos="5040"/>
              </w:tabs>
              <w:spacing w:line="360" w:lineRule="auto"/>
              <w:rPr>
                <w:rFonts w:hAnsi="宋体" w:cs="宋体"/>
                <w:color w:val="auto"/>
                <w:sz w:val="24"/>
                <w:szCs w:val="24"/>
                <w:highlight w:val="none"/>
                <w:u w:val="single"/>
              </w:rPr>
            </w:pPr>
            <w:r>
              <w:rPr>
                <w:rFonts w:hint="eastAsia"/>
                <w:color w:val="auto"/>
                <w:sz w:val="24"/>
                <w:highlight w:val="none"/>
              </w:rPr>
              <w:t>第三期：项目完成最终验收后15日内，甲方向乙方支付合同金额的10%。</w:t>
            </w:r>
          </w:p>
          <w:p w14:paraId="3F928EAE">
            <w:pPr>
              <w:pStyle w:val="22"/>
              <w:spacing w:line="360" w:lineRule="auto"/>
              <w:rPr>
                <w:color w:val="auto"/>
                <w:sz w:val="24"/>
                <w:highlight w:val="none"/>
              </w:rPr>
            </w:pPr>
            <w:r>
              <w:rPr>
                <w:rFonts w:hint="eastAsia" w:hAnsi="宋体" w:cs="宋体"/>
                <w:b/>
                <w:color w:val="auto"/>
                <w:sz w:val="24"/>
                <w:highlight w:val="none"/>
              </w:rPr>
              <w:t xml:space="preserve">第七条 </w:t>
            </w:r>
            <w:r>
              <w:rPr>
                <w:rFonts w:hint="eastAsia" w:hAnsi="宋体" w:cs="宋体"/>
                <w:color w:val="auto"/>
                <w:sz w:val="24"/>
                <w:highlight w:val="none"/>
              </w:rPr>
              <w:t>双方确定,</w:t>
            </w:r>
            <w:r>
              <w:rPr>
                <w:rFonts w:hint="eastAsia"/>
                <w:color w:val="auto"/>
                <w:sz w:val="24"/>
                <w:highlight w:val="none"/>
              </w:rPr>
              <w:t xml:space="preserve"> 由于不可抗力，致使合同无法履行时，双方应按有关法律规定及时协商处理。</w:t>
            </w:r>
          </w:p>
          <w:p w14:paraId="44A40CA0">
            <w:pPr>
              <w:pStyle w:val="22"/>
              <w:spacing w:line="360" w:lineRule="auto"/>
              <w:rPr>
                <w:b/>
                <w:color w:val="auto"/>
                <w:sz w:val="24"/>
                <w:highlight w:val="none"/>
              </w:rPr>
            </w:pPr>
            <w:r>
              <w:rPr>
                <w:rFonts w:hint="eastAsia" w:hAnsi="宋体" w:cs="宋体"/>
                <w:b/>
                <w:color w:val="auto"/>
                <w:sz w:val="24"/>
                <w:highlight w:val="none"/>
              </w:rPr>
              <w:t xml:space="preserve">第八条 </w:t>
            </w:r>
            <w:r>
              <w:rPr>
                <w:rFonts w:hint="eastAsia"/>
                <w:color w:val="auto"/>
                <w:sz w:val="24"/>
                <w:highlight w:val="none"/>
              </w:rPr>
              <w:t>本合同执行过程中的未尽事宜，双方应本着实事求是友好协商的态度加以解决。双方协商一致的，签订补充协议，补充协议与本合同具有同等效力。双方若因本协议发生争议，协商不成，提交甲方所在地人民法院管辖。</w:t>
            </w:r>
          </w:p>
          <w:p w14:paraId="121BBFD9">
            <w:pPr>
              <w:pStyle w:val="22"/>
              <w:tabs>
                <w:tab w:val="left" w:pos="4680"/>
                <w:tab w:val="left" w:pos="5040"/>
              </w:tabs>
              <w:spacing w:line="360" w:lineRule="auto"/>
              <w:rPr>
                <w:rFonts w:hAnsi="宋体" w:cs="宋体"/>
                <w:b/>
                <w:color w:val="auto"/>
                <w:sz w:val="24"/>
                <w:szCs w:val="24"/>
                <w:highlight w:val="none"/>
              </w:rPr>
            </w:pPr>
            <w:r>
              <w:rPr>
                <w:rFonts w:hint="eastAsia" w:hAnsi="宋体" w:cs="宋体"/>
                <w:b/>
                <w:color w:val="auto"/>
                <w:sz w:val="24"/>
                <w:szCs w:val="24"/>
                <w:highlight w:val="none"/>
              </w:rPr>
              <w:t>第</w:t>
            </w:r>
            <w:r>
              <w:rPr>
                <w:rFonts w:hint="eastAsia" w:hAnsi="宋体" w:cs="宋体"/>
                <w:b/>
                <w:color w:val="auto"/>
                <w:sz w:val="24"/>
                <w:highlight w:val="none"/>
              </w:rPr>
              <w:t>九</w:t>
            </w:r>
            <w:r>
              <w:rPr>
                <w:rFonts w:hint="eastAsia" w:hAnsi="宋体" w:cs="宋体"/>
                <w:b/>
                <w:color w:val="auto"/>
                <w:sz w:val="24"/>
                <w:szCs w:val="24"/>
                <w:highlight w:val="none"/>
              </w:rPr>
              <w:t xml:space="preserve">条 </w:t>
            </w:r>
            <w:r>
              <w:rPr>
                <w:rFonts w:hint="eastAsia" w:hAnsi="宋体" w:cs="宋体"/>
                <w:color w:val="auto"/>
                <w:sz w:val="24"/>
                <w:szCs w:val="24"/>
                <w:highlight w:val="none"/>
              </w:rPr>
              <w:t>其它约定：</w:t>
            </w:r>
          </w:p>
          <w:p w14:paraId="610D4348">
            <w:pPr>
              <w:pStyle w:val="22"/>
              <w:tabs>
                <w:tab w:val="left" w:pos="4680"/>
                <w:tab w:val="left" w:pos="5040"/>
              </w:tabs>
              <w:spacing w:line="360" w:lineRule="auto"/>
              <w:rPr>
                <w:rFonts w:hAnsi="宋体" w:cs="宋体"/>
                <w:color w:val="auto"/>
                <w:sz w:val="24"/>
                <w:szCs w:val="24"/>
                <w:highlight w:val="none"/>
                <w:u w:val="single"/>
              </w:rPr>
            </w:pPr>
            <w:r>
              <w:rPr>
                <w:rFonts w:hint="eastAsia" w:hAnsi="宋体" w:cs="宋体"/>
                <w:color w:val="auto"/>
                <w:sz w:val="24"/>
                <w:szCs w:val="24"/>
                <w:highlight w:val="none"/>
                <w:u w:val="single"/>
              </w:rPr>
              <w:t xml:space="preserve">                                                                </w:t>
            </w:r>
          </w:p>
          <w:p w14:paraId="411B3E9C">
            <w:pPr>
              <w:pStyle w:val="22"/>
              <w:tabs>
                <w:tab w:val="left" w:pos="4680"/>
                <w:tab w:val="left" w:pos="5040"/>
              </w:tabs>
              <w:spacing w:line="360" w:lineRule="auto"/>
              <w:rPr>
                <w:rFonts w:hAnsi="宋体" w:cs="宋体"/>
                <w:color w:val="auto"/>
                <w:sz w:val="24"/>
                <w:szCs w:val="24"/>
                <w:highlight w:val="none"/>
              </w:rPr>
            </w:pPr>
            <w:r>
              <w:rPr>
                <w:rFonts w:hint="eastAsia" w:hAnsi="宋体" w:cs="宋体"/>
                <w:b/>
                <w:color w:val="auto"/>
                <w:sz w:val="24"/>
                <w:szCs w:val="24"/>
                <w:highlight w:val="none"/>
              </w:rPr>
              <w:t xml:space="preserve">第十条 </w:t>
            </w:r>
            <w:r>
              <w:rPr>
                <w:rFonts w:hint="eastAsia" w:hAnsi="宋体" w:cs="宋体"/>
                <w:color w:val="auto"/>
                <w:sz w:val="24"/>
                <w:szCs w:val="24"/>
                <w:highlight w:val="none"/>
              </w:rPr>
              <w:t>组成合同的文件</w:t>
            </w:r>
          </w:p>
          <w:p w14:paraId="3DF08850">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本合同书与下列文件一起构成合同文件，如下述文件之间有任何抵触、矛盾或歧义，应按以下顺序解释：</w:t>
            </w:r>
          </w:p>
          <w:p w14:paraId="6896C561">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（1）本合同约定内容，以及双方协商达成的补充合同或协议；</w:t>
            </w:r>
          </w:p>
          <w:p w14:paraId="54FC3B91">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（2）中标通知书</w:t>
            </w:r>
          </w:p>
          <w:p w14:paraId="104EC36F">
            <w:pPr>
              <w:pStyle w:val="22"/>
              <w:tabs>
                <w:tab w:val="left" w:pos="4680"/>
                <w:tab w:val="left" w:pos="5040"/>
              </w:tabs>
              <w:spacing w:line="360" w:lineRule="auto"/>
              <w:rPr>
                <w:rFonts w:hAnsi="宋体" w:cs="宋体"/>
                <w:color w:val="auto"/>
                <w:sz w:val="24"/>
                <w:szCs w:val="24"/>
                <w:highlight w:val="none"/>
              </w:rPr>
            </w:pPr>
            <w:r>
              <w:rPr>
                <w:rFonts w:hint="eastAsia" w:hAnsi="宋体" w:cs="宋体"/>
                <w:color w:val="auto"/>
                <w:sz w:val="24"/>
                <w:szCs w:val="24"/>
                <w:highlight w:val="none"/>
              </w:rPr>
              <w:t>（3）投标文件</w:t>
            </w:r>
          </w:p>
          <w:p w14:paraId="0A574690">
            <w:pPr>
              <w:pStyle w:val="22"/>
              <w:tabs>
                <w:tab w:val="left" w:pos="4680"/>
                <w:tab w:val="left" w:pos="5040"/>
              </w:tabs>
              <w:spacing w:line="360" w:lineRule="auto"/>
              <w:rPr>
                <w:rFonts w:hAnsi="宋体" w:cs="宋体"/>
                <w:b/>
                <w:color w:val="auto"/>
                <w:sz w:val="24"/>
                <w:szCs w:val="24"/>
                <w:highlight w:val="none"/>
              </w:rPr>
            </w:pPr>
            <w:r>
              <w:rPr>
                <w:rFonts w:hint="eastAsia" w:hAnsi="宋体" w:cs="宋体"/>
                <w:b/>
                <w:color w:val="auto"/>
                <w:sz w:val="24"/>
                <w:szCs w:val="24"/>
                <w:highlight w:val="none"/>
              </w:rPr>
              <w:t xml:space="preserve">第十一条 </w:t>
            </w:r>
            <w:r>
              <w:rPr>
                <w:rFonts w:hint="eastAsia" w:hAnsi="宋体" w:cs="宋体"/>
                <w:color w:val="auto"/>
                <w:sz w:val="24"/>
                <w:szCs w:val="24"/>
                <w:highlight w:val="none"/>
              </w:rPr>
              <w:t>本合同一式</w:t>
            </w:r>
            <w:r>
              <w:rPr>
                <w:rFonts w:hint="eastAsia" w:hAnsi="宋体" w:cs="宋体"/>
                <w:color w:val="auto"/>
                <w:sz w:val="24"/>
                <w:szCs w:val="24"/>
                <w:highlight w:val="none"/>
                <w:u w:val="single"/>
              </w:rPr>
              <w:t xml:space="preserve">陆 </w:t>
            </w:r>
            <w:r>
              <w:rPr>
                <w:rFonts w:hint="eastAsia" w:hAnsi="宋体" w:cs="宋体"/>
                <w:color w:val="auto"/>
                <w:sz w:val="24"/>
                <w:szCs w:val="24"/>
                <w:highlight w:val="none"/>
              </w:rPr>
              <w:t>份,甲方执</w:t>
            </w:r>
            <w:r>
              <w:rPr>
                <w:rFonts w:hint="eastAsia" w:hAnsi="宋体" w:cs="宋体"/>
                <w:color w:val="auto"/>
                <w:sz w:val="24"/>
                <w:szCs w:val="24"/>
                <w:highlight w:val="none"/>
                <w:u w:val="single"/>
              </w:rPr>
              <w:t>叁</w:t>
            </w:r>
            <w:r>
              <w:rPr>
                <w:rFonts w:hint="eastAsia" w:hAnsi="宋体" w:cs="宋体"/>
                <w:color w:val="auto"/>
                <w:sz w:val="24"/>
                <w:szCs w:val="24"/>
                <w:highlight w:val="none"/>
              </w:rPr>
              <w:t>份，乙方执</w:t>
            </w:r>
            <w:r>
              <w:rPr>
                <w:rFonts w:hint="eastAsia" w:hAnsi="宋体" w:cs="宋体"/>
                <w:color w:val="auto"/>
                <w:sz w:val="24"/>
                <w:szCs w:val="24"/>
                <w:highlight w:val="none"/>
                <w:u w:val="single"/>
              </w:rPr>
              <w:t>叁</w:t>
            </w:r>
            <w:r>
              <w:rPr>
                <w:rFonts w:hint="eastAsia" w:hAnsi="宋体" w:cs="宋体"/>
                <w:color w:val="auto"/>
                <w:sz w:val="24"/>
                <w:szCs w:val="24"/>
                <w:highlight w:val="none"/>
              </w:rPr>
              <w:t>份，具有同等法律效力。</w:t>
            </w:r>
          </w:p>
          <w:p w14:paraId="1663E9BC">
            <w:pPr>
              <w:pStyle w:val="22"/>
              <w:spacing w:line="360" w:lineRule="auto"/>
              <w:rPr>
                <w:rFonts w:hAnsi="宋体" w:cs="宋体"/>
                <w:color w:val="auto"/>
                <w:sz w:val="24"/>
                <w:highlight w:val="none"/>
              </w:rPr>
            </w:pPr>
            <w:r>
              <w:rPr>
                <w:rFonts w:hint="eastAsia" w:hAnsi="宋体" w:cs="宋体"/>
                <w:b/>
                <w:color w:val="auto"/>
                <w:sz w:val="24"/>
                <w:highlight w:val="none"/>
              </w:rPr>
              <w:t>第十</w:t>
            </w:r>
            <w:r>
              <w:rPr>
                <w:rFonts w:hint="eastAsia" w:hAnsi="宋体" w:cs="宋体"/>
                <w:b/>
                <w:color w:val="auto"/>
                <w:sz w:val="24"/>
                <w:szCs w:val="24"/>
                <w:highlight w:val="none"/>
              </w:rPr>
              <w:t>二</w:t>
            </w:r>
            <w:r>
              <w:rPr>
                <w:rFonts w:hint="eastAsia" w:hAnsi="宋体" w:cs="宋体"/>
                <w:b/>
                <w:color w:val="auto"/>
                <w:sz w:val="24"/>
                <w:highlight w:val="none"/>
              </w:rPr>
              <w:t xml:space="preserve">条 </w:t>
            </w:r>
            <w:r>
              <w:rPr>
                <w:rFonts w:hint="eastAsia"/>
                <w:color w:val="auto"/>
                <w:sz w:val="24"/>
                <w:highlight w:val="none"/>
              </w:rPr>
              <w:t>本合同由双方法定代表人或其委托代理人签署并盖章后生效。项目结束、成果全部提交和技术服务费付清后，本合同终止。</w:t>
            </w:r>
            <w:r>
              <w:rPr>
                <w:color w:val="auto"/>
                <w:sz w:val="24"/>
                <w:highlight w:val="none"/>
              </w:rPr>
              <w:t xml:space="preserve"> </w:t>
            </w:r>
          </w:p>
          <w:p w14:paraId="3267216F">
            <w:pPr>
              <w:pStyle w:val="22"/>
              <w:spacing w:line="360" w:lineRule="auto"/>
              <w:jc w:val="left"/>
              <w:rPr>
                <w:rFonts w:hAnsi="宋体" w:cs="宋体"/>
                <w:color w:val="auto"/>
                <w:sz w:val="24"/>
                <w:szCs w:val="24"/>
                <w:highlight w:val="none"/>
              </w:rPr>
            </w:pPr>
            <w:r>
              <w:rPr>
                <w:rFonts w:hint="eastAsia" w:hAnsi="宋体" w:cs="宋体"/>
                <w:color w:val="auto"/>
                <w:sz w:val="24"/>
                <w:szCs w:val="24"/>
                <w:highlight w:val="none"/>
              </w:rPr>
              <w:t>甲方：（盖章）</w:t>
            </w:r>
          </w:p>
          <w:p w14:paraId="5BD5677F">
            <w:pPr>
              <w:pStyle w:val="22"/>
              <w:spacing w:line="360" w:lineRule="auto"/>
              <w:rPr>
                <w:rFonts w:hAnsi="宋体" w:cs="宋体"/>
                <w:color w:val="auto"/>
                <w:sz w:val="24"/>
                <w:szCs w:val="24"/>
                <w:highlight w:val="none"/>
              </w:rPr>
            </w:pPr>
          </w:p>
          <w:p w14:paraId="1C043DCB">
            <w:pPr>
              <w:pStyle w:val="22"/>
              <w:spacing w:line="360" w:lineRule="auto"/>
              <w:rPr>
                <w:rFonts w:hAnsi="宋体" w:cs="宋体"/>
                <w:color w:val="auto"/>
                <w:sz w:val="24"/>
                <w:szCs w:val="24"/>
                <w:highlight w:val="none"/>
              </w:rPr>
            </w:pPr>
            <w:r>
              <w:rPr>
                <w:rFonts w:hint="eastAsia" w:hAnsi="宋体" w:cs="宋体"/>
                <w:color w:val="auto"/>
                <w:sz w:val="24"/>
                <w:szCs w:val="24"/>
                <w:highlight w:val="none"/>
              </w:rPr>
              <w:t>法定代表人或其委托代理人:（签名）</w:t>
            </w:r>
          </w:p>
          <w:p w14:paraId="37C7FDF7">
            <w:pPr>
              <w:pStyle w:val="22"/>
              <w:spacing w:line="360" w:lineRule="auto"/>
              <w:rPr>
                <w:rFonts w:hAnsi="宋体" w:cs="宋体"/>
                <w:color w:val="auto"/>
                <w:sz w:val="24"/>
                <w:szCs w:val="24"/>
                <w:highlight w:val="none"/>
              </w:rPr>
            </w:pPr>
          </w:p>
          <w:p w14:paraId="37566040">
            <w:pPr>
              <w:pStyle w:val="22"/>
              <w:spacing w:line="360" w:lineRule="auto"/>
              <w:rPr>
                <w:color w:val="auto"/>
                <w:sz w:val="24"/>
                <w:highlight w:val="none"/>
              </w:rPr>
            </w:pPr>
            <w:r>
              <w:rPr>
                <w:rFonts w:hint="eastAsia"/>
                <w:color w:val="auto"/>
                <w:sz w:val="24"/>
                <w:highlight w:val="none"/>
              </w:rPr>
              <w:t xml:space="preserve">开户银行： </w:t>
            </w:r>
          </w:p>
          <w:p w14:paraId="2611BE36">
            <w:pPr>
              <w:pStyle w:val="22"/>
              <w:spacing w:line="360" w:lineRule="auto"/>
              <w:rPr>
                <w:color w:val="auto"/>
                <w:sz w:val="24"/>
                <w:highlight w:val="none"/>
              </w:rPr>
            </w:pPr>
          </w:p>
          <w:p w14:paraId="56C73D87">
            <w:pPr>
              <w:pStyle w:val="22"/>
              <w:spacing w:line="360" w:lineRule="auto"/>
              <w:rPr>
                <w:color w:val="auto"/>
                <w:sz w:val="24"/>
                <w:highlight w:val="none"/>
              </w:rPr>
            </w:pPr>
            <w:r>
              <w:rPr>
                <w:rFonts w:hint="eastAsia"/>
                <w:color w:val="auto"/>
                <w:sz w:val="24"/>
                <w:highlight w:val="none"/>
              </w:rPr>
              <w:t>银行帐号：</w:t>
            </w:r>
          </w:p>
          <w:p w14:paraId="07DF805A">
            <w:pPr>
              <w:pStyle w:val="22"/>
              <w:spacing w:line="360" w:lineRule="auto"/>
              <w:rPr>
                <w:color w:val="auto"/>
                <w:sz w:val="24"/>
                <w:highlight w:val="none"/>
              </w:rPr>
            </w:pPr>
          </w:p>
          <w:p w14:paraId="03DFEF3C">
            <w:pPr>
              <w:pStyle w:val="22"/>
              <w:spacing w:line="360" w:lineRule="auto"/>
              <w:rPr>
                <w:color w:val="auto"/>
                <w:sz w:val="24"/>
                <w:highlight w:val="none"/>
              </w:rPr>
            </w:pPr>
            <w:r>
              <w:rPr>
                <w:rFonts w:hint="eastAsia"/>
                <w:color w:val="auto"/>
                <w:sz w:val="24"/>
                <w:highlight w:val="none"/>
              </w:rPr>
              <w:t>纳税人识别号：</w:t>
            </w:r>
          </w:p>
          <w:p w14:paraId="3A293836">
            <w:pPr>
              <w:pStyle w:val="22"/>
              <w:spacing w:line="360" w:lineRule="auto"/>
              <w:rPr>
                <w:rFonts w:hAnsi="宋体" w:cs="宋体"/>
                <w:color w:val="auto"/>
                <w:sz w:val="24"/>
                <w:szCs w:val="24"/>
                <w:highlight w:val="none"/>
              </w:rPr>
            </w:pPr>
          </w:p>
          <w:p w14:paraId="21DC55B7">
            <w:pPr>
              <w:pStyle w:val="22"/>
              <w:spacing w:line="360" w:lineRule="auto"/>
              <w:rPr>
                <w:rFonts w:hAnsi="宋体" w:cs="宋体"/>
                <w:color w:val="auto"/>
                <w:sz w:val="24"/>
                <w:szCs w:val="24"/>
                <w:highlight w:val="none"/>
              </w:rPr>
            </w:pPr>
            <w:r>
              <w:rPr>
                <w:rFonts w:hint="eastAsia" w:hAnsi="宋体" w:cs="宋体"/>
                <w:color w:val="auto"/>
                <w:sz w:val="24"/>
                <w:szCs w:val="24"/>
                <w:highlight w:val="none"/>
              </w:rPr>
              <w:t>签订日期：      年      月      日</w:t>
            </w:r>
          </w:p>
          <w:p w14:paraId="520990C0">
            <w:pPr>
              <w:pStyle w:val="22"/>
              <w:spacing w:line="360" w:lineRule="auto"/>
              <w:rPr>
                <w:rFonts w:hAnsi="宋体" w:cs="宋体"/>
                <w:color w:val="auto"/>
                <w:sz w:val="24"/>
                <w:szCs w:val="24"/>
                <w:highlight w:val="none"/>
              </w:rPr>
            </w:pPr>
          </w:p>
          <w:p w14:paraId="108AE518">
            <w:pPr>
              <w:pStyle w:val="22"/>
              <w:spacing w:line="360" w:lineRule="auto"/>
              <w:rPr>
                <w:rFonts w:hAnsi="宋体" w:cs="宋体"/>
                <w:color w:val="auto"/>
                <w:sz w:val="24"/>
                <w:szCs w:val="24"/>
                <w:highlight w:val="none"/>
              </w:rPr>
            </w:pPr>
            <w:r>
              <w:rPr>
                <w:rFonts w:hint="eastAsia" w:hAnsi="宋体" w:cs="宋体"/>
                <w:color w:val="auto"/>
                <w:sz w:val="24"/>
                <w:szCs w:val="24"/>
                <w:highlight w:val="none"/>
              </w:rPr>
              <w:t>乙方：（盖章）</w:t>
            </w:r>
          </w:p>
          <w:p w14:paraId="2353A28E">
            <w:pPr>
              <w:pStyle w:val="22"/>
              <w:spacing w:line="360" w:lineRule="auto"/>
              <w:rPr>
                <w:rFonts w:hAnsi="宋体" w:cs="宋体"/>
                <w:color w:val="auto"/>
                <w:sz w:val="24"/>
                <w:szCs w:val="24"/>
                <w:highlight w:val="none"/>
              </w:rPr>
            </w:pPr>
          </w:p>
          <w:p w14:paraId="4C6D6E39">
            <w:pPr>
              <w:pStyle w:val="22"/>
              <w:spacing w:line="360" w:lineRule="auto"/>
              <w:rPr>
                <w:rFonts w:hAnsi="宋体" w:cs="宋体"/>
                <w:color w:val="auto"/>
                <w:sz w:val="24"/>
                <w:szCs w:val="24"/>
                <w:highlight w:val="none"/>
              </w:rPr>
            </w:pPr>
            <w:r>
              <w:rPr>
                <w:rFonts w:hint="eastAsia" w:hAnsi="宋体" w:cs="宋体"/>
                <w:color w:val="auto"/>
                <w:sz w:val="24"/>
                <w:szCs w:val="24"/>
                <w:highlight w:val="none"/>
              </w:rPr>
              <w:t>法定代表人或其委托代理人:（签名）</w:t>
            </w:r>
          </w:p>
          <w:p w14:paraId="610A0DE5">
            <w:pPr>
              <w:pStyle w:val="22"/>
              <w:spacing w:line="360" w:lineRule="auto"/>
              <w:rPr>
                <w:rFonts w:hAnsi="宋体" w:cs="宋体"/>
                <w:color w:val="auto"/>
                <w:sz w:val="24"/>
                <w:szCs w:val="24"/>
                <w:highlight w:val="none"/>
              </w:rPr>
            </w:pPr>
          </w:p>
          <w:p w14:paraId="63C44FBD">
            <w:pPr>
              <w:pStyle w:val="22"/>
              <w:spacing w:line="360" w:lineRule="auto"/>
              <w:rPr>
                <w:color w:val="auto"/>
                <w:sz w:val="24"/>
                <w:highlight w:val="none"/>
              </w:rPr>
            </w:pPr>
            <w:r>
              <w:rPr>
                <w:rFonts w:hint="eastAsia"/>
                <w:color w:val="auto"/>
                <w:sz w:val="24"/>
                <w:highlight w:val="none"/>
              </w:rPr>
              <w:t>开户银行：</w:t>
            </w:r>
          </w:p>
          <w:p w14:paraId="62D81762">
            <w:pPr>
              <w:pStyle w:val="22"/>
              <w:spacing w:line="360" w:lineRule="auto"/>
              <w:rPr>
                <w:rFonts w:hAnsi="宋体" w:cs="宋体"/>
                <w:color w:val="auto"/>
                <w:sz w:val="24"/>
                <w:szCs w:val="24"/>
                <w:highlight w:val="none"/>
              </w:rPr>
            </w:pPr>
            <w:r>
              <w:rPr>
                <w:rFonts w:hint="eastAsia"/>
                <w:color w:val="auto"/>
                <w:sz w:val="24"/>
                <w:highlight w:val="none"/>
              </w:rPr>
              <w:t>银行帐号：</w:t>
            </w:r>
          </w:p>
          <w:p w14:paraId="58F78154">
            <w:pPr>
              <w:pStyle w:val="22"/>
              <w:spacing w:line="360" w:lineRule="auto"/>
              <w:rPr>
                <w:rFonts w:hAnsi="宋体" w:cs="宋体"/>
                <w:color w:val="auto"/>
                <w:sz w:val="24"/>
                <w:szCs w:val="24"/>
                <w:highlight w:val="none"/>
              </w:rPr>
            </w:pPr>
            <w:r>
              <w:rPr>
                <w:rFonts w:hint="eastAsia" w:hAnsi="宋体" w:cs="宋体"/>
                <w:color w:val="auto"/>
                <w:sz w:val="24"/>
                <w:szCs w:val="24"/>
                <w:highlight w:val="none"/>
              </w:rPr>
              <w:t>纳税人识别号：</w:t>
            </w:r>
          </w:p>
          <w:p w14:paraId="6D17A88E">
            <w:pPr>
              <w:pStyle w:val="22"/>
              <w:spacing w:line="360" w:lineRule="auto"/>
              <w:rPr>
                <w:rFonts w:hAnsi="宋体" w:cs="宋体"/>
                <w:color w:val="auto"/>
                <w:sz w:val="24"/>
                <w:szCs w:val="24"/>
                <w:highlight w:val="none"/>
              </w:rPr>
            </w:pPr>
          </w:p>
          <w:p w14:paraId="183ED02E">
            <w:pPr>
              <w:pStyle w:val="22"/>
              <w:spacing w:line="360" w:lineRule="auto"/>
              <w:rPr>
                <w:rFonts w:hAnsi="宋体" w:cs="宋体"/>
                <w:color w:val="auto"/>
                <w:sz w:val="24"/>
                <w:szCs w:val="24"/>
                <w:highlight w:val="none"/>
              </w:rPr>
            </w:pPr>
            <w:r>
              <w:rPr>
                <w:rFonts w:hint="eastAsia" w:hAnsi="宋体" w:cs="宋体"/>
                <w:color w:val="auto"/>
                <w:sz w:val="24"/>
                <w:szCs w:val="24"/>
                <w:highlight w:val="none"/>
              </w:rPr>
              <w:t>签订日期：      年      月      日</w:t>
            </w:r>
          </w:p>
        </w:tc>
      </w:tr>
    </w:tbl>
    <w:p w14:paraId="674BF87F">
      <w:pPr>
        <w:adjustRightInd w:val="0"/>
        <w:snapToGrid w:val="0"/>
        <w:spacing w:line="360" w:lineRule="auto"/>
        <w:rPr>
          <w:rFonts w:ascii="仿宋" w:hAnsi="仿宋" w:eastAsia="仿宋" w:cs="仿宋"/>
          <w:color w:val="FF0000"/>
          <w:sz w:val="24"/>
        </w:rPr>
      </w:pPr>
    </w:p>
    <w:p w14:paraId="6E44DB17">
      <w:pPr>
        <w:rPr>
          <w:rFonts w:ascii="仿宋" w:hAnsi="仿宋" w:eastAsia="仿宋" w:cs="仿宋"/>
          <w:sz w:val="24"/>
        </w:rPr>
      </w:pPr>
      <w:r>
        <w:rPr>
          <w:rFonts w:hint="eastAsia" w:ascii="仿宋" w:hAnsi="仿宋" w:eastAsia="仿宋" w:cs="仿宋"/>
          <w:sz w:val="24"/>
        </w:rPr>
        <w:br w:type="page"/>
      </w:r>
    </w:p>
    <w:p w14:paraId="6295F8DD">
      <w:pPr>
        <w:pStyle w:val="2"/>
        <w:rPr>
          <w:rFonts w:cs="仿宋"/>
        </w:rPr>
      </w:pPr>
      <w:bookmarkStart w:id="11" w:name="_Toc155630085"/>
      <w:r>
        <w:rPr>
          <w:rFonts w:hint="eastAsia" w:cs="仿宋"/>
        </w:rPr>
        <w:t>采购需求</w:t>
      </w:r>
      <w:bookmarkEnd w:id="11"/>
    </w:p>
    <w:p w14:paraId="0299B727">
      <w:pPr>
        <w:spacing w:line="360" w:lineRule="auto"/>
        <w:rPr>
          <w:rFonts w:hint="eastAsia" w:ascii="仿宋" w:hAnsi="仿宋" w:eastAsia="仿宋" w:cs="仿宋"/>
          <w:color w:val="auto"/>
          <w:sz w:val="24"/>
          <w:szCs w:val="24"/>
          <w:highlight w:val="none"/>
        </w:rPr>
      </w:pPr>
      <w:bookmarkStart w:id="12" w:name="_Toc155630086"/>
      <w:r>
        <w:rPr>
          <w:rFonts w:hint="eastAsia" w:ascii="仿宋" w:hAnsi="仿宋" w:eastAsia="仿宋" w:cs="仿宋"/>
          <w:color w:val="auto"/>
          <w:sz w:val="24"/>
          <w:szCs w:val="24"/>
          <w:highlight w:val="none"/>
        </w:rPr>
        <w:t>一、项目建设内容：</w:t>
      </w:r>
    </w:p>
    <w:p w14:paraId="11C762D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完成乌鲁木齐市城市开发边界内193.5平方公里优于3cm分辨率的倾斜摄影数据获取、像片控制点布设与测量、城市地理信息数据的生产；完成乌鲁木齐城市开发边界内10平方公里新型基础测绘数据产品试点生产。数据成果需提供2000国家大地坐标系（CGCS2000）、乌鲁木齐2000城市坐标系成果各一套</w:t>
      </w:r>
      <w:r>
        <w:rPr>
          <w:rFonts w:hint="eastAsia" w:ascii="仿宋" w:hAnsi="仿宋" w:eastAsia="仿宋" w:cs="仿宋"/>
          <w:color w:val="auto"/>
          <w:sz w:val="24"/>
          <w:szCs w:val="24"/>
          <w:highlight w:val="none"/>
          <w:lang w:eastAsia="zh-CN"/>
        </w:rPr>
        <w:t>。</w:t>
      </w:r>
    </w:p>
    <w:p w14:paraId="46D58AD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二、技术要求：</w:t>
      </w:r>
    </w:p>
    <w:p w14:paraId="697978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2.1、采用基准：</w:t>
      </w:r>
    </w:p>
    <w:p w14:paraId="43C1867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（1）平面基准：采用2000国家大地坐标系（CGCS2000）、并转换一套乌鲁木齐2000城市坐标系成果；</w:t>
      </w:r>
    </w:p>
    <w:p w14:paraId="7EAB820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（2）高程系统：采用1985国家高程基准。</w:t>
      </w:r>
    </w:p>
    <w:p w14:paraId="3ED6F93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2.2、数据现势性：</w:t>
      </w:r>
    </w:p>
    <w:p w14:paraId="41D45F1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成果现势性优于2022年。</w:t>
      </w:r>
    </w:p>
    <w:p w14:paraId="6B67B4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2.3、倾斜摄影及像控点布设联测技术要求</w:t>
      </w:r>
    </w:p>
    <w:p w14:paraId="033FEA0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1、航摄分辨率要求：</w:t>
      </w:r>
    </w:p>
    <w:p w14:paraId="4185DF5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倾斜摄影测量空间分辨率应符合表3-1要求：</w:t>
      </w:r>
    </w:p>
    <w:p w14:paraId="7EDA613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表3-1无人机倾斜摄影空间分辨率</w:t>
      </w:r>
    </w:p>
    <w:tbl>
      <w:tblPr>
        <w:tblStyle w:val="44"/>
        <w:tblW w:w="9096" w:type="dxa"/>
        <w:jc w:val="center"/>
        <w:tblLayout w:type="autofit"/>
        <w:tblCellMar>
          <w:top w:w="0" w:type="dxa"/>
          <w:left w:w="0" w:type="dxa"/>
          <w:bottom w:w="0" w:type="dxa"/>
          <w:right w:w="0" w:type="dxa"/>
        </w:tblCellMar>
      </w:tblPr>
      <w:tblGrid>
        <w:gridCol w:w="3963"/>
        <w:gridCol w:w="4061"/>
        <w:gridCol w:w="1072"/>
      </w:tblGrid>
      <w:tr w14:paraId="76750D6B">
        <w:tblPrEx>
          <w:tblCellMar>
            <w:top w:w="0" w:type="dxa"/>
            <w:left w:w="0" w:type="dxa"/>
            <w:bottom w:w="0" w:type="dxa"/>
            <w:right w:w="0" w:type="dxa"/>
          </w:tblCellMar>
        </w:tblPrEx>
        <w:trPr>
          <w:tblHeader/>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886EF">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航摄面积（km2）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67A57">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分辨率（cm）</w:t>
            </w: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92C88">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04222EDF">
        <w:tblPrEx>
          <w:tblCellMar>
            <w:top w:w="0" w:type="dxa"/>
            <w:left w:w="0" w:type="dxa"/>
            <w:bottom w:w="0" w:type="dxa"/>
            <w:right w:w="0" w:type="dxa"/>
          </w:tblCellMar>
        </w:tblPrEx>
        <w:trPr>
          <w:jc w:val="center"/>
        </w:trPr>
        <w:tc>
          <w:tcPr>
            <w:tcW w:w="3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BB1BD">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193.5</w:t>
            </w:r>
          </w:p>
        </w:tc>
        <w:tc>
          <w:tcPr>
            <w:tcW w:w="4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36FFE">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下视影像优于3cm</w:t>
            </w:r>
          </w:p>
        </w:tc>
        <w:tc>
          <w:tcPr>
            <w:tcW w:w="10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21E6E">
            <w:pPr>
              <w:snapToGrid w:val="0"/>
              <w:jc w:val="center"/>
              <w:rPr>
                <w:rFonts w:hint="eastAsia" w:ascii="仿宋" w:hAnsi="仿宋" w:eastAsia="仿宋" w:cs="仿宋"/>
                <w:bCs/>
                <w:color w:val="auto"/>
                <w:sz w:val="24"/>
                <w:szCs w:val="24"/>
                <w:highlight w:val="none"/>
              </w:rPr>
            </w:pPr>
          </w:p>
        </w:tc>
      </w:tr>
    </w:tbl>
    <w:p w14:paraId="3EA4417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2、像控点精度</w:t>
      </w:r>
    </w:p>
    <w:p w14:paraId="2253C38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像控点均为平高控制点。平高控制点相对于临近基础控制点的平面位置精度、高程精度应符合下表3-2规定。</w:t>
      </w:r>
    </w:p>
    <w:p w14:paraId="1BC471D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表3-2像控点精度要求</w:t>
      </w:r>
    </w:p>
    <w:tbl>
      <w:tblPr>
        <w:tblStyle w:val="158"/>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2"/>
        <w:gridCol w:w="1831"/>
        <w:gridCol w:w="2966"/>
        <w:gridCol w:w="2385"/>
      </w:tblGrid>
      <w:tr w14:paraId="3E7DC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1" w:type="pct"/>
            <w:vAlign w:val="center"/>
          </w:tcPr>
          <w:p w14:paraId="076DDDF4">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1101" w:type="pct"/>
            <w:vAlign w:val="center"/>
          </w:tcPr>
          <w:p w14:paraId="72EFDF57">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地形类别</w:t>
            </w:r>
          </w:p>
        </w:tc>
        <w:tc>
          <w:tcPr>
            <w:tcW w:w="1784" w:type="pct"/>
            <w:vAlign w:val="center"/>
          </w:tcPr>
          <w:p w14:paraId="5F6894CA">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平面位置中误差（m）</w:t>
            </w:r>
          </w:p>
        </w:tc>
        <w:tc>
          <w:tcPr>
            <w:tcW w:w="1432" w:type="pct"/>
            <w:vAlign w:val="center"/>
          </w:tcPr>
          <w:p w14:paraId="4517D20F">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高程中误差（m）</w:t>
            </w:r>
          </w:p>
        </w:tc>
      </w:tr>
      <w:tr w14:paraId="5A2A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1" w:type="pct"/>
            <w:vMerge w:val="restart"/>
            <w:tcBorders>
              <w:bottom w:val="nil"/>
            </w:tcBorders>
            <w:vAlign w:val="center"/>
          </w:tcPr>
          <w:p w14:paraId="399EB390">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城市Ⅱ级</w:t>
            </w:r>
          </w:p>
        </w:tc>
        <w:tc>
          <w:tcPr>
            <w:tcW w:w="1101" w:type="pct"/>
            <w:vAlign w:val="center"/>
          </w:tcPr>
          <w:p w14:paraId="43F0911B">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平地、丘陵地</w:t>
            </w:r>
          </w:p>
        </w:tc>
        <w:tc>
          <w:tcPr>
            <w:tcW w:w="1784" w:type="pct"/>
            <w:vAlign w:val="center"/>
          </w:tcPr>
          <w:p w14:paraId="15B63D0F">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0.06</w:t>
            </w:r>
          </w:p>
        </w:tc>
        <w:tc>
          <w:tcPr>
            <w:tcW w:w="1432" w:type="pct"/>
            <w:vAlign w:val="center"/>
          </w:tcPr>
          <w:p w14:paraId="7D9565FE">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0.05</w:t>
            </w:r>
          </w:p>
        </w:tc>
      </w:tr>
      <w:tr w14:paraId="7FEF1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81" w:type="pct"/>
            <w:vMerge w:val="continue"/>
            <w:tcBorders>
              <w:top w:val="nil"/>
            </w:tcBorders>
            <w:vAlign w:val="center"/>
          </w:tcPr>
          <w:p w14:paraId="69912E25">
            <w:pPr>
              <w:snapToGrid w:val="0"/>
              <w:spacing w:line="360" w:lineRule="auto"/>
              <w:jc w:val="center"/>
              <w:rPr>
                <w:rFonts w:hint="eastAsia" w:ascii="仿宋" w:hAnsi="仿宋" w:eastAsia="仿宋" w:cs="仿宋"/>
                <w:color w:val="auto"/>
                <w:sz w:val="24"/>
                <w:szCs w:val="24"/>
                <w:highlight w:val="none"/>
              </w:rPr>
            </w:pPr>
          </w:p>
        </w:tc>
        <w:tc>
          <w:tcPr>
            <w:tcW w:w="1101" w:type="pct"/>
            <w:vAlign w:val="center"/>
          </w:tcPr>
          <w:p w14:paraId="1999DED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山地</w:t>
            </w:r>
          </w:p>
        </w:tc>
        <w:tc>
          <w:tcPr>
            <w:tcW w:w="1784" w:type="pct"/>
            <w:vAlign w:val="center"/>
          </w:tcPr>
          <w:p w14:paraId="29AB29AC">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0.08</w:t>
            </w:r>
          </w:p>
        </w:tc>
        <w:tc>
          <w:tcPr>
            <w:tcW w:w="1432" w:type="pct"/>
            <w:vAlign w:val="center"/>
          </w:tcPr>
          <w:p w14:paraId="6231C1D4">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0.10</w:t>
            </w:r>
          </w:p>
        </w:tc>
      </w:tr>
      <w:tr w14:paraId="06CB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000" w:type="pct"/>
            <w:gridSpan w:val="4"/>
          </w:tcPr>
          <w:p w14:paraId="3E80AA76">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注：1、困难区域可放宽0.5倍中误差。</w:t>
            </w:r>
          </w:p>
          <w:p w14:paraId="2F2EB57C">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2、最大误差为两倍中误差。</w:t>
            </w:r>
          </w:p>
          <w:p w14:paraId="1044BFF3">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3、对于使用似大地水准面模型数据计算像控点正常高的，分辨率不得低于2.5′*2.5′，高程中误差不得低于0.05米。</w:t>
            </w:r>
          </w:p>
        </w:tc>
      </w:tr>
    </w:tbl>
    <w:p w14:paraId="18CC045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3、其他要求：</w:t>
      </w:r>
    </w:p>
    <w:p w14:paraId="3F8CC20D">
      <w:pPr>
        <w:numPr>
          <w:ilvl w:val="0"/>
          <w:numId w:val="1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倾斜摄影相机的像素不得低于4000万；</w:t>
      </w:r>
    </w:p>
    <w:p w14:paraId="4D4B4583">
      <w:pPr>
        <w:numPr>
          <w:ilvl w:val="0"/>
          <w:numId w:val="1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航向重叠度一般不得低于60%，实际最小值不低于53%，且连续出现53%不得超过3张航片；旁向重叠度一般不得低于50%，实际最小值不低于30%，且连续出现30%不得超过3张航片。高层建筑密集区，应提高相应航向、旁向重叠度；</w:t>
      </w:r>
    </w:p>
    <w:p w14:paraId="38E8C6B4">
      <w:pPr>
        <w:numPr>
          <w:ilvl w:val="0"/>
          <w:numId w:val="1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垂直影像倾角一般不得大于6°，最大应不大于10°；</w:t>
      </w:r>
    </w:p>
    <w:p w14:paraId="05BB5D87">
      <w:pPr>
        <w:numPr>
          <w:ilvl w:val="0"/>
          <w:numId w:val="1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垂直影像旋角一般应不大于25°，在确保影像航向和旁向重叠度满足要求的前提下最大应不大于35°；</w:t>
      </w:r>
    </w:p>
    <w:p w14:paraId="52311A02">
      <w:pPr>
        <w:numPr>
          <w:ilvl w:val="0"/>
          <w:numId w:val="1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影像应清晰，层次丰富，反差适中，色调柔和，应能辨认出与地面分辨率相适应的细小地物影像；</w:t>
      </w:r>
    </w:p>
    <w:p w14:paraId="2D8C5681">
      <w:pPr>
        <w:numPr>
          <w:ilvl w:val="0"/>
          <w:numId w:val="1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影像上不应有云、云影、烟、大面积反光、污点等影响空三和后续工序的缺陷；</w:t>
      </w:r>
    </w:p>
    <w:p w14:paraId="1A74EC65">
      <w:pPr>
        <w:numPr>
          <w:ilvl w:val="0"/>
          <w:numId w:val="1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曝光瞬间造成的像点位移平均值不超过0.5个像素，一般不应大于1个像素，最大不应大于1.5个像素；</w:t>
      </w:r>
    </w:p>
    <w:p w14:paraId="59B21243">
      <w:pPr>
        <w:numPr>
          <w:ilvl w:val="0"/>
          <w:numId w:val="1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倾斜航摄时，应有GNSS辅助航摄；</w:t>
      </w:r>
    </w:p>
    <w:p w14:paraId="315449F3">
      <w:pPr>
        <w:numPr>
          <w:ilvl w:val="0"/>
          <w:numId w:val="12"/>
        </w:num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像控点在分区内应呈品字形分布均匀。</w:t>
      </w:r>
    </w:p>
    <w:p w14:paraId="1CED97C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2.4倾斜摄影场景数据精度</w:t>
      </w:r>
    </w:p>
    <w:p w14:paraId="3AB58FA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倾斜摄影场景数据精度如下表3-3所示。</w:t>
      </w:r>
    </w:p>
    <w:p w14:paraId="1160654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表3-3倾斜摄影场景数据精度</w:t>
      </w:r>
    </w:p>
    <w:p w14:paraId="58B31CB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1D94FB6">
      <w:pPr>
        <w:spacing w:line="360" w:lineRule="auto"/>
        <w:rPr>
          <w:rFonts w:hint="eastAsia" w:ascii="仿宋" w:hAnsi="仿宋" w:eastAsia="仿宋" w:cs="仿宋"/>
          <w:color w:val="auto"/>
          <w:sz w:val="24"/>
          <w:szCs w:val="24"/>
          <w:highlight w:val="none"/>
        </w:rPr>
      </w:pPr>
    </w:p>
    <w:tbl>
      <w:tblPr>
        <w:tblStyle w:val="158"/>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954"/>
        <w:gridCol w:w="1282"/>
        <w:gridCol w:w="4691"/>
      </w:tblGrid>
      <w:tr w14:paraId="72DAF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148" w:type="dxa"/>
            <w:gridSpan w:val="3"/>
            <w:vAlign w:val="center"/>
          </w:tcPr>
          <w:p w14:paraId="0B74148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4691" w:type="dxa"/>
            <w:vAlign w:val="center"/>
          </w:tcPr>
          <w:p w14:paraId="083D861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城市II级</w:t>
            </w:r>
          </w:p>
        </w:tc>
      </w:tr>
      <w:tr w14:paraId="7E43F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12" w:type="dxa"/>
            <w:vMerge w:val="restart"/>
            <w:tcBorders>
              <w:bottom w:val="nil"/>
            </w:tcBorders>
            <w:vAlign w:val="center"/>
          </w:tcPr>
          <w:p w14:paraId="0932269F">
            <w:pPr>
              <w:spacing w:line="360" w:lineRule="auto"/>
              <w:jc w:val="center"/>
              <w:rPr>
                <w:rFonts w:hint="eastAsia" w:ascii="仿宋" w:hAnsi="仿宋" w:eastAsia="仿宋" w:cs="仿宋"/>
                <w:color w:val="auto"/>
                <w:sz w:val="24"/>
                <w:szCs w:val="24"/>
                <w:highlight w:val="none"/>
              </w:rPr>
            </w:pPr>
          </w:p>
          <w:p w14:paraId="4A0012FE">
            <w:pPr>
              <w:spacing w:line="360" w:lineRule="auto"/>
              <w:jc w:val="center"/>
              <w:rPr>
                <w:rFonts w:hint="eastAsia" w:ascii="仿宋" w:hAnsi="仿宋" w:eastAsia="仿宋" w:cs="仿宋"/>
                <w:color w:val="auto"/>
                <w:sz w:val="24"/>
                <w:szCs w:val="24"/>
                <w:highlight w:val="none"/>
              </w:rPr>
            </w:pPr>
          </w:p>
          <w:p w14:paraId="1EF2CDE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几何精度</w:t>
            </w:r>
          </w:p>
        </w:tc>
        <w:tc>
          <w:tcPr>
            <w:tcW w:w="1954" w:type="dxa"/>
            <w:vMerge w:val="restart"/>
            <w:tcBorders>
              <w:bottom w:val="nil"/>
            </w:tcBorders>
            <w:vAlign w:val="center"/>
          </w:tcPr>
          <w:p w14:paraId="4B8468E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平面位置中误差</w:t>
            </w:r>
          </w:p>
          <w:p w14:paraId="5B5A0AB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（米）</w:t>
            </w:r>
          </w:p>
        </w:tc>
        <w:tc>
          <w:tcPr>
            <w:tcW w:w="1282" w:type="dxa"/>
            <w:vAlign w:val="center"/>
          </w:tcPr>
          <w:p w14:paraId="242E31B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平地、丘陵地</w:t>
            </w:r>
          </w:p>
        </w:tc>
        <w:tc>
          <w:tcPr>
            <w:tcW w:w="4691" w:type="dxa"/>
            <w:vAlign w:val="center"/>
          </w:tcPr>
          <w:p w14:paraId="34FB2A4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w:t>
            </w:r>
          </w:p>
        </w:tc>
      </w:tr>
      <w:tr w14:paraId="58565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12" w:type="dxa"/>
            <w:vMerge w:val="continue"/>
            <w:tcBorders>
              <w:top w:val="nil"/>
              <w:bottom w:val="nil"/>
            </w:tcBorders>
            <w:vAlign w:val="center"/>
          </w:tcPr>
          <w:p w14:paraId="3BD6AF0D">
            <w:pPr>
              <w:spacing w:line="360" w:lineRule="auto"/>
              <w:jc w:val="center"/>
              <w:rPr>
                <w:rFonts w:hint="eastAsia" w:ascii="仿宋" w:hAnsi="仿宋" w:eastAsia="仿宋" w:cs="仿宋"/>
                <w:color w:val="auto"/>
                <w:sz w:val="24"/>
                <w:szCs w:val="24"/>
                <w:highlight w:val="none"/>
              </w:rPr>
            </w:pPr>
          </w:p>
        </w:tc>
        <w:tc>
          <w:tcPr>
            <w:tcW w:w="1954" w:type="dxa"/>
            <w:vMerge w:val="continue"/>
            <w:tcBorders>
              <w:top w:val="nil"/>
            </w:tcBorders>
            <w:vAlign w:val="center"/>
          </w:tcPr>
          <w:p w14:paraId="15E4DB42">
            <w:pPr>
              <w:spacing w:line="360" w:lineRule="auto"/>
              <w:jc w:val="center"/>
              <w:rPr>
                <w:rFonts w:hint="eastAsia" w:ascii="仿宋" w:hAnsi="仿宋" w:eastAsia="仿宋" w:cs="仿宋"/>
                <w:color w:val="auto"/>
                <w:sz w:val="24"/>
                <w:szCs w:val="24"/>
                <w:highlight w:val="none"/>
              </w:rPr>
            </w:pPr>
          </w:p>
        </w:tc>
        <w:tc>
          <w:tcPr>
            <w:tcW w:w="1282" w:type="dxa"/>
            <w:vAlign w:val="center"/>
          </w:tcPr>
          <w:p w14:paraId="01AF619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山地</w:t>
            </w:r>
          </w:p>
        </w:tc>
        <w:tc>
          <w:tcPr>
            <w:tcW w:w="4691" w:type="dxa"/>
            <w:vAlign w:val="center"/>
          </w:tcPr>
          <w:p w14:paraId="77B419D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w:t>
            </w:r>
          </w:p>
        </w:tc>
      </w:tr>
      <w:tr w14:paraId="550F3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12" w:type="dxa"/>
            <w:vMerge w:val="continue"/>
            <w:tcBorders>
              <w:top w:val="nil"/>
              <w:bottom w:val="nil"/>
            </w:tcBorders>
            <w:vAlign w:val="center"/>
          </w:tcPr>
          <w:p w14:paraId="71EA3CA2">
            <w:pPr>
              <w:spacing w:line="360" w:lineRule="auto"/>
              <w:jc w:val="center"/>
              <w:rPr>
                <w:rFonts w:hint="eastAsia" w:ascii="仿宋" w:hAnsi="仿宋" w:eastAsia="仿宋" w:cs="仿宋"/>
                <w:color w:val="auto"/>
                <w:sz w:val="24"/>
                <w:szCs w:val="24"/>
                <w:highlight w:val="none"/>
              </w:rPr>
            </w:pPr>
          </w:p>
        </w:tc>
        <w:tc>
          <w:tcPr>
            <w:tcW w:w="1954" w:type="dxa"/>
            <w:vMerge w:val="restart"/>
            <w:tcBorders>
              <w:bottom w:val="nil"/>
            </w:tcBorders>
            <w:vAlign w:val="center"/>
          </w:tcPr>
          <w:p w14:paraId="62F35EEB">
            <w:pPr>
              <w:spacing w:line="360" w:lineRule="auto"/>
              <w:jc w:val="center"/>
              <w:rPr>
                <w:rFonts w:hint="eastAsia" w:ascii="仿宋" w:hAnsi="仿宋" w:eastAsia="仿宋" w:cs="仿宋"/>
                <w:color w:val="auto"/>
                <w:sz w:val="24"/>
                <w:szCs w:val="24"/>
                <w:highlight w:val="none"/>
              </w:rPr>
            </w:pPr>
          </w:p>
          <w:p w14:paraId="7467476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高程中误差（米）</w:t>
            </w:r>
          </w:p>
        </w:tc>
        <w:tc>
          <w:tcPr>
            <w:tcW w:w="1282" w:type="dxa"/>
            <w:vAlign w:val="center"/>
          </w:tcPr>
          <w:p w14:paraId="4DF896A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平地、丘陵地</w:t>
            </w:r>
          </w:p>
        </w:tc>
        <w:tc>
          <w:tcPr>
            <w:tcW w:w="4691" w:type="dxa"/>
            <w:vAlign w:val="center"/>
          </w:tcPr>
          <w:p w14:paraId="2BF4DC2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w:t>
            </w:r>
          </w:p>
        </w:tc>
      </w:tr>
      <w:tr w14:paraId="2D6BA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12" w:type="dxa"/>
            <w:vMerge w:val="continue"/>
            <w:tcBorders>
              <w:top w:val="nil"/>
            </w:tcBorders>
            <w:vAlign w:val="center"/>
          </w:tcPr>
          <w:p w14:paraId="677D49D5">
            <w:pPr>
              <w:spacing w:line="360" w:lineRule="auto"/>
              <w:jc w:val="center"/>
              <w:rPr>
                <w:rFonts w:hint="eastAsia" w:ascii="仿宋" w:hAnsi="仿宋" w:eastAsia="仿宋" w:cs="仿宋"/>
                <w:color w:val="auto"/>
                <w:sz w:val="24"/>
                <w:szCs w:val="24"/>
                <w:highlight w:val="none"/>
              </w:rPr>
            </w:pPr>
          </w:p>
        </w:tc>
        <w:tc>
          <w:tcPr>
            <w:tcW w:w="1954" w:type="dxa"/>
            <w:vMerge w:val="continue"/>
            <w:tcBorders>
              <w:top w:val="nil"/>
            </w:tcBorders>
            <w:vAlign w:val="center"/>
          </w:tcPr>
          <w:p w14:paraId="3C138CE8">
            <w:pPr>
              <w:spacing w:line="360" w:lineRule="auto"/>
              <w:jc w:val="center"/>
              <w:rPr>
                <w:rFonts w:hint="eastAsia" w:ascii="仿宋" w:hAnsi="仿宋" w:eastAsia="仿宋" w:cs="仿宋"/>
                <w:color w:val="auto"/>
                <w:sz w:val="24"/>
                <w:szCs w:val="24"/>
                <w:highlight w:val="none"/>
              </w:rPr>
            </w:pPr>
          </w:p>
        </w:tc>
        <w:tc>
          <w:tcPr>
            <w:tcW w:w="1282" w:type="dxa"/>
            <w:vAlign w:val="center"/>
          </w:tcPr>
          <w:p w14:paraId="49903E2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山地</w:t>
            </w:r>
          </w:p>
        </w:tc>
        <w:tc>
          <w:tcPr>
            <w:tcW w:w="4691" w:type="dxa"/>
            <w:vAlign w:val="center"/>
          </w:tcPr>
          <w:p w14:paraId="49C8DD6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w:t>
            </w:r>
          </w:p>
        </w:tc>
      </w:tr>
      <w:tr w14:paraId="4B1B7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148" w:type="dxa"/>
            <w:gridSpan w:val="3"/>
            <w:vAlign w:val="center"/>
          </w:tcPr>
          <w:p w14:paraId="1782C2E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影像分辨率（米）</w:t>
            </w:r>
          </w:p>
        </w:tc>
        <w:tc>
          <w:tcPr>
            <w:tcW w:w="4691" w:type="dxa"/>
            <w:vAlign w:val="center"/>
          </w:tcPr>
          <w:p w14:paraId="331A1A4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优于0.03</w:t>
            </w:r>
          </w:p>
        </w:tc>
      </w:tr>
      <w:tr w14:paraId="40327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8" w:type="dxa"/>
            <w:gridSpan w:val="3"/>
            <w:vAlign w:val="center"/>
          </w:tcPr>
          <w:p w14:paraId="644E557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修饰标准</w:t>
            </w:r>
          </w:p>
        </w:tc>
        <w:tc>
          <w:tcPr>
            <w:tcW w:w="4691" w:type="dxa"/>
            <w:vAlign w:val="center"/>
          </w:tcPr>
          <w:p w14:paraId="7CA4FB3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整体普修</w:t>
            </w:r>
          </w:p>
        </w:tc>
      </w:tr>
      <w:tr w14:paraId="2208F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8839" w:type="dxa"/>
            <w:gridSpan w:val="4"/>
          </w:tcPr>
          <w:p w14:paraId="3B327A9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注：1.困难地区（建筑物遮挡区域、反射率较低区域、林区等）的平面位置中误差、高程中误差可放宽0.5倍，两倍中误差为最大误差；</w:t>
            </w:r>
          </w:p>
          <w:p w14:paraId="4348F9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2.不同级别数据的精度不低于表中所规定的相应指标； </w:t>
            </w:r>
          </w:p>
        </w:tc>
      </w:tr>
    </w:tbl>
    <w:p w14:paraId="144CAAD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2.5、城市建筑模型成果精度</w:t>
      </w:r>
    </w:p>
    <w:p w14:paraId="508C3A2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平面精度、高程精度、建（构）筑物高度精度符合表3-4要求。</w:t>
      </w:r>
    </w:p>
    <w:p w14:paraId="3A25FA9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表3-4城市建筑模型成果精度要求表</w:t>
      </w:r>
    </w:p>
    <w:tbl>
      <w:tblPr>
        <w:tblStyle w:val="158"/>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954"/>
        <w:gridCol w:w="1282"/>
        <w:gridCol w:w="4691"/>
      </w:tblGrid>
      <w:tr w14:paraId="7189A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148" w:type="dxa"/>
            <w:gridSpan w:val="3"/>
            <w:vAlign w:val="center"/>
          </w:tcPr>
          <w:p w14:paraId="5C89950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4691" w:type="dxa"/>
            <w:vAlign w:val="center"/>
          </w:tcPr>
          <w:p w14:paraId="61F36FF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城市II级</w:t>
            </w:r>
          </w:p>
        </w:tc>
      </w:tr>
      <w:tr w14:paraId="7D35E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12" w:type="dxa"/>
            <w:vMerge w:val="restart"/>
            <w:vAlign w:val="center"/>
          </w:tcPr>
          <w:p w14:paraId="7899F016">
            <w:pPr>
              <w:spacing w:line="360" w:lineRule="auto"/>
              <w:jc w:val="center"/>
              <w:rPr>
                <w:rFonts w:hint="eastAsia" w:ascii="仿宋" w:hAnsi="仿宋" w:eastAsia="仿宋" w:cs="仿宋"/>
                <w:color w:val="auto"/>
                <w:sz w:val="24"/>
                <w:szCs w:val="24"/>
                <w:highlight w:val="none"/>
              </w:rPr>
            </w:pPr>
          </w:p>
          <w:p w14:paraId="667C305F">
            <w:pPr>
              <w:spacing w:line="360" w:lineRule="auto"/>
              <w:jc w:val="center"/>
              <w:rPr>
                <w:rFonts w:hint="eastAsia" w:ascii="仿宋" w:hAnsi="仿宋" w:eastAsia="仿宋" w:cs="仿宋"/>
                <w:color w:val="auto"/>
                <w:sz w:val="24"/>
                <w:szCs w:val="24"/>
                <w:highlight w:val="none"/>
              </w:rPr>
            </w:pPr>
          </w:p>
          <w:p w14:paraId="2001AE8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几何精度</w:t>
            </w:r>
          </w:p>
        </w:tc>
        <w:tc>
          <w:tcPr>
            <w:tcW w:w="1954" w:type="dxa"/>
            <w:vMerge w:val="restart"/>
            <w:tcBorders>
              <w:bottom w:val="nil"/>
            </w:tcBorders>
            <w:vAlign w:val="center"/>
          </w:tcPr>
          <w:p w14:paraId="220A244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平面位置中误差</w:t>
            </w:r>
          </w:p>
          <w:p w14:paraId="4408992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（米）</w:t>
            </w:r>
          </w:p>
        </w:tc>
        <w:tc>
          <w:tcPr>
            <w:tcW w:w="1282" w:type="dxa"/>
            <w:vAlign w:val="center"/>
          </w:tcPr>
          <w:p w14:paraId="3B4D1DB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平地、丘陵地</w:t>
            </w:r>
          </w:p>
        </w:tc>
        <w:tc>
          <w:tcPr>
            <w:tcW w:w="4691" w:type="dxa"/>
            <w:vAlign w:val="center"/>
          </w:tcPr>
          <w:p w14:paraId="09E61C9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0.6</w:t>
            </w:r>
          </w:p>
        </w:tc>
      </w:tr>
      <w:tr w14:paraId="182BD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912" w:type="dxa"/>
            <w:vMerge w:val="continue"/>
            <w:vAlign w:val="center"/>
          </w:tcPr>
          <w:p w14:paraId="4474CE5A">
            <w:pPr>
              <w:spacing w:line="360" w:lineRule="auto"/>
              <w:jc w:val="center"/>
              <w:rPr>
                <w:rFonts w:hint="eastAsia" w:ascii="仿宋" w:hAnsi="仿宋" w:eastAsia="仿宋" w:cs="仿宋"/>
                <w:color w:val="auto"/>
                <w:sz w:val="24"/>
                <w:szCs w:val="24"/>
                <w:highlight w:val="none"/>
              </w:rPr>
            </w:pPr>
          </w:p>
        </w:tc>
        <w:tc>
          <w:tcPr>
            <w:tcW w:w="1954" w:type="dxa"/>
            <w:vMerge w:val="continue"/>
            <w:tcBorders>
              <w:top w:val="nil"/>
            </w:tcBorders>
            <w:vAlign w:val="center"/>
          </w:tcPr>
          <w:p w14:paraId="25D1D6C0">
            <w:pPr>
              <w:spacing w:line="360" w:lineRule="auto"/>
              <w:jc w:val="center"/>
              <w:rPr>
                <w:rFonts w:hint="eastAsia" w:ascii="仿宋" w:hAnsi="仿宋" w:eastAsia="仿宋" w:cs="仿宋"/>
                <w:color w:val="auto"/>
                <w:sz w:val="24"/>
                <w:szCs w:val="24"/>
                <w:highlight w:val="none"/>
              </w:rPr>
            </w:pPr>
          </w:p>
        </w:tc>
        <w:tc>
          <w:tcPr>
            <w:tcW w:w="1282" w:type="dxa"/>
            <w:vAlign w:val="center"/>
          </w:tcPr>
          <w:p w14:paraId="3965C2D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山地</w:t>
            </w:r>
          </w:p>
        </w:tc>
        <w:tc>
          <w:tcPr>
            <w:tcW w:w="4691" w:type="dxa"/>
            <w:vAlign w:val="center"/>
          </w:tcPr>
          <w:p w14:paraId="195E36E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r>
      <w:tr w14:paraId="7A684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12" w:type="dxa"/>
            <w:vMerge w:val="continue"/>
            <w:vAlign w:val="center"/>
          </w:tcPr>
          <w:p w14:paraId="25C2B5F6">
            <w:pPr>
              <w:spacing w:line="360" w:lineRule="auto"/>
              <w:jc w:val="center"/>
              <w:rPr>
                <w:rFonts w:hint="eastAsia" w:ascii="仿宋" w:hAnsi="仿宋" w:eastAsia="仿宋" w:cs="仿宋"/>
                <w:color w:val="auto"/>
                <w:sz w:val="24"/>
                <w:szCs w:val="24"/>
                <w:highlight w:val="none"/>
              </w:rPr>
            </w:pPr>
          </w:p>
        </w:tc>
        <w:tc>
          <w:tcPr>
            <w:tcW w:w="1954" w:type="dxa"/>
            <w:vMerge w:val="restart"/>
            <w:vAlign w:val="center"/>
          </w:tcPr>
          <w:p w14:paraId="05F05068">
            <w:pPr>
              <w:spacing w:line="360" w:lineRule="auto"/>
              <w:jc w:val="center"/>
              <w:rPr>
                <w:rFonts w:hint="eastAsia" w:ascii="仿宋" w:hAnsi="仿宋" w:eastAsia="仿宋" w:cs="仿宋"/>
                <w:color w:val="auto"/>
                <w:sz w:val="24"/>
                <w:szCs w:val="24"/>
                <w:highlight w:val="none"/>
              </w:rPr>
            </w:pPr>
          </w:p>
          <w:p w14:paraId="3A4449A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高程中误差（米）</w:t>
            </w:r>
          </w:p>
        </w:tc>
        <w:tc>
          <w:tcPr>
            <w:tcW w:w="1282" w:type="dxa"/>
            <w:vAlign w:val="center"/>
          </w:tcPr>
          <w:p w14:paraId="1F05FBF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平地</w:t>
            </w:r>
          </w:p>
        </w:tc>
        <w:tc>
          <w:tcPr>
            <w:tcW w:w="4691" w:type="dxa"/>
            <w:vAlign w:val="center"/>
          </w:tcPr>
          <w:p w14:paraId="044C1DD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r>
      <w:tr w14:paraId="35F2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12" w:type="dxa"/>
            <w:vMerge w:val="continue"/>
            <w:vAlign w:val="center"/>
          </w:tcPr>
          <w:p w14:paraId="510F7903">
            <w:pPr>
              <w:spacing w:line="360" w:lineRule="auto"/>
              <w:jc w:val="center"/>
              <w:rPr>
                <w:rFonts w:hint="eastAsia" w:ascii="仿宋" w:hAnsi="仿宋" w:eastAsia="仿宋" w:cs="仿宋"/>
                <w:color w:val="auto"/>
                <w:sz w:val="24"/>
                <w:szCs w:val="24"/>
                <w:highlight w:val="none"/>
              </w:rPr>
            </w:pPr>
          </w:p>
        </w:tc>
        <w:tc>
          <w:tcPr>
            <w:tcW w:w="1954" w:type="dxa"/>
            <w:vMerge w:val="continue"/>
            <w:vAlign w:val="center"/>
          </w:tcPr>
          <w:p w14:paraId="26AFCB87">
            <w:pPr>
              <w:spacing w:line="360" w:lineRule="auto"/>
              <w:jc w:val="center"/>
              <w:rPr>
                <w:rFonts w:hint="eastAsia" w:ascii="仿宋" w:hAnsi="仿宋" w:eastAsia="仿宋" w:cs="仿宋"/>
                <w:color w:val="auto"/>
                <w:sz w:val="24"/>
                <w:szCs w:val="24"/>
                <w:highlight w:val="none"/>
              </w:rPr>
            </w:pPr>
          </w:p>
        </w:tc>
        <w:tc>
          <w:tcPr>
            <w:tcW w:w="1282" w:type="dxa"/>
            <w:vAlign w:val="center"/>
          </w:tcPr>
          <w:p w14:paraId="1019B93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丘陵地</w:t>
            </w:r>
          </w:p>
        </w:tc>
        <w:tc>
          <w:tcPr>
            <w:tcW w:w="4691" w:type="dxa"/>
            <w:vAlign w:val="center"/>
          </w:tcPr>
          <w:p w14:paraId="4BA20D7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14:paraId="444B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12" w:type="dxa"/>
            <w:vMerge w:val="continue"/>
            <w:vAlign w:val="center"/>
          </w:tcPr>
          <w:p w14:paraId="679F1C7B">
            <w:pPr>
              <w:spacing w:line="360" w:lineRule="auto"/>
              <w:jc w:val="center"/>
              <w:rPr>
                <w:rFonts w:hint="eastAsia" w:ascii="仿宋" w:hAnsi="仿宋" w:eastAsia="仿宋" w:cs="仿宋"/>
                <w:color w:val="auto"/>
                <w:sz w:val="24"/>
                <w:szCs w:val="24"/>
                <w:highlight w:val="none"/>
              </w:rPr>
            </w:pPr>
          </w:p>
        </w:tc>
        <w:tc>
          <w:tcPr>
            <w:tcW w:w="1954" w:type="dxa"/>
            <w:vMerge w:val="continue"/>
            <w:vAlign w:val="center"/>
          </w:tcPr>
          <w:p w14:paraId="3C92EA10">
            <w:pPr>
              <w:spacing w:line="360" w:lineRule="auto"/>
              <w:jc w:val="center"/>
              <w:rPr>
                <w:rFonts w:hint="eastAsia" w:ascii="仿宋" w:hAnsi="仿宋" w:eastAsia="仿宋" w:cs="仿宋"/>
                <w:color w:val="auto"/>
                <w:sz w:val="24"/>
                <w:szCs w:val="24"/>
                <w:highlight w:val="none"/>
              </w:rPr>
            </w:pPr>
          </w:p>
        </w:tc>
        <w:tc>
          <w:tcPr>
            <w:tcW w:w="1282" w:type="dxa"/>
            <w:vAlign w:val="center"/>
          </w:tcPr>
          <w:p w14:paraId="35AD2C1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山地</w:t>
            </w:r>
          </w:p>
        </w:tc>
        <w:tc>
          <w:tcPr>
            <w:tcW w:w="4691" w:type="dxa"/>
            <w:vAlign w:val="center"/>
          </w:tcPr>
          <w:p w14:paraId="05D31F1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12EAE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4148" w:type="dxa"/>
            <w:gridSpan w:val="3"/>
          </w:tcPr>
          <w:p w14:paraId="42533FA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建（构）筑物高度精度（米）</w:t>
            </w:r>
          </w:p>
        </w:tc>
        <w:tc>
          <w:tcPr>
            <w:tcW w:w="4691" w:type="dxa"/>
          </w:tcPr>
          <w:p w14:paraId="1159BE0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度小于30米（含）的建（构）筑物，建筑模型高度（建筑模型顶部到基底面的垂直距离）与实际高度（建（构）筑物顶部到基底面的垂直距离，不含顶部建筑附属设施）之差与实际高度的比值不应大于10%。高于30米的建（构）筑物，建筑模型高度与实际高度之差不应大于3.0米。高度值取位至 0.1 米。</w:t>
            </w:r>
          </w:p>
        </w:tc>
      </w:tr>
    </w:tbl>
    <w:p w14:paraId="1370F16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（1）精细度</w:t>
      </w:r>
    </w:p>
    <w:p w14:paraId="1EA00B7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原则上以整栋建筑为粒度构建建筑模型。</w:t>
      </w:r>
    </w:p>
    <w:p w14:paraId="30F711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普通建筑物基底面大于（含）1.5米的凹凸变化应正确表示，建筑物外立面上的凹凸变化（如：消防平台、檐廊等）无需采集；建筑物顶部大于3米的高度变化，当变化部分基底面积大于12平方米时，高度变化应正确表示。</w:t>
      </w:r>
    </w:p>
    <w:p w14:paraId="35EA1E2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城市标志性建筑物和各类构筑物应正确表示建（构）筑物整体形态，外立面和顶部的细节（女儿墙等）无需表示。</w:t>
      </w:r>
    </w:p>
    <w:p w14:paraId="5F58277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（2）技术要求</w:t>
      </w:r>
    </w:p>
    <w:p w14:paraId="1F9AFC3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数据生产按照国家及自治区相关技术规程执行。</w:t>
      </w:r>
    </w:p>
    <w:p w14:paraId="3934C47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2.6、新型基础测绘数据产品成果精度</w:t>
      </w:r>
    </w:p>
    <w:p w14:paraId="203941B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存量数据转换生产（含更新和补充采集）新型基础测绘数据产品的几何精度不得低于转换前的源数据精度；采集生产的新型基础测绘数据产品精度要求详见表3-6。</w:t>
      </w:r>
    </w:p>
    <w:p w14:paraId="71E9513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表3-6采集生产新型基础测绘数据产品精度指标（单位：米）</w:t>
      </w:r>
    </w:p>
    <w:tbl>
      <w:tblPr>
        <w:tblStyle w:val="44"/>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23"/>
        <w:gridCol w:w="625"/>
        <w:gridCol w:w="823"/>
        <w:gridCol w:w="625"/>
        <w:gridCol w:w="826"/>
        <w:gridCol w:w="625"/>
        <w:gridCol w:w="817"/>
        <w:gridCol w:w="1316"/>
        <w:gridCol w:w="1411"/>
      </w:tblGrid>
      <w:tr w14:paraId="25B8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896" w:type="dxa"/>
            <w:gridSpan w:val="4"/>
            <w:vAlign w:val="center"/>
          </w:tcPr>
          <w:p w14:paraId="6E3972F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几何精度(平面位置中误差)</w:t>
            </w:r>
          </w:p>
        </w:tc>
        <w:tc>
          <w:tcPr>
            <w:tcW w:w="2893" w:type="dxa"/>
            <w:gridSpan w:val="4"/>
            <w:vAlign w:val="center"/>
          </w:tcPr>
          <w:p w14:paraId="4E0565C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几何精度(高程中误差)</w:t>
            </w:r>
          </w:p>
        </w:tc>
        <w:tc>
          <w:tcPr>
            <w:tcW w:w="1316" w:type="dxa"/>
            <w:vMerge w:val="restart"/>
            <w:vAlign w:val="center"/>
          </w:tcPr>
          <w:p w14:paraId="6F78B00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p w14:paraId="5BCBFF7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精度</w:t>
            </w:r>
          </w:p>
        </w:tc>
        <w:tc>
          <w:tcPr>
            <w:tcW w:w="1411" w:type="dxa"/>
            <w:vMerge w:val="restart"/>
            <w:vAlign w:val="center"/>
          </w:tcPr>
          <w:p w14:paraId="780B3A6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属性</w:t>
            </w:r>
          </w:p>
          <w:p w14:paraId="45C328D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精度</w:t>
            </w:r>
          </w:p>
        </w:tc>
      </w:tr>
      <w:tr w14:paraId="40F4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5" w:type="dxa"/>
            <w:vAlign w:val="center"/>
          </w:tcPr>
          <w:p w14:paraId="6513DE9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平地</w:t>
            </w:r>
          </w:p>
        </w:tc>
        <w:tc>
          <w:tcPr>
            <w:tcW w:w="823" w:type="dxa"/>
            <w:vAlign w:val="center"/>
          </w:tcPr>
          <w:p w14:paraId="3C908FB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丘陵地</w:t>
            </w:r>
          </w:p>
        </w:tc>
        <w:tc>
          <w:tcPr>
            <w:tcW w:w="625" w:type="dxa"/>
            <w:vAlign w:val="center"/>
          </w:tcPr>
          <w:p w14:paraId="46CDFDE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山地</w:t>
            </w:r>
          </w:p>
        </w:tc>
        <w:tc>
          <w:tcPr>
            <w:tcW w:w="823" w:type="dxa"/>
            <w:vAlign w:val="center"/>
          </w:tcPr>
          <w:p w14:paraId="1523B62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高山地</w:t>
            </w:r>
          </w:p>
        </w:tc>
        <w:tc>
          <w:tcPr>
            <w:tcW w:w="625" w:type="dxa"/>
            <w:vAlign w:val="center"/>
          </w:tcPr>
          <w:p w14:paraId="4F6BEAF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平地</w:t>
            </w:r>
          </w:p>
        </w:tc>
        <w:tc>
          <w:tcPr>
            <w:tcW w:w="826" w:type="dxa"/>
            <w:vAlign w:val="center"/>
          </w:tcPr>
          <w:p w14:paraId="04FE3F9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丘陵地</w:t>
            </w:r>
          </w:p>
        </w:tc>
        <w:tc>
          <w:tcPr>
            <w:tcW w:w="625" w:type="dxa"/>
            <w:vAlign w:val="center"/>
          </w:tcPr>
          <w:p w14:paraId="3A3587F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山地</w:t>
            </w:r>
          </w:p>
        </w:tc>
        <w:tc>
          <w:tcPr>
            <w:tcW w:w="817" w:type="dxa"/>
            <w:vAlign w:val="center"/>
          </w:tcPr>
          <w:p w14:paraId="79B5625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高山地</w:t>
            </w:r>
          </w:p>
        </w:tc>
        <w:tc>
          <w:tcPr>
            <w:tcW w:w="1316" w:type="dxa"/>
            <w:vMerge w:val="continue"/>
            <w:vAlign w:val="center"/>
          </w:tcPr>
          <w:p w14:paraId="181CF35E">
            <w:pPr>
              <w:spacing w:line="360" w:lineRule="auto"/>
              <w:jc w:val="center"/>
              <w:rPr>
                <w:rFonts w:hint="eastAsia" w:ascii="仿宋" w:hAnsi="仿宋" w:eastAsia="仿宋" w:cs="仿宋"/>
                <w:color w:val="auto"/>
                <w:sz w:val="24"/>
                <w:szCs w:val="24"/>
                <w:highlight w:val="none"/>
              </w:rPr>
            </w:pPr>
          </w:p>
        </w:tc>
        <w:tc>
          <w:tcPr>
            <w:tcW w:w="1411" w:type="dxa"/>
            <w:vMerge w:val="continue"/>
            <w:vAlign w:val="center"/>
          </w:tcPr>
          <w:p w14:paraId="2F2F04D9">
            <w:pPr>
              <w:spacing w:line="360" w:lineRule="auto"/>
              <w:jc w:val="center"/>
              <w:rPr>
                <w:rFonts w:hint="eastAsia" w:ascii="仿宋" w:hAnsi="仿宋" w:eastAsia="仿宋" w:cs="仿宋"/>
                <w:color w:val="auto"/>
                <w:sz w:val="24"/>
                <w:szCs w:val="24"/>
                <w:highlight w:val="none"/>
              </w:rPr>
            </w:pPr>
          </w:p>
        </w:tc>
      </w:tr>
      <w:tr w14:paraId="6652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48" w:type="dxa"/>
            <w:gridSpan w:val="2"/>
            <w:vAlign w:val="center"/>
          </w:tcPr>
          <w:p w14:paraId="1E35F6D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w:t>
            </w:r>
          </w:p>
        </w:tc>
        <w:tc>
          <w:tcPr>
            <w:tcW w:w="1448" w:type="dxa"/>
            <w:gridSpan w:val="2"/>
            <w:vAlign w:val="center"/>
          </w:tcPr>
          <w:p w14:paraId="0666DBA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w:t>
            </w:r>
          </w:p>
        </w:tc>
        <w:tc>
          <w:tcPr>
            <w:tcW w:w="625" w:type="dxa"/>
            <w:vAlign w:val="center"/>
          </w:tcPr>
          <w:p w14:paraId="4C04203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w:t>
            </w:r>
          </w:p>
        </w:tc>
        <w:tc>
          <w:tcPr>
            <w:tcW w:w="826" w:type="dxa"/>
            <w:vAlign w:val="center"/>
          </w:tcPr>
          <w:p w14:paraId="6378644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w:t>
            </w:r>
          </w:p>
        </w:tc>
        <w:tc>
          <w:tcPr>
            <w:tcW w:w="625" w:type="dxa"/>
            <w:vAlign w:val="center"/>
          </w:tcPr>
          <w:p w14:paraId="79DDAE1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817" w:type="dxa"/>
            <w:vAlign w:val="center"/>
          </w:tcPr>
          <w:p w14:paraId="05587B9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c>
          <w:tcPr>
            <w:tcW w:w="1316" w:type="dxa"/>
            <w:vAlign w:val="center"/>
          </w:tcPr>
          <w:p w14:paraId="41FC6F3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优于2022年</w:t>
            </w:r>
          </w:p>
        </w:tc>
        <w:tc>
          <w:tcPr>
            <w:tcW w:w="1411" w:type="dxa"/>
            <w:vAlign w:val="center"/>
          </w:tcPr>
          <w:p w14:paraId="5C9657B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符合规范要求</w:t>
            </w:r>
          </w:p>
        </w:tc>
      </w:tr>
      <w:tr w14:paraId="58C9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6" w:type="dxa"/>
            <w:gridSpan w:val="10"/>
            <w:vAlign w:val="center"/>
          </w:tcPr>
          <w:p w14:paraId="383E44C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注：特殊困难区域可放宽0.5倍。</w:t>
            </w:r>
          </w:p>
        </w:tc>
      </w:tr>
    </w:tbl>
    <w:p w14:paraId="22EBA8DA">
      <w:pPr>
        <w:pStyle w:val="27"/>
        <w:rPr>
          <w:rFonts w:hint="eastAsia" w:ascii="仿宋" w:hAnsi="仿宋" w:eastAsia="仿宋" w:cs="仿宋"/>
          <w:sz w:val="24"/>
          <w:szCs w:val="24"/>
        </w:rPr>
      </w:pPr>
    </w:p>
    <w:p w14:paraId="4FC856DF">
      <w:pPr>
        <w:pStyle w:val="27"/>
        <w:rPr>
          <w:rFonts w:hint="eastAsia" w:ascii="仿宋" w:hAnsi="仿宋" w:eastAsia="仿宋" w:cs="仿宋"/>
          <w:sz w:val="24"/>
          <w:szCs w:val="24"/>
        </w:rPr>
      </w:pPr>
    </w:p>
    <w:p w14:paraId="53B99548">
      <w:pPr>
        <w:pStyle w:val="27"/>
        <w:rPr>
          <w:rFonts w:ascii="仿宋" w:hAnsi="仿宋" w:eastAsia="仿宋" w:cs="仿宋"/>
        </w:rPr>
      </w:pPr>
    </w:p>
    <w:p w14:paraId="11A0D70E">
      <w:pPr>
        <w:pStyle w:val="27"/>
        <w:rPr>
          <w:rFonts w:ascii="仿宋" w:hAnsi="仿宋" w:eastAsia="仿宋" w:cs="仿宋"/>
        </w:rPr>
      </w:pPr>
    </w:p>
    <w:p w14:paraId="6266FD24">
      <w:pPr>
        <w:pStyle w:val="27"/>
        <w:rPr>
          <w:rFonts w:ascii="仿宋" w:hAnsi="仿宋" w:eastAsia="仿宋" w:cs="仿宋"/>
        </w:rPr>
      </w:pPr>
    </w:p>
    <w:p w14:paraId="240A2BBE">
      <w:pPr>
        <w:pStyle w:val="27"/>
        <w:rPr>
          <w:rFonts w:ascii="仿宋" w:hAnsi="仿宋" w:eastAsia="仿宋" w:cs="仿宋"/>
        </w:rPr>
      </w:pPr>
    </w:p>
    <w:p w14:paraId="353CCD73">
      <w:pPr>
        <w:pStyle w:val="27"/>
        <w:rPr>
          <w:rFonts w:ascii="仿宋" w:hAnsi="仿宋" w:eastAsia="仿宋" w:cs="仿宋"/>
        </w:rPr>
      </w:pPr>
    </w:p>
    <w:p w14:paraId="78A27BCE">
      <w:pPr>
        <w:pStyle w:val="27"/>
        <w:rPr>
          <w:rFonts w:ascii="仿宋" w:hAnsi="仿宋" w:eastAsia="仿宋" w:cs="仿宋"/>
        </w:rPr>
      </w:pPr>
    </w:p>
    <w:p w14:paraId="0C749589">
      <w:pPr>
        <w:pStyle w:val="27"/>
        <w:rPr>
          <w:rFonts w:ascii="仿宋" w:hAnsi="仿宋" w:eastAsia="仿宋" w:cs="仿宋"/>
        </w:rPr>
      </w:pPr>
    </w:p>
    <w:p w14:paraId="6F995A72">
      <w:pPr>
        <w:pStyle w:val="27"/>
        <w:rPr>
          <w:rFonts w:ascii="仿宋" w:hAnsi="仿宋" w:eastAsia="仿宋" w:cs="仿宋"/>
        </w:rPr>
      </w:pPr>
    </w:p>
    <w:p w14:paraId="692FB1A9">
      <w:pPr>
        <w:pStyle w:val="27"/>
        <w:rPr>
          <w:rFonts w:ascii="仿宋" w:hAnsi="仿宋" w:eastAsia="仿宋" w:cs="仿宋"/>
        </w:rPr>
      </w:pPr>
    </w:p>
    <w:p w14:paraId="65BF901C">
      <w:pPr>
        <w:pStyle w:val="27"/>
        <w:rPr>
          <w:rFonts w:ascii="仿宋" w:hAnsi="仿宋" w:eastAsia="仿宋" w:cs="仿宋"/>
        </w:rPr>
      </w:pPr>
    </w:p>
    <w:p w14:paraId="50CAF0E4">
      <w:pPr>
        <w:pStyle w:val="2"/>
        <w:rPr>
          <w:rFonts w:cs="仿宋"/>
        </w:rPr>
      </w:pPr>
      <w:r>
        <w:rPr>
          <w:rFonts w:hint="eastAsia" w:cs="仿宋"/>
        </w:rPr>
        <w:t>评标程序、评标方法和评标标准</w:t>
      </w:r>
      <w:bookmarkEnd w:id="12"/>
    </w:p>
    <w:p w14:paraId="14884B73">
      <w:pPr>
        <w:numPr>
          <w:ilvl w:val="0"/>
          <w:numId w:val="13"/>
        </w:numPr>
        <w:spacing w:line="500" w:lineRule="exact"/>
        <w:outlineLvl w:val="1"/>
        <w:rPr>
          <w:rFonts w:ascii="仿宋" w:hAnsi="仿宋" w:eastAsia="仿宋" w:cs="仿宋"/>
          <w:b/>
          <w:bCs/>
          <w:sz w:val="24"/>
        </w:rPr>
      </w:pPr>
      <w:bookmarkStart w:id="13" w:name="_Toc155630087"/>
      <w:r>
        <w:rPr>
          <w:rFonts w:hint="eastAsia" w:ascii="仿宋" w:hAnsi="仿宋" w:eastAsia="仿宋" w:cs="仿宋"/>
          <w:b/>
          <w:bCs/>
          <w:sz w:val="24"/>
        </w:rPr>
        <w:t>评标方法</w:t>
      </w:r>
      <w:bookmarkEnd w:id="13"/>
      <w:r>
        <w:rPr>
          <w:rFonts w:hint="eastAsia" w:ascii="仿宋" w:hAnsi="仿宋" w:eastAsia="仿宋" w:cs="仿宋"/>
          <w:b/>
          <w:bCs/>
          <w:sz w:val="24"/>
        </w:rPr>
        <w:t xml:space="preserve"> </w:t>
      </w:r>
    </w:p>
    <w:p w14:paraId="4BC32E7A">
      <w:pPr>
        <w:spacing w:line="500" w:lineRule="exact"/>
        <w:ind w:firstLine="480" w:firstLineChars="200"/>
        <w:rPr>
          <w:rFonts w:ascii="仿宋" w:hAnsi="仿宋" w:eastAsia="仿宋" w:cs="仿宋"/>
          <w:sz w:val="24"/>
        </w:rPr>
      </w:pPr>
      <w:r>
        <w:rPr>
          <w:rFonts w:hint="eastAsia" w:ascii="仿宋" w:hAnsi="仿宋" w:eastAsia="仿宋" w:cs="仿宋"/>
          <w:sz w:val="24"/>
        </w:rPr>
        <w:t>本项目采用综合评分法，是指投标文件满足招标文件全部实质性要求，且按照评审因素的量化指标评审得分最高的投标人为中标候选人的评标方法。</w:t>
      </w:r>
    </w:p>
    <w:p w14:paraId="19DAE4E6">
      <w:pPr>
        <w:numPr>
          <w:ilvl w:val="0"/>
          <w:numId w:val="13"/>
        </w:numPr>
        <w:spacing w:line="500" w:lineRule="exact"/>
        <w:outlineLvl w:val="1"/>
        <w:rPr>
          <w:rFonts w:ascii="仿宋" w:hAnsi="仿宋" w:eastAsia="仿宋" w:cs="仿宋"/>
          <w:b/>
          <w:bCs/>
          <w:sz w:val="24"/>
        </w:rPr>
      </w:pPr>
      <w:bookmarkStart w:id="14" w:name="_Toc155630088"/>
      <w:r>
        <w:rPr>
          <w:rFonts w:hint="eastAsia" w:ascii="仿宋" w:hAnsi="仿宋" w:eastAsia="仿宋" w:cs="仿宋"/>
          <w:b/>
          <w:bCs/>
          <w:sz w:val="24"/>
        </w:rPr>
        <w:t>评标原则</w:t>
      </w:r>
      <w:bookmarkEnd w:id="14"/>
    </w:p>
    <w:p w14:paraId="7D8C1894">
      <w:pPr>
        <w:numPr>
          <w:ilvl w:val="1"/>
          <w:numId w:val="13"/>
        </w:numPr>
        <w:spacing w:line="500" w:lineRule="exact"/>
        <w:rPr>
          <w:rFonts w:ascii="仿宋" w:hAnsi="仿宋" w:eastAsia="仿宋" w:cs="仿宋"/>
          <w:b/>
          <w:bCs/>
          <w:sz w:val="24"/>
        </w:rPr>
      </w:pPr>
      <w:r>
        <w:rPr>
          <w:rFonts w:hint="eastAsia" w:ascii="仿宋" w:hAnsi="仿宋" w:eastAsia="仿宋" w:cs="仿宋"/>
          <w:sz w:val="24"/>
        </w:rPr>
        <w:t>评标活动遵循公平、公正、科学和择优的原则，以招标文件和投标文件为评标的基本依据，并按照招标文件规定的评标方法和评标标准进行评标。</w:t>
      </w:r>
    </w:p>
    <w:p w14:paraId="0297DB7B">
      <w:pPr>
        <w:numPr>
          <w:ilvl w:val="1"/>
          <w:numId w:val="13"/>
        </w:numPr>
        <w:spacing w:line="500" w:lineRule="exact"/>
        <w:rPr>
          <w:rFonts w:ascii="仿宋" w:hAnsi="仿宋" w:eastAsia="仿宋" w:cs="仿宋"/>
          <w:sz w:val="24"/>
        </w:rPr>
      </w:pPr>
      <w:r>
        <w:rPr>
          <w:rFonts w:hint="eastAsia" w:ascii="仿宋" w:hAnsi="仿宋" w:eastAsia="仿宋" w:cs="仿宋"/>
          <w:sz w:val="24"/>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16CBBEF3">
      <w:pPr>
        <w:numPr>
          <w:ilvl w:val="0"/>
          <w:numId w:val="13"/>
        </w:numPr>
        <w:spacing w:line="500" w:lineRule="exact"/>
        <w:outlineLvl w:val="1"/>
        <w:rPr>
          <w:rFonts w:ascii="仿宋" w:hAnsi="仿宋" w:eastAsia="仿宋" w:cs="仿宋"/>
          <w:b/>
          <w:bCs/>
          <w:sz w:val="24"/>
        </w:rPr>
      </w:pPr>
      <w:bookmarkStart w:id="15" w:name="_Toc155630089"/>
      <w:r>
        <w:rPr>
          <w:rFonts w:hint="eastAsia" w:ascii="仿宋" w:hAnsi="仿宋" w:eastAsia="仿宋" w:cs="仿宋"/>
          <w:b/>
          <w:bCs/>
          <w:sz w:val="24"/>
        </w:rPr>
        <w:t>资格审查</w:t>
      </w:r>
      <w:bookmarkEnd w:id="15"/>
    </w:p>
    <w:p w14:paraId="21692BC6">
      <w:pPr>
        <w:spacing w:line="500" w:lineRule="exact"/>
        <w:ind w:firstLine="480" w:firstLineChars="200"/>
        <w:rPr>
          <w:rFonts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rPr>
        <w:t>无效投标</w:t>
      </w:r>
      <w:r>
        <w:rPr>
          <w:rFonts w:hint="eastAsia" w:ascii="仿宋" w:hAnsi="仿宋" w:eastAsia="仿宋" w:cs="仿宋"/>
          <w:sz w:val="24"/>
        </w:rPr>
        <w:t>处理，不进入符合性审查。资格审查要求如下：</w:t>
      </w:r>
    </w:p>
    <w:p w14:paraId="5AC11DF3">
      <w:pPr>
        <w:spacing w:line="500" w:lineRule="exact"/>
        <w:jc w:val="center"/>
        <w:rPr>
          <w:rFonts w:ascii="仿宋" w:hAnsi="仿宋" w:eastAsia="仿宋" w:cs="仿宋"/>
          <w:b/>
          <w:bCs/>
          <w:sz w:val="24"/>
        </w:rPr>
      </w:pPr>
      <w:r>
        <w:rPr>
          <w:rFonts w:hint="eastAsia" w:ascii="仿宋" w:hAnsi="仿宋" w:eastAsia="仿宋" w:cs="仿宋"/>
          <w:b/>
          <w:bCs/>
          <w:sz w:val="24"/>
        </w:rPr>
        <w:t>资格审查要求</w:t>
      </w:r>
    </w:p>
    <w:tbl>
      <w:tblPr>
        <w:tblStyle w:val="4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46"/>
        <w:gridCol w:w="4641"/>
      </w:tblGrid>
      <w:tr w14:paraId="05C2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DA6D702">
            <w:pPr>
              <w:jc w:val="center"/>
              <w:rPr>
                <w:rFonts w:ascii="仿宋" w:hAnsi="仿宋" w:eastAsia="仿宋" w:cs="仿宋"/>
                <w:b/>
                <w:bCs/>
                <w:szCs w:val="21"/>
              </w:rPr>
            </w:pPr>
            <w:r>
              <w:rPr>
                <w:rFonts w:hint="eastAsia" w:ascii="仿宋" w:hAnsi="仿宋" w:eastAsia="仿宋" w:cs="仿宋"/>
                <w:b/>
                <w:bCs/>
                <w:szCs w:val="21"/>
              </w:rPr>
              <w:t>序号</w:t>
            </w:r>
          </w:p>
        </w:tc>
        <w:tc>
          <w:tcPr>
            <w:tcW w:w="2946" w:type="dxa"/>
            <w:vAlign w:val="center"/>
          </w:tcPr>
          <w:p w14:paraId="44933880">
            <w:pPr>
              <w:jc w:val="center"/>
              <w:rPr>
                <w:rFonts w:ascii="仿宋" w:hAnsi="仿宋" w:eastAsia="仿宋" w:cs="仿宋"/>
                <w:b/>
                <w:bCs/>
                <w:szCs w:val="21"/>
              </w:rPr>
            </w:pPr>
            <w:r>
              <w:rPr>
                <w:rFonts w:hint="eastAsia" w:ascii="仿宋" w:hAnsi="仿宋" w:eastAsia="仿宋" w:cs="仿宋"/>
                <w:b/>
                <w:bCs/>
                <w:szCs w:val="21"/>
              </w:rPr>
              <w:t>审查因素</w:t>
            </w:r>
          </w:p>
        </w:tc>
        <w:tc>
          <w:tcPr>
            <w:tcW w:w="4641" w:type="dxa"/>
            <w:vAlign w:val="center"/>
          </w:tcPr>
          <w:p w14:paraId="5EEB58FF">
            <w:pPr>
              <w:jc w:val="center"/>
              <w:rPr>
                <w:rFonts w:ascii="仿宋" w:hAnsi="仿宋" w:eastAsia="仿宋" w:cs="仿宋"/>
                <w:b/>
                <w:bCs/>
                <w:szCs w:val="21"/>
              </w:rPr>
            </w:pPr>
            <w:r>
              <w:rPr>
                <w:rFonts w:hint="eastAsia" w:ascii="仿宋" w:hAnsi="仿宋" w:eastAsia="仿宋" w:cs="仿宋"/>
                <w:b/>
                <w:bCs/>
                <w:szCs w:val="21"/>
              </w:rPr>
              <w:t>审查内容</w:t>
            </w:r>
          </w:p>
        </w:tc>
      </w:tr>
      <w:tr w14:paraId="4EE4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FB7E2E5">
            <w:pPr>
              <w:jc w:val="center"/>
              <w:rPr>
                <w:rFonts w:ascii="仿宋" w:hAnsi="仿宋" w:eastAsia="仿宋" w:cs="仿宋"/>
                <w:szCs w:val="21"/>
              </w:rPr>
            </w:pPr>
            <w:r>
              <w:rPr>
                <w:rFonts w:hint="eastAsia" w:ascii="仿宋" w:hAnsi="仿宋" w:eastAsia="仿宋" w:cs="仿宋"/>
                <w:szCs w:val="21"/>
              </w:rPr>
              <w:t>1</w:t>
            </w:r>
          </w:p>
        </w:tc>
        <w:tc>
          <w:tcPr>
            <w:tcW w:w="2946" w:type="dxa"/>
            <w:vAlign w:val="center"/>
          </w:tcPr>
          <w:p w14:paraId="4C88616E">
            <w:pPr>
              <w:jc w:val="center"/>
              <w:rPr>
                <w:rFonts w:ascii="仿宋" w:hAnsi="仿宋" w:eastAsia="仿宋" w:cs="仿宋"/>
                <w:szCs w:val="21"/>
              </w:rPr>
            </w:pPr>
            <w:r>
              <w:rPr>
                <w:rFonts w:hint="eastAsia" w:ascii="仿宋" w:hAnsi="仿宋" w:eastAsia="仿宋" w:cs="仿宋"/>
                <w:szCs w:val="21"/>
              </w:rPr>
              <w:t>具有独立承担民事责任的能力</w:t>
            </w:r>
          </w:p>
        </w:tc>
        <w:tc>
          <w:tcPr>
            <w:tcW w:w="4641" w:type="dxa"/>
            <w:vAlign w:val="center"/>
          </w:tcPr>
          <w:p w14:paraId="563C5703">
            <w:pPr>
              <w:rPr>
                <w:rFonts w:hint="eastAsia" w:ascii="仿宋" w:hAnsi="仿宋" w:eastAsia="仿宋" w:cs="仿宋"/>
                <w:szCs w:val="21"/>
              </w:rPr>
            </w:pPr>
            <w:r>
              <w:rPr>
                <w:rFonts w:hint="eastAsia" w:ascii="仿宋" w:hAnsi="仿宋" w:eastAsia="仿宋" w:cs="仿宋"/>
                <w:szCs w:val="21"/>
                <w:lang w:eastAsia="zh-CN"/>
              </w:rPr>
              <w:t>投标人</w:t>
            </w:r>
            <w:r>
              <w:rPr>
                <w:rFonts w:hint="eastAsia" w:ascii="仿宋" w:hAnsi="仿宋" w:eastAsia="仿宋" w:cs="仿宋"/>
                <w:szCs w:val="21"/>
              </w:rPr>
              <w:t xml:space="preserve">是企业（包括合伙企业）的，应提供其在工商部门注册的有效“企业法人营业执照”或“营业执照”的复印件； </w:t>
            </w:r>
          </w:p>
          <w:p w14:paraId="087E865F">
            <w:pPr>
              <w:rPr>
                <w:rFonts w:hint="eastAsia" w:ascii="仿宋" w:hAnsi="仿宋" w:eastAsia="仿宋" w:cs="仿宋"/>
                <w:szCs w:val="21"/>
              </w:rPr>
            </w:pPr>
            <w:r>
              <w:rPr>
                <w:rFonts w:hint="eastAsia" w:ascii="仿宋" w:hAnsi="仿宋" w:eastAsia="仿宋" w:cs="仿宋"/>
                <w:szCs w:val="21"/>
                <w:lang w:eastAsia="zh-CN"/>
              </w:rPr>
              <w:t>投标人</w:t>
            </w:r>
            <w:r>
              <w:rPr>
                <w:rFonts w:hint="eastAsia" w:ascii="仿宋" w:hAnsi="仿宋" w:eastAsia="仿宋" w:cs="仿宋"/>
                <w:szCs w:val="21"/>
              </w:rPr>
              <w:t xml:space="preserve">是事业单位的，应提供其有效的“事业单位法人证书”复印件； </w:t>
            </w:r>
          </w:p>
          <w:p w14:paraId="2247B90B">
            <w:pPr>
              <w:rPr>
                <w:rFonts w:hint="eastAsia" w:ascii="仿宋" w:hAnsi="仿宋" w:eastAsia="仿宋" w:cs="仿宋"/>
                <w:szCs w:val="21"/>
              </w:rPr>
            </w:pPr>
            <w:r>
              <w:rPr>
                <w:rFonts w:hint="eastAsia" w:ascii="仿宋" w:hAnsi="仿宋" w:eastAsia="仿宋" w:cs="仿宋"/>
                <w:szCs w:val="21"/>
                <w:lang w:eastAsia="zh-CN"/>
              </w:rPr>
              <w:t>投标人</w:t>
            </w:r>
            <w:r>
              <w:rPr>
                <w:rFonts w:hint="eastAsia" w:ascii="仿宋" w:hAnsi="仿宋" w:eastAsia="仿宋" w:cs="仿宋"/>
                <w:szCs w:val="21"/>
              </w:rPr>
              <w:t xml:space="preserve">是非企业专业服务机构的，应提供其有效的执业许可证复印件； </w:t>
            </w:r>
          </w:p>
          <w:p w14:paraId="71CD5E28">
            <w:pPr>
              <w:rPr>
                <w:rFonts w:hint="eastAsia" w:ascii="仿宋" w:hAnsi="仿宋" w:eastAsia="仿宋" w:cs="仿宋"/>
                <w:szCs w:val="21"/>
              </w:rPr>
            </w:pPr>
            <w:r>
              <w:rPr>
                <w:rFonts w:hint="eastAsia" w:ascii="仿宋" w:hAnsi="仿宋" w:eastAsia="仿宋" w:cs="仿宋"/>
                <w:szCs w:val="21"/>
                <w:lang w:eastAsia="zh-CN"/>
              </w:rPr>
              <w:t>投标人</w:t>
            </w:r>
            <w:r>
              <w:rPr>
                <w:rFonts w:hint="eastAsia" w:ascii="仿宋" w:hAnsi="仿宋" w:eastAsia="仿宋" w:cs="仿宋"/>
                <w:szCs w:val="21"/>
              </w:rPr>
              <w:t xml:space="preserve">是个体工商户的，应提供其有效的“个体工商户营业执照”复印件； </w:t>
            </w:r>
          </w:p>
          <w:p w14:paraId="73062C74">
            <w:pPr>
              <w:rPr>
                <w:rFonts w:ascii="仿宋" w:hAnsi="仿宋" w:eastAsia="仿宋" w:cs="仿宋"/>
              </w:rPr>
            </w:pPr>
            <w:r>
              <w:rPr>
                <w:rFonts w:hint="eastAsia" w:ascii="仿宋" w:hAnsi="仿宋" w:eastAsia="仿宋" w:cs="仿宋"/>
                <w:szCs w:val="21"/>
                <w:lang w:eastAsia="zh-CN"/>
              </w:rPr>
              <w:t>投标人</w:t>
            </w:r>
            <w:r>
              <w:rPr>
                <w:rFonts w:hint="eastAsia" w:ascii="仿宋" w:hAnsi="仿宋" w:eastAsia="仿宋" w:cs="仿宋"/>
                <w:szCs w:val="21"/>
              </w:rPr>
              <w:t>是自然人的，应提供其有效的自然人身份证明；</w:t>
            </w:r>
          </w:p>
        </w:tc>
      </w:tr>
      <w:tr w14:paraId="1416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B125B8F">
            <w:pPr>
              <w:jc w:val="center"/>
              <w:rPr>
                <w:rFonts w:ascii="仿宋" w:hAnsi="仿宋" w:eastAsia="仿宋" w:cs="仿宋"/>
                <w:szCs w:val="21"/>
              </w:rPr>
            </w:pPr>
            <w:r>
              <w:rPr>
                <w:rFonts w:hint="eastAsia" w:ascii="仿宋" w:hAnsi="仿宋" w:eastAsia="仿宋" w:cs="仿宋"/>
                <w:szCs w:val="21"/>
              </w:rPr>
              <w:t>2</w:t>
            </w:r>
          </w:p>
        </w:tc>
        <w:tc>
          <w:tcPr>
            <w:tcW w:w="2946" w:type="dxa"/>
            <w:vAlign w:val="center"/>
          </w:tcPr>
          <w:p w14:paraId="7A4F598F">
            <w:pPr>
              <w:jc w:val="center"/>
              <w:rPr>
                <w:rFonts w:ascii="仿宋" w:hAnsi="仿宋" w:eastAsia="仿宋" w:cs="仿宋"/>
                <w:szCs w:val="21"/>
              </w:rPr>
            </w:pPr>
            <w:r>
              <w:rPr>
                <w:rFonts w:hint="eastAsia" w:ascii="仿宋" w:hAnsi="仿宋" w:eastAsia="仿宋" w:cs="仿宋"/>
                <w:szCs w:val="21"/>
              </w:rPr>
              <w:t>具有良好的商业信誉和健全的财务会计制度</w:t>
            </w:r>
          </w:p>
        </w:tc>
        <w:tc>
          <w:tcPr>
            <w:tcW w:w="4641" w:type="dxa"/>
            <w:vAlign w:val="center"/>
          </w:tcPr>
          <w:p w14:paraId="7E0F8A13">
            <w:pPr>
              <w:rPr>
                <w:rFonts w:hint="eastAsia" w:ascii="仿宋" w:hAnsi="仿宋" w:eastAsia="仿宋" w:cs="仿宋"/>
                <w:szCs w:val="21"/>
              </w:rPr>
            </w:pPr>
            <w:bookmarkStart w:id="16" w:name="OLE_LINK53"/>
            <w:r>
              <w:rPr>
                <w:rFonts w:hint="eastAsia" w:ascii="仿宋" w:hAnsi="仿宋" w:eastAsia="仿宋" w:cs="仿宋"/>
                <w:szCs w:val="21"/>
              </w:rPr>
              <w:t xml:space="preserve">提供近一年内任意一个月财务报表或者会计师事务所出具的2024年度或2025年度财务审计报告（报告中须包括资产负债表、利润表、现金流量表及财务报表附注）； </w:t>
            </w:r>
          </w:p>
          <w:p w14:paraId="159030DF">
            <w:pPr>
              <w:rPr>
                <w:rFonts w:hint="eastAsia" w:ascii="仿宋" w:hAnsi="仿宋" w:eastAsia="仿宋" w:cs="仿宋"/>
                <w:szCs w:val="21"/>
              </w:rPr>
            </w:pPr>
            <w:r>
              <w:rPr>
                <w:rFonts w:hint="eastAsia" w:ascii="仿宋" w:hAnsi="仿宋" w:eastAsia="仿宋" w:cs="仿宋"/>
                <w:szCs w:val="21"/>
              </w:rPr>
              <w:t>如果</w:t>
            </w:r>
            <w:r>
              <w:rPr>
                <w:rFonts w:hint="eastAsia" w:ascii="仿宋" w:hAnsi="仿宋" w:eastAsia="仿宋" w:cs="仿宋"/>
                <w:szCs w:val="21"/>
                <w:lang w:eastAsia="zh-CN"/>
              </w:rPr>
              <w:t>投标人</w:t>
            </w:r>
            <w:r>
              <w:rPr>
                <w:rFonts w:hint="eastAsia" w:ascii="仿宋" w:hAnsi="仿宋" w:eastAsia="仿宋" w:cs="仿宋"/>
                <w:szCs w:val="21"/>
              </w:rPr>
              <w:t xml:space="preserve">为新成立单位，无法提供审计报告，则需提供新企业验资报告复印件并加盖提供报告单位的公章； </w:t>
            </w:r>
          </w:p>
          <w:p w14:paraId="0E649CAD">
            <w:pPr>
              <w:rPr>
                <w:rFonts w:hint="eastAsia" w:ascii="仿宋" w:hAnsi="仿宋" w:eastAsia="仿宋" w:cs="仿宋"/>
                <w:szCs w:val="21"/>
              </w:rPr>
            </w:pPr>
            <w:r>
              <w:rPr>
                <w:rFonts w:hint="eastAsia" w:ascii="仿宋" w:hAnsi="仿宋" w:eastAsia="仿宋" w:cs="仿宋"/>
                <w:szCs w:val="21"/>
              </w:rPr>
              <w:t>如</w:t>
            </w:r>
            <w:r>
              <w:rPr>
                <w:rFonts w:hint="eastAsia" w:ascii="仿宋" w:hAnsi="仿宋" w:eastAsia="仿宋" w:cs="仿宋"/>
                <w:szCs w:val="21"/>
                <w:lang w:eastAsia="zh-CN"/>
              </w:rPr>
              <w:t>投标人</w:t>
            </w:r>
            <w:r>
              <w:rPr>
                <w:rFonts w:hint="eastAsia" w:ascii="仿宋" w:hAnsi="仿宋" w:eastAsia="仿宋" w:cs="仿宋"/>
                <w:szCs w:val="21"/>
              </w:rPr>
              <w:t xml:space="preserve">无法提供2024年度或2025年度财务审计报告或新企业验资报告，则需提供开户银行出具的资信证明；银行资信证明可提供原件的扫描件，也可提供银行在开标日前十二个月内开具资信证明的复印件，对于资信证明文件中写明“复印无效”的应提供原件的扫描件。银行资信证明的抬头可以与采购人或采购代理机构名称不同。 </w:t>
            </w:r>
          </w:p>
          <w:p w14:paraId="2DF3F143">
            <w:pPr>
              <w:rPr>
                <w:rFonts w:hint="eastAsia" w:ascii="仿宋" w:hAnsi="仿宋" w:eastAsia="仿宋" w:cs="仿宋"/>
                <w:szCs w:val="21"/>
              </w:rPr>
            </w:pPr>
            <w:r>
              <w:rPr>
                <w:rFonts w:hint="eastAsia" w:ascii="仿宋" w:hAnsi="仿宋" w:eastAsia="仿宋" w:cs="仿宋"/>
                <w:szCs w:val="21"/>
              </w:rPr>
              <w:t>银行资信证明应能说明该</w:t>
            </w:r>
            <w:r>
              <w:rPr>
                <w:rFonts w:hint="eastAsia" w:ascii="仿宋" w:hAnsi="仿宋" w:eastAsia="仿宋" w:cs="仿宋"/>
                <w:szCs w:val="21"/>
                <w:lang w:eastAsia="zh-CN"/>
              </w:rPr>
              <w:t>投标人</w:t>
            </w:r>
            <w:r>
              <w:rPr>
                <w:rFonts w:hint="eastAsia" w:ascii="仿宋" w:hAnsi="仿宋" w:eastAsia="仿宋" w:cs="仿宋"/>
                <w:szCs w:val="21"/>
              </w:rPr>
              <w:t>与银行之间业务往来正常，无不良记录，企业信誉良好等。银行出具的存款证明不能作为银行资信证明。</w:t>
            </w:r>
            <w:bookmarkEnd w:id="16"/>
          </w:p>
          <w:p w14:paraId="170829D7">
            <w:pPr>
              <w:rPr>
                <w:rFonts w:ascii="仿宋" w:hAnsi="仿宋" w:eastAsia="仿宋" w:cs="仿宋"/>
                <w:szCs w:val="21"/>
              </w:rPr>
            </w:pPr>
            <w:r>
              <w:rPr>
                <w:rFonts w:hint="eastAsia" w:ascii="仿宋" w:hAnsi="仿宋" w:eastAsia="仿宋" w:cs="仿宋"/>
                <w:szCs w:val="21"/>
              </w:rPr>
              <w:t>须提供《</w:t>
            </w:r>
            <w:r>
              <w:rPr>
                <w:rFonts w:hint="eastAsia" w:ascii="仿宋" w:hAnsi="仿宋" w:eastAsia="仿宋" w:cs="仿宋"/>
                <w:szCs w:val="21"/>
                <w:lang w:eastAsia="zh-CN"/>
              </w:rPr>
              <w:t>投标人</w:t>
            </w:r>
            <w:r>
              <w:rPr>
                <w:rFonts w:hint="eastAsia" w:ascii="仿宋" w:hAnsi="仿宋" w:eastAsia="仿宋" w:cs="仿宋"/>
                <w:szCs w:val="21"/>
              </w:rPr>
              <w:t>资格、信用声明函》格式以响应文件格式中为准。声明不实的，按《政府采购法》提供虚假材料的有关规定给予处罚。</w:t>
            </w:r>
          </w:p>
        </w:tc>
      </w:tr>
      <w:tr w14:paraId="73A9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01034EB">
            <w:pPr>
              <w:jc w:val="center"/>
              <w:rPr>
                <w:rFonts w:ascii="仿宋" w:hAnsi="仿宋" w:eastAsia="仿宋" w:cs="仿宋"/>
                <w:szCs w:val="21"/>
              </w:rPr>
            </w:pPr>
            <w:r>
              <w:rPr>
                <w:rFonts w:hint="eastAsia" w:ascii="仿宋" w:hAnsi="仿宋" w:eastAsia="仿宋" w:cs="仿宋"/>
                <w:szCs w:val="21"/>
              </w:rPr>
              <w:t>3</w:t>
            </w:r>
          </w:p>
        </w:tc>
        <w:tc>
          <w:tcPr>
            <w:tcW w:w="2946" w:type="dxa"/>
            <w:vAlign w:val="center"/>
          </w:tcPr>
          <w:p w14:paraId="78CAFA27">
            <w:pPr>
              <w:jc w:val="center"/>
              <w:rPr>
                <w:rFonts w:ascii="仿宋" w:hAnsi="仿宋" w:eastAsia="仿宋" w:cs="仿宋"/>
                <w:szCs w:val="21"/>
              </w:rPr>
            </w:pPr>
            <w:r>
              <w:rPr>
                <w:rFonts w:hint="eastAsia" w:ascii="仿宋" w:hAnsi="仿宋" w:eastAsia="仿宋" w:cs="仿宋"/>
                <w:szCs w:val="21"/>
              </w:rPr>
              <w:t>具有履行合同所必需的设备和专业技术能力</w:t>
            </w:r>
          </w:p>
        </w:tc>
        <w:tc>
          <w:tcPr>
            <w:tcW w:w="4641" w:type="dxa"/>
            <w:vAlign w:val="center"/>
          </w:tcPr>
          <w:p w14:paraId="1DEBA1C2">
            <w:pPr>
              <w:rPr>
                <w:rFonts w:ascii="仿宋" w:hAnsi="仿宋" w:eastAsia="仿宋" w:cs="仿宋"/>
                <w:szCs w:val="21"/>
              </w:rPr>
            </w:pPr>
            <w:r>
              <w:rPr>
                <w:rFonts w:hint="eastAsia" w:ascii="仿宋" w:hAnsi="仿宋" w:eastAsia="仿宋" w:cs="仿宋"/>
                <w:szCs w:val="21"/>
              </w:rPr>
              <w:t>须提供具备履行合同所必需的设备和专业技术能力的书面声明原件</w:t>
            </w:r>
          </w:p>
        </w:tc>
      </w:tr>
      <w:tr w14:paraId="05EA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EE4E30A">
            <w:pPr>
              <w:jc w:val="center"/>
              <w:rPr>
                <w:rFonts w:ascii="仿宋" w:hAnsi="仿宋" w:eastAsia="仿宋" w:cs="仿宋"/>
                <w:szCs w:val="21"/>
              </w:rPr>
            </w:pPr>
            <w:r>
              <w:rPr>
                <w:rFonts w:hint="eastAsia" w:ascii="仿宋" w:hAnsi="仿宋" w:eastAsia="仿宋" w:cs="仿宋"/>
                <w:szCs w:val="21"/>
              </w:rPr>
              <w:t>4</w:t>
            </w:r>
          </w:p>
        </w:tc>
        <w:tc>
          <w:tcPr>
            <w:tcW w:w="2946" w:type="dxa"/>
            <w:vAlign w:val="center"/>
          </w:tcPr>
          <w:p w14:paraId="6DE6C049">
            <w:pPr>
              <w:jc w:val="center"/>
              <w:rPr>
                <w:rFonts w:ascii="仿宋" w:hAnsi="仿宋" w:eastAsia="仿宋" w:cs="仿宋"/>
                <w:szCs w:val="21"/>
              </w:rPr>
            </w:pPr>
            <w:r>
              <w:rPr>
                <w:rFonts w:hint="eastAsia" w:ascii="仿宋" w:hAnsi="仿宋" w:eastAsia="仿宋" w:cs="仿宋"/>
                <w:szCs w:val="21"/>
              </w:rPr>
              <w:t>有依法缴纳税收和依法缴纳社会保障资金的记录</w:t>
            </w:r>
          </w:p>
        </w:tc>
        <w:tc>
          <w:tcPr>
            <w:tcW w:w="4641" w:type="dxa"/>
            <w:vAlign w:val="center"/>
          </w:tcPr>
          <w:p w14:paraId="619A218B">
            <w:pPr>
              <w:rPr>
                <w:rFonts w:ascii="仿宋" w:hAnsi="仿宋" w:eastAsia="仿宋" w:cs="仿宋"/>
                <w:szCs w:val="21"/>
              </w:rPr>
            </w:pPr>
            <w:r>
              <w:rPr>
                <w:rFonts w:hint="eastAsia" w:ascii="仿宋" w:hAnsi="仿宋" w:eastAsia="仿宋" w:cs="仿宋"/>
                <w:szCs w:val="21"/>
              </w:rPr>
              <w:t>①纳税收资料：</w:t>
            </w:r>
            <w:r>
              <w:rPr>
                <w:rFonts w:hint="eastAsia" w:ascii="仿宋" w:hAnsi="仿宋" w:eastAsia="仿宋" w:cs="仿宋"/>
                <w:szCs w:val="21"/>
                <w:lang w:eastAsia="zh-CN"/>
              </w:rPr>
              <w:t>投标人</w:t>
            </w:r>
            <w:r>
              <w:rPr>
                <w:rFonts w:hint="eastAsia" w:ascii="仿宋" w:hAnsi="仿宋" w:eastAsia="仿宋" w:cs="仿宋"/>
                <w:szCs w:val="21"/>
              </w:rPr>
              <w:t xml:space="preserve">提供税务机构出具的递交投标文件截止时间近一年内任意一个月的依法缴纳税收等证明材料（刚成立不满一个月的企业，应提供依法缴纳税收承诺书；如依法免税的企业，应提供相应文件证明其依法免税）。 </w:t>
            </w:r>
          </w:p>
          <w:p w14:paraId="672ECDE3">
            <w:pPr>
              <w:rPr>
                <w:rFonts w:ascii="仿宋" w:hAnsi="仿宋" w:eastAsia="仿宋" w:cs="仿宋"/>
                <w:szCs w:val="21"/>
              </w:rPr>
            </w:pPr>
            <w:r>
              <w:rPr>
                <w:rFonts w:hint="eastAsia" w:ascii="仿宋" w:hAnsi="仿宋" w:eastAsia="仿宋" w:cs="仿宋"/>
                <w:szCs w:val="21"/>
              </w:rPr>
              <w:t>②缴纳社会保障资金资料：</w:t>
            </w:r>
            <w:r>
              <w:rPr>
                <w:rFonts w:hint="eastAsia" w:ascii="仿宋" w:hAnsi="仿宋" w:eastAsia="仿宋" w:cs="仿宋"/>
                <w:szCs w:val="21"/>
                <w:lang w:eastAsia="zh-CN"/>
              </w:rPr>
              <w:t>投标人</w:t>
            </w:r>
            <w:r>
              <w:rPr>
                <w:rFonts w:hint="eastAsia" w:ascii="仿宋" w:hAnsi="仿宋" w:eastAsia="仿宋" w:cs="仿宋"/>
                <w:szCs w:val="21"/>
              </w:rPr>
              <w:t>提供递交投标文件截止时间近一年内任意一个月的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一个月的企业，应提供依法缴纳社会保障资金承诺函；如依法不需要缴纳社会保障资金的，应提供相应文件证明其依法不需要缴纳社会保障资金）。</w:t>
            </w:r>
          </w:p>
        </w:tc>
      </w:tr>
      <w:tr w14:paraId="7147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01C4C90">
            <w:pPr>
              <w:jc w:val="center"/>
              <w:rPr>
                <w:rFonts w:ascii="仿宋" w:hAnsi="仿宋" w:eastAsia="仿宋" w:cs="仿宋"/>
                <w:szCs w:val="21"/>
              </w:rPr>
            </w:pPr>
            <w:r>
              <w:rPr>
                <w:rFonts w:hint="eastAsia" w:ascii="仿宋" w:hAnsi="仿宋" w:eastAsia="仿宋" w:cs="仿宋"/>
                <w:szCs w:val="21"/>
              </w:rPr>
              <w:t>5</w:t>
            </w:r>
          </w:p>
        </w:tc>
        <w:tc>
          <w:tcPr>
            <w:tcW w:w="2946" w:type="dxa"/>
            <w:vAlign w:val="center"/>
          </w:tcPr>
          <w:p w14:paraId="78B1FDA3">
            <w:pPr>
              <w:jc w:val="center"/>
              <w:rPr>
                <w:rFonts w:ascii="仿宋" w:hAnsi="仿宋" w:eastAsia="仿宋" w:cs="仿宋"/>
                <w:szCs w:val="21"/>
              </w:rPr>
            </w:pPr>
            <w:r>
              <w:rPr>
                <w:rFonts w:hint="eastAsia" w:ascii="仿宋" w:hAnsi="仿宋" w:eastAsia="仿宋" w:cs="仿宋"/>
                <w:szCs w:val="21"/>
              </w:rPr>
              <w:t>参加政府采购活动前三年内，在经营活动中没有重大违法记录</w:t>
            </w:r>
          </w:p>
        </w:tc>
        <w:tc>
          <w:tcPr>
            <w:tcW w:w="4641" w:type="dxa"/>
            <w:vAlign w:val="center"/>
          </w:tcPr>
          <w:p w14:paraId="5F5C4170">
            <w:pPr>
              <w:rPr>
                <w:rFonts w:ascii="仿宋" w:hAnsi="仿宋" w:eastAsia="仿宋" w:cs="仿宋"/>
                <w:szCs w:val="21"/>
              </w:rPr>
            </w:pPr>
            <w:r>
              <w:rPr>
                <w:rFonts w:hint="eastAsia" w:ascii="仿宋" w:hAnsi="仿宋" w:eastAsia="仿宋" w:cs="仿宋"/>
                <w:szCs w:val="21"/>
              </w:rPr>
              <w:t>须提供声明函原件</w:t>
            </w:r>
          </w:p>
        </w:tc>
      </w:tr>
      <w:tr w14:paraId="74C1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4F5745F">
            <w:pPr>
              <w:jc w:val="center"/>
              <w:rPr>
                <w:rFonts w:ascii="仿宋" w:hAnsi="仿宋" w:eastAsia="仿宋" w:cs="仿宋"/>
                <w:szCs w:val="21"/>
              </w:rPr>
            </w:pPr>
            <w:r>
              <w:rPr>
                <w:rFonts w:hint="eastAsia" w:ascii="仿宋" w:hAnsi="仿宋" w:eastAsia="仿宋" w:cs="仿宋"/>
                <w:szCs w:val="21"/>
              </w:rPr>
              <w:t>6</w:t>
            </w:r>
          </w:p>
        </w:tc>
        <w:tc>
          <w:tcPr>
            <w:tcW w:w="2946" w:type="dxa"/>
            <w:vAlign w:val="center"/>
          </w:tcPr>
          <w:p w14:paraId="677E34F4">
            <w:pPr>
              <w:jc w:val="center"/>
              <w:rPr>
                <w:rFonts w:ascii="仿宋" w:hAnsi="仿宋" w:eastAsia="仿宋" w:cs="仿宋"/>
                <w:szCs w:val="21"/>
              </w:rPr>
            </w:pPr>
            <w:r>
              <w:rPr>
                <w:rFonts w:hint="eastAsia" w:ascii="仿宋" w:hAnsi="仿宋" w:eastAsia="仿宋" w:cs="仿宋"/>
                <w:szCs w:val="21"/>
              </w:rPr>
              <w:t>投标人信用记录</w:t>
            </w:r>
          </w:p>
        </w:tc>
        <w:tc>
          <w:tcPr>
            <w:tcW w:w="4641" w:type="dxa"/>
            <w:vAlign w:val="center"/>
          </w:tcPr>
          <w:p w14:paraId="6FC269AD">
            <w:pPr>
              <w:rPr>
                <w:rFonts w:ascii="仿宋" w:hAnsi="仿宋" w:eastAsia="仿宋" w:cs="仿宋"/>
                <w:szCs w:val="21"/>
              </w:rPr>
            </w:pPr>
            <w:r>
              <w:rPr>
                <w:rFonts w:hint="eastAsia" w:ascii="仿宋" w:hAnsi="仿宋" w:eastAsia="仿宋" w:cs="仿宋"/>
                <w:szCs w:val="21"/>
              </w:rPr>
              <w:t>查询渠道：信用中国网站和中国政府采购网</w:t>
            </w:r>
          </w:p>
          <w:p w14:paraId="105D076A">
            <w:pPr>
              <w:rPr>
                <w:rFonts w:ascii="仿宋" w:hAnsi="仿宋" w:eastAsia="仿宋" w:cs="仿宋"/>
                <w:szCs w:val="21"/>
              </w:rPr>
            </w:pPr>
            <w:r>
              <w:rPr>
                <w:rFonts w:hint="eastAsia" w:ascii="仿宋" w:hAnsi="仿宋" w:eastAsia="仿宋" w:cs="仿宋"/>
                <w:szCs w:val="21"/>
              </w:rPr>
              <w:t>查询时间：投标截止时间后至资格审查阶段完成；</w:t>
            </w:r>
          </w:p>
          <w:p w14:paraId="5BF220D5">
            <w:pPr>
              <w:rPr>
                <w:rFonts w:ascii="仿宋" w:hAnsi="仿宋" w:eastAsia="仿宋" w:cs="仿宋"/>
                <w:szCs w:val="21"/>
              </w:rPr>
            </w:pPr>
            <w:r>
              <w:rPr>
                <w:rFonts w:hint="eastAsia" w:ascii="仿宋" w:hAnsi="仿宋" w:eastAsia="仿宋" w:cs="仿宋"/>
                <w:szCs w:val="21"/>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投标人，其投标无效。</w:t>
            </w:r>
          </w:p>
          <w:p w14:paraId="72E27579">
            <w:pPr>
              <w:rPr>
                <w:rFonts w:ascii="仿宋" w:hAnsi="仿宋" w:eastAsia="仿宋" w:cs="仿宋"/>
                <w:szCs w:val="21"/>
              </w:rPr>
            </w:pPr>
            <w:r>
              <w:rPr>
                <w:rFonts w:hint="eastAsia" w:ascii="仿宋" w:hAnsi="仿宋" w:eastAsia="仿宋" w:cs="仿宋"/>
                <w:szCs w:val="21"/>
              </w:rPr>
              <w:t>无须投标人提供，由采购人或采购代理机构查询结果为准。</w:t>
            </w:r>
          </w:p>
        </w:tc>
      </w:tr>
      <w:tr w14:paraId="35BB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5052589">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7</w:t>
            </w:r>
          </w:p>
        </w:tc>
        <w:tc>
          <w:tcPr>
            <w:tcW w:w="2946" w:type="dxa"/>
            <w:vAlign w:val="center"/>
          </w:tcPr>
          <w:p w14:paraId="1F30EAB5">
            <w:pPr>
              <w:jc w:val="center"/>
              <w:rPr>
                <w:rFonts w:hint="eastAsia" w:ascii="仿宋" w:hAnsi="仿宋" w:eastAsia="仿宋" w:cs="仿宋"/>
                <w:szCs w:val="21"/>
              </w:rPr>
            </w:pPr>
            <w:r>
              <w:rPr>
                <w:rFonts w:hint="eastAsia" w:ascii="仿宋" w:hAnsi="仿宋" w:eastAsia="仿宋" w:cs="仿宋"/>
                <w:szCs w:val="21"/>
              </w:rPr>
              <w:t>特定资格要求</w:t>
            </w:r>
          </w:p>
        </w:tc>
        <w:tc>
          <w:tcPr>
            <w:tcW w:w="4641" w:type="dxa"/>
            <w:vAlign w:val="center"/>
          </w:tcPr>
          <w:p w14:paraId="76E5E012">
            <w:pPr>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投标人</w:t>
            </w:r>
            <w:r>
              <w:rPr>
                <w:rFonts w:hint="eastAsia" w:ascii="仿宋" w:hAnsi="仿宋" w:eastAsia="仿宋" w:cs="仿宋"/>
                <w:szCs w:val="21"/>
              </w:rPr>
              <w:t>须具备有效的乙级及以上测绘资质证书（须包含大地测量、工程测量、摄影测量与遥感、</w:t>
            </w:r>
            <w:r>
              <w:rPr>
                <w:rFonts w:hint="eastAsia" w:ascii="仿宋" w:hAnsi="仿宋" w:eastAsia="仿宋" w:cs="仿宋"/>
                <w:szCs w:val="21"/>
                <w:lang w:eastAsia="zh-CN"/>
              </w:rPr>
              <w:t>地理信息系统工程</w:t>
            </w:r>
            <w:r>
              <w:rPr>
                <w:rFonts w:hint="eastAsia" w:ascii="仿宋" w:hAnsi="仿宋" w:eastAsia="仿宋" w:cs="仿宋"/>
                <w:szCs w:val="21"/>
              </w:rPr>
              <w:t>、测绘航空摄影）</w:t>
            </w:r>
          </w:p>
          <w:p w14:paraId="2AE2D9FF">
            <w:pPr>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投标人</w:t>
            </w:r>
            <w:r>
              <w:rPr>
                <w:rFonts w:hint="eastAsia" w:ascii="仿宋" w:hAnsi="仿宋" w:eastAsia="仿宋" w:cs="仿宋"/>
                <w:szCs w:val="21"/>
              </w:rPr>
              <w:t>须具备有效的中国民用航空局颁发的民用无人机驾驶航空器运营合格证。</w:t>
            </w:r>
          </w:p>
        </w:tc>
      </w:tr>
      <w:tr w14:paraId="57EE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F67D47D">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8</w:t>
            </w:r>
          </w:p>
        </w:tc>
        <w:tc>
          <w:tcPr>
            <w:tcW w:w="2946" w:type="dxa"/>
            <w:vAlign w:val="center"/>
          </w:tcPr>
          <w:p w14:paraId="639E2504">
            <w:pPr>
              <w:jc w:val="center"/>
              <w:rPr>
                <w:rFonts w:hint="eastAsia" w:ascii="仿宋" w:hAnsi="仿宋" w:eastAsia="仿宋" w:cs="仿宋"/>
                <w:szCs w:val="21"/>
              </w:rPr>
            </w:pPr>
            <w:r>
              <w:rPr>
                <w:rFonts w:hint="eastAsia" w:ascii="仿宋" w:hAnsi="仿宋" w:eastAsia="仿宋" w:cs="仿宋"/>
                <w:szCs w:val="21"/>
              </w:rPr>
              <w:t>法人和授权代表资格</w:t>
            </w:r>
          </w:p>
        </w:tc>
        <w:tc>
          <w:tcPr>
            <w:tcW w:w="4641" w:type="dxa"/>
            <w:vAlign w:val="center"/>
          </w:tcPr>
          <w:p w14:paraId="48C0601B">
            <w:pPr>
              <w:rPr>
                <w:rFonts w:hint="eastAsia" w:ascii="仿宋" w:hAnsi="仿宋" w:eastAsia="仿宋" w:cs="仿宋"/>
                <w:szCs w:val="21"/>
              </w:rPr>
            </w:pPr>
            <w:r>
              <w:rPr>
                <w:rFonts w:hint="eastAsia" w:ascii="仿宋" w:hAnsi="仿宋" w:eastAsia="仿宋" w:cs="仿宋"/>
                <w:szCs w:val="21"/>
                <w:lang w:eastAsia="zh-CN"/>
              </w:rPr>
              <w:t>投标人</w:t>
            </w:r>
            <w:r>
              <w:rPr>
                <w:rFonts w:hint="eastAsia" w:ascii="仿宋" w:hAnsi="仿宋" w:eastAsia="仿宋" w:cs="仿宋"/>
                <w:szCs w:val="21"/>
              </w:rPr>
              <w:t>提供有效的法定代表人身份证明文件及法定代表人授权委托书（法人组织提供授权委托书、其他组织提供负责人授权书、自然人提供身份证明文件）。</w:t>
            </w:r>
          </w:p>
        </w:tc>
      </w:tr>
      <w:tr w14:paraId="4F9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09" w:type="dxa"/>
            <w:vAlign w:val="center"/>
          </w:tcPr>
          <w:p w14:paraId="44C82031">
            <w:pPr>
              <w:jc w:val="center"/>
              <w:rPr>
                <w:rFonts w:hint="eastAsia" w:ascii="仿宋" w:hAnsi="仿宋" w:eastAsia="仿宋" w:cs="仿宋"/>
                <w:szCs w:val="21"/>
                <w:lang w:eastAsia="zh-CN"/>
              </w:rPr>
            </w:pPr>
            <w:r>
              <w:rPr>
                <w:rFonts w:hint="eastAsia" w:ascii="仿宋" w:hAnsi="仿宋" w:eastAsia="仿宋" w:cs="仿宋"/>
                <w:szCs w:val="21"/>
                <w:lang w:val="en-US" w:eastAsia="zh-CN"/>
              </w:rPr>
              <w:t>9</w:t>
            </w:r>
          </w:p>
        </w:tc>
        <w:tc>
          <w:tcPr>
            <w:tcW w:w="2946" w:type="dxa"/>
            <w:vAlign w:val="center"/>
          </w:tcPr>
          <w:p w14:paraId="4C87D1A4">
            <w:pPr>
              <w:jc w:val="center"/>
              <w:rPr>
                <w:rFonts w:ascii="仿宋" w:hAnsi="仿宋" w:eastAsia="仿宋" w:cs="仿宋"/>
                <w:szCs w:val="21"/>
              </w:rPr>
            </w:pPr>
            <w:r>
              <w:rPr>
                <w:rFonts w:hint="eastAsia" w:ascii="仿宋" w:hAnsi="仿宋" w:eastAsia="仿宋" w:cs="仿宋"/>
                <w:szCs w:val="21"/>
              </w:rPr>
              <w:t>投标保证金</w:t>
            </w:r>
          </w:p>
        </w:tc>
        <w:tc>
          <w:tcPr>
            <w:tcW w:w="4641" w:type="dxa"/>
            <w:vAlign w:val="center"/>
          </w:tcPr>
          <w:p w14:paraId="11825241">
            <w:pPr>
              <w:rPr>
                <w:rFonts w:ascii="仿宋" w:hAnsi="仿宋" w:eastAsia="仿宋" w:cs="仿宋"/>
                <w:szCs w:val="21"/>
              </w:rPr>
            </w:pPr>
            <w:r>
              <w:rPr>
                <w:rFonts w:hint="eastAsia" w:ascii="仿宋" w:hAnsi="仿宋" w:eastAsia="仿宋" w:cs="仿宋"/>
                <w:szCs w:val="21"/>
              </w:rPr>
              <w:t>按照招标文件的规定提交投标保证金</w:t>
            </w:r>
          </w:p>
        </w:tc>
      </w:tr>
    </w:tbl>
    <w:p w14:paraId="0F0C65C1">
      <w:pPr>
        <w:numPr>
          <w:ilvl w:val="0"/>
          <w:numId w:val="13"/>
        </w:numPr>
        <w:spacing w:line="500" w:lineRule="exact"/>
        <w:outlineLvl w:val="1"/>
        <w:rPr>
          <w:rFonts w:ascii="仿宋" w:hAnsi="仿宋" w:eastAsia="仿宋" w:cs="仿宋"/>
          <w:b/>
          <w:bCs/>
          <w:sz w:val="24"/>
        </w:rPr>
      </w:pPr>
      <w:bookmarkStart w:id="17" w:name="_Toc155630090"/>
      <w:r>
        <w:rPr>
          <w:rFonts w:hint="eastAsia" w:ascii="仿宋" w:hAnsi="仿宋" w:eastAsia="仿宋" w:cs="仿宋"/>
          <w:b/>
          <w:bCs/>
          <w:sz w:val="24"/>
        </w:rPr>
        <w:t>符合性审查</w:t>
      </w:r>
      <w:bookmarkEnd w:id="17"/>
    </w:p>
    <w:p w14:paraId="69A84CC4">
      <w:pPr>
        <w:spacing w:line="500" w:lineRule="exact"/>
        <w:ind w:firstLine="480" w:firstLineChars="200"/>
        <w:rPr>
          <w:rFonts w:ascii="仿宋" w:hAnsi="仿宋" w:eastAsia="仿宋" w:cs="仿宋"/>
          <w:sz w:val="24"/>
        </w:rPr>
      </w:pPr>
      <w:r>
        <w:rPr>
          <w:rFonts w:hint="eastAsia" w:ascii="仿宋" w:hAnsi="仿宋" w:eastAsia="仿宋" w:cs="仿宋"/>
          <w:sz w:val="24"/>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7895E91F">
      <w:pPr>
        <w:spacing w:line="500" w:lineRule="exact"/>
        <w:jc w:val="center"/>
        <w:rPr>
          <w:rFonts w:ascii="仿宋" w:hAnsi="仿宋" w:eastAsia="仿宋" w:cs="仿宋"/>
          <w:b/>
          <w:bCs/>
          <w:sz w:val="24"/>
        </w:rPr>
      </w:pPr>
      <w:r>
        <w:rPr>
          <w:rFonts w:hint="eastAsia" w:ascii="仿宋" w:hAnsi="仿宋" w:eastAsia="仿宋" w:cs="仿宋"/>
          <w:b/>
          <w:bCs/>
          <w:sz w:val="24"/>
        </w:rPr>
        <w:t>符合性审查要求</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365"/>
        <w:gridCol w:w="6421"/>
      </w:tblGrid>
      <w:tr w14:paraId="572C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A1D3603">
            <w:pPr>
              <w:spacing w:line="440" w:lineRule="exact"/>
              <w:jc w:val="center"/>
              <w:rPr>
                <w:rFonts w:ascii="仿宋" w:hAnsi="仿宋" w:eastAsia="仿宋" w:cs="仿宋"/>
                <w:b/>
                <w:bCs/>
                <w:szCs w:val="21"/>
              </w:rPr>
            </w:pPr>
            <w:r>
              <w:rPr>
                <w:rFonts w:hint="eastAsia" w:ascii="仿宋" w:hAnsi="仿宋" w:eastAsia="仿宋" w:cs="仿宋"/>
                <w:b/>
                <w:bCs/>
                <w:szCs w:val="21"/>
              </w:rPr>
              <w:t>序号</w:t>
            </w:r>
          </w:p>
        </w:tc>
        <w:tc>
          <w:tcPr>
            <w:tcW w:w="1365" w:type="dxa"/>
            <w:vAlign w:val="center"/>
          </w:tcPr>
          <w:p w14:paraId="3DADCC5C">
            <w:pPr>
              <w:spacing w:line="440" w:lineRule="exact"/>
              <w:jc w:val="center"/>
              <w:rPr>
                <w:rFonts w:ascii="仿宋" w:hAnsi="仿宋" w:eastAsia="仿宋" w:cs="仿宋"/>
                <w:b/>
                <w:bCs/>
                <w:szCs w:val="21"/>
              </w:rPr>
            </w:pPr>
            <w:r>
              <w:rPr>
                <w:rFonts w:hint="eastAsia" w:ascii="仿宋" w:hAnsi="仿宋" w:eastAsia="仿宋" w:cs="仿宋"/>
                <w:b/>
                <w:bCs/>
                <w:szCs w:val="21"/>
              </w:rPr>
              <w:t>审查因素</w:t>
            </w:r>
          </w:p>
        </w:tc>
        <w:tc>
          <w:tcPr>
            <w:tcW w:w="6421" w:type="dxa"/>
            <w:vAlign w:val="center"/>
          </w:tcPr>
          <w:p w14:paraId="4F85B2E6">
            <w:pPr>
              <w:spacing w:line="440" w:lineRule="exact"/>
              <w:jc w:val="center"/>
              <w:rPr>
                <w:rFonts w:ascii="仿宋" w:hAnsi="仿宋" w:eastAsia="仿宋" w:cs="仿宋"/>
                <w:b/>
                <w:bCs/>
                <w:szCs w:val="21"/>
              </w:rPr>
            </w:pPr>
            <w:r>
              <w:rPr>
                <w:rFonts w:hint="eastAsia" w:ascii="仿宋" w:hAnsi="仿宋" w:eastAsia="仿宋" w:cs="仿宋"/>
                <w:b/>
                <w:bCs/>
                <w:szCs w:val="21"/>
              </w:rPr>
              <w:t>审查内容</w:t>
            </w:r>
          </w:p>
        </w:tc>
      </w:tr>
      <w:tr w14:paraId="2CD8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6FEB631">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1365" w:type="dxa"/>
            <w:vAlign w:val="center"/>
          </w:tcPr>
          <w:p w14:paraId="24A066CB">
            <w:pPr>
              <w:spacing w:line="440" w:lineRule="exact"/>
              <w:jc w:val="center"/>
              <w:rPr>
                <w:rFonts w:ascii="仿宋" w:hAnsi="仿宋" w:eastAsia="仿宋" w:cs="仿宋"/>
                <w:szCs w:val="21"/>
              </w:rPr>
            </w:pPr>
            <w:r>
              <w:rPr>
                <w:rFonts w:hint="eastAsia" w:ascii="仿宋" w:hAnsi="仿宋" w:eastAsia="仿宋" w:cs="仿宋"/>
                <w:szCs w:val="21"/>
              </w:rPr>
              <w:t>投标完整性</w:t>
            </w:r>
          </w:p>
        </w:tc>
        <w:tc>
          <w:tcPr>
            <w:tcW w:w="6421" w:type="dxa"/>
            <w:vAlign w:val="center"/>
          </w:tcPr>
          <w:p w14:paraId="3894504A">
            <w:pPr>
              <w:spacing w:line="440" w:lineRule="exact"/>
              <w:rPr>
                <w:rFonts w:ascii="仿宋" w:hAnsi="仿宋" w:eastAsia="仿宋" w:cs="仿宋"/>
                <w:szCs w:val="21"/>
              </w:rPr>
            </w:pPr>
            <w:r>
              <w:rPr>
                <w:rFonts w:hint="eastAsia" w:ascii="仿宋" w:hAnsi="仿宋" w:eastAsia="仿宋" w:cs="仿宋"/>
                <w:szCs w:val="21"/>
              </w:rPr>
              <w:t>未将一个采购包/标项中的内容拆开投标</w:t>
            </w:r>
          </w:p>
        </w:tc>
      </w:tr>
      <w:tr w14:paraId="206F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ACFB876">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1365" w:type="dxa"/>
            <w:vAlign w:val="center"/>
          </w:tcPr>
          <w:p w14:paraId="2DE4449C">
            <w:pPr>
              <w:spacing w:line="440" w:lineRule="exact"/>
              <w:jc w:val="center"/>
              <w:rPr>
                <w:rFonts w:ascii="仿宋" w:hAnsi="仿宋" w:eastAsia="仿宋" w:cs="仿宋"/>
                <w:szCs w:val="21"/>
              </w:rPr>
            </w:pPr>
            <w:r>
              <w:rPr>
                <w:rFonts w:hint="eastAsia" w:ascii="仿宋" w:hAnsi="仿宋" w:eastAsia="仿宋" w:cs="仿宋"/>
                <w:szCs w:val="21"/>
              </w:rPr>
              <w:t>投标报价</w:t>
            </w:r>
          </w:p>
        </w:tc>
        <w:tc>
          <w:tcPr>
            <w:tcW w:w="6421" w:type="dxa"/>
            <w:vAlign w:val="center"/>
          </w:tcPr>
          <w:p w14:paraId="2928E1ED">
            <w:pPr>
              <w:spacing w:line="440" w:lineRule="exact"/>
              <w:rPr>
                <w:rFonts w:ascii="仿宋" w:hAnsi="仿宋" w:eastAsia="仿宋" w:cs="仿宋"/>
                <w:szCs w:val="21"/>
              </w:rPr>
            </w:pPr>
            <w:r>
              <w:rPr>
                <w:rFonts w:hint="eastAsia" w:ascii="仿宋" w:hAnsi="仿宋" w:eastAsia="仿宋" w:cs="仿宋"/>
                <w:szCs w:val="21"/>
              </w:rPr>
              <w:t>投标报价未超过招标文件中规定的项目预算金额或者项目最高限价或者各项目区最高限价；</w:t>
            </w:r>
          </w:p>
        </w:tc>
      </w:tr>
      <w:tr w14:paraId="6457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3960B1A">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1365" w:type="dxa"/>
            <w:vAlign w:val="center"/>
          </w:tcPr>
          <w:p w14:paraId="2E349A18">
            <w:pPr>
              <w:spacing w:line="440" w:lineRule="exact"/>
              <w:jc w:val="center"/>
              <w:rPr>
                <w:rFonts w:ascii="仿宋" w:hAnsi="仿宋" w:eastAsia="仿宋" w:cs="仿宋"/>
                <w:szCs w:val="21"/>
              </w:rPr>
            </w:pPr>
            <w:r>
              <w:rPr>
                <w:rFonts w:hint="eastAsia" w:ascii="仿宋" w:hAnsi="仿宋" w:eastAsia="仿宋" w:cs="仿宋"/>
                <w:szCs w:val="21"/>
              </w:rPr>
              <w:t>报价唯一性</w:t>
            </w:r>
          </w:p>
        </w:tc>
        <w:tc>
          <w:tcPr>
            <w:tcW w:w="6421" w:type="dxa"/>
            <w:vAlign w:val="center"/>
          </w:tcPr>
          <w:p w14:paraId="330866A8">
            <w:pPr>
              <w:spacing w:line="440" w:lineRule="exact"/>
              <w:rPr>
                <w:rFonts w:ascii="仿宋" w:hAnsi="仿宋" w:eastAsia="仿宋" w:cs="仿宋"/>
                <w:szCs w:val="21"/>
              </w:rPr>
            </w:pPr>
            <w:r>
              <w:rPr>
                <w:rFonts w:hint="eastAsia" w:ascii="仿宋" w:hAnsi="仿宋" w:eastAsia="仿宋" w:cs="仿宋"/>
                <w:szCs w:val="21"/>
              </w:rPr>
              <w:t>投标文件未出现可选择性或可调整的报价（招标文件另有规定的除外）</w:t>
            </w:r>
          </w:p>
        </w:tc>
      </w:tr>
      <w:tr w14:paraId="595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B0DA916">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4</w:t>
            </w:r>
          </w:p>
        </w:tc>
        <w:tc>
          <w:tcPr>
            <w:tcW w:w="1365" w:type="dxa"/>
            <w:vAlign w:val="center"/>
          </w:tcPr>
          <w:p w14:paraId="561CB012">
            <w:pPr>
              <w:spacing w:line="440" w:lineRule="exact"/>
              <w:jc w:val="center"/>
              <w:rPr>
                <w:rFonts w:ascii="仿宋" w:hAnsi="仿宋" w:eastAsia="仿宋" w:cs="仿宋"/>
                <w:szCs w:val="21"/>
              </w:rPr>
            </w:pPr>
            <w:r>
              <w:rPr>
                <w:rFonts w:hint="eastAsia" w:ascii="仿宋" w:hAnsi="仿宋" w:eastAsia="仿宋" w:cs="仿宋"/>
                <w:szCs w:val="21"/>
              </w:rPr>
              <w:t>投标有效期</w:t>
            </w:r>
          </w:p>
        </w:tc>
        <w:tc>
          <w:tcPr>
            <w:tcW w:w="6421" w:type="dxa"/>
            <w:vAlign w:val="center"/>
          </w:tcPr>
          <w:p w14:paraId="259B7EC7">
            <w:pPr>
              <w:spacing w:line="440" w:lineRule="exact"/>
              <w:rPr>
                <w:rFonts w:ascii="仿宋" w:hAnsi="仿宋" w:eastAsia="仿宋" w:cs="仿宋"/>
                <w:szCs w:val="21"/>
              </w:rPr>
            </w:pPr>
            <w:r>
              <w:rPr>
                <w:rFonts w:hint="eastAsia" w:ascii="仿宋" w:hAnsi="仿宋" w:eastAsia="仿宋" w:cs="仿宋"/>
                <w:szCs w:val="21"/>
              </w:rPr>
              <w:t>投标文件中承诺的投标有效期满足招标文件中载明的投标有效期的</w:t>
            </w:r>
          </w:p>
        </w:tc>
      </w:tr>
      <w:tr w14:paraId="155B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1E90E8A">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5</w:t>
            </w:r>
          </w:p>
        </w:tc>
        <w:tc>
          <w:tcPr>
            <w:tcW w:w="1365" w:type="dxa"/>
            <w:vAlign w:val="center"/>
          </w:tcPr>
          <w:p w14:paraId="04DF77FD">
            <w:pPr>
              <w:spacing w:line="440" w:lineRule="exact"/>
              <w:jc w:val="center"/>
              <w:rPr>
                <w:rFonts w:ascii="仿宋" w:hAnsi="仿宋" w:eastAsia="仿宋" w:cs="仿宋"/>
                <w:szCs w:val="21"/>
              </w:rPr>
            </w:pPr>
            <w:r>
              <w:rPr>
                <w:rFonts w:hint="eastAsia" w:ascii="仿宋" w:hAnsi="仿宋" w:eastAsia="仿宋" w:cs="仿宋"/>
                <w:szCs w:val="21"/>
              </w:rPr>
              <w:t>签署、盖章</w:t>
            </w:r>
          </w:p>
        </w:tc>
        <w:tc>
          <w:tcPr>
            <w:tcW w:w="6421" w:type="dxa"/>
            <w:vAlign w:val="center"/>
          </w:tcPr>
          <w:p w14:paraId="0C0ACCB3">
            <w:pPr>
              <w:spacing w:line="440" w:lineRule="exact"/>
              <w:rPr>
                <w:rFonts w:ascii="仿宋" w:hAnsi="仿宋" w:eastAsia="仿宋" w:cs="仿宋"/>
                <w:szCs w:val="21"/>
              </w:rPr>
            </w:pPr>
            <w:r>
              <w:rPr>
                <w:rFonts w:hint="eastAsia" w:ascii="仿宋" w:hAnsi="仿宋" w:eastAsia="仿宋" w:cs="仿宋"/>
                <w:szCs w:val="21"/>
              </w:rPr>
              <w:t>按照招标文件要求签署、盖章的</w:t>
            </w:r>
          </w:p>
        </w:tc>
      </w:tr>
      <w:tr w14:paraId="1248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A0E02A8">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6</w:t>
            </w:r>
          </w:p>
        </w:tc>
        <w:tc>
          <w:tcPr>
            <w:tcW w:w="1365" w:type="dxa"/>
            <w:vAlign w:val="center"/>
          </w:tcPr>
          <w:p w14:paraId="0688EDE8">
            <w:pPr>
              <w:spacing w:line="440" w:lineRule="exact"/>
              <w:jc w:val="center"/>
              <w:rPr>
                <w:rFonts w:ascii="仿宋" w:hAnsi="仿宋" w:eastAsia="仿宋" w:cs="仿宋"/>
                <w:szCs w:val="21"/>
              </w:rPr>
            </w:pPr>
            <w:r>
              <w:rPr>
                <w:rFonts w:hint="eastAsia" w:ascii="仿宋" w:hAnsi="仿宋" w:eastAsia="仿宋" w:cs="仿宋"/>
                <w:szCs w:val="21"/>
              </w:rPr>
              <w:t>实质性响应</w:t>
            </w:r>
          </w:p>
        </w:tc>
        <w:tc>
          <w:tcPr>
            <w:tcW w:w="6421" w:type="dxa"/>
            <w:vAlign w:val="center"/>
          </w:tcPr>
          <w:p w14:paraId="4E1B8EF5">
            <w:pPr>
              <w:spacing w:line="440" w:lineRule="exact"/>
              <w:rPr>
                <w:rFonts w:ascii="仿宋" w:hAnsi="仿宋" w:eastAsia="仿宋" w:cs="仿宋"/>
                <w:szCs w:val="21"/>
              </w:rPr>
            </w:pPr>
            <w:r>
              <w:rPr>
                <w:rFonts w:hint="eastAsia" w:ascii="仿宋" w:hAnsi="仿宋" w:eastAsia="仿宋" w:cs="仿宋"/>
                <w:szCs w:val="21"/>
              </w:rPr>
              <w:t>投标文件满足招标文件中实质性条款的要求和明确的采购需求。</w:t>
            </w:r>
          </w:p>
        </w:tc>
      </w:tr>
      <w:tr w14:paraId="4775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77C81D1">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7</w:t>
            </w:r>
          </w:p>
        </w:tc>
        <w:tc>
          <w:tcPr>
            <w:tcW w:w="1365" w:type="dxa"/>
            <w:vAlign w:val="center"/>
          </w:tcPr>
          <w:p w14:paraId="7E8D1A85">
            <w:pPr>
              <w:spacing w:line="440" w:lineRule="exact"/>
              <w:jc w:val="center"/>
              <w:rPr>
                <w:rFonts w:ascii="仿宋" w:hAnsi="仿宋" w:eastAsia="仿宋" w:cs="仿宋"/>
                <w:szCs w:val="21"/>
              </w:rPr>
            </w:pPr>
            <w:r>
              <w:rPr>
                <w:rFonts w:hint="eastAsia" w:ascii="仿宋" w:hAnsi="仿宋" w:eastAsia="仿宋" w:cs="仿宋"/>
                <w:szCs w:val="21"/>
              </w:rPr>
              <w:t>报价合理性</w:t>
            </w:r>
          </w:p>
        </w:tc>
        <w:tc>
          <w:tcPr>
            <w:tcW w:w="6421" w:type="dxa"/>
            <w:vAlign w:val="center"/>
          </w:tcPr>
          <w:p w14:paraId="063F5A3B">
            <w:pPr>
              <w:spacing w:line="440" w:lineRule="exact"/>
              <w:rPr>
                <w:rFonts w:ascii="仿宋" w:hAnsi="仿宋" w:eastAsia="仿宋" w:cs="仿宋"/>
                <w:szCs w:val="21"/>
              </w:rPr>
            </w:pPr>
            <w:r>
              <w:rPr>
                <w:rFonts w:hint="eastAsia" w:ascii="仿宋" w:hAnsi="仿宋" w:eastAsia="仿宋" w:cs="仿宋_GB2312"/>
                <w:szCs w:val="21"/>
              </w:rPr>
              <w:t>报价合理，或报价通过评标委员会异常低价投标（响应）审查。</w:t>
            </w:r>
          </w:p>
        </w:tc>
      </w:tr>
      <w:tr w14:paraId="5565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4FCA75A">
            <w:pPr>
              <w:spacing w:line="44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8</w:t>
            </w:r>
          </w:p>
        </w:tc>
        <w:tc>
          <w:tcPr>
            <w:tcW w:w="1365" w:type="dxa"/>
            <w:vAlign w:val="center"/>
          </w:tcPr>
          <w:p w14:paraId="1BAD1F0F">
            <w:pPr>
              <w:spacing w:line="440" w:lineRule="exact"/>
              <w:jc w:val="center"/>
              <w:rPr>
                <w:rFonts w:ascii="仿宋" w:hAnsi="仿宋" w:eastAsia="仿宋" w:cs="仿宋"/>
                <w:szCs w:val="21"/>
              </w:rPr>
            </w:pPr>
            <w:r>
              <w:rPr>
                <w:rFonts w:hint="eastAsia" w:ascii="仿宋" w:hAnsi="仿宋" w:eastAsia="仿宋" w:cs="仿宋"/>
                <w:szCs w:val="21"/>
              </w:rPr>
              <w:t>附加条件</w:t>
            </w:r>
          </w:p>
        </w:tc>
        <w:tc>
          <w:tcPr>
            <w:tcW w:w="6421" w:type="dxa"/>
            <w:vAlign w:val="center"/>
          </w:tcPr>
          <w:p w14:paraId="5B8D4390">
            <w:pPr>
              <w:spacing w:line="440" w:lineRule="exact"/>
              <w:rPr>
                <w:rFonts w:ascii="仿宋" w:hAnsi="仿宋" w:eastAsia="仿宋" w:cs="仿宋"/>
                <w:szCs w:val="21"/>
              </w:rPr>
            </w:pPr>
            <w:r>
              <w:rPr>
                <w:rFonts w:hint="eastAsia" w:ascii="仿宋" w:hAnsi="仿宋" w:eastAsia="仿宋" w:cs="仿宋"/>
                <w:szCs w:val="21"/>
              </w:rPr>
              <w:t>投标文件未含有采购人不能接受的附加条件的</w:t>
            </w:r>
          </w:p>
        </w:tc>
      </w:tr>
      <w:tr w14:paraId="1F7A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B66250F">
            <w:pPr>
              <w:spacing w:line="440" w:lineRule="exact"/>
              <w:jc w:val="center"/>
              <w:rPr>
                <w:rFonts w:ascii="仿宋" w:hAnsi="仿宋" w:eastAsia="仿宋" w:cs="仿宋"/>
                <w:szCs w:val="21"/>
              </w:rPr>
            </w:pPr>
            <w:r>
              <w:rPr>
                <w:rFonts w:hint="eastAsia" w:ascii="仿宋" w:hAnsi="仿宋" w:eastAsia="仿宋" w:cs="仿宋"/>
                <w:szCs w:val="21"/>
                <w:lang w:val="en-US" w:eastAsia="zh-CN"/>
              </w:rPr>
              <w:t>9</w:t>
            </w:r>
          </w:p>
        </w:tc>
        <w:tc>
          <w:tcPr>
            <w:tcW w:w="1365" w:type="dxa"/>
            <w:vAlign w:val="center"/>
          </w:tcPr>
          <w:p w14:paraId="58A87622">
            <w:pPr>
              <w:spacing w:line="440" w:lineRule="exact"/>
              <w:jc w:val="center"/>
              <w:rPr>
                <w:rFonts w:ascii="仿宋" w:hAnsi="仿宋" w:eastAsia="仿宋" w:cs="仿宋"/>
                <w:szCs w:val="21"/>
              </w:rPr>
            </w:pPr>
            <w:r>
              <w:rPr>
                <w:rFonts w:hint="eastAsia" w:ascii="仿宋" w:hAnsi="仿宋" w:eastAsia="仿宋" w:cs="仿宋"/>
                <w:szCs w:val="21"/>
              </w:rPr>
              <w:t>其他</w:t>
            </w:r>
          </w:p>
        </w:tc>
        <w:tc>
          <w:tcPr>
            <w:tcW w:w="6421" w:type="dxa"/>
            <w:vAlign w:val="center"/>
          </w:tcPr>
          <w:p w14:paraId="51C8CD58">
            <w:pPr>
              <w:spacing w:line="440" w:lineRule="exact"/>
              <w:rPr>
                <w:rFonts w:ascii="仿宋" w:hAnsi="仿宋" w:eastAsia="仿宋" w:cs="仿宋"/>
                <w:szCs w:val="21"/>
              </w:rPr>
            </w:pPr>
            <w:r>
              <w:rPr>
                <w:rFonts w:hint="eastAsia" w:ascii="仿宋" w:hAnsi="仿宋" w:eastAsia="仿宋" w:cs="仿宋"/>
                <w:szCs w:val="21"/>
              </w:rPr>
              <w:t>投标文件中不存在违反国家法律、法规和招标文件规定的其他无效情形</w:t>
            </w:r>
          </w:p>
        </w:tc>
      </w:tr>
    </w:tbl>
    <w:p w14:paraId="394F7881">
      <w:pPr>
        <w:spacing w:line="500" w:lineRule="exact"/>
        <w:rPr>
          <w:rFonts w:ascii="仿宋" w:hAnsi="仿宋" w:eastAsia="仿宋" w:cs="仿宋"/>
          <w:sz w:val="24"/>
        </w:rPr>
      </w:pPr>
    </w:p>
    <w:p w14:paraId="38CEACDA">
      <w:pPr>
        <w:numPr>
          <w:ilvl w:val="0"/>
          <w:numId w:val="13"/>
        </w:numPr>
        <w:spacing w:line="500" w:lineRule="exact"/>
        <w:outlineLvl w:val="1"/>
        <w:rPr>
          <w:rFonts w:ascii="仿宋" w:hAnsi="仿宋" w:eastAsia="仿宋" w:cs="仿宋"/>
          <w:b/>
          <w:bCs/>
          <w:sz w:val="24"/>
        </w:rPr>
      </w:pPr>
      <w:bookmarkStart w:id="18" w:name="_Toc155630091"/>
      <w:r>
        <w:rPr>
          <w:rFonts w:hint="eastAsia" w:ascii="仿宋" w:hAnsi="仿宋" w:eastAsia="仿宋" w:cs="仿宋"/>
          <w:b/>
          <w:bCs/>
          <w:sz w:val="24"/>
        </w:rPr>
        <w:t>投标文件有关事项的澄清或者说明</w:t>
      </w:r>
      <w:bookmarkEnd w:id="18"/>
    </w:p>
    <w:p w14:paraId="6BCA05AD">
      <w:pPr>
        <w:numPr>
          <w:ilvl w:val="1"/>
          <w:numId w:val="13"/>
        </w:numPr>
        <w:spacing w:line="500" w:lineRule="exact"/>
        <w:rPr>
          <w:rFonts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投标人自行承担。投标人的澄清、说明或者补正不得超出投标文件的范围或者改变投标文件的实质性内容。澄清文件将作为投标文件内容的一部分。</w:t>
      </w:r>
    </w:p>
    <w:p w14:paraId="4048BFEC">
      <w:pPr>
        <w:numPr>
          <w:ilvl w:val="1"/>
          <w:numId w:val="13"/>
        </w:numPr>
        <w:spacing w:line="500" w:lineRule="exact"/>
        <w:rPr>
          <w:rFonts w:ascii="仿宋" w:hAnsi="仿宋" w:eastAsia="仿宋" w:cs="仿宋_GB2312"/>
          <w:sz w:val="24"/>
        </w:rPr>
      </w:pPr>
      <w:r>
        <w:rPr>
          <w:rFonts w:hint="eastAsia" w:ascii="仿宋" w:hAnsi="仿宋" w:eastAsia="仿宋" w:cs="仿宋_GB2312"/>
          <w:sz w:val="24"/>
        </w:rPr>
        <w:t>报价合理性说明：评标委员会认为投标人的报价明显低于其他通过符合性审查投标人的报价，有可能影响货物质量或者不能诚信履约的，评审委员会应当启动异常低价投标（响应）审查程序：</w:t>
      </w:r>
    </w:p>
    <w:p w14:paraId="41F7A729">
      <w:pPr>
        <w:spacing w:line="500" w:lineRule="exact"/>
        <w:rPr>
          <w:rFonts w:ascii="仿宋" w:hAnsi="仿宋" w:eastAsia="仿宋" w:cs="仿宋_GB2312"/>
          <w:sz w:val="24"/>
        </w:rPr>
      </w:pPr>
      <w:r>
        <w:rPr>
          <w:rFonts w:hint="eastAsia" w:ascii="仿宋" w:hAnsi="仿宋" w:eastAsia="仿宋" w:cs="仿宋_GB2312"/>
          <w:sz w:val="24"/>
        </w:rPr>
        <w:t>（1）投标（响应）报价低于全部通过符合性审查</w:t>
      </w:r>
      <w:r>
        <w:rPr>
          <w:rFonts w:hint="eastAsia" w:ascii="仿宋" w:hAnsi="仿宋" w:eastAsia="仿宋" w:cs="仿宋_GB2312"/>
          <w:sz w:val="24"/>
          <w:lang w:eastAsia="zh-CN"/>
        </w:rPr>
        <w:t>投标人</w:t>
      </w:r>
      <w:r>
        <w:rPr>
          <w:rFonts w:hint="eastAsia" w:ascii="仿宋" w:hAnsi="仿宋" w:eastAsia="仿宋" w:cs="仿宋_GB2312"/>
          <w:sz w:val="24"/>
        </w:rPr>
        <w:t>投标（响应）报价平均值50%的，即投标（响应）报价&lt;全部通过符合性审查</w:t>
      </w:r>
      <w:r>
        <w:rPr>
          <w:rFonts w:hint="eastAsia" w:ascii="仿宋" w:hAnsi="仿宋" w:eastAsia="仿宋" w:cs="仿宋_GB2312"/>
          <w:sz w:val="24"/>
          <w:lang w:eastAsia="zh-CN"/>
        </w:rPr>
        <w:t>投标人</w:t>
      </w:r>
      <w:r>
        <w:rPr>
          <w:rFonts w:hint="eastAsia" w:ascii="仿宋" w:hAnsi="仿宋" w:eastAsia="仿宋" w:cs="仿宋_GB2312"/>
          <w:sz w:val="24"/>
        </w:rPr>
        <w:t>投标（响应）报价平均值×50%；</w:t>
      </w:r>
    </w:p>
    <w:p w14:paraId="54D4B559">
      <w:pPr>
        <w:spacing w:line="500" w:lineRule="exact"/>
        <w:rPr>
          <w:rFonts w:ascii="仿宋" w:hAnsi="仿宋" w:eastAsia="仿宋" w:cs="仿宋_GB2312"/>
          <w:sz w:val="24"/>
        </w:rPr>
      </w:pPr>
      <w:r>
        <w:rPr>
          <w:rFonts w:hint="eastAsia" w:ascii="仿宋" w:hAnsi="仿宋" w:eastAsia="仿宋" w:cs="仿宋_GB2312"/>
          <w:sz w:val="24"/>
        </w:rPr>
        <w:t>（2）投标（响应）报价低于通过符合性审查的次低报价</w:t>
      </w:r>
      <w:r>
        <w:rPr>
          <w:rFonts w:hint="eastAsia" w:ascii="仿宋" w:hAnsi="仿宋" w:eastAsia="仿宋" w:cs="仿宋_GB2312"/>
          <w:sz w:val="24"/>
          <w:lang w:eastAsia="zh-CN"/>
        </w:rPr>
        <w:t>投标人</w:t>
      </w:r>
      <w:r>
        <w:rPr>
          <w:rFonts w:hint="eastAsia" w:ascii="仿宋" w:hAnsi="仿宋" w:eastAsia="仿宋" w:cs="仿宋_GB2312"/>
          <w:sz w:val="24"/>
        </w:rPr>
        <w:t>投标（响应）报价50%的，即投标（响应）报价&lt;通过符合性审查的次低报价</w:t>
      </w:r>
      <w:r>
        <w:rPr>
          <w:rFonts w:hint="eastAsia" w:ascii="仿宋" w:hAnsi="仿宋" w:eastAsia="仿宋" w:cs="仿宋_GB2312"/>
          <w:sz w:val="24"/>
          <w:lang w:eastAsia="zh-CN"/>
        </w:rPr>
        <w:t>投标人</w:t>
      </w:r>
      <w:r>
        <w:rPr>
          <w:rFonts w:hint="eastAsia" w:ascii="仿宋" w:hAnsi="仿宋" w:eastAsia="仿宋" w:cs="仿宋_GB2312"/>
          <w:sz w:val="24"/>
        </w:rPr>
        <w:t>投标（响应）报价×50%；</w:t>
      </w:r>
    </w:p>
    <w:p w14:paraId="7F3DEEEB">
      <w:pPr>
        <w:spacing w:line="500" w:lineRule="exact"/>
        <w:rPr>
          <w:rFonts w:ascii="仿宋" w:hAnsi="仿宋" w:eastAsia="仿宋" w:cs="仿宋_GB2312"/>
          <w:sz w:val="24"/>
        </w:rPr>
      </w:pPr>
      <w:r>
        <w:rPr>
          <w:rFonts w:hint="eastAsia" w:ascii="仿宋" w:hAnsi="仿宋" w:eastAsia="仿宋" w:cs="仿宋_GB2312"/>
          <w:sz w:val="24"/>
        </w:rPr>
        <w:t>（3）投标（响应）报价低于采购项目最高限价45%的，即投标（响应）报价&lt;采购项目最高限价×45%；</w:t>
      </w:r>
    </w:p>
    <w:p w14:paraId="0603BA8A">
      <w:pPr>
        <w:spacing w:line="500" w:lineRule="exact"/>
        <w:rPr>
          <w:rFonts w:ascii="仿宋" w:hAnsi="仿宋" w:eastAsia="仿宋" w:cs="仿宋_GB2312"/>
          <w:sz w:val="24"/>
        </w:rPr>
      </w:pPr>
      <w:r>
        <w:rPr>
          <w:rFonts w:hint="eastAsia" w:ascii="仿宋" w:hAnsi="仿宋" w:eastAsia="仿宋" w:cs="仿宋_GB2312"/>
          <w:sz w:val="24"/>
        </w:rPr>
        <w:t>（4）评审委员会基于专业判断，认为</w:t>
      </w:r>
      <w:r>
        <w:rPr>
          <w:rFonts w:hint="eastAsia" w:ascii="仿宋" w:hAnsi="仿宋" w:eastAsia="仿宋" w:cs="仿宋_GB2312"/>
          <w:sz w:val="24"/>
          <w:lang w:eastAsia="zh-CN"/>
        </w:rPr>
        <w:t>投标人</w:t>
      </w:r>
      <w:r>
        <w:rPr>
          <w:rFonts w:hint="eastAsia" w:ascii="仿宋" w:hAnsi="仿宋" w:eastAsia="仿宋" w:cs="仿宋_GB2312"/>
          <w:sz w:val="24"/>
        </w:rPr>
        <w:t>报价过低，有可能影响产品质量或者不能诚信履约的其他情形。</w:t>
      </w:r>
    </w:p>
    <w:p w14:paraId="5817FBB3">
      <w:pPr>
        <w:spacing w:line="500" w:lineRule="exact"/>
        <w:rPr>
          <w:rFonts w:ascii="仿宋" w:hAnsi="仿宋" w:eastAsia="仿宋" w:cs="仿宋_GB2312"/>
          <w:sz w:val="24"/>
        </w:rPr>
      </w:pPr>
      <w:r>
        <w:rPr>
          <w:rFonts w:hint="eastAsia" w:ascii="仿宋" w:hAnsi="仿宋" w:eastAsia="仿宋" w:cs="仿宋_GB2312"/>
          <w:sz w:val="24"/>
        </w:rPr>
        <w:t>采购人可以结合具体项目实际情况，提高上述第1项至第3项中启动异常低价投标（响应）审查的数值标准，但是最高不得超过65%。</w:t>
      </w:r>
    </w:p>
    <w:p w14:paraId="2B1FEB61">
      <w:pPr>
        <w:spacing w:line="500" w:lineRule="exact"/>
        <w:rPr>
          <w:rFonts w:ascii="仿宋" w:hAnsi="仿宋" w:eastAsia="仿宋" w:cs="仿宋_GB2312"/>
          <w:sz w:val="24"/>
        </w:rPr>
      </w:pPr>
      <w:r>
        <w:rPr>
          <w:rFonts w:hint="eastAsia" w:ascii="仿宋" w:hAnsi="仿宋" w:eastAsia="仿宋" w:cs="仿宋_GB2312"/>
          <w:sz w:val="24"/>
        </w:rPr>
        <w:t>相关法律法规对</w:t>
      </w:r>
      <w:r>
        <w:rPr>
          <w:rFonts w:hint="eastAsia" w:ascii="仿宋" w:hAnsi="仿宋" w:eastAsia="仿宋" w:cs="仿宋_GB2312"/>
          <w:sz w:val="24"/>
          <w:lang w:eastAsia="zh-CN"/>
        </w:rPr>
        <w:t>投标人</w:t>
      </w:r>
      <w:r>
        <w:rPr>
          <w:rFonts w:hint="eastAsia" w:ascii="仿宋" w:hAnsi="仿宋" w:eastAsia="仿宋" w:cs="仿宋_GB2312"/>
          <w:sz w:val="24"/>
        </w:rPr>
        <w:t>报价有规定的，从其规定。</w:t>
      </w:r>
    </w:p>
    <w:p w14:paraId="0295AA8E">
      <w:pPr>
        <w:spacing w:line="500" w:lineRule="exact"/>
        <w:rPr>
          <w:rFonts w:ascii="仿宋" w:hAnsi="仿宋" w:eastAsia="仿宋" w:cs="仿宋_GB2312"/>
          <w:sz w:val="24"/>
        </w:rPr>
      </w:pPr>
      <w:r>
        <w:rPr>
          <w:rFonts w:hint="eastAsia" w:ascii="仿宋" w:hAnsi="仿宋" w:eastAsia="仿宋" w:cs="仿宋_GB2312"/>
          <w:sz w:val="24"/>
        </w:rPr>
        <w:t>评审委员会启动异常低价投标（响应）审查后，属于前述第1项至第4项情形的，应当要求相关</w:t>
      </w:r>
      <w:r>
        <w:rPr>
          <w:rFonts w:hint="eastAsia" w:ascii="仿宋" w:hAnsi="仿宋" w:eastAsia="仿宋" w:cs="仿宋_GB2312"/>
          <w:sz w:val="24"/>
          <w:lang w:eastAsia="zh-CN"/>
        </w:rPr>
        <w:t>投标人</w:t>
      </w:r>
      <w:r>
        <w:rPr>
          <w:rFonts w:hint="eastAsia" w:ascii="仿宋" w:hAnsi="仿宋" w:eastAsia="仿宋" w:cs="仿宋_GB2312"/>
          <w:sz w:val="24"/>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仿宋" w:hAnsi="仿宋" w:eastAsia="仿宋" w:cs="仿宋_GB2312"/>
          <w:sz w:val="24"/>
          <w:lang w:eastAsia="zh-CN"/>
        </w:rPr>
        <w:t>投标人</w:t>
      </w:r>
      <w:r>
        <w:rPr>
          <w:rFonts w:hint="eastAsia" w:ascii="仿宋" w:hAnsi="仿宋" w:eastAsia="仿宋" w:cs="仿宋_GB2312"/>
          <w:sz w:val="24"/>
        </w:rPr>
        <w:t>的合理时间一般不少于30分钟。其中，属于第3项情形，</w:t>
      </w:r>
      <w:r>
        <w:rPr>
          <w:rFonts w:hint="eastAsia" w:ascii="仿宋" w:hAnsi="仿宋" w:eastAsia="仿宋" w:cs="仿宋_GB2312"/>
          <w:sz w:val="24"/>
          <w:lang w:eastAsia="zh-CN"/>
        </w:rPr>
        <w:t>投标人</w:t>
      </w:r>
      <w:r>
        <w:rPr>
          <w:rFonts w:hint="eastAsia" w:ascii="仿宋" w:hAnsi="仿宋" w:eastAsia="仿宋" w:cs="仿宋_GB2312"/>
          <w:sz w:val="24"/>
        </w:rPr>
        <w:t>已随投标（响应）文件一并提交相关书面说明及必要的证明材料的，在评审现场可不再重复提交。</w:t>
      </w:r>
    </w:p>
    <w:p w14:paraId="42BCB38C">
      <w:pPr>
        <w:spacing w:line="500" w:lineRule="exact"/>
        <w:rPr>
          <w:rFonts w:ascii="仿宋" w:hAnsi="仿宋" w:eastAsia="仿宋" w:cs="仿宋_GB2312"/>
          <w:sz w:val="24"/>
        </w:rPr>
      </w:pPr>
      <w:r>
        <w:rPr>
          <w:rFonts w:hint="eastAsia" w:ascii="仿宋" w:hAnsi="仿宋" w:eastAsia="仿宋" w:cs="仿宋_GB2312"/>
          <w:sz w:val="24"/>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仿宋" w:hAnsi="仿宋" w:eastAsia="仿宋" w:cs="仿宋_GB2312"/>
          <w:sz w:val="24"/>
          <w:lang w:eastAsia="zh-CN"/>
        </w:rPr>
        <w:t>投标人</w:t>
      </w:r>
      <w:r>
        <w:rPr>
          <w:rFonts w:hint="eastAsia" w:ascii="仿宋" w:hAnsi="仿宋" w:eastAsia="仿宋" w:cs="仿宋_GB2312"/>
          <w:sz w:val="24"/>
        </w:rPr>
        <w:t>不能提供书面说明、证明材料，或者提供的书面说明、证明材料不能证明其报价合理性的，评审委员会应当将其作为</w:t>
      </w:r>
      <w:r>
        <w:rPr>
          <w:rFonts w:hint="eastAsia" w:ascii="仿宋" w:hAnsi="仿宋" w:eastAsia="仿宋" w:cs="仿宋_GB2312"/>
          <w:b/>
          <w:bCs/>
          <w:sz w:val="24"/>
        </w:rPr>
        <w:t>无效投标（响应）</w:t>
      </w:r>
      <w:r>
        <w:rPr>
          <w:rFonts w:hint="eastAsia" w:ascii="仿宋" w:hAnsi="仿宋" w:eastAsia="仿宋" w:cs="仿宋_GB2312"/>
          <w:sz w:val="24"/>
        </w:rPr>
        <w:t>处理。</w:t>
      </w:r>
    </w:p>
    <w:p w14:paraId="5C40D0E9">
      <w:pPr>
        <w:numPr>
          <w:ilvl w:val="1"/>
          <w:numId w:val="13"/>
        </w:numPr>
        <w:spacing w:line="500" w:lineRule="exact"/>
        <w:rPr>
          <w:rFonts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rPr>
        <w:t>投标无效</w:t>
      </w:r>
      <w:r>
        <w:rPr>
          <w:rFonts w:hint="eastAsia" w:ascii="仿宋" w:hAnsi="仿宋" w:eastAsia="仿宋" w:cs="仿宋"/>
          <w:sz w:val="24"/>
        </w:rPr>
        <w:t>。</w:t>
      </w:r>
    </w:p>
    <w:p w14:paraId="3D9B5D53">
      <w:pPr>
        <w:numPr>
          <w:ilvl w:val="1"/>
          <w:numId w:val="13"/>
        </w:numPr>
        <w:spacing w:line="500" w:lineRule="exact"/>
        <w:rPr>
          <w:rFonts w:ascii="仿宋" w:hAnsi="仿宋" w:eastAsia="仿宋" w:cs="仿宋"/>
          <w:sz w:val="24"/>
        </w:rPr>
      </w:pPr>
      <w:r>
        <w:rPr>
          <w:rFonts w:hint="eastAsia" w:ascii="仿宋" w:hAnsi="仿宋" w:eastAsia="仿宋" w:cs="仿宋"/>
          <w:sz w:val="24"/>
        </w:rPr>
        <w:t>评标委员会不接受投标人主动提出的澄清、说明或补正。</w:t>
      </w:r>
    </w:p>
    <w:p w14:paraId="0C581B76">
      <w:pPr>
        <w:numPr>
          <w:ilvl w:val="1"/>
          <w:numId w:val="13"/>
        </w:numPr>
        <w:spacing w:line="500" w:lineRule="exact"/>
        <w:rPr>
          <w:rFonts w:ascii="仿宋" w:hAnsi="仿宋" w:eastAsia="仿宋" w:cs="仿宋"/>
          <w:sz w:val="24"/>
        </w:rPr>
      </w:pPr>
      <w:r>
        <w:rPr>
          <w:rFonts w:hint="eastAsia" w:ascii="仿宋" w:hAnsi="仿宋" w:eastAsia="仿宋" w:cs="仿宋"/>
          <w:sz w:val="24"/>
        </w:rPr>
        <w:t>评标委员会对投标人提交的澄清、说明或补正有疑问的，可以要求投标人进一步澄清、说明或补正。</w:t>
      </w:r>
    </w:p>
    <w:p w14:paraId="2B223D55">
      <w:pPr>
        <w:numPr>
          <w:ilvl w:val="1"/>
          <w:numId w:val="13"/>
        </w:numPr>
        <w:spacing w:line="500" w:lineRule="exact"/>
        <w:rPr>
          <w:rFonts w:ascii="仿宋" w:hAnsi="仿宋" w:eastAsia="仿宋" w:cs="仿宋"/>
          <w:sz w:val="24"/>
        </w:rPr>
      </w:pPr>
      <w:r>
        <w:rPr>
          <w:rFonts w:hint="eastAsia" w:ascii="仿宋" w:hAnsi="仿宋" w:eastAsia="仿宋" w:cs="仿宋"/>
          <w:sz w:val="24"/>
        </w:rPr>
        <w:t>对报价的计算错误按以下原则修正：</w:t>
      </w:r>
    </w:p>
    <w:p w14:paraId="5B97B9F2">
      <w:pPr>
        <w:numPr>
          <w:ilvl w:val="2"/>
          <w:numId w:val="13"/>
        </w:numPr>
        <w:spacing w:line="500" w:lineRule="exact"/>
        <w:rPr>
          <w:rFonts w:ascii="仿宋" w:hAnsi="仿宋" w:eastAsia="仿宋" w:cs="仿宋"/>
          <w:sz w:val="24"/>
        </w:rPr>
      </w:pPr>
      <w:r>
        <w:rPr>
          <w:rFonts w:hint="eastAsia" w:ascii="仿宋" w:hAnsi="仿宋" w:eastAsia="仿宋" w:cs="仿宋"/>
          <w:sz w:val="24"/>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6C57179">
      <w:pPr>
        <w:numPr>
          <w:ilvl w:val="2"/>
          <w:numId w:val="13"/>
        </w:numPr>
        <w:spacing w:line="500" w:lineRule="exact"/>
        <w:rPr>
          <w:rFonts w:ascii="仿宋" w:hAnsi="仿宋" w:eastAsia="仿宋" w:cs="仿宋"/>
          <w:sz w:val="24"/>
        </w:rPr>
      </w:pPr>
      <w:r>
        <w:rPr>
          <w:rFonts w:hint="eastAsia" w:ascii="仿宋" w:hAnsi="仿宋" w:eastAsia="仿宋" w:cs="仿宋"/>
          <w:sz w:val="24"/>
        </w:rPr>
        <w:t>大写金额和小写金额不一致的，以大写金额为准；</w:t>
      </w:r>
    </w:p>
    <w:p w14:paraId="3F9F12C3">
      <w:pPr>
        <w:numPr>
          <w:ilvl w:val="2"/>
          <w:numId w:val="13"/>
        </w:numPr>
        <w:spacing w:line="500" w:lineRule="exact"/>
        <w:rPr>
          <w:rFonts w:ascii="仿宋" w:hAnsi="仿宋" w:eastAsia="仿宋" w:cs="仿宋"/>
          <w:sz w:val="24"/>
        </w:rPr>
      </w:pPr>
      <w:r>
        <w:rPr>
          <w:rFonts w:hint="eastAsia" w:ascii="仿宋" w:hAnsi="仿宋" w:eastAsia="仿宋" w:cs="仿宋"/>
          <w:sz w:val="24"/>
        </w:rPr>
        <w:t>单价金额小数点或者百分比有明显错位的，以开标一览表的总价为准，并修改单价。</w:t>
      </w:r>
    </w:p>
    <w:p w14:paraId="549F9A94">
      <w:pPr>
        <w:numPr>
          <w:ilvl w:val="2"/>
          <w:numId w:val="13"/>
        </w:numPr>
        <w:spacing w:line="500" w:lineRule="exact"/>
        <w:rPr>
          <w:rFonts w:ascii="仿宋" w:hAnsi="仿宋" w:eastAsia="仿宋" w:cs="仿宋"/>
          <w:sz w:val="24"/>
        </w:rPr>
      </w:pPr>
      <w:r>
        <w:rPr>
          <w:rFonts w:hint="eastAsia" w:ascii="仿宋" w:hAnsi="仿宋" w:eastAsia="仿宋" w:cs="仿宋"/>
          <w:sz w:val="24"/>
        </w:rPr>
        <w:t>总价金额与按单价汇总金额不一致的，以单价金额计算结果为准。但是单价金额计算结果超过预算金额/最高限价的，对其按</w:t>
      </w:r>
      <w:r>
        <w:rPr>
          <w:rFonts w:hint="eastAsia" w:ascii="仿宋" w:hAnsi="仿宋" w:eastAsia="仿宋" w:cs="仿宋"/>
          <w:b/>
          <w:bCs/>
          <w:sz w:val="24"/>
        </w:rPr>
        <w:t>无效投标</w:t>
      </w:r>
      <w:r>
        <w:rPr>
          <w:rFonts w:hint="eastAsia" w:ascii="仿宋" w:hAnsi="仿宋" w:eastAsia="仿宋" w:cs="仿宋"/>
          <w:sz w:val="24"/>
        </w:rPr>
        <w:t>处理。</w:t>
      </w:r>
    </w:p>
    <w:p w14:paraId="09FA1482">
      <w:pPr>
        <w:numPr>
          <w:ilvl w:val="2"/>
          <w:numId w:val="13"/>
        </w:numPr>
        <w:spacing w:line="500" w:lineRule="exact"/>
        <w:rPr>
          <w:rFonts w:ascii="仿宋" w:hAnsi="仿宋" w:eastAsia="仿宋" w:cs="仿宋"/>
          <w:sz w:val="24"/>
        </w:rPr>
      </w:pPr>
      <w:r>
        <w:rPr>
          <w:rFonts w:hint="eastAsia" w:ascii="仿宋" w:hAnsi="仿宋" w:eastAsia="仿宋" w:cs="仿宋"/>
          <w:sz w:val="24"/>
        </w:rPr>
        <w:t xml:space="preserve">若投标客户端上传的电子报价数据（开标一览表中的公布唱标价）与电子投标文件价格不一致的，以电子报价数据（开标一览表中的公布唱标价）为准。 </w:t>
      </w:r>
    </w:p>
    <w:p w14:paraId="59F1728D">
      <w:pPr>
        <w:spacing w:line="500" w:lineRule="exact"/>
        <w:ind w:firstLine="480" w:firstLineChars="200"/>
        <w:rPr>
          <w:rFonts w:ascii="仿宋" w:hAnsi="仿宋" w:eastAsia="仿宋" w:cs="仿宋"/>
          <w:sz w:val="24"/>
        </w:rPr>
      </w:pPr>
      <w:r>
        <w:rPr>
          <w:rFonts w:hint="eastAsia" w:ascii="仿宋" w:hAnsi="仿宋" w:eastAsia="仿宋" w:cs="仿宋"/>
          <w:sz w:val="24"/>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rPr>
        <w:t>投标无效</w:t>
      </w:r>
      <w:r>
        <w:rPr>
          <w:rFonts w:hint="eastAsia" w:ascii="仿宋" w:hAnsi="仿宋" w:eastAsia="仿宋" w:cs="仿宋"/>
          <w:sz w:val="24"/>
        </w:rPr>
        <w:t>。</w:t>
      </w:r>
    </w:p>
    <w:p w14:paraId="1EC47553">
      <w:pPr>
        <w:numPr>
          <w:ilvl w:val="0"/>
          <w:numId w:val="13"/>
        </w:numPr>
        <w:spacing w:line="500" w:lineRule="exact"/>
        <w:outlineLvl w:val="1"/>
        <w:rPr>
          <w:rFonts w:ascii="仿宋" w:hAnsi="仿宋" w:eastAsia="仿宋" w:cs="仿宋"/>
          <w:b/>
          <w:bCs/>
          <w:sz w:val="24"/>
        </w:rPr>
      </w:pPr>
      <w:bookmarkStart w:id="19" w:name="_Toc155630092"/>
      <w:r>
        <w:rPr>
          <w:rFonts w:hint="eastAsia" w:ascii="仿宋" w:hAnsi="仿宋" w:eastAsia="仿宋" w:cs="仿宋"/>
          <w:b/>
          <w:bCs/>
          <w:sz w:val="24"/>
        </w:rPr>
        <w:t>详细评审</w:t>
      </w:r>
      <w:bookmarkEnd w:id="19"/>
    </w:p>
    <w:p w14:paraId="71D5AC6B">
      <w:pPr>
        <w:spacing w:line="500" w:lineRule="exact"/>
        <w:ind w:firstLine="480" w:firstLineChars="200"/>
        <w:rPr>
          <w:rFonts w:ascii="仿宋" w:hAnsi="仿宋" w:eastAsia="仿宋" w:cs="仿宋"/>
          <w:sz w:val="24"/>
        </w:rPr>
      </w:pPr>
      <w:r>
        <w:rPr>
          <w:rFonts w:hint="eastAsia" w:ascii="仿宋" w:hAnsi="仿宋" w:eastAsia="仿宋" w:cs="仿宋"/>
          <w:sz w:val="24"/>
        </w:rPr>
        <w:t>经资格审查和符合性审查合格的投标文件，评标委员会将根据《详细评审标准》，对其技术部分、商务部分及报价部分作进一步的综合比较和评价。详细评审标准如下：</w:t>
      </w:r>
    </w:p>
    <w:p w14:paraId="2D4478B6">
      <w:pPr>
        <w:spacing w:line="500" w:lineRule="exact"/>
        <w:jc w:val="center"/>
        <w:rPr>
          <w:rFonts w:ascii="仿宋" w:hAnsi="仿宋" w:eastAsia="仿宋" w:cs="仿宋"/>
          <w:b/>
          <w:bCs/>
          <w:sz w:val="24"/>
        </w:rPr>
      </w:pPr>
      <w:r>
        <w:rPr>
          <w:rFonts w:hint="eastAsia" w:ascii="仿宋" w:hAnsi="仿宋" w:eastAsia="仿宋" w:cs="仿宋"/>
          <w:b/>
          <w:bCs/>
          <w:sz w:val="24"/>
        </w:rPr>
        <w:t>详细评审标准</w:t>
      </w:r>
    </w:p>
    <w:tbl>
      <w:tblPr>
        <w:tblStyle w:val="4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516"/>
        <w:gridCol w:w="5658"/>
      </w:tblGrid>
      <w:tr w14:paraId="5B9D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22" w:type="dxa"/>
            <w:vAlign w:val="center"/>
          </w:tcPr>
          <w:p w14:paraId="36D7B110">
            <w:pPr>
              <w:ind w:right="638" w:rightChars="304"/>
              <w:jc w:val="center"/>
              <w:rPr>
                <w:rFonts w:ascii="仿宋" w:hAnsi="仿宋" w:eastAsia="仿宋" w:cs="仿宋"/>
                <w:szCs w:val="21"/>
              </w:rPr>
            </w:pPr>
            <w:r>
              <w:rPr>
                <w:rFonts w:hint="eastAsia" w:ascii="仿宋" w:hAnsi="仿宋" w:eastAsia="仿宋" w:cs="仿宋"/>
                <w:kern w:val="0"/>
                <w:szCs w:val="21"/>
              </w:rPr>
              <w:t>评分因素</w:t>
            </w:r>
          </w:p>
        </w:tc>
        <w:tc>
          <w:tcPr>
            <w:tcW w:w="516" w:type="dxa"/>
            <w:vAlign w:val="center"/>
          </w:tcPr>
          <w:p w14:paraId="0BB08F94">
            <w:pPr>
              <w:jc w:val="center"/>
              <w:rPr>
                <w:rFonts w:ascii="仿宋" w:hAnsi="仿宋" w:eastAsia="仿宋" w:cs="仿宋"/>
                <w:szCs w:val="21"/>
              </w:rPr>
            </w:pPr>
            <w:r>
              <w:rPr>
                <w:rFonts w:hint="eastAsia" w:ascii="仿宋" w:hAnsi="仿宋" w:eastAsia="仿宋" w:cs="仿宋"/>
                <w:kern w:val="0"/>
                <w:szCs w:val="21"/>
              </w:rPr>
              <w:t>分值</w:t>
            </w:r>
          </w:p>
        </w:tc>
        <w:tc>
          <w:tcPr>
            <w:tcW w:w="5658" w:type="dxa"/>
            <w:vAlign w:val="center"/>
          </w:tcPr>
          <w:p w14:paraId="0F80CF4D">
            <w:pPr>
              <w:ind w:right="-31" w:rightChars="-15"/>
              <w:jc w:val="center"/>
              <w:rPr>
                <w:rFonts w:ascii="仿宋" w:hAnsi="仿宋" w:eastAsia="仿宋" w:cs="仿宋"/>
                <w:szCs w:val="21"/>
              </w:rPr>
            </w:pPr>
            <w:r>
              <w:rPr>
                <w:rFonts w:hint="eastAsia" w:ascii="仿宋" w:hAnsi="仿宋" w:eastAsia="仿宋" w:cs="仿宋"/>
                <w:kern w:val="0"/>
                <w:szCs w:val="21"/>
              </w:rPr>
              <w:t>评分细则</w:t>
            </w:r>
          </w:p>
        </w:tc>
      </w:tr>
      <w:tr w14:paraId="294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122" w:type="dxa"/>
            <w:vAlign w:val="center"/>
          </w:tcPr>
          <w:p w14:paraId="40C7AAC5">
            <w:pPr>
              <w:ind w:right="638" w:rightChars="304"/>
              <w:jc w:val="center"/>
              <w:rPr>
                <w:rFonts w:ascii="仿宋" w:hAnsi="仿宋" w:eastAsia="仿宋" w:cs="仿宋"/>
                <w:kern w:val="0"/>
                <w:szCs w:val="21"/>
              </w:rPr>
            </w:pPr>
            <w:r>
              <w:rPr>
                <w:rFonts w:hint="eastAsia" w:ascii="仿宋" w:hAnsi="仿宋" w:eastAsia="仿宋" w:cs="仿宋"/>
                <w:bCs/>
                <w:kern w:val="0"/>
                <w:szCs w:val="21"/>
              </w:rPr>
              <w:t>分值构成</w:t>
            </w:r>
          </w:p>
        </w:tc>
        <w:tc>
          <w:tcPr>
            <w:tcW w:w="6174" w:type="dxa"/>
            <w:gridSpan w:val="2"/>
            <w:vAlign w:val="center"/>
          </w:tcPr>
          <w:p w14:paraId="46EF236E">
            <w:pPr>
              <w:ind w:right="-31" w:rightChars="-15"/>
              <w:jc w:val="left"/>
              <w:rPr>
                <w:rFonts w:ascii="仿宋" w:hAnsi="仿宋" w:eastAsia="仿宋" w:cs="仿宋"/>
                <w:bCs/>
                <w:kern w:val="0"/>
                <w:szCs w:val="21"/>
              </w:rPr>
            </w:pPr>
            <w:r>
              <w:rPr>
                <w:rFonts w:hint="eastAsia" w:ascii="仿宋" w:hAnsi="仿宋" w:eastAsia="仿宋" w:cs="仿宋"/>
                <w:bCs/>
                <w:kern w:val="0"/>
                <w:szCs w:val="21"/>
              </w:rPr>
              <w:t>报价得分10.0分</w:t>
            </w:r>
          </w:p>
          <w:p w14:paraId="5F2F00F6">
            <w:pPr>
              <w:ind w:right="-31" w:rightChars="-15"/>
              <w:jc w:val="left"/>
              <w:rPr>
                <w:rFonts w:ascii="仿宋" w:hAnsi="仿宋" w:eastAsia="仿宋" w:cs="仿宋"/>
                <w:bCs/>
                <w:kern w:val="0"/>
                <w:szCs w:val="21"/>
              </w:rPr>
            </w:pPr>
            <w:r>
              <w:rPr>
                <w:rFonts w:hint="eastAsia" w:ascii="仿宋" w:hAnsi="仿宋" w:eastAsia="仿宋" w:cs="仿宋"/>
                <w:bCs/>
                <w:kern w:val="0"/>
                <w:szCs w:val="21"/>
              </w:rPr>
              <w:t>商务技术部分</w:t>
            </w:r>
            <w:r>
              <w:rPr>
                <w:rFonts w:ascii="仿宋" w:hAnsi="仿宋" w:eastAsia="仿宋" w:cs="仿宋"/>
                <w:bCs/>
                <w:kern w:val="0"/>
                <w:szCs w:val="21"/>
              </w:rPr>
              <w:t>9</w:t>
            </w:r>
            <w:r>
              <w:rPr>
                <w:rFonts w:hint="eastAsia" w:ascii="仿宋" w:hAnsi="仿宋" w:eastAsia="仿宋" w:cs="仿宋"/>
                <w:bCs/>
                <w:kern w:val="0"/>
                <w:szCs w:val="21"/>
              </w:rPr>
              <w:t>0.0分</w:t>
            </w:r>
          </w:p>
        </w:tc>
      </w:tr>
      <w:tr w14:paraId="3D84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122" w:type="dxa"/>
            <w:vAlign w:val="center"/>
          </w:tcPr>
          <w:p w14:paraId="4CB6981B">
            <w:pPr>
              <w:pStyle w:val="27"/>
              <w:rPr>
                <w:rFonts w:ascii="仿宋" w:hAnsi="仿宋" w:eastAsia="仿宋" w:cs="仿宋"/>
              </w:rPr>
            </w:pPr>
            <w:bookmarkStart w:id="20" w:name="_Hlk199926173"/>
            <w:r>
              <w:rPr>
                <w:rFonts w:hint="eastAsia" w:ascii="仿宋" w:hAnsi="仿宋" w:eastAsia="仿宋" w:cs="仿宋"/>
              </w:rPr>
              <w:t>报价部分（10分）</w:t>
            </w:r>
          </w:p>
        </w:tc>
        <w:tc>
          <w:tcPr>
            <w:tcW w:w="516" w:type="dxa"/>
            <w:vAlign w:val="center"/>
          </w:tcPr>
          <w:p w14:paraId="13F62392">
            <w:pPr>
              <w:pStyle w:val="27"/>
              <w:rPr>
                <w:rFonts w:ascii="仿宋" w:hAnsi="仿宋" w:eastAsia="仿宋" w:cs="仿宋"/>
              </w:rPr>
            </w:pPr>
            <w:r>
              <w:rPr>
                <w:rFonts w:hint="eastAsia" w:ascii="仿宋" w:hAnsi="仿宋" w:eastAsia="仿宋" w:cs="仿宋"/>
              </w:rPr>
              <w:t>10</w:t>
            </w:r>
          </w:p>
        </w:tc>
        <w:tc>
          <w:tcPr>
            <w:tcW w:w="5658" w:type="dxa"/>
            <w:vAlign w:val="center"/>
          </w:tcPr>
          <w:p w14:paraId="64BF50C2">
            <w:pPr>
              <w:pStyle w:val="27"/>
              <w:jc w:val="left"/>
              <w:rPr>
                <w:rFonts w:ascii="仿宋" w:hAnsi="仿宋" w:eastAsia="仿宋" w:cs="仿宋"/>
              </w:rPr>
            </w:pPr>
            <w:r>
              <w:rPr>
                <w:rFonts w:hint="eastAsia" w:ascii="仿宋" w:hAnsi="仿宋" w:eastAsia="仿宋" w:cs="仿宋"/>
              </w:rPr>
              <w:t>满足招标文件要求且投标价格最低的有效投标报价（即除低于成本报价以外的报价）为评标基准价。其他投标人的价格分统一按照下列公式计算：</w:t>
            </w:r>
          </w:p>
          <w:p w14:paraId="1A8A0F93">
            <w:pPr>
              <w:pStyle w:val="27"/>
              <w:jc w:val="left"/>
              <w:rPr>
                <w:rFonts w:hint="eastAsia" w:ascii="仿宋" w:hAnsi="仿宋" w:eastAsia="仿宋" w:cs="仿宋"/>
              </w:rPr>
            </w:pPr>
            <w:r>
              <w:rPr>
                <w:rFonts w:hint="eastAsia" w:ascii="仿宋" w:hAnsi="仿宋" w:eastAsia="仿宋" w:cs="仿宋"/>
              </w:rPr>
              <w:t>投标报价得分=（评标基准价/投标报价）×价格满分分值</w:t>
            </w:r>
          </w:p>
          <w:p w14:paraId="574023FC">
            <w:pPr>
              <w:pStyle w:val="27"/>
              <w:jc w:val="left"/>
              <w:rPr>
                <w:rFonts w:hint="eastAsia" w:ascii="仿宋" w:hAnsi="仿宋" w:eastAsia="仿宋" w:cs="仿宋"/>
              </w:rPr>
            </w:pPr>
            <w:r>
              <w:rPr>
                <w:rFonts w:hint="eastAsia" w:ascii="仿宋" w:hAnsi="仿宋" w:eastAsia="仿宋" w:cs="仿宋"/>
              </w:rPr>
              <w:t>本项目不专门面向中小企业预留采购份额。对于未预留份额专门面向中小企业采购的采购项目，以及预留份额项目中的非预留部分采购包，在满足价格扣除条件且在投标文件中提交了《中小企业声明函》或《残疾人福利性单位声明函》或省级以上监狱管理局、戒毒管理局（含新疆生产建设兵团）出具的属于监狱企业的证明文件的投标人，其投标报价扣除 10 % 后参与评审。对于同时属于小微企业、监狱企业或残疾人福利性单位的，不重复进行投标报价扣除。</w:t>
            </w:r>
          </w:p>
        </w:tc>
      </w:tr>
      <w:bookmarkEnd w:id="20"/>
    </w:tbl>
    <w:tbl>
      <w:tblPr>
        <w:tblStyle w:val="44"/>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6723"/>
        <w:gridCol w:w="651"/>
      </w:tblGrid>
      <w:tr w14:paraId="53E3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61" w:type="pct"/>
            <w:tcBorders>
              <w:top w:val="single" w:color="auto" w:sz="4" w:space="0"/>
              <w:left w:val="single" w:color="auto" w:sz="4" w:space="0"/>
              <w:bottom w:val="single" w:color="auto" w:sz="4" w:space="0"/>
              <w:right w:val="single" w:color="auto" w:sz="4" w:space="0"/>
            </w:tcBorders>
            <w:vAlign w:val="center"/>
          </w:tcPr>
          <w:p w14:paraId="7AFBCD4F">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4047" w:type="pct"/>
            <w:tcBorders>
              <w:top w:val="single" w:color="auto" w:sz="4" w:space="0"/>
              <w:left w:val="single" w:color="auto" w:sz="4" w:space="0"/>
              <w:bottom w:val="single" w:color="auto" w:sz="4" w:space="0"/>
              <w:right w:val="single" w:color="auto" w:sz="4" w:space="0"/>
            </w:tcBorders>
            <w:vAlign w:val="center"/>
          </w:tcPr>
          <w:p w14:paraId="4A007B95">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评审原则</w:t>
            </w:r>
          </w:p>
        </w:tc>
        <w:tc>
          <w:tcPr>
            <w:tcW w:w="391" w:type="pct"/>
            <w:tcBorders>
              <w:top w:val="single" w:color="auto" w:sz="4" w:space="0"/>
              <w:left w:val="single" w:color="auto" w:sz="4" w:space="0"/>
              <w:bottom w:val="single" w:color="auto" w:sz="4" w:space="0"/>
              <w:right w:val="single" w:color="auto" w:sz="4" w:space="0"/>
            </w:tcBorders>
            <w:vAlign w:val="center"/>
          </w:tcPr>
          <w:p w14:paraId="5B100F91">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r>
      <w:tr w14:paraId="1657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1" w:type="pct"/>
            <w:tcBorders>
              <w:top w:val="single" w:color="auto" w:sz="4" w:space="0"/>
              <w:left w:val="single" w:color="auto" w:sz="4" w:space="0"/>
              <w:bottom w:val="single" w:color="auto" w:sz="4" w:space="0"/>
              <w:right w:val="single" w:color="auto" w:sz="4" w:space="0"/>
            </w:tcBorders>
            <w:vAlign w:val="center"/>
          </w:tcPr>
          <w:p w14:paraId="355FE7AD">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投标人业绩</w:t>
            </w:r>
          </w:p>
        </w:tc>
        <w:tc>
          <w:tcPr>
            <w:tcW w:w="4047" w:type="pct"/>
            <w:tcBorders>
              <w:top w:val="single" w:color="auto" w:sz="4" w:space="0"/>
              <w:left w:val="single" w:color="auto" w:sz="4" w:space="0"/>
              <w:bottom w:val="single" w:color="auto" w:sz="4" w:space="0"/>
              <w:right w:val="single" w:color="auto" w:sz="4" w:space="0"/>
            </w:tcBorders>
            <w:vAlign w:val="center"/>
          </w:tcPr>
          <w:p w14:paraId="7C3DC6EE">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投标人提供近3年（2023年1月1日-至今）独立承担的与本项目类似的业绩（倾斜摄影场景数据或城市建筑模型数据建设相关），每提供一项得2分，最多得2分。</w:t>
            </w:r>
          </w:p>
          <w:p w14:paraId="4591AB2E">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备注：业绩证明材料为：中标通知书或合同或质检报告（第三方）。</w:t>
            </w:r>
          </w:p>
        </w:tc>
        <w:tc>
          <w:tcPr>
            <w:tcW w:w="391" w:type="pct"/>
            <w:tcBorders>
              <w:top w:val="single" w:color="auto" w:sz="4" w:space="0"/>
              <w:left w:val="single" w:color="auto" w:sz="4" w:space="0"/>
              <w:bottom w:val="single" w:color="auto" w:sz="4" w:space="0"/>
              <w:right w:val="single" w:color="auto" w:sz="4" w:space="0"/>
            </w:tcBorders>
            <w:vAlign w:val="center"/>
          </w:tcPr>
          <w:p w14:paraId="24A51095">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r>
      <w:tr w14:paraId="7AF0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1" w:type="pct"/>
            <w:tcBorders>
              <w:top w:val="single" w:color="auto" w:sz="4" w:space="0"/>
              <w:left w:val="single" w:color="auto" w:sz="4" w:space="0"/>
              <w:bottom w:val="single" w:color="auto" w:sz="4" w:space="0"/>
              <w:right w:val="single" w:color="auto" w:sz="4" w:space="0"/>
            </w:tcBorders>
            <w:vAlign w:val="center"/>
          </w:tcPr>
          <w:p w14:paraId="4C8CB57D">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企业能力及设备</w:t>
            </w:r>
          </w:p>
        </w:tc>
        <w:tc>
          <w:tcPr>
            <w:tcW w:w="4047" w:type="pct"/>
            <w:tcBorders>
              <w:top w:val="single" w:color="auto" w:sz="4" w:space="0"/>
              <w:left w:val="single" w:color="auto" w:sz="4" w:space="0"/>
              <w:bottom w:val="single" w:color="auto" w:sz="4" w:space="0"/>
              <w:right w:val="single" w:color="auto" w:sz="4" w:space="0"/>
            </w:tcBorders>
            <w:vAlign w:val="center"/>
          </w:tcPr>
          <w:p w14:paraId="061C10EC">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一、（1）投标人具有无人机设备2台及以上得1分；</w:t>
            </w:r>
          </w:p>
          <w:p w14:paraId="18017937">
            <w:p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（2）机载雷达1套及以上得1分；</w:t>
            </w:r>
          </w:p>
          <w:p w14:paraId="744BF2F2">
            <w:p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（3）倾斜摄影镜头1套及以上的得1分；</w:t>
            </w:r>
          </w:p>
          <w:p w14:paraId="6553242F">
            <w:p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本项最高得3分。</w:t>
            </w:r>
          </w:p>
          <w:p w14:paraId="4ADC8940">
            <w:p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注:现有设备的提供以购买发票、或购买租赁合同、或无人机登记证书为准。</w:t>
            </w:r>
          </w:p>
          <w:p w14:paraId="4A0FF3BE">
            <w:pPr>
              <w:numPr>
                <w:ilvl w:val="0"/>
                <w:numId w:val="14"/>
              </w:num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提供本项目使用的GNSS/GPS接收机，每10套得1分，不够10套不得分。此项满分1分。</w:t>
            </w:r>
          </w:p>
          <w:p w14:paraId="4B3D2CCA">
            <w:p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注：需提供购买设备的发票</w:t>
            </w:r>
          </w:p>
          <w:p w14:paraId="418DD483">
            <w:pPr>
              <w:numPr>
                <w:ilvl w:val="0"/>
                <w:numId w:val="14"/>
              </w:num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提供本项目使用的全站仪，每10个得1分，不够10个不得分。此项满分1分。</w:t>
            </w:r>
          </w:p>
          <w:p w14:paraId="148BDD2C">
            <w:p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注：需提供购买设备的发票</w:t>
            </w:r>
          </w:p>
          <w:p w14:paraId="23AF65EE">
            <w:pPr>
              <w:numPr>
                <w:ilvl w:val="0"/>
                <w:numId w:val="14"/>
              </w:num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激光扫描仪，每个得1分，此项满分1分。</w:t>
            </w:r>
          </w:p>
          <w:p w14:paraId="2A2B2EC9">
            <w:p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注：需提供购买设备的发票</w:t>
            </w:r>
          </w:p>
          <w:p w14:paraId="2BEBAAD6">
            <w:pPr>
              <w:spacing w:line="320" w:lineRule="exact"/>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五、提供本项目使用的水准仪，每5个得1分，此项满分1分。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注：需提供购买设备的发票</w:t>
            </w:r>
          </w:p>
          <w:p w14:paraId="4E6ABF25">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六、投标人如具备CGCS2000与乌鲁木齐2000城市坐标系转换服务能力，得5分，否则不得分。</w:t>
            </w:r>
          </w:p>
          <w:p w14:paraId="3DC3C9E7">
            <w:p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注：需提供相关证明材料，若只提供承诺书，不得分。</w:t>
            </w:r>
          </w:p>
          <w:p w14:paraId="5C7C3E7B">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七、投标人具有数字立体测图软件系统1套及以上，得1分，具有测绘数据采集、数据处理等软件工具，提供50套及以上，得1分，最高得2分。</w:t>
            </w:r>
          </w:p>
          <w:p w14:paraId="2EAC7E51">
            <w:p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注：提供购买发票或购买合同证明材料</w:t>
            </w:r>
          </w:p>
        </w:tc>
        <w:tc>
          <w:tcPr>
            <w:tcW w:w="391" w:type="pct"/>
            <w:tcBorders>
              <w:top w:val="single" w:color="auto" w:sz="4" w:space="0"/>
              <w:left w:val="single" w:color="auto" w:sz="4" w:space="0"/>
              <w:bottom w:val="single" w:color="auto" w:sz="4" w:space="0"/>
              <w:right w:val="single" w:color="auto" w:sz="4" w:space="0"/>
            </w:tcBorders>
            <w:vAlign w:val="center"/>
          </w:tcPr>
          <w:p w14:paraId="24020C14">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r>
      <w:tr w14:paraId="35B3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61" w:type="pct"/>
            <w:vMerge w:val="restart"/>
            <w:tcBorders>
              <w:top w:val="single" w:color="auto" w:sz="4" w:space="0"/>
              <w:left w:val="single" w:color="auto" w:sz="4" w:space="0"/>
              <w:right w:val="single" w:color="auto" w:sz="4" w:space="0"/>
            </w:tcBorders>
            <w:vAlign w:val="center"/>
          </w:tcPr>
          <w:p w14:paraId="4301BBB4">
            <w:pPr>
              <w:spacing w:line="3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人员配备（项目现场在岗）</w:t>
            </w:r>
          </w:p>
        </w:tc>
        <w:tc>
          <w:tcPr>
            <w:tcW w:w="4047" w:type="pct"/>
            <w:tcBorders>
              <w:top w:val="single" w:color="auto" w:sz="4" w:space="0"/>
              <w:left w:val="single" w:color="auto" w:sz="4" w:space="0"/>
              <w:bottom w:val="single" w:color="auto" w:sz="4" w:space="0"/>
              <w:right w:val="single" w:color="auto" w:sz="4" w:space="0"/>
            </w:tcBorders>
            <w:vAlign w:val="center"/>
          </w:tcPr>
          <w:p w14:paraId="7C16D67F">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(1)项目负责人：拟投入的项目负责人具有</w:t>
            </w:r>
            <w:r>
              <w:rPr>
                <w:rFonts w:hint="eastAsia" w:ascii="仿宋" w:hAnsi="仿宋" w:eastAsia="仿宋" w:cs="仿宋"/>
                <w:color w:val="auto"/>
                <w:sz w:val="24"/>
                <w:szCs w:val="24"/>
                <w:highlight w:val="none"/>
                <w:lang w:val="zh-CN"/>
              </w:rPr>
              <w:t>测绘</w:t>
            </w:r>
            <w:r>
              <w:rPr>
                <w:rFonts w:hint="eastAsia" w:ascii="仿宋" w:hAnsi="仿宋" w:eastAsia="仿宋" w:cs="仿宋"/>
                <w:color w:val="auto"/>
                <w:sz w:val="24"/>
                <w:szCs w:val="24"/>
                <w:highlight w:val="none"/>
              </w:rPr>
              <w:t>专业正高级工程</w:t>
            </w:r>
            <w:r>
              <w:rPr>
                <w:rFonts w:hint="eastAsia" w:ascii="仿宋" w:hAnsi="仿宋" w:eastAsia="仿宋" w:cs="仿宋"/>
                <w:color w:val="auto"/>
                <w:sz w:val="24"/>
                <w:szCs w:val="24"/>
                <w:highlight w:val="none"/>
                <w:lang w:val="zh-CN"/>
              </w:rPr>
              <w:t>师证书，</w:t>
            </w:r>
            <w:r>
              <w:rPr>
                <w:rFonts w:hint="eastAsia" w:ascii="仿宋" w:hAnsi="仿宋" w:eastAsia="仿宋" w:cs="仿宋"/>
                <w:color w:val="auto"/>
                <w:sz w:val="24"/>
                <w:szCs w:val="24"/>
                <w:highlight w:val="none"/>
              </w:rPr>
              <w:t>得2分。</w:t>
            </w:r>
          </w:p>
          <w:p w14:paraId="0919EE54">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(2)技术负责人具有</w:t>
            </w:r>
            <w:r>
              <w:rPr>
                <w:rFonts w:hint="eastAsia" w:ascii="仿宋" w:hAnsi="仿宋" w:eastAsia="仿宋" w:cs="仿宋"/>
                <w:color w:val="auto"/>
                <w:sz w:val="24"/>
                <w:szCs w:val="24"/>
                <w:highlight w:val="none"/>
                <w:lang w:val="zh-CN"/>
              </w:rPr>
              <w:t>测绘</w:t>
            </w:r>
            <w:r>
              <w:rPr>
                <w:rFonts w:hint="eastAsia" w:ascii="仿宋" w:hAnsi="仿宋" w:eastAsia="仿宋" w:cs="仿宋"/>
                <w:color w:val="auto"/>
                <w:sz w:val="24"/>
                <w:szCs w:val="24"/>
                <w:highlight w:val="none"/>
              </w:rPr>
              <w:t>专业正高级工程</w:t>
            </w:r>
            <w:r>
              <w:rPr>
                <w:rFonts w:hint="eastAsia" w:ascii="仿宋" w:hAnsi="仿宋" w:eastAsia="仿宋" w:cs="仿宋"/>
                <w:color w:val="auto"/>
                <w:sz w:val="24"/>
                <w:szCs w:val="24"/>
                <w:highlight w:val="none"/>
                <w:lang w:val="zh-CN"/>
              </w:rPr>
              <w:t>师证书</w:t>
            </w:r>
            <w:r>
              <w:rPr>
                <w:rFonts w:hint="eastAsia" w:ascii="仿宋" w:hAnsi="仿宋" w:eastAsia="仿宋" w:cs="仿宋"/>
                <w:color w:val="auto"/>
                <w:sz w:val="24"/>
                <w:szCs w:val="24"/>
                <w:highlight w:val="none"/>
              </w:rPr>
              <w:t>，得2分。</w:t>
            </w:r>
          </w:p>
          <w:p w14:paraId="67EA91F0">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(3)质量负责人须具有</w:t>
            </w:r>
            <w:r>
              <w:rPr>
                <w:rFonts w:hint="eastAsia" w:ascii="仿宋" w:hAnsi="仿宋" w:eastAsia="仿宋" w:cs="仿宋"/>
                <w:color w:val="auto"/>
                <w:sz w:val="24"/>
                <w:szCs w:val="24"/>
                <w:highlight w:val="none"/>
                <w:lang w:val="zh-CN"/>
              </w:rPr>
              <w:t>测绘</w:t>
            </w:r>
            <w:r>
              <w:rPr>
                <w:rFonts w:hint="eastAsia" w:ascii="仿宋" w:hAnsi="仿宋" w:eastAsia="仿宋" w:cs="仿宋"/>
                <w:color w:val="auto"/>
                <w:sz w:val="24"/>
                <w:szCs w:val="24"/>
                <w:highlight w:val="none"/>
              </w:rPr>
              <w:t>专业高级工程</w:t>
            </w:r>
            <w:r>
              <w:rPr>
                <w:rFonts w:hint="eastAsia" w:ascii="仿宋" w:hAnsi="仿宋" w:eastAsia="仿宋" w:cs="仿宋"/>
                <w:color w:val="auto"/>
                <w:sz w:val="24"/>
                <w:szCs w:val="24"/>
                <w:highlight w:val="none"/>
                <w:lang w:val="zh-CN"/>
              </w:rPr>
              <w:t>师证书以及</w:t>
            </w:r>
            <w:r>
              <w:rPr>
                <w:rFonts w:hint="eastAsia" w:ascii="仿宋" w:hAnsi="仿宋" w:eastAsia="仿宋" w:cs="仿宋"/>
                <w:color w:val="auto"/>
                <w:sz w:val="24"/>
                <w:szCs w:val="24"/>
                <w:highlight w:val="none"/>
              </w:rPr>
              <w:t>注册测绘师职业资格证书，得2分。</w:t>
            </w:r>
          </w:p>
          <w:p w14:paraId="1C30D00D">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(4)提供具备测绘、土地等相关专业正高级工程师职称证书人员3人，得基本分6分，此外每提供一名具备测绘、土地等相关专业高级工程师职称证书人员，加0.2分，此项最高得10分。</w:t>
            </w:r>
          </w:p>
          <w:p w14:paraId="284BF94E">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(5)具有民航局颁发的民用无人驾驶航空器超视距操控员执照，每一人得1分；此项满分2分。 </w:t>
            </w:r>
          </w:p>
          <w:p w14:paraId="6D55F838">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注:（a）上述人员不得兼任，同一人持有多类别证书的，只能计算1 次得分，响应文件中同时提供以下证明材料：人员名单需注明上述资格并标注具体工作岗位。</w:t>
            </w:r>
          </w:p>
          <w:p w14:paraId="18790447">
            <w:pPr>
              <w:spacing w:line="32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（b）证明材料提供人员身份证、职称证书或资格证书等、以及连续近12个月投标单位社会保险缴纳证明复印件加盖公章，否则不得分。</w:t>
            </w:r>
          </w:p>
        </w:tc>
        <w:tc>
          <w:tcPr>
            <w:tcW w:w="391" w:type="pct"/>
            <w:tcBorders>
              <w:top w:val="single" w:color="auto" w:sz="4" w:space="0"/>
              <w:left w:val="single" w:color="auto" w:sz="4" w:space="0"/>
              <w:bottom w:val="single" w:color="auto" w:sz="4" w:space="0"/>
              <w:right w:val="single" w:color="auto" w:sz="4" w:space="0"/>
            </w:tcBorders>
            <w:vAlign w:val="center"/>
          </w:tcPr>
          <w:p w14:paraId="71B7A3CF">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r>
      <w:tr w14:paraId="7EA5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61" w:type="pct"/>
            <w:vMerge w:val="continue"/>
            <w:tcBorders>
              <w:left w:val="single" w:color="auto" w:sz="4" w:space="0"/>
              <w:bottom w:val="single" w:color="auto" w:sz="4" w:space="0"/>
              <w:right w:val="single" w:color="auto" w:sz="4" w:space="0"/>
            </w:tcBorders>
            <w:vAlign w:val="center"/>
          </w:tcPr>
          <w:p w14:paraId="3FA18B79">
            <w:pPr>
              <w:spacing w:line="320" w:lineRule="exact"/>
              <w:jc w:val="center"/>
              <w:rPr>
                <w:rFonts w:hint="eastAsia" w:ascii="仿宋" w:hAnsi="仿宋" w:eastAsia="仿宋" w:cs="仿宋"/>
                <w:color w:val="auto"/>
                <w:kern w:val="0"/>
                <w:sz w:val="24"/>
                <w:szCs w:val="24"/>
                <w:highlight w:val="none"/>
              </w:rPr>
            </w:pPr>
          </w:p>
        </w:tc>
        <w:tc>
          <w:tcPr>
            <w:tcW w:w="4047" w:type="pct"/>
            <w:tcBorders>
              <w:top w:val="single" w:color="auto" w:sz="4" w:space="0"/>
              <w:left w:val="single" w:color="auto" w:sz="4" w:space="0"/>
              <w:bottom w:val="single" w:color="auto" w:sz="4" w:space="0"/>
              <w:right w:val="single" w:color="auto" w:sz="4" w:space="0"/>
            </w:tcBorders>
            <w:vAlign w:val="center"/>
          </w:tcPr>
          <w:p w14:paraId="4A0613B4">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具有保密教育实训证书，每人0.5分，此项满分4分。(须由各级国家保密局颁发)</w:t>
            </w:r>
          </w:p>
        </w:tc>
        <w:tc>
          <w:tcPr>
            <w:tcW w:w="391" w:type="pct"/>
            <w:tcBorders>
              <w:top w:val="single" w:color="auto" w:sz="4" w:space="0"/>
              <w:left w:val="single" w:color="auto" w:sz="4" w:space="0"/>
              <w:bottom w:val="single" w:color="auto" w:sz="4" w:space="0"/>
              <w:right w:val="single" w:color="auto" w:sz="4" w:space="0"/>
            </w:tcBorders>
            <w:vAlign w:val="center"/>
          </w:tcPr>
          <w:p w14:paraId="5FDC374E">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r>
      <w:tr w14:paraId="7115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61" w:type="pct"/>
            <w:tcBorders>
              <w:top w:val="single" w:color="auto" w:sz="4" w:space="0"/>
              <w:left w:val="single" w:color="auto" w:sz="4" w:space="0"/>
              <w:bottom w:val="single" w:color="auto" w:sz="4" w:space="0"/>
              <w:right w:val="single" w:color="auto" w:sz="4" w:space="0"/>
            </w:tcBorders>
            <w:vAlign w:val="center"/>
          </w:tcPr>
          <w:p w14:paraId="4F754F4B">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对项目的</w:t>
            </w:r>
          </w:p>
          <w:p w14:paraId="0E42DC0F">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解读与理</w:t>
            </w:r>
          </w:p>
          <w:p w14:paraId="75A12BC8">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w:t>
            </w:r>
          </w:p>
        </w:tc>
        <w:tc>
          <w:tcPr>
            <w:tcW w:w="4047" w:type="pct"/>
            <w:tcBorders>
              <w:top w:val="single" w:color="auto" w:sz="4" w:space="0"/>
              <w:left w:val="single" w:color="auto" w:sz="4" w:space="0"/>
              <w:bottom w:val="single" w:color="auto" w:sz="4" w:space="0"/>
              <w:right w:val="single" w:color="auto" w:sz="4" w:space="0"/>
            </w:tcBorders>
            <w:vAlign w:val="center"/>
          </w:tcPr>
          <w:p w14:paraId="7851A0E7">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针对对项目需求的理解程度进行评审，方案内容至少包含：①项目背景；②项目目标任务；③内容理解；④需求分析；</w:t>
            </w:r>
          </w:p>
          <w:p w14:paraId="7EF8E8B5">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上述4项每项内容完整，专业性较强、且具有针对性的，得12分；每缺一项内容扣3分；每有一项内容不完整（或未能满足采购需求或逻辑性不强或无针对性等）的，扣1分，扣完为止。</w:t>
            </w:r>
          </w:p>
        </w:tc>
        <w:tc>
          <w:tcPr>
            <w:tcW w:w="391" w:type="pct"/>
            <w:tcBorders>
              <w:top w:val="single" w:color="auto" w:sz="4" w:space="0"/>
              <w:left w:val="single" w:color="auto" w:sz="4" w:space="0"/>
              <w:bottom w:val="single" w:color="auto" w:sz="4" w:space="0"/>
              <w:right w:val="single" w:color="auto" w:sz="4" w:space="0"/>
            </w:tcBorders>
            <w:vAlign w:val="center"/>
          </w:tcPr>
          <w:p w14:paraId="7E0F7C85">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r>
      <w:tr w14:paraId="4B0D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1" w:type="pct"/>
            <w:tcBorders>
              <w:top w:val="single" w:color="auto" w:sz="4" w:space="0"/>
              <w:left w:val="single" w:color="auto" w:sz="4" w:space="0"/>
              <w:right w:val="single" w:color="auto" w:sz="4" w:space="0"/>
            </w:tcBorders>
            <w:vAlign w:val="center"/>
          </w:tcPr>
          <w:p w14:paraId="07559B7E">
            <w:pPr>
              <w:spacing w:line="320" w:lineRule="exact"/>
              <w:ind w:right="-189" w:rightChars="-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服务实施</w:t>
            </w:r>
          </w:p>
          <w:p w14:paraId="3EC1436C">
            <w:pPr>
              <w:spacing w:line="320" w:lineRule="exact"/>
              <w:ind w:right="-189" w:rightChars="-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w:t>
            </w:r>
          </w:p>
        </w:tc>
        <w:tc>
          <w:tcPr>
            <w:tcW w:w="4047" w:type="pct"/>
            <w:tcBorders>
              <w:top w:val="single" w:color="auto" w:sz="4" w:space="0"/>
              <w:left w:val="single" w:color="auto" w:sz="4" w:space="0"/>
              <w:bottom w:val="single" w:color="auto" w:sz="4" w:space="0"/>
              <w:right w:val="single" w:color="auto" w:sz="4" w:space="0"/>
            </w:tcBorders>
            <w:vAlign w:val="center"/>
          </w:tcPr>
          <w:p w14:paraId="6A0BCC9A">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针对本项目提供服务方案包括但不限于以下内容：①倾斜摄影测量数据获取；②像控点布设联测；③倾斜摄影场景数据构建与修饰；④城市模型构建；⑤新型基础测绘数据产品成果构建；⑥质量控制方案。</w:t>
            </w:r>
          </w:p>
          <w:p w14:paraId="33DFB586">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内容提供齐全且符合本项目实际情况能完全满足或优于本项目采购需求的得24分；内容缺一项的扣4分，每有一项内容不完整（或未能满足采购需求或逻辑性不强或无针对性或存在缺陷瑕疵等）扣2分，扣完为止。</w:t>
            </w:r>
          </w:p>
        </w:tc>
        <w:tc>
          <w:tcPr>
            <w:tcW w:w="391" w:type="pct"/>
            <w:tcBorders>
              <w:top w:val="single" w:color="auto" w:sz="4" w:space="0"/>
              <w:left w:val="single" w:color="auto" w:sz="4" w:space="0"/>
              <w:bottom w:val="single" w:color="auto" w:sz="4" w:space="0"/>
              <w:right w:val="single" w:color="auto" w:sz="4" w:space="0"/>
            </w:tcBorders>
            <w:vAlign w:val="center"/>
          </w:tcPr>
          <w:p w14:paraId="3170DDB8">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r>
      <w:tr w14:paraId="4248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61" w:type="pct"/>
            <w:tcBorders>
              <w:left w:val="single" w:color="auto" w:sz="4" w:space="0"/>
              <w:bottom w:val="single" w:color="auto" w:sz="4" w:space="0"/>
              <w:right w:val="single" w:color="auto" w:sz="4" w:space="0"/>
            </w:tcBorders>
            <w:vAlign w:val="center"/>
          </w:tcPr>
          <w:p w14:paraId="7C26C607">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质量及进度保障措施</w:t>
            </w:r>
          </w:p>
        </w:tc>
        <w:tc>
          <w:tcPr>
            <w:tcW w:w="4047" w:type="pct"/>
            <w:tcBorders>
              <w:top w:val="single" w:color="auto" w:sz="4" w:space="0"/>
              <w:left w:val="single" w:color="auto" w:sz="4" w:space="0"/>
              <w:bottom w:val="single" w:color="auto" w:sz="4" w:space="0"/>
              <w:right w:val="single" w:color="auto" w:sz="4" w:space="0"/>
            </w:tcBorders>
            <w:vAlign w:val="center"/>
          </w:tcPr>
          <w:p w14:paraId="1C85BD38">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应针对本项目质量内容明确、针对合同履行期限，拟定了进度计划：①具有管理控制措施；②项目质量和进度保障。</w:t>
            </w:r>
          </w:p>
          <w:p w14:paraId="36037F66">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上述2项每项内容完整，专业性较强、且具有针对性的，得10分；每缺一项内容，扣5分；每有一项内容不完整（或未能满足采购需求或逻辑性不强或无针对性等）的，扣2分，扣完为止。</w:t>
            </w:r>
          </w:p>
        </w:tc>
        <w:tc>
          <w:tcPr>
            <w:tcW w:w="391" w:type="pct"/>
            <w:tcBorders>
              <w:top w:val="single" w:color="auto" w:sz="4" w:space="0"/>
              <w:left w:val="single" w:color="auto" w:sz="4" w:space="0"/>
              <w:bottom w:val="single" w:color="auto" w:sz="4" w:space="0"/>
              <w:right w:val="single" w:color="auto" w:sz="4" w:space="0"/>
            </w:tcBorders>
            <w:vAlign w:val="center"/>
          </w:tcPr>
          <w:p w14:paraId="44300488">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2F89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561" w:type="pct"/>
            <w:tcBorders>
              <w:top w:val="single" w:color="auto" w:sz="4" w:space="0"/>
              <w:left w:val="single" w:color="auto" w:sz="4" w:space="0"/>
              <w:bottom w:val="single" w:color="auto" w:sz="4" w:space="0"/>
              <w:right w:val="single" w:color="auto" w:sz="4" w:space="0"/>
            </w:tcBorders>
            <w:vAlign w:val="center"/>
          </w:tcPr>
          <w:p w14:paraId="5BB2121D">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保密制度</w:t>
            </w:r>
          </w:p>
          <w:p w14:paraId="1E460439">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和措施</w:t>
            </w:r>
          </w:p>
        </w:tc>
        <w:tc>
          <w:tcPr>
            <w:tcW w:w="4047" w:type="pct"/>
            <w:tcBorders>
              <w:top w:val="single" w:color="auto" w:sz="4" w:space="0"/>
              <w:left w:val="single" w:color="auto" w:sz="4" w:space="0"/>
              <w:bottom w:val="single" w:color="auto" w:sz="4" w:space="0"/>
              <w:right w:val="single" w:color="auto" w:sz="4" w:space="0"/>
            </w:tcBorders>
            <w:vAlign w:val="center"/>
          </w:tcPr>
          <w:p w14:paraId="41D4547E">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具有完善的国家法律法规规定的保密制度和措施，全面保证采购人信息不泄密，并提供保密承诺及相应制度措施。</w:t>
            </w:r>
          </w:p>
          <w:p w14:paraId="4A181D22">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①保密组织机构及责任制健全；②日常保密管理措施健全；③保密检查工作完善且合理。</w:t>
            </w:r>
          </w:p>
          <w:p w14:paraId="483DD9FD">
            <w:pPr>
              <w:spacing w:line="3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上述3项每项内容完整，措施完善、健全、合理的，得6分；每缺一项内容，扣2分；每有一项内容不完整（或内容不完整，措施不完善、不健全、不合理的等）的，扣1分，扣完为止。</w:t>
            </w:r>
          </w:p>
        </w:tc>
        <w:tc>
          <w:tcPr>
            <w:tcW w:w="391" w:type="pct"/>
            <w:tcBorders>
              <w:top w:val="single" w:color="auto" w:sz="4" w:space="0"/>
              <w:left w:val="single" w:color="auto" w:sz="4" w:space="0"/>
              <w:bottom w:val="single" w:color="auto" w:sz="4" w:space="0"/>
              <w:right w:val="single" w:color="auto" w:sz="4" w:space="0"/>
            </w:tcBorders>
            <w:vAlign w:val="center"/>
          </w:tcPr>
          <w:p w14:paraId="4E7450D2">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r>
      <w:tr w14:paraId="7BEA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608" w:type="pct"/>
            <w:gridSpan w:val="2"/>
            <w:tcBorders>
              <w:top w:val="single" w:color="auto" w:sz="4" w:space="0"/>
              <w:left w:val="single" w:color="auto" w:sz="4" w:space="0"/>
              <w:bottom w:val="single" w:color="auto" w:sz="4" w:space="0"/>
              <w:right w:val="single" w:color="auto" w:sz="4" w:space="0"/>
            </w:tcBorders>
            <w:vAlign w:val="center"/>
          </w:tcPr>
          <w:p w14:paraId="0FEAEAA0">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得分合计</w:t>
            </w:r>
          </w:p>
        </w:tc>
        <w:tc>
          <w:tcPr>
            <w:tcW w:w="391" w:type="pct"/>
            <w:tcBorders>
              <w:top w:val="single" w:color="auto" w:sz="4" w:space="0"/>
              <w:left w:val="single" w:color="auto" w:sz="4" w:space="0"/>
              <w:bottom w:val="single" w:color="auto" w:sz="4" w:space="0"/>
              <w:right w:val="single" w:color="auto" w:sz="4" w:space="0"/>
            </w:tcBorders>
            <w:vAlign w:val="center"/>
          </w:tcPr>
          <w:p w14:paraId="303F4273">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90</w:t>
            </w:r>
          </w:p>
        </w:tc>
      </w:tr>
      <w:tr w14:paraId="0F9F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D14EA8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备注：1、评委应认真了解本招标文件和工程有关情况后，做出须自己负责的评审。</w:t>
            </w:r>
          </w:p>
          <w:p w14:paraId="301585E7">
            <w:pPr>
              <w:spacing w:line="320" w:lineRule="exact"/>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2、评审标准满分为90分。</w:t>
            </w:r>
          </w:p>
        </w:tc>
      </w:tr>
    </w:tbl>
    <w:p w14:paraId="52ED537E">
      <w:pPr>
        <w:numPr>
          <w:ilvl w:val="1"/>
          <w:numId w:val="13"/>
        </w:numPr>
        <w:spacing w:line="500" w:lineRule="exact"/>
        <w:rPr>
          <w:rFonts w:ascii="仿宋" w:hAnsi="仿宋" w:eastAsia="仿宋" w:cs="仿宋"/>
          <w:sz w:val="24"/>
        </w:rPr>
      </w:pPr>
      <w:r>
        <w:rPr>
          <w:rFonts w:hint="eastAsia" w:ascii="仿宋" w:hAnsi="仿宋" w:eastAsia="仿宋" w:cs="仿宋"/>
          <w:sz w:val="24"/>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75A8EAB4">
      <w:pPr>
        <w:numPr>
          <w:ilvl w:val="1"/>
          <w:numId w:val="13"/>
        </w:numPr>
        <w:spacing w:line="500" w:lineRule="exact"/>
        <w:rPr>
          <w:rFonts w:ascii="仿宋" w:hAnsi="仿宋" w:eastAsia="仿宋" w:cs="仿宋"/>
          <w:sz w:val="24"/>
        </w:rPr>
      </w:pPr>
      <w:r>
        <w:rPr>
          <w:rFonts w:hint="eastAsia" w:ascii="仿宋" w:hAnsi="仿宋" w:eastAsia="仿宋" w:cs="仿宋"/>
          <w:sz w:val="24"/>
        </w:rPr>
        <w:t>落实中小企业政府采购政策的价格调整：</w:t>
      </w:r>
    </w:p>
    <w:p w14:paraId="6C40E4BD">
      <w:pPr>
        <w:numPr>
          <w:ilvl w:val="2"/>
          <w:numId w:val="13"/>
        </w:numPr>
        <w:spacing w:line="500" w:lineRule="exact"/>
        <w:rPr>
          <w:rFonts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sz w:val="24"/>
          <w:u w:val="single"/>
        </w:rPr>
        <w:t xml:space="preserve"> 10 % </w:t>
      </w:r>
      <w:r>
        <w:rPr>
          <w:rFonts w:hint="eastAsia" w:ascii="仿宋" w:hAnsi="仿宋" w:eastAsia="仿宋" w:cs="仿宋"/>
          <w:sz w:val="24"/>
        </w:rPr>
        <w:t>后参与评审。对于同时属于小微企业、监狱企业或残疾人福利性单位的，不重复进行投标报价扣除。</w:t>
      </w:r>
    </w:p>
    <w:p w14:paraId="10940F7D">
      <w:pPr>
        <w:numPr>
          <w:ilvl w:val="2"/>
          <w:numId w:val="13"/>
        </w:numPr>
        <w:spacing w:line="500" w:lineRule="exact"/>
        <w:rPr>
          <w:rFonts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sz w:val="24"/>
          <w:u w:val="single"/>
        </w:rPr>
        <w:t xml:space="preserve"> 30 %</w:t>
      </w:r>
      <w:r>
        <w:rPr>
          <w:rFonts w:hint="eastAsia" w:ascii="仿宋" w:hAnsi="仿宋" w:eastAsia="仿宋" w:cs="仿宋"/>
          <w:sz w:val="24"/>
        </w:rPr>
        <w:t>以上的联合体或者大中型企业的报价给予</w:t>
      </w:r>
      <w:r>
        <w:rPr>
          <w:rFonts w:hint="eastAsia" w:ascii="仿宋" w:hAnsi="仿宋" w:eastAsia="仿宋" w:cs="仿宋"/>
          <w:sz w:val="24"/>
          <w:u w:val="single"/>
        </w:rPr>
        <w:t xml:space="preserve"> 4% </w:t>
      </w:r>
      <w:r>
        <w:rPr>
          <w:rFonts w:hint="eastAsia" w:ascii="仿宋" w:hAnsi="仿宋" w:eastAsia="仿宋" w:cs="仿宋"/>
          <w:sz w:val="24"/>
        </w:rPr>
        <w:t>的扣除，用扣除后的价格参加评审。</w:t>
      </w:r>
    </w:p>
    <w:p w14:paraId="1B22E662">
      <w:pPr>
        <w:numPr>
          <w:ilvl w:val="2"/>
          <w:numId w:val="13"/>
        </w:numPr>
        <w:spacing w:line="500" w:lineRule="exact"/>
        <w:rPr>
          <w:rFonts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24ED0B61">
      <w:pPr>
        <w:numPr>
          <w:ilvl w:val="2"/>
          <w:numId w:val="13"/>
        </w:numPr>
        <w:spacing w:line="500" w:lineRule="exact"/>
        <w:rPr>
          <w:rFonts w:ascii="仿宋" w:hAnsi="仿宋" w:eastAsia="仿宋" w:cs="仿宋"/>
          <w:sz w:val="24"/>
        </w:rPr>
      </w:pPr>
      <w:r>
        <w:rPr>
          <w:rFonts w:hint="eastAsia" w:ascii="仿宋" w:hAnsi="仿宋" w:eastAsia="仿宋" w:cs="仿宋"/>
          <w:sz w:val="24"/>
        </w:rPr>
        <w:t>价格扣除比例对小型企业和微型企业同等对待，不作区分。</w:t>
      </w:r>
    </w:p>
    <w:p w14:paraId="34DA508C">
      <w:pPr>
        <w:numPr>
          <w:ilvl w:val="2"/>
          <w:numId w:val="13"/>
        </w:numPr>
        <w:spacing w:line="500" w:lineRule="exact"/>
        <w:rPr>
          <w:rFonts w:ascii="仿宋" w:hAnsi="仿宋" w:eastAsia="仿宋" w:cs="仿宋"/>
          <w:sz w:val="24"/>
        </w:rPr>
      </w:pPr>
      <w:r>
        <w:rPr>
          <w:rFonts w:hint="eastAsia" w:ascii="仿宋" w:hAnsi="仿宋" w:eastAsia="仿宋" w:cs="仿宋"/>
          <w:sz w:val="24"/>
        </w:rPr>
        <w:t>中小企业参加政府采购活动，应当按照招标文件给定的格式出具《中小企业声明函》，否则不得享受相关中小企业扶持政策。</w:t>
      </w:r>
    </w:p>
    <w:p w14:paraId="3650C933">
      <w:pPr>
        <w:numPr>
          <w:ilvl w:val="2"/>
          <w:numId w:val="13"/>
        </w:numPr>
        <w:spacing w:line="500" w:lineRule="exact"/>
        <w:rPr>
          <w:rFonts w:ascii="仿宋" w:hAnsi="仿宋" w:eastAsia="仿宋" w:cs="仿宋"/>
          <w:sz w:val="24"/>
        </w:rPr>
      </w:pPr>
      <w:r>
        <w:rPr>
          <w:rFonts w:hint="eastAsia" w:ascii="仿宋" w:hAnsi="仿宋" w:eastAsia="仿宋" w:cs="仿宋"/>
          <w:sz w:val="24"/>
        </w:rPr>
        <w:t>监狱企业提供了由省级以上监狱管理局、戒毒管理局（含新疆生产建设兵团）出具的属于监狱企业的证明文件的，视同小微企业。</w:t>
      </w:r>
    </w:p>
    <w:p w14:paraId="54438829">
      <w:pPr>
        <w:numPr>
          <w:ilvl w:val="2"/>
          <w:numId w:val="13"/>
        </w:numPr>
        <w:spacing w:line="500" w:lineRule="exact"/>
        <w:rPr>
          <w:rFonts w:ascii="仿宋" w:hAnsi="仿宋" w:eastAsia="仿宋" w:cs="仿宋"/>
          <w:sz w:val="24"/>
        </w:rPr>
      </w:pPr>
      <w:r>
        <w:rPr>
          <w:rFonts w:hint="eastAsia" w:ascii="仿宋" w:hAnsi="仿宋" w:eastAsia="仿宋" w:cs="仿宋"/>
          <w:sz w:val="24"/>
        </w:rPr>
        <w:t>残疾人福利性单位按招标文件要求提供了《残疾人福利性单位声明函》（见附件）的，视同小微企业。</w:t>
      </w:r>
    </w:p>
    <w:p w14:paraId="3DCB768B">
      <w:pPr>
        <w:numPr>
          <w:ilvl w:val="2"/>
          <w:numId w:val="13"/>
        </w:numPr>
        <w:spacing w:line="500" w:lineRule="exact"/>
        <w:rPr>
          <w:rFonts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418F90AE">
      <w:pPr>
        <w:numPr>
          <w:ilvl w:val="1"/>
          <w:numId w:val="13"/>
        </w:numPr>
        <w:spacing w:line="500" w:lineRule="exact"/>
        <w:rPr>
          <w:rFonts w:ascii="仿宋" w:hAnsi="仿宋" w:eastAsia="仿宋" w:cs="仿宋"/>
          <w:sz w:val="24"/>
          <w:u w:val="single"/>
        </w:rPr>
      </w:pPr>
      <w:r>
        <w:rPr>
          <w:rFonts w:hint="eastAsia" w:ascii="仿宋" w:hAnsi="仿宋" w:eastAsia="仿宋" w:cs="仿宋"/>
          <w:sz w:val="24"/>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sz w:val="24"/>
          <w:u w:val="single"/>
        </w:rPr>
        <w:t>综合得分相同时排名优先。</w:t>
      </w:r>
    </w:p>
    <w:p w14:paraId="3BAE496A">
      <w:pPr>
        <w:numPr>
          <w:ilvl w:val="1"/>
          <w:numId w:val="13"/>
        </w:numPr>
        <w:spacing w:line="500" w:lineRule="exact"/>
        <w:rPr>
          <w:rFonts w:ascii="仿宋" w:hAnsi="仿宋" w:eastAsia="仿宋" w:cs="仿宋"/>
          <w:sz w:val="24"/>
          <w:u w:val="single"/>
        </w:rPr>
      </w:pPr>
      <w:r>
        <w:rPr>
          <w:rFonts w:hint="eastAsia" w:ascii="仿宋" w:hAnsi="仿宋" w:eastAsia="仿宋" w:cs="仿宋"/>
          <w:sz w:val="24"/>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rPr>
        <w:t>无效投标</w:t>
      </w:r>
      <w:r>
        <w:rPr>
          <w:rFonts w:hint="eastAsia" w:ascii="仿宋" w:hAnsi="仿宋" w:eastAsia="仿宋" w:cs="仿宋"/>
          <w:sz w:val="24"/>
        </w:rPr>
        <w:t>被拒绝。</w:t>
      </w:r>
    </w:p>
    <w:p w14:paraId="2843380F">
      <w:pPr>
        <w:numPr>
          <w:ilvl w:val="1"/>
          <w:numId w:val="13"/>
        </w:numPr>
        <w:spacing w:line="500" w:lineRule="exact"/>
        <w:rPr>
          <w:rFonts w:ascii="仿宋" w:hAnsi="仿宋" w:eastAsia="仿宋" w:cs="仿宋"/>
          <w:sz w:val="24"/>
        </w:rPr>
      </w:pPr>
      <w:r>
        <w:rPr>
          <w:rFonts w:hint="eastAsia" w:ascii="仿宋" w:hAnsi="仿宋" w:eastAsia="仿宋" w:cs="仿宋"/>
          <w:sz w:val="24"/>
        </w:rPr>
        <w:t>投标人所投产品列入无线局域网产品清单，应提供相关证明，在评标时予以优先采购，具体优惠措施为：</w:t>
      </w:r>
      <w:r>
        <w:rPr>
          <w:rFonts w:hint="eastAsia" w:ascii="仿宋" w:hAnsi="仿宋" w:eastAsia="仿宋" w:cs="仿宋"/>
          <w:sz w:val="24"/>
          <w:u w:val="single"/>
        </w:rPr>
        <w:t>综合得分相同时排名优先 。</w:t>
      </w:r>
    </w:p>
    <w:p w14:paraId="35CA550B">
      <w:pPr>
        <w:numPr>
          <w:ilvl w:val="1"/>
          <w:numId w:val="13"/>
        </w:numPr>
        <w:spacing w:line="500" w:lineRule="exact"/>
        <w:rPr>
          <w:rFonts w:ascii="仿宋" w:hAnsi="仿宋" w:eastAsia="仿宋" w:cs="仿宋"/>
          <w:sz w:val="24"/>
        </w:rPr>
      </w:pPr>
      <w:r>
        <w:rPr>
          <w:rFonts w:hint="eastAsia" w:ascii="仿宋" w:hAnsi="仿宋" w:eastAsia="仿宋" w:cs="仿宋"/>
          <w:sz w:val="24"/>
        </w:rPr>
        <w:t>确定中标候选人名单</w:t>
      </w:r>
    </w:p>
    <w:p w14:paraId="2E2D4650">
      <w:pPr>
        <w:numPr>
          <w:ilvl w:val="2"/>
          <w:numId w:val="13"/>
        </w:numPr>
        <w:spacing w:line="500" w:lineRule="exact"/>
        <w:rPr>
          <w:rFonts w:ascii="仿宋" w:hAnsi="仿宋" w:eastAsia="仿宋" w:cs="仿宋"/>
          <w:sz w:val="24"/>
        </w:rPr>
      </w:pPr>
      <w:r>
        <w:rPr>
          <w:rFonts w:hint="eastAsia" w:ascii="仿宋" w:hAnsi="仿宋" w:eastAsia="仿宋" w:cs="仿宋"/>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9EF3133">
      <w:pPr>
        <w:numPr>
          <w:ilvl w:val="2"/>
          <w:numId w:val="13"/>
        </w:numPr>
        <w:spacing w:line="500" w:lineRule="exact"/>
        <w:rPr>
          <w:rFonts w:ascii="仿宋" w:hAnsi="仿宋" w:eastAsia="仿宋" w:cs="仿宋"/>
          <w:sz w:val="24"/>
        </w:rPr>
      </w:pPr>
      <w:r>
        <w:rPr>
          <w:rFonts w:hint="eastAsia" w:ascii="仿宋" w:hAnsi="仿宋" w:eastAsia="仿宋" w:cs="仿宋"/>
          <w:sz w:val="24"/>
        </w:rPr>
        <w:t>采用最低评标价法的，评标结果按投标报价由低到高顺序排列。投标报价相同的并列。投标文件满足招标文件全部实质性要求且投标报价最低的投标人为排名第一的中标候选人。</w:t>
      </w:r>
    </w:p>
    <w:p w14:paraId="083F259B">
      <w:pPr>
        <w:numPr>
          <w:ilvl w:val="2"/>
          <w:numId w:val="13"/>
        </w:numPr>
        <w:spacing w:line="500" w:lineRule="exact"/>
        <w:rPr>
          <w:rFonts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799267FF">
      <w:pPr>
        <w:numPr>
          <w:ilvl w:val="2"/>
          <w:numId w:val="13"/>
        </w:numPr>
        <w:spacing w:line="500" w:lineRule="exact"/>
        <w:rPr>
          <w:rFonts w:ascii="仿宋" w:hAnsi="仿宋" w:eastAsia="仿宋" w:cs="仿宋"/>
          <w:sz w:val="24"/>
        </w:rPr>
      </w:pPr>
      <w:r>
        <w:rPr>
          <w:rFonts w:hint="eastAsia" w:ascii="仿宋" w:hAnsi="仿宋" w:eastAsia="仿宋" w:cs="仿宋"/>
          <w:sz w:val="24"/>
        </w:rPr>
        <w:t>评标委员会将根据各投标人的评标排序，依次推荐本项目（各采购包/标项）的中标候选人，起草并签署评标报告。</w:t>
      </w:r>
    </w:p>
    <w:p w14:paraId="00ACA6CA">
      <w:pPr>
        <w:rPr>
          <w:rFonts w:ascii="仿宋" w:hAnsi="仿宋" w:eastAsia="仿宋" w:cs="仿宋"/>
          <w:sz w:val="24"/>
        </w:rPr>
      </w:pPr>
      <w:r>
        <w:rPr>
          <w:rFonts w:hint="eastAsia" w:ascii="仿宋" w:hAnsi="仿宋" w:eastAsia="仿宋" w:cs="仿宋"/>
          <w:sz w:val="24"/>
        </w:rPr>
        <w:br w:type="page"/>
      </w:r>
    </w:p>
    <w:p w14:paraId="7A873E50">
      <w:pPr>
        <w:pStyle w:val="2"/>
        <w:rPr>
          <w:rFonts w:cs="仿宋"/>
        </w:rPr>
      </w:pPr>
      <w:bookmarkStart w:id="21" w:name="_Toc155630093"/>
      <w:r>
        <w:rPr>
          <w:rFonts w:hint="eastAsia" w:cs="仿宋"/>
        </w:rPr>
        <w:t>投标文件格式</w:t>
      </w:r>
      <w:bookmarkEnd w:id="21"/>
    </w:p>
    <w:p w14:paraId="316E8657">
      <w:pPr>
        <w:spacing w:line="500" w:lineRule="exact"/>
        <w:rPr>
          <w:rFonts w:ascii="仿宋" w:hAnsi="仿宋" w:eastAsia="仿宋" w:cs="仿宋"/>
          <w:sz w:val="24"/>
        </w:rPr>
      </w:pPr>
    </w:p>
    <w:p w14:paraId="78247F9C">
      <w:pPr>
        <w:spacing w:line="500" w:lineRule="exact"/>
        <w:rPr>
          <w:rFonts w:ascii="仿宋" w:hAnsi="仿宋" w:eastAsia="仿宋" w:cs="仿宋"/>
          <w:b/>
          <w:bCs/>
          <w:sz w:val="24"/>
        </w:rPr>
      </w:pPr>
      <w:r>
        <w:rPr>
          <w:rFonts w:hint="eastAsia" w:ascii="仿宋" w:hAnsi="仿宋" w:eastAsia="仿宋" w:cs="仿宋"/>
          <w:b/>
          <w:bCs/>
          <w:sz w:val="24"/>
        </w:rPr>
        <w:t>投标人编制文件须知</w:t>
      </w:r>
    </w:p>
    <w:p w14:paraId="2B4072DE">
      <w:pPr>
        <w:numPr>
          <w:ilvl w:val="0"/>
          <w:numId w:val="15"/>
        </w:numPr>
        <w:spacing w:line="500" w:lineRule="exact"/>
        <w:rPr>
          <w:rFonts w:ascii="仿宋" w:hAnsi="仿宋" w:eastAsia="仿宋" w:cs="仿宋"/>
          <w:sz w:val="24"/>
        </w:rPr>
      </w:pPr>
      <w:r>
        <w:rPr>
          <w:rFonts w:hint="eastAsia" w:ascii="仿宋" w:hAnsi="仿宋" w:eastAsia="仿宋" w:cs="仿宋"/>
          <w:sz w:val="24"/>
        </w:rPr>
        <w:t>为保证评标工作的顺利进行，各投标人需参照如下的格式，认真进行投标文件的编写工作。需建立详细的目录。</w:t>
      </w:r>
    </w:p>
    <w:p w14:paraId="62837767">
      <w:pPr>
        <w:numPr>
          <w:ilvl w:val="0"/>
          <w:numId w:val="15"/>
        </w:numPr>
        <w:spacing w:line="500" w:lineRule="exact"/>
        <w:rPr>
          <w:rFonts w:ascii="仿宋" w:hAnsi="仿宋" w:eastAsia="仿宋" w:cs="仿宋"/>
          <w:sz w:val="24"/>
        </w:rPr>
      </w:pPr>
      <w:r>
        <w:rPr>
          <w:rFonts w:hint="eastAsia" w:ascii="仿宋" w:hAnsi="仿宋" w:eastAsia="仿宋" w:cs="仿宋"/>
          <w:sz w:val="24"/>
        </w:rPr>
        <w:t>各投标人提交文件中涉及商业机密的，应明确标明，采购人及最终用户将给予保密处理，否则视为公开资料。</w:t>
      </w:r>
    </w:p>
    <w:p w14:paraId="68889291">
      <w:pPr>
        <w:numPr>
          <w:ilvl w:val="0"/>
          <w:numId w:val="15"/>
        </w:numPr>
        <w:spacing w:line="500" w:lineRule="exact"/>
        <w:rPr>
          <w:rFonts w:ascii="仿宋" w:hAnsi="仿宋" w:eastAsia="仿宋" w:cs="仿宋"/>
          <w:sz w:val="24"/>
        </w:rPr>
      </w:pPr>
      <w:r>
        <w:rPr>
          <w:rFonts w:hint="eastAsia" w:ascii="仿宋" w:hAnsi="仿宋" w:eastAsia="仿宋" w:cs="仿宋"/>
          <w:sz w:val="24"/>
        </w:rPr>
        <w:t>全部声明和问题的回答及所附材料必须是真实的、准确的和完整的。</w:t>
      </w:r>
    </w:p>
    <w:p w14:paraId="5A6BB0F2">
      <w:pPr>
        <w:numPr>
          <w:ilvl w:val="0"/>
          <w:numId w:val="15"/>
        </w:numPr>
        <w:spacing w:line="500" w:lineRule="exact"/>
        <w:rPr>
          <w:rFonts w:ascii="仿宋" w:hAnsi="仿宋" w:eastAsia="仿宋" w:cs="仿宋"/>
          <w:sz w:val="24"/>
        </w:rPr>
      </w:pPr>
      <w:r>
        <w:rPr>
          <w:rFonts w:hint="eastAsia" w:ascii="仿宋" w:hAnsi="仿宋" w:eastAsia="仿宋" w:cs="仿宋"/>
          <w:sz w:val="24"/>
        </w:rPr>
        <w:t>本采购文件中所要求加盖的投标人公章是指与投标人名称全称相一致的“行政公章”，不得加盖其它“合同专用章、投标专用章、财务专用章”等非行政公章；“签字”是指投标人法定代表人（单位负责人）或授权委托人在采购文件规定处亲笔写上本人姓名（含电子签名）；“法定代表人（单位负责人）签章或印鉴”是指投标人法定代表人（单位负责人）在采购文件规定处加盖个人名章、手签章、印鉴等。</w:t>
      </w:r>
    </w:p>
    <w:p w14:paraId="70701FCF">
      <w:pPr>
        <w:numPr>
          <w:ilvl w:val="0"/>
          <w:numId w:val="15"/>
        </w:numPr>
        <w:spacing w:line="500" w:lineRule="exact"/>
        <w:rPr>
          <w:rFonts w:ascii="仿宋" w:hAnsi="仿宋" w:eastAsia="仿宋" w:cs="仿宋"/>
          <w:sz w:val="24"/>
        </w:rPr>
      </w:pPr>
      <w:r>
        <w:rPr>
          <w:rFonts w:hint="eastAsia" w:ascii="仿宋" w:hAnsi="仿宋" w:eastAsia="仿宋" w:cs="仿宋"/>
          <w:sz w:val="24"/>
        </w:rPr>
        <w:t>“法定代表人（单位负责人）”指投标人营业执照或登记证书载明的“法定代表人”、“负责人”、“执行事务合伙人”、“投资人”等。</w:t>
      </w:r>
    </w:p>
    <w:p w14:paraId="1881379F">
      <w:pPr>
        <w:numPr>
          <w:ilvl w:val="0"/>
          <w:numId w:val="15"/>
        </w:numPr>
        <w:spacing w:line="500" w:lineRule="exact"/>
        <w:rPr>
          <w:rFonts w:ascii="仿宋" w:hAnsi="仿宋" w:eastAsia="仿宋" w:cs="仿宋"/>
          <w:sz w:val="24"/>
        </w:rPr>
      </w:pPr>
      <w:r>
        <w:rPr>
          <w:rFonts w:hint="eastAsia" w:ascii="仿宋" w:hAnsi="仿宋" w:eastAsia="仿宋" w:cs="仿宋"/>
          <w:sz w:val="24"/>
        </w:rPr>
        <w:t>以联合体参加的，除采购文件格式中要求外，采购文件要求的投标人盖章处应按加盖联合体协议中约定的联合体牵头人公章或所有联合体成员公章。</w:t>
      </w:r>
    </w:p>
    <w:p w14:paraId="303F8623">
      <w:pPr>
        <w:rPr>
          <w:rFonts w:ascii="仿宋" w:hAnsi="仿宋" w:eastAsia="仿宋" w:cs="仿宋"/>
          <w:sz w:val="24"/>
        </w:rPr>
      </w:pPr>
      <w:r>
        <w:rPr>
          <w:rFonts w:hint="eastAsia" w:ascii="仿宋" w:hAnsi="仿宋" w:eastAsia="仿宋" w:cs="仿宋"/>
          <w:sz w:val="24"/>
        </w:rPr>
        <w:br w:type="page"/>
      </w:r>
    </w:p>
    <w:p w14:paraId="1009A91C">
      <w:pPr>
        <w:widowControl/>
        <w:jc w:val="left"/>
        <w:rPr>
          <w:rFonts w:ascii="仿宋" w:hAnsi="仿宋" w:eastAsia="仿宋" w:cs="仿宋"/>
          <w:b/>
          <w:bCs/>
          <w:color w:val="000000"/>
          <w:kern w:val="0"/>
          <w:sz w:val="24"/>
          <w:lang w:bidi="ar"/>
        </w:rPr>
      </w:pPr>
    </w:p>
    <w:p w14:paraId="5DA95A15">
      <w:pPr>
        <w:widowControl/>
        <w:jc w:val="left"/>
        <w:outlineLvl w:val="1"/>
        <w:rPr>
          <w:rFonts w:ascii="仿宋" w:hAnsi="仿宋" w:eastAsia="仿宋" w:cs="仿宋"/>
          <w:b/>
          <w:bCs/>
          <w:color w:val="000000"/>
          <w:kern w:val="0"/>
          <w:sz w:val="24"/>
          <w:lang w:bidi="ar"/>
        </w:rPr>
      </w:pPr>
      <w:bookmarkStart w:id="22" w:name="_Toc10196"/>
      <w:bookmarkStart w:id="23" w:name="_Toc155630094"/>
      <w:r>
        <w:rPr>
          <w:rFonts w:hint="eastAsia" w:ascii="仿宋" w:hAnsi="仿宋" w:eastAsia="仿宋" w:cs="仿宋"/>
          <w:b/>
          <w:bCs/>
          <w:color w:val="000000"/>
          <w:kern w:val="0"/>
          <w:sz w:val="24"/>
          <w:lang w:bidi="ar"/>
        </w:rPr>
        <w:t>投标文件封面（参考格式）</w:t>
      </w:r>
      <w:bookmarkEnd w:id="22"/>
      <w:bookmarkEnd w:id="23"/>
    </w:p>
    <w:p w14:paraId="44F1B956">
      <w:pPr>
        <w:widowControl/>
        <w:jc w:val="left"/>
        <w:rPr>
          <w:rFonts w:ascii="仿宋" w:hAnsi="仿宋" w:eastAsia="仿宋" w:cs="仿宋"/>
          <w:b/>
          <w:bCs/>
          <w:color w:val="000000"/>
          <w:kern w:val="0"/>
          <w:sz w:val="84"/>
          <w:szCs w:val="84"/>
          <w:lang w:bidi="ar"/>
        </w:rPr>
      </w:pPr>
    </w:p>
    <w:p w14:paraId="085FECB1">
      <w:pPr>
        <w:widowControl/>
        <w:jc w:val="left"/>
        <w:rPr>
          <w:rFonts w:ascii="仿宋" w:hAnsi="仿宋" w:eastAsia="仿宋" w:cs="仿宋"/>
          <w:b/>
          <w:bCs/>
          <w:color w:val="000000"/>
          <w:kern w:val="0"/>
          <w:sz w:val="84"/>
          <w:szCs w:val="84"/>
          <w:lang w:bidi="ar"/>
        </w:rPr>
      </w:pPr>
    </w:p>
    <w:p w14:paraId="6307EA9C">
      <w:pPr>
        <w:widowControl/>
        <w:jc w:val="center"/>
        <w:rPr>
          <w:rFonts w:ascii="仿宋" w:hAnsi="仿宋" w:eastAsia="仿宋" w:cs="仿宋"/>
        </w:rPr>
      </w:pPr>
      <w:r>
        <w:rPr>
          <w:rFonts w:hint="eastAsia" w:ascii="仿宋" w:hAnsi="仿宋" w:eastAsia="仿宋" w:cs="仿宋"/>
          <w:b/>
          <w:bCs/>
          <w:color w:val="000000"/>
          <w:kern w:val="0"/>
          <w:sz w:val="84"/>
          <w:szCs w:val="84"/>
          <w:lang w:bidi="ar"/>
        </w:rPr>
        <w:t>投标文件</w:t>
      </w:r>
    </w:p>
    <w:p w14:paraId="41C0583C">
      <w:pPr>
        <w:widowControl/>
        <w:jc w:val="left"/>
        <w:rPr>
          <w:rFonts w:ascii="仿宋" w:hAnsi="仿宋" w:eastAsia="仿宋" w:cs="仿宋"/>
          <w:b/>
          <w:bCs/>
          <w:color w:val="000000"/>
          <w:kern w:val="0"/>
          <w:sz w:val="52"/>
          <w:szCs w:val="52"/>
          <w:lang w:bidi="ar"/>
        </w:rPr>
      </w:pPr>
    </w:p>
    <w:p w14:paraId="0B05CF6A">
      <w:pPr>
        <w:widowControl/>
        <w:jc w:val="left"/>
        <w:rPr>
          <w:rFonts w:ascii="仿宋" w:hAnsi="仿宋" w:eastAsia="仿宋" w:cs="仿宋"/>
          <w:b/>
          <w:bCs/>
          <w:color w:val="000000"/>
          <w:kern w:val="0"/>
          <w:sz w:val="52"/>
          <w:szCs w:val="52"/>
          <w:lang w:bidi="ar"/>
        </w:rPr>
      </w:pPr>
    </w:p>
    <w:p w14:paraId="78F2D246">
      <w:pPr>
        <w:widowControl/>
        <w:jc w:val="left"/>
        <w:rPr>
          <w:rFonts w:ascii="仿宋" w:hAnsi="仿宋" w:eastAsia="仿宋" w:cs="仿宋"/>
        </w:rPr>
      </w:pPr>
      <w:r>
        <w:rPr>
          <w:rFonts w:hint="eastAsia" w:ascii="仿宋" w:hAnsi="仿宋" w:eastAsia="仿宋" w:cs="仿宋"/>
          <w:b/>
          <w:bCs/>
          <w:color w:val="000000"/>
          <w:kern w:val="0"/>
          <w:sz w:val="52"/>
          <w:szCs w:val="52"/>
          <w:lang w:bidi="ar"/>
        </w:rPr>
        <w:t xml:space="preserve"> </w:t>
      </w:r>
    </w:p>
    <w:p w14:paraId="1679AD2F">
      <w:pPr>
        <w:widowControl/>
        <w:jc w:val="left"/>
        <w:rPr>
          <w:rFonts w:ascii="仿宋" w:hAnsi="仿宋" w:eastAsia="仿宋" w:cs="仿宋"/>
          <w:b/>
          <w:bCs/>
          <w:color w:val="000000"/>
          <w:kern w:val="0"/>
          <w:sz w:val="31"/>
          <w:szCs w:val="31"/>
          <w:lang w:bidi="ar"/>
        </w:rPr>
      </w:pPr>
    </w:p>
    <w:p w14:paraId="54F5B153">
      <w:pPr>
        <w:widowControl/>
        <w:jc w:val="left"/>
        <w:rPr>
          <w:rFonts w:ascii="仿宋" w:hAnsi="仿宋" w:eastAsia="仿宋" w:cs="仿宋"/>
          <w:b/>
          <w:bCs/>
          <w:color w:val="000000"/>
          <w:kern w:val="0"/>
          <w:sz w:val="31"/>
          <w:szCs w:val="31"/>
          <w:lang w:bidi="ar"/>
        </w:rPr>
      </w:pPr>
    </w:p>
    <w:p w14:paraId="70A0A167">
      <w:pPr>
        <w:widowControl/>
        <w:jc w:val="left"/>
        <w:rPr>
          <w:rFonts w:ascii="仿宋" w:hAnsi="仿宋" w:eastAsia="仿宋" w:cs="仿宋"/>
          <w:b/>
          <w:bCs/>
          <w:color w:val="000000"/>
          <w:kern w:val="0"/>
          <w:sz w:val="31"/>
          <w:szCs w:val="31"/>
          <w:lang w:bidi="ar"/>
        </w:rPr>
      </w:pPr>
    </w:p>
    <w:p w14:paraId="5D5CEDF8">
      <w:pPr>
        <w:widowControl/>
        <w:jc w:val="left"/>
        <w:rPr>
          <w:rFonts w:ascii="仿宋" w:hAnsi="仿宋" w:eastAsia="仿宋" w:cs="仿宋"/>
        </w:rPr>
      </w:pPr>
      <w:r>
        <w:rPr>
          <w:rFonts w:hint="eastAsia" w:ascii="仿宋" w:hAnsi="仿宋" w:eastAsia="仿宋" w:cs="仿宋"/>
          <w:b/>
          <w:bCs/>
          <w:color w:val="000000"/>
          <w:kern w:val="0"/>
          <w:sz w:val="31"/>
          <w:szCs w:val="31"/>
          <w:lang w:bidi="ar"/>
        </w:rPr>
        <w:t xml:space="preserve">标项名称: </w:t>
      </w:r>
    </w:p>
    <w:p w14:paraId="51221F2E">
      <w:pPr>
        <w:widowControl/>
        <w:jc w:val="left"/>
        <w:rPr>
          <w:rFonts w:ascii="仿宋" w:hAnsi="仿宋" w:eastAsia="仿宋" w:cs="仿宋"/>
        </w:rPr>
      </w:pPr>
      <w:r>
        <w:rPr>
          <w:rFonts w:hint="eastAsia" w:ascii="仿宋" w:hAnsi="仿宋" w:eastAsia="仿宋" w:cs="仿宋"/>
          <w:b/>
          <w:bCs/>
          <w:color w:val="000000"/>
          <w:kern w:val="0"/>
          <w:sz w:val="31"/>
          <w:szCs w:val="31"/>
          <w:lang w:bidi="ar"/>
        </w:rPr>
        <w:t xml:space="preserve">标项编号： </w:t>
      </w:r>
    </w:p>
    <w:p w14:paraId="25130A9E">
      <w:pPr>
        <w:widowControl/>
        <w:jc w:val="left"/>
        <w:rPr>
          <w:rFonts w:ascii="仿宋" w:hAnsi="仿宋" w:eastAsia="仿宋" w:cs="仿宋"/>
          <w:b/>
          <w:bCs/>
          <w:color w:val="000000"/>
          <w:kern w:val="0"/>
          <w:sz w:val="31"/>
          <w:szCs w:val="31"/>
          <w:lang w:bidi="ar"/>
        </w:rPr>
      </w:pPr>
    </w:p>
    <w:p w14:paraId="668B203E">
      <w:pPr>
        <w:widowControl/>
        <w:jc w:val="left"/>
        <w:rPr>
          <w:rFonts w:ascii="仿宋" w:hAnsi="仿宋" w:eastAsia="仿宋" w:cs="仿宋"/>
          <w:b/>
          <w:bCs/>
          <w:color w:val="000000"/>
          <w:kern w:val="0"/>
          <w:sz w:val="31"/>
          <w:szCs w:val="31"/>
          <w:lang w:bidi="ar"/>
        </w:rPr>
      </w:pPr>
    </w:p>
    <w:p w14:paraId="0260EA5B">
      <w:pPr>
        <w:widowControl/>
        <w:jc w:val="left"/>
        <w:rPr>
          <w:rFonts w:ascii="仿宋" w:hAnsi="仿宋" w:eastAsia="仿宋" w:cs="仿宋"/>
          <w:b/>
          <w:bCs/>
          <w:color w:val="000000"/>
          <w:kern w:val="0"/>
          <w:sz w:val="31"/>
          <w:szCs w:val="31"/>
          <w:lang w:bidi="ar"/>
        </w:rPr>
      </w:pPr>
    </w:p>
    <w:p w14:paraId="5B0B53E3">
      <w:pPr>
        <w:widowControl/>
        <w:jc w:val="left"/>
        <w:rPr>
          <w:rFonts w:ascii="仿宋" w:hAnsi="仿宋" w:eastAsia="仿宋" w:cs="仿宋"/>
          <w:b/>
          <w:bCs/>
          <w:color w:val="000000"/>
          <w:kern w:val="0"/>
          <w:sz w:val="31"/>
          <w:szCs w:val="31"/>
          <w:lang w:bidi="ar"/>
        </w:rPr>
      </w:pPr>
      <w:r>
        <w:rPr>
          <w:rFonts w:hint="eastAsia" w:ascii="仿宋" w:hAnsi="仿宋" w:eastAsia="仿宋" w:cs="仿宋"/>
          <w:b/>
          <w:bCs/>
          <w:color w:val="000000"/>
          <w:kern w:val="0"/>
          <w:sz w:val="31"/>
          <w:szCs w:val="31"/>
          <w:lang w:bidi="ar"/>
        </w:rPr>
        <w:t>投标人名称（盖公章）：</w:t>
      </w:r>
    </w:p>
    <w:p w14:paraId="5C9E1976">
      <w:pPr>
        <w:widowControl/>
        <w:jc w:val="left"/>
        <w:rPr>
          <w:rFonts w:ascii="仿宋" w:hAnsi="仿宋" w:eastAsia="仿宋" w:cs="仿宋"/>
          <w:b/>
          <w:bCs/>
          <w:color w:val="000000"/>
          <w:kern w:val="0"/>
          <w:sz w:val="31"/>
          <w:szCs w:val="31"/>
          <w:lang w:bidi="ar"/>
        </w:rPr>
      </w:pPr>
      <w:r>
        <w:rPr>
          <w:rFonts w:hint="eastAsia" w:ascii="仿宋" w:hAnsi="仿宋" w:eastAsia="仿宋" w:cs="仿宋"/>
          <w:b/>
          <w:bCs/>
          <w:color w:val="000000"/>
          <w:kern w:val="0"/>
          <w:sz w:val="31"/>
          <w:szCs w:val="31"/>
          <w:lang w:bidi="ar"/>
        </w:rPr>
        <w:t>法定代表人或其授权代表（签字或印鉴）：</w:t>
      </w:r>
    </w:p>
    <w:p w14:paraId="3843A739">
      <w:pPr>
        <w:widowControl/>
        <w:jc w:val="left"/>
        <w:rPr>
          <w:rFonts w:ascii="仿宋" w:hAnsi="仿宋" w:eastAsia="仿宋" w:cs="仿宋"/>
          <w:b/>
          <w:bCs/>
          <w:color w:val="000000"/>
          <w:kern w:val="0"/>
          <w:sz w:val="31"/>
          <w:szCs w:val="31"/>
          <w:lang w:bidi="ar"/>
        </w:rPr>
      </w:pPr>
    </w:p>
    <w:p w14:paraId="6E579C60">
      <w:pPr>
        <w:widowControl/>
        <w:spacing w:line="500" w:lineRule="exact"/>
        <w:jc w:val="center"/>
        <w:rPr>
          <w:rFonts w:hint="eastAsia" w:ascii="仿宋" w:hAnsi="仿宋" w:eastAsia="仿宋" w:cs="仿宋"/>
          <w:color w:val="000000"/>
          <w:kern w:val="0"/>
          <w:sz w:val="24"/>
          <w:lang w:bidi="ar"/>
        </w:rPr>
      </w:pPr>
    </w:p>
    <w:p w14:paraId="16730A01">
      <w:pPr>
        <w:widowControl/>
        <w:spacing w:line="500" w:lineRule="exact"/>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   满足《中华人民共和国政府采购法》第二十二条规定及法律法规的其他规定 </w:t>
      </w:r>
    </w:p>
    <w:p w14:paraId="5653891A">
      <w:pPr>
        <w:widowControl/>
        <w:spacing w:line="500" w:lineRule="exact"/>
        <w:jc w:val="center"/>
        <w:rPr>
          <w:rFonts w:ascii="仿宋" w:hAnsi="仿宋" w:eastAsia="仿宋" w:cs="仿宋"/>
          <w:color w:val="000000"/>
          <w:kern w:val="0"/>
          <w:sz w:val="24"/>
          <w:lang w:bidi="ar"/>
        </w:rPr>
      </w:pPr>
    </w:p>
    <w:p w14:paraId="3E9E4C57">
      <w:pPr>
        <w:widowControl/>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附件 1-1 </w:t>
      </w:r>
      <w:bookmarkStart w:id="24" w:name="OLE_LINK70"/>
      <w:bookmarkStart w:id="25" w:name="OLE_LINK71"/>
    </w:p>
    <w:p w14:paraId="363FCEF7">
      <w:pPr>
        <w:widowControl/>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是企业（包括合伙企业）的，应提供其在工商部门注册的有效“企业法人营业执照”或“营业执照”的复印件； </w:t>
      </w:r>
    </w:p>
    <w:p w14:paraId="0745D4DF">
      <w:pPr>
        <w:widowControl/>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是事业单位的，应提供其有效的“事业单位法人证书”复印件； </w:t>
      </w:r>
    </w:p>
    <w:p w14:paraId="2E7AD1A2">
      <w:pPr>
        <w:widowControl/>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是非企业专业服务机构的，应提供其有效的执业许可证复印件； </w:t>
      </w:r>
    </w:p>
    <w:p w14:paraId="774D1F94">
      <w:pPr>
        <w:widowControl/>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是个体工商户的，应提供其有效的“个体工商户营业执照”复印件； </w:t>
      </w:r>
    </w:p>
    <w:p w14:paraId="11C7C802">
      <w:pPr>
        <w:widowControl/>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是自然人的，应提供其有效的自然人身份证明；</w:t>
      </w:r>
      <w:bookmarkEnd w:id="24"/>
      <w:bookmarkEnd w:id="25"/>
    </w:p>
    <w:p w14:paraId="16E6BA55">
      <w:pPr>
        <w:widowControl/>
        <w:spacing w:line="500" w:lineRule="exact"/>
        <w:rPr>
          <w:rFonts w:ascii="仿宋" w:hAnsi="仿宋" w:eastAsia="仿宋" w:cs="仿宋"/>
          <w:color w:val="000000"/>
          <w:kern w:val="0"/>
          <w:sz w:val="24"/>
          <w:lang w:bidi="ar"/>
        </w:rPr>
      </w:pPr>
    </w:p>
    <w:p w14:paraId="2C8712B1">
      <w:pPr>
        <w:widowControl/>
        <w:spacing w:line="500" w:lineRule="exact"/>
        <w:rPr>
          <w:rFonts w:ascii="仿宋" w:hAnsi="仿宋" w:eastAsia="仿宋" w:cs="仿宋"/>
          <w:color w:val="000000"/>
          <w:kern w:val="0"/>
          <w:sz w:val="24"/>
          <w:lang w:bidi="ar"/>
        </w:rPr>
      </w:pPr>
    </w:p>
    <w:p w14:paraId="54E4D289">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696DC17C">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附件 1-2 投标人具有良好的商业信誉和健全的财务会计制度的证明文件</w:t>
      </w:r>
    </w:p>
    <w:p w14:paraId="2504075D">
      <w:pPr>
        <w:widowControl/>
        <w:ind w:left="0" w:leftChars="0" w:firstLine="480" w:firstLineChars="200"/>
        <w:jc w:val="left"/>
        <w:rPr>
          <w:rFonts w:hint="eastAsia" w:ascii="仿宋" w:hAnsi="仿宋" w:eastAsia="仿宋" w:cs="仿宋"/>
          <w:color w:val="000000"/>
          <w:kern w:val="0"/>
          <w:sz w:val="24"/>
          <w:szCs w:val="24"/>
          <w:lang w:val="en-US" w:eastAsia="zh-CN" w:bidi="ar"/>
        </w:rPr>
      </w:pPr>
      <w:bookmarkStart w:id="26" w:name="OLE_LINK72"/>
      <w:r>
        <w:rPr>
          <w:rFonts w:hint="eastAsia" w:ascii="仿宋" w:hAnsi="仿宋" w:eastAsia="仿宋" w:cs="仿宋"/>
          <w:color w:val="000000"/>
          <w:kern w:val="0"/>
          <w:sz w:val="24"/>
          <w:szCs w:val="24"/>
          <w:lang w:val="en-US" w:eastAsia="zh-CN" w:bidi="ar"/>
        </w:rPr>
        <w:t xml:space="preserve">提供近一年内任意一个月财务报表或会计师事务所出具的2024年度或2025年度财务审计报告（报告中须包括资产负债表、利润表、现金流量表及财务报表附注）； </w:t>
      </w:r>
    </w:p>
    <w:p w14:paraId="6D0C6DE2">
      <w:pPr>
        <w:widowControl/>
        <w:ind w:leftChars="0"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如果投标人为新成立单位，无法提供审计报告，则需提供新企业验资报告复印件并加盖提供报告单位的公章； </w:t>
      </w:r>
    </w:p>
    <w:p w14:paraId="217C3C3B">
      <w:pPr>
        <w:widowControl/>
        <w:ind w:leftChars="0"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如投标人无法提供2024年度或2025年度财务审计报告或新企业验资报告，则需提供开户银行出具的资信证明；银行资信证明可提供原件的扫描件，也可提供银行在开标日前十二个月内开具资信证明的复印件，对于资信证明文件中写明“复印无效”的应提供原件的扫描件。银行资信证明的抬头可以与采购人或采购代理机构名称不同。 </w:t>
      </w:r>
    </w:p>
    <w:p w14:paraId="6960DF92">
      <w:pPr>
        <w:widowControl/>
        <w:ind w:leftChars="0"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银行资信证明应能说明该投标人与银行之间业务往来正常，无不良记录，企业信誉良好等。银行出具的存款证明不能作为银行资信证明。</w:t>
      </w:r>
      <w:bookmarkEnd w:id="26"/>
    </w:p>
    <w:p w14:paraId="7AEF29BD">
      <w:pPr>
        <w:widowControl/>
        <w:ind w:leftChars="0"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须提供《投标人资格、信用声明函》格式以响应文件格式中为准。声明不实的，按《政府采购法》提供虚假材料的有关规定给予处罚。</w:t>
      </w:r>
    </w:p>
    <w:p w14:paraId="1707BF47">
      <w:pPr>
        <w:widowControl/>
        <w:jc w:val="left"/>
        <w:rPr>
          <w:rFonts w:ascii="宋体" w:hAnsi="宋体"/>
          <w:b/>
          <w:color w:val="auto"/>
          <w:kern w:val="0"/>
          <w:sz w:val="24"/>
          <w:szCs w:val="24"/>
          <w:highlight w:val="none"/>
        </w:rPr>
      </w:pPr>
      <w:r>
        <w:rPr>
          <w:rFonts w:ascii="宋体" w:hAnsi="宋体"/>
          <w:b/>
          <w:color w:val="auto"/>
          <w:kern w:val="0"/>
          <w:sz w:val="24"/>
          <w:szCs w:val="24"/>
          <w:highlight w:val="none"/>
        </w:rPr>
        <w:br w:type="page"/>
      </w:r>
    </w:p>
    <w:p w14:paraId="6EAEB794">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附件1-3  投标人缴纳税收的证明</w:t>
      </w:r>
    </w:p>
    <w:p w14:paraId="77ED58E4">
      <w:pPr>
        <w:spacing w:line="500" w:lineRule="exact"/>
        <w:outlineLvl w:val="1"/>
        <w:rPr>
          <w:rFonts w:hint="eastAsia" w:ascii="仿宋" w:hAnsi="仿宋" w:eastAsia="仿宋" w:cs="仿宋"/>
          <w:color w:val="000000"/>
          <w:kern w:val="0"/>
          <w:sz w:val="24"/>
          <w:lang w:bidi="ar"/>
        </w:rPr>
      </w:pPr>
      <w:bookmarkStart w:id="27" w:name="OLE_LINK74"/>
      <w:bookmarkStart w:id="28" w:name="OLE_LINK73"/>
      <w:bookmarkStart w:id="29" w:name="_Toc8376"/>
      <w:r>
        <w:rPr>
          <w:rFonts w:hint="eastAsia" w:ascii="仿宋" w:hAnsi="仿宋" w:eastAsia="仿宋" w:cs="仿宋"/>
          <w:color w:val="000000"/>
          <w:kern w:val="0"/>
          <w:sz w:val="24"/>
          <w:lang w:bidi="ar"/>
        </w:rPr>
        <w:t>纳税收资料：</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提供税务机构出具的递交投标文件截止时间近一年内任意一个月的依法缴纳税收等证明材料（刚成立不满一个月的企业，应提供依法缴纳税收承诺书；如依法免税的企业，应提供相应文件证明其依法免税）。 </w:t>
      </w:r>
    </w:p>
    <w:bookmarkEnd w:id="27"/>
    <w:bookmarkEnd w:id="28"/>
    <w:p w14:paraId="53B5479D">
      <w:pPr>
        <w:spacing w:line="500" w:lineRule="exact"/>
        <w:outlineLvl w:val="1"/>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bookmarkEnd w:id="29"/>
    </w:p>
    <w:p w14:paraId="6C89359D">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附件1-4  投标人为职工缴纳社会保险的证明</w:t>
      </w:r>
    </w:p>
    <w:p w14:paraId="63F92445">
      <w:pPr>
        <w:spacing w:line="500" w:lineRule="exact"/>
        <w:outlineLvl w:val="1"/>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缴纳社会保障资金资料：</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提供递交投标文件截止时间近一年内任意一个月的社保缴纳证明（专用收据或社会保险缴纳清单），社保机构或税务机构出具的收据或清单均可，银行出具的回执单不予认可。（a.如为社会机构代缴代扣的，需提供和社会机构代缴代扣的协议。其他组织和自然人也需要提供缴纳社会保险的证明。b.刚成立不满一个月的企业，应提供依法缴纳社会保障资金承诺函；如依法不需要缴纳社会保障资金的，应提供相应文件证明其依法不需要缴纳社会保障资金）。</w:t>
      </w:r>
    </w:p>
    <w:p w14:paraId="7582D155">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w:t>
      </w:r>
    </w:p>
    <w:p w14:paraId="36A59EB1">
      <w:pPr>
        <w:spacing w:line="500" w:lineRule="exact"/>
        <w:outlineLvl w:val="1"/>
        <w:rPr>
          <w:rFonts w:ascii="仿宋" w:hAnsi="仿宋" w:eastAsia="仿宋" w:cs="仿宋"/>
          <w:color w:val="000000"/>
          <w:kern w:val="0"/>
          <w:sz w:val="24"/>
          <w:lang w:bidi="ar"/>
        </w:rPr>
      </w:pPr>
    </w:p>
    <w:p w14:paraId="0AC5CD09">
      <w:pPr>
        <w:rPr>
          <w:rFonts w:ascii="仿宋" w:hAnsi="仿宋" w:eastAsia="仿宋" w:cs="仿宋"/>
          <w:color w:val="000000"/>
          <w:kern w:val="0"/>
          <w:sz w:val="24"/>
          <w:lang w:bidi="ar"/>
        </w:rPr>
      </w:pPr>
    </w:p>
    <w:p w14:paraId="615798DA">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788FC114">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附件 1-5 投标人资格声明书</w:t>
      </w:r>
    </w:p>
    <w:p w14:paraId="3DEF0CF5">
      <w:pPr>
        <w:rPr>
          <w:rFonts w:ascii="仿宋" w:hAnsi="仿宋" w:eastAsia="仿宋" w:cs="仿宋"/>
          <w:color w:val="000000"/>
          <w:kern w:val="0"/>
          <w:sz w:val="24"/>
          <w:lang w:bidi="ar"/>
        </w:rPr>
      </w:pPr>
    </w:p>
    <w:p w14:paraId="16D0F40A">
      <w:pPr>
        <w:widowControl/>
        <w:jc w:val="center"/>
        <w:rPr>
          <w:rFonts w:ascii="仿宋" w:hAnsi="仿宋" w:eastAsia="仿宋" w:cs="仿宋"/>
          <w:sz w:val="32"/>
          <w:szCs w:val="32"/>
        </w:rPr>
      </w:pPr>
      <w:r>
        <w:rPr>
          <w:rFonts w:hint="eastAsia" w:ascii="仿宋" w:hAnsi="仿宋" w:eastAsia="仿宋" w:cs="仿宋"/>
          <w:color w:val="000000"/>
          <w:kern w:val="0"/>
          <w:sz w:val="32"/>
          <w:szCs w:val="32"/>
          <w:lang w:bidi="ar"/>
        </w:rPr>
        <w:t>投标人资格声明书</w:t>
      </w:r>
    </w:p>
    <w:p w14:paraId="692EDFB9">
      <w:pPr>
        <w:widowControl/>
        <w:jc w:val="left"/>
        <w:rPr>
          <w:rFonts w:ascii="仿宋" w:hAnsi="仿宋" w:eastAsia="仿宋" w:cs="仿宋"/>
          <w:color w:val="000000"/>
          <w:kern w:val="0"/>
          <w:sz w:val="24"/>
          <w:lang w:bidi="ar"/>
        </w:rPr>
      </w:pPr>
    </w:p>
    <w:p w14:paraId="4649AFF9">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致：</w:t>
      </w:r>
      <w:r>
        <w:rPr>
          <w:rFonts w:hint="eastAsia" w:ascii="仿宋" w:hAnsi="仿宋" w:eastAsia="仿宋" w:cs="仿宋"/>
          <w:color w:val="000000"/>
          <w:kern w:val="0"/>
          <w:sz w:val="24"/>
          <w:u w:val="single"/>
          <w:lang w:bidi="ar"/>
        </w:rPr>
        <w:t xml:space="preserve">采购人或采购代理机构 </w:t>
      </w:r>
    </w:p>
    <w:p w14:paraId="13F0AF4A">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在参与本次项目投标中，我单位承诺： </w:t>
      </w:r>
    </w:p>
    <w:p w14:paraId="13815678">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（一）具有良好的商业信誉和健全的财务会计制度； </w:t>
      </w:r>
    </w:p>
    <w:p w14:paraId="63DEEFFD">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（二）具有履行合同所必需的设备和专业技术能力； </w:t>
      </w:r>
    </w:p>
    <w:p w14:paraId="7AA9B82A">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（三）有依法缴纳税收和社会保障资金的良好记录； </w:t>
      </w:r>
    </w:p>
    <w:p w14:paraId="5C0B1BBE">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13424DC">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（五）我单位不属于政府采购法律、行政法规规定的公益一类事业单位、或使用事业编制且由财政拨款保障的群团组织（仅适用于政府购买服务项目）； </w:t>
      </w:r>
    </w:p>
    <w:p w14:paraId="3876E7C9">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（六）我单位不存在为采购项目提供整体设计、规范编制或者项目管理、监理、检测等服务后，再参加该采购项目的其他采购活动的情形（单一来源采购项目除外）； </w:t>
      </w:r>
    </w:p>
    <w:p w14:paraId="44A6D805">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（七）与我单位存在“单位负责人为同一人或者存在直接控股、管理关系”的其他法人单位信息如下（如有，不论其是否参加同一合同项下的政府采购活动均须填写）： </w:t>
      </w:r>
    </w:p>
    <w:tbl>
      <w:tblPr>
        <w:tblStyle w:val="4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798"/>
        <w:gridCol w:w="3406"/>
      </w:tblGrid>
      <w:tr w14:paraId="447C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FBA1507">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798" w:type="dxa"/>
            <w:vAlign w:val="center"/>
          </w:tcPr>
          <w:p w14:paraId="30C585E2">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单位名称</w:t>
            </w:r>
          </w:p>
        </w:tc>
        <w:tc>
          <w:tcPr>
            <w:tcW w:w="3406" w:type="dxa"/>
            <w:vAlign w:val="center"/>
          </w:tcPr>
          <w:p w14:paraId="24AE0EDD">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相互关系</w:t>
            </w:r>
          </w:p>
        </w:tc>
      </w:tr>
      <w:tr w14:paraId="3D67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79D2C76">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3798" w:type="dxa"/>
          </w:tcPr>
          <w:p w14:paraId="33BF7054">
            <w:pPr>
              <w:widowControl/>
              <w:jc w:val="left"/>
              <w:rPr>
                <w:rFonts w:ascii="仿宋" w:hAnsi="仿宋" w:eastAsia="仿宋" w:cs="仿宋"/>
                <w:color w:val="000000"/>
                <w:kern w:val="0"/>
                <w:sz w:val="24"/>
                <w:lang w:bidi="ar"/>
              </w:rPr>
            </w:pPr>
          </w:p>
        </w:tc>
        <w:tc>
          <w:tcPr>
            <w:tcW w:w="3406" w:type="dxa"/>
          </w:tcPr>
          <w:p w14:paraId="5245089A">
            <w:pPr>
              <w:widowControl/>
              <w:jc w:val="left"/>
              <w:rPr>
                <w:rFonts w:ascii="仿宋" w:hAnsi="仿宋" w:eastAsia="仿宋" w:cs="仿宋"/>
                <w:color w:val="000000"/>
                <w:kern w:val="0"/>
                <w:sz w:val="24"/>
                <w:lang w:bidi="ar"/>
              </w:rPr>
            </w:pPr>
          </w:p>
        </w:tc>
      </w:tr>
      <w:tr w14:paraId="3D56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54B203FB">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3798" w:type="dxa"/>
          </w:tcPr>
          <w:p w14:paraId="4C4FA51A">
            <w:pPr>
              <w:widowControl/>
              <w:jc w:val="left"/>
              <w:rPr>
                <w:rFonts w:ascii="仿宋" w:hAnsi="仿宋" w:eastAsia="仿宋" w:cs="仿宋"/>
                <w:color w:val="000000"/>
                <w:kern w:val="0"/>
                <w:sz w:val="24"/>
                <w:lang w:bidi="ar"/>
              </w:rPr>
            </w:pPr>
          </w:p>
        </w:tc>
        <w:tc>
          <w:tcPr>
            <w:tcW w:w="3406" w:type="dxa"/>
          </w:tcPr>
          <w:p w14:paraId="267DA605">
            <w:pPr>
              <w:widowControl/>
              <w:jc w:val="left"/>
              <w:rPr>
                <w:rFonts w:ascii="仿宋" w:hAnsi="仿宋" w:eastAsia="仿宋" w:cs="仿宋"/>
                <w:color w:val="000000"/>
                <w:kern w:val="0"/>
                <w:sz w:val="24"/>
                <w:lang w:bidi="ar"/>
              </w:rPr>
            </w:pPr>
          </w:p>
        </w:tc>
      </w:tr>
      <w:tr w14:paraId="6911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4972302B">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w:t>
            </w:r>
          </w:p>
        </w:tc>
        <w:tc>
          <w:tcPr>
            <w:tcW w:w="3798" w:type="dxa"/>
          </w:tcPr>
          <w:p w14:paraId="3CAEC93F">
            <w:pPr>
              <w:widowControl/>
              <w:jc w:val="left"/>
              <w:rPr>
                <w:rFonts w:ascii="仿宋" w:hAnsi="仿宋" w:eastAsia="仿宋" w:cs="仿宋"/>
                <w:color w:val="000000"/>
                <w:kern w:val="0"/>
                <w:sz w:val="24"/>
                <w:lang w:bidi="ar"/>
              </w:rPr>
            </w:pPr>
          </w:p>
        </w:tc>
        <w:tc>
          <w:tcPr>
            <w:tcW w:w="3406" w:type="dxa"/>
          </w:tcPr>
          <w:p w14:paraId="186B57BF">
            <w:pPr>
              <w:widowControl/>
              <w:jc w:val="left"/>
              <w:rPr>
                <w:rFonts w:ascii="仿宋" w:hAnsi="仿宋" w:eastAsia="仿宋" w:cs="仿宋"/>
                <w:color w:val="000000"/>
                <w:kern w:val="0"/>
                <w:sz w:val="24"/>
                <w:lang w:bidi="ar"/>
              </w:rPr>
            </w:pPr>
          </w:p>
        </w:tc>
      </w:tr>
    </w:tbl>
    <w:p w14:paraId="7126BA36">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上述声明真实有效，否则我方负全部责任。 </w:t>
      </w:r>
    </w:p>
    <w:p w14:paraId="75C29FED">
      <w:pPr>
        <w:widowControl/>
        <w:spacing w:line="500" w:lineRule="exact"/>
        <w:jc w:val="left"/>
        <w:rPr>
          <w:rFonts w:ascii="仿宋" w:hAnsi="仿宋" w:eastAsia="仿宋" w:cs="仿宋"/>
          <w:color w:val="000000"/>
          <w:kern w:val="0"/>
          <w:sz w:val="24"/>
          <w:lang w:bidi="ar"/>
        </w:rPr>
      </w:pPr>
    </w:p>
    <w:p w14:paraId="467E401B">
      <w:pPr>
        <w:widowControl/>
        <w:spacing w:line="500" w:lineRule="exact"/>
        <w:jc w:val="left"/>
        <w:rPr>
          <w:rFonts w:ascii="仿宋" w:hAnsi="仿宋" w:eastAsia="仿宋" w:cs="仿宋"/>
          <w:color w:val="000000"/>
          <w:kern w:val="0"/>
          <w:sz w:val="24"/>
          <w:lang w:bidi="ar"/>
        </w:rPr>
      </w:pPr>
    </w:p>
    <w:p w14:paraId="746E3322">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投标人名称：  </w:t>
      </w:r>
      <w:r>
        <w:rPr>
          <w:rFonts w:hint="eastAsia" w:ascii="仿宋" w:hAnsi="仿宋" w:eastAsia="仿宋" w:cs="仿宋"/>
          <w:color w:val="000000"/>
          <w:kern w:val="0"/>
          <w:sz w:val="24"/>
          <w:u w:val="single"/>
          <w:lang w:bidi="ar"/>
        </w:rPr>
        <w:t xml:space="preserve">                       （加盖公章）</w:t>
      </w:r>
    </w:p>
    <w:p w14:paraId="42AC8BB3">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法定代表人或其授权代理人：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u w:val="single"/>
          <w:lang w:bidi="ar"/>
        </w:rPr>
        <w:tab/>
      </w:r>
      <w:r>
        <w:rPr>
          <w:rFonts w:hint="eastAsia" w:ascii="仿宋" w:hAnsi="仿宋" w:eastAsia="仿宋" w:cs="仿宋"/>
          <w:color w:val="000000"/>
          <w:kern w:val="0"/>
          <w:sz w:val="24"/>
          <w:u w:val="single"/>
          <w:lang w:bidi="ar"/>
        </w:rPr>
        <w:t>（签字或印鉴）</w:t>
      </w:r>
      <w:r>
        <w:rPr>
          <w:rFonts w:hint="eastAsia" w:ascii="仿宋" w:hAnsi="仿宋" w:eastAsia="仿宋" w:cs="仿宋"/>
          <w:color w:val="000000"/>
          <w:kern w:val="0"/>
          <w:sz w:val="24"/>
          <w:lang w:bidi="ar"/>
        </w:rPr>
        <w:tab/>
      </w:r>
    </w:p>
    <w:p w14:paraId="70781EAD">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日期：</w:t>
      </w:r>
      <w:r>
        <w:rPr>
          <w:rFonts w:hint="eastAsia" w:ascii="仿宋" w:hAnsi="仿宋" w:eastAsia="仿宋" w:cs="仿宋"/>
          <w:color w:val="000000"/>
          <w:kern w:val="0"/>
          <w:sz w:val="24"/>
          <w:u w:val="single"/>
          <w:lang w:bidi="ar"/>
        </w:rPr>
        <w:t xml:space="preserve">    年    月    日</w:t>
      </w:r>
    </w:p>
    <w:p w14:paraId="4B3DCC15">
      <w:pPr>
        <w:spacing w:line="500" w:lineRule="exact"/>
        <w:rPr>
          <w:rFonts w:ascii="仿宋" w:hAnsi="仿宋" w:eastAsia="仿宋" w:cs="仿宋"/>
          <w:color w:val="000000"/>
          <w:kern w:val="0"/>
          <w:sz w:val="24"/>
          <w:lang w:bidi="ar"/>
        </w:rPr>
      </w:pPr>
    </w:p>
    <w:p w14:paraId="1CCB1793">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说明：（1）单位负责人为同一人或者存在直接控股、管理关系的不同投标人，不得参加同一合同项下的政府采购活动。</w:t>
      </w:r>
    </w:p>
    <w:p w14:paraId="365422FE">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（2）本条所指单位负责人为同一人指单位法定代表人或者法律、行政法规规定代表单位行使职权的主要负责人。</w:t>
      </w:r>
    </w:p>
    <w:p w14:paraId="54CF33C7">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（3）本条所指控股关系指单位或股东的控股关系。控股股东指:</w:t>
      </w:r>
    </w:p>
    <w:p w14:paraId="2C023A67">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a.出资额占有限责任公司资本总额百分之五十以上或者其持有的股份占股份有限公司股本总额百分之五十以上的股东；</w:t>
      </w:r>
    </w:p>
    <w:p w14:paraId="6C87447A">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b.出资额或者持有股份的比例不足百分之五十，但其出资额或者持有的股份所享有的表决权已足以对股东会、股东大会的决议产生重大影响的股东。</w:t>
      </w:r>
    </w:p>
    <w:p w14:paraId="1C5AEBF7">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（4）本条所指管理关系指不具有出资持股关系的其他单位之间存在的管理与被管理关系。</w:t>
      </w:r>
    </w:p>
    <w:p w14:paraId="671B2F15">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（5）本条所指的控股、管理关系仅限于直接控股、直接管理关系，不包括间接控股或管理关系。</w:t>
      </w:r>
    </w:p>
    <w:p w14:paraId="18EA15FE">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（6）如无相关情况，请在相应栏填写“无”。</w:t>
      </w:r>
    </w:p>
    <w:p w14:paraId="675A712F">
      <w:pPr>
        <w:rPr>
          <w:rFonts w:ascii="仿宋" w:hAnsi="仿宋" w:eastAsia="仿宋" w:cs="仿宋"/>
          <w:color w:val="000000"/>
          <w:kern w:val="0"/>
          <w:sz w:val="24"/>
          <w:lang w:bidi="ar"/>
        </w:rPr>
      </w:pPr>
    </w:p>
    <w:p w14:paraId="13B515F5">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2518117A">
      <w:pPr>
        <w:widowControl/>
        <w:spacing w:line="500" w:lineRule="exact"/>
        <w:jc w:val="left"/>
        <w:outlineLvl w:val="1"/>
        <w:rPr>
          <w:rFonts w:ascii="仿宋" w:hAnsi="仿宋" w:eastAsia="仿宋" w:cs="仿宋"/>
          <w:sz w:val="24"/>
        </w:rPr>
      </w:pPr>
      <w:bookmarkStart w:id="30" w:name="_Toc32152"/>
      <w:bookmarkStart w:id="31" w:name="_Toc155630098"/>
      <w:r>
        <w:rPr>
          <w:rFonts w:hint="eastAsia" w:ascii="仿宋" w:hAnsi="仿宋" w:eastAsia="仿宋" w:cs="仿宋"/>
          <w:color w:val="000000"/>
          <w:kern w:val="0"/>
          <w:sz w:val="24"/>
          <w:lang w:bidi="ar"/>
        </w:rPr>
        <w:t>2 落实政府采购政策需满足的资格要求</w:t>
      </w:r>
      <w:bookmarkEnd w:id="30"/>
      <w:bookmarkEnd w:id="31"/>
      <w:r>
        <w:rPr>
          <w:rFonts w:hint="eastAsia" w:ascii="仿宋" w:hAnsi="仿宋" w:eastAsia="仿宋" w:cs="仿宋"/>
          <w:color w:val="000000"/>
          <w:kern w:val="0"/>
          <w:sz w:val="24"/>
          <w:lang w:bidi="ar"/>
        </w:rPr>
        <w:t xml:space="preserve"> </w:t>
      </w:r>
    </w:p>
    <w:p w14:paraId="27633503">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2-1 中小企业声明函 </w:t>
      </w:r>
    </w:p>
    <w:p w14:paraId="23F576B4">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说明： </w:t>
      </w:r>
    </w:p>
    <w:p w14:paraId="1AD79D3A">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（1）如本项目（包）不专门面向中小企业预留采购份额，资格证明文件部分无需提供《中小企业声明函》。 </w:t>
      </w:r>
    </w:p>
    <w:p w14:paraId="5CB778A2">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投标人根据项目属性选择申明函格式。 </w:t>
      </w:r>
    </w:p>
    <w:p w14:paraId="059BD265">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3）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w:t>
      </w:r>
    </w:p>
    <w:p w14:paraId="45E3239D">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级以上监狱管理局、戒毒管理局（含新疆生产建设兵团）出具的属于监狱企业</w:t>
      </w:r>
    </w:p>
    <w:p w14:paraId="35DA1D58">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的证明文件，还须同时提供《拟分包情况说明》及《分包意向协议》，且建议</w:t>
      </w:r>
    </w:p>
    <w:p w14:paraId="0BA4949C">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在资格证明文件部分提供。 </w:t>
      </w:r>
    </w:p>
    <w:p w14:paraId="43E5DDC4">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（4）如本项目（包）预留部分采购项目预算专门面向中小企业采购，且要求投标人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647991C6">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（5）中小企业声明函填写注意事项 </w:t>
      </w:r>
    </w:p>
    <w:p w14:paraId="26DA5683">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1）中小企业参加政府采购活动，应当出具此格式文件。《中小企业声明函》由参加政府采购活动的投标人出具。联合体投标的，《中小企业声明函》由牵头人出具。 </w:t>
      </w:r>
    </w:p>
    <w:p w14:paraId="2135A38D">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2）对于联合体中由中小企业承担的部分，或者分包给中小企业的部分，必须全</w:t>
      </w:r>
    </w:p>
    <w:p w14:paraId="21D02866">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部由中小企业制造、承建或者承接。投标人应当在声明函“标的名称”部分标明</w:t>
      </w:r>
    </w:p>
    <w:p w14:paraId="49AA922B">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联合体中中小企业承担的具体内容或者中小企业的具体分包内容。 </w:t>
      </w:r>
    </w:p>
    <w:p w14:paraId="2FB64F8B">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3）对于多标的的采购项目，投标人应充分、准确地了解所投产品制造企业、提供服务的承接企业、工程承接企业信息。对相关情况了解不清楚的，不建议填报本声明函。 </w:t>
      </w:r>
    </w:p>
    <w:p w14:paraId="00164BC3">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72651728">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2B3656E4">
      <w:pPr>
        <w:widowControl/>
        <w:spacing w:line="500" w:lineRule="exact"/>
        <w:jc w:val="center"/>
        <w:rPr>
          <w:rFonts w:ascii="仿宋" w:hAnsi="仿宋" w:eastAsia="仿宋" w:cs="仿宋"/>
          <w:snapToGrid w:val="0"/>
          <w:color w:val="000000"/>
          <w:kern w:val="0"/>
          <w:sz w:val="32"/>
          <w:szCs w:val="32"/>
        </w:rPr>
      </w:pPr>
      <w:r>
        <w:rPr>
          <w:rFonts w:hint="eastAsia" w:ascii="仿宋" w:hAnsi="仿宋" w:eastAsia="仿宋" w:cs="仿宋"/>
          <w:b/>
          <w:bCs/>
          <w:snapToGrid w:val="0"/>
          <w:color w:val="000000"/>
          <w:kern w:val="0"/>
          <w:sz w:val="32"/>
          <w:szCs w:val="32"/>
          <w:lang w:bidi="ar"/>
        </w:rPr>
        <w:t>中小企业声明函（工程、服务）</w:t>
      </w:r>
    </w:p>
    <w:p w14:paraId="5EB02598">
      <w:pPr>
        <w:widowControl/>
        <w:spacing w:line="500" w:lineRule="exact"/>
        <w:jc w:val="left"/>
        <w:rPr>
          <w:rFonts w:ascii="仿宋" w:hAnsi="仿宋" w:eastAsia="仿宋" w:cs="仿宋"/>
          <w:snapToGrid w:val="0"/>
          <w:color w:val="000000"/>
          <w:kern w:val="0"/>
          <w:sz w:val="24"/>
          <w:lang w:bidi="ar"/>
        </w:rPr>
      </w:pPr>
    </w:p>
    <w:p w14:paraId="269F1DF9">
      <w:pPr>
        <w:widowControl/>
        <w:spacing w:line="500" w:lineRule="exact"/>
        <w:ind w:firstLine="480" w:firstLineChars="200"/>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bidi="ar"/>
        </w:rPr>
        <w:t>本公司（联合体）郑重声明，根据《政府采购促进中小企业发展管理办法》 （财库﹝2020﹞46号）的规定，本公司（联合体）参加</w:t>
      </w:r>
      <w:r>
        <w:rPr>
          <w:rFonts w:hint="eastAsia" w:ascii="仿宋" w:hAnsi="仿宋" w:eastAsia="仿宋" w:cs="仿宋"/>
          <w:i/>
          <w:iCs/>
          <w:snapToGrid w:val="0"/>
          <w:color w:val="000000"/>
          <w:kern w:val="0"/>
          <w:sz w:val="24"/>
          <w:u w:val="single"/>
          <w:lang w:bidi="ar"/>
        </w:rPr>
        <w:t>（单位名称）</w:t>
      </w:r>
      <w:r>
        <w:rPr>
          <w:rFonts w:hint="eastAsia" w:ascii="仿宋" w:hAnsi="仿宋" w:eastAsia="仿宋" w:cs="仿宋"/>
          <w:snapToGrid w:val="0"/>
          <w:color w:val="000000"/>
          <w:kern w:val="0"/>
          <w:sz w:val="24"/>
          <w:lang w:bidi="ar"/>
        </w:rPr>
        <w:t>的</w:t>
      </w:r>
      <w:r>
        <w:rPr>
          <w:rFonts w:hint="eastAsia" w:ascii="仿宋" w:hAnsi="仿宋" w:eastAsia="仿宋" w:cs="仿宋"/>
          <w:i/>
          <w:iCs/>
          <w:snapToGrid w:val="0"/>
          <w:color w:val="000000"/>
          <w:kern w:val="0"/>
          <w:sz w:val="24"/>
          <w:u w:val="single"/>
          <w:lang w:bidi="ar"/>
        </w:rPr>
        <w:t>（项目名称）</w:t>
      </w:r>
      <w:r>
        <w:rPr>
          <w:rFonts w:hint="eastAsia" w:ascii="仿宋" w:hAnsi="仿宋" w:eastAsia="仿宋" w:cs="仿宋"/>
          <w:snapToGrid w:val="0"/>
          <w:color w:val="000000"/>
          <w:kern w:val="0"/>
          <w:sz w:val="24"/>
          <w:lang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14DA68F">
      <w:pPr>
        <w:widowControl/>
        <w:spacing w:line="500" w:lineRule="exact"/>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bidi="ar"/>
        </w:rPr>
        <w:t xml:space="preserve">1. </w:t>
      </w:r>
      <w:r>
        <w:rPr>
          <w:rFonts w:hint="eastAsia" w:ascii="仿宋" w:hAnsi="仿宋" w:eastAsia="仿宋" w:cs="仿宋"/>
          <w:i/>
          <w:iCs/>
          <w:snapToGrid w:val="0"/>
          <w:color w:val="000000"/>
          <w:kern w:val="0"/>
          <w:sz w:val="24"/>
          <w:u w:val="single"/>
          <w:lang w:bidi="ar"/>
        </w:rPr>
        <w:t>（标的名称）</w:t>
      </w:r>
      <w:r>
        <w:rPr>
          <w:rFonts w:hint="eastAsia" w:ascii="仿宋" w:hAnsi="仿宋" w:eastAsia="仿宋" w:cs="仿宋"/>
          <w:snapToGrid w:val="0"/>
          <w:color w:val="000000"/>
          <w:kern w:val="0"/>
          <w:sz w:val="24"/>
          <w:lang w:bidi="ar"/>
        </w:rPr>
        <w:t>，属于</w:t>
      </w:r>
      <w:r>
        <w:rPr>
          <w:rFonts w:hint="eastAsia" w:ascii="仿宋" w:hAnsi="仿宋" w:eastAsia="仿宋" w:cs="仿宋"/>
          <w:i/>
          <w:iCs/>
          <w:snapToGrid w:val="0"/>
          <w:color w:val="000000"/>
          <w:kern w:val="0"/>
          <w:sz w:val="24"/>
          <w:u w:val="single"/>
          <w:lang w:bidi="ar"/>
        </w:rPr>
        <w:t>（采购文件中明确的所属行业）</w:t>
      </w:r>
      <w:r>
        <w:rPr>
          <w:rFonts w:hint="eastAsia" w:ascii="仿宋" w:hAnsi="仿宋" w:eastAsia="仿宋" w:cs="仿宋"/>
          <w:snapToGrid w:val="0"/>
          <w:color w:val="000000"/>
          <w:kern w:val="0"/>
          <w:sz w:val="24"/>
          <w:lang w:bidi="ar"/>
        </w:rPr>
        <w:t xml:space="preserve">；承建（承接）企业 </w:t>
      </w:r>
    </w:p>
    <w:p w14:paraId="5AFB9244">
      <w:pPr>
        <w:widowControl/>
        <w:spacing w:line="500" w:lineRule="exact"/>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bidi="ar"/>
        </w:rPr>
        <w:t>为</w:t>
      </w:r>
      <w:r>
        <w:rPr>
          <w:rFonts w:hint="eastAsia" w:ascii="仿宋" w:hAnsi="仿宋" w:eastAsia="仿宋" w:cs="仿宋"/>
          <w:i/>
          <w:iCs/>
          <w:snapToGrid w:val="0"/>
          <w:color w:val="000000"/>
          <w:kern w:val="0"/>
          <w:sz w:val="24"/>
          <w:u w:val="single"/>
          <w:lang w:bidi="ar"/>
        </w:rPr>
        <w:t>（企业名称）</w:t>
      </w:r>
      <w:r>
        <w:rPr>
          <w:rFonts w:hint="eastAsia" w:ascii="仿宋" w:hAnsi="仿宋" w:eastAsia="仿宋" w:cs="仿宋"/>
          <w:snapToGrid w:val="0"/>
          <w:color w:val="000000"/>
          <w:kern w:val="0"/>
          <w:sz w:val="24"/>
          <w:lang w:bidi="ar"/>
        </w:rPr>
        <w:t>，从业人员</w:t>
      </w:r>
      <w:r>
        <w:rPr>
          <w:rFonts w:hint="eastAsia" w:ascii="仿宋" w:hAnsi="仿宋" w:eastAsia="仿宋" w:cs="仿宋"/>
          <w:snapToGrid w:val="0"/>
          <w:color w:val="000000"/>
          <w:kern w:val="0"/>
          <w:sz w:val="24"/>
          <w:u w:val="single"/>
          <w:lang w:bidi="ar"/>
        </w:rPr>
        <w:t xml:space="preserve">    </w:t>
      </w:r>
      <w:r>
        <w:rPr>
          <w:rFonts w:hint="eastAsia" w:ascii="仿宋" w:hAnsi="仿宋" w:eastAsia="仿宋" w:cs="仿宋"/>
          <w:snapToGrid w:val="0"/>
          <w:color w:val="000000"/>
          <w:kern w:val="0"/>
          <w:sz w:val="24"/>
          <w:lang w:bidi="ar"/>
        </w:rPr>
        <w:t>人，营业收入为</w:t>
      </w:r>
      <w:r>
        <w:rPr>
          <w:rFonts w:hint="eastAsia" w:ascii="仿宋" w:hAnsi="仿宋" w:eastAsia="仿宋" w:cs="仿宋"/>
          <w:snapToGrid w:val="0"/>
          <w:color w:val="000000"/>
          <w:kern w:val="0"/>
          <w:sz w:val="24"/>
          <w:u w:val="single"/>
          <w:lang w:bidi="ar"/>
        </w:rPr>
        <w:t xml:space="preserve">      </w:t>
      </w:r>
      <w:r>
        <w:rPr>
          <w:rFonts w:hint="eastAsia" w:ascii="仿宋" w:hAnsi="仿宋" w:eastAsia="仿宋" w:cs="仿宋"/>
          <w:snapToGrid w:val="0"/>
          <w:color w:val="000000"/>
          <w:kern w:val="0"/>
          <w:sz w:val="24"/>
          <w:lang w:bidi="ar"/>
        </w:rPr>
        <w:t>万元，资产总额</w:t>
      </w:r>
      <w:r>
        <w:rPr>
          <w:rFonts w:hint="eastAsia" w:ascii="仿宋" w:hAnsi="仿宋" w:eastAsia="仿宋" w:cs="仿宋"/>
          <w:snapToGrid w:val="0"/>
          <w:color w:val="000000"/>
          <w:kern w:val="0"/>
          <w:sz w:val="24"/>
          <w:u w:val="single"/>
          <w:lang w:bidi="ar"/>
        </w:rPr>
        <w:t xml:space="preserve">     </w:t>
      </w:r>
      <w:r>
        <w:rPr>
          <w:rFonts w:hint="eastAsia" w:ascii="仿宋" w:hAnsi="仿宋" w:eastAsia="仿宋" w:cs="仿宋"/>
          <w:snapToGrid w:val="0"/>
          <w:color w:val="000000"/>
          <w:kern w:val="0"/>
          <w:sz w:val="24"/>
          <w:lang w:bidi="ar"/>
        </w:rPr>
        <w:t>为万元，属于</w:t>
      </w:r>
      <w:r>
        <w:rPr>
          <w:rFonts w:hint="eastAsia" w:ascii="仿宋" w:hAnsi="仿宋" w:eastAsia="仿宋" w:cs="仿宋"/>
          <w:i/>
          <w:iCs/>
          <w:snapToGrid w:val="0"/>
          <w:color w:val="000000"/>
          <w:kern w:val="0"/>
          <w:sz w:val="24"/>
          <w:u w:val="single"/>
          <w:lang w:bidi="ar"/>
        </w:rPr>
        <w:t>（中型企业、小型企业、微型企业）</w:t>
      </w:r>
      <w:r>
        <w:rPr>
          <w:rFonts w:hint="eastAsia" w:ascii="仿宋" w:hAnsi="仿宋" w:eastAsia="仿宋" w:cs="仿宋"/>
          <w:snapToGrid w:val="0"/>
          <w:color w:val="000000"/>
          <w:kern w:val="0"/>
          <w:sz w:val="24"/>
          <w:lang w:bidi="ar"/>
        </w:rPr>
        <w:t xml:space="preserve">； </w:t>
      </w:r>
    </w:p>
    <w:p w14:paraId="00271E23">
      <w:pPr>
        <w:widowControl/>
        <w:spacing w:line="500" w:lineRule="exact"/>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bidi="ar"/>
        </w:rPr>
        <w:t xml:space="preserve">2. </w:t>
      </w:r>
      <w:r>
        <w:rPr>
          <w:rFonts w:hint="eastAsia" w:ascii="仿宋" w:hAnsi="仿宋" w:eastAsia="仿宋" w:cs="仿宋"/>
          <w:i/>
          <w:iCs/>
          <w:snapToGrid w:val="0"/>
          <w:color w:val="000000"/>
          <w:kern w:val="0"/>
          <w:sz w:val="24"/>
          <w:u w:val="single"/>
          <w:lang w:bidi="ar"/>
        </w:rPr>
        <w:t>（标的名称）</w:t>
      </w:r>
      <w:r>
        <w:rPr>
          <w:rFonts w:hint="eastAsia" w:ascii="仿宋" w:hAnsi="仿宋" w:eastAsia="仿宋" w:cs="仿宋"/>
          <w:snapToGrid w:val="0"/>
          <w:color w:val="000000"/>
          <w:kern w:val="0"/>
          <w:sz w:val="24"/>
          <w:lang w:bidi="ar"/>
        </w:rPr>
        <w:t>，属于</w:t>
      </w:r>
      <w:r>
        <w:rPr>
          <w:rFonts w:hint="eastAsia" w:ascii="仿宋" w:hAnsi="仿宋" w:eastAsia="仿宋" w:cs="仿宋"/>
          <w:i/>
          <w:iCs/>
          <w:snapToGrid w:val="0"/>
          <w:color w:val="000000"/>
          <w:kern w:val="0"/>
          <w:sz w:val="24"/>
          <w:u w:val="single"/>
          <w:lang w:bidi="ar"/>
        </w:rPr>
        <w:t>（采购文件中明确的所属行业）</w:t>
      </w:r>
      <w:r>
        <w:rPr>
          <w:rFonts w:hint="eastAsia" w:ascii="仿宋" w:hAnsi="仿宋" w:eastAsia="仿宋" w:cs="仿宋"/>
          <w:snapToGrid w:val="0"/>
          <w:color w:val="000000"/>
          <w:kern w:val="0"/>
          <w:sz w:val="24"/>
          <w:lang w:bidi="ar"/>
        </w:rPr>
        <w:t>；承建（承接）企业</w:t>
      </w:r>
    </w:p>
    <w:p w14:paraId="77BBD99C">
      <w:pPr>
        <w:widowControl/>
        <w:spacing w:line="500" w:lineRule="exact"/>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bidi="ar"/>
        </w:rPr>
        <w:t>为</w:t>
      </w:r>
      <w:r>
        <w:rPr>
          <w:rFonts w:hint="eastAsia" w:ascii="仿宋" w:hAnsi="仿宋" w:eastAsia="仿宋" w:cs="仿宋"/>
          <w:i/>
          <w:iCs/>
          <w:snapToGrid w:val="0"/>
          <w:color w:val="000000"/>
          <w:kern w:val="0"/>
          <w:sz w:val="24"/>
          <w:u w:val="single"/>
          <w:lang w:bidi="ar"/>
        </w:rPr>
        <w:t>（企业名称）</w:t>
      </w:r>
      <w:r>
        <w:rPr>
          <w:rFonts w:hint="eastAsia" w:ascii="仿宋" w:hAnsi="仿宋" w:eastAsia="仿宋" w:cs="仿宋"/>
          <w:snapToGrid w:val="0"/>
          <w:color w:val="000000"/>
          <w:kern w:val="0"/>
          <w:sz w:val="24"/>
          <w:lang w:bidi="ar"/>
        </w:rPr>
        <w:t>，从业人员</w:t>
      </w:r>
      <w:r>
        <w:rPr>
          <w:rFonts w:hint="eastAsia" w:ascii="仿宋" w:hAnsi="仿宋" w:eastAsia="仿宋" w:cs="仿宋"/>
          <w:snapToGrid w:val="0"/>
          <w:color w:val="000000"/>
          <w:kern w:val="0"/>
          <w:sz w:val="24"/>
          <w:u w:val="single"/>
          <w:lang w:bidi="ar"/>
        </w:rPr>
        <w:t xml:space="preserve">    </w:t>
      </w:r>
      <w:r>
        <w:rPr>
          <w:rFonts w:hint="eastAsia" w:ascii="仿宋" w:hAnsi="仿宋" w:eastAsia="仿宋" w:cs="仿宋"/>
          <w:snapToGrid w:val="0"/>
          <w:color w:val="000000"/>
          <w:kern w:val="0"/>
          <w:sz w:val="24"/>
          <w:lang w:bidi="ar"/>
        </w:rPr>
        <w:t>人，营业收入为</w:t>
      </w:r>
      <w:r>
        <w:rPr>
          <w:rFonts w:hint="eastAsia" w:ascii="仿宋" w:hAnsi="仿宋" w:eastAsia="仿宋" w:cs="仿宋"/>
          <w:snapToGrid w:val="0"/>
          <w:color w:val="000000"/>
          <w:kern w:val="0"/>
          <w:sz w:val="24"/>
          <w:u w:val="single"/>
          <w:lang w:bidi="ar"/>
        </w:rPr>
        <w:t xml:space="preserve">      </w:t>
      </w:r>
      <w:r>
        <w:rPr>
          <w:rFonts w:hint="eastAsia" w:ascii="仿宋" w:hAnsi="仿宋" w:eastAsia="仿宋" w:cs="仿宋"/>
          <w:snapToGrid w:val="0"/>
          <w:color w:val="000000"/>
          <w:kern w:val="0"/>
          <w:sz w:val="24"/>
          <w:lang w:bidi="ar"/>
        </w:rPr>
        <w:t>万元，资产总额</w:t>
      </w:r>
      <w:r>
        <w:rPr>
          <w:rFonts w:hint="eastAsia" w:ascii="仿宋" w:hAnsi="仿宋" w:eastAsia="仿宋" w:cs="仿宋"/>
          <w:snapToGrid w:val="0"/>
          <w:color w:val="000000"/>
          <w:kern w:val="0"/>
          <w:sz w:val="24"/>
          <w:u w:val="single"/>
          <w:lang w:bidi="ar"/>
        </w:rPr>
        <w:t xml:space="preserve">     </w:t>
      </w:r>
      <w:r>
        <w:rPr>
          <w:rFonts w:hint="eastAsia" w:ascii="仿宋" w:hAnsi="仿宋" w:eastAsia="仿宋" w:cs="仿宋"/>
          <w:snapToGrid w:val="0"/>
          <w:color w:val="000000"/>
          <w:kern w:val="0"/>
          <w:sz w:val="24"/>
          <w:lang w:bidi="ar"/>
        </w:rPr>
        <w:t>为万元，属于</w:t>
      </w:r>
      <w:r>
        <w:rPr>
          <w:rFonts w:hint="eastAsia" w:ascii="仿宋" w:hAnsi="仿宋" w:eastAsia="仿宋" w:cs="仿宋"/>
          <w:i/>
          <w:iCs/>
          <w:snapToGrid w:val="0"/>
          <w:color w:val="000000"/>
          <w:kern w:val="0"/>
          <w:sz w:val="24"/>
          <w:u w:val="single"/>
          <w:lang w:bidi="ar"/>
        </w:rPr>
        <w:t>（中型企业、小型企业、微型企业）</w:t>
      </w:r>
      <w:r>
        <w:rPr>
          <w:rFonts w:hint="eastAsia" w:ascii="仿宋" w:hAnsi="仿宋" w:eastAsia="仿宋" w:cs="仿宋"/>
          <w:snapToGrid w:val="0"/>
          <w:color w:val="000000"/>
          <w:kern w:val="0"/>
          <w:sz w:val="24"/>
          <w:lang w:bidi="ar"/>
        </w:rPr>
        <w:t xml:space="preserve">；； </w:t>
      </w:r>
    </w:p>
    <w:p w14:paraId="7C983F03">
      <w:pPr>
        <w:widowControl/>
        <w:spacing w:line="500" w:lineRule="exact"/>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bidi="ar"/>
        </w:rPr>
        <w:t xml:space="preserve">…… </w:t>
      </w:r>
    </w:p>
    <w:p w14:paraId="77B662BA">
      <w:pPr>
        <w:widowControl/>
        <w:spacing w:line="500" w:lineRule="exact"/>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bidi="ar"/>
        </w:rPr>
        <w:t xml:space="preserve">以上企业，不属于大企业的分支机构，不存在控股股东为大企业的情形， </w:t>
      </w:r>
    </w:p>
    <w:p w14:paraId="2AF67787">
      <w:pPr>
        <w:widowControl/>
        <w:spacing w:line="500" w:lineRule="exact"/>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bidi="ar"/>
        </w:rPr>
        <w:t xml:space="preserve">也不存在与大企业的负责人为同一人的情形。 </w:t>
      </w:r>
    </w:p>
    <w:p w14:paraId="4C54368E">
      <w:pPr>
        <w:widowControl/>
        <w:spacing w:line="500" w:lineRule="exact"/>
        <w:jc w:val="left"/>
        <w:rPr>
          <w:rFonts w:ascii="仿宋" w:hAnsi="仿宋" w:eastAsia="仿宋" w:cs="仿宋"/>
          <w:snapToGrid w:val="0"/>
          <w:color w:val="000000"/>
          <w:kern w:val="0"/>
          <w:sz w:val="24"/>
        </w:rPr>
      </w:pPr>
      <w:r>
        <w:rPr>
          <w:rFonts w:hint="eastAsia" w:ascii="仿宋" w:hAnsi="仿宋" w:eastAsia="仿宋" w:cs="仿宋"/>
          <w:snapToGrid w:val="0"/>
          <w:color w:val="000000"/>
          <w:kern w:val="0"/>
          <w:sz w:val="24"/>
          <w:lang w:bidi="ar"/>
        </w:rPr>
        <w:t>本企业对上述声明内容的真实性负责。如有虚假，将依法承担相应责任。</w:t>
      </w:r>
    </w:p>
    <w:p w14:paraId="55BDCE7C">
      <w:pPr>
        <w:pStyle w:val="39"/>
        <w:widowControl/>
        <w:spacing w:beforeAutospacing="0" w:afterAutospacing="0" w:line="500" w:lineRule="exact"/>
        <w:ind w:firstLine="420"/>
        <w:rPr>
          <w:rFonts w:ascii="仿宋" w:hAnsi="仿宋" w:eastAsia="仿宋" w:cs="仿宋"/>
          <w:color w:val="000000"/>
        </w:rPr>
      </w:pPr>
      <w:r>
        <w:rPr>
          <w:rFonts w:hint="eastAsia" w:ascii="仿宋" w:hAnsi="仿宋" w:eastAsia="仿宋" w:cs="仿宋"/>
          <w:color w:val="000000"/>
        </w:rPr>
        <w:t> </w:t>
      </w:r>
    </w:p>
    <w:p w14:paraId="6DA75046">
      <w:pPr>
        <w:pStyle w:val="39"/>
        <w:widowControl/>
        <w:spacing w:beforeAutospacing="0" w:afterAutospacing="0" w:line="500" w:lineRule="exact"/>
        <w:ind w:firstLine="420"/>
        <w:jc w:val="center"/>
        <w:rPr>
          <w:rFonts w:ascii="仿宋" w:hAnsi="仿宋" w:eastAsia="仿宋" w:cs="仿宋"/>
          <w:color w:val="000000"/>
          <w:u w:val="single"/>
        </w:rPr>
      </w:pPr>
      <w:r>
        <w:rPr>
          <w:rFonts w:hint="eastAsia" w:ascii="仿宋" w:hAnsi="仿宋" w:eastAsia="仿宋" w:cs="仿宋"/>
          <w:color w:val="000000"/>
        </w:rPr>
        <w:t xml:space="preserve">           企业名称（盖章）：</w:t>
      </w:r>
      <w:r>
        <w:rPr>
          <w:rFonts w:hint="eastAsia" w:ascii="仿宋" w:hAnsi="仿宋" w:eastAsia="仿宋" w:cs="仿宋"/>
          <w:color w:val="000000"/>
          <w:u w:val="single"/>
        </w:rPr>
        <w:t xml:space="preserve">          </w:t>
      </w:r>
    </w:p>
    <w:p w14:paraId="46BF767B">
      <w:pPr>
        <w:pStyle w:val="39"/>
        <w:widowControl/>
        <w:spacing w:beforeAutospacing="0" w:afterAutospacing="0" w:line="500" w:lineRule="exact"/>
        <w:ind w:firstLine="5520" w:firstLineChars="2300"/>
        <w:jc w:val="both"/>
        <w:rPr>
          <w:rFonts w:ascii="仿宋" w:hAnsi="仿宋" w:eastAsia="仿宋" w:cs="仿宋"/>
          <w:color w:val="000000"/>
          <w:sz w:val="27"/>
          <w:szCs w:val="27"/>
          <w:u w:val="single"/>
        </w:rPr>
      </w:pPr>
      <w:r>
        <w:rPr>
          <w:rFonts w:hint="eastAsia" w:ascii="仿宋" w:hAnsi="仿宋" w:eastAsia="仿宋" w:cs="仿宋"/>
          <w:color w:val="000000"/>
        </w:rPr>
        <w:t>日期：</w:t>
      </w:r>
      <w:r>
        <w:rPr>
          <w:rFonts w:hint="eastAsia" w:ascii="仿宋" w:hAnsi="仿宋" w:eastAsia="仿宋" w:cs="仿宋"/>
          <w:color w:val="000000"/>
          <w:u w:val="single"/>
        </w:rPr>
        <w:t xml:space="preserve">         </w:t>
      </w:r>
    </w:p>
    <w:p w14:paraId="3A3119A3">
      <w:pPr>
        <w:rPr>
          <w:rFonts w:ascii="仿宋" w:hAnsi="仿宋" w:eastAsia="仿宋" w:cs="仿宋"/>
          <w:color w:val="000000"/>
          <w:kern w:val="0"/>
          <w:szCs w:val="21"/>
          <w:lang w:bidi="ar"/>
        </w:rPr>
      </w:pPr>
    </w:p>
    <w:p w14:paraId="08B14A99">
      <w:pPr>
        <w:rPr>
          <w:rFonts w:ascii="仿宋" w:hAnsi="仿宋" w:eastAsia="仿宋" w:cs="仿宋"/>
          <w:color w:val="000000"/>
          <w:kern w:val="0"/>
          <w:szCs w:val="21"/>
          <w:lang w:bidi="ar"/>
        </w:rPr>
      </w:pPr>
    </w:p>
    <w:p w14:paraId="148794E5">
      <w:pPr>
        <w:rPr>
          <w:rFonts w:ascii="仿宋" w:hAnsi="仿宋" w:eastAsia="仿宋" w:cs="仿宋"/>
          <w:color w:val="000000"/>
          <w:kern w:val="0"/>
          <w:szCs w:val="21"/>
          <w:lang w:bidi="ar"/>
        </w:rPr>
      </w:pPr>
    </w:p>
    <w:p w14:paraId="3067C958">
      <w:pPr>
        <w:rPr>
          <w:rFonts w:ascii="仿宋" w:hAnsi="仿宋" w:eastAsia="仿宋" w:cs="仿宋"/>
          <w:color w:val="000000"/>
          <w:kern w:val="0"/>
          <w:szCs w:val="21"/>
          <w:lang w:bidi="ar"/>
        </w:rPr>
      </w:pPr>
    </w:p>
    <w:p w14:paraId="18A3F8A2">
      <w:pPr>
        <w:rPr>
          <w:rFonts w:ascii="仿宋" w:hAnsi="仿宋" w:eastAsia="仿宋" w:cs="仿宋"/>
          <w:color w:val="000000"/>
          <w:kern w:val="0"/>
          <w:szCs w:val="21"/>
          <w:lang w:bidi="ar"/>
        </w:rPr>
      </w:pPr>
    </w:p>
    <w:p w14:paraId="65861326">
      <w:pPr>
        <w:rPr>
          <w:rFonts w:ascii="仿宋" w:hAnsi="仿宋" w:eastAsia="仿宋" w:cs="仿宋"/>
          <w:color w:val="000000"/>
          <w:kern w:val="0"/>
          <w:szCs w:val="21"/>
          <w:lang w:bidi="ar"/>
        </w:rPr>
      </w:pPr>
    </w:p>
    <w:p w14:paraId="639990C3">
      <w:pPr>
        <w:rPr>
          <w:rFonts w:ascii="仿宋" w:hAnsi="仿宋" w:eastAsia="仿宋" w:cs="仿宋"/>
          <w:color w:val="000000"/>
          <w:kern w:val="0"/>
          <w:szCs w:val="21"/>
          <w:lang w:bidi="ar"/>
        </w:rPr>
      </w:pPr>
    </w:p>
    <w:p w14:paraId="155381A1">
      <w:pP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从业人员、营业收入、资产总额填报上一年度数据，无上一年度数据的新成立企业可不填报。</w:t>
      </w:r>
    </w:p>
    <w:p w14:paraId="3FA0A979">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11925257">
      <w:pPr>
        <w:widowControl/>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残疾人福利性单位声明函格式</w:t>
      </w:r>
    </w:p>
    <w:p w14:paraId="356D7CBE">
      <w:pPr>
        <w:widowControl/>
        <w:jc w:val="center"/>
        <w:rPr>
          <w:rFonts w:ascii="仿宋" w:hAnsi="仿宋" w:eastAsia="仿宋" w:cs="仿宋"/>
          <w:b/>
          <w:bCs/>
          <w:color w:val="000000"/>
          <w:kern w:val="0"/>
          <w:sz w:val="32"/>
          <w:szCs w:val="32"/>
          <w:lang w:bidi="ar"/>
        </w:rPr>
      </w:pPr>
    </w:p>
    <w:p w14:paraId="44575426">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lang w:bidi="ar"/>
        </w:rPr>
        <w:t>（请进行勾选）</w:t>
      </w:r>
      <w:r>
        <w:rPr>
          <w:rFonts w:hint="eastAsia" w:ascii="仿宋" w:hAnsi="仿宋" w:eastAsia="仿宋" w:cs="仿宋"/>
          <w:color w:val="000000"/>
          <w:kern w:val="0"/>
          <w:sz w:val="24"/>
          <w:lang w:bidi="ar"/>
        </w:rPr>
        <w:t xml:space="preserve">： </w:t>
      </w:r>
    </w:p>
    <w:p w14:paraId="65440873">
      <w:pPr>
        <w:widowControl/>
        <w:spacing w:line="500" w:lineRule="exact"/>
        <w:ind w:firstLine="482" w:firstLineChars="200"/>
        <w:jc w:val="left"/>
        <w:rPr>
          <w:rFonts w:ascii="仿宋" w:hAnsi="仿宋" w:eastAsia="仿宋" w:cs="仿宋"/>
          <w:sz w:val="24"/>
        </w:rPr>
      </w:pPr>
      <w:r>
        <w:rPr>
          <w:rFonts w:hint="eastAsia" w:ascii="仿宋" w:hAnsi="仿宋" w:eastAsia="仿宋" w:cs="仿宋"/>
          <w:b/>
          <w:bCs/>
          <w:color w:val="000000"/>
          <w:kern w:val="0"/>
          <w:sz w:val="24"/>
          <w:lang w:bidi="ar"/>
        </w:rPr>
        <w:t xml:space="preserve">□不属于符合条件的残疾人福利性单位。 </w:t>
      </w:r>
    </w:p>
    <w:p w14:paraId="7E050B06">
      <w:pPr>
        <w:widowControl/>
        <w:spacing w:line="500" w:lineRule="exact"/>
        <w:ind w:firstLine="482" w:firstLineChars="200"/>
        <w:jc w:val="left"/>
        <w:rPr>
          <w:rFonts w:ascii="仿宋" w:hAnsi="仿宋" w:eastAsia="仿宋" w:cs="仿宋"/>
          <w:sz w:val="24"/>
        </w:rPr>
      </w:pPr>
      <w:r>
        <w:rPr>
          <w:rFonts w:hint="eastAsia" w:ascii="仿宋" w:hAnsi="仿宋" w:eastAsia="仿宋" w:cs="仿宋"/>
          <w:b/>
          <w:bCs/>
          <w:color w:val="000000"/>
          <w:kern w:val="0"/>
          <w:sz w:val="24"/>
          <w:lang w:bidi="ar"/>
        </w:rPr>
        <w:t>□属于符合条件的残疾人福利性单位，</w:t>
      </w:r>
      <w:r>
        <w:rPr>
          <w:rFonts w:hint="eastAsia" w:ascii="仿宋" w:hAnsi="仿宋" w:eastAsia="仿宋" w:cs="仿宋"/>
          <w:color w:val="000000"/>
          <w:kern w:val="0"/>
          <w:sz w:val="24"/>
          <w:lang w:bidi="ar"/>
        </w:rPr>
        <w:t>且本单位参加</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单位的</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项目采购活动提供本单位制造的货物（由本单位承担工程/提供服务），或者提供其他残疾人福利性单位制造的货物（不包括使用非残疾人福利性单位注册商标的货物）。 </w:t>
      </w:r>
    </w:p>
    <w:p w14:paraId="2284F0EC">
      <w:pPr>
        <w:widowControl/>
        <w:spacing w:line="500" w:lineRule="exact"/>
        <w:ind w:firstLine="723" w:firstLineChars="300"/>
        <w:jc w:val="left"/>
        <w:rPr>
          <w:rFonts w:ascii="仿宋" w:hAnsi="仿宋" w:eastAsia="仿宋" w:cs="仿宋"/>
          <w:sz w:val="24"/>
        </w:rPr>
      </w:pPr>
      <w:r>
        <w:rPr>
          <w:rFonts w:hint="eastAsia" w:ascii="仿宋" w:hAnsi="仿宋" w:eastAsia="仿宋" w:cs="仿宋"/>
          <w:b/>
          <w:bCs/>
          <w:color w:val="000000"/>
          <w:kern w:val="0"/>
          <w:sz w:val="24"/>
          <w:lang w:bidi="ar"/>
        </w:rPr>
        <w:t xml:space="preserve">本单位对上述声明的真实性负责。如有虚假，将依法承担相应责任。 </w:t>
      </w:r>
    </w:p>
    <w:p w14:paraId="611B5E6E">
      <w:pPr>
        <w:widowControl/>
        <w:spacing w:line="500" w:lineRule="exact"/>
        <w:jc w:val="left"/>
        <w:rPr>
          <w:rFonts w:ascii="仿宋" w:hAnsi="仿宋" w:eastAsia="仿宋" w:cs="仿宋"/>
          <w:color w:val="000000"/>
          <w:kern w:val="0"/>
          <w:sz w:val="24"/>
          <w:lang w:bidi="ar"/>
        </w:rPr>
      </w:pPr>
    </w:p>
    <w:p w14:paraId="720293D9">
      <w:pPr>
        <w:widowControl/>
        <w:spacing w:line="500" w:lineRule="exact"/>
        <w:jc w:val="left"/>
        <w:rPr>
          <w:rFonts w:ascii="仿宋" w:hAnsi="仿宋" w:eastAsia="仿宋" w:cs="仿宋"/>
          <w:color w:val="000000"/>
          <w:kern w:val="0"/>
          <w:sz w:val="24"/>
          <w:lang w:bidi="ar"/>
        </w:rPr>
      </w:pPr>
    </w:p>
    <w:p w14:paraId="67EEEFA1">
      <w:pPr>
        <w:widowControl/>
        <w:spacing w:line="500" w:lineRule="exact"/>
        <w:jc w:val="center"/>
        <w:rPr>
          <w:rFonts w:ascii="仿宋" w:hAnsi="仿宋" w:eastAsia="仿宋" w:cs="仿宋"/>
          <w:sz w:val="24"/>
        </w:rPr>
      </w:pPr>
      <w:r>
        <w:rPr>
          <w:rFonts w:hint="eastAsia" w:ascii="仿宋" w:hAnsi="仿宋" w:eastAsia="仿宋" w:cs="仿宋"/>
          <w:color w:val="000000"/>
          <w:kern w:val="0"/>
          <w:sz w:val="24"/>
          <w:lang w:bidi="ar"/>
        </w:rPr>
        <w:t xml:space="preserve">             单位名称（盖章）：</w:t>
      </w:r>
    </w:p>
    <w:p w14:paraId="546BE0CF">
      <w:pPr>
        <w:widowControl/>
        <w:spacing w:line="500" w:lineRule="exact"/>
        <w:jc w:val="center"/>
        <w:rPr>
          <w:rFonts w:ascii="仿宋" w:hAnsi="仿宋" w:eastAsia="仿宋" w:cs="仿宋"/>
          <w:sz w:val="24"/>
        </w:rPr>
      </w:pPr>
      <w:r>
        <w:rPr>
          <w:rFonts w:hint="eastAsia" w:ascii="仿宋" w:hAnsi="仿宋" w:eastAsia="仿宋" w:cs="仿宋"/>
          <w:color w:val="000000"/>
          <w:kern w:val="0"/>
          <w:sz w:val="24"/>
          <w:lang w:bidi="ar"/>
        </w:rPr>
        <w:t xml:space="preserve">                         日期：</w:t>
      </w:r>
    </w:p>
    <w:p w14:paraId="499C3F90">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0A3F5367">
      <w:pPr>
        <w:widowControl/>
        <w:jc w:val="left"/>
        <w:rPr>
          <w:rFonts w:ascii="仿宋" w:hAnsi="仿宋" w:eastAsia="仿宋" w:cs="仿宋"/>
          <w:sz w:val="24"/>
        </w:rPr>
      </w:pPr>
      <w:r>
        <w:rPr>
          <w:rFonts w:hint="eastAsia" w:ascii="仿宋" w:hAnsi="仿宋" w:eastAsia="仿宋" w:cs="仿宋"/>
          <w:color w:val="000000"/>
          <w:kern w:val="0"/>
          <w:sz w:val="24"/>
          <w:lang w:bidi="ar"/>
        </w:rPr>
        <w:t>2-2 其它落实政府采购政策的资格要求（如有）</w:t>
      </w:r>
    </w:p>
    <w:p w14:paraId="3A6F52F6">
      <w:pPr>
        <w:spacing w:line="400" w:lineRule="exact"/>
        <w:rPr>
          <w:rFonts w:ascii="仿宋" w:hAnsi="仿宋" w:eastAsia="仿宋" w:cs="仿宋"/>
          <w:color w:val="000000"/>
          <w:kern w:val="0"/>
          <w:sz w:val="24"/>
          <w:lang w:bidi="ar"/>
        </w:rPr>
      </w:pPr>
    </w:p>
    <w:p w14:paraId="5BCE7837">
      <w:pPr>
        <w:spacing w:line="400" w:lineRule="exact"/>
        <w:rPr>
          <w:rFonts w:ascii="仿宋" w:hAnsi="仿宋" w:eastAsia="仿宋" w:cs="仿宋"/>
          <w:color w:val="000000"/>
          <w:kern w:val="0"/>
          <w:sz w:val="24"/>
          <w:lang w:bidi="ar"/>
        </w:rPr>
      </w:pPr>
    </w:p>
    <w:p w14:paraId="1AE6AF73">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1EE57D9C">
      <w:pPr>
        <w:widowControl/>
        <w:jc w:val="left"/>
        <w:rPr>
          <w:rFonts w:ascii="仿宋" w:hAnsi="仿宋" w:eastAsia="仿宋" w:cs="仿宋"/>
          <w:sz w:val="24"/>
        </w:rPr>
      </w:pPr>
      <w:r>
        <w:rPr>
          <w:rFonts w:hint="eastAsia" w:ascii="仿宋" w:hAnsi="仿宋" w:eastAsia="仿宋" w:cs="仿宋"/>
          <w:color w:val="000000"/>
          <w:kern w:val="0"/>
          <w:sz w:val="24"/>
          <w:lang w:bidi="ar"/>
        </w:rPr>
        <w:t>3  本项目的特定资格要求</w:t>
      </w:r>
    </w:p>
    <w:p w14:paraId="6510914D">
      <w:pPr>
        <w:widowControl/>
        <w:jc w:val="left"/>
        <w:rPr>
          <w:rFonts w:ascii="仿宋" w:hAnsi="仿宋" w:eastAsia="仿宋" w:cs="仿宋"/>
          <w:color w:val="000000"/>
          <w:kern w:val="0"/>
          <w:sz w:val="24"/>
          <w:lang w:bidi="ar"/>
        </w:rPr>
      </w:pPr>
      <w:r>
        <w:rPr>
          <w:rFonts w:ascii="仿宋" w:hAnsi="仿宋" w:eastAsia="仿宋" w:cs="仿宋"/>
          <w:color w:val="000000"/>
          <w:kern w:val="0"/>
          <w:sz w:val="24"/>
          <w:lang w:bidi="ar"/>
        </w:rPr>
        <w:br w:type="page"/>
      </w:r>
    </w:p>
    <w:p w14:paraId="47A329B0">
      <w:pPr>
        <w:widowControl/>
        <w:jc w:val="left"/>
        <w:rPr>
          <w:rFonts w:ascii="仿宋" w:hAnsi="仿宋" w:eastAsia="仿宋" w:cs="仿宋"/>
          <w:sz w:val="24"/>
        </w:rPr>
      </w:pPr>
      <w:r>
        <w:rPr>
          <w:rFonts w:hint="eastAsia" w:ascii="仿宋" w:hAnsi="仿宋" w:eastAsia="仿宋" w:cs="仿宋"/>
          <w:color w:val="000000"/>
          <w:kern w:val="0"/>
          <w:sz w:val="24"/>
          <w:lang w:bidi="ar"/>
        </w:rPr>
        <w:t>4  投标保证金凭证/交款单据电子件</w:t>
      </w:r>
    </w:p>
    <w:p w14:paraId="5983224C">
      <w:pPr>
        <w:spacing w:line="400" w:lineRule="exact"/>
        <w:rPr>
          <w:rFonts w:ascii="仿宋" w:hAnsi="仿宋" w:eastAsia="仿宋" w:cs="仿宋"/>
          <w:color w:val="000000"/>
          <w:kern w:val="0"/>
          <w:sz w:val="24"/>
          <w:lang w:bidi="ar"/>
        </w:rPr>
      </w:pPr>
    </w:p>
    <w:p w14:paraId="16C7A3E4">
      <w:pPr>
        <w:spacing w:line="400" w:lineRule="exact"/>
        <w:rPr>
          <w:rFonts w:ascii="仿宋" w:hAnsi="仿宋" w:eastAsia="仿宋" w:cs="仿宋"/>
          <w:color w:val="000000"/>
          <w:kern w:val="0"/>
          <w:sz w:val="24"/>
          <w:lang w:bidi="ar"/>
        </w:rPr>
      </w:pPr>
    </w:p>
    <w:p w14:paraId="03E712FC">
      <w:pPr>
        <w:spacing w:line="400" w:lineRule="exact"/>
        <w:rPr>
          <w:rFonts w:ascii="仿宋" w:hAnsi="仿宋" w:eastAsia="仿宋" w:cs="仿宋"/>
          <w:color w:val="000000"/>
          <w:kern w:val="0"/>
          <w:sz w:val="24"/>
          <w:lang w:bidi="ar"/>
        </w:rPr>
      </w:pPr>
    </w:p>
    <w:p w14:paraId="52D00704">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11AA0A82">
      <w:pPr>
        <w:widowControl/>
        <w:jc w:val="left"/>
        <w:rPr>
          <w:rFonts w:ascii="仿宋" w:hAnsi="仿宋" w:eastAsia="仿宋" w:cs="仿宋"/>
        </w:rPr>
      </w:pPr>
      <w:r>
        <w:rPr>
          <w:rFonts w:hint="eastAsia" w:ascii="仿宋" w:hAnsi="仿宋" w:eastAsia="仿宋" w:cs="仿宋"/>
          <w:color w:val="000000"/>
          <w:kern w:val="0"/>
          <w:sz w:val="24"/>
          <w:lang w:bidi="ar"/>
        </w:rPr>
        <w:t xml:space="preserve">5  投标书 </w:t>
      </w:r>
    </w:p>
    <w:p w14:paraId="4361DFD7">
      <w:pPr>
        <w:widowControl/>
        <w:spacing w:line="500" w:lineRule="exact"/>
        <w:jc w:val="center"/>
        <w:rPr>
          <w:rFonts w:ascii="仿宋" w:hAnsi="仿宋" w:eastAsia="仿宋" w:cs="仿宋"/>
          <w:b/>
          <w:bCs/>
          <w:color w:val="000000"/>
          <w:kern w:val="0"/>
          <w:sz w:val="32"/>
          <w:szCs w:val="32"/>
          <w:lang w:bidi="ar"/>
        </w:rPr>
      </w:pPr>
    </w:p>
    <w:p w14:paraId="1CD500F1">
      <w:pPr>
        <w:widowControl/>
        <w:spacing w:line="500" w:lineRule="exact"/>
        <w:jc w:val="center"/>
        <w:rPr>
          <w:rFonts w:ascii="仿宋" w:hAnsi="仿宋" w:eastAsia="仿宋" w:cs="仿宋"/>
          <w:sz w:val="32"/>
          <w:szCs w:val="32"/>
        </w:rPr>
      </w:pPr>
      <w:r>
        <w:rPr>
          <w:rFonts w:hint="eastAsia" w:ascii="仿宋" w:hAnsi="仿宋" w:eastAsia="仿宋" w:cs="仿宋"/>
          <w:b/>
          <w:bCs/>
          <w:color w:val="000000"/>
          <w:kern w:val="0"/>
          <w:sz w:val="32"/>
          <w:szCs w:val="32"/>
          <w:lang w:bidi="ar"/>
        </w:rPr>
        <w:t>投标书</w:t>
      </w:r>
    </w:p>
    <w:p w14:paraId="3291DC1E">
      <w:pPr>
        <w:widowControl/>
        <w:spacing w:line="500" w:lineRule="exact"/>
        <w:jc w:val="left"/>
        <w:rPr>
          <w:rFonts w:ascii="仿宋" w:hAnsi="仿宋" w:eastAsia="仿宋" w:cs="仿宋"/>
          <w:color w:val="000000"/>
          <w:kern w:val="0"/>
          <w:sz w:val="24"/>
          <w:lang w:bidi="ar"/>
        </w:rPr>
      </w:pPr>
    </w:p>
    <w:p w14:paraId="20B63814">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致：</w:t>
      </w:r>
      <w:r>
        <w:rPr>
          <w:rFonts w:hint="eastAsia" w:ascii="仿宋" w:hAnsi="仿宋" w:eastAsia="仿宋" w:cs="仿宋"/>
          <w:color w:val="000000"/>
          <w:kern w:val="0"/>
          <w:sz w:val="24"/>
          <w:u w:val="single"/>
          <w:lang w:bidi="ar"/>
        </w:rPr>
        <w:t>（采购人或采购代理机构）</w:t>
      </w:r>
      <w:r>
        <w:rPr>
          <w:rFonts w:hint="eastAsia" w:ascii="仿宋" w:hAnsi="仿宋" w:eastAsia="仿宋" w:cs="仿宋"/>
          <w:color w:val="000000"/>
          <w:kern w:val="0"/>
          <w:sz w:val="24"/>
          <w:lang w:bidi="ar"/>
        </w:rPr>
        <w:t xml:space="preserve"> </w:t>
      </w:r>
    </w:p>
    <w:p w14:paraId="09920E31">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我方参加你方就</w:t>
      </w:r>
      <w:r>
        <w:rPr>
          <w:rFonts w:hint="eastAsia" w:ascii="仿宋" w:hAnsi="仿宋" w:eastAsia="仿宋" w:cs="仿宋"/>
          <w:color w:val="000000"/>
          <w:kern w:val="0"/>
          <w:sz w:val="24"/>
          <w:u w:val="single"/>
          <w:lang w:bidi="ar"/>
        </w:rPr>
        <w:t>（标项名称，标项编号）</w:t>
      </w:r>
      <w:r>
        <w:rPr>
          <w:rFonts w:hint="eastAsia" w:ascii="仿宋" w:hAnsi="仿宋" w:eastAsia="仿宋" w:cs="仿宋"/>
          <w:color w:val="000000"/>
          <w:kern w:val="0"/>
          <w:sz w:val="24"/>
          <w:lang w:bidi="ar"/>
        </w:rPr>
        <w:t xml:space="preserve">组织的招标活动，并对 </w:t>
      </w:r>
    </w:p>
    <w:p w14:paraId="433726BF">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此项目进行投标。 </w:t>
      </w:r>
    </w:p>
    <w:p w14:paraId="35D64906">
      <w:pPr>
        <w:widowControl/>
        <w:spacing w:line="500" w:lineRule="exact"/>
        <w:jc w:val="left"/>
        <w:outlineLvl w:val="1"/>
        <w:rPr>
          <w:rFonts w:ascii="仿宋" w:hAnsi="仿宋" w:eastAsia="仿宋" w:cs="仿宋"/>
          <w:sz w:val="24"/>
        </w:rPr>
      </w:pPr>
      <w:bookmarkStart w:id="32" w:name="_Toc30504"/>
      <w:bookmarkStart w:id="33" w:name="_Toc155630099"/>
      <w:r>
        <w:rPr>
          <w:rFonts w:hint="eastAsia" w:ascii="仿宋" w:hAnsi="仿宋" w:eastAsia="仿宋" w:cs="仿宋"/>
          <w:color w:val="000000"/>
          <w:kern w:val="0"/>
          <w:sz w:val="24"/>
          <w:lang w:bidi="ar"/>
        </w:rPr>
        <w:t>1. 我方已详细审查全部招标文件，自愿参与投标并承诺如下：</w:t>
      </w:r>
      <w:bookmarkEnd w:id="32"/>
      <w:bookmarkEnd w:id="33"/>
      <w:r>
        <w:rPr>
          <w:rFonts w:hint="eastAsia" w:ascii="仿宋" w:hAnsi="仿宋" w:eastAsia="仿宋" w:cs="仿宋"/>
          <w:color w:val="000000"/>
          <w:kern w:val="0"/>
          <w:sz w:val="24"/>
          <w:lang w:bidi="ar"/>
        </w:rPr>
        <w:t xml:space="preserve"> </w:t>
      </w:r>
    </w:p>
    <w:p w14:paraId="78BC4AA3">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（1）本投标有效期为自提交投标文件的截止之日起</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个日历日。 </w:t>
      </w:r>
    </w:p>
    <w:p w14:paraId="6A8838C9">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（2）除合同条款及采购需求偏离表列出的偏离外，我方响应招标文件的全部要求。 </w:t>
      </w:r>
    </w:p>
    <w:p w14:paraId="06F774AE">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（3）我方已提供的全部文件资料是真实、准确的，并对此承担一切法律后果。 </w:t>
      </w:r>
    </w:p>
    <w:p w14:paraId="5E43DBC6">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（4）如我方中标，我方将在法律规定的期限内与你方签订合同，按照招标文件要求提交履约保证金，并在合同约定的期限内完成合同规定的全部义务。 </w:t>
      </w:r>
    </w:p>
    <w:p w14:paraId="6C532D58">
      <w:pPr>
        <w:widowControl/>
        <w:spacing w:line="500" w:lineRule="exact"/>
        <w:jc w:val="left"/>
        <w:outlineLvl w:val="1"/>
        <w:rPr>
          <w:rFonts w:ascii="仿宋" w:hAnsi="仿宋" w:eastAsia="仿宋" w:cs="仿宋"/>
          <w:sz w:val="24"/>
        </w:rPr>
      </w:pPr>
      <w:bookmarkStart w:id="34" w:name="_Toc155630100"/>
      <w:bookmarkStart w:id="35" w:name="_Toc24785"/>
      <w:r>
        <w:rPr>
          <w:rFonts w:hint="eastAsia" w:ascii="仿宋" w:hAnsi="仿宋" w:eastAsia="仿宋" w:cs="仿宋"/>
          <w:color w:val="000000"/>
          <w:kern w:val="0"/>
          <w:sz w:val="24"/>
          <w:lang w:bidi="ar"/>
        </w:rPr>
        <w:t>2. 其他补充条款（如有）：</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w:t>
      </w:r>
      <w:bookmarkEnd w:id="34"/>
      <w:bookmarkEnd w:id="35"/>
      <w:r>
        <w:rPr>
          <w:rFonts w:hint="eastAsia" w:ascii="仿宋" w:hAnsi="仿宋" w:eastAsia="仿宋" w:cs="仿宋"/>
          <w:color w:val="000000"/>
          <w:kern w:val="0"/>
          <w:sz w:val="24"/>
          <w:lang w:bidi="ar"/>
        </w:rPr>
        <w:t xml:space="preserve"> </w:t>
      </w:r>
    </w:p>
    <w:p w14:paraId="4DFF70D2">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与本投标有关的一切正式往来信函请寄： </w:t>
      </w:r>
    </w:p>
    <w:p w14:paraId="5B97F8D6">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地址</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传真</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0320DB2">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电话</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电子函件</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4B444B57">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投标人名称（加盖公章） </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160B352E">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日期：</w:t>
      </w:r>
      <w:r>
        <w:rPr>
          <w:rFonts w:hint="eastAsia" w:ascii="仿宋" w:hAnsi="仿宋" w:eastAsia="仿宋" w:cs="仿宋"/>
          <w:color w:val="000000"/>
          <w:kern w:val="0"/>
          <w:sz w:val="24"/>
          <w:u w:val="single"/>
          <w:lang w:bidi="ar"/>
        </w:rPr>
        <w:t xml:space="preserve">     年     月    日</w:t>
      </w:r>
    </w:p>
    <w:p w14:paraId="4703E0C1">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7AD22B0B">
      <w:pPr>
        <w:widowControl/>
        <w:spacing w:line="500" w:lineRule="exact"/>
        <w:jc w:val="left"/>
        <w:outlineLvl w:val="1"/>
        <w:rPr>
          <w:rFonts w:ascii="仿宋" w:hAnsi="仿宋" w:eastAsia="仿宋" w:cs="仿宋"/>
          <w:sz w:val="24"/>
        </w:rPr>
      </w:pPr>
      <w:bookmarkStart w:id="36" w:name="_Toc155630101"/>
      <w:bookmarkStart w:id="37" w:name="_Toc6076"/>
      <w:r>
        <w:rPr>
          <w:rFonts w:hint="eastAsia" w:ascii="仿宋" w:hAnsi="仿宋" w:eastAsia="仿宋" w:cs="仿宋"/>
          <w:color w:val="000000"/>
          <w:kern w:val="0"/>
          <w:sz w:val="24"/>
          <w:lang w:bidi="ar"/>
        </w:rPr>
        <w:t>6  授权委托书</w:t>
      </w:r>
      <w:bookmarkEnd w:id="36"/>
      <w:bookmarkEnd w:id="37"/>
      <w:r>
        <w:rPr>
          <w:rFonts w:hint="eastAsia" w:ascii="仿宋" w:hAnsi="仿宋" w:eastAsia="仿宋" w:cs="仿宋"/>
          <w:color w:val="000000"/>
          <w:kern w:val="0"/>
          <w:sz w:val="24"/>
          <w:lang w:bidi="ar"/>
        </w:rPr>
        <w:t xml:space="preserve"> </w:t>
      </w:r>
    </w:p>
    <w:p w14:paraId="6BCA4A84">
      <w:pPr>
        <w:widowControl/>
        <w:spacing w:line="500" w:lineRule="exact"/>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授权委托书</w:t>
      </w:r>
    </w:p>
    <w:p w14:paraId="4A999E2B">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本人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（姓名）系</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（投标人名称）的法定代表人（单位负责人），现委托</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（姓名）为我方代理人。代理人根据授权，以我方名义签署、澄清确认、递交、撤回、修改</w:t>
      </w:r>
      <w:r>
        <w:rPr>
          <w:rFonts w:hint="eastAsia" w:ascii="仿宋" w:hAnsi="仿宋" w:eastAsia="仿宋" w:cs="仿宋"/>
          <w:color w:val="000000"/>
          <w:kern w:val="0"/>
          <w:sz w:val="24"/>
          <w:u w:val="single"/>
          <w:lang w:bidi="ar"/>
        </w:rPr>
        <w:t xml:space="preserve">           （标项名称）</w:t>
      </w:r>
      <w:r>
        <w:rPr>
          <w:rFonts w:hint="eastAsia" w:ascii="仿宋" w:hAnsi="仿宋" w:eastAsia="仿宋" w:cs="仿宋"/>
          <w:color w:val="000000"/>
          <w:kern w:val="0"/>
          <w:sz w:val="24"/>
          <w:lang w:bidi="ar"/>
        </w:rPr>
        <w:t xml:space="preserve">投标文件和处理有关事宜，其法律后果由我方承担。 </w:t>
      </w:r>
    </w:p>
    <w:p w14:paraId="0255A6F9">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 xml:space="preserve">委托期限：自本授权委托书签署之日起至响应有效期届满之日止。 </w:t>
      </w:r>
    </w:p>
    <w:p w14:paraId="2AF35FA5">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 xml:space="preserve">代理人无转委托权。 </w:t>
      </w:r>
    </w:p>
    <w:p w14:paraId="55A917D5">
      <w:pPr>
        <w:widowControl/>
        <w:spacing w:line="500" w:lineRule="exact"/>
        <w:jc w:val="left"/>
        <w:rPr>
          <w:rFonts w:ascii="仿宋" w:hAnsi="仿宋" w:eastAsia="仿宋" w:cs="仿宋"/>
          <w:color w:val="000000"/>
          <w:kern w:val="0"/>
          <w:sz w:val="24"/>
          <w:lang w:bidi="ar"/>
        </w:rPr>
      </w:pPr>
    </w:p>
    <w:p w14:paraId="53041D85">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投标人名称（加盖公章）：</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5FED5AAB">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法定代表人（单位负责人）（签字或印鉴）：</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2FBC4CC8">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委托代理人（签字或印鉴）：</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65DA5564">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日期：</w:t>
      </w:r>
      <w:r>
        <w:rPr>
          <w:rFonts w:hint="eastAsia" w:ascii="仿宋" w:hAnsi="仿宋" w:eastAsia="仿宋" w:cs="仿宋"/>
          <w:color w:val="000000"/>
          <w:kern w:val="0"/>
          <w:sz w:val="24"/>
          <w:u w:val="single"/>
          <w:lang w:bidi="ar"/>
        </w:rPr>
        <w:t xml:space="preserve">   年    月    日</w:t>
      </w:r>
      <w:r>
        <w:rPr>
          <w:rFonts w:hint="eastAsia" w:ascii="仿宋" w:hAnsi="仿宋" w:eastAsia="仿宋" w:cs="仿宋"/>
          <w:color w:val="000000"/>
          <w:kern w:val="0"/>
          <w:sz w:val="24"/>
          <w:lang w:bidi="ar"/>
        </w:rPr>
        <w:t xml:space="preserve"> </w:t>
      </w:r>
    </w:p>
    <w:p w14:paraId="040ADB23">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法定代表人（单位负责人）有效期内的身份证</w:t>
      </w:r>
      <w:r>
        <w:rPr>
          <w:rFonts w:hint="eastAsia" w:ascii="仿宋" w:hAnsi="仿宋" w:eastAsia="仿宋" w:cs="仿宋"/>
          <w:b/>
          <w:bCs/>
          <w:color w:val="000000"/>
          <w:kern w:val="0"/>
          <w:sz w:val="24"/>
          <w:lang w:bidi="ar"/>
        </w:rPr>
        <w:t>正反面</w:t>
      </w:r>
      <w:r>
        <w:rPr>
          <w:rFonts w:hint="eastAsia" w:ascii="仿宋" w:hAnsi="仿宋" w:eastAsia="仿宋" w:cs="仿宋"/>
          <w:color w:val="000000"/>
          <w:kern w:val="0"/>
          <w:sz w:val="24"/>
          <w:lang w:bidi="ar"/>
        </w:rPr>
        <w:t xml:space="preserve">复印件： </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50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2F858038">
            <w:pPr>
              <w:widowControl/>
              <w:spacing w:line="500" w:lineRule="exact"/>
              <w:jc w:val="left"/>
              <w:rPr>
                <w:rFonts w:ascii="仿宋" w:hAnsi="仿宋" w:eastAsia="仿宋" w:cs="仿宋"/>
                <w:color w:val="000000"/>
                <w:kern w:val="0"/>
                <w:sz w:val="24"/>
                <w:lang w:bidi="ar"/>
              </w:rPr>
            </w:pPr>
          </w:p>
        </w:tc>
        <w:tc>
          <w:tcPr>
            <w:tcW w:w="4261" w:type="dxa"/>
          </w:tcPr>
          <w:p w14:paraId="2F94A828">
            <w:pPr>
              <w:widowControl/>
              <w:spacing w:line="500" w:lineRule="exact"/>
              <w:jc w:val="left"/>
              <w:rPr>
                <w:rFonts w:ascii="仿宋" w:hAnsi="仿宋" w:eastAsia="仿宋" w:cs="仿宋"/>
                <w:color w:val="000000"/>
                <w:kern w:val="0"/>
                <w:sz w:val="24"/>
                <w:lang w:bidi="ar"/>
              </w:rPr>
            </w:pPr>
          </w:p>
        </w:tc>
      </w:tr>
    </w:tbl>
    <w:p w14:paraId="2D39F6EC">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委托代理人有效期内的身份证</w:t>
      </w:r>
      <w:r>
        <w:rPr>
          <w:rFonts w:hint="eastAsia" w:ascii="仿宋" w:hAnsi="仿宋" w:eastAsia="仿宋" w:cs="仿宋"/>
          <w:b/>
          <w:bCs/>
          <w:color w:val="000000"/>
          <w:kern w:val="0"/>
          <w:sz w:val="24"/>
          <w:lang w:bidi="ar"/>
        </w:rPr>
        <w:t>正反面</w:t>
      </w:r>
      <w:r>
        <w:rPr>
          <w:rFonts w:hint="eastAsia" w:ascii="仿宋" w:hAnsi="仿宋" w:eastAsia="仿宋" w:cs="仿宋"/>
          <w:color w:val="000000"/>
          <w:kern w:val="0"/>
          <w:sz w:val="24"/>
          <w:lang w:bidi="ar"/>
        </w:rPr>
        <w:t xml:space="preserve">复印件： </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182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3" w:hRule="atLeast"/>
        </w:trPr>
        <w:tc>
          <w:tcPr>
            <w:tcW w:w="4261" w:type="dxa"/>
          </w:tcPr>
          <w:p w14:paraId="23C28EFB">
            <w:pPr>
              <w:widowControl/>
              <w:spacing w:line="500" w:lineRule="exact"/>
              <w:jc w:val="left"/>
              <w:rPr>
                <w:rFonts w:ascii="仿宋" w:hAnsi="仿宋" w:eastAsia="仿宋" w:cs="仿宋"/>
                <w:color w:val="000000"/>
                <w:kern w:val="0"/>
                <w:sz w:val="24"/>
                <w:lang w:bidi="ar"/>
              </w:rPr>
            </w:pPr>
          </w:p>
        </w:tc>
        <w:tc>
          <w:tcPr>
            <w:tcW w:w="4261" w:type="dxa"/>
          </w:tcPr>
          <w:p w14:paraId="79F40574">
            <w:pPr>
              <w:widowControl/>
              <w:spacing w:line="500" w:lineRule="exact"/>
              <w:jc w:val="left"/>
              <w:rPr>
                <w:rFonts w:ascii="仿宋" w:hAnsi="仿宋" w:eastAsia="仿宋" w:cs="仿宋"/>
                <w:color w:val="000000"/>
                <w:kern w:val="0"/>
                <w:sz w:val="24"/>
                <w:lang w:bidi="ar"/>
              </w:rPr>
            </w:pPr>
          </w:p>
        </w:tc>
      </w:tr>
    </w:tbl>
    <w:p w14:paraId="17C26DB5">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说明：1.若投标人为事业单位或其他组织或分支机构（仅当招标文件注明允许分支机构投标的），则法定代表人（单位负责人）处的签署人可为单位负责人。 </w:t>
      </w:r>
    </w:p>
    <w:p w14:paraId="18F7681C">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2.若投标文件中签字之处均为法定代表人（单位负责人）本人签署，则可不提供本《授权委托书》，但须提供《法定代表人（单位负责人）身份证明》。 </w:t>
      </w:r>
    </w:p>
    <w:p w14:paraId="6661CC37">
      <w:pPr>
        <w:widowControl/>
        <w:spacing w:line="500" w:lineRule="exact"/>
        <w:jc w:val="left"/>
        <w:outlineLvl w:val="1"/>
        <w:rPr>
          <w:rFonts w:ascii="仿宋" w:hAnsi="仿宋" w:eastAsia="仿宋" w:cs="仿宋"/>
          <w:color w:val="000000"/>
          <w:kern w:val="0"/>
          <w:sz w:val="24"/>
          <w:lang w:bidi="ar"/>
        </w:rPr>
      </w:pPr>
      <w:bookmarkStart w:id="38" w:name="_Toc18807"/>
      <w:bookmarkStart w:id="39" w:name="_Toc155630102"/>
      <w:r>
        <w:rPr>
          <w:rFonts w:hint="eastAsia" w:ascii="仿宋" w:hAnsi="仿宋" w:eastAsia="仿宋" w:cs="仿宋"/>
          <w:color w:val="000000"/>
          <w:kern w:val="0"/>
          <w:sz w:val="24"/>
          <w:lang w:bidi="ar"/>
        </w:rPr>
        <w:t>3.投标人为自然人的情形，可不提供本《授权委托书》。</w:t>
      </w:r>
      <w:bookmarkEnd w:id="38"/>
      <w:bookmarkEnd w:id="39"/>
    </w:p>
    <w:p w14:paraId="50E45636">
      <w:pPr>
        <w:pStyle w:val="17"/>
        <w:rPr>
          <w:rFonts w:ascii="仿宋" w:hAnsi="仿宋" w:eastAsia="仿宋" w:cs="仿宋"/>
        </w:rPr>
      </w:pPr>
    </w:p>
    <w:p w14:paraId="62CC3599">
      <w:pPr>
        <w:widowControl/>
        <w:spacing w:line="500" w:lineRule="exact"/>
        <w:jc w:val="center"/>
        <w:rPr>
          <w:rFonts w:ascii="仿宋" w:hAnsi="仿宋" w:eastAsia="仿宋" w:cs="仿宋"/>
          <w:sz w:val="32"/>
          <w:szCs w:val="32"/>
        </w:rPr>
      </w:pPr>
      <w:r>
        <w:rPr>
          <w:rFonts w:hint="eastAsia" w:ascii="仿宋" w:hAnsi="仿宋" w:eastAsia="仿宋" w:cs="仿宋"/>
          <w:b/>
          <w:bCs/>
          <w:color w:val="000000"/>
          <w:kern w:val="0"/>
          <w:sz w:val="32"/>
          <w:szCs w:val="32"/>
          <w:lang w:bidi="ar"/>
        </w:rPr>
        <w:t>附：法定代表人（单位负责人）身份证明</w:t>
      </w:r>
    </w:p>
    <w:p w14:paraId="4F312292">
      <w:pPr>
        <w:widowControl/>
        <w:spacing w:line="500" w:lineRule="exact"/>
        <w:jc w:val="left"/>
        <w:rPr>
          <w:rFonts w:ascii="仿宋" w:hAnsi="仿宋" w:eastAsia="仿宋" w:cs="仿宋"/>
          <w:color w:val="000000"/>
          <w:kern w:val="0"/>
          <w:sz w:val="24"/>
          <w:lang w:bidi="ar"/>
        </w:rPr>
      </w:pPr>
    </w:p>
    <w:p w14:paraId="2B081BC6">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致：</w:t>
      </w:r>
      <w:r>
        <w:rPr>
          <w:rFonts w:hint="eastAsia" w:ascii="仿宋" w:hAnsi="仿宋" w:eastAsia="仿宋" w:cs="仿宋"/>
          <w:color w:val="000000"/>
          <w:kern w:val="0"/>
          <w:sz w:val="24"/>
          <w:u w:val="single"/>
          <w:lang w:bidi="ar"/>
        </w:rPr>
        <w:t xml:space="preserve">（采购人或采购代理机构） </w:t>
      </w:r>
    </w:p>
    <w:p w14:paraId="711E4182">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 xml:space="preserve">兹证明， </w:t>
      </w:r>
    </w:p>
    <w:p w14:paraId="30C41C7A">
      <w:pPr>
        <w:widowControl/>
        <w:spacing w:line="500" w:lineRule="exact"/>
        <w:ind w:firstLine="480" w:firstLineChars="200"/>
        <w:jc w:val="left"/>
        <w:rPr>
          <w:rFonts w:ascii="仿宋" w:hAnsi="仿宋" w:eastAsia="仿宋" w:cs="仿宋"/>
          <w:color w:val="000000"/>
          <w:kern w:val="0"/>
          <w:sz w:val="24"/>
          <w:u w:val="single"/>
          <w:lang w:bidi="ar"/>
        </w:rPr>
      </w:pPr>
      <w:r>
        <w:rPr>
          <w:rFonts w:hint="eastAsia" w:ascii="仿宋" w:hAnsi="仿宋" w:eastAsia="仿宋" w:cs="仿宋"/>
          <w:color w:val="000000"/>
          <w:kern w:val="0"/>
          <w:sz w:val="24"/>
          <w:lang w:bidi="ar"/>
        </w:rPr>
        <w:t>姓名：</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性别：</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年龄：</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职务：</w:t>
      </w:r>
      <w:r>
        <w:rPr>
          <w:rFonts w:hint="eastAsia" w:ascii="仿宋" w:hAnsi="仿宋" w:eastAsia="仿宋" w:cs="仿宋"/>
          <w:color w:val="000000"/>
          <w:kern w:val="0"/>
          <w:sz w:val="24"/>
          <w:u w:val="single"/>
          <w:lang w:bidi="ar"/>
        </w:rPr>
        <w:t xml:space="preserve">     </w:t>
      </w:r>
    </w:p>
    <w:p w14:paraId="6E853EB9">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系</w:t>
      </w:r>
      <w:r>
        <w:rPr>
          <w:rFonts w:hint="eastAsia" w:ascii="仿宋" w:hAnsi="仿宋" w:eastAsia="仿宋" w:cs="仿宋"/>
          <w:color w:val="000000"/>
          <w:kern w:val="0"/>
          <w:sz w:val="24"/>
          <w:u w:val="single"/>
          <w:lang w:bidi="ar"/>
        </w:rPr>
        <w:t xml:space="preserve">       （投标人名称）</w:t>
      </w:r>
      <w:r>
        <w:rPr>
          <w:rFonts w:hint="eastAsia" w:ascii="仿宋" w:hAnsi="仿宋" w:eastAsia="仿宋" w:cs="仿宋"/>
          <w:color w:val="000000"/>
          <w:kern w:val="0"/>
          <w:sz w:val="24"/>
          <w:lang w:bidi="ar"/>
        </w:rPr>
        <w:t xml:space="preserve">的法定代表人（单位负责人）。 </w:t>
      </w:r>
    </w:p>
    <w:p w14:paraId="08C42736">
      <w:pPr>
        <w:widowControl/>
        <w:spacing w:line="500" w:lineRule="exact"/>
        <w:jc w:val="left"/>
        <w:rPr>
          <w:rFonts w:ascii="仿宋" w:hAnsi="仿宋" w:eastAsia="仿宋" w:cs="仿宋"/>
          <w:color w:val="000000"/>
          <w:kern w:val="0"/>
          <w:sz w:val="24"/>
          <w:lang w:bidi="ar"/>
        </w:rPr>
      </w:pPr>
    </w:p>
    <w:p w14:paraId="6820FA96">
      <w:pPr>
        <w:widowControl/>
        <w:spacing w:line="500" w:lineRule="exact"/>
        <w:jc w:val="left"/>
        <w:rPr>
          <w:rFonts w:ascii="仿宋" w:hAnsi="仿宋" w:eastAsia="仿宋" w:cs="仿宋"/>
          <w:color w:val="000000"/>
          <w:kern w:val="0"/>
          <w:sz w:val="24"/>
          <w:lang w:bidi="ar"/>
        </w:rPr>
      </w:pPr>
    </w:p>
    <w:p w14:paraId="543A40A1">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附：法定代表人（单位负责人）有效期内的身份证</w:t>
      </w:r>
      <w:r>
        <w:rPr>
          <w:rFonts w:hint="eastAsia" w:ascii="仿宋" w:hAnsi="仿宋" w:eastAsia="仿宋" w:cs="仿宋"/>
          <w:b/>
          <w:bCs/>
          <w:color w:val="000000"/>
          <w:kern w:val="0"/>
          <w:sz w:val="24"/>
          <w:lang w:bidi="ar"/>
        </w:rPr>
        <w:t>正反面</w:t>
      </w:r>
      <w:r>
        <w:rPr>
          <w:rFonts w:hint="eastAsia" w:ascii="仿宋" w:hAnsi="仿宋" w:eastAsia="仿宋" w:cs="仿宋"/>
          <w:color w:val="000000"/>
          <w:kern w:val="0"/>
          <w:sz w:val="24"/>
          <w:lang w:bidi="ar"/>
        </w:rPr>
        <w:t xml:space="preserve">复印件。 </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2F3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59CE4F28">
            <w:pPr>
              <w:spacing w:line="500" w:lineRule="exact"/>
              <w:rPr>
                <w:rFonts w:ascii="仿宋" w:hAnsi="仿宋" w:eastAsia="仿宋" w:cs="仿宋"/>
                <w:color w:val="000000"/>
                <w:kern w:val="0"/>
                <w:sz w:val="24"/>
                <w:lang w:bidi="ar"/>
              </w:rPr>
            </w:pPr>
          </w:p>
        </w:tc>
        <w:tc>
          <w:tcPr>
            <w:tcW w:w="4261" w:type="dxa"/>
          </w:tcPr>
          <w:p w14:paraId="5ABF963C">
            <w:pPr>
              <w:spacing w:line="500" w:lineRule="exact"/>
              <w:rPr>
                <w:rFonts w:ascii="仿宋" w:hAnsi="仿宋" w:eastAsia="仿宋" w:cs="仿宋"/>
                <w:color w:val="000000"/>
                <w:kern w:val="0"/>
                <w:sz w:val="24"/>
                <w:lang w:bidi="ar"/>
              </w:rPr>
            </w:pPr>
          </w:p>
        </w:tc>
      </w:tr>
    </w:tbl>
    <w:p w14:paraId="4CE1179C">
      <w:pPr>
        <w:spacing w:line="500" w:lineRule="exact"/>
        <w:rPr>
          <w:rFonts w:ascii="仿宋" w:hAnsi="仿宋" w:eastAsia="仿宋" w:cs="仿宋"/>
          <w:color w:val="000000"/>
          <w:kern w:val="0"/>
          <w:sz w:val="24"/>
          <w:lang w:bidi="ar"/>
        </w:rPr>
      </w:pPr>
    </w:p>
    <w:p w14:paraId="725399DB">
      <w:pPr>
        <w:spacing w:line="500" w:lineRule="exact"/>
        <w:rPr>
          <w:rFonts w:ascii="仿宋" w:hAnsi="仿宋" w:eastAsia="仿宋" w:cs="仿宋"/>
          <w:color w:val="000000"/>
          <w:kern w:val="0"/>
          <w:sz w:val="24"/>
          <w:lang w:bidi="ar"/>
        </w:rPr>
      </w:pPr>
    </w:p>
    <w:p w14:paraId="0C4263C4">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投标人名称（加盖公章）：</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69FA1DC2">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法定代表人（单位负责人）（签字或印鉴）：</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3B548739">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日期：</w:t>
      </w:r>
      <w:r>
        <w:rPr>
          <w:rFonts w:hint="eastAsia" w:ascii="仿宋" w:hAnsi="仿宋" w:eastAsia="仿宋" w:cs="仿宋"/>
          <w:color w:val="000000"/>
          <w:kern w:val="0"/>
          <w:sz w:val="24"/>
          <w:u w:val="single"/>
          <w:lang w:bidi="ar"/>
        </w:rPr>
        <w:t xml:space="preserve">    年    月    日</w:t>
      </w:r>
    </w:p>
    <w:p w14:paraId="34D47731">
      <w:pPr>
        <w:spacing w:line="500" w:lineRule="exact"/>
        <w:rPr>
          <w:rFonts w:ascii="仿宋" w:hAnsi="仿宋" w:eastAsia="仿宋" w:cs="仿宋"/>
          <w:color w:val="000000"/>
          <w:kern w:val="0"/>
          <w:sz w:val="24"/>
          <w:lang w:bidi="ar"/>
        </w:rPr>
      </w:pPr>
    </w:p>
    <w:p w14:paraId="55ED5257">
      <w:pPr>
        <w:rPr>
          <w:rFonts w:ascii="仿宋" w:hAnsi="仿宋" w:eastAsia="仿宋" w:cs="仿宋"/>
        </w:rPr>
      </w:pPr>
      <w:r>
        <w:rPr>
          <w:rFonts w:hint="eastAsia" w:ascii="仿宋" w:hAnsi="仿宋" w:eastAsia="仿宋" w:cs="仿宋"/>
        </w:rPr>
        <w:br w:type="page"/>
      </w:r>
    </w:p>
    <w:p w14:paraId="0C7CAEA6">
      <w:pPr>
        <w:outlineLvl w:val="1"/>
        <w:rPr>
          <w:rFonts w:ascii="仿宋" w:hAnsi="仿宋" w:eastAsia="仿宋" w:cs="仿宋"/>
          <w:sz w:val="24"/>
        </w:rPr>
      </w:pPr>
      <w:bookmarkStart w:id="40" w:name="_Toc155630103"/>
      <w:bookmarkStart w:id="41" w:name="_Toc23107"/>
      <w:r>
        <w:rPr>
          <w:rFonts w:hint="eastAsia" w:ascii="仿宋" w:hAnsi="仿宋" w:eastAsia="仿宋" w:cs="仿宋"/>
          <w:sz w:val="24"/>
        </w:rPr>
        <w:t>7  开标一览表</w:t>
      </w:r>
      <w:bookmarkEnd w:id="40"/>
      <w:bookmarkEnd w:id="41"/>
    </w:p>
    <w:p w14:paraId="2644BE05">
      <w:pPr>
        <w:rPr>
          <w:rFonts w:ascii="仿宋" w:hAnsi="仿宋" w:eastAsia="仿宋" w:cs="仿宋"/>
        </w:rPr>
      </w:pPr>
    </w:p>
    <w:p w14:paraId="363A83A2">
      <w:pPr>
        <w:jc w:val="center"/>
        <w:rPr>
          <w:rFonts w:ascii="仿宋" w:hAnsi="仿宋" w:eastAsia="仿宋" w:cs="仿宋"/>
          <w:b/>
          <w:bCs/>
          <w:sz w:val="32"/>
          <w:szCs w:val="32"/>
        </w:rPr>
      </w:pPr>
      <w:r>
        <w:rPr>
          <w:rFonts w:hint="eastAsia" w:ascii="仿宋" w:hAnsi="仿宋" w:eastAsia="仿宋" w:cs="仿宋"/>
          <w:b/>
          <w:bCs/>
          <w:sz w:val="32"/>
          <w:szCs w:val="32"/>
        </w:rPr>
        <w:t>开标一览表</w:t>
      </w:r>
    </w:p>
    <w:p w14:paraId="7DD8B211">
      <w:pPr>
        <w:rPr>
          <w:rFonts w:ascii="仿宋" w:hAnsi="仿宋" w:eastAsia="仿宋" w:cs="仿宋"/>
        </w:rPr>
      </w:pPr>
    </w:p>
    <w:p w14:paraId="7D343CAB">
      <w:pPr>
        <w:rPr>
          <w:rFonts w:ascii="仿宋" w:hAnsi="仿宋" w:eastAsia="仿宋" w:cs="仿宋"/>
        </w:rPr>
      </w:pPr>
    </w:p>
    <w:p w14:paraId="58086E1F">
      <w:pPr>
        <w:rPr>
          <w:rFonts w:ascii="仿宋" w:hAnsi="仿宋" w:eastAsia="仿宋" w:cs="仿宋"/>
          <w:u w:val="single"/>
        </w:rPr>
      </w:pPr>
      <w:r>
        <w:rPr>
          <w:rFonts w:hint="eastAsia" w:ascii="仿宋" w:hAnsi="仿宋" w:eastAsia="仿宋" w:cs="仿宋"/>
        </w:rPr>
        <w:t>标项编号：</w:t>
      </w:r>
      <w:r>
        <w:rPr>
          <w:rFonts w:hint="eastAsia" w:ascii="仿宋" w:hAnsi="仿宋" w:eastAsia="仿宋" w:cs="仿宋"/>
          <w:u w:val="single"/>
        </w:rPr>
        <w:t xml:space="preserve">                     </w:t>
      </w:r>
      <w:r>
        <w:rPr>
          <w:rFonts w:hint="eastAsia" w:ascii="仿宋" w:hAnsi="仿宋" w:eastAsia="仿宋" w:cs="仿宋"/>
        </w:rPr>
        <w:t xml:space="preserve"> 标项名称：</w:t>
      </w:r>
      <w:r>
        <w:rPr>
          <w:rFonts w:hint="eastAsia" w:ascii="仿宋" w:hAnsi="仿宋" w:eastAsia="仿宋" w:cs="仿宋"/>
          <w:u w:val="single"/>
        </w:rPr>
        <w:t xml:space="preserve">               </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4"/>
        <w:gridCol w:w="5988"/>
      </w:tblGrid>
      <w:tr w14:paraId="0CCF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487" w:type="pct"/>
            <w:vAlign w:val="center"/>
          </w:tcPr>
          <w:p w14:paraId="56757ACB">
            <w:pPr>
              <w:jc w:val="center"/>
              <w:rPr>
                <w:rFonts w:ascii="仿宋" w:hAnsi="仿宋" w:eastAsia="仿宋" w:cs="仿宋"/>
                <w:u w:val="single"/>
              </w:rPr>
            </w:pPr>
            <w:r>
              <w:rPr>
                <w:rFonts w:hint="eastAsia" w:ascii="仿宋" w:hAnsi="仿宋" w:eastAsia="仿宋" w:cs="仿宋"/>
                <w:b/>
                <w:bCs/>
              </w:rPr>
              <w:t>投标人名称</w:t>
            </w:r>
          </w:p>
        </w:tc>
        <w:tc>
          <w:tcPr>
            <w:tcW w:w="3513" w:type="pct"/>
            <w:vAlign w:val="center"/>
          </w:tcPr>
          <w:p w14:paraId="73F4AE49">
            <w:pPr>
              <w:rPr>
                <w:rFonts w:ascii="仿宋" w:hAnsi="仿宋" w:eastAsia="仿宋" w:cs="仿宋"/>
                <w:u w:val="single"/>
              </w:rPr>
            </w:pPr>
          </w:p>
        </w:tc>
      </w:tr>
      <w:tr w14:paraId="2867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487" w:type="pct"/>
            <w:vAlign w:val="center"/>
          </w:tcPr>
          <w:p w14:paraId="010AA499">
            <w:pPr>
              <w:jc w:val="center"/>
              <w:rPr>
                <w:rFonts w:ascii="仿宋" w:hAnsi="仿宋" w:eastAsia="仿宋" w:cs="仿宋"/>
                <w:u w:val="single"/>
              </w:rPr>
            </w:pPr>
            <w:r>
              <w:rPr>
                <w:rFonts w:hint="eastAsia" w:ascii="仿宋" w:hAnsi="仿宋" w:eastAsia="仿宋" w:cs="仿宋"/>
                <w:b/>
                <w:bCs/>
              </w:rPr>
              <w:t>投标报价（元）</w:t>
            </w:r>
          </w:p>
        </w:tc>
        <w:tc>
          <w:tcPr>
            <w:tcW w:w="3513" w:type="pct"/>
            <w:vAlign w:val="center"/>
          </w:tcPr>
          <w:p w14:paraId="10592ED8">
            <w:pPr>
              <w:pStyle w:val="43"/>
              <w:ind w:left="0" w:leftChars="0" w:firstLine="0" w:firstLineChars="0"/>
              <w:rPr>
                <w:rFonts w:ascii="仿宋" w:hAnsi="仿宋" w:eastAsia="仿宋" w:cs="仿宋"/>
              </w:rPr>
            </w:pPr>
            <w:r>
              <w:rPr>
                <w:rFonts w:hint="eastAsia" w:ascii="仿宋" w:hAnsi="仿宋" w:eastAsia="仿宋" w:cs="仿宋"/>
              </w:rPr>
              <w:t>大写：</w:t>
            </w:r>
          </w:p>
          <w:p w14:paraId="4866BCDB">
            <w:pPr>
              <w:rPr>
                <w:rFonts w:ascii="仿宋" w:hAnsi="仿宋" w:eastAsia="仿宋" w:cs="仿宋"/>
                <w:u w:val="single"/>
              </w:rPr>
            </w:pPr>
            <w:r>
              <w:rPr>
                <w:rFonts w:hint="eastAsia" w:ascii="仿宋" w:hAnsi="仿宋" w:eastAsia="仿宋" w:cs="仿宋"/>
              </w:rPr>
              <w:t>小写：</w:t>
            </w:r>
          </w:p>
        </w:tc>
      </w:tr>
      <w:tr w14:paraId="6C12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487" w:type="pct"/>
            <w:vAlign w:val="center"/>
          </w:tcPr>
          <w:p w14:paraId="38B7382D">
            <w:pPr>
              <w:jc w:val="center"/>
              <w:rPr>
                <w:rFonts w:ascii="仿宋" w:hAnsi="仿宋" w:eastAsia="仿宋" w:cs="仿宋"/>
                <w:u w:val="single"/>
              </w:rPr>
            </w:pPr>
            <w:r>
              <w:rPr>
                <w:rFonts w:hint="eastAsia" w:ascii="仿宋" w:hAnsi="仿宋" w:eastAsia="仿宋" w:cs="仿宋"/>
                <w:b/>
                <w:bCs/>
              </w:rPr>
              <w:t>合同履行期限</w:t>
            </w:r>
          </w:p>
        </w:tc>
        <w:tc>
          <w:tcPr>
            <w:tcW w:w="3513" w:type="pct"/>
            <w:vAlign w:val="center"/>
          </w:tcPr>
          <w:p w14:paraId="67F2E399">
            <w:pPr>
              <w:rPr>
                <w:rFonts w:ascii="仿宋" w:hAnsi="仿宋" w:eastAsia="仿宋" w:cs="仿宋"/>
              </w:rPr>
            </w:pPr>
          </w:p>
        </w:tc>
      </w:tr>
      <w:tr w14:paraId="2DDE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487" w:type="pct"/>
            <w:vAlign w:val="center"/>
          </w:tcPr>
          <w:p w14:paraId="1224C719">
            <w:pPr>
              <w:jc w:val="center"/>
              <w:rPr>
                <w:rFonts w:hint="eastAsia" w:ascii="仿宋" w:hAnsi="仿宋" w:eastAsia="仿宋" w:cs="仿宋"/>
                <w:b/>
                <w:bCs/>
                <w:lang w:val="en-US" w:eastAsia="zh-CN"/>
              </w:rPr>
            </w:pPr>
            <w:r>
              <w:rPr>
                <w:rFonts w:hint="eastAsia" w:ascii="仿宋" w:hAnsi="仿宋" w:eastAsia="仿宋" w:cs="仿宋"/>
                <w:b/>
                <w:bCs/>
                <w:lang w:val="en-US" w:eastAsia="zh-CN"/>
              </w:rPr>
              <w:t>项目负责人</w:t>
            </w:r>
          </w:p>
        </w:tc>
        <w:tc>
          <w:tcPr>
            <w:tcW w:w="3513" w:type="pct"/>
            <w:vAlign w:val="center"/>
          </w:tcPr>
          <w:p w14:paraId="622124C9">
            <w:pPr>
              <w:rPr>
                <w:rFonts w:ascii="仿宋" w:hAnsi="仿宋" w:eastAsia="仿宋" w:cs="仿宋"/>
              </w:rPr>
            </w:pPr>
          </w:p>
        </w:tc>
      </w:tr>
    </w:tbl>
    <w:p w14:paraId="13926158">
      <w:pPr>
        <w:rPr>
          <w:rFonts w:ascii="仿宋" w:hAnsi="仿宋" w:eastAsia="仿宋" w:cs="仿宋"/>
          <w:u w:val="single"/>
        </w:rPr>
      </w:pPr>
    </w:p>
    <w:p w14:paraId="370CCA8C">
      <w:pPr>
        <w:pStyle w:val="42"/>
        <w:ind w:firstLine="210"/>
        <w:rPr>
          <w:rFonts w:ascii="仿宋" w:hAnsi="仿宋" w:eastAsia="仿宋" w:cs="仿宋"/>
          <w:lang w:val="en-US"/>
        </w:rPr>
      </w:pPr>
      <w:r>
        <w:rPr>
          <w:rFonts w:hint="eastAsia" w:ascii="仿宋" w:hAnsi="仿宋" w:eastAsia="仿宋" w:cs="仿宋"/>
          <w:lang w:val="en-US"/>
        </w:rPr>
        <w:t>注：1.此表中，每包的投标报价应和《投标分项报价表》中的总价相一致。</w:t>
      </w:r>
    </w:p>
    <w:p w14:paraId="00C33FC5">
      <w:pPr>
        <w:pStyle w:val="42"/>
        <w:ind w:firstLine="210"/>
        <w:outlineLvl w:val="1"/>
        <w:rPr>
          <w:rFonts w:ascii="仿宋" w:hAnsi="仿宋" w:eastAsia="仿宋" w:cs="仿宋"/>
          <w:lang w:val="en-US"/>
        </w:rPr>
      </w:pPr>
      <w:bookmarkStart w:id="42" w:name="_Toc31128"/>
      <w:bookmarkStart w:id="43" w:name="_Toc155630104"/>
      <w:r>
        <w:rPr>
          <w:rFonts w:hint="eastAsia" w:ascii="仿宋" w:hAnsi="仿宋" w:eastAsia="仿宋" w:cs="仿宋"/>
          <w:lang w:val="en-US"/>
        </w:rPr>
        <w:t>2.本表必须填写。</w:t>
      </w:r>
      <w:bookmarkEnd w:id="42"/>
      <w:bookmarkEnd w:id="43"/>
    </w:p>
    <w:p w14:paraId="5D72130D">
      <w:pPr>
        <w:pStyle w:val="42"/>
        <w:ind w:firstLine="210"/>
        <w:rPr>
          <w:rFonts w:ascii="仿宋" w:hAnsi="仿宋" w:eastAsia="仿宋" w:cs="仿宋"/>
          <w:lang w:val="en-US"/>
        </w:rPr>
      </w:pPr>
    </w:p>
    <w:p w14:paraId="7C51B32F">
      <w:pPr>
        <w:pStyle w:val="42"/>
        <w:ind w:firstLine="240"/>
        <w:rPr>
          <w:rFonts w:ascii="仿宋" w:hAnsi="仿宋" w:eastAsia="仿宋" w:cs="仿宋"/>
          <w:sz w:val="24"/>
          <w:lang w:val="en-US"/>
        </w:rPr>
      </w:pPr>
      <w:r>
        <w:rPr>
          <w:rFonts w:hint="eastAsia" w:ascii="仿宋" w:hAnsi="仿宋" w:eastAsia="仿宋" w:cs="仿宋"/>
          <w:sz w:val="24"/>
          <w:lang w:val="en-US"/>
        </w:rPr>
        <w:t>投标人名称（加盖公章）：</w:t>
      </w:r>
      <w:r>
        <w:rPr>
          <w:rFonts w:hint="eastAsia" w:ascii="仿宋" w:hAnsi="仿宋" w:eastAsia="仿宋" w:cs="仿宋"/>
          <w:sz w:val="24"/>
          <w:u w:val="single"/>
          <w:lang w:val="en-US"/>
        </w:rPr>
        <w:t xml:space="preserve">             </w:t>
      </w:r>
    </w:p>
    <w:p w14:paraId="65541918">
      <w:pPr>
        <w:pStyle w:val="42"/>
        <w:ind w:firstLine="240"/>
        <w:rPr>
          <w:rFonts w:ascii="仿宋" w:hAnsi="仿宋" w:eastAsia="仿宋" w:cs="仿宋"/>
          <w:sz w:val="24"/>
          <w:lang w:val="en-US"/>
        </w:rPr>
      </w:pPr>
      <w:r>
        <w:rPr>
          <w:rFonts w:hint="eastAsia" w:ascii="仿宋" w:hAnsi="仿宋" w:eastAsia="仿宋" w:cs="仿宋"/>
          <w:sz w:val="24"/>
          <w:lang w:val="en-US"/>
        </w:rPr>
        <w:t>日期：</w:t>
      </w:r>
      <w:r>
        <w:rPr>
          <w:rFonts w:hint="eastAsia" w:ascii="仿宋" w:hAnsi="仿宋" w:eastAsia="仿宋" w:cs="仿宋"/>
          <w:sz w:val="24"/>
          <w:u w:val="single"/>
          <w:lang w:val="en-US"/>
        </w:rPr>
        <w:t xml:space="preserve">        </w:t>
      </w:r>
      <w:r>
        <w:rPr>
          <w:rFonts w:hint="eastAsia" w:ascii="仿宋" w:hAnsi="仿宋" w:eastAsia="仿宋" w:cs="仿宋"/>
          <w:sz w:val="24"/>
          <w:lang w:val="en-US"/>
        </w:rPr>
        <w:t>年</w:t>
      </w:r>
      <w:r>
        <w:rPr>
          <w:rFonts w:hint="eastAsia" w:ascii="仿宋" w:hAnsi="仿宋" w:eastAsia="仿宋" w:cs="仿宋"/>
          <w:sz w:val="24"/>
          <w:u w:val="single"/>
          <w:lang w:val="en-US"/>
        </w:rPr>
        <w:t xml:space="preserve">      </w:t>
      </w:r>
      <w:r>
        <w:rPr>
          <w:rFonts w:hint="eastAsia" w:ascii="仿宋" w:hAnsi="仿宋" w:eastAsia="仿宋" w:cs="仿宋"/>
          <w:sz w:val="24"/>
          <w:lang w:val="en-US"/>
        </w:rPr>
        <w:t>月</w:t>
      </w:r>
      <w:r>
        <w:rPr>
          <w:rFonts w:hint="eastAsia" w:ascii="仿宋" w:hAnsi="仿宋" w:eastAsia="仿宋" w:cs="仿宋"/>
          <w:sz w:val="24"/>
          <w:u w:val="single"/>
          <w:lang w:val="en-US"/>
        </w:rPr>
        <w:t xml:space="preserve">     </w:t>
      </w:r>
      <w:r>
        <w:rPr>
          <w:rFonts w:hint="eastAsia" w:ascii="仿宋" w:hAnsi="仿宋" w:eastAsia="仿宋" w:cs="仿宋"/>
          <w:sz w:val="24"/>
          <w:lang w:val="en-US"/>
        </w:rPr>
        <w:t>日</w:t>
      </w:r>
    </w:p>
    <w:p w14:paraId="665393D8">
      <w:pPr>
        <w:pStyle w:val="33"/>
        <w:rPr>
          <w:rFonts w:ascii="仿宋" w:hAnsi="仿宋" w:eastAsia="仿宋" w:cs="仿宋"/>
        </w:rPr>
      </w:pPr>
    </w:p>
    <w:p w14:paraId="2F5BB56A">
      <w:pPr>
        <w:rPr>
          <w:rFonts w:ascii="仿宋" w:hAnsi="仿宋" w:eastAsia="仿宋" w:cs="仿宋"/>
        </w:rPr>
      </w:pPr>
      <w:r>
        <w:rPr>
          <w:rFonts w:hint="eastAsia" w:ascii="仿宋" w:hAnsi="仿宋" w:eastAsia="仿宋" w:cs="仿宋"/>
        </w:rPr>
        <w:br w:type="page"/>
      </w:r>
    </w:p>
    <w:p w14:paraId="6C4B6538">
      <w:pPr>
        <w:pStyle w:val="43"/>
        <w:ind w:left="0" w:leftChars="0" w:firstLine="0" w:firstLineChars="0"/>
        <w:outlineLvl w:val="1"/>
        <w:rPr>
          <w:rFonts w:ascii="仿宋" w:hAnsi="仿宋" w:eastAsia="仿宋" w:cs="仿宋"/>
          <w:sz w:val="24"/>
        </w:rPr>
      </w:pPr>
      <w:bookmarkStart w:id="44" w:name="_Toc155630105"/>
      <w:bookmarkStart w:id="45" w:name="_Toc7007"/>
      <w:r>
        <w:rPr>
          <w:rFonts w:hint="eastAsia" w:ascii="仿宋" w:hAnsi="仿宋" w:eastAsia="仿宋" w:cs="仿宋"/>
          <w:sz w:val="24"/>
        </w:rPr>
        <w:t>7</w:t>
      </w:r>
      <w:r>
        <w:rPr>
          <w:rFonts w:hint="eastAsia" w:ascii="仿宋" w:hAnsi="仿宋" w:eastAsia="仿宋" w:cs="仿宋"/>
          <w:sz w:val="24"/>
          <w:lang w:val="en-US" w:eastAsia="zh-CN"/>
        </w:rPr>
        <w:t>.1</w:t>
      </w:r>
      <w:r>
        <w:rPr>
          <w:rFonts w:hint="eastAsia" w:ascii="仿宋" w:hAnsi="仿宋" w:eastAsia="仿宋" w:cs="仿宋"/>
          <w:sz w:val="24"/>
        </w:rPr>
        <w:t xml:space="preserve"> 投标分项报价表</w:t>
      </w:r>
      <w:bookmarkEnd w:id="44"/>
      <w:bookmarkEnd w:id="45"/>
    </w:p>
    <w:p w14:paraId="2376FAA6">
      <w:pPr>
        <w:pStyle w:val="43"/>
        <w:ind w:left="0" w:leftChars="0" w:firstLine="0" w:firstLineChars="0"/>
        <w:jc w:val="center"/>
        <w:rPr>
          <w:rFonts w:ascii="仿宋" w:hAnsi="仿宋" w:eastAsia="仿宋" w:cs="仿宋"/>
          <w:b/>
          <w:bCs/>
          <w:sz w:val="32"/>
          <w:szCs w:val="32"/>
        </w:rPr>
      </w:pPr>
      <w:r>
        <w:rPr>
          <w:rFonts w:hint="eastAsia" w:ascii="仿宋" w:hAnsi="仿宋" w:eastAsia="仿宋" w:cs="仿宋"/>
          <w:b/>
          <w:bCs/>
          <w:sz w:val="32"/>
          <w:szCs w:val="32"/>
        </w:rPr>
        <w:t>投标分项报价表</w:t>
      </w:r>
    </w:p>
    <w:p w14:paraId="267A7BF6">
      <w:pPr>
        <w:pStyle w:val="43"/>
        <w:ind w:left="0" w:leftChars="0" w:firstLine="0" w:firstLineChars="0"/>
        <w:jc w:val="center"/>
        <w:rPr>
          <w:rFonts w:ascii="仿宋" w:hAnsi="仿宋" w:eastAsia="仿宋" w:cs="仿宋"/>
        </w:rPr>
      </w:pPr>
    </w:p>
    <w:p w14:paraId="43F2550C">
      <w:pPr>
        <w:pStyle w:val="43"/>
        <w:ind w:left="0" w:leftChars="0" w:firstLine="0" w:firstLineChars="0"/>
        <w:jc w:val="center"/>
        <w:rPr>
          <w:rFonts w:ascii="仿宋" w:hAnsi="仿宋" w:eastAsia="仿宋" w:cs="仿宋"/>
        </w:rPr>
      </w:pPr>
      <w:r>
        <w:rPr>
          <w:rFonts w:hint="eastAsia" w:ascii="仿宋" w:hAnsi="仿宋" w:eastAsia="仿宋" w:cs="仿宋"/>
        </w:rPr>
        <w:t>标项编号：</w:t>
      </w:r>
      <w:r>
        <w:rPr>
          <w:rFonts w:hint="eastAsia" w:ascii="仿宋" w:hAnsi="仿宋" w:eastAsia="仿宋" w:cs="仿宋"/>
          <w:u w:val="single"/>
        </w:rPr>
        <w:t xml:space="preserve">                     </w:t>
      </w:r>
      <w:r>
        <w:rPr>
          <w:rFonts w:hint="eastAsia" w:ascii="仿宋" w:hAnsi="仿宋" w:eastAsia="仿宋" w:cs="仿宋"/>
        </w:rPr>
        <w:t xml:space="preserve"> 标项名称：</w:t>
      </w:r>
      <w:r>
        <w:rPr>
          <w:rFonts w:hint="eastAsia" w:ascii="仿宋" w:hAnsi="仿宋" w:eastAsia="仿宋" w:cs="仿宋"/>
          <w:u w:val="single"/>
        </w:rPr>
        <w:t xml:space="preserve">               </w:t>
      </w:r>
      <w:r>
        <w:rPr>
          <w:rFonts w:hint="eastAsia" w:ascii="仿宋" w:hAnsi="仿宋" w:eastAsia="仿宋" w:cs="仿宋"/>
        </w:rPr>
        <w:t>报价单位：人民币元</w:t>
      </w:r>
    </w:p>
    <w:tbl>
      <w:tblPr>
        <w:tblStyle w:val="45"/>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65"/>
        <w:gridCol w:w="1405"/>
        <w:gridCol w:w="1100"/>
        <w:gridCol w:w="1727"/>
        <w:gridCol w:w="1897"/>
      </w:tblGrid>
      <w:tr w14:paraId="2CD7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9" w:type="dxa"/>
            <w:vAlign w:val="center"/>
          </w:tcPr>
          <w:p w14:paraId="42B58E8B">
            <w:pPr>
              <w:pStyle w:val="42"/>
              <w:ind w:firstLine="0" w:firstLineChars="0"/>
              <w:jc w:val="center"/>
              <w:rPr>
                <w:rFonts w:ascii="仿宋" w:hAnsi="仿宋" w:eastAsia="仿宋" w:cs="仿宋"/>
                <w:szCs w:val="21"/>
                <w:lang w:val="en-US"/>
              </w:rPr>
            </w:pPr>
            <w:r>
              <w:rPr>
                <w:rFonts w:hint="eastAsia" w:ascii="仿宋" w:hAnsi="仿宋" w:eastAsia="仿宋" w:cs="仿宋"/>
                <w:szCs w:val="21"/>
                <w:lang w:val="en-US"/>
              </w:rPr>
              <w:t>序号</w:t>
            </w:r>
          </w:p>
        </w:tc>
        <w:tc>
          <w:tcPr>
            <w:tcW w:w="1565" w:type="dxa"/>
            <w:vAlign w:val="center"/>
          </w:tcPr>
          <w:p w14:paraId="4A2A3486">
            <w:pPr>
              <w:pStyle w:val="42"/>
              <w:ind w:firstLine="0" w:firstLineChars="0"/>
              <w:jc w:val="center"/>
              <w:rPr>
                <w:rFonts w:ascii="仿宋" w:hAnsi="仿宋" w:eastAsia="仿宋" w:cs="仿宋"/>
                <w:szCs w:val="21"/>
                <w:lang w:val="en-US"/>
              </w:rPr>
            </w:pPr>
            <w:r>
              <w:rPr>
                <w:rFonts w:hint="eastAsia" w:ascii="仿宋" w:hAnsi="仿宋" w:eastAsia="仿宋" w:cs="仿宋"/>
                <w:szCs w:val="21"/>
                <w:lang w:val="en-US"/>
              </w:rPr>
              <w:t>分项名称</w:t>
            </w:r>
          </w:p>
        </w:tc>
        <w:tc>
          <w:tcPr>
            <w:tcW w:w="1405" w:type="dxa"/>
            <w:vAlign w:val="center"/>
          </w:tcPr>
          <w:p w14:paraId="502DE433">
            <w:pPr>
              <w:pStyle w:val="42"/>
              <w:ind w:firstLine="0" w:firstLineChars="0"/>
              <w:jc w:val="center"/>
              <w:rPr>
                <w:rFonts w:ascii="仿宋" w:hAnsi="仿宋" w:eastAsia="仿宋" w:cs="仿宋"/>
                <w:szCs w:val="21"/>
                <w:lang w:val="en-US"/>
              </w:rPr>
            </w:pPr>
            <w:r>
              <w:rPr>
                <w:rFonts w:hint="eastAsia" w:ascii="仿宋" w:hAnsi="仿宋" w:eastAsia="仿宋" w:cs="仿宋"/>
                <w:szCs w:val="21"/>
                <w:lang w:val="en-US"/>
              </w:rPr>
              <w:t>单价（元）</w:t>
            </w:r>
          </w:p>
        </w:tc>
        <w:tc>
          <w:tcPr>
            <w:tcW w:w="1100" w:type="dxa"/>
            <w:vAlign w:val="center"/>
          </w:tcPr>
          <w:p w14:paraId="0B986B79">
            <w:pPr>
              <w:pStyle w:val="42"/>
              <w:ind w:firstLine="0" w:firstLineChars="0"/>
              <w:jc w:val="center"/>
              <w:rPr>
                <w:rFonts w:ascii="仿宋" w:hAnsi="仿宋" w:eastAsia="仿宋" w:cs="仿宋"/>
                <w:szCs w:val="21"/>
                <w:lang w:val="en-US"/>
              </w:rPr>
            </w:pPr>
            <w:r>
              <w:rPr>
                <w:rFonts w:hint="eastAsia" w:ascii="仿宋" w:hAnsi="仿宋" w:eastAsia="仿宋" w:cs="仿宋"/>
                <w:szCs w:val="21"/>
                <w:lang w:val="en-US"/>
              </w:rPr>
              <w:t>数量</w:t>
            </w:r>
          </w:p>
        </w:tc>
        <w:tc>
          <w:tcPr>
            <w:tcW w:w="1727" w:type="dxa"/>
            <w:vAlign w:val="center"/>
          </w:tcPr>
          <w:p w14:paraId="715FA67E">
            <w:pPr>
              <w:pStyle w:val="42"/>
              <w:ind w:firstLine="0" w:firstLineChars="0"/>
              <w:jc w:val="center"/>
              <w:rPr>
                <w:rFonts w:ascii="仿宋" w:hAnsi="仿宋" w:eastAsia="仿宋" w:cs="仿宋"/>
                <w:szCs w:val="21"/>
                <w:lang w:val="en-US"/>
              </w:rPr>
            </w:pPr>
            <w:r>
              <w:rPr>
                <w:rFonts w:hint="eastAsia" w:ascii="仿宋" w:hAnsi="仿宋" w:eastAsia="仿宋" w:cs="仿宋"/>
                <w:szCs w:val="21"/>
                <w:lang w:val="en-US"/>
              </w:rPr>
              <w:t>合价（元）</w:t>
            </w:r>
          </w:p>
        </w:tc>
        <w:tc>
          <w:tcPr>
            <w:tcW w:w="1897" w:type="dxa"/>
            <w:vAlign w:val="center"/>
          </w:tcPr>
          <w:p w14:paraId="7D83300C">
            <w:pPr>
              <w:pStyle w:val="42"/>
              <w:ind w:firstLine="0" w:firstLineChars="0"/>
              <w:jc w:val="center"/>
              <w:rPr>
                <w:rFonts w:ascii="仿宋" w:hAnsi="仿宋" w:eastAsia="仿宋" w:cs="仿宋"/>
                <w:szCs w:val="21"/>
                <w:lang w:val="en-US"/>
              </w:rPr>
            </w:pPr>
            <w:r>
              <w:rPr>
                <w:rFonts w:hint="eastAsia" w:ascii="仿宋" w:hAnsi="仿宋" w:eastAsia="仿宋" w:cs="仿宋"/>
                <w:szCs w:val="21"/>
                <w:lang w:val="en-US"/>
              </w:rPr>
              <w:t>备注/说明</w:t>
            </w:r>
          </w:p>
        </w:tc>
      </w:tr>
      <w:tr w14:paraId="156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9" w:type="dxa"/>
            <w:vAlign w:val="center"/>
          </w:tcPr>
          <w:p w14:paraId="580D3421">
            <w:pPr>
              <w:pStyle w:val="42"/>
              <w:ind w:firstLine="210"/>
              <w:jc w:val="center"/>
              <w:rPr>
                <w:rFonts w:ascii="仿宋" w:hAnsi="仿宋" w:eastAsia="仿宋" w:cs="仿宋"/>
                <w:szCs w:val="21"/>
                <w:lang w:val="en-US"/>
              </w:rPr>
            </w:pPr>
          </w:p>
        </w:tc>
        <w:tc>
          <w:tcPr>
            <w:tcW w:w="1565" w:type="dxa"/>
            <w:vAlign w:val="center"/>
          </w:tcPr>
          <w:p w14:paraId="0D95AB8F">
            <w:pPr>
              <w:pStyle w:val="42"/>
              <w:ind w:firstLine="210"/>
              <w:jc w:val="center"/>
              <w:rPr>
                <w:rFonts w:ascii="仿宋" w:hAnsi="仿宋" w:eastAsia="仿宋" w:cs="仿宋"/>
                <w:szCs w:val="21"/>
                <w:lang w:val="en-US"/>
              </w:rPr>
            </w:pPr>
          </w:p>
        </w:tc>
        <w:tc>
          <w:tcPr>
            <w:tcW w:w="1405" w:type="dxa"/>
            <w:vAlign w:val="center"/>
          </w:tcPr>
          <w:p w14:paraId="41E3510F">
            <w:pPr>
              <w:pStyle w:val="42"/>
              <w:ind w:firstLine="210"/>
              <w:jc w:val="center"/>
              <w:rPr>
                <w:rFonts w:ascii="仿宋" w:hAnsi="仿宋" w:eastAsia="仿宋" w:cs="仿宋"/>
                <w:szCs w:val="21"/>
                <w:lang w:val="en-US"/>
              </w:rPr>
            </w:pPr>
          </w:p>
        </w:tc>
        <w:tc>
          <w:tcPr>
            <w:tcW w:w="1100" w:type="dxa"/>
            <w:vAlign w:val="center"/>
          </w:tcPr>
          <w:p w14:paraId="48A98A8F">
            <w:pPr>
              <w:pStyle w:val="42"/>
              <w:ind w:firstLine="210"/>
              <w:jc w:val="center"/>
              <w:rPr>
                <w:rFonts w:ascii="仿宋" w:hAnsi="仿宋" w:eastAsia="仿宋" w:cs="仿宋"/>
                <w:szCs w:val="21"/>
                <w:lang w:val="en-US"/>
              </w:rPr>
            </w:pPr>
          </w:p>
        </w:tc>
        <w:tc>
          <w:tcPr>
            <w:tcW w:w="1727" w:type="dxa"/>
            <w:vAlign w:val="center"/>
          </w:tcPr>
          <w:p w14:paraId="2B356F2F">
            <w:pPr>
              <w:pStyle w:val="42"/>
              <w:ind w:firstLine="210"/>
              <w:jc w:val="center"/>
              <w:rPr>
                <w:rFonts w:ascii="仿宋" w:hAnsi="仿宋" w:eastAsia="仿宋" w:cs="仿宋"/>
                <w:szCs w:val="21"/>
                <w:lang w:val="en-US"/>
              </w:rPr>
            </w:pPr>
          </w:p>
        </w:tc>
        <w:tc>
          <w:tcPr>
            <w:tcW w:w="1897" w:type="dxa"/>
            <w:vAlign w:val="center"/>
          </w:tcPr>
          <w:p w14:paraId="3BF732BE">
            <w:pPr>
              <w:pStyle w:val="42"/>
              <w:ind w:firstLine="210"/>
              <w:jc w:val="center"/>
              <w:rPr>
                <w:rFonts w:ascii="仿宋" w:hAnsi="仿宋" w:eastAsia="仿宋" w:cs="仿宋"/>
                <w:szCs w:val="21"/>
                <w:lang w:val="en-US"/>
              </w:rPr>
            </w:pPr>
          </w:p>
        </w:tc>
      </w:tr>
      <w:tr w14:paraId="77A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9" w:type="dxa"/>
            <w:vAlign w:val="center"/>
          </w:tcPr>
          <w:p w14:paraId="7FD2AB24">
            <w:pPr>
              <w:pStyle w:val="42"/>
              <w:ind w:firstLine="210"/>
              <w:jc w:val="center"/>
              <w:rPr>
                <w:rFonts w:ascii="仿宋" w:hAnsi="仿宋" w:eastAsia="仿宋" w:cs="仿宋"/>
                <w:szCs w:val="21"/>
                <w:lang w:val="en-US"/>
              </w:rPr>
            </w:pPr>
          </w:p>
        </w:tc>
        <w:tc>
          <w:tcPr>
            <w:tcW w:w="1565" w:type="dxa"/>
            <w:vAlign w:val="center"/>
          </w:tcPr>
          <w:p w14:paraId="4FFC852E">
            <w:pPr>
              <w:pStyle w:val="42"/>
              <w:ind w:firstLine="210"/>
              <w:jc w:val="center"/>
              <w:rPr>
                <w:rFonts w:ascii="仿宋" w:hAnsi="仿宋" w:eastAsia="仿宋" w:cs="仿宋"/>
                <w:szCs w:val="21"/>
                <w:lang w:val="en-US"/>
              </w:rPr>
            </w:pPr>
          </w:p>
        </w:tc>
        <w:tc>
          <w:tcPr>
            <w:tcW w:w="1405" w:type="dxa"/>
            <w:vAlign w:val="center"/>
          </w:tcPr>
          <w:p w14:paraId="258E0E5A">
            <w:pPr>
              <w:pStyle w:val="42"/>
              <w:ind w:firstLine="210"/>
              <w:jc w:val="center"/>
              <w:rPr>
                <w:rFonts w:ascii="仿宋" w:hAnsi="仿宋" w:eastAsia="仿宋" w:cs="仿宋"/>
                <w:szCs w:val="21"/>
                <w:lang w:val="en-US"/>
              </w:rPr>
            </w:pPr>
          </w:p>
        </w:tc>
        <w:tc>
          <w:tcPr>
            <w:tcW w:w="1100" w:type="dxa"/>
            <w:vAlign w:val="center"/>
          </w:tcPr>
          <w:p w14:paraId="55C967F6">
            <w:pPr>
              <w:pStyle w:val="42"/>
              <w:ind w:firstLine="210"/>
              <w:jc w:val="center"/>
              <w:rPr>
                <w:rFonts w:ascii="仿宋" w:hAnsi="仿宋" w:eastAsia="仿宋" w:cs="仿宋"/>
                <w:szCs w:val="21"/>
                <w:lang w:val="en-US"/>
              </w:rPr>
            </w:pPr>
          </w:p>
        </w:tc>
        <w:tc>
          <w:tcPr>
            <w:tcW w:w="1727" w:type="dxa"/>
            <w:vAlign w:val="center"/>
          </w:tcPr>
          <w:p w14:paraId="2AA63D55">
            <w:pPr>
              <w:pStyle w:val="42"/>
              <w:ind w:firstLine="210"/>
              <w:jc w:val="center"/>
              <w:rPr>
                <w:rFonts w:ascii="仿宋" w:hAnsi="仿宋" w:eastAsia="仿宋" w:cs="仿宋"/>
                <w:szCs w:val="21"/>
                <w:lang w:val="en-US"/>
              </w:rPr>
            </w:pPr>
          </w:p>
        </w:tc>
        <w:tc>
          <w:tcPr>
            <w:tcW w:w="1897" w:type="dxa"/>
            <w:vAlign w:val="center"/>
          </w:tcPr>
          <w:p w14:paraId="468BAE1C">
            <w:pPr>
              <w:pStyle w:val="42"/>
              <w:ind w:firstLine="210"/>
              <w:jc w:val="center"/>
              <w:rPr>
                <w:rFonts w:ascii="仿宋" w:hAnsi="仿宋" w:eastAsia="仿宋" w:cs="仿宋"/>
                <w:szCs w:val="21"/>
                <w:lang w:val="en-US"/>
              </w:rPr>
            </w:pPr>
          </w:p>
        </w:tc>
      </w:tr>
      <w:tr w14:paraId="16A0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9" w:type="dxa"/>
            <w:vAlign w:val="center"/>
          </w:tcPr>
          <w:p w14:paraId="4DBDB809">
            <w:pPr>
              <w:pStyle w:val="42"/>
              <w:ind w:firstLine="210"/>
              <w:jc w:val="center"/>
              <w:rPr>
                <w:rFonts w:ascii="仿宋" w:hAnsi="仿宋" w:eastAsia="仿宋" w:cs="仿宋"/>
                <w:szCs w:val="21"/>
                <w:lang w:val="en-US"/>
              </w:rPr>
            </w:pPr>
          </w:p>
        </w:tc>
        <w:tc>
          <w:tcPr>
            <w:tcW w:w="1565" w:type="dxa"/>
            <w:vAlign w:val="center"/>
          </w:tcPr>
          <w:p w14:paraId="024A1AB3">
            <w:pPr>
              <w:pStyle w:val="42"/>
              <w:ind w:firstLine="210"/>
              <w:jc w:val="center"/>
              <w:rPr>
                <w:rFonts w:ascii="仿宋" w:hAnsi="仿宋" w:eastAsia="仿宋" w:cs="仿宋"/>
                <w:szCs w:val="21"/>
                <w:lang w:val="en-US"/>
              </w:rPr>
            </w:pPr>
          </w:p>
        </w:tc>
        <w:tc>
          <w:tcPr>
            <w:tcW w:w="1405" w:type="dxa"/>
            <w:vAlign w:val="center"/>
          </w:tcPr>
          <w:p w14:paraId="6FEEE7F1">
            <w:pPr>
              <w:pStyle w:val="42"/>
              <w:ind w:firstLine="210"/>
              <w:jc w:val="center"/>
              <w:rPr>
                <w:rFonts w:ascii="仿宋" w:hAnsi="仿宋" w:eastAsia="仿宋" w:cs="仿宋"/>
                <w:szCs w:val="21"/>
                <w:lang w:val="en-US"/>
              </w:rPr>
            </w:pPr>
          </w:p>
        </w:tc>
        <w:tc>
          <w:tcPr>
            <w:tcW w:w="1100" w:type="dxa"/>
            <w:vAlign w:val="center"/>
          </w:tcPr>
          <w:p w14:paraId="3B44FB1E">
            <w:pPr>
              <w:pStyle w:val="42"/>
              <w:ind w:firstLine="210"/>
              <w:jc w:val="center"/>
              <w:rPr>
                <w:rFonts w:ascii="仿宋" w:hAnsi="仿宋" w:eastAsia="仿宋" w:cs="仿宋"/>
                <w:szCs w:val="21"/>
                <w:lang w:val="en-US"/>
              </w:rPr>
            </w:pPr>
          </w:p>
        </w:tc>
        <w:tc>
          <w:tcPr>
            <w:tcW w:w="1727" w:type="dxa"/>
            <w:vAlign w:val="center"/>
          </w:tcPr>
          <w:p w14:paraId="60629453">
            <w:pPr>
              <w:pStyle w:val="42"/>
              <w:ind w:firstLine="210"/>
              <w:jc w:val="center"/>
              <w:rPr>
                <w:rFonts w:ascii="仿宋" w:hAnsi="仿宋" w:eastAsia="仿宋" w:cs="仿宋"/>
                <w:szCs w:val="21"/>
                <w:lang w:val="en-US"/>
              </w:rPr>
            </w:pPr>
          </w:p>
        </w:tc>
        <w:tc>
          <w:tcPr>
            <w:tcW w:w="1897" w:type="dxa"/>
            <w:vAlign w:val="center"/>
          </w:tcPr>
          <w:p w14:paraId="40E1199B">
            <w:pPr>
              <w:pStyle w:val="42"/>
              <w:ind w:firstLine="210"/>
              <w:jc w:val="center"/>
              <w:rPr>
                <w:rFonts w:ascii="仿宋" w:hAnsi="仿宋" w:eastAsia="仿宋" w:cs="仿宋"/>
                <w:szCs w:val="21"/>
                <w:lang w:val="en-US"/>
              </w:rPr>
            </w:pPr>
          </w:p>
        </w:tc>
      </w:tr>
      <w:tr w14:paraId="7EF0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9" w:type="dxa"/>
            <w:vAlign w:val="center"/>
          </w:tcPr>
          <w:p w14:paraId="19012C5C">
            <w:pPr>
              <w:pStyle w:val="42"/>
              <w:ind w:firstLine="210"/>
              <w:jc w:val="center"/>
              <w:rPr>
                <w:rFonts w:ascii="仿宋" w:hAnsi="仿宋" w:eastAsia="仿宋" w:cs="仿宋"/>
                <w:szCs w:val="21"/>
                <w:lang w:val="en-US"/>
              </w:rPr>
            </w:pPr>
          </w:p>
        </w:tc>
        <w:tc>
          <w:tcPr>
            <w:tcW w:w="1565" w:type="dxa"/>
            <w:vAlign w:val="center"/>
          </w:tcPr>
          <w:p w14:paraId="5D0F80FD">
            <w:pPr>
              <w:pStyle w:val="42"/>
              <w:ind w:firstLine="210"/>
              <w:jc w:val="center"/>
              <w:rPr>
                <w:rFonts w:ascii="仿宋" w:hAnsi="仿宋" w:eastAsia="仿宋" w:cs="仿宋"/>
                <w:szCs w:val="21"/>
                <w:lang w:val="en-US"/>
              </w:rPr>
            </w:pPr>
          </w:p>
        </w:tc>
        <w:tc>
          <w:tcPr>
            <w:tcW w:w="1405" w:type="dxa"/>
            <w:vAlign w:val="center"/>
          </w:tcPr>
          <w:p w14:paraId="36D45343">
            <w:pPr>
              <w:pStyle w:val="42"/>
              <w:ind w:firstLine="210"/>
              <w:jc w:val="center"/>
              <w:rPr>
                <w:rFonts w:ascii="仿宋" w:hAnsi="仿宋" w:eastAsia="仿宋" w:cs="仿宋"/>
                <w:szCs w:val="21"/>
                <w:lang w:val="en-US"/>
              </w:rPr>
            </w:pPr>
          </w:p>
        </w:tc>
        <w:tc>
          <w:tcPr>
            <w:tcW w:w="1100" w:type="dxa"/>
            <w:vAlign w:val="center"/>
          </w:tcPr>
          <w:p w14:paraId="0A8AF3A8">
            <w:pPr>
              <w:pStyle w:val="42"/>
              <w:ind w:firstLine="210"/>
              <w:jc w:val="center"/>
              <w:rPr>
                <w:rFonts w:ascii="仿宋" w:hAnsi="仿宋" w:eastAsia="仿宋" w:cs="仿宋"/>
                <w:szCs w:val="21"/>
                <w:lang w:val="en-US"/>
              </w:rPr>
            </w:pPr>
          </w:p>
        </w:tc>
        <w:tc>
          <w:tcPr>
            <w:tcW w:w="1727" w:type="dxa"/>
            <w:vAlign w:val="center"/>
          </w:tcPr>
          <w:p w14:paraId="0FB21DFF">
            <w:pPr>
              <w:pStyle w:val="42"/>
              <w:ind w:firstLine="210"/>
              <w:jc w:val="center"/>
              <w:rPr>
                <w:rFonts w:ascii="仿宋" w:hAnsi="仿宋" w:eastAsia="仿宋" w:cs="仿宋"/>
                <w:szCs w:val="21"/>
                <w:lang w:val="en-US"/>
              </w:rPr>
            </w:pPr>
          </w:p>
        </w:tc>
        <w:tc>
          <w:tcPr>
            <w:tcW w:w="1897" w:type="dxa"/>
            <w:vAlign w:val="center"/>
          </w:tcPr>
          <w:p w14:paraId="3F356853">
            <w:pPr>
              <w:pStyle w:val="42"/>
              <w:ind w:firstLine="210"/>
              <w:jc w:val="center"/>
              <w:rPr>
                <w:rFonts w:ascii="仿宋" w:hAnsi="仿宋" w:eastAsia="仿宋" w:cs="仿宋"/>
                <w:szCs w:val="21"/>
                <w:lang w:val="en-US"/>
              </w:rPr>
            </w:pPr>
          </w:p>
        </w:tc>
      </w:tr>
      <w:tr w14:paraId="71D7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889" w:type="dxa"/>
            <w:gridSpan w:val="4"/>
            <w:vAlign w:val="center"/>
          </w:tcPr>
          <w:p w14:paraId="58CFC763">
            <w:pPr>
              <w:pStyle w:val="42"/>
              <w:ind w:firstLine="210"/>
              <w:jc w:val="center"/>
              <w:rPr>
                <w:rFonts w:ascii="仿宋" w:hAnsi="仿宋" w:eastAsia="仿宋" w:cs="仿宋"/>
                <w:szCs w:val="21"/>
                <w:lang w:val="en-US"/>
              </w:rPr>
            </w:pPr>
            <w:r>
              <w:rPr>
                <w:rFonts w:hint="eastAsia" w:ascii="仿宋" w:hAnsi="仿宋" w:eastAsia="仿宋" w:cs="仿宋"/>
                <w:szCs w:val="21"/>
                <w:lang w:val="en-US"/>
              </w:rPr>
              <w:t>合计（元）</w:t>
            </w:r>
          </w:p>
        </w:tc>
        <w:tc>
          <w:tcPr>
            <w:tcW w:w="1727" w:type="dxa"/>
            <w:vAlign w:val="center"/>
          </w:tcPr>
          <w:p w14:paraId="3621060B">
            <w:pPr>
              <w:pStyle w:val="42"/>
              <w:ind w:firstLine="210"/>
              <w:jc w:val="center"/>
              <w:rPr>
                <w:rFonts w:ascii="仿宋" w:hAnsi="仿宋" w:eastAsia="仿宋" w:cs="仿宋"/>
                <w:szCs w:val="21"/>
                <w:lang w:val="en-US"/>
              </w:rPr>
            </w:pPr>
          </w:p>
        </w:tc>
        <w:tc>
          <w:tcPr>
            <w:tcW w:w="1897" w:type="dxa"/>
            <w:vAlign w:val="center"/>
          </w:tcPr>
          <w:p w14:paraId="2BF1AF1C">
            <w:pPr>
              <w:pStyle w:val="42"/>
              <w:ind w:firstLine="210"/>
              <w:jc w:val="center"/>
              <w:rPr>
                <w:rFonts w:ascii="仿宋" w:hAnsi="仿宋" w:eastAsia="仿宋" w:cs="仿宋"/>
                <w:szCs w:val="21"/>
                <w:lang w:val="en-US"/>
              </w:rPr>
            </w:pPr>
          </w:p>
        </w:tc>
      </w:tr>
    </w:tbl>
    <w:p w14:paraId="77441009">
      <w:pPr>
        <w:pStyle w:val="42"/>
        <w:ind w:firstLine="0" w:firstLineChars="0"/>
        <w:rPr>
          <w:rFonts w:ascii="仿宋" w:hAnsi="仿宋" w:eastAsia="仿宋" w:cs="仿宋"/>
          <w:lang w:val="en-US"/>
        </w:rPr>
      </w:pPr>
    </w:p>
    <w:p w14:paraId="09282461">
      <w:pPr>
        <w:spacing w:line="360" w:lineRule="auto"/>
        <w:rPr>
          <w:rFonts w:ascii="仿宋" w:hAnsi="仿宋" w:eastAsia="仿宋" w:cs="仿宋"/>
          <w:sz w:val="24"/>
        </w:rPr>
      </w:pPr>
      <w:r>
        <w:rPr>
          <w:rFonts w:hint="eastAsia" w:ascii="仿宋" w:hAnsi="仿宋" w:eastAsia="仿宋" w:cs="仿宋"/>
          <w:sz w:val="24"/>
        </w:rPr>
        <w:t>注：1.如果不提供分项报价将视为没有实质性响应招标文件。</w:t>
      </w:r>
    </w:p>
    <w:p w14:paraId="6408617F">
      <w:pPr>
        <w:spacing w:line="360" w:lineRule="auto"/>
        <w:rPr>
          <w:rFonts w:ascii="仿宋" w:hAnsi="仿宋" w:eastAsia="仿宋" w:cs="仿宋"/>
          <w:sz w:val="24"/>
        </w:rPr>
      </w:pPr>
      <w:r>
        <w:rPr>
          <w:rFonts w:hint="eastAsia" w:ascii="仿宋" w:hAnsi="仿宋" w:eastAsia="仿宋" w:cs="仿宋"/>
          <w:sz w:val="24"/>
        </w:rPr>
        <w:t>2.上述各项的详细规格（如有），可另页描述。</w:t>
      </w:r>
    </w:p>
    <w:p w14:paraId="3091312F">
      <w:pPr>
        <w:spacing w:line="360" w:lineRule="auto"/>
        <w:rPr>
          <w:rFonts w:ascii="仿宋" w:hAnsi="仿宋" w:eastAsia="仿宋" w:cs="仿宋"/>
          <w:sz w:val="24"/>
        </w:rPr>
      </w:pPr>
    </w:p>
    <w:p w14:paraId="4D18AF11">
      <w:pPr>
        <w:spacing w:line="360" w:lineRule="auto"/>
        <w:rPr>
          <w:rFonts w:ascii="仿宋" w:hAnsi="仿宋" w:eastAsia="仿宋" w:cs="仿宋"/>
          <w:sz w:val="24"/>
        </w:rPr>
      </w:pPr>
      <w:r>
        <w:rPr>
          <w:rFonts w:hint="eastAsia" w:ascii="仿宋" w:hAnsi="仿宋" w:eastAsia="仿宋" w:cs="仿宋"/>
          <w:sz w:val="24"/>
        </w:rPr>
        <w:t>投标人名称（加盖公章）：____________</w:t>
      </w:r>
    </w:p>
    <w:p w14:paraId="4700F498">
      <w:pPr>
        <w:rPr>
          <w:rFonts w:ascii="仿宋" w:hAnsi="仿宋" w:eastAsia="仿宋" w:cs="仿宋"/>
          <w:sz w:val="24"/>
        </w:rPr>
      </w:pPr>
      <w:r>
        <w:rPr>
          <w:rFonts w:hint="eastAsia" w:ascii="仿宋" w:hAnsi="仿宋" w:eastAsia="仿宋" w:cs="仿宋"/>
          <w:sz w:val="24"/>
        </w:rPr>
        <w:t>日期：_____年______月______日</w:t>
      </w:r>
    </w:p>
    <w:p w14:paraId="0AB447C2">
      <w:pPr>
        <w:widowControl/>
        <w:jc w:val="left"/>
        <w:rPr>
          <w:rFonts w:ascii="仿宋" w:hAnsi="仿宋" w:eastAsia="仿宋" w:cs="仿宋"/>
          <w:sz w:val="24"/>
        </w:rPr>
      </w:pPr>
      <w:r>
        <w:rPr>
          <w:rFonts w:ascii="仿宋" w:hAnsi="仿宋" w:eastAsia="仿宋" w:cs="仿宋"/>
          <w:sz w:val="24"/>
        </w:rPr>
        <w:br w:type="page"/>
      </w:r>
    </w:p>
    <w:p w14:paraId="41319D77">
      <w:pPr>
        <w:rPr>
          <w:rFonts w:ascii="仿宋" w:hAnsi="仿宋" w:eastAsia="仿宋" w:cs="仿宋"/>
        </w:rPr>
      </w:pPr>
    </w:p>
    <w:p w14:paraId="2772BCB8">
      <w:pPr>
        <w:pStyle w:val="33"/>
        <w:ind w:left="0" w:leftChars="0"/>
        <w:jc w:val="left"/>
        <w:outlineLvl w:val="1"/>
        <w:rPr>
          <w:rFonts w:ascii="仿宋" w:hAnsi="仿宋" w:eastAsia="仿宋" w:cs="仿宋"/>
          <w:sz w:val="24"/>
          <w:szCs w:val="24"/>
        </w:rPr>
      </w:pPr>
      <w:bookmarkStart w:id="46" w:name="_Toc6119"/>
      <w:bookmarkStart w:id="47" w:name="_Toc155630106"/>
      <w:r>
        <w:rPr>
          <w:rFonts w:hint="eastAsia" w:ascii="仿宋" w:hAnsi="仿宋" w:eastAsia="仿宋" w:cs="仿宋"/>
          <w:sz w:val="24"/>
          <w:szCs w:val="24"/>
        </w:rPr>
        <w:t>8  合同条款偏离表</w:t>
      </w:r>
      <w:bookmarkEnd w:id="46"/>
      <w:bookmarkEnd w:id="47"/>
    </w:p>
    <w:p w14:paraId="77BE9431">
      <w:pPr>
        <w:pStyle w:val="33"/>
        <w:ind w:left="0" w:leftChars="0"/>
        <w:jc w:val="center"/>
        <w:rPr>
          <w:rFonts w:ascii="仿宋" w:hAnsi="仿宋" w:eastAsia="仿宋" w:cs="仿宋"/>
          <w:sz w:val="32"/>
          <w:szCs w:val="32"/>
        </w:rPr>
      </w:pPr>
    </w:p>
    <w:p w14:paraId="6548023A">
      <w:pPr>
        <w:jc w:val="center"/>
        <w:rPr>
          <w:rFonts w:ascii="仿宋" w:hAnsi="仿宋" w:eastAsia="仿宋" w:cs="仿宋"/>
          <w:b/>
          <w:bCs/>
          <w:sz w:val="32"/>
          <w:szCs w:val="32"/>
        </w:rPr>
      </w:pPr>
      <w:r>
        <w:rPr>
          <w:rFonts w:hint="eastAsia" w:ascii="仿宋" w:hAnsi="仿宋" w:eastAsia="仿宋" w:cs="仿宋"/>
          <w:b/>
          <w:bCs/>
          <w:sz w:val="32"/>
          <w:szCs w:val="32"/>
        </w:rPr>
        <w:t>合同条款偏离表</w:t>
      </w:r>
    </w:p>
    <w:p w14:paraId="168A509A">
      <w:pPr>
        <w:pStyle w:val="43"/>
        <w:ind w:left="0" w:leftChars="0" w:firstLine="0" w:firstLineChars="0"/>
        <w:rPr>
          <w:rFonts w:ascii="仿宋" w:hAnsi="仿宋" w:eastAsia="仿宋" w:cs="仿宋"/>
        </w:rPr>
      </w:pPr>
    </w:p>
    <w:p w14:paraId="5342DC24">
      <w:pPr>
        <w:pStyle w:val="33"/>
        <w:ind w:left="0" w:leftChars="0"/>
        <w:jc w:val="left"/>
        <w:rPr>
          <w:rFonts w:ascii="仿宋" w:hAnsi="仿宋" w:eastAsia="仿宋" w:cs="仿宋"/>
        </w:rPr>
      </w:pPr>
      <w:r>
        <w:rPr>
          <w:rFonts w:hint="eastAsia" w:ascii="仿宋" w:hAnsi="仿宋" w:eastAsia="仿宋" w:cs="仿宋"/>
        </w:rPr>
        <w:t>标项编号：</w:t>
      </w:r>
      <w:r>
        <w:rPr>
          <w:rFonts w:hint="eastAsia" w:ascii="仿宋" w:hAnsi="仿宋" w:eastAsia="仿宋" w:cs="仿宋"/>
          <w:u w:val="single"/>
        </w:rPr>
        <w:t xml:space="preserve">                     </w:t>
      </w:r>
      <w:r>
        <w:rPr>
          <w:rFonts w:hint="eastAsia" w:ascii="仿宋" w:hAnsi="仿宋" w:eastAsia="仿宋" w:cs="仿宋"/>
        </w:rPr>
        <w:t xml:space="preserve"> 标项名称：</w:t>
      </w:r>
      <w:r>
        <w:rPr>
          <w:rFonts w:hint="eastAsia" w:ascii="仿宋" w:hAnsi="仿宋" w:eastAsia="仿宋" w:cs="仿宋"/>
          <w:u w:val="single"/>
        </w:rPr>
        <w:t xml:space="preserve">               </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421"/>
        <w:gridCol w:w="1901"/>
        <w:gridCol w:w="1753"/>
        <w:gridCol w:w="1561"/>
        <w:gridCol w:w="1052"/>
      </w:tblGrid>
      <w:tr w14:paraId="63A7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470433C2">
            <w:pPr>
              <w:spacing w:line="360" w:lineRule="auto"/>
              <w:rPr>
                <w:rFonts w:ascii="仿宋" w:hAnsi="仿宋" w:eastAsia="仿宋" w:cs="仿宋"/>
                <w:sz w:val="24"/>
              </w:rPr>
            </w:pPr>
            <w:r>
              <w:rPr>
                <w:rFonts w:hint="eastAsia" w:ascii="仿宋" w:hAnsi="仿宋" w:eastAsia="仿宋" w:cs="仿宋"/>
                <w:b/>
                <w:bCs/>
                <w:sz w:val="24"/>
              </w:rPr>
              <w:t>对本项目合同条款的偏离情况（请进行勾选）：</w:t>
            </w:r>
          </w:p>
          <w:p w14:paraId="07427BC9">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b/>
                <w:bCs/>
                <w:sz w:val="24"/>
              </w:rPr>
              <w:t>无偏离</w:t>
            </w:r>
            <w:r>
              <w:rPr>
                <w:rFonts w:hint="eastAsia" w:ascii="仿宋" w:hAnsi="仿宋" w:eastAsia="仿宋" w:cs="仿宋"/>
                <w:sz w:val="24"/>
              </w:rPr>
              <w:t>（如无偏离，仅选择无偏离即可；无偏离即为对合同条款中的所有要求，均视作投标人已对之理解和响应。）</w:t>
            </w:r>
          </w:p>
          <w:p w14:paraId="1C938D7C">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b/>
                <w:bCs/>
                <w:sz w:val="24"/>
              </w:rPr>
              <w:t>有偏离</w:t>
            </w:r>
            <w:r>
              <w:rPr>
                <w:rFonts w:hint="eastAsia" w:ascii="仿宋" w:hAnsi="仿宋" w:eastAsia="仿宋" w:cs="仿宋"/>
                <w:sz w:val="24"/>
              </w:rPr>
              <w:t>（如有偏离，则应在本表中对偏离项逐一列明，否则投标无效；对合同条款中的所有要求，除本表列明的偏离外，均视作投标人已对之理解和响应。）</w:t>
            </w:r>
          </w:p>
        </w:tc>
      </w:tr>
      <w:tr w14:paraId="458E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31032B19">
            <w:pPr>
              <w:jc w:val="center"/>
              <w:rPr>
                <w:rFonts w:ascii="仿宋" w:hAnsi="仿宋" w:eastAsia="仿宋" w:cs="仿宋"/>
                <w:sz w:val="24"/>
              </w:rPr>
            </w:pPr>
            <w:r>
              <w:rPr>
                <w:rFonts w:hint="eastAsia" w:ascii="仿宋" w:hAnsi="仿宋" w:eastAsia="仿宋" w:cs="仿宋"/>
                <w:sz w:val="24"/>
              </w:rPr>
              <w:t>序号</w:t>
            </w:r>
          </w:p>
        </w:tc>
        <w:tc>
          <w:tcPr>
            <w:tcW w:w="1421" w:type="dxa"/>
            <w:vAlign w:val="center"/>
          </w:tcPr>
          <w:p w14:paraId="61991B86">
            <w:pPr>
              <w:jc w:val="center"/>
              <w:rPr>
                <w:rFonts w:ascii="仿宋" w:hAnsi="仿宋" w:eastAsia="仿宋" w:cs="仿宋"/>
                <w:sz w:val="24"/>
              </w:rPr>
            </w:pPr>
            <w:r>
              <w:rPr>
                <w:rFonts w:hint="eastAsia" w:ascii="仿宋" w:hAnsi="仿宋" w:eastAsia="仿宋" w:cs="仿宋"/>
                <w:sz w:val="24"/>
              </w:rPr>
              <w:t>招标文件</w:t>
            </w:r>
          </w:p>
          <w:p w14:paraId="49C1BB6C">
            <w:pPr>
              <w:jc w:val="center"/>
              <w:rPr>
                <w:rFonts w:ascii="仿宋" w:hAnsi="仿宋" w:eastAsia="仿宋" w:cs="仿宋"/>
                <w:sz w:val="24"/>
              </w:rPr>
            </w:pPr>
            <w:r>
              <w:rPr>
                <w:rFonts w:hint="eastAsia" w:ascii="仿宋" w:hAnsi="仿宋" w:eastAsia="仿宋" w:cs="仿宋"/>
                <w:sz w:val="24"/>
              </w:rPr>
              <w:t>条目号</w:t>
            </w:r>
          </w:p>
          <w:p w14:paraId="283FEC9C">
            <w:pPr>
              <w:jc w:val="center"/>
              <w:rPr>
                <w:rFonts w:ascii="仿宋" w:hAnsi="仿宋" w:eastAsia="仿宋" w:cs="仿宋"/>
                <w:sz w:val="24"/>
              </w:rPr>
            </w:pPr>
            <w:r>
              <w:rPr>
                <w:rFonts w:hint="eastAsia" w:ascii="仿宋" w:hAnsi="仿宋" w:eastAsia="仿宋" w:cs="仿宋"/>
                <w:sz w:val="24"/>
              </w:rPr>
              <w:t>（页码）</w:t>
            </w:r>
          </w:p>
        </w:tc>
        <w:tc>
          <w:tcPr>
            <w:tcW w:w="1901" w:type="dxa"/>
            <w:vAlign w:val="center"/>
          </w:tcPr>
          <w:p w14:paraId="3764F65D">
            <w:pPr>
              <w:jc w:val="center"/>
              <w:rPr>
                <w:rFonts w:ascii="仿宋" w:hAnsi="仿宋" w:eastAsia="仿宋" w:cs="仿宋"/>
                <w:sz w:val="24"/>
              </w:rPr>
            </w:pPr>
            <w:r>
              <w:rPr>
                <w:rFonts w:hint="eastAsia" w:ascii="仿宋" w:hAnsi="仿宋" w:eastAsia="仿宋" w:cs="仿宋"/>
                <w:sz w:val="24"/>
              </w:rPr>
              <w:t>招标文件要求</w:t>
            </w:r>
          </w:p>
        </w:tc>
        <w:tc>
          <w:tcPr>
            <w:tcW w:w="1753" w:type="dxa"/>
            <w:vAlign w:val="center"/>
          </w:tcPr>
          <w:p w14:paraId="374C1185">
            <w:pPr>
              <w:jc w:val="center"/>
              <w:rPr>
                <w:rFonts w:ascii="仿宋" w:hAnsi="仿宋" w:eastAsia="仿宋" w:cs="仿宋"/>
                <w:sz w:val="24"/>
              </w:rPr>
            </w:pPr>
            <w:r>
              <w:rPr>
                <w:rFonts w:hint="eastAsia" w:ascii="仿宋" w:hAnsi="仿宋" w:eastAsia="仿宋" w:cs="仿宋"/>
                <w:sz w:val="24"/>
              </w:rPr>
              <w:t>投标文件内容</w:t>
            </w:r>
          </w:p>
        </w:tc>
        <w:tc>
          <w:tcPr>
            <w:tcW w:w="1561" w:type="dxa"/>
            <w:vAlign w:val="center"/>
          </w:tcPr>
          <w:p w14:paraId="7C48FCF2">
            <w:pPr>
              <w:jc w:val="center"/>
              <w:rPr>
                <w:rFonts w:ascii="仿宋" w:hAnsi="仿宋" w:eastAsia="仿宋" w:cs="仿宋"/>
                <w:sz w:val="24"/>
              </w:rPr>
            </w:pPr>
            <w:r>
              <w:rPr>
                <w:rFonts w:hint="eastAsia" w:ascii="仿宋" w:hAnsi="仿宋" w:eastAsia="仿宋" w:cs="仿宋"/>
                <w:sz w:val="24"/>
              </w:rPr>
              <w:t>偏离情况</w:t>
            </w:r>
          </w:p>
        </w:tc>
        <w:tc>
          <w:tcPr>
            <w:tcW w:w="1052" w:type="dxa"/>
            <w:vAlign w:val="center"/>
          </w:tcPr>
          <w:p w14:paraId="171CC3C2">
            <w:pPr>
              <w:jc w:val="center"/>
              <w:rPr>
                <w:rFonts w:ascii="仿宋" w:hAnsi="仿宋" w:eastAsia="仿宋" w:cs="仿宋"/>
                <w:sz w:val="24"/>
              </w:rPr>
            </w:pPr>
            <w:r>
              <w:rPr>
                <w:rFonts w:hint="eastAsia" w:ascii="仿宋" w:hAnsi="仿宋" w:eastAsia="仿宋" w:cs="仿宋"/>
                <w:sz w:val="24"/>
              </w:rPr>
              <w:t>说明</w:t>
            </w:r>
          </w:p>
        </w:tc>
      </w:tr>
      <w:tr w14:paraId="257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0A1F9A37">
            <w:pPr>
              <w:rPr>
                <w:rFonts w:ascii="仿宋" w:hAnsi="仿宋" w:eastAsia="仿宋" w:cs="仿宋"/>
                <w:sz w:val="24"/>
              </w:rPr>
            </w:pPr>
          </w:p>
        </w:tc>
        <w:tc>
          <w:tcPr>
            <w:tcW w:w="1421" w:type="dxa"/>
          </w:tcPr>
          <w:p w14:paraId="796BDE82">
            <w:pPr>
              <w:rPr>
                <w:rFonts w:ascii="仿宋" w:hAnsi="仿宋" w:eastAsia="仿宋" w:cs="仿宋"/>
                <w:sz w:val="24"/>
              </w:rPr>
            </w:pPr>
          </w:p>
        </w:tc>
        <w:tc>
          <w:tcPr>
            <w:tcW w:w="1901" w:type="dxa"/>
          </w:tcPr>
          <w:p w14:paraId="3A4419B6">
            <w:pPr>
              <w:rPr>
                <w:rFonts w:ascii="仿宋" w:hAnsi="仿宋" w:eastAsia="仿宋" w:cs="仿宋"/>
                <w:sz w:val="24"/>
              </w:rPr>
            </w:pPr>
          </w:p>
        </w:tc>
        <w:tc>
          <w:tcPr>
            <w:tcW w:w="1753" w:type="dxa"/>
          </w:tcPr>
          <w:p w14:paraId="619B37F4">
            <w:pPr>
              <w:rPr>
                <w:rFonts w:ascii="仿宋" w:hAnsi="仿宋" w:eastAsia="仿宋" w:cs="仿宋"/>
                <w:sz w:val="24"/>
              </w:rPr>
            </w:pPr>
          </w:p>
        </w:tc>
        <w:tc>
          <w:tcPr>
            <w:tcW w:w="1561" w:type="dxa"/>
          </w:tcPr>
          <w:p w14:paraId="1ABE6781">
            <w:pPr>
              <w:rPr>
                <w:rFonts w:ascii="仿宋" w:hAnsi="仿宋" w:eastAsia="仿宋" w:cs="仿宋"/>
                <w:sz w:val="24"/>
              </w:rPr>
            </w:pPr>
          </w:p>
        </w:tc>
        <w:tc>
          <w:tcPr>
            <w:tcW w:w="1052" w:type="dxa"/>
          </w:tcPr>
          <w:p w14:paraId="15958DDE">
            <w:pPr>
              <w:rPr>
                <w:rFonts w:ascii="仿宋" w:hAnsi="仿宋" w:eastAsia="仿宋" w:cs="仿宋"/>
                <w:sz w:val="24"/>
              </w:rPr>
            </w:pPr>
          </w:p>
        </w:tc>
      </w:tr>
      <w:tr w14:paraId="6D0E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C9AC47A">
            <w:pPr>
              <w:rPr>
                <w:rFonts w:ascii="仿宋" w:hAnsi="仿宋" w:eastAsia="仿宋" w:cs="仿宋"/>
                <w:sz w:val="24"/>
              </w:rPr>
            </w:pPr>
          </w:p>
        </w:tc>
        <w:tc>
          <w:tcPr>
            <w:tcW w:w="1421" w:type="dxa"/>
          </w:tcPr>
          <w:p w14:paraId="38705C14">
            <w:pPr>
              <w:rPr>
                <w:rFonts w:ascii="仿宋" w:hAnsi="仿宋" w:eastAsia="仿宋" w:cs="仿宋"/>
                <w:sz w:val="24"/>
              </w:rPr>
            </w:pPr>
          </w:p>
        </w:tc>
        <w:tc>
          <w:tcPr>
            <w:tcW w:w="1901" w:type="dxa"/>
          </w:tcPr>
          <w:p w14:paraId="49894A59">
            <w:pPr>
              <w:rPr>
                <w:rFonts w:ascii="仿宋" w:hAnsi="仿宋" w:eastAsia="仿宋" w:cs="仿宋"/>
                <w:sz w:val="24"/>
              </w:rPr>
            </w:pPr>
          </w:p>
        </w:tc>
        <w:tc>
          <w:tcPr>
            <w:tcW w:w="1753" w:type="dxa"/>
          </w:tcPr>
          <w:p w14:paraId="32F6256E">
            <w:pPr>
              <w:rPr>
                <w:rFonts w:ascii="仿宋" w:hAnsi="仿宋" w:eastAsia="仿宋" w:cs="仿宋"/>
                <w:sz w:val="24"/>
              </w:rPr>
            </w:pPr>
          </w:p>
        </w:tc>
        <w:tc>
          <w:tcPr>
            <w:tcW w:w="1561" w:type="dxa"/>
          </w:tcPr>
          <w:p w14:paraId="2806B26C">
            <w:pPr>
              <w:rPr>
                <w:rFonts w:ascii="仿宋" w:hAnsi="仿宋" w:eastAsia="仿宋" w:cs="仿宋"/>
                <w:sz w:val="24"/>
              </w:rPr>
            </w:pPr>
          </w:p>
        </w:tc>
        <w:tc>
          <w:tcPr>
            <w:tcW w:w="1052" w:type="dxa"/>
          </w:tcPr>
          <w:p w14:paraId="23F79B53">
            <w:pPr>
              <w:rPr>
                <w:rFonts w:ascii="仿宋" w:hAnsi="仿宋" w:eastAsia="仿宋" w:cs="仿宋"/>
                <w:sz w:val="24"/>
              </w:rPr>
            </w:pPr>
          </w:p>
        </w:tc>
      </w:tr>
      <w:tr w14:paraId="761B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F810E73">
            <w:pPr>
              <w:rPr>
                <w:rFonts w:ascii="仿宋" w:hAnsi="仿宋" w:eastAsia="仿宋" w:cs="仿宋"/>
                <w:sz w:val="24"/>
              </w:rPr>
            </w:pPr>
          </w:p>
        </w:tc>
        <w:tc>
          <w:tcPr>
            <w:tcW w:w="1421" w:type="dxa"/>
          </w:tcPr>
          <w:p w14:paraId="751442B1">
            <w:pPr>
              <w:rPr>
                <w:rFonts w:ascii="仿宋" w:hAnsi="仿宋" w:eastAsia="仿宋" w:cs="仿宋"/>
                <w:sz w:val="24"/>
              </w:rPr>
            </w:pPr>
          </w:p>
        </w:tc>
        <w:tc>
          <w:tcPr>
            <w:tcW w:w="1901" w:type="dxa"/>
          </w:tcPr>
          <w:p w14:paraId="254F763D">
            <w:pPr>
              <w:rPr>
                <w:rFonts w:ascii="仿宋" w:hAnsi="仿宋" w:eastAsia="仿宋" w:cs="仿宋"/>
                <w:sz w:val="24"/>
              </w:rPr>
            </w:pPr>
          </w:p>
        </w:tc>
        <w:tc>
          <w:tcPr>
            <w:tcW w:w="1753" w:type="dxa"/>
          </w:tcPr>
          <w:p w14:paraId="7477D866">
            <w:pPr>
              <w:rPr>
                <w:rFonts w:ascii="仿宋" w:hAnsi="仿宋" w:eastAsia="仿宋" w:cs="仿宋"/>
                <w:sz w:val="24"/>
              </w:rPr>
            </w:pPr>
          </w:p>
        </w:tc>
        <w:tc>
          <w:tcPr>
            <w:tcW w:w="1561" w:type="dxa"/>
          </w:tcPr>
          <w:p w14:paraId="34B5C3E1">
            <w:pPr>
              <w:rPr>
                <w:rFonts w:ascii="仿宋" w:hAnsi="仿宋" w:eastAsia="仿宋" w:cs="仿宋"/>
                <w:sz w:val="24"/>
              </w:rPr>
            </w:pPr>
          </w:p>
        </w:tc>
        <w:tc>
          <w:tcPr>
            <w:tcW w:w="1052" w:type="dxa"/>
          </w:tcPr>
          <w:p w14:paraId="3C286E46">
            <w:pPr>
              <w:rPr>
                <w:rFonts w:ascii="仿宋" w:hAnsi="仿宋" w:eastAsia="仿宋" w:cs="仿宋"/>
                <w:sz w:val="24"/>
              </w:rPr>
            </w:pPr>
          </w:p>
        </w:tc>
      </w:tr>
      <w:tr w14:paraId="271F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0E175CC5">
            <w:pPr>
              <w:rPr>
                <w:rFonts w:ascii="仿宋" w:hAnsi="仿宋" w:eastAsia="仿宋" w:cs="仿宋"/>
                <w:sz w:val="24"/>
              </w:rPr>
            </w:pPr>
          </w:p>
        </w:tc>
        <w:tc>
          <w:tcPr>
            <w:tcW w:w="1421" w:type="dxa"/>
          </w:tcPr>
          <w:p w14:paraId="314EB5FA">
            <w:pPr>
              <w:rPr>
                <w:rFonts w:ascii="仿宋" w:hAnsi="仿宋" w:eastAsia="仿宋" w:cs="仿宋"/>
                <w:sz w:val="24"/>
              </w:rPr>
            </w:pPr>
          </w:p>
        </w:tc>
        <w:tc>
          <w:tcPr>
            <w:tcW w:w="1901" w:type="dxa"/>
          </w:tcPr>
          <w:p w14:paraId="33A80B71">
            <w:pPr>
              <w:rPr>
                <w:rFonts w:ascii="仿宋" w:hAnsi="仿宋" w:eastAsia="仿宋" w:cs="仿宋"/>
                <w:sz w:val="24"/>
              </w:rPr>
            </w:pPr>
          </w:p>
        </w:tc>
        <w:tc>
          <w:tcPr>
            <w:tcW w:w="1753" w:type="dxa"/>
          </w:tcPr>
          <w:p w14:paraId="50CBBCCD">
            <w:pPr>
              <w:rPr>
                <w:rFonts w:ascii="仿宋" w:hAnsi="仿宋" w:eastAsia="仿宋" w:cs="仿宋"/>
                <w:sz w:val="24"/>
              </w:rPr>
            </w:pPr>
          </w:p>
        </w:tc>
        <w:tc>
          <w:tcPr>
            <w:tcW w:w="1561" w:type="dxa"/>
          </w:tcPr>
          <w:p w14:paraId="3316DAA4">
            <w:pPr>
              <w:rPr>
                <w:rFonts w:ascii="仿宋" w:hAnsi="仿宋" w:eastAsia="仿宋" w:cs="仿宋"/>
                <w:sz w:val="24"/>
              </w:rPr>
            </w:pPr>
          </w:p>
        </w:tc>
        <w:tc>
          <w:tcPr>
            <w:tcW w:w="1052" w:type="dxa"/>
          </w:tcPr>
          <w:p w14:paraId="0ECE9B13">
            <w:pPr>
              <w:rPr>
                <w:rFonts w:ascii="仿宋" w:hAnsi="仿宋" w:eastAsia="仿宋" w:cs="仿宋"/>
                <w:sz w:val="24"/>
              </w:rPr>
            </w:pPr>
          </w:p>
        </w:tc>
      </w:tr>
      <w:tr w14:paraId="70A9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0DA2B93B">
            <w:pPr>
              <w:rPr>
                <w:rFonts w:ascii="仿宋" w:hAnsi="仿宋" w:eastAsia="仿宋" w:cs="仿宋"/>
                <w:sz w:val="24"/>
              </w:rPr>
            </w:pPr>
          </w:p>
        </w:tc>
        <w:tc>
          <w:tcPr>
            <w:tcW w:w="1421" w:type="dxa"/>
          </w:tcPr>
          <w:p w14:paraId="36A8C4EE">
            <w:pPr>
              <w:rPr>
                <w:rFonts w:ascii="仿宋" w:hAnsi="仿宋" w:eastAsia="仿宋" w:cs="仿宋"/>
                <w:sz w:val="24"/>
              </w:rPr>
            </w:pPr>
          </w:p>
        </w:tc>
        <w:tc>
          <w:tcPr>
            <w:tcW w:w="1901" w:type="dxa"/>
          </w:tcPr>
          <w:p w14:paraId="0397B6A8">
            <w:pPr>
              <w:rPr>
                <w:rFonts w:ascii="仿宋" w:hAnsi="仿宋" w:eastAsia="仿宋" w:cs="仿宋"/>
                <w:sz w:val="24"/>
              </w:rPr>
            </w:pPr>
          </w:p>
        </w:tc>
        <w:tc>
          <w:tcPr>
            <w:tcW w:w="1753" w:type="dxa"/>
          </w:tcPr>
          <w:p w14:paraId="6E46F67D">
            <w:pPr>
              <w:rPr>
                <w:rFonts w:ascii="仿宋" w:hAnsi="仿宋" w:eastAsia="仿宋" w:cs="仿宋"/>
                <w:sz w:val="24"/>
              </w:rPr>
            </w:pPr>
          </w:p>
        </w:tc>
        <w:tc>
          <w:tcPr>
            <w:tcW w:w="1561" w:type="dxa"/>
          </w:tcPr>
          <w:p w14:paraId="336B00BD">
            <w:pPr>
              <w:rPr>
                <w:rFonts w:ascii="仿宋" w:hAnsi="仿宋" w:eastAsia="仿宋" w:cs="仿宋"/>
                <w:sz w:val="24"/>
              </w:rPr>
            </w:pPr>
          </w:p>
        </w:tc>
        <w:tc>
          <w:tcPr>
            <w:tcW w:w="1052" w:type="dxa"/>
          </w:tcPr>
          <w:p w14:paraId="2B0818B8">
            <w:pPr>
              <w:rPr>
                <w:rFonts w:ascii="仿宋" w:hAnsi="仿宋" w:eastAsia="仿宋" w:cs="仿宋"/>
                <w:sz w:val="24"/>
              </w:rPr>
            </w:pPr>
          </w:p>
        </w:tc>
      </w:tr>
    </w:tbl>
    <w:p w14:paraId="22FCCA3E">
      <w:pPr>
        <w:spacing w:line="500" w:lineRule="exact"/>
        <w:rPr>
          <w:rFonts w:ascii="仿宋" w:hAnsi="仿宋" w:eastAsia="仿宋" w:cs="仿宋"/>
          <w:sz w:val="24"/>
        </w:rPr>
      </w:pPr>
      <w:r>
        <w:rPr>
          <w:rFonts w:hint="eastAsia" w:ascii="仿宋" w:hAnsi="仿宋" w:eastAsia="仿宋" w:cs="仿宋"/>
          <w:sz w:val="24"/>
        </w:rPr>
        <w:t>注：</w:t>
      </w:r>
    </w:p>
    <w:p w14:paraId="56E764A5">
      <w:pPr>
        <w:spacing w:line="500" w:lineRule="exact"/>
        <w:rPr>
          <w:rFonts w:ascii="仿宋" w:hAnsi="仿宋" w:eastAsia="仿宋" w:cs="仿宋"/>
          <w:sz w:val="24"/>
        </w:rPr>
      </w:pPr>
      <w:r>
        <w:rPr>
          <w:rFonts w:hint="eastAsia" w:ascii="仿宋" w:hAnsi="仿宋" w:eastAsia="仿宋" w:cs="仿宋"/>
          <w:sz w:val="24"/>
        </w:rPr>
        <w:t>1. 对合同条款中的所有要求，除本表所列明的所有偏离外，均视作投标人已对之理解和响应。</w:t>
      </w:r>
    </w:p>
    <w:p w14:paraId="060CE9A8">
      <w:pPr>
        <w:spacing w:line="500" w:lineRule="exact"/>
        <w:outlineLvl w:val="1"/>
        <w:rPr>
          <w:rFonts w:ascii="仿宋" w:hAnsi="仿宋" w:eastAsia="仿宋" w:cs="仿宋"/>
          <w:sz w:val="24"/>
        </w:rPr>
      </w:pPr>
      <w:bookmarkStart w:id="48" w:name="_Toc155630107"/>
      <w:bookmarkStart w:id="49" w:name="_Toc6441"/>
      <w:r>
        <w:rPr>
          <w:rFonts w:hint="eastAsia" w:ascii="仿宋" w:hAnsi="仿宋" w:eastAsia="仿宋" w:cs="仿宋"/>
          <w:sz w:val="24"/>
        </w:rPr>
        <w:t>2. “偏离情况”列应据实填写“正偏离”或“负偏离”。</w:t>
      </w:r>
      <w:bookmarkEnd w:id="48"/>
      <w:bookmarkEnd w:id="49"/>
    </w:p>
    <w:p w14:paraId="386C9219">
      <w:pPr>
        <w:spacing w:line="500" w:lineRule="exact"/>
        <w:rPr>
          <w:rFonts w:ascii="仿宋" w:hAnsi="仿宋" w:eastAsia="仿宋" w:cs="仿宋"/>
          <w:sz w:val="24"/>
        </w:rPr>
      </w:pPr>
    </w:p>
    <w:p w14:paraId="382D882C">
      <w:pPr>
        <w:spacing w:line="500" w:lineRule="exact"/>
        <w:rPr>
          <w:rFonts w:ascii="仿宋" w:hAnsi="仿宋" w:eastAsia="仿宋" w:cs="仿宋"/>
          <w:sz w:val="24"/>
        </w:rPr>
      </w:pPr>
      <w:r>
        <w:rPr>
          <w:rFonts w:hint="eastAsia" w:ascii="仿宋" w:hAnsi="仿宋" w:eastAsia="仿宋" w:cs="仿宋"/>
          <w:sz w:val="24"/>
        </w:rPr>
        <w:t xml:space="preserve">投标人名称（加盖公章）： </w:t>
      </w:r>
    </w:p>
    <w:p w14:paraId="45CDD793">
      <w:pPr>
        <w:spacing w:line="500" w:lineRule="exact"/>
        <w:rPr>
          <w:rFonts w:ascii="仿宋" w:hAnsi="仿宋" w:eastAsia="仿宋" w:cs="仿宋"/>
          <w:sz w:val="24"/>
        </w:rPr>
      </w:pPr>
      <w:r>
        <w:rPr>
          <w:rFonts w:hint="eastAsia" w:ascii="仿宋" w:hAnsi="仿宋" w:eastAsia="仿宋" w:cs="仿宋"/>
          <w:sz w:val="24"/>
        </w:rPr>
        <w:t>日期：    年   月   日</w:t>
      </w:r>
    </w:p>
    <w:p w14:paraId="04D40935">
      <w:pPr>
        <w:pStyle w:val="43"/>
        <w:ind w:firstLine="480"/>
        <w:rPr>
          <w:rFonts w:ascii="仿宋" w:hAnsi="仿宋" w:eastAsia="仿宋" w:cs="仿宋"/>
          <w:sz w:val="24"/>
        </w:rPr>
      </w:pPr>
    </w:p>
    <w:p w14:paraId="5571F1D2">
      <w:pPr>
        <w:rPr>
          <w:rFonts w:ascii="仿宋" w:hAnsi="仿宋" w:eastAsia="仿宋" w:cs="仿宋"/>
        </w:rPr>
      </w:pPr>
      <w:r>
        <w:rPr>
          <w:rFonts w:hint="eastAsia" w:ascii="仿宋" w:hAnsi="仿宋" w:eastAsia="仿宋" w:cs="仿宋"/>
        </w:rPr>
        <w:br w:type="page"/>
      </w:r>
    </w:p>
    <w:p w14:paraId="0F56EEA4">
      <w:pPr>
        <w:pStyle w:val="33"/>
        <w:ind w:left="0" w:leftChars="0"/>
        <w:outlineLvl w:val="1"/>
        <w:rPr>
          <w:rFonts w:ascii="仿宋" w:hAnsi="仿宋" w:eastAsia="仿宋" w:cs="仿宋"/>
          <w:sz w:val="24"/>
          <w:szCs w:val="24"/>
        </w:rPr>
      </w:pPr>
      <w:bookmarkStart w:id="50" w:name="_Toc7042"/>
      <w:bookmarkStart w:id="51" w:name="_Toc155630108"/>
      <w:r>
        <w:rPr>
          <w:rFonts w:hint="eastAsia" w:ascii="仿宋" w:hAnsi="仿宋" w:eastAsia="仿宋" w:cs="仿宋"/>
          <w:sz w:val="24"/>
          <w:szCs w:val="24"/>
        </w:rPr>
        <w:t xml:space="preserve">9  </w:t>
      </w:r>
      <w:bookmarkEnd w:id="50"/>
      <w:r>
        <w:rPr>
          <w:rFonts w:hint="eastAsia" w:ascii="仿宋" w:hAnsi="仿宋" w:eastAsia="仿宋" w:cs="仿宋"/>
          <w:sz w:val="24"/>
          <w:szCs w:val="24"/>
        </w:rPr>
        <w:t>采购需求偏离表</w:t>
      </w:r>
      <w:bookmarkEnd w:id="51"/>
    </w:p>
    <w:p w14:paraId="150DCBE5">
      <w:pPr>
        <w:pStyle w:val="33"/>
        <w:ind w:left="0" w:leftChars="0"/>
        <w:rPr>
          <w:rFonts w:ascii="仿宋" w:hAnsi="仿宋" w:eastAsia="仿宋" w:cs="仿宋"/>
          <w:sz w:val="24"/>
          <w:szCs w:val="24"/>
        </w:rPr>
      </w:pPr>
    </w:p>
    <w:p w14:paraId="4D53BA27">
      <w:pPr>
        <w:pStyle w:val="33"/>
        <w:ind w:left="0" w:leftChars="0"/>
        <w:jc w:val="center"/>
        <w:rPr>
          <w:rFonts w:ascii="仿宋" w:hAnsi="仿宋" w:eastAsia="仿宋" w:cs="仿宋"/>
          <w:b/>
          <w:bCs/>
          <w:sz w:val="32"/>
          <w:szCs w:val="32"/>
        </w:rPr>
      </w:pPr>
      <w:r>
        <w:rPr>
          <w:rFonts w:hint="eastAsia" w:ascii="仿宋" w:hAnsi="仿宋" w:eastAsia="仿宋" w:cs="仿宋"/>
          <w:b/>
          <w:bCs/>
          <w:sz w:val="32"/>
          <w:szCs w:val="32"/>
        </w:rPr>
        <w:t>采购需求偏离表</w:t>
      </w:r>
    </w:p>
    <w:p w14:paraId="20193938">
      <w:pPr>
        <w:pStyle w:val="33"/>
        <w:ind w:left="0" w:leftChars="0"/>
        <w:rPr>
          <w:rFonts w:ascii="仿宋" w:hAnsi="仿宋" w:eastAsia="仿宋" w:cs="仿宋"/>
          <w:sz w:val="24"/>
          <w:szCs w:val="24"/>
        </w:rPr>
      </w:pPr>
    </w:p>
    <w:p w14:paraId="02B4E507">
      <w:pPr>
        <w:pStyle w:val="33"/>
        <w:ind w:left="0" w:leftChars="0"/>
        <w:rPr>
          <w:rFonts w:ascii="仿宋" w:hAnsi="仿宋" w:eastAsia="仿宋" w:cs="仿宋"/>
          <w:szCs w:val="21"/>
        </w:rPr>
      </w:pPr>
      <w:r>
        <w:rPr>
          <w:rFonts w:hint="eastAsia" w:ascii="仿宋" w:hAnsi="仿宋" w:eastAsia="仿宋" w:cs="仿宋"/>
        </w:rPr>
        <w:t>标项编号：</w:t>
      </w:r>
      <w:r>
        <w:rPr>
          <w:rFonts w:hint="eastAsia" w:ascii="仿宋" w:hAnsi="仿宋" w:eastAsia="仿宋" w:cs="仿宋"/>
          <w:u w:val="single"/>
        </w:rPr>
        <w:t xml:space="preserve">                     </w:t>
      </w:r>
      <w:r>
        <w:rPr>
          <w:rFonts w:hint="eastAsia" w:ascii="仿宋" w:hAnsi="仿宋" w:eastAsia="仿宋" w:cs="仿宋"/>
        </w:rPr>
        <w:t xml:space="preserve"> 标项名称：</w:t>
      </w:r>
      <w:r>
        <w:rPr>
          <w:rFonts w:hint="eastAsia" w:ascii="仿宋" w:hAnsi="仿宋" w:eastAsia="仿宋" w:cs="仿宋"/>
          <w:u w:val="single"/>
        </w:rPr>
        <w:t xml:space="preserve">               </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88"/>
        <w:gridCol w:w="1751"/>
        <w:gridCol w:w="1623"/>
        <w:gridCol w:w="1383"/>
        <w:gridCol w:w="1383"/>
      </w:tblGrid>
      <w:tr w14:paraId="08D6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70C2DC30">
            <w:pPr>
              <w:spacing w:line="500" w:lineRule="exact"/>
              <w:jc w:val="center"/>
              <w:rPr>
                <w:rFonts w:ascii="仿宋" w:hAnsi="仿宋" w:eastAsia="仿宋" w:cs="仿宋"/>
                <w:sz w:val="24"/>
              </w:rPr>
            </w:pPr>
            <w:r>
              <w:rPr>
                <w:rFonts w:hint="eastAsia" w:ascii="仿宋" w:hAnsi="仿宋" w:eastAsia="仿宋" w:cs="仿宋"/>
                <w:sz w:val="24"/>
              </w:rPr>
              <w:t>序号</w:t>
            </w:r>
          </w:p>
        </w:tc>
        <w:tc>
          <w:tcPr>
            <w:tcW w:w="1388" w:type="dxa"/>
            <w:vAlign w:val="center"/>
          </w:tcPr>
          <w:p w14:paraId="7E860271">
            <w:pPr>
              <w:spacing w:line="500" w:lineRule="exact"/>
              <w:jc w:val="center"/>
              <w:rPr>
                <w:rFonts w:ascii="仿宋" w:hAnsi="仿宋" w:eastAsia="仿宋" w:cs="仿宋"/>
                <w:sz w:val="24"/>
              </w:rPr>
            </w:pPr>
            <w:r>
              <w:rPr>
                <w:rFonts w:hint="eastAsia" w:ascii="仿宋" w:hAnsi="仿宋" w:eastAsia="仿宋" w:cs="仿宋"/>
                <w:sz w:val="24"/>
              </w:rPr>
              <w:t>招标文件条目号(页码)</w:t>
            </w:r>
          </w:p>
        </w:tc>
        <w:tc>
          <w:tcPr>
            <w:tcW w:w="1751" w:type="dxa"/>
            <w:vAlign w:val="center"/>
          </w:tcPr>
          <w:p w14:paraId="76189445">
            <w:pPr>
              <w:spacing w:line="500" w:lineRule="exact"/>
              <w:jc w:val="center"/>
              <w:rPr>
                <w:rFonts w:ascii="仿宋" w:hAnsi="仿宋" w:eastAsia="仿宋" w:cs="仿宋"/>
                <w:sz w:val="24"/>
              </w:rPr>
            </w:pPr>
            <w:r>
              <w:rPr>
                <w:rFonts w:hint="eastAsia" w:ascii="仿宋" w:hAnsi="仿宋" w:eastAsia="仿宋" w:cs="仿宋"/>
                <w:sz w:val="24"/>
              </w:rPr>
              <w:t>招标文件要求</w:t>
            </w:r>
          </w:p>
        </w:tc>
        <w:tc>
          <w:tcPr>
            <w:tcW w:w="1623" w:type="dxa"/>
            <w:vAlign w:val="center"/>
          </w:tcPr>
          <w:p w14:paraId="27FD1893">
            <w:pPr>
              <w:spacing w:line="500" w:lineRule="exact"/>
              <w:jc w:val="center"/>
              <w:rPr>
                <w:rFonts w:ascii="仿宋" w:hAnsi="仿宋" w:eastAsia="仿宋" w:cs="仿宋"/>
                <w:sz w:val="24"/>
              </w:rPr>
            </w:pPr>
            <w:r>
              <w:rPr>
                <w:rFonts w:hint="eastAsia" w:ascii="仿宋" w:hAnsi="仿宋" w:eastAsia="仿宋" w:cs="仿宋"/>
                <w:sz w:val="24"/>
              </w:rPr>
              <w:t>投标响应内容</w:t>
            </w:r>
          </w:p>
        </w:tc>
        <w:tc>
          <w:tcPr>
            <w:tcW w:w="1383" w:type="dxa"/>
            <w:vAlign w:val="center"/>
          </w:tcPr>
          <w:p w14:paraId="33A47C78">
            <w:pPr>
              <w:spacing w:line="500" w:lineRule="exact"/>
              <w:jc w:val="center"/>
              <w:rPr>
                <w:rFonts w:ascii="仿宋" w:hAnsi="仿宋" w:eastAsia="仿宋" w:cs="仿宋"/>
                <w:sz w:val="24"/>
              </w:rPr>
            </w:pPr>
            <w:r>
              <w:rPr>
                <w:rFonts w:hint="eastAsia" w:ascii="仿宋" w:hAnsi="仿宋" w:eastAsia="仿宋" w:cs="仿宋"/>
                <w:sz w:val="24"/>
              </w:rPr>
              <w:t>偏离情况</w:t>
            </w:r>
          </w:p>
        </w:tc>
        <w:tc>
          <w:tcPr>
            <w:tcW w:w="1383" w:type="dxa"/>
            <w:vAlign w:val="center"/>
          </w:tcPr>
          <w:p w14:paraId="4847E2DB">
            <w:pPr>
              <w:spacing w:line="500" w:lineRule="exact"/>
              <w:jc w:val="center"/>
              <w:rPr>
                <w:rFonts w:ascii="仿宋" w:hAnsi="仿宋" w:eastAsia="仿宋" w:cs="仿宋"/>
                <w:sz w:val="24"/>
              </w:rPr>
            </w:pPr>
            <w:r>
              <w:rPr>
                <w:rFonts w:hint="eastAsia" w:ascii="仿宋" w:hAnsi="仿宋" w:eastAsia="仿宋" w:cs="仿宋"/>
                <w:sz w:val="24"/>
              </w:rPr>
              <w:t>说明</w:t>
            </w:r>
          </w:p>
        </w:tc>
      </w:tr>
      <w:tr w14:paraId="28F1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14:paraId="33BE5BF3">
            <w:pPr>
              <w:spacing w:line="500" w:lineRule="exact"/>
              <w:rPr>
                <w:rFonts w:ascii="仿宋" w:hAnsi="仿宋" w:eastAsia="仿宋" w:cs="仿宋"/>
                <w:sz w:val="24"/>
              </w:rPr>
            </w:pPr>
          </w:p>
        </w:tc>
        <w:tc>
          <w:tcPr>
            <w:tcW w:w="1388" w:type="dxa"/>
          </w:tcPr>
          <w:p w14:paraId="28DA4E9F">
            <w:pPr>
              <w:spacing w:line="500" w:lineRule="exact"/>
              <w:rPr>
                <w:rFonts w:ascii="仿宋" w:hAnsi="仿宋" w:eastAsia="仿宋" w:cs="仿宋"/>
                <w:sz w:val="24"/>
              </w:rPr>
            </w:pPr>
          </w:p>
        </w:tc>
        <w:tc>
          <w:tcPr>
            <w:tcW w:w="1751" w:type="dxa"/>
          </w:tcPr>
          <w:p w14:paraId="5A06FF54">
            <w:pPr>
              <w:spacing w:line="500" w:lineRule="exact"/>
              <w:rPr>
                <w:rFonts w:ascii="仿宋" w:hAnsi="仿宋" w:eastAsia="仿宋" w:cs="仿宋"/>
                <w:sz w:val="24"/>
              </w:rPr>
            </w:pPr>
          </w:p>
        </w:tc>
        <w:tc>
          <w:tcPr>
            <w:tcW w:w="1623" w:type="dxa"/>
          </w:tcPr>
          <w:p w14:paraId="597E23FD">
            <w:pPr>
              <w:spacing w:line="500" w:lineRule="exact"/>
              <w:rPr>
                <w:rFonts w:ascii="仿宋" w:hAnsi="仿宋" w:eastAsia="仿宋" w:cs="仿宋"/>
                <w:sz w:val="24"/>
              </w:rPr>
            </w:pPr>
          </w:p>
        </w:tc>
        <w:tc>
          <w:tcPr>
            <w:tcW w:w="1383" w:type="dxa"/>
          </w:tcPr>
          <w:p w14:paraId="57377F05">
            <w:pPr>
              <w:spacing w:line="500" w:lineRule="exact"/>
              <w:rPr>
                <w:rFonts w:ascii="仿宋" w:hAnsi="仿宋" w:eastAsia="仿宋" w:cs="仿宋"/>
                <w:sz w:val="24"/>
              </w:rPr>
            </w:pPr>
          </w:p>
        </w:tc>
        <w:tc>
          <w:tcPr>
            <w:tcW w:w="1383" w:type="dxa"/>
          </w:tcPr>
          <w:p w14:paraId="0710C20E">
            <w:pPr>
              <w:spacing w:line="500" w:lineRule="exact"/>
              <w:rPr>
                <w:rFonts w:ascii="仿宋" w:hAnsi="仿宋" w:eastAsia="仿宋" w:cs="仿宋"/>
                <w:sz w:val="24"/>
              </w:rPr>
            </w:pPr>
          </w:p>
        </w:tc>
      </w:tr>
      <w:tr w14:paraId="474A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14:paraId="4A667CE8">
            <w:pPr>
              <w:spacing w:line="500" w:lineRule="exact"/>
              <w:rPr>
                <w:rFonts w:ascii="仿宋" w:hAnsi="仿宋" w:eastAsia="仿宋" w:cs="仿宋"/>
                <w:sz w:val="24"/>
              </w:rPr>
            </w:pPr>
          </w:p>
        </w:tc>
        <w:tc>
          <w:tcPr>
            <w:tcW w:w="1388" w:type="dxa"/>
          </w:tcPr>
          <w:p w14:paraId="58D2B97B">
            <w:pPr>
              <w:spacing w:line="500" w:lineRule="exact"/>
              <w:rPr>
                <w:rFonts w:ascii="仿宋" w:hAnsi="仿宋" w:eastAsia="仿宋" w:cs="仿宋"/>
                <w:sz w:val="24"/>
              </w:rPr>
            </w:pPr>
          </w:p>
        </w:tc>
        <w:tc>
          <w:tcPr>
            <w:tcW w:w="1751" w:type="dxa"/>
          </w:tcPr>
          <w:p w14:paraId="27227E6C">
            <w:pPr>
              <w:spacing w:line="500" w:lineRule="exact"/>
              <w:rPr>
                <w:rFonts w:ascii="仿宋" w:hAnsi="仿宋" w:eastAsia="仿宋" w:cs="仿宋"/>
                <w:sz w:val="24"/>
              </w:rPr>
            </w:pPr>
          </w:p>
        </w:tc>
        <w:tc>
          <w:tcPr>
            <w:tcW w:w="1623" w:type="dxa"/>
          </w:tcPr>
          <w:p w14:paraId="7158CDCC">
            <w:pPr>
              <w:spacing w:line="500" w:lineRule="exact"/>
              <w:rPr>
                <w:rFonts w:ascii="仿宋" w:hAnsi="仿宋" w:eastAsia="仿宋" w:cs="仿宋"/>
                <w:sz w:val="24"/>
              </w:rPr>
            </w:pPr>
          </w:p>
        </w:tc>
        <w:tc>
          <w:tcPr>
            <w:tcW w:w="1383" w:type="dxa"/>
          </w:tcPr>
          <w:p w14:paraId="76DBFFC5">
            <w:pPr>
              <w:spacing w:line="500" w:lineRule="exact"/>
              <w:rPr>
                <w:rFonts w:ascii="仿宋" w:hAnsi="仿宋" w:eastAsia="仿宋" w:cs="仿宋"/>
                <w:sz w:val="24"/>
              </w:rPr>
            </w:pPr>
          </w:p>
        </w:tc>
        <w:tc>
          <w:tcPr>
            <w:tcW w:w="1383" w:type="dxa"/>
          </w:tcPr>
          <w:p w14:paraId="70F021B9">
            <w:pPr>
              <w:spacing w:line="500" w:lineRule="exact"/>
              <w:rPr>
                <w:rFonts w:ascii="仿宋" w:hAnsi="仿宋" w:eastAsia="仿宋" w:cs="仿宋"/>
                <w:sz w:val="24"/>
              </w:rPr>
            </w:pPr>
          </w:p>
        </w:tc>
      </w:tr>
      <w:tr w14:paraId="7302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14:paraId="16A0FEC7">
            <w:pPr>
              <w:spacing w:line="500" w:lineRule="exact"/>
              <w:rPr>
                <w:rFonts w:ascii="仿宋" w:hAnsi="仿宋" w:eastAsia="仿宋" w:cs="仿宋"/>
                <w:sz w:val="24"/>
              </w:rPr>
            </w:pPr>
          </w:p>
        </w:tc>
        <w:tc>
          <w:tcPr>
            <w:tcW w:w="1388" w:type="dxa"/>
          </w:tcPr>
          <w:p w14:paraId="395AC626">
            <w:pPr>
              <w:spacing w:line="500" w:lineRule="exact"/>
              <w:rPr>
                <w:rFonts w:ascii="仿宋" w:hAnsi="仿宋" w:eastAsia="仿宋" w:cs="仿宋"/>
                <w:sz w:val="24"/>
              </w:rPr>
            </w:pPr>
          </w:p>
        </w:tc>
        <w:tc>
          <w:tcPr>
            <w:tcW w:w="1751" w:type="dxa"/>
          </w:tcPr>
          <w:p w14:paraId="6A707FEF">
            <w:pPr>
              <w:spacing w:line="500" w:lineRule="exact"/>
              <w:rPr>
                <w:rFonts w:ascii="仿宋" w:hAnsi="仿宋" w:eastAsia="仿宋" w:cs="仿宋"/>
                <w:sz w:val="24"/>
              </w:rPr>
            </w:pPr>
          </w:p>
        </w:tc>
        <w:tc>
          <w:tcPr>
            <w:tcW w:w="1623" w:type="dxa"/>
          </w:tcPr>
          <w:p w14:paraId="78E8F5BF">
            <w:pPr>
              <w:spacing w:line="500" w:lineRule="exact"/>
              <w:rPr>
                <w:rFonts w:ascii="仿宋" w:hAnsi="仿宋" w:eastAsia="仿宋" w:cs="仿宋"/>
                <w:sz w:val="24"/>
              </w:rPr>
            </w:pPr>
          </w:p>
        </w:tc>
        <w:tc>
          <w:tcPr>
            <w:tcW w:w="1383" w:type="dxa"/>
          </w:tcPr>
          <w:p w14:paraId="1C289F3E">
            <w:pPr>
              <w:spacing w:line="500" w:lineRule="exact"/>
              <w:rPr>
                <w:rFonts w:ascii="仿宋" w:hAnsi="仿宋" w:eastAsia="仿宋" w:cs="仿宋"/>
                <w:sz w:val="24"/>
              </w:rPr>
            </w:pPr>
          </w:p>
        </w:tc>
        <w:tc>
          <w:tcPr>
            <w:tcW w:w="1383" w:type="dxa"/>
          </w:tcPr>
          <w:p w14:paraId="5D71D4EE">
            <w:pPr>
              <w:spacing w:line="500" w:lineRule="exact"/>
              <w:rPr>
                <w:rFonts w:ascii="仿宋" w:hAnsi="仿宋" w:eastAsia="仿宋" w:cs="仿宋"/>
                <w:sz w:val="24"/>
              </w:rPr>
            </w:pPr>
          </w:p>
        </w:tc>
      </w:tr>
      <w:tr w14:paraId="5F5A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14:paraId="43CC1CCA">
            <w:pPr>
              <w:spacing w:line="500" w:lineRule="exact"/>
              <w:rPr>
                <w:rFonts w:ascii="仿宋" w:hAnsi="仿宋" w:eastAsia="仿宋" w:cs="仿宋"/>
                <w:sz w:val="24"/>
              </w:rPr>
            </w:pPr>
          </w:p>
        </w:tc>
        <w:tc>
          <w:tcPr>
            <w:tcW w:w="1388" w:type="dxa"/>
          </w:tcPr>
          <w:p w14:paraId="0879569D">
            <w:pPr>
              <w:spacing w:line="500" w:lineRule="exact"/>
              <w:rPr>
                <w:rFonts w:ascii="仿宋" w:hAnsi="仿宋" w:eastAsia="仿宋" w:cs="仿宋"/>
                <w:sz w:val="24"/>
              </w:rPr>
            </w:pPr>
          </w:p>
        </w:tc>
        <w:tc>
          <w:tcPr>
            <w:tcW w:w="1751" w:type="dxa"/>
          </w:tcPr>
          <w:p w14:paraId="31FC87B9">
            <w:pPr>
              <w:spacing w:line="500" w:lineRule="exact"/>
              <w:rPr>
                <w:rFonts w:ascii="仿宋" w:hAnsi="仿宋" w:eastAsia="仿宋" w:cs="仿宋"/>
                <w:sz w:val="24"/>
              </w:rPr>
            </w:pPr>
          </w:p>
        </w:tc>
        <w:tc>
          <w:tcPr>
            <w:tcW w:w="1623" w:type="dxa"/>
          </w:tcPr>
          <w:p w14:paraId="3FEF9102">
            <w:pPr>
              <w:spacing w:line="500" w:lineRule="exact"/>
              <w:rPr>
                <w:rFonts w:ascii="仿宋" w:hAnsi="仿宋" w:eastAsia="仿宋" w:cs="仿宋"/>
                <w:sz w:val="24"/>
              </w:rPr>
            </w:pPr>
          </w:p>
        </w:tc>
        <w:tc>
          <w:tcPr>
            <w:tcW w:w="1383" w:type="dxa"/>
          </w:tcPr>
          <w:p w14:paraId="649ADA88">
            <w:pPr>
              <w:spacing w:line="500" w:lineRule="exact"/>
              <w:rPr>
                <w:rFonts w:ascii="仿宋" w:hAnsi="仿宋" w:eastAsia="仿宋" w:cs="仿宋"/>
                <w:sz w:val="24"/>
              </w:rPr>
            </w:pPr>
          </w:p>
        </w:tc>
        <w:tc>
          <w:tcPr>
            <w:tcW w:w="1383" w:type="dxa"/>
          </w:tcPr>
          <w:p w14:paraId="23BE8753">
            <w:pPr>
              <w:spacing w:line="500" w:lineRule="exact"/>
              <w:rPr>
                <w:rFonts w:ascii="仿宋" w:hAnsi="仿宋" w:eastAsia="仿宋" w:cs="仿宋"/>
                <w:sz w:val="24"/>
              </w:rPr>
            </w:pPr>
          </w:p>
        </w:tc>
      </w:tr>
    </w:tbl>
    <w:p w14:paraId="21B8C84B">
      <w:pPr>
        <w:spacing w:line="500" w:lineRule="exact"/>
        <w:rPr>
          <w:rFonts w:ascii="仿宋" w:hAnsi="仿宋" w:eastAsia="仿宋" w:cs="仿宋"/>
          <w:sz w:val="24"/>
        </w:rPr>
      </w:pPr>
      <w:r>
        <w:rPr>
          <w:rFonts w:hint="eastAsia" w:ascii="仿宋" w:hAnsi="仿宋" w:eastAsia="仿宋" w:cs="仿宋"/>
          <w:sz w:val="24"/>
        </w:rPr>
        <w:t>注：</w:t>
      </w:r>
    </w:p>
    <w:p w14:paraId="48E89C65">
      <w:pPr>
        <w:numPr>
          <w:ilvl w:val="0"/>
          <w:numId w:val="16"/>
        </w:numPr>
        <w:spacing w:line="500" w:lineRule="exact"/>
        <w:rPr>
          <w:rFonts w:ascii="仿宋" w:hAnsi="仿宋" w:eastAsia="仿宋" w:cs="仿宋"/>
          <w:sz w:val="24"/>
        </w:rPr>
      </w:pPr>
      <w:r>
        <w:rPr>
          <w:rFonts w:hint="eastAsia" w:ascii="仿宋" w:hAnsi="仿宋" w:eastAsia="仿宋" w:cs="仿宋"/>
          <w:sz w:val="24"/>
        </w:rPr>
        <w:t>投标人应对招标文件第五章采购需求的内容给予逐条响应，以投标服务所能达到的内容予以填写。</w:t>
      </w:r>
    </w:p>
    <w:p w14:paraId="1EC49C8B">
      <w:pPr>
        <w:numPr>
          <w:ilvl w:val="0"/>
          <w:numId w:val="16"/>
        </w:numPr>
        <w:spacing w:line="500" w:lineRule="exact"/>
        <w:rPr>
          <w:rFonts w:ascii="仿宋" w:hAnsi="仿宋" w:eastAsia="仿宋" w:cs="仿宋"/>
          <w:sz w:val="24"/>
        </w:rPr>
      </w:pPr>
      <w:r>
        <w:rPr>
          <w:rFonts w:hint="eastAsia" w:ascii="仿宋" w:hAnsi="仿宋" w:eastAsia="仿宋" w:cs="仿宋"/>
          <w:sz w:val="24"/>
        </w:rPr>
        <w:t>本偏离表是评委评审投标人采购需求最重要的直观材料和主要依据，投标人应针对本招标文件中的要求是否满足填写偏离表。对招标件中的所有技术条款，除非本表所列明的所有偏离外，均视作</w:t>
      </w:r>
      <w:r>
        <w:rPr>
          <w:rFonts w:hint="eastAsia" w:ascii="仿宋" w:hAnsi="仿宋" w:eastAsia="仿宋" w:cs="仿宋"/>
          <w:sz w:val="24"/>
          <w:lang w:eastAsia="zh-CN"/>
        </w:rPr>
        <w:t>投标人</w:t>
      </w:r>
      <w:r>
        <w:rPr>
          <w:rFonts w:hint="eastAsia" w:ascii="仿宋" w:hAnsi="仿宋" w:eastAsia="仿宋" w:cs="仿宋"/>
          <w:sz w:val="24"/>
        </w:rPr>
        <w:t>已对之理解和同意。</w:t>
      </w:r>
    </w:p>
    <w:p w14:paraId="77B64FC4">
      <w:pPr>
        <w:numPr>
          <w:ilvl w:val="0"/>
          <w:numId w:val="16"/>
        </w:numPr>
        <w:spacing w:line="500" w:lineRule="exact"/>
        <w:rPr>
          <w:rFonts w:ascii="仿宋" w:hAnsi="仿宋" w:eastAsia="仿宋" w:cs="仿宋"/>
          <w:sz w:val="24"/>
        </w:rPr>
      </w:pPr>
      <w:r>
        <w:rPr>
          <w:rFonts w:hint="eastAsia" w:ascii="仿宋" w:hAnsi="仿宋" w:eastAsia="仿宋" w:cs="仿宋"/>
          <w:sz w:val="24"/>
        </w:rPr>
        <w:t>“偏离情况”列应据实填写“正偏离”、“负偏离”或“无偏离”。</w:t>
      </w:r>
    </w:p>
    <w:p w14:paraId="281F1927">
      <w:pPr>
        <w:spacing w:line="500" w:lineRule="exact"/>
        <w:rPr>
          <w:rFonts w:ascii="仿宋" w:hAnsi="仿宋" w:eastAsia="仿宋" w:cs="仿宋"/>
          <w:sz w:val="24"/>
        </w:rPr>
      </w:pPr>
    </w:p>
    <w:p w14:paraId="4C14A5E3">
      <w:pPr>
        <w:spacing w:line="500" w:lineRule="exact"/>
        <w:rPr>
          <w:rFonts w:ascii="仿宋" w:hAnsi="仿宋" w:eastAsia="仿宋" w:cs="仿宋"/>
          <w:sz w:val="24"/>
        </w:rPr>
      </w:pPr>
    </w:p>
    <w:p w14:paraId="4F2CE28F">
      <w:pPr>
        <w:spacing w:line="500" w:lineRule="exact"/>
        <w:rPr>
          <w:rFonts w:ascii="仿宋" w:hAnsi="仿宋" w:eastAsia="仿宋" w:cs="仿宋"/>
          <w:sz w:val="24"/>
        </w:rPr>
      </w:pPr>
      <w:r>
        <w:rPr>
          <w:rFonts w:hint="eastAsia" w:ascii="仿宋" w:hAnsi="仿宋" w:eastAsia="仿宋" w:cs="仿宋"/>
          <w:sz w:val="24"/>
        </w:rPr>
        <w:t>投标人名称（加盖公章）： ____________</w:t>
      </w:r>
    </w:p>
    <w:p w14:paraId="07FC73C6">
      <w:pPr>
        <w:spacing w:line="500" w:lineRule="exact"/>
        <w:rPr>
          <w:rFonts w:ascii="仿宋" w:hAnsi="仿宋" w:eastAsia="仿宋" w:cs="仿宋"/>
          <w:sz w:val="24"/>
        </w:rPr>
      </w:pPr>
      <w:r>
        <w:rPr>
          <w:rFonts w:hint="eastAsia" w:ascii="仿宋" w:hAnsi="仿宋" w:eastAsia="仿宋" w:cs="仿宋"/>
          <w:sz w:val="24"/>
        </w:rPr>
        <w:t>日期：_____年______月______日</w:t>
      </w:r>
    </w:p>
    <w:p w14:paraId="7AF23503">
      <w:pPr>
        <w:rPr>
          <w:rFonts w:ascii="仿宋" w:hAnsi="仿宋" w:eastAsia="仿宋" w:cs="仿宋"/>
        </w:rPr>
      </w:pPr>
      <w:r>
        <w:rPr>
          <w:rFonts w:hint="eastAsia" w:ascii="仿宋" w:hAnsi="仿宋" w:eastAsia="仿宋" w:cs="仿宋"/>
        </w:rPr>
        <w:br w:type="page"/>
      </w:r>
    </w:p>
    <w:p w14:paraId="38E8BC3C">
      <w:pPr>
        <w:spacing w:before="1"/>
        <w:outlineLvl w:val="1"/>
        <w:rPr>
          <w:rFonts w:ascii="仿宋" w:hAnsi="仿宋" w:eastAsia="仿宋" w:cs="仿宋"/>
          <w:sz w:val="24"/>
          <w:lang w:val="zh-CN" w:bidi="zh-CN"/>
        </w:rPr>
      </w:pPr>
      <w:bookmarkStart w:id="52" w:name="_Toc3420"/>
      <w:bookmarkStart w:id="53" w:name="_Toc8281"/>
      <w:bookmarkStart w:id="54" w:name="_Toc155630110"/>
      <w:bookmarkStart w:id="55" w:name="_Toc15106"/>
      <w:bookmarkStart w:id="56" w:name="_Toc17899"/>
      <w:bookmarkStart w:id="57" w:name="_Toc20782"/>
      <w:bookmarkStart w:id="58" w:name="_Toc24678"/>
      <w:bookmarkStart w:id="59" w:name="_Toc8649"/>
      <w:r>
        <w:rPr>
          <w:rFonts w:ascii="仿宋" w:hAnsi="仿宋" w:eastAsia="仿宋" w:cs="仿宋"/>
          <w:sz w:val="24"/>
          <w:lang w:bidi="zh-CN"/>
        </w:rPr>
        <w:t>10</w:t>
      </w:r>
      <w:r>
        <w:rPr>
          <w:rFonts w:hint="eastAsia" w:ascii="仿宋" w:hAnsi="仿宋" w:eastAsia="仿宋" w:cs="仿宋"/>
          <w:sz w:val="24"/>
          <w:lang w:bidi="zh-CN"/>
        </w:rPr>
        <w:t xml:space="preserve">   </w:t>
      </w:r>
      <w:r>
        <w:rPr>
          <w:rFonts w:hint="eastAsia" w:ascii="仿宋" w:hAnsi="仿宋" w:eastAsia="仿宋" w:cs="仿宋"/>
          <w:sz w:val="24"/>
          <w:lang w:val="zh-CN" w:bidi="zh-CN"/>
        </w:rPr>
        <w:t>保证金信息表</w:t>
      </w:r>
      <w:bookmarkEnd w:id="52"/>
      <w:bookmarkEnd w:id="53"/>
      <w:r>
        <w:rPr>
          <w:rFonts w:hint="eastAsia" w:ascii="仿宋" w:hAnsi="仿宋" w:eastAsia="仿宋" w:cs="仿宋"/>
          <w:sz w:val="24"/>
          <w:lang w:val="zh-CN" w:bidi="zh-CN"/>
        </w:rPr>
        <w:t>（</w:t>
      </w:r>
      <w:r>
        <w:rPr>
          <w:rFonts w:hint="eastAsia" w:ascii="仿宋" w:hAnsi="仿宋" w:eastAsia="仿宋" w:cs="仿宋"/>
          <w:sz w:val="24"/>
          <w:lang w:bidi="zh-CN"/>
        </w:rPr>
        <w:t>保函方式提交的无需提供</w:t>
      </w:r>
      <w:r>
        <w:rPr>
          <w:rFonts w:hint="eastAsia" w:ascii="仿宋" w:hAnsi="仿宋" w:eastAsia="仿宋" w:cs="仿宋"/>
          <w:sz w:val="24"/>
          <w:lang w:val="zh-CN" w:bidi="zh-CN"/>
        </w:rPr>
        <w:t>）</w:t>
      </w:r>
      <w:bookmarkEnd w:id="54"/>
      <w:bookmarkEnd w:id="55"/>
      <w:bookmarkEnd w:id="56"/>
      <w:bookmarkEnd w:id="57"/>
      <w:bookmarkEnd w:id="58"/>
      <w:bookmarkEnd w:id="59"/>
    </w:p>
    <w:p w14:paraId="538A2549">
      <w:pPr>
        <w:pStyle w:val="27"/>
        <w:rPr>
          <w:rFonts w:ascii="仿宋" w:hAnsi="仿宋" w:eastAsia="仿宋" w:cs="仿宋"/>
        </w:rPr>
      </w:pPr>
    </w:p>
    <w:p w14:paraId="75C5330A">
      <w:pPr>
        <w:pStyle w:val="27"/>
        <w:rPr>
          <w:rFonts w:ascii="仿宋" w:hAnsi="仿宋" w:eastAsia="仿宋" w:cs="仿宋"/>
          <w:sz w:val="32"/>
          <w:szCs w:val="32"/>
        </w:rPr>
      </w:pPr>
      <w:bookmarkStart w:id="60" w:name="_Toc4940"/>
      <w:bookmarkStart w:id="61" w:name="_Toc27316"/>
      <w:bookmarkStart w:id="62" w:name="_Toc25967"/>
      <w:bookmarkStart w:id="63" w:name="_Toc31463"/>
      <w:bookmarkStart w:id="64" w:name="_Toc28181"/>
      <w:bookmarkStart w:id="65" w:name="_Toc14307"/>
      <w:bookmarkStart w:id="66" w:name="_Toc16938"/>
      <w:r>
        <w:rPr>
          <w:rFonts w:hint="eastAsia" w:ascii="仿宋" w:hAnsi="仿宋" w:eastAsia="仿宋" w:cs="仿宋"/>
        </w:rPr>
        <w:t>退还保证金申请函</w:t>
      </w:r>
      <w:bookmarkEnd w:id="60"/>
      <w:bookmarkEnd w:id="61"/>
      <w:bookmarkEnd w:id="62"/>
      <w:bookmarkEnd w:id="63"/>
      <w:bookmarkEnd w:id="64"/>
      <w:bookmarkEnd w:id="65"/>
      <w:bookmarkEnd w:id="66"/>
    </w:p>
    <w:p w14:paraId="2943F873">
      <w:pPr>
        <w:spacing w:line="360" w:lineRule="auto"/>
        <w:rPr>
          <w:rFonts w:ascii="仿宋" w:hAnsi="仿宋" w:eastAsia="仿宋" w:cs="仿宋"/>
          <w:color w:val="000000"/>
          <w:szCs w:val="21"/>
          <w:u w:val="single"/>
        </w:rPr>
      </w:pPr>
      <w:r>
        <w:rPr>
          <w:rFonts w:hint="eastAsia" w:ascii="仿宋" w:hAnsi="仿宋" w:eastAsia="仿宋" w:cs="仿宋"/>
          <w:color w:val="000000"/>
          <w:szCs w:val="21"/>
        </w:rPr>
        <w:t>致：</w:t>
      </w:r>
      <w:r>
        <w:rPr>
          <w:rFonts w:hint="eastAsia" w:ascii="仿宋" w:hAnsi="仿宋" w:eastAsia="仿宋" w:cs="仿宋"/>
          <w:color w:val="000000"/>
          <w:szCs w:val="21"/>
          <w:u w:val="single"/>
        </w:rPr>
        <w:t>新疆城基宏业工程管理咨询有限公司</w:t>
      </w:r>
    </w:p>
    <w:p w14:paraId="2F9F2A52">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u w:val="single"/>
        </w:rPr>
        <w:t xml:space="preserve">（投标人全称) </w:t>
      </w:r>
      <w:r>
        <w:rPr>
          <w:rFonts w:hint="eastAsia" w:ascii="仿宋" w:hAnsi="仿宋" w:eastAsia="仿宋" w:cs="仿宋"/>
          <w:color w:val="000000"/>
          <w:szCs w:val="21"/>
        </w:rPr>
        <w:t>参加贵方组织的，</w:t>
      </w:r>
      <w:r>
        <w:rPr>
          <w:rFonts w:hint="eastAsia" w:ascii="仿宋" w:hAnsi="仿宋" w:eastAsia="仿宋" w:cs="仿宋"/>
          <w:szCs w:val="21"/>
          <w:u w:val="single"/>
        </w:rPr>
        <w:t>（标项名称）（标项编号）</w:t>
      </w:r>
      <w:r>
        <w:rPr>
          <w:rFonts w:hint="eastAsia" w:ascii="仿宋" w:hAnsi="仿宋" w:eastAsia="仿宋" w:cs="仿宋"/>
          <w:color w:val="000000"/>
          <w:szCs w:val="21"/>
        </w:rPr>
        <w:t>的招标采购活动。按招标文件的规定，已通过</w:t>
      </w:r>
      <w:r>
        <w:rPr>
          <w:rFonts w:hint="eastAsia" w:ascii="仿宋" w:hAnsi="仿宋" w:eastAsia="仿宋" w:cs="仿宋"/>
          <w:color w:val="000000"/>
          <w:szCs w:val="21"/>
          <w:u w:val="single"/>
        </w:rPr>
        <w:t>银行转帐/银行汇款</w:t>
      </w:r>
      <w:r>
        <w:rPr>
          <w:rFonts w:hint="eastAsia" w:ascii="仿宋" w:hAnsi="仿宋" w:eastAsia="仿宋" w:cs="仿宋"/>
          <w:color w:val="000000"/>
          <w:szCs w:val="21"/>
        </w:rPr>
        <w:t>形式缴纳人民币</w:t>
      </w:r>
      <w:r>
        <w:rPr>
          <w:rFonts w:hint="eastAsia" w:ascii="仿宋" w:hAnsi="仿宋" w:eastAsia="仿宋" w:cs="仿宋"/>
          <w:color w:val="000000"/>
          <w:szCs w:val="21"/>
          <w:u w:val="single"/>
        </w:rPr>
        <w:t xml:space="preserve">（大写）  　　  </w:t>
      </w:r>
      <w:r>
        <w:rPr>
          <w:rFonts w:hint="eastAsia" w:ascii="仿宋" w:hAnsi="仿宋" w:eastAsia="仿宋" w:cs="仿宋"/>
          <w:color w:val="000000"/>
          <w:szCs w:val="21"/>
        </w:rPr>
        <w:t>元的保证金。</w:t>
      </w:r>
    </w:p>
    <w:p w14:paraId="08275DC4">
      <w:pPr>
        <w:autoSpaceDE w:val="0"/>
        <w:autoSpaceDN w:val="0"/>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退还保证金时请按以下内容划入我方账户。若因内容不全、错误、字迹潦草模糊导致该项目保证金未能及时退还或退还过程中发生错误，我方将承担全部责任和损失。</w:t>
      </w:r>
    </w:p>
    <w:p w14:paraId="6944D0BD">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投标人名称：</w:t>
      </w:r>
      <w:r>
        <w:rPr>
          <w:rFonts w:hint="eastAsia" w:ascii="仿宋" w:hAnsi="仿宋" w:eastAsia="仿宋" w:cs="仿宋"/>
          <w:i/>
          <w:iCs/>
          <w:color w:val="000000"/>
          <w:szCs w:val="21"/>
          <w:u w:val="single"/>
        </w:rPr>
        <w:t xml:space="preserve">                                 </w:t>
      </w:r>
      <w:r>
        <w:rPr>
          <w:rFonts w:hint="eastAsia" w:ascii="仿宋" w:hAnsi="仿宋" w:eastAsia="仿宋" w:cs="仿宋"/>
          <w:color w:val="000000"/>
          <w:szCs w:val="21"/>
        </w:rPr>
        <w:t xml:space="preserve"> </w:t>
      </w:r>
    </w:p>
    <w:p w14:paraId="1008C6C5">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投标人开户银行：</w:t>
      </w:r>
      <w:r>
        <w:rPr>
          <w:rFonts w:hint="eastAsia" w:ascii="仿宋" w:hAnsi="仿宋" w:eastAsia="仿宋" w:cs="仿宋"/>
          <w:color w:val="000000"/>
          <w:szCs w:val="21"/>
          <w:u w:val="single"/>
        </w:rPr>
        <w:t xml:space="preserve">                             </w:t>
      </w:r>
    </w:p>
    <w:p w14:paraId="3BBE1A74">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投标人开户银行行号：</w:t>
      </w:r>
      <w:r>
        <w:rPr>
          <w:rFonts w:hint="eastAsia" w:ascii="仿宋" w:hAnsi="仿宋" w:eastAsia="仿宋" w:cs="仿宋"/>
          <w:color w:val="000000"/>
          <w:szCs w:val="21"/>
          <w:u w:val="single"/>
        </w:rPr>
        <w:t xml:space="preserve">                         </w:t>
      </w:r>
    </w:p>
    <w:p w14:paraId="0709B866">
      <w:pPr>
        <w:spacing w:line="360" w:lineRule="auto"/>
        <w:ind w:firstLine="420" w:firstLineChars="200"/>
        <w:rPr>
          <w:rFonts w:ascii="仿宋" w:hAnsi="仿宋" w:eastAsia="仿宋" w:cs="仿宋"/>
          <w:color w:val="000000"/>
          <w:szCs w:val="21"/>
          <w:u w:val="single"/>
        </w:rPr>
      </w:pPr>
      <w:r>
        <w:rPr>
          <w:rFonts w:hint="eastAsia" w:ascii="仿宋" w:hAnsi="仿宋" w:eastAsia="仿宋" w:cs="仿宋"/>
          <w:color w:val="000000"/>
          <w:szCs w:val="21"/>
        </w:rPr>
        <w:t>投标人银行账号：</w:t>
      </w:r>
      <w:r>
        <w:rPr>
          <w:rFonts w:hint="eastAsia" w:ascii="仿宋" w:hAnsi="仿宋" w:eastAsia="仿宋" w:cs="仿宋"/>
          <w:color w:val="000000"/>
          <w:szCs w:val="21"/>
          <w:u w:val="single"/>
        </w:rPr>
        <w:t xml:space="preserve">                             </w:t>
      </w:r>
    </w:p>
    <w:p w14:paraId="1AF3D5E2">
      <w:pPr>
        <w:adjustRightInd w:val="0"/>
        <w:snapToGrid w:val="0"/>
        <w:spacing w:line="360" w:lineRule="auto"/>
        <w:rPr>
          <w:rFonts w:ascii="仿宋" w:hAnsi="仿宋" w:eastAsia="仿宋" w:cs="仿宋"/>
          <w:color w:val="000000"/>
          <w:szCs w:val="21"/>
        </w:rPr>
      </w:pPr>
    </w:p>
    <w:p w14:paraId="1760F4C1">
      <w:pPr>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投标人法定代表人（或法定代表人授权代表）签字：</w:t>
      </w:r>
    </w:p>
    <w:p w14:paraId="7D9A45AF">
      <w:pPr>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投标人名称（加盖公章）：</w:t>
      </w:r>
    </w:p>
    <w:p w14:paraId="227045E9">
      <w:pPr>
        <w:adjustRightInd w:val="0"/>
        <w:snapToGrid w:val="0"/>
        <w:spacing w:line="360" w:lineRule="auto"/>
        <w:rPr>
          <w:rFonts w:ascii="仿宋" w:hAnsi="仿宋" w:eastAsia="仿宋" w:cs="仿宋"/>
          <w:color w:val="000000"/>
          <w:szCs w:val="21"/>
          <w:u w:val="single"/>
        </w:rPr>
      </w:pPr>
      <w:r>
        <w:rPr>
          <w:rFonts w:hint="eastAsia" w:ascii="仿宋" w:hAnsi="仿宋" w:eastAsia="仿宋" w:cs="仿宋"/>
          <w:color w:val="000000"/>
          <w:szCs w:val="21"/>
        </w:rPr>
        <w:t>日期：   年   月   日</w:t>
      </w:r>
    </w:p>
    <w:p w14:paraId="4836AE85">
      <w:pPr>
        <w:pStyle w:val="27"/>
        <w:rPr>
          <w:rFonts w:ascii="仿宋" w:hAnsi="仿宋" w:eastAsia="仿宋" w:cs="仿宋"/>
        </w:rPr>
      </w:pPr>
    </w:p>
    <w:p w14:paraId="74D20AF7">
      <w:pPr>
        <w:pStyle w:val="27"/>
        <w:rPr>
          <w:rFonts w:ascii="仿宋" w:hAnsi="仿宋" w:eastAsia="仿宋" w:cs="仿宋"/>
        </w:rPr>
      </w:pPr>
      <w:r>
        <w:rPr>
          <w:rFonts w:hint="eastAsia" w:ascii="仿宋" w:hAnsi="仿宋" w:eastAsia="仿宋" w:cs="仿宋"/>
        </w:rPr>
        <w:t>注：为方便代理机构后续退款事宜，请投标人认真填写此函信息，并后附转帐或汇款的银行凭证复印件。</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83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center"/>
          </w:tcPr>
          <w:p w14:paraId="38FBA017">
            <w:pPr>
              <w:jc w:val="center"/>
              <w:rPr>
                <w:rFonts w:ascii="仿宋" w:hAnsi="仿宋" w:eastAsia="仿宋" w:cs="仿宋"/>
                <w:color w:val="000000"/>
                <w:szCs w:val="21"/>
              </w:rPr>
            </w:pPr>
            <w:r>
              <w:rPr>
                <w:rFonts w:hint="eastAsia" w:ascii="仿宋" w:hAnsi="仿宋" w:eastAsia="仿宋" w:cs="仿宋"/>
                <w:color w:val="000000"/>
                <w:szCs w:val="21"/>
              </w:rPr>
              <w:t>（粘贴转帐或汇款的银行凭证复印件）</w:t>
            </w:r>
          </w:p>
        </w:tc>
      </w:tr>
    </w:tbl>
    <w:p w14:paraId="3BCAE4ED">
      <w:pPr>
        <w:pStyle w:val="17"/>
        <w:tabs>
          <w:tab w:val="left" w:pos="1560"/>
          <w:tab w:val="left" w:pos="2040"/>
        </w:tabs>
        <w:autoSpaceDE w:val="0"/>
        <w:autoSpaceDN w:val="0"/>
        <w:adjustRightInd w:val="0"/>
        <w:snapToGrid w:val="0"/>
        <w:spacing w:line="360" w:lineRule="auto"/>
        <w:rPr>
          <w:rFonts w:ascii="仿宋" w:hAnsi="仿宋" w:eastAsia="仿宋" w:cs="仿宋"/>
          <w:sz w:val="21"/>
          <w:szCs w:val="21"/>
        </w:rPr>
      </w:pPr>
    </w:p>
    <w:p w14:paraId="71BD2B57">
      <w:pPr>
        <w:pStyle w:val="42"/>
        <w:ind w:firstLine="0" w:firstLineChars="0"/>
        <w:rPr>
          <w:rFonts w:ascii="仿宋" w:hAnsi="仿宋" w:eastAsia="仿宋" w:cs="仿宋"/>
          <w:sz w:val="24"/>
          <w:lang w:val="en-US"/>
        </w:rPr>
      </w:pPr>
      <w:r>
        <w:rPr>
          <w:rFonts w:hint="eastAsia" w:ascii="仿宋" w:hAnsi="仿宋" w:eastAsia="仿宋" w:cs="仿宋"/>
          <w:szCs w:val="21"/>
        </w:rPr>
        <w:br w:type="page"/>
      </w:r>
      <w:r>
        <w:rPr>
          <w:rFonts w:hint="eastAsia" w:ascii="仿宋" w:hAnsi="仿宋" w:eastAsia="仿宋" w:cs="仿宋"/>
          <w:sz w:val="24"/>
          <w:lang w:val="en-US"/>
        </w:rPr>
        <w:t>1</w:t>
      </w:r>
      <w:r>
        <w:rPr>
          <w:rFonts w:ascii="仿宋" w:hAnsi="仿宋" w:eastAsia="仿宋" w:cs="仿宋"/>
          <w:sz w:val="24"/>
          <w:lang w:val="en-US"/>
        </w:rPr>
        <w:t>1</w:t>
      </w:r>
      <w:r>
        <w:rPr>
          <w:rFonts w:hint="eastAsia" w:ascii="仿宋" w:hAnsi="仿宋" w:eastAsia="仿宋" w:cs="仿宋"/>
          <w:sz w:val="24"/>
          <w:lang w:val="en-US"/>
        </w:rPr>
        <w:t xml:space="preserve">   业绩证明材料</w:t>
      </w:r>
    </w:p>
    <w:p w14:paraId="0134A13F">
      <w:pPr>
        <w:widowControl/>
        <w:jc w:val="left"/>
        <w:rPr>
          <w:rFonts w:ascii="仿宋" w:hAnsi="仿宋" w:eastAsia="仿宋" w:cs="仿宋"/>
          <w:sz w:val="24"/>
          <w:lang w:bidi="zh-CN"/>
        </w:rPr>
      </w:pPr>
      <w:r>
        <w:rPr>
          <w:rFonts w:ascii="仿宋" w:hAnsi="仿宋" w:eastAsia="仿宋" w:cs="仿宋"/>
          <w:sz w:val="24"/>
        </w:rPr>
        <w:br w:type="page"/>
      </w:r>
    </w:p>
    <w:p w14:paraId="4F57DB42">
      <w:pPr>
        <w:pStyle w:val="42"/>
        <w:ind w:firstLine="0" w:firstLineChars="0"/>
        <w:rPr>
          <w:rFonts w:hint="eastAsia" w:ascii="仿宋" w:hAnsi="仿宋" w:eastAsia="仿宋" w:cs="仿宋"/>
          <w:sz w:val="24"/>
          <w:lang w:val="en-US"/>
        </w:rPr>
      </w:pPr>
      <w:r>
        <w:rPr>
          <w:rFonts w:hint="eastAsia" w:ascii="仿宋" w:hAnsi="仿宋" w:eastAsia="仿宋" w:cs="仿宋"/>
          <w:sz w:val="24"/>
          <w:lang w:val="en-US"/>
        </w:rPr>
        <w:t>1</w:t>
      </w:r>
      <w:r>
        <w:rPr>
          <w:rFonts w:ascii="仿宋" w:hAnsi="仿宋" w:eastAsia="仿宋" w:cs="仿宋"/>
          <w:sz w:val="24"/>
          <w:lang w:val="en-US"/>
        </w:rPr>
        <w:t xml:space="preserve">2   </w:t>
      </w:r>
      <w:r>
        <w:rPr>
          <w:rFonts w:hint="eastAsia" w:ascii="仿宋" w:hAnsi="仿宋" w:eastAsia="仿宋" w:cs="仿宋"/>
          <w:sz w:val="24"/>
          <w:lang w:val="en-US"/>
        </w:rPr>
        <w:t>技术方案（根据评审内容格式自拟）</w:t>
      </w:r>
    </w:p>
    <w:p w14:paraId="5B1A8C15">
      <w:pPr>
        <w:rPr>
          <w:rFonts w:hint="eastAsia" w:ascii="仿宋" w:hAnsi="仿宋" w:eastAsia="仿宋" w:cs="仿宋"/>
          <w:sz w:val="24"/>
          <w:lang w:val="en-US"/>
        </w:rPr>
      </w:pPr>
      <w:r>
        <w:rPr>
          <w:rFonts w:hint="eastAsia" w:ascii="仿宋" w:hAnsi="仿宋" w:eastAsia="仿宋" w:cs="仿宋"/>
          <w:sz w:val="24"/>
          <w:lang w:val="en-US"/>
        </w:rPr>
        <w:br w:type="page"/>
      </w:r>
    </w:p>
    <w:p w14:paraId="601554E8">
      <w:pPr>
        <w:pStyle w:val="42"/>
        <w:ind w:firstLine="0" w:firstLineChars="0"/>
        <w:rPr>
          <w:lang w:val="en-US"/>
        </w:rPr>
      </w:pPr>
      <w:r>
        <w:rPr>
          <w:rFonts w:hint="eastAsia" w:ascii="仿宋" w:hAnsi="仿宋" w:eastAsia="仿宋" w:cs="仿宋"/>
          <w:sz w:val="24"/>
          <w:lang w:val="en-US" w:eastAsia="zh-CN"/>
        </w:rPr>
        <w:t xml:space="preserve">13    </w:t>
      </w:r>
      <w:r>
        <w:rPr>
          <w:rFonts w:hint="eastAsia" w:ascii="仿宋" w:hAnsi="仿宋" w:eastAsia="仿宋" w:cs="仿宋"/>
          <w:sz w:val="24"/>
          <w:lang w:val="en-US"/>
        </w:rPr>
        <w:t>企业能力及设备（根据评审内容格式自拟）</w:t>
      </w:r>
      <w:r>
        <w:rPr>
          <w:lang w:val="en-US"/>
        </w:rPr>
        <w:br w:type="page"/>
      </w:r>
    </w:p>
    <w:p w14:paraId="01C2A52B">
      <w:pPr>
        <w:rPr>
          <w:lang w:val="en-US"/>
        </w:rPr>
      </w:pPr>
    </w:p>
    <w:p w14:paraId="247CE330">
      <w:pPr>
        <w:widowControl/>
        <w:jc w:val="left"/>
        <w:rPr>
          <w:rFonts w:hint="eastAsia" w:ascii="仿宋" w:hAnsi="仿宋" w:eastAsia="仿宋" w:cs="仿宋"/>
          <w:sz w:val="24"/>
          <w:lang w:val="en-US"/>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sz w:val="24"/>
          <w:lang w:val="en-US" w:eastAsia="zh-CN"/>
        </w:rPr>
        <w:t>14   人员配备</w:t>
      </w:r>
      <w:r>
        <w:rPr>
          <w:rFonts w:hint="eastAsia" w:ascii="仿宋" w:hAnsi="仿宋" w:eastAsia="仿宋" w:cs="仿宋"/>
          <w:sz w:val="24"/>
          <w:lang w:val="en-US"/>
        </w:rPr>
        <w:t>（根据评审内容格式自拟）</w:t>
      </w:r>
    </w:p>
    <w:p w14:paraId="172BA518">
      <w:pPr>
        <w:widowControl/>
        <w:jc w:val="left"/>
        <w:rPr>
          <w:rFonts w:hint="eastAsia" w:ascii="仿宋" w:hAnsi="仿宋" w:eastAsia="仿宋" w:cs="仿宋"/>
          <w:sz w:val="24"/>
          <w:lang w:val="en-US"/>
        </w:rPr>
      </w:pPr>
      <w:bookmarkStart w:id="67" w:name="_Toc3098"/>
      <w:r>
        <w:rPr>
          <w:rFonts w:hint="eastAsia" w:ascii="仿宋" w:hAnsi="仿宋" w:eastAsia="仿宋" w:cs="仿宋"/>
          <w:sz w:val="24"/>
          <w:lang w:val="en-US" w:eastAsia="zh-CN"/>
        </w:rPr>
        <w:t xml:space="preserve">15  </w:t>
      </w:r>
      <w:r>
        <w:rPr>
          <w:rFonts w:hint="eastAsia" w:ascii="仿宋" w:hAnsi="仿宋" w:eastAsia="仿宋" w:cs="仿宋"/>
          <w:sz w:val="24"/>
          <w:lang w:val="en-US"/>
        </w:rPr>
        <w:t>服务方案</w:t>
      </w:r>
      <w:bookmarkEnd w:id="67"/>
    </w:p>
    <w:p w14:paraId="5DC3BD84">
      <w:pPr>
        <w:tabs>
          <w:tab w:val="center" w:pos="4832"/>
          <w:tab w:val="left" w:pos="7140"/>
        </w:tabs>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（格式自拟）</w:t>
      </w:r>
      <w:bookmarkStart w:id="68" w:name="_Toc375218897"/>
    </w:p>
    <w:bookmarkEnd w:id="68"/>
    <w:p w14:paraId="17D55B5A">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包括但不限于：</w:t>
      </w:r>
    </w:p>
    <w:p w14:paraId="7D67BD96">
      <w:pPr>
        <w:widowControl/>
        <w:spacing w:line="360" w:lineRule="auto"/>
        <w:jc w:val="left"/>
        <w:rPr>
          <w:rFonts w:hint="eastAsia" w:ascii="仿宋" w:hAnsi="仿宋" w:eastAsia="仿宋" w:cs="仿宋"/>
          <w:bCs/>
          <w:color w:val="auto"/>
          <w:sz w:val="24"/>
          <w:szCs w:val="24"/>
          <w:highlight w:val="none"/>
        </w:rPr>
      </w:pPr>
      <w:bookmarkStart w:id="69" w:name="_Toc22411"/>
      <w:r>
        <w:rPr>
          <w:rFonts w:hint="eastAsia" w:ascii="仿宋" w:hAnsi="仿宋" w:eastAsia="仿宋" w:cs="仿宋"/>
          <w:bCs/>
          <w:color w:val="auto"/>
          <w:sz w:val="24"/>
          <w:szCs w:val="24"/>
          <w:highlight w:val="none"/>
        </w:rPr>
        <w:t>（1）、</w:t>
      </w:r>
      <w:bookmarkEnd w:id="69"/>
      <w:r>
        <w:rPr>
          <w:rFonts w:hint="eastAsia" w:ascii="仿宋" w:hAnsi="仿宋" w:eastAsia="仿宋" w:cs="仿宋"/>
          <w:bCs/>
          <w:color w:val="auto"/>
          <w:sz w:val="24"/>
          <w:szCs w:val="24"/>
          <w:highlight w:val="none"/>
        </w:rPr>
        <w:t>对项目的解读与理解</w:t>
      </w:r>
    </w:p>
    <w:p w14:paraId="5F3E2A56">
      <w:pPr>
        <w:widowControl/>
        <w:spacing w:line="360" w:lineRule="auto"/>
        <w:ind w:firstLine="480" w:firstLineChars="200"/>
        <w:jc w:val="left"/>
        <w:rPr>
          <w:rFonts w:hint="eastAsia" w:ascii="仿宋" w:hAnsi="仿宋" w:eastAsia="仿宋" w:cs="仿宋"/>
          <w:bCs/>
          <w:color w:val="auto"/>
          <w:sz w:val="24"/>
          <w:szCs w:val="24"/>
          <w:highlight w:val="none"/>
        </w:rPr>
      </w:pPr>
      <w:bookmarkStart w:id="70" w:name="_Toc24563"/>
      <w:r>
        <w:rPr>
          <w:rFonts w:hint="eastAsia" w:ascii="仿宋" w:hAnsi="仿宋" w:eastAsia="仿宋" w:cs="仿宋"/>
          <w:bCs/>
          <w:color w:val="auto"/>
          <w:sz w:val="24"/>
          <w:szCs w:val="24"/>
          <w:highlight w:val="none"/>
        </w:rPr>
        <w:t>针对对项目需求的理解程度进行评审，方案内容至少包含：①项目背景；②项目目标任务；③内容理解；④需求分析；</w:t>
      </w:r>
    </w:p>
    <w:p w14:paraId="34B2F3DB">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bookmarkEnd w:id="70"/>
      <w:bookmarkStart w:id="71" w:name="_Toc30324"/>
      <w:r>
        <w:rPr>
          <w:rFonts w:hint="eastAsia" w:ascii="仿宋" w:hAnsi="仿宋" w:eastAsia="仿宋" w:cs="仿宋"/>
          <w:bCs/>
          <w:color w:val="auto"/>
          <w:sz w:val="24"/>
          <w:szCs w:val="24"/>
          <w:highlight w:val="none"/>
        </w:rPr>
        <w:t>服务实施方案</w:t>
      </w:r>
    </w:p>
    <w:p w14:paraId="42F89A48">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针对本项目提供服务方案包括但不限于以下内容：①倾斜摄影测量数据获取；②像控点布设联测；③倾斜摄影场景数据构建与修饰；④城市模型构建；⑤新型基础测绘数据产品成果构建；⑥质量控制方案。</w:t>
      </w:r>
    </w:p>
    <w:bookmarkEnd w:id="71"/>
    <w:p w14:paraId="4D83DE37">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（3）、质量及进度保障措施</w:t>
      </w:r>
    </w:p>
    <w:p w14:paraId="5561EF3C">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应针对本项目质量内容明确、针对合同履行期限，拟定了进度计划：①具有管理控制措施；②项目质量和进度保障。</w:t>
      </w:r>
    </w:p>
    <w:p w14:paraId="375317DA">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（4）、保密制度和措施</w:t>
      </w:r>
    </w:p>
    <w:p w14:paraId="24609687">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具有完善的国家法律法规规定的保密制度和措施，全面保证采购人信息不泄密，并提供保密承诺及相应制度措施。</w:t>
      </w:r>
    </w:p>
    <w:p w14:paraId="59D93E49">
      <w:pPr>
        <w:widowControl/>
        <w:jc w:val="left"/>
        <w:rPr>
          <w:rFonts w:hint="eastAsia" w:ascii="仿宋" w:hAnsi="仿宋" w:eastAsia="仿宋" w:cs="仿宋"/>
          <w:sz w:val="24"/>
          <w:lang w:val="en-US"/>
        </w:rPr>
        <w:sectPr>
          <w:pgSz w:w="11906" w:h="16838"/>
          <w:pgMar w:top="1440" w:right="1800" w:bottom="1440" w:left="1800" w:header="851" w:footer="992" w:gutter="0"/>
          <w:cols w:space="425" w:num="1"/>
          <w:docGrid w:type="lines" w:linePitch="312" w:charSpace="0"/>
        </w:sectPr>
      </w:pPr>
    </w:p>
    <w:p w14:paraId="3CB460EB">
      <w:pPr>
        <w:widowControl/>
        <w:jc w:val="left"/>
        <w:rPr>
          <w:rFonts w:hint="eastAsia" w:ascii="仿宋" w:hAnsi="仿宋" w:eastAsia="仿宋" w:cs="仿宋"/>
          <w:sz w:val="24"/>
          <w:lang w:val="en-US"/>
        </w:rPr>
      </w:pPr>
      <w:r>
        <w:rPr>
          <w:rFonts w:hint="eastAsia" w:ascii="仿宋" w:hAnsi="仿宋" w:eastAsia="仿宋" w:cs="仿宋"/>
          <w:sz w:val="24"/>
          <w:lang w:val="en-US" w:eastAsia="zh-CN"/>
        </w:rPr>
        <w:t>16   投标人反商业贿赂承诺书</w:t>
      </w:r>
    </w:p>
    <w:p w14:paraId="3E1D5651">
      <w:pPr>
        <w:autoSpaceDE w:val="0"/>
        <w:autoSpaceDN w:val="0"/>
        <w:adjustRightInd w:val="0"/>
        <w:spacing w:line="360" w:lineRule="auto"/>
        <w:ind w:firstLine="480" w:firstLineChars="200"/>
        <w:jc w:val="left"/>
        <w:rPr>
          <w:rFonts w:hint="eastAsia" w:ascii="宋体" w:hAnsi="宋体"/>
          <w:color w:val="auto"/>
          <w:kern w:val="0"/>
          <w:sz w:val="24"/>
          <w:szCs w:val="24"/>
          <w:highlight w:val="none"/>
        </w:rPr>
      </w:pPr>
    </w:p>
    <w:p w14:paraId="662383D1">
      <w:pPr>
        <w:autoSpaceDE w:val="0"/>
        <w:autoSpaceDN w:val="0"/>
        <w:adjustRightInd w:val="0"/>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反商业贿赂承诺书</w:t>
      </w:r>
    </w:p>
    <w:p w14:paraId="580D6F1F">
      <w:pPr>
        <w:autoSpaceDE w:val="0"/>
        <w:autoSpaceDN w:val="0"/>
        <w:adjustRightInd w:val="0"/>
        <w:spacing w:line="360" w:lineRule="auto"/>
        <w:ind w:firstLine="480" w:firstLineChars="200"/>
        <w:jc w:val="center"/>
        <w:rPr>
          <w:rFonts w:hint="eastAsia" w:ascii="仿宋" w:hAnsi="仿宋" w:eastAsia="仿宋" w:cs="仿宋"/>
          <w:color w:val="auto"/>
          <w:kern w:val="0"/>
          <w:sz w:val="24"/>
          <w:szCs w:val="24"/>
          <w:highlight w:val="none"/>
        </w:rPr>
      </w:pPr>
    </w:p>
    <w:p w14:paraId="5647DE7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我公司承诺在</w:t>
      </w:r>
      <w:r>
        <w:rPr>
          <w:rFonts w:hint="eastAsia" w:ascii="仿宋" w:hAnsi="仿宋" w:eastAsia="仿宋" w:cs="仿宋"/>
          <w:color w:val="auto"/>
          <w:kern w:val="0"/>
          <w:sz w:val="24"/>
          <w:szCs w:val="24"/>
          <w:highlight w:val="none"/>
          <w:u w:val="single"/>
        </w:rPr>
        <w:t>（项目编号、项目名称）</w:t>
      </w:r>
      <w:r>
        <w:rPr>
          <w:rFonts w:hint="eastAsia" w:ascii="仿宋" w:hAnsi="仿宋" w:eastAsia="仿宋" w:cs="仿宋"/>
          <w:color w:val="auto"/>
          <w:kern w:val="0"/>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6CD28B0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124C9BC9">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69A9101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bookmarkStart w:id="72" w:name="_GoBack"/>
      <w:bookmarkEnd w:id="72"/>
    </w:p>
    <w:p w14:paraId="5DFE23E2">
      <w:pPr>
        <w:autoSpaceDE w:val="0"/>
        <w:autoSpaceDN w:val="0"/>
        <w:adjustRightIn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（全称）（盖章）</w:t>
      </w:r>
    </w:p>
    <w:p w14:paraId="1788C688">
      <w:pPr>
        <w:autoSpaceDE w:val="0"/>
        <w:autoSpaceDN w:val="0"/>
        <w:adjustRightIn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（盖章）</w:t>
      </w:r>
    </w:p>
    <w:p w14:paraId="1146C20F">
      <w:pPr>
        <w:autoSpaceDE w:val="0"/>
        <w:autoSpaceDN w:val="0"/>
        <w:adjustRightIn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sz w:val="24"/>
          <w:szCs w:val="24"/>
          <w:highlight w:val="none"/>
        </w:rPr>
        <w:t>年月日</w:t>
      </w:r>
    </w:p>
    <w:p w14:paraId="43A011D9">
      <w:pPr>
        <w:widowControl/>
        <w:jc w:val="left"/>
        <w:rPr>
          <w:rFonts w:hint="eastAsia" w:ascii="仿宋" w:hAnsi="仿宋" w:eastAsia="仿宋" w:cs="仿宋"/>
          <w:sz w:val="24"/>
          <w:lang w:val="en-US"/>
        </w:rPr>
      </w:pPr>
    </w:p>
    <w:p w14:paraId="7F3F0DE1">
      <w:pPr>
        <w:rPr>
          <w:rFonts w:ascii="仿宋" w:hAnsi="仿宋" w:eastAsia="仿宋" w:cs="仿宋"/>
          <w:sz w:val="24"/>
          <w:lang w:val="en-US"/>
        </w:rPr>
      </w:pPr>
      <w:r>
        <w:rPr>
          <w:rFonts w:ascii="仿宋" w:hAnsi="仿宋" w:eastAsia="仿宋" w:cs="仿宋"/>
          <w:sz w:val="24"/>
          <w:lang w:val="en-US"/>
        </w:rPr>
        <w:br w:type="page"/>
      </w:r>
    </w:p>
    <w:p w14:paraId="66247A68">
      <w:pPr>
        <w:pStyle w:val="42"/>
        <w:ind w:firstLine="0" w:firstLineChars="0"/>
        <w:rPr>
          <w:rFonts w:ascii="仿宋" w:hAnsi="仿宋" w:eastAsia="仿宋" w:cs="仿宋"/>
          <w:sz w:val="24"/>
          <w:lang w:val="en-US"/>
        </w:rPr>
      </w:pPr>
      <w:r>
        <w:rPr>
          <w:rFonts w:ascii="仿宋" w:hAnsi="仿宋" w:eastAsia="仿宋" w:cs="仿宋"/>
          <w:sz w:val="24"/>
          <w:lang w:val="en-US"/>
        </w:rPr>
        <w:t>1</w:t>
      </w:r>
      <w:r>
        <w:rPr>
          <w:rFonts w:hint="eastAsia" w:ascii="仿宋" w:hAnsi="仿宋" w:eastAsia="仿宋" w:cs="仿宋"/>
          <w:sz w:val="24"/>
          <w:lang w:val="en-US" w:eastAsia="zh-CN"/>
        </w:rPr>
        <w:t>7</w:t>
      </w:r>
      <w:r>
        <w:rPr>
          <w:rFonts w:ascii="仿宋" w:hAnsi="仿宋" w:eastAsia="仿宋" w:cs="仿宋"/>
          <w:sz w:val="24"/>
          <w:lang w:val="en-US"/>
        </w:rPr>
        <w:t xml:space="preserve">   </w:t>
      </w:r>
      <w:r>
        <w:rPr>
          <w:rFonts w:hint="eastAsia" w:ascii="仿宋" w:hAnsi="仿宋" w:eastAsia="仿宋" w:cs="仿宋"/>
          <w:sz w:val="24"/>
          <w:lang w:val="en-US"/>
        </w:rPr>
        <w:t>招标文件要求提供或投标人认为应附的其他材料</w:t>
      </w:r>
    </w:p>
    <w:p w14:paraId="2078DD0C">
      <w:pPr>
        <w:rPr>
          <w:rFonts w:ascii="仿宋" w:hAnsi="仿宋" w:eastAsia="仿宋" w:cs="仿宋"/>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1380BA-62E4-4014-A89E-67C5D2E6102B}"/>
  </w:font>
  <w:font w:name="Courier New">
    <w:panose1 w:val="02070309020205020404"/>
    <w:charset w:val="01"/>
    <w:family w:val="modern"/>
    <w:pitch w:val="default"/>
    <w:sig w:usb0="E0002EFF" w:usb1="C0007843" w:usb2="00000009" w:usb3="00000000" w:csb0="400001FF" w:csb1="FFFF0000"/>
    <w:embedRegular r:id="rId2" w:fontKey="{4FEE4499-61BB-43B0-AA7A-9030A262172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A6ED0A0-FB84-4A04-BE2D-099A52972D70}"/>
  </w:font>
  <w:font w:name="仿宋_GB2312">
    <w:altName w:val="仿宋"/>
    <w:panose1 w:val="00000000000000000000"/>
    <w:charset w:val="86"/>
    <w:family w:val="modern"/>
    <w:pitch w:val="default"/>
    <w:sig w:usb0="00000000" w:usb1="00000000" w:usb2="00000000" w:usb3="00000000" w:csb0="00040000" w:csb1="00000000"/>
    <w:embedRegular r:id="rId4" w:fontKey="{79E7EFB5-F960-4426-B7BD-A41109052978}"/>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5" w:fontKey="{516449CB-481D-4A2E-9FF0-DB5AC2A39899}"/>
  </w:font>
  <w:font w:name="Wingdings 2">
    <w:panose1 w:val="05020102010507070707"/>
    <w:charset w:val="02"/>
    <w:family w:val="roman"/>
    <w:pitch w:val="default"/>
    <w:sig w:usb0="00000000" w:usb1="00000000" w:usb2="00000000" w:usb3="00000000" w:csb0="80000000" w:csb1="00000000"/>
    <w:embedRegular r:id="rId6" w:fontKey="{56A17572-BAC5-4070-941F-DDC8782032F5}"/>
  </w:font>
  <w:font w:name="方正仿宋_GBK">
    <w:panose1 w:val="02000000000000000000"/>
    <w:charset w:val="86"/>
    <w:family w:val="script"/>
    <w:pitch w:val="default"/>
    <w:sig w:usb0="A00002BF" w:usb1="38CF7CFA" w:usb2="00082016" w:usb3="00000000" w:csb0="00040001" w:csb1="00000000"/>
    <w:embedRegular r:id="rId7" w:fontKey="{24DD2C06-00FC-48D9-ABD3-34AB32394509}"/>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DFE0">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FF87">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6E86">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62990" cy="191135"/>
              <wp:effectExtent l="0" t="0" r="3810" b="0"/>
              <wp:wrapNone/>
              <wp:docPr id="4" name="文本框 4"/>
              <wp:cNvGraphicFramePr/>
              <a:graphic xmlns:a="http://schemas.openxmlformats.org/drawingml/2006/main">
                <a:graphicData uri="http://schemas.microsoft.com/office/word/2010/wordprocessingShape">
                  <wps:wsp>
                    <wps:cNvSpPr txBox="1"/>
                    <wps:spPr>
                      <a:xfrm>
                        <a:off x="0" y="0"/>
                        <a:ext cx="1063256" cy="1913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3C368">
                          <w:pPr>
                            <w:pStyle w:val="27"/>
                            <w:rPr>
                              <w:rFonts w:ascii="仿宋" w:hAnsi="仿宋" w:eastAsia="仿宋"/>
                              <w:sz w:val="18"/>
                              <w:szCs w:val="18"/>
                            </w:rPr>
                          </w:pPr>
                          <w:r>
                            <w:rPr>
                              <w:rFonts w:ascii="仿宋" w:hAnsi="仿宋" w:eastAsia="仿宋"/>
                              <w:sz w:val="18"/>
                              <w:szCs w:val="18"/>
                            </w:rPr>
                            <w:fldChar w:fldCharType="begin"/>
                          </w:r>
                          <w:r>
                            <w:rPr>
                              <w:rFonts w:ascii="仿宋" w:hAnsi="仿宋" w:eastAsia="仿宋"/>
                              <w:sz w:val="18"/>
                              <w:szCs w:val="18"/>
                            </w:rPr>
                            <w:instrText xml:space="preserve"> PAGE  \* MERGEFORMAT </w:instrText>
                          </w:r>
                          <w:r>
                            <w:rPr>
                              <w:rFonts w:ascii="仿宋" w:hAnsi="仿宋" w:eastAsia="仿宋"/>
                              <w:sz w:val="18"/>
                              <w:szCs w:val="18"/>
                            </w:rPr>
                            <w:fldChar w:fldCharType="separate"/>
                          </w:r>
                          <w:r>
                            <w:rPr>
                              <w:rFonts w:ascii="仿宋" w:hAnsi="仿宋" w:eastAsia="仿宋"/>
                              <w:sz w:val="18"/>
                              <w:szCs w:val="18"/>
                            </w:rPr>
                            <w:t>74</w:t>
                          </w:r>
                          <w:r>
                            <w:rPr>
                              <w:rFonts w:ascii="仿宋" w:hAnsi="仿宋" w:eastAsia="仿宋"/>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05pt;width:83.7pt;mso-position-horizontal:center;mso-position-horizontal-relative:margin;z-index:251659264;mso-width-relative:page;mso-height-relative:page;" filled="f" stroked="f" coordsize="21600,21600" o:gfxdata="UEsDBAoAAAAAAIdO4kAAAAAAAAAAAAAAAAAEAAAAZHJzL1BLAwQUAAAACACHTuJAiYh6AtQAAAAE&#10;AQAADwAAAGRycy9kb3ducmV2LnhtbE2PS0/DMBCE70j8B2uRuFE7gAoKcXrgceNRCkhwc+IlibDX&#10;kb1Jy7/H5QKXlUYzmvm2Wu28EzPGNATSUCwUCKQ22IE6Da8vdyeXIBIbssYFQg3fmGBVHx5UprRh&#10;S884b7gTuYRSaTT0zGMpZWp79CYtwoiUvc8QveEsYydtNNtc7p08VWopvRkoL/RmxOse26/N5DW4&#10;9xTvG8Uf8033wOsnOb3dFo9aHx8V6goE447/wrDHz+hQZ6YmTGSTcBryI/x7997y4hxEo+FMFSDr&#10;Sv6Hr38AUEsDBBQAAAAIAIdO4kCorOGYMgIAAFYEAAAOAAAAZHJzL2Uyb0RvYy54bWytVMGO0zAQ&#10;vSPxD5bvNGm7Wy1V01XZqgipYlcqiLPrOI0l22Nst0n5APgDTly48139DsZO00ULhz1wcSee8Ru/&#10;N8+d3bZakYNwXoIp6HCQUyIMh1KaXUE/fli9uqHEB2ZKpsCIgh6Fp7fzly9mjZ2KEdSgSuEIghg/&#10;bWxB6xDsNMs8r4VmfgBWGExW4DQL+Ol2WelYg+haZaM8n2QNuNI64MJ73F12SXpGdM8BhKqSXCyB&#10;77UwoUN1QrGAlHwtrafzdNuqEjzcV5UXgaiCItOQVmyC8Tau2XzGpjvHbC35+QrsOVd4wkkzabDp&#10;BWrJAiN7J/+C0pI78FCFAQeddUSSIshimD/RZlMzKxIXlNrbi+j+/8Hy94cHR2RZ0CtKDNM48NP3&#10;b6cfv04/v5KrKE9j/RSrNhbrQvsGWjRNv+9xM7JuK6fjL/IhmEdxjxdxRRsIj4fyyXh0PaGEY274&#10;eji+mUSY7PG0dT68FaBJDArqcHhJU3ZY+9CV9iWxmYGVVCoNUBnSFHQyvs7TgUsGwZXBHpFDd9cY&#10;hXbbnoltoTwiLwedMbzlK4nN18yHB+bQCUgF30q4x6VSgE3gHFFSg/vyr/1YjwPCLCUNOqug/vOe&#10;OUGJemdwdNGGfeD6YNsHZq/vAM06xFdoeQrxgAuqDysH+hM+oUXsgilmOPYqaOjDu9D5G58gF4tF&#10;KkKzWRbWZmN5hO7kW+wDVDIpG2XptDirhXZLszk/jejnP79T1ePfw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Yh6AtQAAAAEAQAADwAAAAAAAAABACAAAAAiAAAAZHJzL2Rvd25yZXYueG1sUEsB&#10;AhQAFAAAAAgAh07iQKis4ZgyAgAAVgQAAA4AAAAAAAAAAQAgAAAAIwEAAGRycy9lMm9Eb2MueG1s&#10;UEsFBgAAAAAGAAYAWQEAAMcFAAAAAA==&#10;">
              <v:fill on="f" focussize="0,0"/>
              <v:stroke on="f" weight="0.5pt"/>
              <v:imagedata o:title=""/>
              <o:lock v:ext="edit" aspectratio="f"/>
              <v:textbox inset="0mm,0mm,0mm,0mm">
                <w:txbxContent>
                  <w:p w14:paraId="55B3C368">
                    <w:pPr>
                      <w:pStyle w:val="27"/>
                      <w:rPr>
                        <w:rFonts w:ascii="仿宋" w:hAnsi="仿宋" w:eastAsia="仿宋"/>
                        <w:sz w:val="18"/>
                        <w:szCs w:val="18"/>
                      </w:rPr>
                    </w:pPr>
                    <w:r>
                      <w:rPr>
                        <w:rFonts w:ascii="仿宋" w:hAnsi="仿宋" w:eastAsia="仿宋"/>
                        <w:sz w:val="18"/>
                        <w:szCs w:val="18"/>
                      </w:rPr>
                      <w:fldChar w:fldCharType="begin"/>
                    </w:r>
                    <w:r>
                      <w:rPr>
                        <w:rFonts w:ascii="仿宋" w:hAnsi="仿宋" w:eastAsia="仿宋"/>
                        <w:sz w:val="18"/>
                        <w:szCs w:val="18"/>
                      </w:rPr>
                      <w:instrText xml:space="preserve"> PAGE  \* MERGEFORMAT </w:instrText>
                    </w:r>
                    <w:r>
                      <w:rPr>
                        <w:rFonts w:ascii="仿宋" w:hAnsi="仿宋" w:eastAsia="仿宋"/>
                        <w:sz w:val="18"/>
                        <w:szCs w:val="18"/>
                      </w:rPr>
                      <w:fldChar w:fldCharType="separate"/>
                    </w:r>
                    <w:r>
                      <w:rPr>
                        <w:rFonts w:ascii="仿宋" w:hAnsi="仿宋" w:eastAsia="仿宋"/>
                        <w:sz w:val="18"/>
                        <w:szCs w:val="18"/>
                      </w:rPr>
                      <w:t>74</w:t>
                    </w:r>
                    <w:r>
                      <w:rPr>
                        <w:rFonts w:ascii="仿宋" w:hAnsi="仿宋" w:eastAsia="仿宋"/>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b w:val="0"/>
        <w:bCs w:val="0"/>
        <w:sz w:val="22"/>
        <w:szCs w:val="22"/>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894F26C5"/>
    <w:multiLevelType w:val="singleLevel"/>
    <w:tmpl w:val="894F26C5"/>
    <w:lvl w:ilvl="0" w:tentative="0">
      <w:start w:val="1"/>
      <w:numFmt w:val="decimal"/>
      <w:suff w:val="space"/>
      <w:lvlText w:val="%1."/>
      <w:lvlJc w:val="left"/>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D73E791E"/>
    <w:multiLevelType w:val="singleLevel"/>
    <w:tmpl w:val="D73E791E"/>
    <w:lvl w:ilvl="0" w:tentative="0">
      <w:start w:val="1"/>
      <w:numFmt w:val="lowerLetter"/>
      <w:lvlText w:val="%1."/>
      <w:lvlJc w:val="left"/>
      <w:pPr>
        <w:ind w:left="425" w:hanging="425"/>
      </w:pPr>
      <w:rPr>
        <w:rFonts w:hint="default"/>
      </w:rPr>
    </w:lvl>
  </w:abstractNum>
  <w:abstractNum w:abstractNumId="4">
    <w:nsid w:val="DCF210EB"/>
    <w:multiLevelType w:val="singleLevel"/>
    <w:tmpl w:val="DCF210EB"/>
    <w:lvl w:ilvl="0" w:tentative="0">
      <w:start w:val="2"/>
      <w:numFmt w:val="chineseCounting"/>
      <w:suff w:val="nothing"/>
      <w:lvlText w:val="%1、"/>
      <w:lvlJc w:val="left"/>
      <w:rPr>
        <w:rFonts w:hint="eastAsia"/>
      </w:rPr>
    </w:lvl>
  </w:abstractNum>
  <w:abstractNum w:abstractNumId="5">
    <w:nsid w:val="0000000E"/>
    <w:multiLevelType w:val="multilevel"/>
    <w:tmpl w:val="0000000E"/>
    <w:lvl w:ilvl="0" w:tentative="0">
      <w:start w:val="1"/>
      <w:numFmt w:val="none"/>
      <w:pStyle w:val="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05FE2DA7"/>
    <w:multiLevelType w:val="singleLevel"/>
    <w:tmpl w:val="05FE2DA7"/>
    <w:lvl w:ilvl="0" w:tentative="0">
      <w:start w:val="1"/>
      <w:numFmt w:val="chineseCounting"/>
      <w:pStyle w:val="2"/>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仿宋" w:hAnsi="仿宋" w:eastAsia="仿宋" w:cs="仿宋"/>
        <w:sz w:val="22"/>
        <w:szCs w:val="22"/>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277C6737"/>
    <w:multiLevelType w:val="multilevel"/>
    <w:tmpl w:val="277C6737"/>
    <w:lvl w:ilvl="0" w:tentative="0">
      <w:start w:val="1"/>
      <w:numFmt w:val="japaneseCounting"/>
      <w:pStyle w:val="151"/>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C6F39C"/>
    <w:multiLevelType w:val="singleLevel"/>
    <w:tmpl w:val="3BC6F39C"/>
    <w:lvl w:ilvl="0" w:tentative="0">
      <w:start w:val="1"/>
      <w:numFmt w:val="decimal"/>
      <w:suff w:val="space"/>
      <w:lvlText w:val="%1."/>
      <w:lvlJc w:val="left"/>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CD42C99"/>
    <w:multiLevelType w:val="singleLevel"/>
    <w:tmpl w:val="6CD42C99"/>
    <w:lvl w:ilvl="0" w:tentative="0">
      <w:start w:val="1"/>
      <w:numFmt w:val="decimal"/>
      <w:suff w:val="nothing"/>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4">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5"/>
  </w:num>
  <w:num w:numId="3">
    <w:abstractNumId w:val="9"/>
  </w:num>
  <w:num w:numId="4">
    <w:abstractNumId w:val="12"/>
  </w:num>
  <w:num w:numId="5">
    <w:abstractNumId w:val="15"/>
  </w:num>
  <w:num w:numId="6">
    <w:abstractNumId w:val="14"/>
  </w:num>
  <w:num w:numId="7">
    <w:abstractNumId w:val="7"/>
  </w:num>
  <w:num w:numId="8">
    <w:abstractNumId w:val="2"/>
  </w:num>
  <w:num w:numId="9">
    <w:abstractNumId w:val="11"/>
  </w:num>
  <w:num w:numId="10">
    <w:abstractNumId w:val="0"/>
  </w:num>
  <w:num w:numId="11">
    <w:abstractNumId w:val="8"/>
  </w:num>
  <w:num w:numId="12">
    <w:abstractNumId w:val="3"/>
  </w:num>
  <w:num w:numId="13">
    <w:abstractNumId w:val="13"/>
  </w:num>
  <w:num w:numId="14">
    <w:abstractNumId w:val="4"/>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4MGMxZjE2M2IyZGE5ZWM3ZjRkZTliNDRmYzcwMWMifQ=="/>
    <w:docVar w:name="KSO_WPS_MARK_KEY" w:val="61273ed4-a4ed-44b0-ba43-6c5453f6a09d"/>
  </w:docVars>
  <w:rsids>
    <w:rsidRoot w:val="00D25660"/>
    <w:rsid w:val="000039E6"/>
    <w:rsid w:val="00011983"/>
    <w:rsid w:val="0001650B"/>
    <w:rsid w:val="0001658A"/>
    <w:rsid w:val="00017D96"/>
    <w:rsid w:val="00035BF3"/>
    <w:rsid w:val="00035D51"/>
    <w:rsid w:val="00042D74"/>
    <w:rsid w:val="00057BA9"/>
    <w:rsid w:val="00062CBC"/>
    <w:rsid w:val="000651AA"/>
    <w:rsid w:val="000704C3"/>
    <w:rsid w:val="000A0B28"/>
    <w:rsid w:val="000B0068"/>
    <w:rsid w:val="000B233A"/>
    <w:rsid w:val="000B6758"/>
    <w:rsid w:val="000C718A"/>
    <w:rsid w:val="000D0ABE"/>
    <w:rsid w:val="000D7FA6"/>
    <w:rsid w:val="000E10DD"/>
    <w:rsid w:val="000E693F"/>
    <w:rsid w:val="000F4CFF"/>
    <w:rsid w:val="000F7CFE"/>
    <w:rsid w:val="00104715"/>
    <w:rsid w:val="001053B5"/>
    <w:rsid w:val="00105E93"/>
    <w:rsid w:val="00110ED5"/>
    <w:rsid w:val="0011147C"/>
    <w:rsid w:val="00111D68"/>
    <w:rsid w:val="001259EA"/>
    <w:rsid w:val="00130EF4"/>
    <w:rsid w:val="00142A2A"/>
    <w:rsid w:val="001442AD"/>
    <w:rsid w:val="00154734"/>
    <w:rsid w:val="00190A94"/>
    <w:rsid w:val="001A1EA6"/>
    <w:rsid w:val="001A694D"/>
    <w:rsid w:val="001B0CE6"/>
    <w:rsid w:val="001C21A2"/>
    <w:rsid w:val="001C4B48"/>
    <w:rsid w:val="001C640D"/>
    <w:rsid w:val="001E0013"/>
    <w:rsid w:val="001E3974"/>
    <w:rsid w:val="001F11EA"/>
    <w:rsid w:val="001F5834"/>
    <w:rsid w:val="00204CED"/>
    <w:rsid w:val="00212EAB"/>
    <w:rsid w:val="00224577"/>
    <w:rsid w:val="00240608"/>
    <w:rsid w:val="0024350E"/>
    <w:rsid w:val="00246B85"/>
    <w:rsid w:val="002554E7"/>
    <w:rsid w:val="002564A0"/>
    <w:rsid w:val="00260299"/>
    <w:rsid w:val="00274374"/>
    <w:rsid w:val="00274410"/>
    <w:rsid w:val="002803CE"/>
    <w:rsid w:val="00280CCF"/>
    <w:rsid w:val="002829BC"/>
    <w:rsid w:val="0028557F"/>
    <w:rsid w:val="002919E9"/>
    <w:rsid w:val="0029544F"/>
    <w:rsid w:val="002A6951"/>
    <w:rsid w:val="002A7A48"/>
    <w:rsid w:val="002C0568"/>
    <w:rsid w:val="002C4DFE"/>
    <w:rsid w:val="002C571D"/>
    <w:rsid w:val="002D408F"/>
    <w:rsid w:val="002D6AF9"/>
    <w:rsid w:val="00303562"/>
    <w:rsid w:val="00307D35"/>
    <w:rsid w:val="003128AA"/>
    <w:rsid w:val="003138C0"/>
    <w:rsid w:val="00314BBF"/>
    <w:rsid w:val="00316D3D"/>
    <w:rsid w:val="0032103D"/>
    <w:rsid w:val="00321596"/>
    <w:rsid w:val="00322262"/>
    <w:rsid w:val="00325546"/>
    <w:rsid w:val="00327663"/>
    <w:rsid w:val="003328AF"/>
    <w:rsid w:val="00336F90"/>
    <w:rsid w:val="003603FD"/>
    <w:rsid w:val="003662A8"/>
    <w:rsid w:val="003712F0"/>
    <w:rsid w:val="00373EA7"/>
    <w:rsid w:val="00375CC4"/>
    <w:rsid w:val="00385519"/>
    <w:rsid w:val="00387239"/>
    <w:rsid w:val="00391DAB"/>
    <w:rsid w:val="00395F61"/>
    <w:rsid w:val="003A25D3"/>
    <w:rsid w:val="003B60EC"/>
    <w:rsid w:val="003B78FC"/>
    <w:rsid w:val="003B7BE9"/>
    <w:rsid w:val="003C31CD"/>
    <w:rsid w:val="003C57CB"/>
    <w:rsid w:val="003D1B3F"/>
    <w:rsid w:val="003D3A6D"/>
    <w:rsid w:val="003D550A"/>
    <w:rsid w:val="003E0742"/>
    <w:rsid w:val="003E2014"/>
    <w:rsid w:val="003E2463"/>
    <w:rsid w:val="003E3AD8"/>
    <w:rsid w:val="003E5378"/>
    <w:rsid w:val="003E5AD9"/>
    <w:rsid w:val="003E6AC4"/>
    <w:rsid w:val="003F2FE6"/>
    <w:rsid w:val="0040019A"/>
    <w:rsid w:val="00403EED"/>
    <w:rsid w:val="00421480"/>
    <w:rsid w:val="00421D2A"/>
    <w:rsid w:val="0042569C"/>
    <w:rsid w:val="00434E8E"/>
    <w:rsid w:val="00435DBC"/>
    <w:rsid w:val="00444E87"/>
    <w:rsid w:val="0044536F"/>
    <w:rsid w:val="004470D6"/>
    <w:rsid w:val="0044766B"/>
    <w:rsid w:val="00454619"/>
    <w:rsid w:val="00460AE2"/>
    <w:rsid w:val="004665E1"/>
    <w:rsid w:val="00471B4F"/>
    <w:rsid w:val="00473786"/>
    <w:rsid w:val="00477E94"/>
    <w:rsid w:val="00482D55"/>
    <w:rsid w:val="00486C1D"/>
    <w:rsid w:val="004915E1"/>
    <w:rsid w:val="00492EC5"/>
    <w:rsid w:val="00497DE4"/>
    <w:rsid w:val="004A0F0B"/>
    <w:rsid w:val="004A578B"/>
    <w:rsid w:val="004B5E9A"/>
    <w:rsid w:val="004B6E67"/>
    <w:rsid w:val="004D2826"/>
    <w:rsid w:val="004D5123"/>
    <w:rsid w:val="004E1D3F"/>
    <w:rsid w:val="004E41EB"/>
    <w:rsid w:val="004F23F7"/>
    <w:rsid w:val="00502700"/>
    <w:rsid w:val="005069FE"/>
    <w:rsid w:val="0051031E"/>
    <w:rsid w:val="00511B16"/>
    <w:rsid w:val="00524421"/>
    <w:rsid w:val="0053186A"/>
    <w:rsid w:val="00534142"/>
    <w:rsid w:val="005357C1"/>
    <w:rsid w:val="00537D0C"/>
    <w:rsid w:val="005415AC"/>
    <w:rsid w:val="00546F33"/>
    <w:rsid w:val="0056597B"/>
    <w:rsid w:val="00572CF2"/>
    <w:rsid w:val="00584F83"/>
    <w:rsid w:val="005861C4"/>
    <w:rsid w:val="00586C8A"/>
    <w:rsid w:val="00591A39"/>
    <w:rsid w:val="005A176D"/>
    <w:rsid w:val="005A32DF"/>
    <w:rsid w:val="005A4C7B"/>
    <w:rsid w:val="005A6073"/>
    <w:rsid w:val="005B66D3"/>
    <w:rsid w:val="005C2A2C"/>
    <w:rsid w:val="005E1741"/>
    <w:rsid w:val="005E4DAD"/>
    <w:rsid w:val="005F23B7"/>
    <w:rsid w:val="005F555D"/>
    <w:rsid w:val="005F62AB"/>
    <w:rsid w:val="005F6DB9"/>
    <w:rsid w:val="005F7AE4"/>
    <w:rsid w:val="005F7EA7"/>
    <w:rsid w:val="00620C45"/>
    <w:rsid w:val="00626606"/>
    <w:rsid w:val="00630C35"/>
    <w:rsid w:val="00633977"/>
    <w:rsid w:val="00634AE8"/>
    <w:rsid w:val="00635772"/>
    <w:rsid w:val="006556C9"/>
    <w:rsid w:val="00660A4A"/>
    <w:rsid w:val="00667485"/>
    <w:rsid w:val="00672384"/>
    <w:rsid w:val="006756ED"/>
    <w:rsid w:val="00683650"/>
    <w:rsid w:val="006964FC"/>
    <w:rsid w:val="006A4B06"/>
    <w:rsid w:val="006B15F0"/>
    <w:rsid w:val="006C04F4"/>
    <w:rsid w:val="006C27CC"/>
    <w:rsid w:val="006C775C"/>
    <w:rsid w:val="006D2964"/>
    <w:rsid w:val="006D3958"/>
    <w:rsid w:val="006D3D73"/>
    <w:rsid w:val="006E1995"/>
    <w:rsid w:val="006E56E2"/>
    <w:rsid w:val="006E68C8"/>
    <w:rsid w:val="006F1634"/>
    <w:rsid w:val="006F3553"/>
    <w:rsid w:val="006F3A84"/>
    <w:rsid w:val="007219C5"/>
    <w:rsid w:val="007306C3"/>
    <w:rsid w:val="007319F5"/>
    <w:rsid w:val="00736C12"/>
    <w:rsid w:val="007375EE"/>
    <w:rsid w:val="00743A5B"/>
    <w:rsid w:val="0076500F"/>
    <w:rsid w:val="00770A05"/>
    <w:rsid w:val="007744C5"/>
    <w:rsid w:val="00775366"/>
    <w:rsid w:val="007B21D6"/>
    <w:rsid w:val="007C1B7D"/>
    <w:rsid w:val="007D0BE6"/>
    <w:rsid w:val="007D6142"/>
    <w:rsid w:val="007E0269"/>
    <w:rsid w:val="007E0836"/>
    <w:rsid w:val="007E64D6"/>
    <w:rsid w:val="007F6096"/>
    <w:rsid w:val="008006FF"/>
    <w:rsid w:val="00801AAC"/>
    <w:rsid w:val="008037DA"/>
    <w:rsid w:val="00806439"/>
    <w:rsid w:val="00811B11"/>
    <w:rsid w:val="00834D56"/>
    <w:rsid w:val="008402C6"/>
    <w:rsid w:val="00841F91"/>
    <w:rsid w:val="008461C7"/>
    <w:rsid w:val="008529DD"/>
    <w:rsid w:val="0085309C"/>
    <w:rsid w:val="00855918"/>
    <w:rsid w:val="008603DC"/>
    <w:rsid w:val="00863244"/>
    <w:rsid w:val="008634EF"/>
    <w:rsid w:val="0086464B"/>
    <w:rsid w:val="00871B0A"/>
    <w:rsid w:val="00875CEF"/>
    <w:rsid w:val="00876467"/>
    <w:rsid w:val="008876F7"/>
    <w:rsid w:val="00890BFD"/>
    <w:rsid w:val="008A3984"/>
    <w:rsid w:val="008C2B6B"/>
    <w:rsid w:val="008C4DBD"/>
    <w:rsid w:val="008C6388"/>
    <w:rsid w:val="008D0D77"/>
    <w:rsid w:val="008D79F5"/>
    <w:rsid w:val="008E44E7"/>
    <w:rsid w:val="008F30FD"/>
    <w:rsid w:val="008F49D6"/>
    <w:rsid w:val="009067C5"/>
    <w:rsid w:val="0092402B"/>
    <w:rsid w:val="009378D8"/>
    <w:rsid w:val="00950B76"/>
    <w:rsid w:val="009532BC"/>
    <w:rsid w:val="00954444"/>
    <w:rsid w:val="00966A6D"/>
    <w:rsid w:val="00981273"/>
    <w:rsid w:val="0098651B"/>
    <w:rsid w:val="00993A76"/>
    <w:rsid w:val="009A4D13"/>
    <w:rsid w:val="009A6E03"/>
    <w:rsid w:val="009B07E6"/>
    <w:rsid w:val="009B3B5C"/>
    <w:rsid w:val="009B7BAC"/>
    <w:rsid w:val="009C09EE"/>
    <w:rsid w:val="009C0F34"/>
    <w:rsid w:val="009C40B4"/>
    <w:rsid w:val="009C6369"/>
    <w:rsid w:val="009E5957"/>
    <w:rsid w:val="009E691F"/>
    <w:rsid w:val="00A01232"/>
    <w:rsid w:val="00A07C25"/>
    <w:rsid w:val="00A11942"/>
    <w:rsid w:val="00A24207"/>
    <w:rsid w:val="00A3169E"/>
    <w:rsid w:val="00A37163"/>
    <w:rsid w:val="00A405A6"/>
    <w:rsid w:val="00A41520"/>
    <w:rsid w:val="00A459C0"/>
    <w:rsid w:val="00A541A3"/>
    <w:rsid w:val="00A563AC"/>
    <w:rsid w:val="00A60179"/>
    <w:rsid w:val="00A7201F"/>
    <w:rsid w:val="00A95110"/>
    <w:rsid w:val="00A97D59"/>
    <w:rsid w:val="00AA4113"/>
    <w:rsid w:val="00AB04D9"/>
    <w:rsid w:val="00AB3C37"/>
    <w:rsid w:val="00AC4CAA"/>
    <w:rsid w:val="00AC7A34"/>
    <w:rsid w:val="00AD06F8"/>
    <w:rsid w:val="00AD7677"/>
    <w:rsid w:val="00AF341C"/>
    <w:rsid w:val="00AF59FA"/>
    <w:rsid w:val="00AF6C51"/>
    <w:rsid w:val="00B07DBC"/>
    <w:rsid w:val="00B11A76"/>
    <w:rsid w:val="00B21FD3"/>
    <w:rsid w:val="00B26B21"/>
    <w:rsid w:val="00B4539D"/>
    <w:rsid w:val="00B835A0"/>
    <w:rsid w:val="00B8613D"/>
    <w:rsid w:val="00B9343E"/>
    <w:rsid w:val="00B97B9F"/>
    <w:rsid w:val="00BA3B53"/>
    <w:rsid w:val="00BB67C4"/>
    <w:rsid w:val="00BC23DE"/>
    <w:rsid w:val="00BC6BBC"/>
    <w:rsid w:val="00BD04E3"/>
    <w:rsid w:val="00BD1F1F"/>
    <w:rsid w:val="00BD588F"/>
    <w:rsid w:val="00BD72E7"/>
    <w:rsid w:val="00BE1EEF"/>
    <w:rsid w:val="00BE3A8D"/>
    <w:rsid w:val="00BE5960"/>
    <w:rsid w:val="00BF13E0"/>
    <w:rsid w:val="00BF2D47"/>
    <w:rsid w:val="00BF47D0"/>
    <w:rsid w:val="00C17FD6"/>
    <w:rsid w:val="00C30853"/>
    <w:rsid w:val="00C52BAC"/>
    <w:rsid w:val="00C54520"/>
    <w:rsid w:val="00C61BC9"/>
    <w:rsid w:val="00C662BC"/>
    <w:rsid w:val="00C67485"/>
    <w:rsid w:val="00C70B67"/>
    <w:rsid w:val="00C720D0"/>
    <w:rsid w:val="00C7281C"/>
    <w:rsid w:val="00C72C3E"/>
    <w:rsid w:val="00C7383A"/>
    <w:rsid w:val="00C833E2"/>
    <w:rsid w:val="00C85AE9"/>
    <w:rsid w:val="00C94E06"/>
    <w:rsid w:val="00CA284E"/>
    <w:rsid w:val="00CC328D"/>
    <w:rsid w:val="00CC3E96"/>
    <w:rsid w:val="00CE4C6B"/>
    <w:rsid w:val="00CE5E37"/>
    <w:rsid w:val="00CF06EE"/>
    <w:rsid w:val="00D00DE4"/>
    <w:rsid w:val="00D05B04"/>
    <w:rsid w:val="00D120EF"/>
    <w:rsid w:val="00D130CF"/>
    <w:rsid w:val="00D15F88"/>
    <w:rsid w:val="00D17D71"/>
    <w:rsid w:val="00D20900"/>
    <w:rsid w:val="00D2090E"/>
    <w:rsid w:val="00D20DDC"/>
    <w:rsid w:val="00D25660"/>
    <w:rsid w:val="00D34AFA"/>
    <w:rsid w:val="00D351A8"/>
    <w:rsid w:val="00D3656F"/>
    <w:rsid w:val="00D413C6"/>
    <w:rsid w:val="00D60BD4"/>
    <w:rsid w:val="00D65D7F"/>
    <w:rsid w:val="00D715DE"/>
    <w:rsid w:val="00D72B14"/>
    <w:rsid w:val="00D735A4"/>
    <w:rsid w:val="00D77D0E"/>
    <w:rsid w:val="00D83C0D"/>
    <w:rsid w:val="00D90FD7"/>
    <w:rsid w:val="00D9136F"/>
    <w:rsid w:val="00D93DD9"/>
    <w:rsid w:val="00D94269"/>
    <w:rsid w:val="00D95CF4"/>
    <w:rsid w:val="00DA31B1"/>
    <w:rsid w:val="00DA731A"/>
    <w:rsid w:val="00DA757F"/>
    <w:rsid w:val="00DB03E6"/>
    <w:rsid w:val="00DB68BE"/>
    <w:rsid w:val="00DC112B"/>
    <w:rsid w:val="00DD000A"/>
    <w:rsid w:val="00DD52C1"/>
    <w:rsid w:val="00DD6CBB"/>
    <w:rsid w:val="00E01AB0"/>
    <w:rsid w:val="00E1331D"/>
    <w:rsid w:val="00E16AA4"/>
    <w:rsid w:val="00E25FD7"/>
    <w:rsid w:val="00E36120"/>
    <w:rsid w:val="00E416C6"/>
    <w:rsid w:val="00E42A3A"/>
    <w:rsid w:val="00E74CE1"/>
    <w:rsid w:val="00E7653E"/>
    <w:rsid w:val="00E81328"/>
    <w:rsid w:val="00E82117"/>
    <w:rsid w:val="00E850D8"/>
    <w:rsid w:val="00EA5CE8"/>
    <w:rsid w:val="00EB256D"/>
    <w:rsid w:val="00EB6C60"/>
    <w:rsid w:val="00EC0D29"/>
    <w:rsid w:val="00EC5EAB"/>
    <w:rsid w:val="00EC5F61"/>
    <w:rsid w:val="00ED787C"/>
    <w:rsid w:val="00EE0BD5"/>
    <w:rsid w:val="00EE3671"/>
    <w:rsid w:val="00EE7D5C"/>
    <w:rsid w:val="00EF5190"/>
    <w:rsid w:val="00EF5E14"/>
    <w:rsid w:val="00EF7950"/>
    <w:rsid w:val="00F01B1B"/>
    <w:rsid w:val="00F0752F"/>
    <w:rsid w:val="00F173B1"/>
    <w:rsid w:val="00F17506"/>
    <w:rsid w:val="00F23AC9"/>
    <w:rsid w:val="00F34671"/>
    <w:rsid w:val="00F35C22"/>
    <w:rsid w:val="00F42828"/>
    <w:rsid w:val="00F42E63"/>
    <w:rsid w:val="00F455F3"/>
    <w:rsid w:val="00F52A77"/>
    <w:rsid w:val="00F539DE"/>
    <w:rsid w:val="00F67854"/>
    <w:rsid w:val="00F74E26"/>
    <w:rsid w:val="00F74F89"/>
    <w:rsid w:val="00F86B5E"/>
    <w:rsid w:val="00F91DE3"/>
    <w:rsid w:val="00F97E16"/>
    <w:rsid w:val="00FB4023"/>
    <w:rsid w:val="00FB4A22"/>
    <w:rsid w:val="00FC43A6"/>
    <w:rsid w:val="00FC5FB5"/>
    <w:rsid w:val="00FD1FEF"/>
    <w:rsid w:val="00FE4A19"/>
    <w:rsid w:val="00FF266A"/>
    <w:rsid w:val="00FF668D"/>
    <w:rsid w:val="00FF7E5D"/>
    <w:rsid w:val="01593AC8"/>
    <w:rsid w:val="01B12E58"/>
    <w:rsid w:val="01B327A1"/>
    <w:rsid w:val="01D86637"/>
    <w:rsid w:val="01E66FA5"/>
    <w:rsid w:val="020E6922"/>
    <w:rsid w:val="0273010D"/>
    <w:rsid w:val="02D36DFE"/>
    <w:rsid w:val="03597303"/>
    <w:rsid w:val="03FA37E2"/>
    <w:rsid w:val="040E43DE"/>
    <w:rsid w:val="04497378"/>
    <w:rsid w:val="04A22F2C"/>
    <w:rsid w:val="04D836CC"/>
    <w:rsid w:val="04DF1A8A"/>
    <w:rsid w:val="052E656D"/>
    <w:rsid w:val="055F4854"/>
    <w:rsid w:val="05775429"/>
    <w:rsid w:val="068C3E93"/>
    <w:rsid w:val="06A64F55"/>
    <w:rsid w:val="070D149F"/>
    <w:rsid w:val="07891A1C"/>
    <w:rsid w:val="07A74594"/>
    <w:rsid w:val="07AF3996"/>
    <w:rsid w:val="07FA5870"/>
    <w:rsid w:val="083500E3"/>
    <w:rsid w:val="086E514A"/>
    <w:rsid w:val="08B374B6"/>
    <w:rsid w:val="08FE75D7"/>
    <w:rsid w:val="09322AD0"/>
    <w:rsid w:val="096174F4"/>
    <w:rsid w:val="09EF36DF"/>
    <w:rsid w:val="09FE6BD3"/>
    <w:rsid w:val="0A6B5BC1"/>
    <w:rsid w:val="0A7D5FCD"/>
    <w:rsid w:val="0B3A5C6C"/>
    <w:rsid w:val="0BA54947"/>
    <w:rsid w:val="0BF42424"/>
    <w:rsid w:val="0CB97065"/>
    <w:rsid w:val="0D166265"/>
    <w:rsid w:val="0D2F0B75"/>
    <w:rsid w:val="0D3861DB"/>
    <w:rsid w:val="0D5D1B80"/>
    <w:rsid w:val="0D745C2A"/>
    <w:rsid w:val="0D774F56"/>
    <w:rsid w:val="0E3D7B44"/>
    <w:rsid w:val="0F33766C"/>
    <w:rsid w:val="0F6E58EB"/>
    <w:rsid w:val="0FAC4A5B"/>
    <w:rsid w:val="108571AB"/>
    <w:rsid w:val="10EC6CF5"/>
    <w:rsid w:val="11331D38"/>
    <w:rsid w:val="11ED63EA"/>
    <w:rsid w:val="12371157"/>
    <w:rsid w:val="12510F14"/>
    <w:rsid w:val="12753A67"/>
    <w:rsid w:val="12986F2D"/>
    <w:rsid w:val="12C25741"/>
    <w:rsid w:val="12EA441C"/>
    <w:rsid w:val="147C72F5"/>
    <w:rsid w:val="15673B02"/>
    <w:rsid w:val="15E348F4"/>
    <w:rsid w:val="16192669"/>
    <w:rsid w:val="16651E05"/>
    <w:rsid w:val="17AA435E"/>
    <w:rsid w:val="185A72EB"/>
    <w:rsid w:val="1890336F"/>
    <w:rsid w:val="19016533"/>
    <w:rsid w:val="197C38F4"/>
    <w:rsid w:val="19A22510"/>
    <w:rsid w:val="1A374386"/>
    <w:rsid w:val="1A856730"/>
    <w:rsid w:val="1AB53523"/>
    <w:rsid w:val="1AC00AF1"/>
    <w:rsid w:val="1B011FED"/>
    <w:rsid w:val="1BA70EAC"/>
    <w:rsid w:val="1C2F379D"/>
    <w:rsid w:val="1C6A7D93"/>
    <w:rsid w:val="1C81314A"/>
    <w:rsid w:val="1CD02907"/>
    <w:rsid w:val="1D331864"/>
    <w:rsid w:val="1D8B7ED2"/>
    <w:rsid w:val="1DE91501"/>
    <w:rsid w:val="1E4C7D38"/>
    <w:rsid w:val="1E88173F"/>
    <w:rsid w:val="1FAE47AB"/>
    <w:rsid w:val="20370574"/>
    <w:rsid w:val="203C7855"/>
    <w:rsid w:val="206852CD"/>
    <w:rsid w:val="207B66B3"/>
    <w:rsid w:val="217355DC"/>
    <w:rsid w:val="21B53E47"/>
    <w:rsid w:val="21D96C95"/>
    <w:rsid w:val="22C1199A"/>
    <w:rsid w:val="22C96D6A"/>
    <w:rsid w:val="22D13B65"/>
    <w:rsid w:val="23F6476E"/>
    <w:rsid w:val="256E67E6"/>
    <w:rsid w:val="26143832"/>
    <w:rsid w:val="262319BC"/>
    <w:rsid w:val="26A37112"/>
    <w:rsid w:val="26B446CD"/>
    <w:rsid w:val="26C54F40"/>
    <w:rsid w:val="26DB2065"/>
    <w:rsid w:val="27EC74F4"/>
    <w:rsid w:val="28003E99"/>
    <w:rsid w:val="28292E99"/>
    <w:rsid w:val="28457368"/>
    <w:rsid w:val="28560F12"/>
    <w:rsid w:val="28B22E8E"/>
    <w:rsid w:val="28BE1833"/>
    <w:rsid w:val="29001E4B"/>
    <w:rsid w:val="29361D11"/>
    <w:rsid w:val="293715E5"/>
    <w:rsid w:val="29EE66A4"/>
    <w:rsid w:val="2A331DAD"/>
    <w:rsid w:val="2A3B675B"/>
    <w:rsid w:val="2A9C76A8"/>
    <w:rsid w:val="2AF07C9E"/>
    <w:rsid w:val="2B1E1887"/>
    <w:rsid w:val="2B894947"/>
    <w:rsid w:val="2C3E3434"/>
    <w:rsid w:val="2E393998"/>
    <w:rsid w:val="2E4072A5"/>
    <w:rsid w:val="2EA629EB"/>
    <w:rsid w:val="2F835584"/>
    <w:rsid w:val="2FC8017B"/>
    <w:rsid w:val="2FD309CC"/>
    <w:rsid w:val="2FFD5337"/>
    <w:rsid w:val="30007685"/>
    <w:rsid w:val="30BC6FA0"/>
    <w:rsid w:val="313D6184"/>
    <w:rsid w:val="32032879"/>
    <w:rsid w:val="32036D1A"/>
    <w:rsid w:val="32393423"/>
    <w:rsid w:val="32572B21"/>
    <w:rsid w:val="329B7A40"/>
    <w:rsid w:val="33380434"/>
    <w:rsid w:val="33770CE8"/>
    <w:rsid w:val="337C0B48"/>
    <w:rsid w:val="33B01385"/>
    <w:rsid w:val="33F04083"/>
    <w:rsid w:val="341A78AC"/>
    <w:rsid w:val="343926B5"/>
    <w:rsid w:val="355C34C1"/>
    <w:rsid w:val="3671332B"/>
    <w:rsid w:val="37436FBB"/>
    <w:rsid w:val="387C4ABA"/>
    <w:rsid w:val="387D1D7D"/>
    <w:rsid w:val="38C500B3"/>
    <w:rsid w:val="38C613AA"/>
    <w:rsid w:val="39317DFF"/>
    <w:rsid w:val="39791E69"/>
    <w:rsid w:val="398D62E7"/>
    <w:rsid w:val="3A3141FD"/>
    <w:rsid w:val="3A3F41CB"/>
    <w:rsid w:val="3AE03859"/>
    <w:rsid w:val="3BCB6F43"/>
    <w:rsid w:val="3C2E6878"/>
    <w:rsid w:val="3CFB4C5D"/>
    <w:rsid w:val="3D5E306C"/>
    <w:rsid w:val="3DC56D68"/>
    <w:rsid w:val="3DE043BA"/>
    <w:rsid w:val="3E502AD5"/>
    <w:rsid w:val="3E576551"/>
    <w:rsid w:val="3E895FE7"/>
    <w:rsid w:val="3F7647BE"/>
    <w:rsid w:val="3F942E96"/>
    <w:rsid w:val="3FC90D91"/>
    <w:rsid w:val="40022408"/>
    <w:rsid w:val="41AF0522"/>
    <w:rsid w:val="41E910AE"/>
    <w:rsid w:val="4206121C"/>
    <w:rsid w:val="42AE426E"/>
    <w:rsid w:val="43064193"/>
    <w:rsid w:val="445D7CFA"/>
    <w:rsid w:val="44910D58"/>
    <w:rsid w:val="44F3065E"/>
    <w:rsid w:val="456F23DB"/>
    <w:rsid w:val="4597548E"/>
    <w:rsid w:val="45CF4C28"/>
    <w:rsid w:val="469C0741"/>
    <w:rsid w:val="469C6EC0"/>
    <w:rsid w:val="475573AE"/>
    <w:rsid w:val="47F646ED"/>
    <w:rsid w:val="48181044"/>
    <w:rsid w:val="484B372C"/>
    <w:rsid w:val="486736C2"/>
    <w:rsid w:val="48E44E8E"/>
    <w:rsid w:val="49771967"/>
    <w:rsid w:val="499D7C4A"/>
    <w:rsid w:val="49C01457"/>
    <w:rsid w:val="49C5081B"/>
    <w:rsid w:val="4B0E2E29"/>
    <w:rsid w:val="4B5E0F27"/>
    <w:rsid w:val="4B6C70CC"/>
    <w:rsid w:val="4BBA287A"/>
    <w:rsid w:val="4BD71EB9"/>
    <w:rsid w:val="4C0E2F1B"/>
    <w:rsid w:val="4E7B60E9"/>
    <w:rsid w:val="4E9764FE"/>
    <w:rsid w:val="4F451EFA"/>
    <w:rsid w:val="4F882186"/>
    <w:rsid w:val="500075D3"/>
    <w:rsid w:val="501C315F"/>
    <w:rsid w:val="50EC48E0"/>
    <w:rsid w:val="5101103A"/>
    <w:rsid w:val="51085492"/>
    <w:rsid w:val="51586419"/>
    <w:rsid w:val="54077F55"/>
    <w:rsid w:val="54143903"/>
    <w:rsid w:val="5474644C"/>
    <w:rsid w:val="54E35FFA"/>
    <w:rsid w:val="54FE3D64"/>
    <w:rsid w:val="550C692B"/>
    <w:rsid w:val="553A6FC3"/>
    <w:rsid w:val="553C5CE7"/>
    <w:rsid w:val="558570B1"/>
    <w:rsid w:val="55A0038E"/>
    <w:rsid w:val="55D65293"/>
    <w:rsid w:val="561F5757"/>
    <w:rsid w:val="5642772B"/>
    <w:rsid w:val="56AD4B11"/>
    <w:rsid w:val="56BF4844"/>
    <w:rsid w:val="56C703BD"/>
    <w:rsid w:val="57807D09"/>
    <w:rsid w:val="57DA3E17"/>
    <w:rsid w:val="57F86260"/>
    <w:rsid w:val="583F3EBC"/>
    <w:rsid w:val="58727DC0"/>
    <w:rsid w:val="589B6663"/>
    <w:rsid w:val="58A106A5"/>
    <w:rsid w:val="58B32745"/>
    <w:rsid w:val="59111807"/>
    <w:rsid w:val="59A95F7B"/>
    <w:rsid w:val="5A63590E"/>
    <w:rsid w:val="5A871B1D"/>
    <w:rsid w:val="5B0311A3"/>
    <w:rsid w:val="5B156152"/>
    <w:rsid w:val="5B4D241F"/>
    <w:rsid w:val="5B9B762E"/>
    <w:rsid w:val="5C5A7F7F"/>
    <w:rsid w:val="5D5A2308"/>
    <w:rsid w:val="5DD010E5"/>
    <w:rsid w:val="5F182D44"/>
    <w:rsid w:val="5F903E3F"/>
    <w:rsid w:val="608102DF"/>
    <w:rsid w:val="61170069"/>
    <w:rsid w:val="61F62764"/>
    <w:rsid w:val="6200600D"/>
    <w:rsid w:val="62347F47"/>
    <w:rsid w:val="627C4C03"/>
    <w:rsid w:val="628C1A7E"/>
    <w:rsid w:val="62F31AFE"/>
    <w:rsid w:val="63293771"/>
    <w:rsid w:val="632F3889"/>
    <w:rsid w:val="633C68A0"/>
    <w:rsid w:val="635B76A3"/>
    <w:rsid w:val="63C33BC6"/>
    <w:rsid w:val="63C96D02"/>
    <w:rsid w:val="64320204"/>
    <w:rsid w:val="64CD45D0"/>
    <w:rsid w:val="65085608"/>
    <w:rsid w:val="65423A05"/>
    <w:rsid w:val="65536958"/>
    <w:rsid w:val="655B423D"/>
    <w:rsid w:val="65907AD8"/>
    <w:rsid w:val="65A9656A"/>
    <w:rsid w:val="65BE538A"/>
    <w:rsid w:val="671E1113"/>
    <w:rsid w:val="672E75A8"/>
    <w:rsid w:val="67902011"/>
    <w:rsid w:val="67A5797B"/>
    <w:rsid w:val="67B65075"/>
    <w:rsid w:val="67BB4BB4"/>
    <w:rsid w:val="67ED0092"/>
    <w:rsid w:val="67ED07E2"/>
    <w:rsid w:val="680B5540"/>
    <w:rsid w:val="687F14A4"/>
    <w:rsid w:val="68832A45"/>
    <w:rsid w:val="691F4E08"/>
    <w:rsid w:val="69A17D3D"/>
    <w:rsid w:val="69FF522C"/>
    <w:rsid w:val="6A07121D"/>
    <w:rsid w:val="6AA819B9"/>
    <w:rsid w:val="6B37744F"/>
    <w:rsid w:val="6B4954C2"/>
    <w:rsid w:val="6B7E03D2"/>
    <w:rsid w:val="6C163F72"/>
    <w:rsid w:val="6CED41BB"/>
    <w:rsid w:val="6CFA1CDB"/>
    <w:rsid w:val="6DD30EA9"/>
    <w:rsid w:val="6E1E5238"/>
    <w:rsid w:val="6FC54073"/>
    <w:rsid w:val="703025E3"/>
    <w:rsid w:val="705E150A"/>
    <w:rsid w:val="7064403B"/>
    <w:rsid w:val="70756227"/>
    <w:rsid w:val="70781894"/>
    <w:rsid w:val="70F76C5D"/>
    <w:rsid w:val="712B305A"/>
    <w:rsid w:val="71445C1A"/>
    <w:rsid w:val="71527F65"/>
    <w:rsid w:val="716A5681"/>
    <w:rsid w:val="71C51DA1"/>
    <w:rsid w:val="71DE7825"/>
    <w:rsid w:val="728118F5"/>
    <w:rsid w:val="746B40D6"/>
    <w:rsid w:val="74806F69"/>
    <w:rsid w:val="74BB2697"/>
    <w:rsid w:val="752B5127"/>
    <w:rsid w:val="75F776FF"/>
    <w:rsid w:val="76982C90"/>
    <w:rsid w:val="77E06D61"/>
    <w:rsid w:val="782B2DC7"/>
    <w:rsid w:val="788B1CC4"/>
    <w:rsid w:val="790A14F7"/>
    <w:rsid w:val="79490272"/>
    <w:rsid w:val="79A33E26"/>
    <w:rsid w:val="79A436FA"/>
    <w:rsid w:val="79A951B4"/>
    <w:rsid w:val="79F319AA"/>
    <w:rsid w:val="79F50589"/>
    <w:rsid w:val="7A0502C2"/>
    <w:rsid w:val="7A6354C5"/>
    <w:rsid w:val="7B2014A6"/>
    <w:rsid w:val="7BF53A86"/>
    <w:rsid w:val="7D122124"/>
    <w:rsid w:val="7E665422"/>
    <w:rsid w:val="7F0F5AB9"/>
    <w:rsid w:val="7F222F3F"/>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2"/>
    <w:qFormat/>
    <w:uiPriority w:val="0"/>
    <w:pPr>
      <w:keepNext/>
      <w:keepLines/>
      <w:numPr>
        <w:ilvl w:val="0"/>
        <w:numId w:val="1"/>
      </w:numPr>
      <w:spacing w:before="340" w:after="330" w:line="576" w:lineRule="auto"/>
      <w:jc w:val="center"/>
      <w:outlineLvl w:val="0"/>
    </w:pPr>
    <w:rPr>
      <w:rFonts w:ascii="仿宋" w:hAnsi="仿宋" w:eastAsia="仿宋" w:cs="仿宋_GB2312"/>
      <w:b/>
      <w:kern w:val="44"/>
      <w:sz w:val="32"/>
      <w:szCs w:val="32"/>
    </w:rPr>
  </w:style>
  <w:style w:type="paragraph" w:styleId="3">
    <w:name w:val="heading 2"/>
    <w:basedOn w:val="1"/>
    <w:next w:val="1"/>
    <w:link w:val="80"/>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81"/>
    <w:qFormat/>
    <w:uiPriority w:val="0"/>
    <w:pPr>
      <w:keepNext/>
      <w:keepLines/>
      <w:autoSpaceDE w:val="0"/>
      <w:autoSpaceDN w:val="0"/>
      <w:adjustRightInd w:val="0"/>
      <w:spacing w:before="360" w:after="120"/>
      <w:jc w:val="center"/>
      <w:outlineLvl w:val="2"/>
    </w:pPr>
    <w:rPr>
      <w:rFonts w:ascii="仿宋" w:hAnsi="仿宋" w:eastAsia="仿宋"/>
      <w:b/>
      <w:kern w:val="0"/>
      <w:sz w:val="24"/>
      <w:szCs w:val="20"/>
      <w:u w:val="single"/>
    </w:rPr>
  </w:style>
  <w:style w:type="paragraph" w:styleId="5">
    <w:name w:val="heading 4"/>
    <w:basedOn w:val="1"/>
    <w:next w:val="1"/>
    <w:link w:val="72"/>
    <w:qFormat/>
    <w:uiPriority w:val="0"/>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6">
    <w:name w:val="heading 5"/>
    <w:basedOn w:val="1"/>
    <w:next w:val="1"/>
    <w:link w:val="73"/>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7">
    <w:name w:val="heading 6"/>
    <w:basedOn w:val="1"/>
    <w:next w:val="1"/>
    <w:link w:val="82"/>
    <w:qFormat/>
    <w:uiPriority w:val="0"/>
    <w:pPr>
      <w:spacing w:before="61"/>
      <w:outlineLvl w:val="5"/>
    </w:pPr>
    <w:rPr>
      <w:rFonts w:ascii="仿宋" w:hAnsi="仿宋" w:eastAsia="仿宋" w:cs="仿宋"/>
      <w:sz w:val="28"/>
      <w:szCs w:val="28"/>
      <w:lang w:val="zh-CN" w:bidi="zh-CN"/>
    </w:rPr>
  </w:style>
  <w:style w:type="paragraph" w:styleId="8">
    <w:name w:val="heading 7"/>
    <w:basedOn w:val="1"/>
    <w:next w:val="1"/>
    <w:link w:val="74"/>
    <w:qFormat/>
    <w:uiPriority w:val="0"/>
    <w:pPr>
      <w:keepNext/>
      <w:keepLines/>
      <w:spacing w:before="240" w:after="64" w:line="320" w:lineRule="auto"/>
      <w:outlineLvl w:val="6"/>
    </w:pPr>
    <w:rPr>
      <w:rFonts w:ascii="Calibri" w:hAnsi="Calibri" w:eastAsia="宋体" w:cs="Times New Roman"/>
      <w:b/>
      <w:bCs/>
      <w:kern w:val="0"/>
      <w:sz w:val="24"/>
    </w:rPr>
  </w:style>
  <w:style w:type="paragraph" w:styleId="9">
    <w:name w:val="heading 8"/>
    <w:basedOn w:val="1"/>
    <w:next w:val="1"/>
    <w:link w:val="75"/>
    <w:qFormat/>
    <w:uiPriority w:val="0"/>
    <w:pPr>
      <w:keepNext/>
      <w:keepLines/>
      <w:spacing w:before="240" w:after="64" w:line="320" w:lineRule="auto"/>
      <w:outlineLvl w:val="7"/>
    </w:pPr>
    <w:rPr>
      <w:rFonts w:ascii="Calibri Light" w:hAnsi="Calibri Light" w:eastAsia="宋体" w:cs="Times New Roman"/>
      <w:kern w:val="0"/>
      <w:sz w:val="24"/>
    </w:rPr>
  </w:style>
  <w:style w:type="paragraph" w:styleId="10">
    <w:name w:val="heading 9"/>
    <w:basedOn w:val="1"/>
    <w:next w:val="1"/>
    <w:link w:val="76"/>
    <w:qFormat/>
    <w:uiPriority w:val="0"/>
    <w:pPr>
      <w:keepNext/>
      <w:keepLines/>
      <w:spacing w:before="240" w:after="64" w:line="317" w:lineRule="auto"/>
      <w:outlineLvl w:val="8"/>
    </w:pPr>
    <w:rPr>
      <w:rFonts w:ascii="Cambria" w:hAnsi="Cambria" w:eastAsia="宋体" w:cs="Times New Roman"/>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Calibri" w:hAnsi="Calibri" w:eastAsia="宋体" w:cs="Times New Roman"/>
      <w:szCs w:val="22"/>
    </w:rPr>
  </w:style>
  <w:style w:type="paragraph" w:styleId="12">
    <w:name w:val="Normal Indent"/>
    <w:basedOn w:val="1"/>
    <w:next w:val="1"/>
    <w:qFormat/>
    <w:uiPriority w:val="0"/>
    <w:pPr>
      <w:tabs>
        <w:tab w:val="center" w:pos="4153"/>
        <w:tab w:val="right" w:pos="8306"/>
      </w:tabs>
      <w:autoSpaceDE w:val="0"/>
      <w:autoSpaceDN w:val="0"/>
      <w:adjustRightInd w:val="0"/>
      <w:snapToGrid w:val="0"/>
      <w:ind w:firstLine="420"/>
      <w:jc w:val="left"/>
    </w:pPr>
    <w:rPr>
      <w:rFonts w:ascii="宋体" w:hAnsi="仿宋" w:eastAsia="仿宋" w:cs="仿宋"/>
      <w:bCs/>
      <w:kern w:val="0"/>
      <w:sz w:val="24"/>
      <w:szCs w:val="20"/>
    </w:rPr>
  </w:style>
  <w:style w:type="paragraph" w:styleId="13">
    <w:name w:val="caption"/>
    <w:basedOn w:val="1"/>
    <w:next w:val="1"/>
    <w:qFormat/>
    <w:uiPriority w:val="0"/>
    <w:rPr>
      <w:rFonts w:ascii="Cambria" w:hAnsi="Cambria" w:eastAsia="黑体" w:cs="Times New Roman"/>
      <w:sz w:val="20"/>
      <w:szCs w:val="20"/>
    </w:rPr>
  </w:style>
  <w:style w:type="paragraph" w:styleId="14">
    <w:name w:val="Document Map"/>
    <w:basedOn w:val="1"/>
    <w:link w:val="83"/>
    <w:unhideWhenUsed/>
    <w:qFormat/>
    <w:uiPriority w:val="0"/>
    <w:rPr>
      <w:rFonts w:ascii="宋体" w:hAnsi="Calibri" w:eastAsia="宋体" w:cs="Times New Roman"/>
      <w:sz w:val="18"/>
      <w:szCs w:val="18"/>
    </w:rPr>
  </w:style>
  <w:style w:type="paragraph" w:styleId="15">
    <w:name w:val="toa heading"/>
    <w:basedOn w:val="1"/>
    <w:next w:val="1"/>
    <w:qFormat/>
    <w:uiPriority w:val="0"/>
    <w:pPr>
      <w:spacing w:line="360" w:lineRule="auto"/>
      <w:jc w:val="left"/>
    </w:pPr>
    <w:rPr>
      <w:rFonts w:ascii="Cambria" w:hAnsi="Cambria" w:eastAsia="宋体" w:cs="Times New Roman"/>
      <w:kern w:val="0"/>
      <w:sz w:val="24"/>
      <w:szCs w:val="20"/>
    </w:rPr>
  </w:style>
  <w:style w:type="paragraph" w:styleId="16">
    <w:name w:val="annotation text"/>
    <w:basedOn w:val="1"/>
    <w:link w:val="62"/>
    <w:qFormat/>
    <w:uiPriority w:val="0"/>
    <w:pPr>
      <w:jc w:val="left"/>
    </w:pPr>
  </w:style>
  <w:style w:type="paragraph" w:styleId="17">
    <w:name w:val="Body Text"/>
    <w:basedOn w:val="1"/>
    <w:next w:val="1"/>
    <w:link w:val="84"/>
    <w:qFormat/>
    <w:uiPriority w:val="0"/>
    <w:rPr>
      <w:rFonts w:ascii="楷体" w:hAnsi="楷体" w:eastAsia="楷体" w:cs="楷体"/>
      <w:sz w:val="24"/>
      <w:lang w:val="zh-CN" w:bidi="zh-CN"/>
    </w:rPr>
  </w:style>
  <w:style w:type="paragraph" w:styleId="18">
    <w:name w:val="Body Text Indent"/>
    <w:basedOn w:val="1"/>
    <w:link w:val="85"/>
    <w:qFormat/>
    <w:uiPriority w:val="0"/>
    <w:pPr>
      <w:ind w:left="-360" w:firstLine="360"/>
    </w:pPr>
    <w:rPr>
      <w:rFonts w:ascii="Times New Roman" w:hAnsi="Times New Roman"/>
    </w:rPr>
  </w:style>
  <w:style w:type="paragraph" w:styleId="19">
    <w:name w:val="index 4"/>
    <w:basedOn w:val="1"/>
    <w:next w:val="1"/>
    <w:qFormat/>
    <w:uiPriority w:val="0"/>
    <w:pPr>
      <w:ind w:left="600" w:leftChars="600"/>
    </w:pPr>
    <w:rPr>
      <w:rFonts w:ascii="Times New Roman" w:hAnsi="Times New Roman" w:eastAsia="宋体" w:cs="Times New Roman"/>
    </w:rPr>
  </w:style>
  <w:style w:type="paragraph" w:styleId="20">
    <w:name w:val="toc 5"/>
    <w:basedOn w:val="1"/>
    <w:next w:val="1"/>
    <w:unhideWhenUsed/>
    <w:qFormat/>
    <w:uiPriority w:val="0"/>
    <w:pPr>
      <w:ind w:left="1680" w:leftChars="800"/>
    </w:pPr>
    <w:rPr>
      <w:rFonts w:ascii="Calibri" w:hAnsi="Calibri" w:eastAsia="宋体" w:cs="Times New Roman"/>
      <w:szCs w:val="22"/>
    </w:rPr>
  </w:style>
  <w:style w:type="paragraph" w:styleId="21">
    <w:name w:val="toc 3"/>
    <w:basedOn w:val="1"/>
    <w:next w:val="1"/>
    <w:qFormat/>
    <w:uiPriority w:val="0"/>
    <w:pPr>
      <w:widowControl/>
      <w:ind w:left="400" w:right="255"/>
    </w:pPr>
    <w:rPr>
      <w:rFonts w:ascii="Times New Roman" w:hAnsi="Times New Roman" w:eastAsia="宋体" w:cs="Times New Roman"/>
      <w:kern w:val="0"/>
      <w:sz w:val="24"/>
      <w:szCs w:val="20"/>
    </w:rPr>
  </w:style>
  <w:style w:type="paragraph" w:styleId="22">
    <w:name w:val="Plain Text"/>
    <w:basedOn w:val="1"/>
    <w:link w:val="86"/>
    <w:qFormat/>
    <w:uiPriority w:val="0"/>
    <w:rPr>
      <w:rFonts w:ascii="宋体" w:hAnsi="Courier New" w:eastAsia="宋体" w:cs="Times New Roman"/>
      <w:kern w:val="0"/>
      <w:sz w:val="20"/>
      <w:szCs w:val="21"/>
    </w:rPr>
  </w:style>
  <w:style w:type="paragraph" w:styleId="23">
    <w:name w:val="toc 8"/>
    <w:next w:val="1"/>
    <w:unhideWhenUsed/>
    <w:qFormat/>
    <w:uiPriority w:val="0"/>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24">
    <w:name w:val="Date"/>
    <w:basedOn w:val="1"/>
    <w:next w:val="1"/>
    <w:link w:val="87"/>
    <w:unhideWhenUsed/>
    <w:qFormat/>
    <w:uiPriority w:val="0"/>
    <w:pPr>
      <w:ind w:left="100" w:leftChars="2500"/>
    </w:pPr>
    <w:rPr>
      <w:rFonts w:ascii="Calibri" w:hAnsi="Calibri" w:eastAsia="宋体" w:cs="Times New Roman"/>
      <w:szCs w:val="22"/>
    </w:rPr>
  </w:style>
  <w:style w:type="paragraph" w:styleId="25">
    <w:name w:val="Body Text Indent 2"/>
    <w:basedOn w:val="1"/>
    <w:link w:val="88"/>
    <w:qFormat/>
    <w:uiPriority w:val="0"/>
    <w:pPr>
      <w:ind w:firstLine="480"/>
    </w:pPr>
    <w:rPr>
      <w:rFonts w:ascii="宋体" w:hAnsi="宋体" w:eastAsia="宋体" w:cs="Times New Roman"/>
      <w:sz w:val="30"/>
    </w:rPr>
  </w:style>
  <w:style w:type="paragraph" w:styleId="26">
    <w:name w:val="Balloon Text"/>
    <w:basedOn w:val="1"/>
    <w:link w:val="63"/>
    <w:qFormat/>
    <w:uiPriority w:val="0"/>
    <w:rPr>
      <w:sz w:val="18"/>
      <w:szCs w:val="18"/>
    </w:rPr>
  </w:style>
  <w:style w:type="paragraph" w:styleId="27">
    <w:name w:val="footer"/>
    <w:basedOn w:val="1"/>
    <w:link w:val="78"/>
    <w:qFormat/>
    <w:uiPriority w:val="99"/>
    <w:pPr>
      <w:tabs>
        <w:tab w:val="center" w:pos="4153"/>
        <w:tab w:val="right" w:pos="8306"/>
      </w:tabs>
      <w:snapToGrid w:val="0"/>
      <w:ind w:right="-19" w:rightChars="-9"/>
      <w:jc w:val="center"/>
    </w:pPr>
    <w:rPr>
      <w:rFonts w:ascii="仿宋_GB2312" w:hAnsi="仿宋_GB2312" w:eastAsia="仿宋_GB2312" w:cs="仿宋_GB2312"/>
      <w:szCs w:val="21"/>
    </w:rPr>
  </w:style>
  <w:style w:type="paragraph" w:styleId="28">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29">
    <w:name w:val="header"/>
    <w:basedOn w:val="1"/>
    <w:link w:val="7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0">
    <w:name w:val="toc 1"/>
    <w:basedOn w:val="1"/>
    <w:next w:val="1"/>
    <w:qFormat/>
    <w:uiPriority w:val="0"/>
  </w:style>
  <w:style w:type="paragraph" w:styleId="31">
    <w:name w:val="toc 4"/>
    <w:basedOn w:val="1"/>
    <w:next w:val="1"/>
    <w:unhideWhenUsed/>
    <w:qFormat/>
    <w:uiPriority w:val="0"/>
    <w:pPr>
      <w:ind w:left="1260" w:leftChars="600"/>
    </w:pPr>
    <w:rPr>
      <w:rFonts w:ascii="Calibri" w:hAnsi="Calibri" w:eastAsia="宋体" w:cs="Times New Roman"/>
      <w:szCs w:val="22"/>
    </w:rPr>
  </w:style>
  <w:style w:type="paragraph" w:styleId="32">
    <w:name w:val="Subtitle"/>
    <w:basedOn w:val="1"/>
    <w:next w:val="1"/>
    <w:link w:val="196"/>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3">
    <w:name w:val="toc 6"/>
    <w:next w:val="1"/>
    <w:unhideWhenUsed/>
    <w:qFormat/>
    <w:uiPriority w:val="0"/>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34">
    <w:name w:val="index 9"/>
    <w:basedOn w:val="1"/>
    <w:next w:val="1"/>
    <w:qFormat/>
    <w:uiPriority w:val="0"/>
    <w:pPr>
      <w:ind w:left="1600" w:leftChars="1600"/>
    </w:pPr>
    <w:rPr>
      <w:rFonts w:ascii="Times New Roman" w:hAnsi="Times New Roman" w:eastAsia="宋体" w:cs="Times New Roman"/>
      <w:szCs w:val="20"/>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eastAsia="宋体" w:cs="Times New Roman"/>
      <w:szCs w:val="22"/>
    </w:rPr>
  </w:style>
  <w:style w:type="paragraph" w:styleId="37">
    <w:name w:val="Body Text 2"/>
    <w:basedOn w:val="1"/>
    <w:link w:val="60"/>
    <w:qFormat/>
    <w:uiPriority w:val="0"/>
    <w:pPr>
      <w:spacing w:after="120" w:line="480" w:lineRule="auto"/>
    </w:pPr>
  </w:style>
  <w:style w:type="paragraph" w:styleId="38">
    <w:name w:val="HTML Preformatted"/>
    <w:basedOn w:val="1"/>
    <w:link w:val="8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39">
    <w:name w:val="Normal (Web)"/>
    <w:basedOn w:val="1"/>
    <w:link w:val="163"/>
    <w:qFormat/>
    <w:uiPriority w:val="0"/>
    <w:pPr>
      <w:spacing w:beforeAutospacing="1" w:afterAutospacing="1"/>
      <w:jc w:val="left"/>
    </w:pPr>
    <w:rPr>
      <w:rFonts w:cs="Times New Roman"/>
      <w:kern w:val="0"/>
      <w:sz w:val="24"/>
    </w:rPr>
  </w:style>
  <w:style w:type="paragraph" w:styleId="40">
    <w:name w:val="Title"/>
    <w:basedOn w:val="1"/>
    <w:next w:val="1"/>
    <w:link w:val="197"/>
    <w:qFormat/>
    <w:uiPriority w:val="0"/>
    <w:pPr>
      <w:spacing w:before="240" w:after="60"/>
      <w:jc w:val="center"/>
      <w:outlineLvl w:val="0"/>
    </w:pPr>
    <w:rPr>
      <w:rFonts w:ascii="Cambria" w:hAnsi="Cambria" w:eastAsia="宋体" w:cs="Times New Roman"/>
      <w:b/>
      <w:bCs/>
      <w:sz w:val="32"/>
      <w:szCs w:val="32"/>
    </w:rPr>
  </w:style>
  <w:style w:type="paragraph" w:styleId="41">
    <w:name w:val="annotation subject"/>
    <w:basedOn w:val="16"/>
    <w:next w:val="16"/>
    <w:link w:val="66"/>
    <w:qFormat/>
    <w:uiPriority w:val="0"/>
    <w:pPr>
      <w:tabs>
        <w:tab w:val="center" w:pos="4153"/>
        <w:tab w:val="right" w:pos="8306"/>
      </w:tabs>
      <w:snapToGrid w:val="0"/>
    </w:pPr>
    <w:rPr>
      <w:rFonts w:ascii="仿宋" w:hAnsi="仿宋" w:eastAsia="仿宋" w:cs="仿宋"/>
      <w:b/>
      <w:sz w:val="28"/>
    </w:rPr>
  </w:style>
  <w:style w:type="paragraph" w:styleId="42">
    <w:name w:val="Body Text First Indent"/>
    <w:basedOn w:val="17"/>
    <w:next w:val="1"/>
    <w:link w:val="94"/>
    <w:qFormat/>
    <w:uiPriority w:val="99"/>
    <w:pPr>
      <w:spacing w:line="360" w:lineRule="auto"/>
      <w:ind w:firstLine="420" w:firstLineChars="100"/>
    </w:pPr>
    <w:rPr>
      <w:sz w:val="21"/>
    </w:rPr>
  </w:style>
  <w:style w:type="paragraph" w:styleId="43">
    <w:name w:val="Body Text First Indent 2"/>
    <w:next w:val="42"/>
    <w:link w:val="91"/>
    <w:unhideWhenUsed/>
    <w:qFormat/>
    <w:uiPriority w:val="0"/>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rPr>
  </w:style>
  <w:style w:type="character" w:styleId="48">
    <w:name w:val="page number"/>
    <w:basedOn w:val="46"/>
    <w:qFormat/>
    <w:uiPriority w:val="0"/>
  </w:style>
  <w:style w:type="character" w:styleId="49">
    <w:name w:val="FollowedHyperlink"/>
    <w:basedOn w:val="46"/>
    <w:unhideWhenUsed/>
    <w:qFormat/>
    <w:uiPriority w:val="99"/>
    <w:rPr>
      <w:color w:val="800080"/>
      <w:u w:val="single"/>
    </w:rPr>
  </w:style>
  <w:style w:type="character" w:styleId="50">
    <w:name w:val="Emphasis"/>
    <w:basedOn w:val="46"/>
    <w:qFormat/>
    <w:uiPriority w:val="0"/>
    <w:rPr>
      <w:i/>
      <w:iCs/>
    </w:rPr>
  </w:style>
  <w:style w:type="character" w:styleId="51">
    <w:name w:val="Hyperlink"/>
    <w:basedOn w:val="46"/>
    <w:unhideWhenUsed/>
    <w:qFormat/>
    <w:uiPriority w:val="99"/>
    <w:rPr>
      <w:color w:val="0563C1" w:themeColor="hyperlink"/>
      <w:u w:val="single"/>
      <w14:textFill>
        <w14:solidFill>
          <w14:schemeClr w14:val="hlink"/>
        </w14:solidFill>
      </w14:textFill>
    </w:rPr>
  </w:style>
  <w:style w:type="character" w:styleId="52">
    <w:name w:val="annotation reference"/>
    <w:basedOn w:val="46"/>
    <w:qFormat/>
    <w:uiPriority w:val="0"/>
    <w:rPr>
      <w:sz w:val="21"/>
      <w:szCs w:val="21"/>
    </w:rPr>
  </w:style>
  <w:style w:type="character" w:styleId="53">
    <w:name w:val="HTML Sample"/>
    <w:unhideWhenUsed/>
    <w:qFormat/>
    <w:uiPriority w:val="99"/>
    <w:rPr>
      <w:rFonts w:ascii="宋体" w:hAnsi="宋体" w:eastAsia="宋体" w:cs="宋体"/>
    </w:rPr>
  </w:style>
  <w:style w:type="paragraph" w:customStyle="1" w:styleId="54">
    <w:name w:val="样式 正文 + 首行缩进:  2 字符"/>
    <w:basedOn w:val="1"/>
    <w:qFormat/>
    <w:uiPriority w:val="0"/>
    <w:pPr>
      <w:keepNext/>
      <w:keepLines/>
      <w:ind w:firstLine="880"/>
    </w:pPr>
    <w:rPr>
      <w:rFonts w:ascii="宋体" w:hAnsi="宋体" w:eastAsia="仿宋" w:cs="宋体"/>
      <w:kern w:val="0"/>
      <w:szCs w:val="22"/>
    </w:rPr>
  </w:style>
  <w:style w:type="paragraph" w:customStyle="1" w:styleId="55">
    <w:name w:val="表格文字2"/>
    <w:basedOn w:val="56"/>
    <w:qFormat/>
    <w:uiPriority w:val="99"/>
    <w:pPr>
      <w:spacing w:before="25" w:after="25"/>
      <w:jc w:val="left"/>
    </w:pPr>
    <w:rPr>
      <w:bCs/>
      <w:spacing w:val="10"/>
      <w:kern w:val="0"/>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0">
    <w:name w:val="正文文本 2 字符"/>
    <w:basedOn w:val="46"/>
    <w:link w:val="37"/>
    <w:qFormat/>
    <w:uiPriority w:val="0"/>
    <w:rPr>
      <w:rFonts w:asciiTheme="minorHAnsi" w:hAnsiTheme="minorHAnsi" w:eastAsiaTheme="minorEastAsia" w:cstheme="minorBidi"/>
      <w:kern w:val="2"/>
      <w:sz w:val="21"/>
      <w:szCs w:val="24"/>
    </w:rPr>
  </w:style>
  <w:style w:type="paragraph" w:customStyle="1" w:styleId="61">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character" w:customStyle="1" w:styleId="62">
    <w:name w:val="批注文字 字符"/>
    <w:basedOn w:val="46"/>
    <w:link w:val="16"/>
    <w:qFormat/>
    <w:uiPriority w:val="0"/>
    <w:rPr>
      <w:rFonts w:asciiTheme="minorHAnsi" w:hAnsiTheme="minorHAnsi" w:eastAsiaTheme="minorEastAsia" w:cstheme="minorBidi"/>
      <w:kern w:val="2"/>
      <w:sz w:val="21"/>
      <w:szCs w:val="24"/>
    </w:rPr>
  </w:style>
  <w:style w:type="character" w:customStyle="1" w:styleId="63">
    <w:name w:val="批注框文本 字符"/>
    <w:basedOn w:val="46"/>
    <w:link w:val="26"/>
    <w:qFormat/>
    <w:uiPriority w:val="0"/>
    <w:rPr>
      <w:rFonts w:asciiTheme="minorHAnsi" w:hAnsiTheme="minorHAnsi" w:eastAsiaTheme="minorEastAsia" w:cstheme="minorBidi"/>
      <w:kern w:val="2"/>
      <w:sz w:val="18"/>
      <w:szCs w:val="18"/>
    </w:rPr>
  </w:style>
  <w:style w:type="paragraph" w:styleId="64">
    <w:name w:val="List Paragraph"/>
    <w:basedOn w:val="1"/>
    <w:qFormat/>
    <w:uiPriority w:val="99"/>
    <w:pPr>
      <w:tabs>
        <w:tab w:val="center" w:pos="4153"/>
        <w:tab w:val="right" w:pos="8306"/>
      </w:tabs>
      <w:snapToGrid w:val="0"/>
      <w:ind w:firstLine="420" w:firstLineChars="200"/>
      <w:jc w:val="center"/>
    </w:pPr>
    <w:rPr>
      <w:rFonts w:ascii="仿宋" w:hAnsi="仿宋" w:eastAsia="仿宋" w:cs="仿宋"/>
      <w:bCs/>
      <w:sz w:val="28"/>
    </w:rPr>
  </w:style>
  <w:style w:type="paragraph" w:customStyle="1" w:styleId="6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6">
    <w:name w:val="批注主题 字符"/>
    <w:basedOn w:val="62"/>
    <w:link w:val="41"/>
    <w:qFormat/>
    <w:uiPriority w:val="0"/>
    <w:rPr>
      <w:rFonts w:ascii="仿宋" w:hAnsi="仿宋" w:eastAsia="仿宋" w:cs="仿宋"/>
      <w:b/>
      <w:kern w:val="2"/>
      <w:sz w:val="28"/>
      <w:szCs w:val="24"/>
    </w:rPr>
  </w:style>
  <w:style w:type="paragraph" w:customStyle="1" w:styleId="6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首行缩进"/>
    <w:basedOn w:val="1"/>
    <w:qFormat/>
    <w:uiPriority w:val="0"/>
    <w:pPr>
      <w:numPr>
        <w:ilvl w:val="0"/>
        <w:numId w:val="2"/>
      </w:numPr>
      <w:spacing w:line="360" w:lineRule="auto"/>
    </w:pPr>
    <w:rPr>
      <w:sz w:val="24"/>
    </w:rPr>
  </w:style>
  <w:style w:type="paragraph" w:customStyle="1" w:styleId="69">
    <w:name w:val="Char Char Char"/>
    <w:basedOn w:val="1"/>
    <w:qFormat/>
    <w:uiPriority w:val="0"/>
    <w:pPr>
      <w:spacing w:line="360" w:lineRule="auto"/>
      <w:ind w:firstLine="420" w:firstLineChars="200"/>
    </w:pPr>
    <w:rPr>
      <w:rFonts w:ascii="Tahoma" w:hAnsi="Tahoma" w:eastAsia="宋体" w:cs="Times New Roman"/>
      <w:sz w:val="24"/>
      <w:szCs w:val="20"/>
    </w:rPr>
  </w:style>
  <w:style w:type="character" w:customStyle="1" w:styleId="70">
    <w:name w:val="NormalCharacter"/>
    <w:qFormat/>
    <w:uiPriority w:val="0"/>
  </w:style>
  <w:style w:type="paragraph" w:customStyle="1" w:styleId="71">
    <w:name w:val="HtmlNormal"/>
    <w:basedOn w:val="1"/>
    <w:qFormat/>
    <w:uiPriority w:val="0"/>
    <w:pPr>
      <w:spacing w:before="100" w:beforeAutospacing="1" w:after="100" w:afterAutospacing="1"/>
      <w:jc w:val="left"/>
    </w:pPr>
    <w:rPr>
      <w:rFonts w:ascii="宋体" w:hAnsi="宋体" w:eastAsia="宋体"/>
      <w:kern w:val="0"/>
      <w:sz w:val="24"/>
    </w:rPr>
  </w:style>
  <w:style w:type="character" w:customStyle="1" w:styleId="72">
    <w:name w:val="标题 4 字符"/>
    <w:basedOn w:val="46"/>
    <w:link w:val="5"/>
    <w:qFormat/>
    <w:uiPriority w:val="0"/>
    <w:rPr>
      <w:rFonts w:ascii="Calibri Light" w:hAnsi="Calibri Light"/>
      <w:b/>
      <w:bCs/>
      <w:sz w:val="24"/>
      <w:szCs w:val="28"/>
    </w:rPr>
  </w:style>
  <w:style w:type="character" w:customStyle="1" w:styleId="73">
    <w:name w:val="标题 5 字符"/>
    <w:basedOn w:val="46"/>
    <w:link w:val="6"/>
    <w:qFormat/>
    <w:uiPriority w:val="0"/>
    <w:rPr>
      <w:rFonts w:ascii="Calibri" w:hAnsi="Calibri"/>
      <w:b/>
      <w:bCs/>
      <w:sz w:val="21"/>
      <w:szCs w:val="28"/>
    </w:rPr>
  </w:style>
  <w:style w:type="character" w:customStyle="1" w:styleId="74">
    <w:name w:val="标题 7 字符"/>
    <w:basedOn w:val="46"/>
    <w:link w:val="8"/>
    <w:qFormat/>
    <w:uiPriority w:val="0"/>
    <w:rPr>
      <w:rFonts w:ascii="Calibri" w:hAnsi="Calibri"/>
      <w:b/>
      <w:bCs/>
      <w:sz w:val="24"/>
      <w:szCs w:val="24"/>
    </w:rPr>
  </w:style>
  <w:style w:type="character" w:customStyle="1" w:styleId="75">
    <w:name w:val="标题 8 字符"/>
    <w:basedOn w:val="46"/>
    <w:link w:val="9"/>
    <w:qFormat/>
    <w:uiPriority w:val="0"/>
    <w:rPr>
      <w:rFonts w:ascii="Calibri Light" w:hAnsi="Calibri Light"/>
      <w:sz w:val="24"/>
      <w:szCs w:val="24"/>
    </w:rPr>
  </w:style>
  <w:style w:type="character" w:customStyle="1" w:styleId="76">
    <w:name w:val="标题 9 字符"/>
    <w:basedOn w:val="46"/>
    <w:link w:val="10"/>
    <w:qFormat/>
    <w:uiPriority w:val="0"/>
    <w:rPr>
      <w:rFonts w:ascii="Cambria" w:hAnsi="Cambria"/>
      <w:kern w:val="2"/>
      <w:sz w:val="21"/>
      <w:szCs w:val="21"/>
    </w:rPr>
  </w:style>
  <w:style w:type="character" w:customStyle="1" w:styleId="77">
    <w:name w:val="页眉 字符"/>
    <w:basedOn w:val="46"/>
    <w:link w:val="29"/>
    <w:qFormat/>
    <w:uiPriority w:val="0"/>
    <w:rPr>
      <w:rFonts w:asciiTheme="minorHAnsi" w:hAnsiTheme="minorHAnsi" w:eastAsiaTheme="minorEastAsia" w:cstheme="minorBidi"/>
      <w:kern w:val="2"/>
      <w:sz w:val="18"/>
      <w:szCs w:val="24"/>
    </w:rPr>
  </w:style>
  <w:style w:type="character" w:customStyle="1" w:styleId="78">
    <w:name w:val="页脚 字符"/>
    <w:basedOn w:val="46"/>
    <w:link w:val="27"/>
    <w:qFormat/>
    <w:uiPriority w:val="99"/>
    <w:rPr>
      <w:rFonts w:ascii="仿宋_GB2312" w:hAnsi="仿宋_GB2312" w:eastAsia="仿宋_GB2312" w:cs="仿宋_GB2312"/>
      <w:kern w:val="2"/>
      <w:sz w:val="21"/>
      <w:szCs w:val="21"/>
    </w:rPr>
  </w:style>
  <w:style w:type="character" w:customStyle="1" w:styleId="79">
    <w:name w:val="标题 1 Char"/>
    <w:basedOn w:val="46"/>
    <w:qFormat/>
    <w:uiPriority w:val="0"/>
    <w:rPr>
      <w:b/>
      <w:bCs/>
      <w:kern w:val="44"/>
      <w:sz w:val="44"/>
      <w:szCs w:val="44"/>
    </w:rPr>
  </w:style>
  <w:style w:type="character" w:customStyle="1" w:styleId="80">
    <w:name w:val="标题 2 字符"/>
    <w:basedOn w:val="46"/>
    <w:link w:val="3"/>
    <w:qFormat/>
    <w:uiPriority w:val="0"/>
    <w:rPr>
      <w:rFonts w:ascii="宋体" w:hAnsi="宋体"/>
      <w:b/>
      <w:bCs/>
      <w:sz w:val="36"/>
      <w:szCs w:val="36"/>
    </w:rPr>
  </w:style>
  <w:style w:type="character" w:customStyle="1" w:styleId="81">
    <w:name w:val="标题 3 字符"/>
    <w:basedOn w:val="46"/>
    <w:link w:val="4"/>
    <w:qFormat/>
    <w:uiPriority w:val="0"/>
    <w:rPr>
      <w:rFonts w:ascii="仿宋" w:hAnsi="仿宋" w:eastAsia="仿宋" w:cstheme="minorBidi"/>
      <w:b/>
      <w:sz w:val="24"/>
      <w:u w:val="single"/>
    </w:rPr>
  </w:style>
  <w:style w:type="character" w:customStyle="1" w:styleId="82">
    <w:name w:val="标题 6 字符"/>
    <w:basedOn w:val="46"/>
    <w:link w:val="7"/>
    <w:qFormat/>
    <w:uiPriority w:val="0"/>
    <w:rPr>
      <w:rFonts w:ascii="仿宋" w:hAnsi="仿宋" w:eastAsia="仿宋" w:cs="仿宋"/>
      <w:kern w:val="2"/>
      <w:sz w:val="28"/>
      <w:szCs w:val="28"/>
      <w:lang w:val="zh-CN" w:bidi="zh-CN"/>
    </w:rPr>
  </w:style>
  <w:style w:type="character" w:customStyle="1" w:styleId="83">
    <w:name w:val="文档结构图 字符"/>
    <w:basedOn w:val="46"/>
    <w:link w:val="14"/>
    <w:qFormat/>
    <w:uiPriority w:val="0"/>
    <w:rPr>
      <w:rFonts w:ascii="宋体" w:hAnsi="Calibri"/>
      <w:kern w:val="2"/>
      <w:sz w:val="18"/>
      <w:szCs w:val="18"/>
    </w:rPr>
  </w:style>
  <w:style w:type="character" w:customStyle="1" w:styleId="84">
    <w:name w:val="正文文本 字符"/>
    <w:basedOn w:val="46"/>
    <w:link w:val="17"/>
    <w:qFormat/>
    <w:uiPriority w:val="0"/>
    <w:rPr>
      <w:rFonts w:ascii="楷体" w:hAnsi="楷体" w:eastAsia="楷体" w:cs="楷体"/>
      <w:kern w:val="2"/>
      <w:sz w:val="24"/>
      <w:szCs w:val="24"/>
      <w:lang w:val="zh-CN" w:bidi="zh-CN"/>
    </w:rPr>
  </w:style>
  <w:style w:type="character" w:customStyle="1" w:styleId="85">
    <w:name w:val="正文文本缩进 字符1"/>
    <w:basedOn w:val="46"/>
    <w:link w:val="18"/>
    <w:qFormat/>
    <w:uiPriority w:val="0"/>
    <w:rPr>
      <w:rFonts w:eastAsiaTheme="minorEastAsia" w:cstheme="minorBidi"/>
      <w:sz w:val="21"/>
      <w:szCs w:val="24"/>
    </w:rPr>
  </w:style>
  <w:style w:type="character" w:customStyle="1" w:styleId="86">
    <w:name w:val="纯文本 字符"/>
    <w:basedOn w:val="46"/>
    <w:link w:val="22"/>
    <w:qFormat/>
    <w:uiPriority w:val="0"/>
    <w:rPr>
      <w:rFonts w:ascii="宋体" w:hAnsi="Courier New"/>
      <w:szCs w:val="21"/>
    </w:rPr>
  </w:style>
  <w:style w:type="character" w:customStyle="1" w:styleId="87">
    <w:name w:val="日期 字符"/>
    <w:basedOn w:val="46"/>
    <w:link w:val="24"/>
    <w:qFormat/>
    <w:uiPriority w:val="0"/>
    <w:rPr>
      <w:rFonts w:ascii="Calibri" w:hAnsi="Calibri"/>
      <w:kern w:val="2"/>
      <w:sz w:val="21"/>
      <w:szCs w:val="22"/>
    </w:rPr>
  </w:style>
  <w:style w:type="character" w:customStyle="1" w:styleId="88">
    <w:name w:val="正文文本缩进 2 字符"/>
    <w:basedOn w:val="46"/>
    <w:link w:val="25"/>
    <w:qFormat/>
    <w:uiPriority w:val="0"/>
    <w:rPr>
      <w:rFonts w:ascii="宋体" w:hAnsi="宋体"/>
      <w:kern w:val="2"/>
      <w:sz w:val="30"/>
      <w:szCs w:val="24"/>
    </w:rPr>
  </w:style>
  <w:style w:type="character" w:customStyle="1" w:styleId="89">
    <w:name w:val="HTML 预设格式 字符"/>
    <w:basedOn w:val="46"/>
    <w:link w:val="38"/>
    <w:qFormat/>
    <w:uiPriority w:val="0"/>
    <w:rPr>
      <w:rFonts w:ascii="宋体" w:hAnsi="宋体"/>
      <w:sz w:val="24"/>
      <w:szCs w:val="24"/>
    </w:rPr>
  </w:style>
  <w:style w:type="character" w:customStyle="1" w:styleId="90">
    <w:name w:val="正文首行缩进 Char"/>
    <w:basedOn w:val="84"/>
    <w:qFormat/>
    <w:uiPriority w:val="0"/>
    <w:rPr>
      <w:rFonts w:ascii="楷体" w:hAnsi="楷体" w:eastAsia="楷体" w:cs="楷体"/>
      <w:kern w:val="2"/>
      <w:sz w:val="24"/>
      <w:szCs w:val="24"/>
      <w:lang w:val="zh-CN" w:bidi="zh-CN"/>
    </w:rPr>
  </w:style>
  <w:style w:type="character" w:customStyle="1" w:styleId="91">
    <w:name w:val="正文文本首行缩进 2 字符"/>
    <w:basedOn w:val="85"/>
    <w:link w:val="43"/>
    <w:qFormat/>
    <w:uiPriority w:val="0"/>
    <w:rPr>
      <w:rFonts w:eastAsiaTheme="minorEastAsia" w:cstheme="minorBidi"/>
      <w:sz w:val="21"/>
      <w:szCs w:val="24"/>
    </w:rPr>
  </w:style>
  <w:style w:type="character" w:customStyle="1" w:styleId="92">
    <w:name w:val="标题 1 字符"/>
    <w:link w:val="2"/>
    <w:qFormat/>
    <w:uiPriority w:val="0"/>
    <w:rPr>
      <w:rFonts w:ascii="仿宋" w:hAnsi="仿宋" w:eastAsia="仿宋" w:cs="仿宋_GB2312"/>
      <w:b/>
      <w:kern w:val="44"/>
      <w:sz w:val="32"/>
      <w:szCs w:val="32"/>
    </w:rPr>
  </w:style>
  <w:style w:type="character" w:customStyle="1" w:styleId="93">
    <w:name w:val="批注框文本 Char1"/>
    <w:qFormat/>
    <w:uiPriority w:val="0"/>
    <w:rPr>
      <w:rFonts w:ascii="Calibri" w:hAnsi="Calibri" w:eastAsia="宋体" w:cs="Times New Roman"/>
      <w:kern w:val="0"/>
      <w:sz w:val="18"/>
      <w:szCs w:val="18"/>
    </w:rPr>
  </w:style>
  <w:style w:type="character" w:customStyle="1" w:styleId="94">
    <w:name w:val="正文文本首行缩进 字符"/>
    <w:link w:val="42"/>
    <w:qFormat/>
    <w:uiPriority w:val="99"/>
    <w:rPr>
      <w:rFonts w:ascii="楷体" w:hAnsi="楷体" w:eastAsia="楷体" w:cs="楷体"/>
      <w:kern w:val="2"/>
      <w:sz w:val="21"/>
      <w:szCs w:val="24"/>
      <w:lang w:val="zh-CN" w:bidi="zh-CN"/>
    </w:rPr>
  </w:style>
  <w:style w:type="character" w:customStyle="1" w:styleId="95">
    <w:name w:val="Default Text Char"/>
    <w:link w:val="96"/>
    <w:qFormat/>
    <w:uiPriority w:val="0"/>
    <w:rPr>
      <w:rFonts w:ascii="Calibri" w:hAnsi="Calibri" w:cs="宋体"/>
      <w:color w:val="000000"/>
      <w:sz w:val="24"/>
    </w:rPr>
  </w:style>
  <w:style w:type="paragraph" w:customStyle="1" w:styleId="96">
    <w:name w:val="Default Text"/>
    <w:link w:val="95"/>
    <w:qFormat/>
    <w:uiPriority w:val="0"/>
    <w:pPr>
      <w:widowControl w:val="0"/>
      <w:autoSpaceDE w:val="0"/>
      <w:autoSpaceDN w:val="0"/>
      <w:adjustRightInd w:val="0"/>
    </w:pPr>
    <w:rPr>
      <w:rFonts w:ascii="Calibri" w:hAnsi="Calibri" w:eastAsia="宋体" w:cs="宋体"/>
      <w:color w:val="000000"/>
      <w:sz w:val="24"/>
      <w:lang w:val="en-US" w:eastAsia="zh-CN" w:bidi="ar-SA"/>
    </w:rPr>
  </w:style>
  <w:style w:type="paragraph" w:customStyle="1" w:styleId="97">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9">
    <w:name w:val="bookmark-item"/>
    <w:qFormat/>
    <w:uiPriority w:val="0"/>
  </w:style>
  <w:style w:type="paragraph" w:customStyle="1" w:styleId="100">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styleId="101">
    <w:name w:val="No Spacing"/>
    <w:qFormat/>
    <w:uiPriority w:val="0"/>
    <w:rPr>
      <w:rFonts w:ascii="Times New Roman" w:hAnsi="Times New Roman" w:eastAsia="宋体" w:cs="Times New Roman"/>
      <w:lang w:val="en-US" w:eastAsia="zh-CN" w:bidi="ar-SA"/>
    </w:rPr>
  </w:style>
  <w:style w:type="character" w:customStyle="1" w:styleId="102">
    <w:name w:val="font51"/>
    <w:qFormat/>
    <w:uiPriority w:val="0"/>
    <w:rPr>
      <w:rFonts w:hint="default" w:ascii="Calibri" w:hAnsi="Calibri" w:cs="Calibri"/>
      <w:color w:val="000000"/>
      <w:sz w:val="21"/>
      <w:szCs w:val="21"/>
      <w:u w:val="none"/>
    </w:rPr>
  </w:style>
  <w:style w:type="paragraph" w:customStyle="1" w:styleId="103">
    <w:name w:val="_Style 30"/>
    <w:basedOn w:val="1"/>
    <w:next w:val="64"/>
    <w:qFormat/>
    <w:uiPriority w:val="0"/>
    <w:pPr>
      <w:widowControl/>
      <w:ind w:firstLine="420" w:firstLineChars="200"/>
      <w:jc w:val="left"/>
    </w:pPr>
    <w:rPr>
      <w:rFonts w:ascii="Times" w:hAnsi="Times" w:eastAsia="宋体" w:cs="Times New Roman"/>
      <w:kern w:val="0"/>
      <w:sz w:val="20"/>
      <w:szCs w:val="20"/>
    </w:rPr>
  </w:style>
  <w:style w:type="character" w:customStyle="1" w:styleId="104">
    <w:name w:val="font11"/>
    <w:basedOn w:val="46"/>
    <w:qFormat/>
    <w:uiPriority w:val="99"/>
    <w:rPr>
      <w:rFonts w:ascii="Arial" w:hAnsi="Arial" w:cs="Arial"/>
      <w:color w:val="000000"/>
      <w:sz w:val="24"/>
      <w:szCs w:val="24"/>
      <w:u w:val="single"/>
    </w:rPr>
  </w:style>
  <w:style w:type="character" w:customStyle="1" w:styleId="105">
    <w:name w:val="font41"/>
    <w:qFormat/>
    <w:uiPriority w:val="0"/>
    <w:rPr>
      <w:rFonts w:hint="eastAsia" w:ascii="宋体" w:hAnsi="宋体" w:eastAsia="宋体" w:cs="宋体"/>
      <w:color w:val="000000"/>
      <w:sz w:val="24"/>
      <w:szCs w:val="24"/>
      <w:u w:val="none"/>
    </w:rPr>
  </w:style>
  <w:style w:type="character" w:customStyle="1" w:styleId="106">
    <w:name w:val="dbvalue"/>
    <w:qFormat/>
    <w:uiPriority w:val="0"/>
  </w:style>
  <w:style w:type="character" w:customStyle="1" w:styleId="107">
    <w:name w:val="head 1.1 Char"/>
    <w:link w:val="108"/>
    <w:qFormat/>
    <w:uiPriority w:val="0"/>
    <w:rPr>
      <w:rFonts w:ascii="宋体" w:hAnsi="宋体"/>
      <w:bCs/>
      <w:szCs w:val="24"/>
    </w:rPr>
  </w:style>
  <w:style w:type="paragraph" w:customStyle="1" w:styleId="108">
    <w:name w:val="head 1.1"/>
    <w:basedOn w:val="64"/>
    <w:link w:val="107"/>
    <w:qFormat/>
    <w:uiPriority w:val="0"/>
    <w:pPr>
      <w:tabs>
        <w:tab w:val="clear" w:pos="4153"/>
        <w:tab w:val="clear" w:pos="8306"/>
      </w:tabs>
      <w:snapToGrid/>
      <w:spacing w:before="260" w:after="260"/>
      <w:ind w:firstLine="0" w:firstLineChars="0"/>
      <w:jc w:val="both"/>
    </w:pPr>
    <w:rPr>
      <w:rFonts w:ascii="宋体" w:hAnsi="宋体" w:eastAsia="宋体" w:cs="Times New Roman"/>
      <w:kern w:val="0"/>
      <w:sz w:val="20"/>
    </w:rPr>
  </w:style>
  <w:style w:type="character" w:customStyle="1" w:styleId="109">
    <w:name w:val="font81"/>
    <w:qFormat/>
    <w:uiPriority w:val="0"/>
    <w:rPr>
      <w:rFonts w:hint="default" w:ascii="Times New Roman" w:hAnsi="Times New Roman" w:cs="Times New Roman"/>
      <w:color w:val="000000"/>
      <w:sz w:val="21"/>
      <w:szCs w:val="21"/>
      <w:u w:val="none"/>
    </w:rPr>
  </w:style>
  <w:style w:type="character" w:customStyle="1" w:styleId="110">
    <w:name w:val="font91"/>
    <w:qFormat/>
    <w:uiPriority w:val="0"/>
    <w:rPr>
      <w:rFonts w:hint="eastAsia" w:ascii="宋体" w:hAnsi="宋体" w:eastAsia="宋体" w:cs="宋体"/>
      <w:color w:val="000000"/>
      <w:sz w:val="24"/>
      <w:szCs w:val="24"/>
      <w:u w:val="single"/>
    </w:rPr>
  </w:style>
  <w:style w:type="character" w:customStyle="1" w:styleId="111">
    <w:name w:val="font101"/>
    <w:qFormat/>
    <w:uiPriority w:val="0"/>
    <w:rPr>
      <w:rFonts w:hint="eastAsia" w:ascii="楷体_GB2312" w:eastAsia="楷体_GB2312" w:cs="楷体_GB2312"/>
      <w:color w:val="000000"/>
      <w:sz w:val="24"/>
      <w:szCs w:val="24"/>
      <w:u w:val="single"/>
    </w:rPr>
  </w:style>
  <w:style w:type="character" w:customStyle="1" w:styleId="112">
    <w:name w:val="font112"/>
    <w:qFormat/>
    <w:uiPriority w:val="0"/>
    <w:rPr>
      <w:rFonts w:hint="eastAsia" w:ascii="宋体" w:hAnsi="宋体" w:eastAsia="宋体" w:cs="宋体"/>
      <w:color w:val="000000"/>
      <w:sz w:val="21"/>
      <w:szCs w:val="21"/>
      <w:u w:val="none"/>
    </w:rPr>
  </w:style>
  <w:style w:type="character" w:customStyle="1" w:styleId="113">
    <w:name w:val="正文文本 字符1"/>
    <w:qFormat/>
    <w:uiPriority w:val="0"/>
    <w:rPr>
      <w:kern w:val="2"/>
      <w:sz w:val="21"/>
      <w:szCs w:val="24"/>
    </w:rPr>
  </w:style>
  <w:style w:type="character" w:customStyle="1" w:styleId="114">
    <w:name w:val="font121"/>
    <w:qFormat/>
    <w:uiPriority w:val="0"/>
    <w:rPr>
      <w:rFonts w:hint="eastAsia" w:ascii="宋体" w:hAnsi="宋体" w:eastAsia="宋体" w:cs="宋体"/>
      <w:color w:val="000000"/>
      <w:sz w:val="21"/>
      <w:szCs w:val="21"/>
      <w:u w:val="none"/>
    </w:rPr>
  </w:style>
  <w:style w:type="character" w:customStyle="1" w:styleId="115">
    <w:name w:val="font71"/>
    <w:qFormat/>
    <w:uiPriority w:val="0"/>
    <w:rPr>
      <w:rFonts w:hint="eastAsia" w:ascii="仿宋" w:hAnsi="仿宋" w:eastAsia="仿宋" w:cs="仿宋"/>
      <w:color w:val="000000"/>
      <w:sz w:val="21"/>
      <w:szCs w:val="21"/>
      <w:u w:val="none"/>
    </w:rPr>
  </w:style>
  <w:style w:type="character" w:customStyle="1" w:styleId="116">
    <w:name w:val="font131"/>
    <w:qFormat/>
    <w:uiPriority w:val="0"/>
    <w:rPr>
      <w:rFonts w:hint="default" w:ascii="Calibri" w:hAnsi="Calibri" w:cs="Calibri"/>
      <w:color w:val="000000"/>
      <w:sz w:val="21"/>
      <w:szCs w:val="21"/>
      <w:u w:val="none"/>
    </w:rPr>
  </w:style>
  <w:style w:type="character" w:customStyle="1" w:styleId="117">
    <w:name w:val="未处理的提及1"/>
    <w:unhideWhenUsed/>
    <w:qFormat/>
    <w:uiPriority w:val="99"/>
    <w:rPr>
      <w:color w:val="605E5C"/>
      <w:shd w:val="clear" w:color="auto" w:fill="E1DFDD"/>
    </w:rPr>
  </w:style>
  <w:style w:type="character" w:customStyle="1" w:styleId="118">
    <w:name w:val="font61"/>
    <w:qFormat/>
    <w:uiPriority w:val="0"/>
    <w:rPr>
      <w:rFonts w:hint="eastAsia" w:ascii="仿宋" w:hAnsi="仿宋" w:eastAsia="仿宋" w:cs="仿宋"/>
      <w:color w:val="000000"/>
      <w:sz w:val="21"/>
      <w:szCs w:val="21"/>
      <w:u w:val="none"/>
    </w:rPr>
  </w:style>
  <w:style w:type="character" w:customStyle="1" w:styleId="119">
    <w:name w:val="font31"/>
    <w:qFormat/>
    <w:uiPriority w:val="0"/>
    <w:rPr>
      <w:rFonts w:hint="default" w:ascii="Calibri" w:hAnsi="Calibri" w:cs="Calibri"/>
      <w:color w:val="000000"/>
      <w:sz w:val="24"/>
      <w:szCs w:val="24"/>
      <w:u w:val="none"/>
    </w:rPr>
  </w:style>
  <w:style w:type="character" w:customStyle="1" w:styleId="120">
    <w:name w:val="head 1.1.1 Char"/>
    <w:link w:val="121"/>
    <w:qFormat/>
    <w:uiPriority w:val="0"/>
    <w:rPr>
      <w:bCs/>
      <w:szCs w:val="24"/>
    </w:rPr>
  </w:style>
  <w:style w:type="paragraph" w:customStyle="1" w:styleId="121">
    <w:name w:val="head 1.1.1"/>
    <w:basedOn w:val="64"/>
    <w:link w:val="120"/>
    <w:qFormat/>
    <w:uiPriority w:val="0"/>
    <w:pPr>
      <w:tabs>
        <w:tab w:val="clear" w:pos="4153"/>
        <w:tab w:val="clear" w:pos="8306"/>
      </w:tabs>
      <w:snapToGrid/>
      <w:ind w:firstLine="0" w:firstLineChars="0"/>
      <w:jc w:val="both"/>
    </w:pPr>
    <w:rPr>
      <w:rFonts w:ascii="Times New Roman" w:hAnsi="Times New Roman" w:eastAsia="宋体" w:cs="Times New Roman"/>
      <w:kern w:val="0"/>
      <w:sz w:val="20"/>
    </w:rPr>
  </w:style>
  <w:style w:type="character" w:customStyle="1" w:styleId="122">
    <w:name w:val="font151"/>
    <w:qFormat/>
    <w:uiPriority w:val="0"/>
    <w:rPr>
      <w:rFonts w:hint="default" w:ascii="Calibri" w:hAnsi="Calibri" w:cs="Calibri"/>
      <w:color w:val="000000"/>
      <w:sz w:val="21"/>
      <w:szCs w:val="21"/>
      <w:u w:val="none"/>
    </w:rPr>
  </w:style>
  <w:style w:type="character" w:customStyle="1" w:styleId="123">
    <w:name w:val="font21"/>
    <w:qFormat/>
    <w:uiPriority w:val="0"/>
    <w:rPr>
      <w:rFonts w:hint="default" w:ascii="Calibri" w:hAnsi="Calibri" w:cs="Calibri"/>
      <w:color w:val="000000"/>
      <w:sz w:val="24"/>
      <w:szCs w:val="24"/>
      <w:u w:val="single"/>
    </w:rPr>
  </w:style>
  <w:style w:type="character" w:customStyle="1" w:styleId="124">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125">
    <w:name w:val="fontstyle01"/>
    <w:qFormat/>
    <w:uiPriority w:val="0"/>
    <w:rPr>
      <w:rFonts w:ascii="宋体" w:hAnsi="宋体" w:eastAsia="宋体" w:cs="宋体"/>
      <w:color w:val="000000"/>
      <w:sz w:val="22"/>
      <w:szCs w:val="22"/>
    </w:rPr>
  </w:style>
  <w:style w:type="character" w:customStyle="1" w:styleId="126">
    <w:name w:val="fgray1"/>
    <w:qFormat/>
    <w:uiPriority w:val="0"/>
    <w:rPr>
      <w:color w:val="666666"/>
    </w:rPr>
  </w:style>
  <w:style w:type="paragraph" w:customStyle="1" w:styleId="127">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28">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9">
    <w:name w:val="reader-word-layer reader-word-s1-3"/>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0">
    <w:name w:val="正文首行缩进 字符1"/>
    <w:semiHidden/>
    <w:qFormat/>
    <w:uiPriority w:val="99"/>
    <w:rPr>
      <w:rFonts w:ascii="Times New Roman" w:hAnsi="Times New Roman"/>
      <w:kern w:val="2"/>
      <w:sz w:val="21"/>
      <w:szCs w:val="22"/>
    </w:rPr>
  </w:style>
  <w:style w:type="paragraph" w:customStyle="1" w:styleId="131">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character" w:customStyle="1" w:styleId="132">
    <w:name w:val="正文文本缩进 字符2"/>
    <w:semiHidden/>
    <w:qFormat/>
    <w:uiPriority w:val="99"/>
    <w:rPr>
      <w:kern w:val="2"/>
      <w:sz w:val="21"/>
      <w:szCs w:val="22"/>
    </w:rPr>
  </w:style>
  <w:style w:type="paragraph" w:customStyle="1" w:styleId="133">
    <w:name w:val="表格"/>
    <w:qFormat/>
    <w:uiPriority w:val="0"/>
    <w:pPr>
      <w:jc w:val="center"/>
    </w:pPr>
    <w:rPr>
      <w:rFonts w:ascii="Calibri" w:hAnsi="Calibri" w:eastAsia="宋体" w:cs="Tahoma"/>
      <w:color w:val="000000"/>
      <w:sz w:val="21"/>
      <w:szCs w:val="24"/>
      <w:lang w:val="en-US" w:eastAsia="zh-CN" w:bidi="ar-SA"/>
    </w:rPr>
  </w:style>
  <w:style w:type="paragraph" w:customStyle="1" w:styleId="134">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135">
    <w:name w:val="reader-word-layer reader-word-s2-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6">
    <w:name w:val="reader-word-layer reader-word-s2-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7">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rPr>
  </w:style>
  <w:style w:type="paragraph" w:customStyle="1" w:styleId="138">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39">
    <w:name w:val="Main_heading"/>
    <w:basedOn w:val="1"/>
    <w:next w:val="1"/>
    <w:qFormat/>
    <w:uiPriority w:val="0"/>
    <w:pPr>
      <w:spacing w:before="240" w:after="240" w:line="240" w:lineRule="atLeast"/>
    </w:pPr>
    <w:rPr>
      <w:rFonts w:ascii="Calibri" w:hAnsi="Calibri" w:eastAsia="MS Mincho" w:cs="Times New Roman"/>
      <w:b/>
      <w:sz w:val="28"/>
      <w:lang w:eastAsia="ja-JP"/>
    </w:rPr>
  </w:style>
  <w:style w:type="paragraph" w:customStyle="1" w:styleId="140">
    <w:name w:val="Char Char Char Char"/>
    <w:basedOn w:val="1"/>
    <w:qFormat/>
    <w:uiPriority w:val="0"/>
    <w:rPr>
      <w:rFonts w:ascii="Calibri" w:hAnsi="Calibri" w:eastAsia="Times New Roman" w:cs="Times New Roman"/>
      <w:kern w:val="0"/>
      <w:sz w:val="20"/>
      <w:szCs w:val="20"/>
    </w:rPr>
  </w:style>
  <w:style w:type="paragraph" w:customStyle="1" w:styleId="141">
    <w:name w:val="列出段落1"/>
    <w:basedOn w:val="1"/>
    <w:qFormat/>
    <w:uiPriority w:val="34"/>
    <w:pPr>
      <w:ind w:firstLine="420" w:firstLineChars="200"/>
    </w:pPr>
    <w:rPr>
      <w:rFonts w:ascii="等线" w:hAnsi="等线" w:eastAsia="等线" w:cs="Times New Roman"/>
      <w:szCs w:val="22"/>
    </w:rPr>
  </w:style>
  <w:style w:type="paragraph" w:customStyle="1" w:styleId="142">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3">
    <w:name w:val="列表段落1"/>
    <w:basedOn w:val="1"/>
    <w:link w:val="165"/>
    <w:qFormat/>
    <w:uiPriority w:val="34"/>
    <w:pPr>
      <w:ind w:firstLine="420" w:firstLineChars="200"/>
    </w:pPr>
    <w:rPr>
      <w:rFonts w:ascii="Calibri" w:hAnsi="Calibri" w:eastAsia="宋体" w:cs="Times New Roman"/>
      <w:szCs w:val="22"/>
    </w:rPr>
  </w:style>
  <w:style w:type="paragraph" w:customStyle="1" w:styleId="144">
    <w:name w:val="reader-word-layer reader-word-s2-2"/>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145">
    <w:name w:val="网格型1"/>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6">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47">
    <w:name w:val="TOC 标题1"/>
    <w:basedOn w:val="2"/>
    <w:next w:val="1"/>
    <w:qFormat/>
    <w:uiPriority w:val="0"/>
    <w:pPr>
      <w:widowControl/>
      <w:numPr>
        <w:numId w:val="0"/>
      </w:numPr>
      <w:spacing w:before="480" w:after="0" w:line="276" w:lineRule="auto"/>
      <w:jc w:val="left"/>
      <w:outlineLvl w:val="9"/>
    </w:pPr>
    <w:rPr>
      <w:rFonts w:ascii="Cambria" w:hAnsi="Cambria" w:eastAsia="宋体" w:cs="Times New Roman"/>
      <w:bCs/>
      <w:color w:val="365F91"/>
      <w:kern w:val="0"/>
      <w:sz w:val="28"/>
      <w:szCs w:val="28"/>
    </w:rPr>
  </w:style>
  <w:style w:type="paragraph" w:customStyle="1" w:styleId="14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标号标题"/>
    <w:basedOn w:val="1"/>
    <w:qFormat/>
    <w:uiPriority w:val="0"/>
    <w:pPr>
      <w:widowControl/>
      <w:numPr>
        <w:ilvl w:val="0"/>
        <w:numId w:val="3"/>
      </w:numPr>
      <w:spacing w:line="360" w:lineRule="auto"/>
      <w:jc w:val="left"/>
    </w:pPr>
    <w:rPr>
      <w:rFonts w:ascii="Calibri" w:hAnsi="Calibri" w:eastAsia="宋体" w:cs="Times New Roman"/>
      <w:b/>
    </w:rPr>
  </w:style>
  <w:style w:type="paragraph" w:customStyle="1" w:styleId="152">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5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szCs w:val="22"/>
    </w:rPr>
  </w:style>
  <w:style w:type="paragraph" w:customStyle="1" w:styleId="154">
    <w:name w:val="样式 宋体 五号 行距: 单倍行距"/>
    <w:basedOn w:val="1"/>
    <w:qFormat/>
    <w:uiPriority w:val="0"/>
    <w:pPr>
      <w:adjustRightInd w:val="0"/>
      <w:jc w:val="left"/>
      <w:textAlignment w:val="baseline"/>
    </w:pPr>
    <w:rPr>
      <w:rFonts w:ascii="宋体" w:hAnsi="宋体" w:eastAsia="宋体" w:cs="Times New Roman"/>
      <w:kern w:val="0"/>
      <w:szCs w:val="22"/>
    </w:rPr>
  </w:style>
  <w:style w:type="paragraph" w:customStyle="1" w:styleId="155">
    <w:name w:val="Char1"/>
    <w:basedOn w:val="1"/>
    <w:qFormat/>
    <w:uiPriority w:val="0"/>
    <w:rPr>
      <w:rFonts w:ascii="Tahoma" w:hAnsi="Tahoma" w:eastAsia="宋体" w:cs="Times New Roman"/>
      <w:sz w:val="24"/>
      <w:szCs w:val="22"/>
    </w:rPr>
  </w:style>
  <w:style w:type="paragraph" w:customStyle="1" w:styleId="1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7">
    <w:name w:val="List Paragraph1"/>
    <w:basedOn w:val="1"/>
    <w:qFormat/>
    <w:uiPriority w:val="99"/>
    <w:pPr>
      <w:ind w:firstLine="420" w:firstLineChars="200"/>
    </w:pPr>
    <w:rPr>
      <w:rFonts w:ascii="Calibri" w:hAnsi="Calibri" w:eastAsia="宋体" w:cs="Times New Roman"/>
      <w:szCs w:val="21"/>
    </w:rPr>
  </w:style>
  <w:style w:type="table" w:customStyle="1" w:styleId="158">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59">
    <w:name w:val="param-name"/>
    <w:qFormat/>
    <w:uiPriority w:val="0"/>
  </w:style>
  <w:style w:type="character" w:customStyle="1" w:styleId="160">
    <w:name w:val="apple-converted-space"/>
    <w:qFormat/>
    <w:uiPriority w:val="0"/>
  </w:style>
  <w:style w:type="character" w:customStyle="1" w:styleId="161">
    <w:name w:val="font01"/>
    <w:basedOn w:val="46"/>
    <w:qFormat/>
    <w:uiPriority w:val="0"/>
    <w:rPr>
      <w:rFonts w:ascii="Times New Roman" w:hAnsi="Times New Roman" w:cs="Times New Roman"/>
      <w:color w:val="000000"/>
      <w:sz w:val="24"/>
      <w:szCs w:val="24"/>
      <w:u w:val="none"/>
    </w:rPr>
  </w:style>
  <w:style w:type="table" w:customStyle="1" w:styleId="162">
    <w:name w:val="网格型2"/>
    <w:basedOn w:val="4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3">
    <w:name w:val="普通(网站) 字符"/>
    <w:link w:val="39"/>
    <w:qFormat/>
    <w:locked/>
    <w:uiPriority w:val="0"/>
    <w:rPr>
      <w:rFonts w:asciiTheme="minorHAnsi" w:hAnsiTheme="minorHAnsi" w:eastAsiaTheme="minorEastAsia"/>
      <w:sz w:val="24"/>
      <w:szCs w:val="24"/>
    </w:rPr>
  </w:style>
  <w:style w:type="table" w:customStyle="1" w:styleId="164">
    <w:name w:val="网格型3"/>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5">
    <w:name w:val="列表段落 字符"/>
    <w:link w:val="143"/>
    <w:qFormat/>
    <w:uiPriority w:val="34"/>
    <w:rPr>
      <w:rFonts w:ascii="Calibri" w:hAnsi="Calibri"/>
      <w:kern w:val="2"/>
      <w:sz w:val="21"/>
      <w:szCs w:val="22"/>
    </w:rPr>
  </w:style>
  <w:style w:type="paragraph" w:customStyle="1" w:styleId="166">
    <w:name w:val="样式1"/>
    <w:basedOn w:val="1"/>
    <w:qFormat/>
    <w:uiPriority w:val="0"/>
    <w:pPr>
      <w:tabs>
        <w:tab w:val="left" w:pos="480"/>
      </w:tabs>
      <w:adjustRightInd w:val="0"/>
      <w:ind w:left="480" w:hanging="480"/>
      <w:textAlignment w:val="baseline"/>
    </w:pPr>
    <w:rPr>
      <w:rFonts w:ascii="宋体" w:hAnsi="宋体" w:eastAsia="宋体" w:cs="Times New Roman"/>
      <w:kern w:val="0"/>
      <w:szCs w:val="21"/>
    </w:rPr>
  </w:style>
  <w:style w:type="character" w:customStyle="1" w:styleId="167">
    <w:name w:val="0h Char"/>
    <w:basedOn w:val="46"/>
    <w:link w:val="168"/>
    <w:qFormat/>
    <w:locked/>
    <w:uiPriority w:val="99"/>
    <w:rPr>
      <w:rFonts w:ascii="宋体"/>
      <w:sz w:val="24"/>
      <w:szCs w:val="24"/>
    </w:rPr>
  </w:style>
  <w:style w:type="paragraph" w:customStyle="1" w:styleId="168">
    <w:name w:val="0h"/>
    <w:basedOn w:val="1"/>
    <w:link w:val="167"/>
    <w:qFormat/>
    <w:uiPriority w:val="99"/>
    <w:pPr>
      <w:spacing w:line="360" w:lineRule="auto"/>
      <w:ind w:firstLine="480" w:firstLineChars="200"/>
    </w:pPr>
    <w:rPr>
      <w:rFonts w:ascii="宋体" w:hAnsi="Times New Roman" w:eastAsia="宋体" w:cs="Times New Roman"/>
      <w:kern w:val="0"/>
      <w:sz w:val="24"/>
    </w:rPr>
  </w:style>
  <w:style w:type="paragraph" w:customStyle="1" w:styleId="169">
    <w:name w:val="p0"/>
    <w:basedOn w:val="1"/>
    <w:link w:val="170"/>
    <w:qFormat/>
    <w:uiPriority w:val="0"/>
    <w:pPr>
      <w:widowControl/>
    </w:pPr>
    <w:rPr>
      <w:rFonts w:ascii="Calibri" w:hAnsi="Calibri" w:eastAsia="宋体" w:cs="Times New Roman"/>
      <w:kern w:val="0"/>
      <w:szCs w:val="21"/>
    </w:rPr>
  </w:style>
  <w:style w:type="character" w:customStyle="1" w:styleId="170">
    <w:name w:val="p0 Char"/>
    <w:link w:val="169"/>
    <w:qFormat/>
    <w:uiPriority w:val="0"/>
    <w:rPr>
      <w:rFonts w:ascii="Calibri" w:hAnsi="Calibri"/>
      <w:sz w:val="21"/>
      <w:szCs w:val="21"/>
    </w:rPr>
  </w:style>
  <w:style w:type="character" w:customStyle="1" w:styleId="171">
    <w:name w:val="纯文本 Char1"/>
    <w:basedOn w:val="46"/>
    <w:semiHidden/>
    <w:qFormat/>
    <w:locked/>
    <w:uiPriority w:val="99"/>
    <w:rPr>
      <w:rFonts w:ascii="宋体" w:hAnsi="Courier New" w:eastAsia="宋体" w:cs="Courier New"/>
      <w:kern w:val="0"/>
      <w:sz w:val="20"/>
      <w:szCs w:val="21"/>
    </w:rPr>
  </w:style>
  <w:style w:type="paragraph" w:customStyle="1" w:styleId="172">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75">
    <w:name w:val="xl6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7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7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79">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rPr>
  </w:style>
  <w:style w:type="paragraph" w:customStyle="1" w:styleId="180">
    <w:name w:val="xl71"/>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kern w:val="0"/>
      <w:sz w:val="24"/>
    </w:rPr>
  </w:style>
  <w:style w:type="paragraph" w:customStyle="1" w:styleId="181">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eastAsia="宋体" w:cs="宋体"/>
      <w:color w:val="000000"/>
      <w:kern w:val="0"/>
      <w:sz w:val="24"/>
    </w:rPr>
  </w:style>
  <w:style w:type="paragraph" w:customStyle="1" w:styleId="182">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183">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rPr>
  </w:style>
  <w:style w:type="paragraph" w:customStyle="1" w:styleId="184">
    <w:name w:val="font7"/>
    <w:basedOn w:val="1"/>
    <w:qFormat/>
    <w:uiPriority w:val="0"/>
    <w:pPr>
      <w:widowControl/>
      <w:spacing w:before="100" w:beforeAutospacing="1" w:after="100" w:afterAutospacing="1"/>
      <w:jc w:val="left"/>
    </w:pPr>
    <w:rPr>
      <w:rFonts w:ascii="楷体" w:hAnsi="楷体" w:eastAsia="楷体" w:cs="宋体"/>
      <w:color w:val="000000"/>
      <w:kern w:val="0"/>
      <w:sz w:val="24"/>
    </w:rPr>
  </w:style>
  <w:style w:type="paragraph" w:customStyle="1" w:styleId="185">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rPr>
  </w:style>
  <w:style w:type="table" w:customStyle="1" w:styleId="186">
    <w:name w:val="网格型11"/>
    <w:basedOn w:val="4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List Paragraph_23798c66-ed1b-436f-b083-d3c6fb116711"/>
    <w:basedOn w:val="1"/>
    <w:qFormat/>
    <w:uiPriority w:val="34"/>
    <w:pPr>
      <w:ind w:firstLine="420" w:firstLineChars="200"/>
    </w:pPr>
    <w:rPr>
      <w:rFonts w:ascii="Calibri" w:hAnsi="Calibri" w:eastAsia="宋体" w:cs="Times New Roman"/>
      <w:szCs w:val="22"/>
    </w:rPr>
  </w:style>
  <w:style w:type="character" w:customStyle="1" w:styleId="188">
    <w:name w:val="Body text|1_"/>
    <w:basedOn w:val="46"/>
    <w:link w:val="189"/>
    <w:qFormat/>
    <w:uiPriority w:val="0"/>
    <w:rPr>
      <w:rFonts w:ascii="宋体" w:hAnsi="宋体" w:cs="宋体"/>
      <w:sz w:val="19"/>
      <w:szCs w:val="19"/>
      <w:lang w:val="zh-TW" w:eastAsia="zh-TW" w:bidi="zh-TW"/>
    </w:rPr>
  </w:style>
  <w:style w:type="paragraph" w:customStyle="1" w:styleId="189">
    <w:name w:val="Body text|1"/>
    <w:basedOn w:val="1"/>
    <w:link w:val="188"/>
    <w:qFormat/>
    <w:uiPriority w:val="0"/>
    <w:pPr>
      <w:spacing w:line="480" w:lineRule="auto"/>
      <w:ind w:firstLine="400"/>
      <w:jc w:val="left"/>
    </w:pPr>
    <w:rPr>
      <w:rFonts w:ascii="宋体" w:hAnsi="宋体" w:eastAsia="宋体" w:cs="宋体"/>
      <w:kern w:val="0"/>
      <w:sz w:val="19"/>
      <w:szCs w:val="19"/>
      <w:lang w:val="zh-TW" w:eastAsia="zh-TW" w:bidi="zh-TW"/>
    </w:rPr>
  </w:style>
  <w:style w:type="paragraph" w:customStyle="1" w:styleId="19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table" w:customStyle="1" w:styleId="191">
    <w:name w:val="Table Normal1"/>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92">
    <w:name w:val="*正文"/>
    <w:basedOn w:val="1"/>
    <w:qFormat/>
    <w:uiPriority w:val="0"/>
    <w:pPr>
      <w:spacing w:line="360" w:lineRule="auto"/>
    </w:pPr>
    <w:rPr>
      <w:rFonts w:ascii="Calibri" w:hAnsi="宋体" w:eastAsia="仿宋" w:cs="宋体"/>
      <w:kern w:val="0"/>
      <w:sz w:val="28"/>
      <w:szCs w:val="32"/>
    </w:rPr>
  </w:style>
  <w:style w:type="paragraph" w:customStyle="1" w:styleId="193">
    <w:name w:val="方案正文"/>
    <w:basedOn w:val="1"/>
    <w:qFormat/>
    <w:uiPriority w:val="0"/>
    <w:pPr>
      <w:ind w:firstLine="643" w:firstLineChars="200"/>
      <w:jc w:val="left"/>
    </w:pPr>
    <w:rPr>
      <w:rFonts w:ascii="仿宋_GB2312" w:hAnsi="仿宋" w:eastAsia="宋体" w:cs="仿宋"/>
      <w:sz w:val="28"/>
      <w:szCs w:val="32"/>
    </w:rPr>
  </w:style>
  <w:style w:type="paragraph" w:customStyle="1" w:styleId="194">
    <w:name w:val="玖3"/>
    <w:basedOn w:val="4"/>
    <w:next w:val="1"/>
    <w:qFormat/>
    <w:uiPriority w:val="0"/>
    <w:pPr>
      <w:tabs>
        <w:tab w:val="left" w:pos="360"/>
      </w:tabs>
      <w:autoSpaceDE/>
      <w:autoSpaceDN/>
      <w:spacing w:before="0" w:line="416" w:lineRule="atLeast"/>
      <w:ind w:left="480"/>
      <w:jc w:val="both"/>
      <w:textAlignment w:val="baseline"/>
    </w:pPr>
    <w:rPr>
      <w:rFonts w:ascii="微软雅黑" w:hAnsi="微软雅黑" w:eastAsia="微软雅黑" w:cs="Times"/>
      <w:szCs w:val="28"/>
      <w:u w:val="none"/>
    </w:rPr>
  </w:style>
  <w:style w:type="paragraph" w:customStyle="1" w:styleId="195">
    <w:name w:val="BodyText1I"/>
    <w:basedOn w:val="1"/>
    <w:qFormat/>
    <w:uiPriority w:val="0"/>
    <w:pPr>
      <w:widowControl/>
      <w:spacing w:before="156" w:line="360" w:lineRule="auto"/>
      <w:ind w:firstLine="200" w:firstLineChars="200"/>
      <w:textAlignment w:val="baseline"/>
    </w:pPr>
    <w:rPr>
      <w:rFonts w:ascii="仿宋_GB2312" w:hAnsi="Times New Roman" w:eastAsia="仿宋_GB2312" w:cs="Times New Roman"/>
      <w:sz w:val="30"/>
      <w:szCs w:val="30"/>
    </w:rPr>
  </w:style>
  <w:style w:type="character" w:customStyle="1" w:styleId="196">
    <w:name w:val="副标题 字符"/>
    <w:basedOn w:val="46"/>
    <w:link w:val="32"/>
    <w:qFormat/>
    <w:uiPriority w:val="0"/>
    <w:rPr>
      <w:rFonts w:ascii="Cambria" w:hAnsi="Cambria"/>
      <w:b/>
      <w:bCs/>
      <w:kern w:val="28"/>
      <w:sz w:val="32"/>
      <w:szCs w:val="32"/>
    </w:rPr>
  </w:style>
  <w:style w:type="character" w:customStyle="1" w:styleId="197">
    <w:name w:val="标题 字符"/>
    <w:basedOn w:val="46"/>
    <w:link w:val="40"/>
    <w:qFormat/>
    <w:uiPriority w:val="0"/>
    <w:rPr>
      <w:rFonts w:ascii="Cambria" w:hAnsi="Cambria"/>
      <w:b/>
      <w:bCs/>
      <w:kern w:val="2"/>
      <w:sz w:val="32"/>
      <w:szCs w:val="32"/>
    </w:rPr>
  </w:style>
  <w:style w:type="character" w:customStyle="1" w:styleId="198">
    <w:name w:val="标题5 Char Char"/>
    <w:link w:val="199"/>
    <w:qFormat/>
    <w:uiPriority w:val="0"/>
    <w:rPr>
      <w:rFonts w:ascii="Arial" w:hAnsi="Arial"/>
      <w:b/>
      <w:bCs/>
      <w:sz w:val="24"/>
      <w:szCs w:val="32"/>
    </w:rPr>
  </w:style>
  <w:style w:type="paragraph" w:customStyle="1" w:styleId="199">
    <w:name w:val="标题5"/>
    <w:basedOn w:val="4"/>
    <w:link w:val="198"/>
    <w:qFormat/>
    <w:uiPriority w:val="0"/>
    <w:pPr>
      <w:autoSpaceDE/>
      <w:autoSpaceDN/>
      <w:adjustRightInd/>
      <w:spacing w:before="260" w:after="260" w:line="413" w:lineRule="auto"/>
      <w:jc w:val="both"/>
    </w:pPr>
    <w:rPr>
      <w:rFonts w:ascii="Arial" w:hAnsi="Arial" w:eastAsia="宋体" w:cs="Times New Roman"/>
      <w:bCs/>
      <w:szCs w:val="32"/>
      <w:u w:val="none"/>
    </w:rPr>
  </w:style>
  <w:style w:type="character" w:customStyle="1" w:styleId="200">
    <w:name w:val="标题4 Char Char"/>
    <w:link w:val="201"/>
    <w:qFormat/>
    <w:uiPriority w:val="0"/>
    <w:rPr>
      <w:rFonts w:ascii="Arial" w:hAnsi="Arial"/>
      <w:b/>
      <w:bCs/>
      <w:sz w:val="24"/>
      <w:szCs w:val="32"/>
    </w:rPr>
  </w:style>
  <w:style w:type="paragraph" w:customStyle="1" w:styleId="201">
    <w:name w:val="标题4"/>
    <w:basedOn w:val="3"/>
    <w:next w:val="19"/>
    <w:link w:val="200"/>
    <w:qFormat/>
    <w:uiPriority w:val="0"/>
    <w:pPr>
      <w:keepNext/>
      <w:keepLines/>
      <w:spacing w:before="260" w:beforeAutospacing="0" w:after="260" w:afterAutospacing="0" w:line="413" w:lineRule="auto"/>
      <w:jc w:val="both"/>
    </w:pPr>
    <w:rPr>
      <w:rFonts w:hint="default" w:ascii="Arial" w:hAnsi="Arial"/>
      <w:sz w:val="24"/>
      <w:szCs w:val="32"/>
    </w:rPr>
  </w:style>
  <w:style w:type="character" w:customStyle="1" w:styleId="202">
    <w:name w:val="明显引用 字符"/>
    <w:link w:val="203"/>
    <w:qFormat/>
    <w:uiPriority w:val="0"/>
    <w:rPr>
      <w:b/>
      <w:bCs/>
      <w:i/>
      <w:iCs/>
      <w:color w:val="4F81BD"/>
    </w:rPr>
  </w:style>
  <w:style w:type="paragraph" w:styleId="203">
    <w:name w:val="Intense Quote"/>
    <w:basedOn w:val="1"/>
    <w:next w:val="1"/>
    <w:link w:val="202"/>
    <w:qFormat/>
    <w:uiPriority w:val="0"/>
    <w:pPr>
      <w:pBdr>
        <w:bottom w:val="single" w:color="4F81BD" w:sz="4" w:space="4"/>
      </w:pBdr>
      <w:spacing w:before="200" w:after="280"/>
      <w:ind w:left="936" w:right="936"/>
    </w:pPr>
    <w:rPr>
      <w:rFonts w:ascii="Times New Roman" w:hAnsi="Times New Roman" w:eastAsia="宋体" w:cs="Times New Roman"/>
      <w:b/>
      <w:bCs/>
      <w:i/>
      <w:iCs/>
      <w:color w:val="4F81BD"/>
      <w:kern w:val="0"/>
      <w:sz w:val="20"/>
      <w:szCs w:val="20"/>
    </w:rPr>
  </w:style>
  <w:style w:type="character" w:customStyle="1" w:styleId="204">
    <w:name w:val="明显引用 Char1"/>
    <w:basedOn w:val="46"/>
    <w:qFormat/>
    <w:uiPriority w:val="99"/>
    <w:rPr>
      <w:rFonts w:asciiTheme="minorHAnsi" w:hAnsiTheme="minorHAnsi" w:eastAsiaTheme="minorEastAsia" w:cstheme="minorBidi"/>
      <w:i/>
      <w:iCs/>
      <w:color w:val="5B9BD5" w:themeColor="accent1"/>
      <w:kern w:val="2"/>
      <w:sz w:val="21"/>
      <w:szCs w:val="24"/>
      <w14:textFill>
        <w14:solidFill>
          <w14:schemeClr w14:val="accent1"/>
        </w14:solidFill>
      </w14:textFill>
    </w:rPr>
  </w:style>
  <w:style w:type="character" w:customStyle="1" w:styleId="205">
    <w:name w:val="明显参考1"/>
    <w:qFormat/>
    <w:uiPriority w:val="0"/>
    <w:rPr>
      <w:b/>
      <w:bCs/>
      <w:smallCaps/>
      <w:color w:val="C0504D"/>
      <w:spacing w:val="5"/>
      <w:u w:val="single"/>
    </w:rPr>
  </w:style>
  <w:style w:type="character" w:customStyle="1" w:styleId="206">
    <w:name w:val="日期 Char1"/>
    <w:qFormat/>
    <w:uiPriority w:val="0"/>
    <w:rPr>
      <w:kern w:val="2"/>
      <w:sz w:val="21"/>
      <w:szCs w:val="22"/>
    </w:rPr>
  </w:style>
  <w:style w:type="character" w:customStyle="1" w:styleId="207">
    <w:name w:val="书籍标题1"/>
    <w:qFormat/>
    <w:uiPriority w:val="0"/>
    <w:rPr>
      <w:b/>
      <w:bCs/>
      <w:smallCaps/>
      <w:spacing w:val="5"/>
    </w:rPr>
  </w:style>
  <w:style w:type="character" w:customStyle="1" w:styleId="208">
    <w:name w:val="正文文本 Char1"/>
    <w:qFormat/>
    <w:uiPriority w:val="0"/>
    <w:rPr>
      <w:kern w:val="2"/>
      <w:sz w:val="21"/>
      <w:szCs w:val="22"/>
    </w:rPr>
  </w:style>
  <w:style w:type="character" w:customStyle="1" w:styleId="209">
    <w:name w:val="批注主题 Char1"/>
    <w:qFormat/>
    <w:uiPriority w:val="0"/>
    <w:rPr>
      <w:b/>
      <w:bCs/>
      <w:kern w:val="2"/>
      <w:sz w:val="21"/>
      <w:szCs w:val="22"/>
    </w:rPr>
  </w:style>
  <w:style w:type="character" w:customStyle="1" w:styleId="210">
    <w:name w:val="不明显强调1"/>
    <w:qFormat/>
    <w:uiPriority w:val="0"/>
    <w:rPr>
      <w:i/>
      <w:iCs/>
      <w:color w:val="808080"/>
    </w:rPr>
  </w:style>
  <w:style w:type="character" w:customStyle="1" w:styleId="211">
    <w:name w:val="批注文字 Char Char"/>
    <w:qFormat/>
    <w:uiPriority w:val="0"/>
    <w:rPr>
      <w:rFonts w:ascii="宋体" w:hAnsi="Times New Roman" w:eastAsia="宋体" w:cs="Times New Roman"/>
      <w:sz w:val="28"/>
      <w:szCs w:val="20"/>
    </w:rPr>
  </w:style>
  <w:style w:type="character" w:customStyle="1" w:styleId="212">
    <w:name w:val="明显强调1"/>
    <w:qFormat/>
    <w:uiPriority w:val="0"/>
    <w:rPr>
      <w:b/>
      <w:bCs/>
      <w:i/>
      <w:iCs/>
      <w:color w:val="4F81BD"/>
    </w:rPr>
  </w:style>
  <w:style w:type="character" w:customStyle="1" w:styleId="213">
    <w:name w:val="textcontents"/>
    <w:qFormat/>
    <w:uiPriority w:val="0"/>
    <w:rPr>
      <w:rFonts w:cs="Times New Roman"/>
    </w:rPr>
  </w:style>
  <w:style w:type="character" w:customStyle="1" w:styleId="214">
    <w:name w:val="文档结构图 Char1"/>
    <w:qFormat/>
    <w:uiPriority w:val="0"/>
    <w:rPr>
      <w:rFonts w:ascii="宋体"/>
      <w:kern w:val="2"/>
      <w:sz w:val="18"/>
      <w:szCs w:val="18"/>
    </w:rPr>
  </w:style>
  <w:style w:type="character" w:customStyle="1" w:styleId="215">
    <w:name w:val="引用 字符"/>
    <w:link w:val="216"/>
    <w:qFormat/>
    <w:uiPriority w:val="0"/>
    <w:rPr>
      <w:i/>
      <w:iCs/>
      <w:color w:val="000000"/>
    </w:rPr>
  </w:style>
  <w:style w:type="paragraph" w:styleId="216">
    <w:name w:val="Quote"/>
    <w:basedOn w:val="1"/>
    <w:next w:val="1"/>
    <w:link w:val="215"/>
    <w:qFormat/>
    <w:uiPriority w:val="0"/>
    <w:rPr>
      <w:rFonts w:ascii="Times New Roman" w:hAnsi="Times New Roman" w:eastAsia="宋体" w:cs="Times New Roman"/>
      <w:i/>
      <w:iCs/>
      <w:color w:val="000000"/>
      <w:kern w:val="0"/>
      <w:sz w:val="20"/>
      <w:szCs w:val="20"/>
    </w:rPr>
  </w:style>
  <w:style w:type="character" w:customStyle="1" w:styleId="217">
    <w:name w:val="引用 Char1"/>
    <w:basedOn w:val="46"/>
    <w:qFormat/>
    <w:uiPriority w:val="99"/>
    <w:rPr>
      <w:rFonts w:asciiTheme="minorHAnsi" w:hAnsiTheme="minorHAnsi" w:eastAsiaTheme="minorEastAsia" w:cstheme="minorBidi"/>
      <w:i/>
      <w:iCs/>
      <w:color w:val="404040" w:themeColor="text1" w:themeTint="BF"/>
      <w:kern w:val="2"/>
      <w:sz w:val="21"/>
      <w:szCs w:val="24"/>
      <w14:textFill>
        <w14:solidFill>
          <w14:schemeClr w14:val="tx1">
            <w14:lumMod w14:val="75000"/>
            <w14:lumOff w14:val="25000"/>
          </w14:schemeClr>
        </w14:solidFill>
      </w14:textFill>
    </w:rPr>
  </w:style>
  <w:style w:type="character" w:customStyle="1" w:styleId="218">
    <w:name w:val="不明显参考1"/>
    <w:qFormat/>
    <w:uiPriority w:val="0"/>
    <w:rPr>
      <w:smallCaps/>
      <w:color w:val="C0504D"/>
      <w:u w:val="single"/>
    </w:rPr>
  </w:style>
  <w:style w:type="paragraph" w:customStyle="1" w:styleId="219">
    <w:name w:val="样式 标题 3 + (中文) 黑体 小四 非加粗 段前: 7.8 磅 段后: 0 磅 行距: 固定值 20 磅"/>
    <w:basedOn w:val="4"/>
    <w:qFormat/>
    <w:uiPriority w:val="0"/>
    <w:pPr>
      <w:autoSpaceDE/>
      <w:autoSpaceDN/>
      <w:adjustRightInd/>
      <w:spacing w:before="0" w:after="0" w:line="400" w:lineRule="exact"/>
      <w:jc w:val="both"/>
    </w:pPr>
    <w:rPr>
      <w:rFonts w:ascii="Times New Roman" w:hAnsi="Times New Roman" w:eastAsia="黑体" w:cs="宋体"/>
      <w:b w:val="0"/>
      <w:kern w:val="2"/>
      <w:u w:val="none"/>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样式 标题 2 + Times New Roman 四号 非加粗 段前: 5 磅 段后: 0 磅 行距: 固定值 20..."/>
    <w:basedOn w:val="3"/>
    <w:qFormat/>
    <w:uiPriority w:val="0"/>
    <w:pPr>
      <w:keepNext/>
      <w:keepLines/>
      <w:spacing w:before="100" w:beforeAutospacing="0" w:afterAutospacing="0" w:line="400" w:lineRule="exact"/>
      <w:jc w:val="both"/>
    </w:pPr>
    <w:rPr>
      <w:rFonts w:hint="default" w:ascii="Times New Roman" w:hAnsi="Times New Roman" w:eastAsia="黑体" w:cs="宋体"/>
      <w:b w:val="0"/>
      <w:bCs w:val="0"/>
      <w:sz w:val="28"/>
      <w:szCs w:val="20"/>
    </w:rPr>
  </w:style>
  <w:style w:type="paragraph" w:customStyle="1" w:styleId="222">
    <w:name w:val="TOC 标题2"/>
    <w:basedOn w:val="2"/>
    <w:next w:val="1"/>
    <w:qFormat/>
    <w:uiPriority w:val="0"/>
    <w:pPr>
      <w:numPr>
        <w:numId w:val="0"/>
      </w:numPr>
      <w:jc w:val="both"/>
      <w:outlineLvl w:val="9"/>
    </w:pPr>
    <w:rPr>
      <w:rFonts w:ascii="Calibri" w:hAnsi="Calibri" w:eastAsia="宋体" w:cs="Times New Roman"/>
      <w:bCs/>
      <w:sz w:val="44"/>
      <w:szCs w:val="44"/>
    </w:rPr>
  </w:style>
  <w:style w:type="paragraph" w:customStyle="1" w:styleId="223">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224">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25">
    <w:name w:val="页脚_1_0"/>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26">
    <w:name w:val="font9"/>
    <w:basedOn w:val="1"/>
    <w:qFormat/>
    <w:uiPriority w:val="0"/>
    <w:pPr>
      <w:widowControl/>
      <w:spacing w:before="100" w:beforeAutospacing="1" w:after="100" w:afterAutospacing="1"/>
      <w:jc w:val="left"/>
    </w:pPr>
    <w:rPr>
      <w:rFonts w:ascii="宋体" w:hAnsi="宋体" w:eastAsia="宋体" w:cs="宋体"/>
      <w:b/>
      <w:bCs/>
      <w:color w:val="000000"/>
      <w:kern w:val="0"/>
      <w:sz w:val="24"/>
    </w:rPr>
  </w:style>
  <w:style w:type="paragraph" w:customStyle="1" w:styleId="227">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color w:val="FF0000"/>
      <w:kern w:val="0"/>
      <w:sz w:val="24"/>
    </w:rPr>
  </w:style>
  <w:style w:type="paragraph" w:customStyle="1" w:styleId="22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Times New Roman" w:hAnsi="Times New Roman" w:eastAsia="宋体" w:cs="Times New Roman"/>
      <w:kern w:val="0"/>
      <w:sz w:val="24"/>
    </w:rPr>
  </w:style>
  <w:style w:type="paragraph" w:customStyle="1" w:styleId="23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231">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232">
    <w:name w:val="xl79"/>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33">
    <w:name w:val="xl8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rPr>
  </w:style>
  <w:style w:type="paragraph" w:customStyle="1" w:styleId="2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rPr>
  </w:style>
  <w:style w:type="paragraph" w:customStyle="1" w:styleId="236">
    <w:name w:val="xl8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37">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38">
    <w:name w:val="xl85"/>
    <w:basedOn w:val="1"/>
    <w:qFormat/>
    <w:uiPriority w:val="0"/>
    <w:pPr>
      <w:widowControl/>
      <w:pBdr>
        <w:top w:val="single" w:color="auto" w:sz="4" w:space="0"/>
        <w:bottom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39">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color w:val="FF0000"/>
      <w:kern w:val="0"/>
      <w:sz w:val="24"/>
    </w:rPr>
  </w:style>
  <w:style w:type="paragraph" w:customStyle="1" w:styleId="240">
    <w:name w:val="xl8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color w:val="FF0000"/>
      <w:kern w:val="0"/>
      <w:sz w:val="24"/>
    </w:rPr>
  </w:style>
  <w:style w:type="paragraph" w:customStyle="1" w:styleId="241">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4"/>
    </w:rPr>
  </w:style>
  <w:style w:type="paragraph" w:customStyle="1" w:styleId="242">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3">
    <w:name w:val="xl9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4">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5">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46">
    <w:name w:val="xl93"/>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47">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48">
    <w:name w:val="xl95"/>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24"/>
    </w:rPr>
  </w:style>
  <w:style w:type="paragraph" w:customStyle="1" w:styleId="249">
    <w:name w:val="xl96"/>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0">
    <w:name w:val="xl97"/>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24"/>
    </w:rPr>
  </w:style>
  <w:style w:type="paragraph" w:customStyle="1" w:styleId="251">
    <w:name w:val="xl98"/>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2">
    <w:name w:val="xl99"/>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53">
    <w:name w:val="xl10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character" w:styleId="254">
    <w:name w:val="Placeholder Text"/>
    <w:basedOn w:val="46"/>
    <w:unhideWhenUsed/>
    <w:qFormat/>
    <w:uiPriority w:val="99"/>
    <w:rPr>
      <w:color w:val="808080"/>
    </w:rPr>
  </w:style>
  <w:style w:type="paragraph" w:customStyle="1" w:styleId="255">
    <w:name w:val="正文缩进1"/>
    <w:basedOn w:val="1"/>
    <w:qFormat/>
    <w:uiPriority w:val="0"/>
    <w:pPr>
      <w:tabs>
        <w:tab w:val="left" w:pos="7080"/>
      </w:tabs>
      <w:spacing w:line="360" w:lineRule="auto"/>
    </w:pPr>
    <w:rPr>
      <w:szCs w:val="21"/>
    </w:rPr>
  </w:style>
  <w:style w:type="paragraph" w:customStyle="1" w:styleId="256">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57">
    <w:name w:val="纯文本1"/>
    <w:basedOn w:val="1"/>
    <w:qFormat/>
    <w:uiPriority w:val="0"/>
    <w:rPr>
      <w:rFonts w:ascii="宋体" w:hAnsi="Courier New" w:eastAsia="宋体" w:cs="Times New Roman"/>
      <w:kern w:val="0"/>
      <w:sz w:val="20"/>
      <w:szCs w:val="20"/>
    </w:rPr>
  </w:style>
  <w:style w:type="paragraph" w:customStyle="1" w:styleId="258">
    <w:name w:val="UserStyle_4"/>
    <w:basedOn w:val="1"/>
    <w:qFormat/>
    <w:uiPriority w:val="0"/>
    <w:pPr>
      <w:widowControl/>
      <w:jc w:val="left"/>
      <w:textAlignment w:val="baseline"/>
    </w:pPr>
    <w:rPr>
      <w:rFonts w:ascii="宋体" w:hAnsi="宋体"/>
      <w:kern w:val="0"/>
      <w:sz w:val="22"/>
      <w:lang w:eastAsia="en-US"/>
    </w:rPr>
  </w:style>
  <w:style w:type="paragraph" w:customStyle="1" w:styleId="259">
    <w:name w:val="样式 首行缩进:  2 字符"/>
    <w:basedOn w:val="1"/>
    <w:qFormat/>
    <w:uiPriority w:val="99"/>
    <w:pPr>
      <w:ind w:firstLine="56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A839B-0616-4891-8716-05A789202BB6}">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19189</Words>
  <Characters>20161</Characters>
  <Lines>1159</Lines>
  <Paragraphs>1067</Paragraphs>
  <TotalTime>231</TotalTime>
  <ScaleCrop>false</ScaleCrop>
  <LinksUpToDate>false</LinksUpToDate>
  <CharactersWithSpaces>20392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2025-01-08T04:49:00Z</dcterms:created>
  <dc:creator>lihang</dc:creator>
  <cp:lastModifiedBy>RZSD</cp:lastModifiedBy>
  <cp:lastPrinted>2026-02-12T04:02:00Z</cp:lastPrinted>
  <dcterms:modified xsi:type="dcterms:W3CDTF">2026-05-08T07:16:19Z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98E3C589AA0240A3B6DFBCE2735F6F21_13</vt:lpwstr>
  </property>
  <property fmtid="{D5CDD505-2E9C-101B-9397-08002B2CF9AE}" pid="4" name="KSOTemplateDocerSaveRecord">
    <vt:lpwstr>eyJoZGlkIjoiMjJlZDVkZWU5OThkYzU5ZGZiNjE5OTVmYWY3ODRlNTkiLCJ1c2VySWQiOiIzNTc3NDI5MTQifQ==</vt:lpwstr>
  </property>
</Properties>
</file>