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CC55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b/>
          <w:bCs/>
          <w:color w:val="000000" w:themeColor="text1"/>
          <w:sz w:val="56"/>
          <w:szCs w:val="56"/>
          <w:lang w:val="en-US" w:eastAsia="zh-CN"/>
          <w14:textFill>
            <w14:solidFill>
              <w14:schemeClr w14:val="tx1"/>
            </w14:solidFill>
          </w14:textFill>
        </w:rPr>
      </w:pPr>
    </w:p>
    <w:p w14:paraId="7E27418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cs="宋体"/>
          <w:b/>
          <w:bCs/>
          <w:color w:val="000000" w:themeColor="text1"/>
          <w:sz w:val="56"/>
          <w:szCs w:val="56"/>
          <w:lang w:val="en-US" w:eastAsia="zh-CN"/>
          <w14:textFill>
            <w14:solidFill>
              <w14:schemeClr w14:val="tx1"/>
            </w14:solidFill>
          </w14:textFill>
        </w:rPr>
      </w:pPr>
      <w:r>
        <w:rPr>
          <w:rFonts w:hint="eastAsia" w:cs="宋体"/>
          <w:b/>
          <w:bCs/>
          <w:color w:val="000000" w:themeColor="text1"/>
          <w:sz w:val="56"/>
          <w:szCs w:val="56"/>
          <w:lang w:val="en-US" w:eastAsia="zh-CN"/>
          <w14:textFill>
            <w14:solidFill>
              <w14:schemeClr w14:val="tx1"/>
            </w14:solidFill>
          </w14:textFill>
        </w:rPr>
        <w:t>托克逊县伊拉湖镇康克村连栋大棚示范项目</w:t>
      </w:r>
    </w:p>
    <w:p w14:paraId="45D2F52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3B57B40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5161594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B44530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0FF4EB5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45CFF7A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宋体" w:hAnsi="宋体" w:eastAsia="宋体" w:cs="宋体"/>
          <w:bCs/>
          <w:sz w:val="50"/>
          <w:szCs w:val="44"/>
        </w:rPr>
      </w:pPr>
    </w:p>
    <w:p w14:paraId="6733124A">
      <w:pPr>
        <w:pStyle w:val="13"/>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宋体" w:hAnsi="宋体" w:eastAsia="宋体" w:cs="宋体"/>
          <w:b/>
          <w:bCs/>
          <w:color w:val="000000" w:themeColor="text1"/>
          <w:spacing w:val="200"/>
          <w:sz w:val="90"/>
          <w:szCs w:val="90"/>
          <w14:textFill>
            <w14:solidFill>
              <w14:schemeClr w14:val="tx1"/>
            </w14:solidFill>
          </w14:textFill>
        </w:rPr>
      </w:pPr>
      <w:r>
        <w:rPr>
          <w:rFonts w:hint="eastAsia" w:ascii="宋体" w:hAnsi="宋体" w:eastAsia="宋体" w:cs="宋体"/>
          <w:b/>
          <w:bCs/>
          <w:spacing w:val="200"/>
          <w:sz w:val="90"/>
          <w:szCs w:val="90"/>
        </w:rPr>
        <w:t>招标</w:t>
      </w:r>
      <w:r>
        <w:rPr>
          <w:rFonts w:hint="eastAsia" w:ascii="宋体" w:hAnsi="宋体" w:eastAsia="宋体" w:cs="宋体"/>
          <w:b/>
          <w:bCs/>
          <w:color w:val="000000" w:themeColor="text1"/>
          <w:spacing w:val="200"/>
          <w:sz w:val="90"/>
          <w:szCs w:val="90"/>
          <w14:textFill>
            <w14:solidFill>
              <w14:schemeClr w14:val="tx1"/>
            </w14:solidFill>
          </w14:textFill>
        </w:rPr>
        <w:t>文件</w:t>
      </w:r>
    </w:p>
    <w:p w14:paraId="7D2AC6A3">
      <w:pPr>
        <w:pStyle w:val="13"/>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宋体" w:cs="宋体"/>
          <w:b/>
          <w:color w:val="000000" w:themeColor="text1"/>
          <w:sz w:val="36"/>
          <w:szCs w:val="36"/>
          <w14:textFill>
            <w14:solidFill>
              <w14:schemeClr w14:val="tx1"/>
            </w14:solidFill>
          </w14:textFill>
        </w:rPr>
      </w:pPr>
    </w:p>
    <w:p w14:paraId="074B960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center"/>
        <w:textAlignment w:val="auto"/>
        <w:rPr>
          <w:rFonts w:hint="default" w:ascii="宋体" w:hAnsi="宋体" w:eastAsia="宋体" w:cs="宋体"/>
          <w:b/>
          <w:color w:val="auto"/>
          <w:sz w:val="36"/>
          <w:szCs w:val="36"/>
          <w:lang w:val="en-US" w:eastAsia="zh-CN"/>
        </w:rPr>
      </w:pPr>
      <w:r>
        <w:rPr>
          <w:rFonts w:hint="eastAsia" w:ascii="宋体" w:hAnsi="宋体" w:eastAsia="宋体" w:cs="宋体"/>
          <w:b/>
          <w:color w:val="auto"/>
          <w:sz w:val="36"/>
          <w:szCs w:val="36"/>
        </w:rPr>
        <w:t>项目编号：</w:t>
      </w:r>
      <w:r>
        <w:rPr>
          <w:rFonts w:hint="eastAsia" w:cs="宋体"/>
          <w:b/>
          <w:color w:val="auto"/>
          <w:sz w:val="36"/>
          <w:szCs w:val="36"/>
          <w:lang w:val="en-US" w:eastAsia="zh-CN"/>
        </w:rPr>
        <w:t>TKXZFCG(GK)HYTH2026-030</w:t>
      </w:r>
    </w:p>
    <w:p w14:paraId="10F325B6">
      <w:pPr>
        <w:pStyle w:val="13"/>
        <w:keepNext w:val="0"/>
        <w:keepLines w:val="0"/>
        <w:pageBreakBefore w:val="0"/>
        <w:widowControl w:val="0"/>
        <w:kinsoku/>
        <w:wordWrap/>
        <w:overflowPunct/>
        <w:topLinePunct w:val="0"/>
        <w:autoSpaceDE/>
        <w:autoSpaceDN/>
        <w:bidi w:val="0"/>
        <w:spacing w:line="600" w:lineRule="exact"/>
        <w:jc w:val="center"/>
        <w:textAlignment w:val="auto"/>
        <w:rPr>
          <w:rFonts w:hint="default" w:ascii="宋体" w:hAnsi="宋体" w:eastAsia="宋体" w:cs="宋体"/>
          <w:b/>
          <w:color w:val="000000" w:themeColor="text1"/>
          <w:sz w:val="36"/>
          <w:szCs w:val="36"/>
          <w:lang w:val="en-US" w:eastAsia="zh-CN"/>
          <w14:textFill>
            <w14:solidFill>
              <w14:schemeClr w14:val="tx1"/>
            </w14:solidFill>
          </w14:textFill>
        </w:rPr>
      </w:pPr>
    </w:p>
    <w:p w14:paraId="7C94F35E">
      <w:pPr>
        <w:pStyle w:val="1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color w:val="auto"/>
        </w:rPr>
      </w:pPr>
    </w:p>
    <w:p w14:paraId="53274E7F">
      <w:pPr>
        <w:pStyle w:val="1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445168DE">
      <w:pPr>
        <w:pStyle w:val="13"/>
        <w:keepNext w:val="0"/>
        <w:keepLines w:val="0"/>
        <w:pageBreakBefore w:val="0"/>
        <w:widowControl w:val="0"/>
        <w:kinsoku/>
        <w:wordWrap/>
        <w:overflowPunct/>
        <w:topLinePunct w:val="0"/>
        <w:autoSpaceDE/>
        <w:autoSpaceDN/>
        <w:bidi w:val="0"/>
        <w:spacing w:line="600" w:lineRule="exact"/>
        <w:textAlignment w:val="auto"/>
        <w:rPr>
          <w:rFonts w:hint="eastAsia" w:ascii="宋体" w:hAnsi="宋体" w:eastAsia="宋体" w:cs="宋体"/>
          <w:bCs/>
        </w:rPr>
      </w:pPr>
    </w:p>
    <w:p w14:paraId="36619B2E">
      <w:pPr>
        <w:pStyle w:val="13"/>
        <w:keepNext w:val="0"/>
        <w:keepLines w:val="0"/>
        <w:pageBreakBefore w:val="0"/>
        <w:widowControl w:val="0"/>
        <w:kinsoku/>
        <w:wordWrap/>
        <w:overflowPunct/>
        <w:topLinePunct w:val="0"/>
        <w:autoSpaceDE/>
        <w:autoSpaceDN/>
        <w:bidi w:val="0"/>
        <w:spacing w:line="600" w:lineRule="exact"/>
        <w:jc w:val="both"/>
        <w:textAlignment w:val="auto"/>
        <w:rPr>
          <w:rFonts w:hint="eastAsia" w:ascii="宋体" w:hAnsi="宋体" w:eastAsia="宋体" w:cs="宋体"/>
          <w:kern w:val="0"/>
          <w:sz w:val="44"/>
          <w:szCs w:val="44"/>
        </w:rPr>
      </w:pPr>
    </w:p>
    <w:p w14:paraId="2FD5EB08">
      <w:pPr>
        <w:pStyle w:val="13"/>
        <w:pageBreakBefore w:val="0"/>
        <w:kinsoku/>
        <w:wordWrap/>
        <w:overflowPunct/>
        <w:topLinePunct w:val="0"/>
        <w:bidi w:val="0"/>
        <w:spacing w:line="400" w:lineRule="exact"/>
        <w:jc w:val="center"/>
        <w:rPr>
          <w:rFonts w:hint="eastAsia" w:ascii="宋体" w:hAnsi="宋体" w:eastAsia="宋体" w:cs="宋体"/>
          <w:kern w:val="0"/>
          <w:sz w:val="44"/>
          <w:szCs w:val="44"/>
        </w:rPr>
      </w:pPr>
    </w:p>
    <w:p w14:paraId="307355DD">
      <w:pPr>
        <w:pStyle w:val="13"/>
        <w:pageBreakBefore w:val="0"/>
        <w:kinsoku/>
        <w:wordWrap/>
        <w:overflowPunct/>
        <w:topLinePunct w:val="0"/>
        <w:bidi w:val="0"/>
        <w:spacing w:line="400" w:lineRule="exact"/>
        <w:jc w:val="center"/>
        <w:rPr>
          <w:rFonts w:hint="eastAsia" w:ascii="宋体" w:hAnsi="宋体" w:eastAsia="宋体" w:cs="宋体"/>
          <w:b/>
          <w:sz w:val="30"/>
          <w:szCs w:val="30"/>
        </w:rPr>
      </w:pPr>
    </w:p>
    <w:p w14:paraId="4CB462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6D55F1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pacing w:val="20"/>
          <w:sz w:val="28"/>
          <w:szCs w:val="28"/>
          <w:highlight w:val="none"/>
        </w:rPr>
      </w:pPr>
    </w:p>
    <w:p w14:paraId="379044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pacing w:val="20"/>
          <w:sz w:val="28"/>
          <w:szCs w:val="28"/>
          <w:highlight w:val="none"/>
          <w:lang w:eastAsia="zh-CN"/>
        </w:rPr>
      </w:pPr>
    </w:p>
    <w:p w14:paraId="6007D3E7">
      <w:pPr>
        <w:pStyle w:val="21"/>
        <w:keepNext w:val="0"/>
        <w:keepLines w:val="0"/>
        <w:pageBreakBefore w:val="0"/>
        <w:widowControl/>
        <w:suppressLineNumbers w:val="0"/>
        <w:kinsoku/>
        <w:wordWrap/>
        <w:overflowPunct/>
        <w:topLinePunct w:val="0"/>
        <w:autoSpaceDE/>
        <w:autoSpaceDN/>
        <w:bidi w:val="0"/>
        <w:adjustRightInd/>
        <w:snapToGrid/>
        <w:spacing w:line="340" w:lineRule="exact"/>
        <w:ind w:left="0" w:firstLine="1605" w:firstLineChars="500"/>
        <w:jc w:val="left"/>
        <w:textAlignment w:val="auto"/>
        <w:rPr>
          <w:rFonts w:hint="eastAsia" w:ascii="宋体" w:hAnsi="宋体" w:eastAsia="宋体" w:cs="宋体"/>
          <w:b/>
          <w:spacing w:val="20"/>
          <w:kern w:val="2"/>
          <w:sz w:val="28"/>
          <w:szCs w:val="28"/>
          <w:highlight w:val="none"/>
          <w:lang w:val="en-US" w:eastAsia="zh-CN" w:bidi="ar-SA"/>
        </w:rPr>
      </w:pPr>
      <w:r>
        <w:rPr>
          <w:rFonts w:hint="eastAsia" w:ascii="宋体" w:hAnsi="宋体" w:eastAsia="宋体" w:cs="宋体"/>
          <w:b/>
          <w:spacing w:val="20"/>
          <w:sz w:val="28"/>
          <w:szCs w:val="28"/>
          <w:highlight w:val="none"/>
          <w:lang w:eastAsia="zh-CN"/>
        </w:rPr>
        <w:t xml:space="preserve">采 购 </w:t>
      </w:r>
      <w:r>
        <w:rPr>
          <w:rFonts w:hint="eastAsia" w:ascii="宋体" w:hAnsi="宋体" w:eastAsia="宋体" w:cs="宋体"/>
          <w:b/>
          <w:spacing w:val="20"/>
          <w:kern w:val="2"/>
          <w:sz w:val="28"/>
          <w:szCs w:val="28"/>
          <w:highlight w:val="none"/>
          <w:lang w:val="en-US" w:eastAsia="zh-CN" w:bidi="ar-SA"/>
        </w:rPr>
        <w:t>人 ：</w:t>
      </w:r>
      <w:r>
        <w:rPr>
          <w:rFonts w:hint="eastAsia" w:cs="宋体"/>
          <w:b/>
          <w:spacing w:val="20"/>
          <w:kern w:val="2"/>
          <w:sz w:val="28"/>
          <w:szCs w:val="28"/>
          <w:highlight w:val="none"/>
          <w:lang w:val="en-US" w:eastAsia="zh-CN" w:bidi="ar-SA"/>
        </w:rPr>
        <w:t>托克逊县伊拉湖镇人民政府</w:t>
      </w:r>
      <w:r>
        <w:rPr>
          <w:rFonts w:hint="eastAsia" w:ascii="宋体" w:hAnsi="宋体" w:eastAsia="宋体" w:cs="宋体"/>
          <w:b/>
          <w:spacing w:val="20"/>
          <w:kern w:val="2"/>
          <w:sz w:val="28"/>
          <w:szCs w:val="28"/>
          <w:highlight w:val="none"/>
          <w:lang w:val="en-US" w:eastAsia="zh-CN" w:bidi="ar-SA"/>
        </w:rPr>
        <w:t> </w:t>
      </w:r>
    </w:p>
    <w:p w14:paraId="7AF78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sz w:val="28"/>
          <w:szCs w:val="28"/>
          <w:highlight w:val="none"/>
          <w:lang w:eastAsia="zh-CN"/>
        </w:rPr>
      </w:pPr>
      <w:r>
        <w:rPr>
          <w:rFonts w:hint="eastAsia" w:ascii="宋体" w:hAnsi="宋体" w:eastAsia="宋体" w:cs="宋体"/>
          <w:b/>
          <w:spacing w:val="20"/>
          <w:sz w:val="28"/>
          <w:szCs w:val="28"/>
          <w:highlight w:val="none"/>
        </w:rPr>
        <w:t xml:space="preserve">    </w:t>
      </w:r>
      <w:r>
        <w:rPr>
          <w:rFonts w:hint="eastAsia" w:ascii="宋体" w:hAnsi="宋体" w:eastAsia="宋体" w:cs="宋体"/>
          <w:b/>
          <w:spacing w:val="20"/>
          <w:sz w:val="28"/>
          <w:szCs w:val="28"/>
          <w:highlight w:val="none"/>
          <w:lang w:val="en-US" w:eastAsia="zh-CN"/>
        </w:rPr>
        <w:t xml:space="preserve">  </w:t>
      </w:r>
      <w:r>
        <w:rPr>
          <w:rFonts w:hint="eastAsia" w:ascii="宋体" w:hAnsi="宋体" w:eastAsia="宋体" w:cs="宋体"/>
          <w:b/>
          <w:spacing w:val="20"/>
          <w:sz w:val="28"/>
          <w:szCs w:val="28"/>
          <w:highlight w:val="none"/>
        </w:rPr>
        <w:t>招标代理机构：</w:t>
      </w:r>
      <w:r>
        <w:rPr>
          <w:rFonts w:hint="eastAsia" w:ascii="宋体" w:hAnsi="宋体" w:eastAsia="宋体" w:cs="宋体"/>
          <w:b/>
          <w:spacing w:val="20"/>
          <w:sz w:val="28"/>
          <w:szCs w:val="28"/>
          <w:highlight w:val="none"/>
          <w:lang w:eastAsia="zh-CN"/>
        </w:rPr>
        <w:t>新疆华域天恒工程管理有限公司</w:t>
      </w:r>
    </w:p>
    <w:p w14:paraId="21C81B58">
      <w:pPr>
        <w:pageBreakBefore w:val="0"/>
        <w:kinsoku/>
        <w:wordWrap/>
        <w:overflowPunct/>
        <w:topLinePunct w:val="0"/>
        <w:bidi w:val="0"/>
        <w:spacing w:line="400" w:lineRule="exact"/>
        <w:rPr>
          <w:rFonts w:hint="eastAsia" w:ascii="宋体" w:hAnsi="宋体" w:eastAsia="宋体" w:cs="宋体"/>
          <w:color w:val="000000"/>
          <w:kern w:val="0"/>
          <w:sz w:val="28"/>
          <w:szCs w:val="28"/>
          <w:highlight w:val="none"/>
        </w:rPr>
        <w:sectPr>
          <w:footerReference r:id="rId3" w:type="first"/>
          <w:pgSz w:w="11906" w:h="16838"/>
          <w:pgMar w:top="1134" w:right="1472" w:bottom="1134" w:left="1814" w:header="851" w:footer="992" w:gutter="0"/>
          <w:pgNumType w:fmt="decimal" w:start="1"/>
          <w:cols w:space="720" w:num="1"/>
          <w:titlePg/>
          <w:docGrid w:type="lines" w:linePitch="312" w:charSpace="0"/>
        </w:sectPr>
      </w:pPr>
    </w:p>
    <w:p w14:paraId="1594C63D">
      <w:pPr>
        <w:pStyle w:val="17"/>
        <w:tabs>
          <w:tab w:val="right" w:leader="dot" w:pos="8296"/>
        </w:tabs>
        <w:spacing w:line="1000" w:lineRule="exact"/>
        <w:jc w:val="center"/>
        <w:rPr>
          <w:rFonts w:hint="eastAsia" w:ascii="宋体" w:hAnsi="宋体" w:eastAsia="宋体" w:cs="宋体"/>
          <w:color w:val="auto"/>
          <w:sz w:val="44"/>
          <w:szCs w:val="48"/>
        </w:rPr>
      </w:pPr>
      <w:r>
        <w:rPr>
          <w:rFonts w:hint="eastAsia" w:ascii="宋体" w:hAnsi="宋体" w:eastAsia="宋体" w:cs="宋体"/>
          <w:color w:val="auto"/>
          <w:sz w:val="44"/>
          <w:szCs w:val="48"/>
        </w:rPr>
        <w:t>目  录</w:t>
      </w:r>
    </w:p>
    <w:p w14:paraId="27FA2B5D">
      <w:pPr>
        <w:pStyle w:val="17"/>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"_Toc44705269"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第一章 投标邀请（招标公告）</w:t>
      </w:r>
      <w:r>
        <w:rPr>
          <w:rStyle w:val="30"/>
          <w:rFonts w:hint="eastAsia" w:ascii="宋体" w:hAnsi="宋体" w:eastAsia="宋体" w:cs="宋体"/>
          <w:b w:val="0"/>
          <w:color w:val="auto"/>
          <w:w w:val="90"/>
          <w:sz w:val="32"/>
          <w:szCs w:val="32"/>
          <w:u w:val="none"/>
        </w:rPr>
        <w:tab/>
      </w:r>
      <w:r>
        <w:rPr>
          <w:rFonts w:hint="eastAsia" w:ascii="宋体" w:hAnsi="宋体" w:cs="宋体"/>
          <w:b w:val="0"/>
          <w:color w:val="auto"/>
          <w:sz w:val="32"/>
          <w:szCs w:val="32"/>
          <w:lang w:val="en-US" w:eastAsia="zh-CN"/>
        </w:rPr>
        <w:t>1</w:t>
      </w:r>
      <w:r>
        <w:rPr>
          <w:rFonts w:hint="eastAsia" w:ascii="宋体" w:hAnsi="宋体" w:eastAsia="宋体" w:cs="宋体"/>
          <w:b w:val="0"/>
          <w:color w:val="auto"/>
          <w:sz w:val="32"/>
          <w:szCs w:val="32"/>
        </w:rPr>
        <w:fldChar w:fldCharType="end"/>
      </w:r>
    </w:p>
    <w:p w14:paraId="60822A99">
      <w:pPr>
        <w:pStyle w:val="17"/>
        <w:tabs>
          <w:tab w:val="right" w:leader="dot" w:pos="8296"/>
        </w:tabs>
        <w:spacing w:line="1000" w:lineRule="exact"/>
        <w:rPr>
          <w:rFonts w:hint="eastAsia" w:ascii="宋体" w:hAnsi="宋体" w:eastAsia="宋体" w:cs="宋体"/>
          <w:b w:val="0"/>
          <w:bCs w:val="0"/>
          <w:caps w:val="0"/>
          <w:color w:val="auto"/>
          <w:sz w:val="32"/>
          <w:szCs w:val="32"/>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"_Toc44705270"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第二章 投标人须知前附表</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5</w:t>
      </w:r>
      <w:r>
        <w:rPr>
          <w:rFonts w:hint="eastAsia" w:ascii="宋体" w:hAnsi="宋体" w:eastAsia="宋体" w:cs="宋体"/>
          <w:b w:val="0"/>
          <w:color w:val="auto"/>
          <w:sz w:val="32"/>
          <w:szCs w:val="32"/>
        </w:rPr>
        <w:fldChar w:fldCharType="end"/>
      </w:r>
    </w:p>
    <w:p w14:paraId="2B37999A">
      <w:pPr>
        <w:pStyle w:val="17"/>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"_Toc44705271"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第三章 投标人须知</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1</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2</w:t>
      </w:r>
    </w:p>
    <w:p w14:paraId="6936FA47">
      <w:pPr>
        <w:pStyle w:val="17"/>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"_Toc44705272"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第四章 合同文本格式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lang w:val="en-US" w:eastAsia="zh-CN"/>
        </w:rPr>
        <w:t>2</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6</w:t>
      </w:r>
    </w:p>
    <w:p w14:paraId="2EB62852">
      <w:pPr>
        <w:pStyle w:val="17"/>
        <w:tabs>
          <w:tab w:val="right" w:leader="dot" w:pos="8296"/>
        </w:tabs>
        <w:spacing w:line="1000" w:lineRule="exact"/>
        <w:rPr>
          <w:rFonts w:hint="eastAsia"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"_Toc44705273"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第五章 采购需求</w:t>
      </w:r>
      <w:r>
        <w:rPr>
          <w:rFonts w:hint="eastAsia" w:ascii="宋体" w:hAnsi="宋体" w:eastAsia="宋体" w:cs="宋体"/>
          <w:b w:val="0"/>
          <w:color w:val="auto"/>
          <w:sz w:val="32"/>
          <w:szCs w:val="32"/>
        </w:rPr>
        <w:tab/>
      </w:r>
      <w:r>
        <w:rPr>
          <w:rFonts w:hint="eastAsia" w:ascii="宋体" w:hAnsi="宋体" w:cs="宋体"/>
          <w:b w:val="0"/>
          <w:color w:val="auto"/>
          <w:sz w:val="32"/>
          <w:szCs w:val="32"/>
          <w:lang w:val="en-US" w:eastAsia="zh-CN"/>
        </w:rPr>
        <w:t>3</w:t>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0</w:t>
      </w:r>
    </w:p>
    <w:p w14:paraId="469FEB29">
      <w:pPr>
        <w:pStyle w:val="17"/>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"_Toc44705274"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第六章 评标方法及评标标准</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41</w:t>
      </w:r>
    </w:p>
    <w:p w14:paraId="1EA00C18">
      <w:pPr>
        <w:pStyle w:val="17"/>
        <w:tabs>
          <w:tab w:val="right" w:leader="dot" w:pos="8296"/>
        </w:tabs>
        <w:spacing w:line="1000" w:lineRule="exact"/>
        <w:rPr>
          <w:rFonts w:hint="default" w:ascii="宋体" w:hAnsi="宋体" w:eastAsia="宋体" w:cs="宋体"/>
          <w:b w:val="0"/>
          <w:bCs w:val="0"/>
          <w:caps w:val="0"/>
          <w:color w:val="auto"/>
          <w:sz w:val="32"/>
          <w:szCs w:val="32"/>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"_Toc44705277" </w:instrText>
      </w:r>
      <w:r>
        <w:rPr>
          <w:rFonts w:hint="eastAsia" w:ascii="宋体" w:hAnsi="宋体" w:eastAsia="宋体" w:cs="宋体"/>
          <w:color w:val="auto"/>
        </w:rPr>
        <w:fldChar w:fldCharType="separate"/>
      </w:r>
      <w:r>
        <w:rPr>
          <w:rStyle w:val="30"/>
          <w:rFonts w:hint="eastAsia" w:ascii="宋体" w:hAnsi="宋体" w:eastAsia="宋体" w:cs="宋体"/>
          <w:b w:val="0"/>
          <w:color w:val="auto"/>
          <w:w w:val="90"/>
          <w:sz w:val="32"/>
          <w:szCs w:val="32"/>
          <w:u w:val="none"/>
        </w:rPr>
        <w:t>第七章 投标文件格式</w:t>
      </w:r>
      <w:r>
        <w:rPr>
          <w:rFonts w:hint="eastAsia" w:ascii="宋体" w:hAnsi="宋体" w:eastAsia="宋体" w:cs="宋体"/>
          <w:b w:val="0"/>
          <w:color w:val="auto"/>
          <w:sz w:val="32"/>
          <w:szCs w:val="32"/>
        </w:rPr>
        <w:tab/>
      </w:r>
      <w:r>
        <w:rPr>
          <w:rFonts w:hint="eastAsia" w:ascii="宋体" w:hAnsi="宋体" w:eastAsia="宋体" w:cs="宋体"/>
          <w:b w:val="0"/>
          <w:color w:val="auto"/>
          <w:sz w:val="32"/>
          <w:szCs w:val="32"/>
        </w:rPr>
        <w:fldChar w:fldCharType="end"/>
      </w:r>
      <w:r>
        <w:rPr>
          <w:rFonts w:hint="eastAsia" w:ascii="宋体" w:hAnsi="宋体" w:cs="宋体"/>
          <w:b w:val="0"/>
          <w:color w:val="auto"/>
          <w:sz w:val="32"/>
          <w:szCs w:val="32"/>
          <w:lang w:val="en-US" w:eastAsia="zh-CN"/>
        </w:rPr>
        <w:t>50</w:t>
      </w:r>
    </w:p>
    <w:p w14:paraId="2F22B2E6">
      <w:pPr>
        <w:pStyle w:val="4"/>
        <w:rPr>
          <w:rFonts w:hint="eastAsia" w:ascii="宋体" w:hAnsi="宋体" w:eastAsia="宋体" w:cs="宋体"/>
        </w:rPr>
      </w:pPr>
    </w:p>
    <w:p w14:paraId="7DCA2F37">
      <w:pPr>
        <w:pStyle w:val="4"/>
        <w:pageBreakBefore w:val="0"/>
        <w:kinsoku/>
        <w:wordWrap/>
        <w:overflowPunct/>
        <w:topLinePunct w:val="0"/>
        <w:bidi w:val="0"/>
        <w:spacing w:line="400" w:lineRule="exact"/>
        <w:rPr>
          <w:rFonts w:hint="eastAsia" w:ascii="宋体" w:hAnsi="宋体" w:eastAsia="宋体" w:cs="宋体"/>
        </w:rPr>
      </w:pPr>
    </w:p>
    <w:p w14:paraId="44DCCC29">
      <w:pPr>
        <w:pageBreakBefore w:val="0"/>
        <w:widowControl/>
        <w:shd w:val="clear" w:color="auto" w:fill="FFFFFF"/>
        <w:kinsoku/>
        <w:wordWrap/>
        <w:overflowPunct/>
        <w:topLinePunct w:val="0"/>
        <w:bidi w:val="0"/>
        <w:spacing w:line="400" w:lineRule="exact"/>
        <w:jc w:val="both"/>
        <w:rPr>
          <w:rFonts w:hint="eastAsia" w:ascii="宋体" w:hAnsi="宋体" w:eastAsia="宋体" w:cs="宋体"/>
          <w:b/>
          <w:bCs/>
          <w:kern w:val="0"/>
          <w:sz w:val="24"/>
          <w:highlight w:val="none"/>
        </w:rPr>
      </w:pPr>
    </w:p>
    <w:p w14:paraId="75E72B34">
      <w:pPr>
        <w:pStyle w:val="4"/>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2B61D15E">
      <w:pPr>
        <w:pStyle w:val="4"/>
        <w:pageBreakBefore w:val="0"/>
        <w:numPr>
          <w:ilvl w:val="0"/>
          <w:numId w:val="0"/>
        </w:numPr>
        <w:kinsoku/>
        <w:wordWrap/>
        <w:overflowPunct/>
        <w:topLinePunct w:val="0"/>
        <w:bidi w:val="0"/>
        <w:spacing w:line="400" w:lineRule="exact"/>
        <w:ind w:left="3046" w:leftChars="0"/>
        <w:outlineLvl w:val="0"/>
        <w:rPr>
          <w:rFonts w:hint="eastAsia" w:ascii="宋体" w:hAnsi="宋体" w:eastAsia="宋体" w:cs="宋体"/>
          <w:b/>
          <w:bCs/>
          <w:kern w:val="2"/>
          <w:sz w:val="36"/>
          <w:szCs w:val="36"/>
          <w:lang w:val="en-US" w:eastAsia="zh-CN" w:bidi="ar-SA"/>
        </w:rPr>
      </w:pPr>
    </w:p>
    <w:p w14:paraId="568426D3">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7F7BFCD7">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10D8017A">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61516F88">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110DA58C">
      <w:pPr>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2BBC4C7B">
      <w:pPr>
        <w:pStyle w:val="4"/>
        <w:pageBreakBefore w:val="0"/>
        <w:kinsoku/>
        <w:wordWrap/>
        <w:overflowPunct/>
        <w:topLinePunct w:val="0"/>
        <w:bidi w:val="0"/>
        <w:spacing w:line="400" w:lineRule="exact"/>
        <w:rPr>
          <w:rFonts w:hint="eastAsia" w:ascii="宋体" w:hAnsi="宋体" w:eastAsia="宋体" w:cs="宋体"/>
          <w:b/>
          <w:bCs/>
          <w:kern w:val="2"/>
          <w:sz w:val="36"/>
          <w:szCs w:val="36"/>
          <w:lang w:val="en-US" w:eastAsia="zh-CN" w:bidi="ar-SA"/>
        </w:rPr>
      </w:pPr>
    </w:p>
    <w:p w14:paraId="0CDD6777">
      <w:pPr>
        <w:pStyle w:val="22"/>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宋体" w:hAnsi="宋体" w:eastAsia="宋体" w:cs="宋体"/>
          <w:b/>
          <w:bCs/>
          <w:color w:val="auto"/>
          <w:w w:val="90"/>
          <w:sz w:val="36"/>
          <w:szCs w:val="36"/>
          <w:u w:val="none"/>
          <w:lang w:val="en-US" w:eastAsia="zh-CN"/>
        </w:rPr>
      </w:pPr>
    </w:p>
    <w:p w14:paraId="1578B52F">
      <w:pPr>
        <w:pStyle w:val="22"/>
        <w:pageBreakBefore w:val="0"/>
        <w:kinsoku/>
        <w:wordWrap/>
        <w:overflowPunct/>
        <w:topLinePunct w:val="0"/>
        <w:bidi w:val="0"/>
        <w:spacing w:beforeAutospacing="0" w:after="0" w:afterAutospacing="0" w:line="400" w:lineRule="exact"/>
        <w:jc w:val="center"/>
        <w:rPr>
          <w:rStyle w:val="30"/>
          <w:rFonts w:hint="eastAsia" w:ascii="宋体" w:hAnsi="宋体" w:cs="宋体"/>
          <w:b/>
          <w:bCs/>
          <w:color w:val="auto"/>
          <w:w w:val="90"/>
          <w:sz w:val="36"/>
          <w:szCs w:val="36"/>
          <w:u w:val="none"/>
          <w:lang w:val="en-US" w:eastAsia="zh-CN"/>
        </w:rPr>
        <w:sectPr>
          <w:footerReference r:id="rId4" w:type="default"/>
          <w:pgSz w:w="11906" w:h="16838"/>
          <w:pgMar w:top="1928" w:right="1531" w:bottom="1701" w:left="1531" w:header="851" w:footer="992" w:gutter="0"/>
          <w:pgNumType w:fmt="decimal" w:start="1"/>
          <w:cols w:space="720" w:num="1"/>
          <w:docGrid w:type="lines" w:linePitch="312" w:charSpace="0"/>
        </w:sectPr>
      </w:pPr>
    </w:p>
    <w:p w14:paraId="741E55CF">
      <w:pPr>
        <w:pStyle w:val="22"/>
        <w:pageBreakBefore w:val="0"/>
        <w:kinsoku/>
        <w:wordWrap/>
        <w:overflowPunct/>
        <w:topLinePunct w:val="0"/>
        <w:bidi w:val="0"/>
        <w:spacing w:beforeAutospacing="0" w:after="0" w:afterAutospacing="0" w:line="400" w:lineRule="exact"/>
        <w:jc w:val="center"/>
        <w:rPr>
          <w:rFonts w:hint="eastAsia" w:ascii="宋体" w:hAnsi="宋体" w:eastAsia="宋体" w:cs="宋体"/>
          <w:color w:val="000000"/>
          <w:kern w:val="0"/>
          <w:szCs w:val="24"/>
          <w:highlight w:val="none"/>
        </w:rPr>
      </w:pPr>
      <w:r>
        <w:rPr>
          <w:rStyle w:val="30"/>
          <w:rFonts w:hint="eastAsia" w:ascii="宋体" w:hAnsi="宋体" w:cs="宋体"/>
          <w:b/>
          <w:bCs/>
          <w:color w:val="auto"/>
          <w:w w:val="90"/>
          <w:sz w:val="36"/>
          <w:szCs w:val="36"/>
          <w:u w:val="none"/>
          <w:lang w:val="en-US" w:eastAsia="zh-CN"/>
        </w:rPr>
        <w:t xml:space="preserve">            </w:t>
      </w:r>
      <w:r>
        <w:rPr>
          <w:rStyle w:val="30"/>
          <w:rFonts w:hint="eastAsia" w:ascii="宋体" w:hAnsi="宋体" w:eastAsia="宋体" w:cs="宋体"/>
          <w:b/>
          <w:bCs/>
          <w:color w:val="auto"/>
          <w:w w:val="90"/>
          <w:sz w:val="36"/>
          <w:szCs w:val="36"/>
          <w:u w:val="none"/>
          <w:lang w:val="en-US" w:eastAsia="zh-CN"/>
        </w:rPr>
        <w:t>第一章 招标公告    </w:t>
      </w:r>
      <w:r>
        <w:rPr>
          <w:rFonts w:hint="eastAsia" w:ascii="宋体" w:hAnsi="宋体" w:eastAsia="宋体" w:cs="宋体"/>
          <w:b/>
          <w:bCs/>
          <w:kern w:val="2"/>
          <w:sz w:val="36"/>
          <w:szCs w:val="36"/>
          <w:lang w:val="en-US" w:eastAsia="zh-CN" w:bidi="ar-SA"/>
        </w:rPr>
        <w:t>   </w:t>
      </w:r>
      <w:r>
        <w:rPr>
          <w:rFonts w:hint="eastAsia" w:ascii="宋体" w:hAnsi="宋体" w:eastAsia="宋体" w:cs="宋体"/>
          <w:color w:val="000000"/>
          <w:kern w:val="0"/>
          <w:szCs w:val="24"/>
          <w:highlight w:val="none"/>
        </w:rPr>
        <w:t>     </w:t>
      </w:r>
    </w:p>
    <w:p w14:paraId="42575F8C">
      <w:pPr>
        <w:keepNext w:val="0"/>
        <w:keepLines w:val="0"/>
        <w:widowControl/>
        <w:suppressLineNumbers w:val="0"/>
        <w:pBdr>
          <w:bottom w:val="none" w:color="auto" w:sz="0" w:space="0"/>
        </w:pBdr>
        <w:spacing w:line="450" w:lineRule="atLeast"/>
        <w:jc w:val="center"/>
        <w:rPr>
          <w:rFonts w:hint="eastAsia" w:ascii="仿宋" w:hAnsi="仿宋" w:eastAsia="仿宋" w:cs="仿宋"/>
          <w:b/>
          <w:bCs/>
          <w:kern w:val="0"/>
          <w:sz w:val="36"/>
          <w:szCs w:val="36"/>
          <w:lang w:val="en-US" w:eastAsia="zh-CN" w:bidi="ar"/>
        </w:rPr>
      </w:pPr>
      <w:r>
        <w:rPr>
          <w:rFonts w:hint="eastAsia" w:ascii="仿宋" w:hAnsi="仿宋" w:eastAsia="仿宋" w:cs="仿宋"/>
          <w:b/>
          <w:bCs/>
          <w:kern w:val="0"/>
          <w:sz w:val="36"/>
          <w:szCs w:val="36"/>
          <w:lang w:val="en-US" w:eastAsia="zh-CN" w:bidi="ar"/>
        </w:rPr>
        <w:t>托克逊县伊拉湖镇康克村连栋大棚示范项目公开招标公告</w:t>
      </w:r>
    </w:p>
    <w:p w14:paraId="5750BD7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sz w:val="28"/>
          <w:szCs w:val="28"/>
        </w:rPr>
      </w:pPr>
      <w:r>
        <w:rPr>
          <w:rFonts w:ascii="仿宋" w:hAnsi="仿宋" w:eastAsia="仿宋" w:cs="仿宋"/>
          <w:sz w:val="28"/>
          <w:szCs w:val="28"/>
        </w:rPr>
        <w:t>项目概况</w:t>
      </w:r>
    </w:p>
    <w:p w14:paraId="03A713A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托克逊县伊拉湖镇康克村连栋大棚示范项目</w:t>
      </w:r>
      <w:r>
        <w:rPr>
          <w:rFonts w:hint="eastAsia" w:ascii="仿宋" w:hAnsi="仿宋" w:eastAsia="仿宋" w:cs="仿宋"/>
          <w:sz w:val="28"/>
          <w:szCs w:val="28"/>
        </w:rPr>
        <w:t>招标项目的潜在投标人应在政采云平</w:t>
      </w:r>
      <w:r>
        <w:rPr>
          <w:rFonts w:hint="eastAsia" w:ascii="仿宋" w:hAnsi="仿宋" w:eastAsia="仿宋" w:cs="仿宋"/>
          <w:color w:val="000000" w:themeColor="text1"/>
          <w:sz w:val="28"/>
          <w:szCs w:val="28"/>
          <w14:textFill>
            <w14:solidFill>
              <w14:schemeClr w14:val="tx1"/>
            </w14:solidFill>
          </w14:textFill>
        </w:rPr>
        <w:t>台线上获取招标文件，并</w:t>
      </w:r>
      <w:r>
        <w:rPr>
          <w:rFonts w:hint="eastAsia" w:ascii="仿宋" w:hAnsi="仿宋" w:eastAsia="仿宋" w:cs="仿宋"/>
          <w:color w:val="auto"/>
          <w:sz w:val="28"/>
          <w:szCs w:val="28"/>
          <w:lang w:val="en-US" w:eastAsia="zh-CN"/>
        </w:rPr>
        <w:t>于2026年06月01日17:00（北京时间）前递交投标文件。</w:t>
      </w:r>
    </w:p>
    <w:p w14:paraId="5AD06396">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8"/>
          <w:szCs w:val="28"/>
        </w:rPr>
      </w:pPr>
      <w:r>
        <w:rPr>
          <w:rStyle w:val="27"/>
          <w:rFonts w:ascii="黑体" w:hAnsi="宋体" w:eastAsia="黑体" w:cs="黑体"/>
          <w:color w:val="auto"/>
          <w:sz w:val="28"/>
          <w:szCs w:val="28"/>
        </w:rPr>
        <w:t>一、项目基本情况</w:t>
      </w:r>
    </w:p>
    <w:p w14:paraId="13BF646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val="en-US" w:eastAsia="zh-CN"/>
        </w:rPr>
        <w:t>：TKXZFCG(GK)HYTH2026-030</w:t>
      </w:r>
    </w:p>
    <w:p w14:paraId="61D460A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项目名称：托克逊县伊拉湖镇康克村连栋大棚示范项目</w:t>
      </w:r>
    </w:p>
    <w:p w14:paraId="4668D33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采购方式：公开招标</w:t>
      </w:r>
    </w:p>
    <w:p w14:paraId="4CFB77B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sz w:val="28"/>
          <w:szCs w:val="28"/>
          <w:lang w:val="en-US" w:eastAsia="zh-CN"/>
        </w:rPr>
        <w:t>预算金</w:t>
      </w:r>
      <w:r>
        <w:rPr>
          <w:rFonts w:hint="eastAsia" w:ascii="仿宋" w:hAnsi="仿宋" w:eastAsia="仿宋" w:cs="仿宋"/>
          <w:color w:val="000000" w:themeColor="text1"/>
          <w:sz w:val="28"/>
          <w:szCs w:val="28"/>
          <w:lang w:val="en-US" w:eastAsia="zh-CN"/>
          <w14:textFill>
            <w14:solidFill>
              <w14:schemeClr w14:val="tx1"/>
            </w14:solidFill>
          </w14:textFill>
        </w:rPr>
        <w:t>额（元）：2430000</w:t>
      </w:r>
    </w:p>
    <w:p w14:paraId="05E1B4A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最高限价（元）：2249900</w:t>
      </w:r>
    </w:p>
    <w:p w14:paraId="629A532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采购需求：</w:t>
      </w:r>
    </w:p>
    <w:p w14:paraId="3ADDEEC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标项一</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标项名称:托克逊县伊拉湖镇康克村连栋大棚示范项目</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数量:1</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预算金额（元）:</w:t>
      </w:r>
      <w:r>
        <w:rPr>
          <w:rFonts w:hint="eastAsia" w:ascii="仿宋" w:hAnsi="仿宋" w:eastAsia="仿宋" w:cs="仿宋"/>
          <w:color w:val="000000" w:themeColor="text1"/>
          <w:sz w:val="28"/>
          <w:szCs w:val="28"/>
          <w:lang w:val="en-US" w:eastAsia="zh-CN"/>
          <w14:textFill>
            <w14:solidFill>
              <w14:schemeClr w14:val="tx1"/>
            </w14:solidFill>
          </w14:textFill>
        </w:rPr>
        <w:t>2430000</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简要规格描述或项目基本</w:t>
      </w:r>
      <w:r>
        <w:rPr>
          <w:rFonts w:hint="eastAsia" w:ascii="仿宋" w:hAnsi="仿宋" w:eastAsia="仿宋" w:cs="仿宋"/>
          <w:color w:val="000000" w:themeColor="text1"/>
          <w:sz w:val="28"/>
          <w:szCs w:val="28"/>
          <w:lang w:val="en-US" w:eastAsia="zh-CN"/>
          <w14:textFill>
            <w14:solidFill>
              <w14:schemeClr w14:val="tx1"/>
            </w14:solidFill>
          </w14:textFill>
        </w:rPr>
        <w:t>概况介绍、用途：</w:t>
      </w:r>
      <w:r>
        <w:rPr>
          <w:rFonts w:hint="eastAsia" w:ascii="仿宋" w:hAnsi="仿宋" w:eastAsia="仿宋" w:cs="仿宋"/>
          <w:color w:val="auto"/>
          <w:sz w:val="28"/>
          <w:szCs w:val="28"/>
          <w:lang w:val="en-US" w:eastAsia="zh-CN"/>
        </w:rPr>
        <w:t>新建90亩连栋大棚及配套附属设施。</w:t>
      </w:r>
    </w:p>
    <w:p w14:paraId="46CC217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备注：</w:t>
      </w:r>
    </w:p>
    <w:p w14:paraId="0D45A37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合同履约期限：自合同签订之日起5个月。</w:t>
      </w:r>
    </w:p>
    <w:p w14:paraId="00D218D7">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560" w:firstLineChars="200"/>
        <w:jc w:val="lef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本项目（否）接受联合体投标。</w:t>
      </w:r>
    </w:p>
    <w:p w14:paraId="16D654E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sz w:val="28"/>
          <w:szCs w:val="28"/>
        </w:rPr>
      </w:pPr>
      <w:r>
        <w:rPr>
          <w:rStyle w:val="27"/>
          <w:rFonts w:ascii="黑体" w:hAnsi="宋体" w:eastAsia="黑体" w:cs="黑体"/>
          <w:sz w:val="28"/>
          <w:szCs w:val="28"/>
        </w:rPr>
        <w:t>二、申请人的资格要求：</w:t>
      </w:r>
    </w:p>
    <w:p w14:paraId="3B339B5E">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sz w:val="28"/>
          <w:szCs w:val="28"/>
        </w:rPr>
      </w:pPr>
      <w:r>
        <w:rPr>
          <w:rFonts w:hint="eastAsia" w:ascii="仿宋" w:hAnsi="仿宋" w:eastAsia="仿宋" w:cs="仿宋"/>
          <w:sz w:val="28"/>
          <w:szCs w:val="28"/>
        </w:rPr>
        <w:t>1.满足《中华人民共和国政府采购法》第二十二条规定；</w:t>
      </w:r>
    </w:p>
    <w:p w14:paraId="187C4842">
      <w:pPr>
        <w:keepNext w:val="0"/>
        <w:keepLines w:val="0"/>
        <w:pageBreakBefore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s="仿宋"/>
          <w:sz w:val="28"/>
          <w:szCs w:val="28"/>
        </w:rPr>
      </w:pPr>
      <w:r>
        <w:rPr>
          <w:rFonts w:hint="eastAsia" w:ascii="仿宋" w:hAnsi="仿宋" w:eastAsia="仿宋" w:cs="仿宋"/>
          <w:sz w:val="28"/>
          <w:szCs w:val="28"/>
        </w:rPr>
        <w:t>2.落实政府采购政策需满足的资格要求：标项</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i w:val="0"/>
          <w:iCs w:val="0"/>
          <w:caps w:val="0"/>
          <w:color w:val="auto"/>
          <w:spacing w:val="0"/>
          <w:sz w:val="28"/>
          <w:szCs w:val="28"/>
          <w:lang w:val="en-US" w:eastAsia="zh-CN"/>
        </w:rPr>
        <w:t>本项目专门面向中小企业；</w:t>
      </w:r>
    </w:p>
    <w:p w14:paraId="1BB4557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rFonts w:hint="eastAsia" w:eastAsia="仿宋"/>
          <w:color w:val="auto"/>
          <w:sz w:val="28"/>
          <w:szCs w:val="28"/>
          <w:lang w:eastAsia="zh-CN"/>
        </w:rPr>
      </w:pPr>
      <w:r>
        <w:rPr>
          <w:rFonts w:hint="eastAsia" w:ascii="仿宋" w:hAnsi="仿宋" w:eastAsia="仿宋" w:cs="仿宋"/>
          <w:color w:val="auto"/>
          <w:sz w:val="28"/>
          <w:szCs w:val="28"/>
        </w:rPr>
        <w:t>3.本项目的特定资格要求：标项</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：供应商须具备</w:t>
      </w:r>
      <w:r>
        <w:rPr>
          <w:rFonts w:hint="eastAsia" w:ascii="仿宋" w:hAnsi="仿宋" w:eastAsia="仿宋" w:cs="仿宋"/>
          <w:color w:val="auto"/>
          <w:sz w:val="28"/>
          <w:szCs w:val="28"/>
          <w:lang w:val="en-US" w:eastAsia="zh-CN"/>
        </w:rPr>
        <w:t>建筑工程施工总承包三级及以上资质或</w:t>
      </w:r>
      <w:r>
        <w:rPr>
          <w:rFonts w:hint="eastAsia" w:ascii="仿宋" w:hAnsi="仿宋" w:eastAsia="仿宋" w:cs="仿宋"/>
          <w:color w:val="auto"/>
          <w:sz w:val="28"/>
          <w:szCs w:val="28"/>
        </w:rPr>
        <w:t>钢结构工程专业承包</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级资质</w:t>
      </w:r>
      <w:r>
        <w:rPr>
          <w:rFonts w:hint="eastAsia" w:ascii="仿宋" w:hAnsi="仿宋" w:eastAsia="仿宋" w:cs="仿宋"/>
          <w:color w:val="auto"/>
          <w:sz w:val="28"/>
          <w:szCs w:val="28"/>
          <w:lang w:val="en-US" w:eastAsia="zh-CN"/>
        </w:rPr>
        <w:t>。</w:t>
      </w:r>
    </w:p>
    <w:p w14:paraId="1FF22899">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三、获取招标文件</w:t>
      </w:r>
    </w:p>
    <w:p w14:paraId="5EB42ACB">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时间：</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08</w:t>
      </w:r>
      <w:r>
        <w:rPr>
          <w:rFonts w:hint="eastAsia" w:ascii="仿宋" w:hAnsi="仿宋" w:eastAsia="仿宋" w:cs="仿宋"/>
          <w:color w:val="auto"/>
          <w:sz w:val="28"/>
          <w:szCs w:val="28"/>
        </w:rPr>
        <w:t>日至202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05</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日，每天上午</w:t>
      </w:r>
      <w:r>
        <w:rPr>
          <w:rFonts w:hint="eastAsia" w:ascii="仿宋" w:hAnsi="仿宋" w:eastAsia="仿宋" w:cs="仿宋"/>
          <w:color w:val="auto"/>
          <w:sz w:val="28"/>
          <w:szCs w:val="28"/>
          <w:lang w:val="en-US" w:eastAsia="zh-CN"/>
        </w:rPr>
        <w:t>09</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0至1</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0，下午1</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:30至</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0</w:t>
      </w:r>
      <w:r>
        <w:rPr>
          <w:rFonts w:hint="eastAsia" w:ascii="仿宋" w:hAnsi="仿宋" w:eastAsia="仿宋" w:cs="仿宋"/>
          <w:color w:val="auto"/>
          <w:sz w:val="28"/>
          <w:szCs w:val="28"/>
        </w:rPr>
        <w:t>0（北京时间，法定节假日除外）</w:t>
      </w:r>
    </w:p>
    <w:p w14:paraId="2D36AEA0">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地点：政采云平台线上</w:t>
      </w:r>
      <w:r>
        <w:rPr>
          <w:rFonts w:hint="eastAsia" w:ascii="仿宋" w:hAnsi="仿宋" w:eastAsia="仿宋" w:cs="仿宋"/>
          <w:color w:val="auto"/>
          <w:sz w:val="28"/>
          <w:szCs w:val="28"/>
          <w:lang w:val="en-US" w:eastAsia="zh-CN"/>
        </w:rPr>
        <w:t>获取</w:t>
      </w:r>
    </w:p>
    <w:p w14:paraId="09C1627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方式：供应商登录政采云平台https://w</w:t>
      </w:r>
      <w:r>
        <w:rPr>
          <w:rFonts w:hint="eastAsia" w:ascii="仿宋" w:hAnsi="仿宋" w:eastAsia="仿宋" w:cs="仿宋"/>
          <w:sz w:val="28"/>
          <w:szCs w:val="28"/>
        </w:rPr>
        <w:t>ww.zcygov.cn/在线申请获取采购文件（进入“项目采购”应用，在获取采购文件菜单中选择项目，申请获取采购文件）  </w:t>
      </w:r>
    </w:p>
    <w:p w14:paraId="16716FB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sz w:val="28"/>
          <w:szCs w:val="28"/>
        </w:rPr>
        <w:t>售价（元）：0</w:t>
      </w:r>
    </w:p>
    <w:p w14:paraId="42BDDC63">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color w:val="auto"/>
          <w:sz w:val="28"/>
          <w:szCs w:val="28"/>
        </w:rPr>
      </w:pPr>
      <w:r>
        <w:rPr>
          <w:rStyle w:val="27"/>
          <w:rFonts w:ascii="黑体" w:hAnsi="宋体" w:eastAsia="黑体" w:cs="黑体"/>
          <w:sz w:val="28"/>
          <w:szCs w:val="28"/>
        </w:rPr>
        <w:t>四、提交投标文件截止时</w:t>
      </w:r>
      <w:r>
        <w:rPr>
          <w:rStyle w:val="27"/>
          <w:rFonts w:ascii="黑体" w:hAnsi="宋体" w:eastAsia="黑体" w:cs="黑体"/>
          <w:color w:val="auto"/>
          <w:sz w:val="28"/>
          <w:szCs w:val="28"/>
        </w:rPr>
        <w:t>间、开标时间和地点</w:t>
      </w:r>
    </w:p>
    <w:p w14:paraId="725290C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提交投标文件截止时间：</w:t>
      </w:r>
      <w:r>
        <w:rPr>
          <w:rFonts w:hint="eastAsia" w:ascii="仿宋" w:hAnsi="仿宋" w:eastAsia="仿宋" w:cs="仿宋"/>
          <w:color w:val="auto"/>
          <w:sz w:val="28"/>
          <w:szCs w:val="28"/>
          <w:lang w:val="en-US" w:eastAsia="zh-CN"/>
        </w:rPr>
        <w:t>2026年06月01日17:00</w:t>
      </w:r>
      <w:r>
        <w:rPr>
          <w:rFonts w:hint="eastAsia" w:ascii="仿宋" w:hAnsi="仿宋" w:eastAsia="仿宋" w:cs="仿宋"/>
          <w:color w:val="auto"/>
          <w:sz w:val="28"/>
          <w:szCs w:val="28"/>
        </w:rPr>
        <w:t>（北京时间）</w:t>
      </w:r>
    </w:p>
    <w:p w14:paraId="580D7E8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投标地点：将响应文件上传至政采云平台https://www.zcygov.cn/对应位置（逾期未上传的或不符合规定的响应文件将被拒绝接收）。   </w:t>
      </w:r>
    </w:p>
    <w:p w14:paraId="27757975">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开标时间：</w:t>
      </w:r>
      <w:r>
        <w:rPr>
          <w:rFonts w:hint="eastAsia" w:ascii="仿宋" w:hAnsi="仿宋" w:eastAsia="仿宋" w:cs="仿宋"/>
          <w:color w:val="auto"/>
          <w:sz w:val="28"/>
          <w:szCs w:val="28"/>
          <w:lang w:val="en-US" w:eastAsia="zh-CN"/>
        </w:rPr>
        <w:t>2026年06月01日17:00</w:t>
      </w:r>
      <w:r>
        <w:rPr>
          <w:rFonts w:hint="eastAsia" w:ascii="仿宋" w:hAnsi="仿宋" w:eastAsia="仿宋" w:cs="仿宋"/>
          <w:color w:val="auto"/>
          <w:sz w:val="28"/>
          <w:szCs w:val="28"/>
        </w:rPr>
        <w:t>（北京时间）</w:t>
      </w:r>
    </w:p>
    <w:p w14:paraId="35980F5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开标地点：</w:t>
      </w:r>
      <w:r>
        <w:rPr>
          <w:rFonts w:ascii="仿宋" w:hAnsi="仿宋" w:eastAsia="仿宋" w:cs="仿宋"/>
          <w:i w:val="0"/>
          <w:iCs w:val="0"/>
          <w:caps w:val="0"/>
          <w:color w:val="auto"/>
          <w:spacing w:val="0"/>
          <w:sz w:val="27"/>
          <w:szCs w:val="27"/>
        </w:rPr>
        <w:t>投标人登录政采云平台https:/</w:t>
      </w:r>
      <w:r>
        <w:rPr>
          <w:rFonts w:ascii="仿宋" w:hAnsi="仿宋" w:eastAsia="仿宋" w:cs="仿宋"/>
          <w:i w:val="0"/>
          <w:iCs w:val="0"/>
          <w:caps w:val="0"/>
          <w:color w:val="000000"/>
          <w:spacing w:val="0"/>
          <w:sz w:val="27"/>
          <w:szCs w:val="27"/>
        </w:rPr>
        <w:t>/www.zcygov.cn/，进入“项目采购-开标评标-右边选择对应项目点击“进入项目”进入开标大厅。</w:t>
      </w:r>
      <w:r>
        <w:rPr>
          <w:rFonts w:hint="eastAsia" w:ascii="仿宋" w:hAnsi="仿宋" w:eastAsia="仿宋" w:cs="仿宋"/>
          <w:sz w:val="28"/>
          <w:szCs w:val="28"/>
        </w:rPr>
        <w:t>      </w:t>
      </w:r>
    </w:p>
    <w:p w14:paraId="37B762DC">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五、公告期限</w:t>
      </w:r>
    </w:p>
    <w:p w14:paraId="4127203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firstLine="420"/>
        <w:textAlignment w:val="auto"/>
        <w:rPr>
          <w:sz w:val="28"/>
          <w:szCs w:val="28"/>
        </w:rPr>
      </w:pPr>
      <w:r>
        <w:rPr>
          <w:rFonts w:hint="eastAsia" w:ascii="仿宋" w:hAnsi="仿宋" w:eastAsia="仿宋" w:cs="仿宋"/>
          <w:sz w:val="28"/>
          <w:szCs w:val="28"/>
        </w:rPr>
        <w:t>自本公告发布之日起5个工作日。</w:t>
      </w:r>
    </w:p>
    <w:p w14:paraId="07F31D6B">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8"/>
          <w:szCs w:val="28"/>
        </w:rPr>
      </w:pPr>
      <w:r>
        <w:rPr>
          <w:rStyle w:val="27"/>
          <w:rFonts w:ascii="黑体" w:hAnsi="宋体" w:eastAsia="黑体" w:cs="黑体"/>
          <w:sz w:val="28"/>
          <w:szCs w:val="28"/>
        </w:rPr>
        <w:t>六、其他补充事宜</w:t>
      </w:r>
    </w:p>
    <w:p w14:paraId="170C9803">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（1）本项目采用全流程不见面电子开评标，供应商需要使用CA加密设备，供应商可通过新疆数字证书认证中心官网（https://www.xjca.com.cn/）或下载“新疆政务通”APP自行进行申领。</w:t>
      </w:r>
    </w:p>
    <w:p w14:paraId="596DC4D6">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（2）本项目实行网上投标，采用加密电子投标响应文件(供应商须使用CA加密设备通过政采云电子投标客户端制作投标响应文件)。若供应商参与投标，自行承担投标一切费用。</w:t>
      </w:r>
    </w:p>
    <w:p w14:paraId="5DCF5A49">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（3）各投标人在开标前应确保成为新疆政府采购网正式注册入库供应商，并完成CA数字证书申领。因未注册入库、未办理CA数字证书等原因造成无法投标或投标失败等后果由供应商自行承担。</w:t>
      </w:r>
    </w:p>
    <w:p w14:paraId="1AF04201">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w:t>
      </w:r>
      <w:r>
        <w:rPr>
          <w:rFonts w:hint="eastAsia" w:ascii="仿宋" w:hAnsi="仿宋" w:eastAsia="仿宋" w:cs="仿宋"/>
          <w:i w:val="0"/>
          <w:iCs w:val="0"/>
          <w:caps w:val="0"/>
          <w:spacing w:val="0"/>
          <w:sz w:val="28"/>
          <w:szCs w:val="28"/>
          <w:lang w:val="en-US" w:eastAsia="zh-CN"/>
        </w:rPr>
        <w:t>95763</w:t>
      </w:r>
      <w:r>
        <w:rPr>
          <w:rFonts w:hint="eastAsia" w:ascii="仿宋" w:hAnsi="仿宋" w:eastAsia="仿宋" w:cs="仿宋"/>
          <w:i w:val="0"/>
          <w:iCs w:val="0"/>
          <w:caps w:val="0"/>
          <w:spacing w:val="0"/>
          <w:sz w:val="28"/>
          <w:szCs w:val="28"/>
        </w:rPr>
        <w:t>进行咨询。</w:t>
      </w:r>
    </w:p>
    <w:p w14:paraId="23B72C4B">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8"/>
          <w:szCs w:val="28"/>
          <w:lang w:eastAsia="zh-CN"/>
        </w:rPr>
      </w:pPr>
      <w:r>
        <w:rPr>
          <w:rFonts w:hint="eastAsia" w:ascii="仿宋" w:hAnsi="仿宋" w:eastAsia="仿宋" w:cs="仿宋"/>
          <w:i w:val="0"/>
          <w:iCs w:val="0"/>
          <w:caps w:val="0"/>
          <w:spacing w:val="0"/>
          <w:sz w:val="28"/>
          <w:szCs w:val="28"/>
        </w:rPr>
        <w:t>（5）投标人在开标时须使用制作加密电子投标响应文件所使用的CA锁及电脑，电脑须提前配置好浏览器，以便开标时解锁。如因供应商自身原因导致在规定时间</w:t>
      </w:r>
      <w:r>
        <w:rPr>
          <w:rFonts w:hint="eastAsia" w:ascii="仿宋" w:hAnsi="仿宋" w:eastAsia="仿宋" w:cs="仿宋"/>
          <w:i w:val="0"/>
          <w:iCs w:val="0"/>
          <w:caps w:val="0"/>
          <w:spacing w:val="0"/>
          <w:sz w:val="28"/>
          <w:szCs w:val="28"/>
          <w:lang w:val="en-US" w:eastAsia="zh-CN"/>
        </w:rPr>
        <w:t>30分钟</w:t>
      </w:r>
      <w:r>
        <w:rPr>
          <w:rFonts w:hint="eastAsia" w:ascii="仿宋" w:hAnsi="仿宋" w:eastAsia="仿宋" w:cs="仿宋"/>
          <w:i w:val="0"/>
          <w:iCs w:val="0"/>
          <w:caps w:val="0"/>
          <w:spacing w:val="0"/>
          <w:sz w:val="28"/>
          <w:szCs w:val="28"/>
        </w:rPr>
        <w:t>内无法正常解密的（如：浏览器故障、未安装相关驱动、网络故障、加密CA与解密CA不一致等），采购代理机构不予异常处理，视为供应商自动弃标。</w:t>
      </w:r>
    </w:p>
    <w:p w14:paraId="7B2B4AC1">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i w:val="0"/>
          <w:iCs w:val="0"/>
          <w:caps w:val="0"/>
          <w:spacing w:val="0"/>
          <w:sz w:val="28"/>
          <w:szCs w:val="28"/>
        </w:rPr>
      </w:pPr>
      <w:r>
        <w:rPr>
          <w:rFonts w:hint="eastAsia" w:ascii="仿宋" w:hAnsi="仿宋" w:eastAsia="仿宋" w:cs="仿宋"/>
          <w:i w:val="0"/>
          <w:iCs w:val="0"/>
          <w:caps w:val="0"/>
          <w:spacing w:val="0"/>
          <w:sz w:val="28"/>
          <w:szCs w:val="28"/>
        </w:rPr>
        <w:t>（6）投标人对不见面开评标系统的技术操作咨询，可通过https://edu.zcygov.cn/luban/xinjiang-e-biding自助查询，也可在政采云帮助中心常见问题解答和操作流程讲解视频中自助查询，网址为：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i w:val="0"/>
          <w:iCs w:val="0"/>
          <w:caps w:val="0"/>
          <w:spacing w:val="0"/>
          <w:sz w:val="28"/>
          <w:szCs w:val="28"/>
        </w:rPr>
        <w:fldChar w:fldCharType="begin"/>
      </w:r>
      <w:r>
        <w:rPr>
          <w:rFonts w:hint="eastAsia" w:ascii="仿宋" w:hAnsi="仿宋" w:eastAsia="仿宋" w:cs="仿宋"/>
          <w:i w:val="0"/>
          <w:iCs w:val="0"/>
          <w:caps w:val="0"/>
          <w:spacing w:val="0"/>
          <w:sz w:val="28"/>
          <w:szCs w:val="28"/>
        </w:rPr>
        <w:instrText xml:space="preserve"> HYPERLINK "https://service.zcygov.cn/#/help，\“项目采购\”—\“操作流程-电子招投标\”—\“政府采购项目电子交易管理操作指南-供应商\”版面获取操作指南，同时对自助查询无法解决的问题可通过政采云在线客服获取服务支持。" </w:instrText>
      </w:r>
      <w:r>
        <w:rPr>
          <w:rFonts w:hint="eastAsia" w:ascii="仿宋" w:hAnsi="仿宋" w:eastAsia="仿宋" w:cs="仿宋"/>
          <w:i w:val="0"/>
          <w:iCs w:val="0"/>
          <w:caps w:val="0"/>
          <w:spacing w:val="0"/>
          <w:sz w:val="28"/>
          <w:szCs w:val="28"/>
        </w:rPr>
        <w:fldChar w:fldCharType="separate"/>
      </w:r>
      <w:r>
        <w:rPr>
          <w:rFonts w:hint="eastAsia" w:ascii="仿宋" w:hAnsi="仿宋" w:eastAsia="仿宋" w:cs="仿宋"/>
          <w:i w:val="0"/>
          <w:iCs w:val="0"/>
          <w:caps w:val="0"/>
          <w:spacing w:val="0"/>
          <w:sz w:val="28"/>
          <w:szCs w:val="28"/>
        </w:rPr>
        <w:t>https://service.zcygov.cn/#/help，“项目采购”—“操作流程-电子招投标”—“政府采购项目电子交易管理操作指南-供应商”版面获取操作指南，同时对自助查询无法解决的问题可通过政采云在线客服获取服务支持。</w:t>
      </w:r>
      <w:r>
        <w:rPr>
          <w:rFonts w:hint="eastAsia" w:ascii="仿宋" w:hAnsi="仿宋" w:eastAsia="仿宋" w:cs="仿宋"/>
          <w:i w:val="0"/>
          <w:iCs w:val="0"/>
          <w:caps w:val="0"/>
          <w:spacing w:val="0"/>
          <w:sz w:val="28"/>
          <w:szCs w:val="28"/>
        </w:rPr>
        <w:fldChar w:fldCharType="end"/>
      </w:r>
    </w:p>
    <w:p w14:paraId="190702B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特别提示：</w:t>
      </w:r>
    </w:p>
    <w:p w14:paraId="691AE87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1、采购限额标准以上，200万元以下的货物和服务采购项目、400万元以下的工程采购项目，适宜由中小企业提供的，采购人应当专门面向中小企业采购。</w:t>
      </w:r>
    </w:p>
    <w:p w14:paraId="7AB2DDC4">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2、超过200万元的货物和服务采购项目，预留该部分采购项目预算总额的30%以上专门面向中小企业采购，其中预留给小微企业的比例不低于60%。</w:t>
      </w:r>
    </w:p>
    <w:p w14:paraId="1F1B0C11">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3、超过400万元的工程采购项目中适宜由中小企业提供的，预留该部分采购项目预算总额的40%以上专门面向中小企业采购，其中预留给小微企业的比例不低于60%。</w:t>
      </w:r>
    </w:p>
    <w:p w14:paraId="24F737E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57C88E8">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left="0" w:right="0"/>
        <w:textAlignment w:val="auto"/>
        <w:rPr>
          <w:rFonts w:hint="eastAsia" w:ascii="仿宋" w:hAnsi="仿宋" w:eastAsia="仿宋" w:cs="仿宋"/>
          <w:sz w:val="28"/>
          <w:szCs w:val="28"/>
        </w:rPr>
      </w:pPr>
      <w:r>
        <w:rPr>
          <w:rFonts w:hint="eastAsia" w:ascii="仿宋" w:hAnsi="仿宋" w:eastAsia="仿宋" w:cs="仿宋"/>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55322D8">
      <w:pPr>
        <w:pStyle w:val="21"/>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31"/>
          <w:szCs w:val="31"/>
        </w:rPr>
      </w:pPr>
      <w:r>
        <w:rPr>
          <w:rStyle w:val="27"/>
          <w:rFonts w:ascii="黑体" w:hAnsi="宋体" w:eastAsia="黑体" w:cs="黑体"/>
          <w:sz w:val="27"/>
          <w:szCs w:val="27"/>
        </w:rPr>
        <w:t>七、对本次采购提出询问，请按以下方式联系</w:t>
      </w:r>
    </w:p>
    <w:p w14:paraId="5CB8DC2B">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420"/>
        <w:textAlignment w:val="auto"/>
        <w:rPr>
          <w:rFonts w:hint="eastAsia" w:ascii="仿宋" w:hAnsi="仿宋" w:eastAsia="仿宋" w:cs="仿宋"/>
          <w:sz w:val="28"/>
          <w:szCs w:val="28"/>
        </w:rPr>
      </w:pPr>
      <w:r>
        <w:rPr>
          <w:rFonts w:hint="eastAsia" w:ascii="仿宋" w:hAnsi="仿宋" w:eastAsia="仿宋" w:cs="仿宋"/>
          <w:i w:val="0"/>
          <w:iCs w:val="0"/>
          <w:caps w:val="0"/>
          <w:spacing w:val="0"/>
          <w:sz w:val="28"/>
          <w:szCs w:val="28"/>
        </w:rPr>
        <w:t>1.采购人信息</w:t>
      </w:r>
    </w:p>
    <w:p w14:paraId="51653600">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val="en-US" w:eastAsia="zh-CN"/>
        </w:rPr>
        <w:t>：</w:t>
      </w:r>
      <w:r>
        <w:rPr>
          <w:rFonts w:hint="eastAsia" w:ascii="仿宋" w:hAnsi="仿宋" w:eastAsia="仿宋" w:cs="仿宋"/>
          <w:i w:val="0"/>
          <w:iCs w:val="0"/>
          <w:caps w:val="0"/>
          <w:color w:val="000000"/>
          <w:spacing w:val="0"/>
          <w:sz w:val="28"/>
          <w:szCs w:val="28"/>
          <w:lang w:eastAsia="zh-CN"/>
        </w:rPr>
        <w:t>托克逊县伊拉湖镇人民政府</w:t>
      </w:r>
    </w:p>
    <w:p w14:paraId="53ACB734">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 xml:space="preserve">地 </w:t>
      </w:r>
      <w:r>
        <w:rPr>
          <w:rFonts w:hint="eastAsia" w:ascii="仿宋" w:hAnsi="仿宋" w:eastAsia="仿宋" w:cs="仿宋"/>
          <w:i w:val="0"/>
          <w:iCs w:val="0"/>
          <w:caps w:val="0"/>
          <w:color w:val="000000"/>
          <w:spacing w:val="0"/>
          <w:sz w:val="28"/>
          <w:szCs w:val="28"/>
          <w:lang w:val="en-US" w:eastAsia="zh-CN"/>
        </w:rPr>
        <w:t>址：托克逊县伊拉湖镇古勒巴格村1队</w:t>
      </w:r>
    </w:p>
    <w:p w14:paraId="019AE8D1">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：18149953854</w:t>
      </w:r>
    </w:p>
    <w:p w14:paraId="40AE83DE">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2.采购代理机构信息</w:t>
      </w:r>
    </w:p>
    <w:p w14:paraId="568C9E0A">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名 称：</w:t>
      </w:r>
      <w:r>
        <w:rPr>
          <w:rFonts w:hint="eastAsia" w:ascii="仿宋" w:hAnsi="仿宋" w:eastAsia="仿宋" w:cs="仿宋"/>
          <w:i w:val="0"/>
          <w:iCs w:val="0"/>
          <w:caps w:val="0"/>
          <w:color w:val="000000"/>
          <w:spacing w:val="0"/>
          <w:sz w:val="28"/>
          <w:szCs w:val="28"/>
          <w:lang w:eastAsia="zh-CN"/>
        </w:rPr>
        <w:t>新疆华域天恒工程管理有限公司</w:t>
      </w:r>
    </w:p>
    <w:p w14:paraId="29638A2B">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地 址：吐鲁番市高昌区示范区和平街11幢2层201号 </w:t>
      </w:r>
    </w:p>
    <w:p w14:paraId="158D2C74">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联系方式：</w:t>
      </w:r>
      <w:r>
        <w:rPr>
          <w:rFonts w:hint="eastAsia" w:ascii="仿宋" w:hAnsi="仿宋" w:eastAsia="仿宋" w:cs="仿宋"/>
          <w:i w:val="0"/>
          <w:iCs w:val="0"/>
          <w:caps w:val="0"/>
          <w:color w:val="000000"/>
          <w:spacing w:val="0"/>
          <w:sz w:val="28"/>
          <w:szCs w:val="28"/>
          <w:lang w:val="en-US" w:eastAsia="zh-CN"/>
        </w:rPr>
        <w:t>18590559920</w:t>
      </w:r>
    </w:p>
    <w:p w14:paraId="25B1A175">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3.项目联系方式</w:t>
      </w:r>
    </w:p>
    <w:p w14:paraId="0A4473F8">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val="en-US" w:eastAsia="zh-CN"/>
        </w:rPr>
      </w:pPr>
      <w:r>
        <w:rPr>
          <w:rFonts w:hint="eastAsia" w:ascii="仿宋" w:hAnsi="仿宋" w:eastAsia="仿宋" w:cs="仿宋"/>
          <w:i w:val="0"/>
          <w:iCs w:val="0"/>
          <w:caps w:val="0"/>
          <w:color w:val="000000"/>
          <w:spacing w:val="0"/>
          <w:sz w:val="28"/>
          <w:szCs w:val="28"/>
        </w:rPr>
        <w:t>项目联系人：</w:t>
      </w:r>
      <w:r>
        <w:rPr>
          <w:rFonts w:hint="eastAsia" w:ascii="仿宋" w:hAnsi="仿宋" w:eastAsia="仿宋" w:cs="仿宋"/>
          <w:i w:val="0"/>
          <w:iCs w:val="0"/>
          <w:caps w:val="0"/>
          <w:color w:val="000000"/>
          <w:spacing w:val="0"/>
          <w:sz w:val="28"/>
          <w:szCs w:val="28"/>
          <w:lang w:val="en-US" w:eastAsia="zh-CN"/>
        </w:rPr>
        <w:t>常瑞琪</w:t>
      </w:r>
    </w:p>
    <w:p w14:paraId="08C01F41">
      <w:pPr>
        <w:pStyle w:val="21"/>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rPr>
          <w:rFonts w:hint="eastAsia" w:ascii="仿宋" w:hAnsi="仿宋" w:eastAsia="仿宋" w:cs="仿宋"/>
          <w:i w:val="0"/>
          <w:iCs w:val="0"/>
          <w:caps w:val="0"/>
          <w:color w:val="000000"/>
          <w:spacing w:val="0"/>
          <w:sz w:val="28"/>
          <w:szCs w:val="28"/>
          <w:lang w:eastAsia="zh-CN"/>
        </w:rPr>
      </w:pPr>
      <w:r>
        <w:rPr>
          <w:rFonts w:hint="eastAsia" w:ascii="仿宋" w:hAnsi="仿宋" w:eastAsia="仿宋" w:cs="仿宋"/>
          <w:i w:val="0"/>
          <w:iCs w:val="0"/>
          <w:caps w:val="0"/>
          <w:color w:val="000000"/>
          <w:spacing w:val="0"/>
          <w:sz w:val="28"/>
          <w:szCs w:val="28"/>
        </w:rPr>
        <w:t>电 话：</w:t>
      </w:r>
      <w:r>
        <w:rPr>
          <w:rFonts w:hint="eastAsia" w:ascii="仿宋" w:hAnsi="仿宋" w:eastAsia="仿宋" w:cs="仿宋"/>
          <w:i w:val="0"/>
          <w:iCs w:val="0"/>
          <w:caps w:val="0"/>
          <w:color w:val="000000"/>
          <w:spacing w:val="0"/>
          <w:sz w:val="28"/>
          <w:szCs w:val="28"/>
          <w:lang w:val="en-US" w:eastAsia="zh-CN"/>
        </w:rPr>
        <w:t>18590559920</w:t>
      </w:r>
    </w:p>
    <w:p w14:paraId="763C7362">
      <w:pPr>
        <w:pStyle w:val="21"/>
        <w:keepNext w:val="0"/>
        <w:keepLines w:val="0"/>
        <w:pageBreakBefore w:val="0"/>
        <w:widowControl/>
        <w:suppressLineNumbers w:val="0"/>
        <w:kinsoku/>
        <w:wordWrap/>
        <w:overflowPunct/>
        <w:topLinePunct w:val="0"/>
        <w:autoSpaceDE/>
        <w:autoSpaceDN/>
        <w:bidi w:val="0"/>
        <w:adjustRightInd/>
        <w:snapToGrid/>
        <w:spacing w:line="340" w:lineRule="exact"/>
        <w:ind w:left="0" w:firstLine="420"/>
        <w:jc w:val="right"/>
        <w:textAlignment w:val="auto"/>
        <w:rPr>
          <w:rFonts w:hint="eastAsia" w:ascii="仿宋" w:hAnsi="仿宋" w:eastAsia="仿宋" w:cs="仿宋"/>
          <w:i w:val="0"/>
          <w:iCs w:val="0"/>
          <w:caps w:val="0"/>
          <w:color w:val="auto"/>
          <w:spacing w:val="0"/>
          <w:sz w:val="28"/>
          <w:szCs w:val="28"/>
          <w:lang w:eastAsia="zh-CN"/>
        </w:rPr>
      </w:pPr>
      <w:r>
        <w:rPr>
          <w:rFonts w:hint="eastAsia" w:ascii="仿宋" w:hAnsi="仿宋" w:eastAsia="仿宋" w:cs="仿宋"/>
          <w:i w:val="0"/>
          <w:iCs w:val="0"/>
          <w:caps w:val="0"/>
          <w:color w:val="auto"/>
          <w:spacing w:val="0"/>
          <w:sz w:val="28"/>
          <w:szCs w:val="28"/>
          <w:lang w:eastAsia="zh-CN"/>
        </w:rPr>
        <w:t>新疆华域天恒工程管理有限公司</w:t>
      </w:r>
    </w:p>
    <w:p w14:paraId="5F70A443">
      <w:pPr>
        <w:jc w:val="right"/>
      </w:pPr>
      <w:r>
        <w:rPr>
          <w:rFonts w:hint="eastAsia" w:ascii="仿宋" w:hAnsi="仿宋" w:eastAsia="仿宋" w:cs="仿宋"/>
          <w:i w:val="0"/>
          <w:iCs w:val="0"/>
          <w:caps w:val="0"/>
          <w:color w:val="auto"/>
          <w:spacing w:val="0"/>
          <w:sz w:val="28"/>
          <w:szCs w:val="28"/>
        </w:rPr>
        <w:t>202</w:t>
      </w:r>
      <w:r>
        <w:rPr>
          <w:rFonts w:hint="eastAsia" w:ascii="仿宋" w:hAnsi="仿宋" w:eastAsia="仿宋" w:cs="仿宋"/>
          <w:i w:val="0"/>
          <w:iCs w:val="0"/>
          <w:caps w:val="0"/>
          <w:color w:val="auto"/>
          <w:spacing w:val="0"/>
          <w:sz w:val="28"/>
          <w:szCs w:val="28"/>
          <w:lang w:val="en-US" w:eastAsia="zh-CN"/>
        </w:rPr>
        <w:t>6</w:t>
      </w:r>
      <w:r>
        <w:rPr>
          <w:rFonts w:hint="eastAsia" w:ascii="仿宋" w:hAnsi="仿宋" w:eastAsia="仿宋" w:cs="仿宋"/>
          <w:i w:val="0"/>
          <w:iCs w:val="0"/>
          <w:caps w:val="0"/>
          <w:color w:val="auto"/>
          <w:spacing w:val="0"/>
          <w:sz w:val="28"/>
          <w:szCs w:val="28"/>
        </w:rPr>
        <w:t>年</w:t>
      </w:r>
      <w:r>
        <w:rPr>
          <w:rFonts w:hint="eastAsia" w:ascii="仿宋" w:hAnsi="仿宋" w:eastAsia="仿宋" w:cs="仿宋"/>
          <w:i w:val="0"/>
          <w:iCs w:val="0"/>
          <w:caps w:val="0"/>
          <w:color w:val="auto"/>
          <w:spacing w:val="0"/>
          <w:sz w:val="28"/>
          <w:szCs w:val="28"/>
          <w:lang w:val="en-US" w:eastAsia="zh-CN"/>
        </w:rPr>
        <w:t>05</w:t>
      </w:r>
      <w:r>
        <w:rPr>
          <w:rFonts w:hint="eastAsia" w:ascii="仿宋" w:hAnsi="仿宋" w:eastAsia="仿宋" w:cs="仿宋"/>
          <w:i w:val="0"/>
          <w:iCs w:val="0"/>
          <w:caps w:val="0"/>
          <w:color w:val="auto"/>
          <w:spacing w:val="0"/>
          <w:sz w:val="28"/>
          <w:szCs w:val="28"/>
        </w:rPr>
        <w:t>月</w:t>
      </w:r>
      <w:r>
        <w:rPr>
          <w:rFonts w:hint="eastAsia" w:ascii="仿宋" w:hAnsi="仿宋" w:eastAsia="仿宋" w:cs="仿宋"/>
          <w:i w:val="0"/>
          <w:iCs w:val="0"/>
          <w:caps w:val="0"/>
          <w:color w:val="auto"/>
          <w:spacing w:val="0"/>
          <w:sz w:val="28"/>
          <w:szCs w:val="28"/>
          <w:lang w:val="en-US" w:eastAsia="zh-CN"/>
        </w:rPr>
        <w:t>08</w:t>
      </w:r>
      <w:r>
        <w:rPr>
          <w:rFonts w:hint="eastAsia" w:ascii="仿宋" w:hAnsi="仿宋" w:eastAsia="仿宋" w:cs="仿宋"/>
          <w:i w:val="0"/>
          <w:iCs w:val="0"/>
          <w:caps w:val="0"/>
          <w:color w:val="auto"/>
          <w:spacing w:val="0"/>
          <w:sz w:val="28"/>
          <w:szCs w:val="28"/>
        </w:rPr>
        <w:t>日</w:t>
      </w:r>
    </w:p>
    <w:p w14:paraId="2E05FAB3">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p>
    <w:p w14:paraId="44126020">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p>
    <w:p w14:paraId="3913CEE4">
      <w:pPr>
        <w:pStyle w:val="22"/>
        <w:pageBreakBefore w:val="0"/>
        <w:kinsoku/>
        <w:wordWrap/>
        <w:overflowPunct/>
        <w:topLinePunct w:val="0"/>
        <w:bidi w:val="0"/>
        <w:spacing w:beforeAutospacing="0" w:after="0" w:afterAutospacing="0" w:line="400" w:lineRule="exact"/>
        <w:ind w:left="0" w:leftChars="0" w:firstLine="0" w:firstLineChars="0"/>
        <w:jc w:val="both"/>
        <w:rPr>
          <w:rStyle w:val="30"/>
          <w:rFonts w:hint="eastAsia" w:ascii="宋体" w:hAnsi="宋体" w:eastAsia="宋体" w:cs="宋体"/>
          <w:b/>
          <w:bCs/>
          <w:color w:val="auto"/>
          <w:w w:val="90"/>
          <w:sz w:val="36"/>
          <w:szCs w:val="36"/>
          <w:u w:val="none"/>
          <w:lang w:val="en-US" w:eastAsia="zh-CN"/>
        </w:rPr>
      </w:pPr>
    </w:p>
    <w:p w14:paraId="37A3286D">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p>
    <w:p w14:paraId="13B09670">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p>
    <w:p w14:paraId="4DE97AF4">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第二章 投标人须知前附表</w:t>
      </w:r>
    </w:p>
    <w:tbl>
      <w:tblPr>
        <w:tblStyle w:val="24"/>
        <w:tblW w:w="1019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47"/>
        <w:gridCol w:w="1619"/>
        <w:gridCol w:w="8032"/>
      </w:tblGrid>
      <w:tr w14:paraId="59DFB9A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 w:hRule="exact"/>
          <w:tblHeader/>
          <w:jc w:val="center"/>
        </w:trPr>
        <w:tc>
          <w:tcPr>
            <w:tcW w:w="547" w:type="dxa"/>
            <w:noWrap w:val="0"/>
            <w:vAlign w:val="center"/>
          </w:tcPr>
          <w:p w14:paraId="7DCFB1E0">
            <w:pPr>
              <w:pStyle w:val="48"/>
              <w:keepNext w:val="0"/>
              <w:keepLines w:val="0"/>
              <w:pageBreakBefore w:val="0"/>
              <w:kinsoku/>
              <w:wordWrap/>
              <w:topLinePunct w:val="0"/>
              <w:bidi w:val="0"/>
              <w:spacing w:line="400" w:lineRule="exact"/>
              <w:ind w:left="9"/>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1619" w:type="dxa"/>
            <w:noWrap w:val="0"/>
            <w:vAlign w:val="center"/>
          </w:tcPr>
          <w:p w14:paraId="71E15520">
            <w:pPr>
              <w:pStyle w:val="48"/>
              <w:keepNext w:val="0"/>
              <w:keepLines w:val="0"/>
              <w:pageBreakBefore w:val="0"/>
              <w:kinsoku/>
              <w:wordWrap/>
              <w:topLinePunct w:val="0"/>
              <w:bidi w:val="0"/>
              <w:spacing w:line="400" w:lineRule="exact"/>
              <w:ind w:left="38"/>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条款名称</w:t>
            </w:r>
          </w:p>
        </w:tc>
        <w:tc>
          <w:tcPr>
            <w:tcW w:w="8032" w:type="dxa"/>
            <w:noWrap w:val="0"/>
            <w:vAlign w:val="center"/>
          </w:tcPr>
          <w:p w14:paraId="0E1EE54C">
            <w:pPr>
              <w:pStyle w:val="48"/>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说明和要求</w:t>
            </w:r>
          </w:p>
        </w:tc>
      </w:tr>
      <w:tr w14:paraId="1DE923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D0A5F77">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1619" w:type="dxa"/>
            <w:noWrap w:val="0"/>
            <w:vAlign w:val="center"/>
          </w:tcPr>
          <w:p w14:paraId="71608354">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项目情况</w:t>
            </w:r>
          </w:p>
        </w:tc>
        <w:tc>
          <w:tcPr>
            <w:tcW w:w="8032" w:type="dxa"/>
            <w:noWrap w:val="0"/>
            <w:vAlign w:val="center"/>
          </w:tcPr>
          <w:p w14:paraId="772A2494">
            <w:pPr>
              <w:pStyle w:val="48"/>
              <w:keepNext w:val="0"/>
              <w:keepLines w:val="0"/>
              <w:pageBreakBefore w:val="0"/>
              <w:kinsoku/>
              <w:wordWrap/>
              <w:topLinePunct w:val="0"/>
              <w:bidi w:val="0"/>
              <w:spacing w:line="400" w:lineRule="exact"/>
              <w:rPr>
                <w:rFonts w:hint="eastAsia"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项目名称：</w:t>
            </w:r>
            <w:r>
              <w:rPr>
                <w:rFonts w:hint="eastAsia" w:cs="宋体"/>
                <w:b w:val="0"/>
                <w:bCs w:val="0"/>
                <w:color w:val="auto"/>
                <w:sz w:val="24"/>
                <w:szCs w:val="24"/>
                <w:lang w:val="en-US" w:eastAsia="zh-CN"/>
              </w:rPr>
              <w:t>托克逊县伊拉湖镇康克村连栋大棚示范项目</w:t>
            </w:r>
          </w:p>
          <w:p w14:paraId="59CD3A66">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项目编号：</w:t>
            </w:r>
            <w:r>
              <w:rPr>
                <w:rFonts w:hint="eastAsia" w:ascii="宋体" w:hAnsi="宋体" w:eastAsia="宋体" w:cs="宋体"/>
                <w:b w:val="0"/>
                <w:bCs w:val="0"/>
                <w:color w:val="auto"/>
                <w:sz w:val="24"/>
                <w:szCs w:val="24"/>
                <w:lang w:val="en-US" w:eastAsia="zh-CN"/>
              </w:rPr>
              <w:t>TKXZFCG(GK)HYTH2026-</w:t>
            </w:r>
            <w:r>
              <w:rPr>
                <w:rFonts w:hint="eastAsia" w:cs="宋体"/>
                <w:b w:val="0"/>
                <w:bCs w:val="0"/>
                <w:color w:val="auto"/>
                <w:sz w:val="24"/>
                <w:szCs w:val="24"/>
                <w:lang w:val="en-US" w:eastAsia="zh-CN"/>
              </w:rPr>
              <w:t>030</w:t>
            </w:r>
          </w:p>
          <w:p w14:paraId="437F70F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exact"/>
              <w:ind w:right="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招标内</w:t>
            </w: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容：新建90亩连栋大棚及配套附属设施。</w:t>
            </w:r>
          </w:p>
          <w:p w14:paraId="4AEE0F5C">
            <w:pPr>
              <w:pStyle w:val="48"/>
              <w:keepNext w:val="0"/>
              <w:keepLines w:val="0"/>
              <w:pageBreakBefore w:val="0"/>
              <w:kinsoku/>
              <w:wordWrap/>
              <w:topLinePunct w:val="0"/>
              <w:bidi w:val="0"/>
              <w:spacing w:line="400" w:lineRule="exac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预算金额：</w:t>
            </w:r>
            <w:r>
              <w:rPr>
                <w:rFonts w:hint="eastAsia" w:cs="宋体"/>
                <w:b/>
                <w:bCs/>
                <w:color w:val="auto"/>
                <w:sz w:val="24"/>
                <w:szCs w:val="24"/>
                <w:lang w:val="en-US" w:eastAsia="zh-CN"/>
              </w:rPr>
              <w:t>2430000.00元</w:t>
            </w:r>
          </w:p>
          <w:p w14:paraId="76D7647A">
            <w:pPr>
              <w:pStyle w:val="48"/>
              <w:keepNext w:val="0"/>
              <w:keepLines w:val="0"/>
              <w:pageBreakBefore w:val="0"/>
              <w:kinsoku/>
              <w:wordWrap/>
              <w:topLinePunct w:val="0"/>
              <w:bidi w:val="0"/>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最高限价：2249900.00</w:t>
            </w:r>
            <w:r>
              <w:rPr>
                <w:rFonts w:hint="eastAsia" w:cs="宋体"/>
                <w:b/>
                <w:bCs/>
                <w:color w:val="auto"/>
                <w:sz w:val="24"/>
                <w:szCs w:val="24"/>
                <w:lang w:val="en-US" w:eastAsia="zh-CN"/>
              </w:rPr>
              <w:t>元</w:t>
            </w:r>
            <w:r>
              <w:rPr>
                <w:rFonts w:hint="eastAsia" w:ascii="宋体" w:hAnsi="宋体" w:eastAsia="宋体" w:cs="宋体"/>
                <w:b/>
                <w:bCs/>
                <w:color w:val="auto"/>
                <w:sz w:val="24"/>
                <w:szCs w:val="24"/>
                <w:lang w:val="en-US" w:eastAsia="zh-CN"/>
              </w:rPr>
              <w:t>（注：投标报价超过最高限价按无效标处理）</w:t>
            </w:r>
          </w:p>
          <w:p w14:paraId="1D11028C">
            <w:pPr>
              <w:pStyle w:val="48"/>
              <w:keepNext w:val="0"/>
              <w:keepLines w:val="0"/>
              <w:pageBreakBefore w:val="0"/>
              <w:kinsoku/>
              <w:wordWrap/>
              <w:topLinePunct w:val="0"/>
              <w:bidi w:val="0"/>
              <w:spacing w:line="400" w:lineRule="exac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合同履约期限：自合同签订之日起5个月。</w:t>
            </w:r>
          </w:p>
          <w:p w14:paraId="66AE6046">
            <w:pPr>
              <w:pStyle w:val="73"/>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default" w:ascii="宋体" w:hAnsi="宋体" w:eastAsia="宋体"/>
                <w:b/>
                <w:bCs/>
                <w:color w:val="auto"/>
                <w:sz w:val="24"/>
                <w:highlight w:val="none"/>
                <w:lang w:val="en-US" w:eastAsia="zh-CN"/>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项目资金来源：中央财政衔接推进乡村振兴补助资金</w:t>
            </w:r>
          </w:p>
          <w:p w14:paraId="44B0C151">
            <w:pPr>
              <w:pStyle w:val="73"/>
              <w:keepNext w:val="0"/>
              <w:keepLines w:val="0"/>
              <w:pageBreakBefore w:val="0"/>
              <w:widowControl/>
              <w:kinsoku/>
              <w:wordWrap/>
              <w:overflowPunct/>
              <w:topLinePunct w:val="0"/>
              <w:bidi w:val="0"/>
              <w:snapToGrid/>
              <w:spacing w:beforeAutospacing="0" w:afterAutospacing="0" w:line="360" w:lineRule="exact"/>
              <w:ind w:left="0" w:right="0" w:rightChars="0"/>
              <w:jc w:val="left"/>
              <w:textAlignment w:val="auto"/>
              <w:rPr>
                <w:rFonts w:hint="eastAsia" w:ascii="宋体" w:hAnsi="宋体" w:eastAsia="宋体" w:cs="宋体"/>
                <w:b/>
                <w:bCs/>
                <w:color w:val="auto"/>
                <w:sz w:val="24"/>
                <w:szCs w:val="24"/>
                <w:lang w:val="en-US" w:eastAsia="zh-CN"/>
              </w:rPr>
            </w:pPr>
            <w:r>
              <w:rPr>
                <w:rFonts w:hint="eastAsia" w:ascii="宋体" w:hAnsi="宋体" w:eastAsia="宋体"/>
                <w:b/>
                <w:bCs/>
                <w:color w:val="auto"/>
                <w:sz w:val="24"/>
                <w:highlight w:val="none"/>
                <w:lang w:val="en-US" w:eastAsia="zh-CN"/>
              </w:rPr>
              <w:t>质量标准：合格</w:t>
            </w:r>
          </w:p>
          <w:p w14:paraId="785EE795">
            <w:pPr>
              <w:pStyle w:val="48"/>
              <w:keepNext w:val="0"/>
              <w:keepLines w:val="0"/>
              <w:pageBreakBefore w:val="0"/>
              <w:kinsoku/>
              <w:wordWrap/>
              <w:topLinePunct w:val="0"/>
              <w:bidi w:val="0"/>
              <w:spacing w:line="400" w:lineRule="exact"/>
              <w:rPr>
                <w:rFonts w:hint="default" w:ascii="宋体" w:hAnsi="宋体" w:eastAsia="宋体" w:cs="宋体"/>
                <w:color w:val="auto"/>
                <w:sz w:val="24"/>
                <w:szCs w:val="24"/>
                <w:lang w:val="en-US" w:eastAsia="zh-CN"/>
              </w:rPr>
            </w:pPr>
            <w:r>
              <w:rPr>
                <w:rFonts w:hint="default" w:ascii="宋体" w:hAnsi="宋体" w:eastAsia="宋体" w:cs="宋体"/>
                <w:b/>
                <w:bCs/>
                <w:color w:val="auto"/>
                <w:sz w:val="24"/>
                <w:szCs w:val="24"/>
                <w:lang w:val="en-US" w:eastAsia="zh-CN"/>
              </w:rPr>
              <w:t>质保期：骨架质保十年，膜质保三年。</w:t>
            </w:r>
          </w:p>
        </w:tc>
      </w:tr>
      <w:tr w14:paraId="6E7E1EF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8" w:hRule="atLeast"/>
          <w:jc w:val="center"/>
        </w:trPr>
        <w:tc>
          <w:tcPr>
            <w:tcW w:w="547" w:type="dxa"/>
            <w:noWrap w:val="0"/>
            <w:vAlign w:val="center"/>
          </w:tcPr>
          <w:p w14:paraId="034D07A5">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1619" w:type="dxa"/>
            <w:noWrap w:val="0"/>
            <w:vAlign w:val="center"/>
          </w:tcPr>
          <w:p w14:paraId="17A5BC3B">
            <w:pPr>
              <w:pStyle w:val="48"/>
              <w:keepNext w:val="0"/>
              <w:keepLines w:val="0"/>
              <w:pageBreakBefore w:val="0"/>
              <w:kinsoku/>
              <w:wordWrap/>
              <w:topLinePunct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采购单位</w:t>
            </w:r>
          </w:p>
        </w:tc>
        <w:tc>
          <w:tcPr>
            <w:tcW w:w="8032" w:type="dxa"/>
            <w:noWrap w:val="0"/>
            <w:vAlign w:val="center"/>
          </w:tcPr>
          <w:p w14:paraId="76018A5E">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名 称：</w:t>
            </w:r>
            <w:r>
              <w:rPr>
                <w:rFonts w:hint="eastAsia" w:cs="宋体"/>
                <w:color w:val="auto"/>
                <w:kern w:val="2"/>
                <w:sz w:val="24"/>
                <w:szCs w:val="24"/>
                <w:lang w:val="en-US" w:eastAsia="zh-CN"/>
              </w:rPr>
              <w:t>托克逊县伊拉湖镇人民政府</w:t>
            </w:r>
          </w:p>
          <w:p w14:paraId="2C7F013D">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地址：托克逊县伊拉湖镇古勒巴格村1队</w:t>
            </w:r>
          </w:p>
          <w:p w14:paraId="2F73555E">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联系人：排尔哈提·吐尔逊</w:t>
            </w:r>
          </w:p>
          <w:p w14:paraId="02663F61">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default" w:ascii="宋体" w:hAnsi="宋体" w:eastAsia="宋体" w:cs="宋体"/>
                <w:color w:val="auto"/>
                <w:kern w:val="2"/>
                <w:sz w:val="24"/>
                <w:szCs w:val="24"/>
                <w:lang w:val="en-US" w:eastAsia="zh-CN"/>
              </w:rPr>
              <w:t>电  话：18149953854</w:t>
            </w:r>
          </w:p>
        </w:tc>
      </w:tr>
      <w:tr w14:paraId="5EF93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6F5E6129">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3</w:t>
            </w:r>
          </w:p>
        </w:tc>
        <w:tc>
          <w:tcPr>
            <w:tcW w:w="1619" w:type="dxa"/>
            <w:noWrap w:val="0"/>
            <w:vAlign w:val="center"/>
          </w:tcPr>
          <w:p w14:paraId="70985F21">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招标代理机构</w:t>
            </w:r>
          </w:p>
        </w:tc>
        <w:tc>
          <w:tcPr>
            <w:tcW w:w="8032" w:type="dxa"/>
            <w:noWrap w:val="0"/>
            <w:vAlign w:val="center"/>
          </w:tcPr>
          <w:p w14:paraId="47EBB231">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名 称：新疆华域天恒工程管理有限公司</w:t>
            </w:r>
          </w:p>
          <w:p w14:paraId="56E93268">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eastAsia="zh-CN"/>
              </w:rPr>
            </w:pPr>
            <w:r>
              <w:rPr>
                <w:rFonts w:hint="eastAsia" w:ascii="宋体" w:hAnsi="宋体" w:eastAsia="宋体" w:cs="宋体"/>
                <w:color w:val="auto"/>
                <w:kern w:val="2"/>
                <w:sz w:val="24"/>
                <w:szCs w:val="24"/>
                <w:lang w:eastAsia="zh-CN"/>
              </w:rPr>
              <w:t>地 址：吐鲁番市高昌区示范区和平街11幢2层201号</w:t>
            </w:r>
          </w:p>
          <w:p w14:paraId="781DAD12">
            <w:pPr>
              <w:pStyle w:val="48"/>
              <w:keepNext w:val="0"/>
              <w:keepLines w:val="0"/>
              <w:pageBreakBefore w:val="0"/>
              <w:kinsoku/>
              <w:wordWrap/>
              <w:topLinePunct w:val="0"/>
              <w:bidi w:val="0"/>
              <w:spacing w:line="400" w:lineRule="exact"/>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联系人：</w:t>
            </w:r>
            <w:r>
              <w:rPr>
                <w:rFonts w:hint="eastAsia" w:cs="宋体"/>
                <w:color w:val="auto"/>
                <w:kern w:val="2"/>
                <w:sz w:val="24"/>
                <w:szCs w:val="24"/>
                <w:lang w:val="en-US" w:eastAsia="zh-CN"/>
              </w:rPr>
              <w:t>常瑞琪</w:t>
            </w:r>
          </w:p>
          <w:p w14:paraId="2DE47FE8">
            <w:pPr>
              <w:pStyle w:val="48"/>
              <w:keepNext w:val="0"/>
              <w:keepLines w:val="0"/>
              <w:pageBreakBefore w:val="0"/>
              <w:kinsoku/>
              <w:wordWrap/>
              <w:topLinePunct w:val="0"/>
              <w:bidi w:val="0"/>
              <w:spacing w:line="400" w:lineRule="exact"/>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联系方式：</w:t>
            </w:r>
            <w:r>
              <w:rPr>
                <w:rFonts w:hint="eastAsia" w:cs="宋体"/>
                <w:color w:val="auto"/>
                <w:kern w:val="2"/>
                <w:sz w:val="24"/>
                <w:szCs w:val="24"/>
                <w:lang w:val="en-US" w:eastAsia="zh-CN"/>
              </w:rPr>
              <w:t>18590559920</w:t>
            </w:r>
          </w:p>
        </w:tc>
      </w:tr>
      <w:tr w14:paraId="4DD5279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50649253">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4</w:t>
            </w:r>
          </w:p>
        </w:tc>
        <w:tc>
          <w:tcPr>
            <w:tcW w:w="1619" w:type="dxa"/>
            <w:noWrap w:val="0"/>
            <w:vAlign w:val="center"/>
          </w:tcPr>
          <w:p w14:paraId="22656B6D">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投标人资格</w:t>
            </w:r>
          </w:p>
        </w:tc>
        <w:tc>
          <w:tcPr>
            <w:tcW w:w="8032" w:type="dxa"/>
            <w:noWrap w:val="0"/>
            <w:vAlign w:val="center"/>
          </w:tcPr>
          <w:p w14:paraId="339C2934">
            <w:pPr>
              <w:pStyle w:val="48"/>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rPr>
              <w:t>1.满足《中华人民共和国政府采购法》第二十二条规定；</w:t>
            </w:r>
          </w:p>
          <w:p w14:paraId="48584B31">
            <w:pP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rPr>
              <w:t>2.落实政府采购政策需满足的资格要</w:t>
            </w:r>
            <w:r>
              <w:rPr>
                <w:rFonts w:hint="eastAsia" w:asciiTheme="minorEastAsia" w:hAnsiTheme="minorEastAsia" w:eastAsiaTheme="minorEastAsia" w:cstheme="minorEastAsia"/>
                <w:color w:val="auto"/>
                <w:kern w:val="2"/>
                <w:sz w:val="24"/>
                <w:szCs w:val="24"/>
                <w:lang w:val="en-US" w:eastAsia="zh-CN" w:bidi="ar-SA"/>
              </w:rPr>
              <w:t>求：本项目专门面向中小企业；</w:t>
            </w:r>
          </w:p>
          <w:p w14:paraId="39DF1794">
            <w:pPr>
              <w:pStyle w:val="48"/>
              <w:keepNext w:val="0"/>
              <w:keepLines w:val="0"/>
              <w:pageBreakBefore w:val="0"/>
              <w:kinsoku/>
              <w:wordWrap/>
              <w:topLinePunct w:val="0"/>
              <w:bidi w:val="0"/>
              <w:spacing w:line="400" w:lineRule="exact"/>
              <w:rPr>
                <w:rFonts w:hint="eastAsia" w:asciiTheme="minorEastAsia" w:hAnsiTheme="minorEastAsia" w:eastAsiaTheme="minorEastAsia" w:cstheme="minorEastAsia"/>
                <w:color w:val="auto"/>
                <w:kern w:val="2"/>
                <w:sz w:val="24"/>
                <w:szCs w:val="24"/>
                <w:lang w:eastAsia="zh-CN"/>
              </w:rPr>
            </w:pPr>
            <w:r>
              <w:rPr>
                <w:rFonts w:hint="eastAsia" w:asciiTheme="minorEastAsia" w:hAnsiTheme="minorEastAsia" w:eastAsiaTheme="minorEastAsia" w:cstheme="minorEastAsia"/>
                <w:color w:val="auto"/>
                <w:kern w:val="2"/>
                <w:sz w:val="24"/>
                <w:szCs w:val="24"/>
                <w:lang w:val="en-US" w:eastAsia="zh-CN"/>
              </w:rPr>
              <w:t>3.本项目的特定资格要求：供应商须具备建筑工程施工总承包三级及以上资质或钢结构工程专业承包一级资质。</w:t>
            </w:r>
          </w:p>
        </w:tc>
      </w:tr>
      <w:tr w14:paraId="0386451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noWrap w:val="0"/>
            <w:vAlign w:val="center"/>
          </w:tcPr>
          <w:p w14:paraId="56F07C49">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1619" w:type="dxa"/>
            <w:noWrap w:val="0"/>
            <w:vAlign w:val="center"/>
          </w:tcPr>
          <w:p w14:paraId="0708017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是否接受联合体</w:t>
            </w:r>
          </w:p>
        </w:tc>
        <w:tc>
          <w:tcPr>
            <w:tcW w:w="8032" w:type="dxa"/>
            <w:noWrap w:val="0"/>
            <w:vAlign w:val="center"/>
          </w:tcPr>
          <w:p w14:paraId="224F7AC3">
            <w:pPr>
              <w:pStyle w:val="48"/>
              <w:keepNext w:val="0"/>
              <w:keepLines w:val="0"/>
              <w:pageBreakBefore w:val="0"/>
              <w:kinsoku/>
              <w:wordWrap/>
              <w:topLinePunct w:val="0"/>
              <w:bidi w:val="0"/>
              <w:spacing w:line="400" w:lineRule="exact"/>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t>不接受</w:t>
            </w:r>
          </w:p>
        </w:tc>
      </w:tr>
      <w:tr w14:paraId="03BB2D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380D722B">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6</w:t>
            </w:r>
          </w:p>
        </w:tc>
        <w:tc>
          <w:tcPr>
            <w:tcW w:w="1619" w:type="dxa"/>
            <w:noWrap w:val="0"/>
            <w:vAlign w:val="center"/>
          </w:tcPr>
          <w:p w14:paraId="0977F852">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是否专门面向中小企业</w:t>
            </w:r>
          </w:p>
        </w:tc>
        <w:tc>
          <w:tcPr>
            <w:tcW w:w="8032" w:type="dxa"/>
            <w:noWrap w:val="0"/>
            <w:vAlign w:val="center"/>
          </w:tcPr>
          <w:p w14:paraId="730480DE">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highlight w:val="none"/>
                <w:lang w:val="en-US" w:eastAsia="zh-CN"/>
                <w14:textFill>
                  <w14:solidFill>
                    <w14:schemeClr w14:val="tx1"/>
                  </w14:solidFill>
                </w14:textFill>
              </w:rPr>
            </w:pPr>
            <w:r>
              <w:rPr>
                <w:rFonts w:hint="eastAsia" w:cs="宋体"/>
                <w:color w:val="000000" w:themeColor="text1"/>
                <w:kern w:val="2"/>
                <w:sz w:val="24"/>
                <w:szCs w:val="24"/>
                <w:highlight w:val="none"/>
                <w:lang w:val="en-US" w:eastAsia="zh-CN"/>
                <w14:textFill>
                  <w14:solidFill>
                    <w14:schemeClr w14:val="tx1"/>
                  </w14:solidFill>
                </w14:textFill>
              </w:rPr>
              <w:t>是</w:t>
            </w:r>
          </w:p>
        </w:tc>
      </w:tr>
      <w:tr w14:paraId="4455098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jc w:val="center"/>
        </w:trPr>
        <w:tc>
          <w:tcPr>
            <w:tcW w:w="547" w:type="dxa"/>
            <w:noWrap w:val="0"/>
            <w:vAlign w:val="center"/>
          </w:tcPr>
          <w:p w14:paraId="2B5E19C4">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7</w:t>
            </w:r>
          </w:p>
        </w:tc>
        <w:tc>
          <w:tcPr>
            <w:tcW w:w="1619" w:type="dxa"/>
            <w:noWrap w:val="0"/>
            <w:vAlign w:val="center"/>
          </w:tcPr>
          <w:p w14:paraId="33B37F77">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质量标准</w:t>
            </w:r>
          </w:p>
        </w:tc>
        <w:tc>
          <w:tcPr>
            <w:tcW w:w="8032" w:type="dxa"/>
            <w:noWrap w:val="0"/>
            <w:vAlign w:val="center"/>
          </w:tcPr>
          <w:p w14:paraId="3A7F3D64">
            <w:pPr>
              <w:pStyle w:val="48"/>
              <w:keepNext w:val="0"/>
              <w:keepLines w:val="0"/>
              <w:pageBreakBefore w:val="0"/>
              <w:kinsoku/>
              <w:wordWrap/>
              <w:topLinePunct w:val="0"/>
              <w:bidi w:val="0"/>
              <w:spacing w:line="40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合格</w:t>
            </w:r>
          </w:p>
        </w:tc>
      </w:tr>
      <w:tr w14:paraId="4F34885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71" w:hRule="exact"/>
          <w:jc w:val="center"/>
        </w:trPr>
        <w:tc>
          <w:tcPr>
            <w:tcW w:w="547" w:type="dxa"/>
            <w:noWrap w:val="0"/>
            <w:vAlign w:val="center"/>
          </w:tcPr>
          <w:p w14:paraId="2E202398">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8</w:t>
            </w:r>
          </w:p>
        </w:tc>
        <w:tc>
          <w:tcPr>
            <w:tcW w:w="1619" w:type="dxa"/>
            <w:noWrap w:val="0"/>
            <w:vAlign w:val="center"/>
          </w:tcPr>
          <w:p w14:paraId="18DA96BF">
            <w:pPr>
              <w:keepNext w:val="0"/>
              <w:keepLines w:val="0"/>
              <w:pageBreakBefore w:val="0"/>
              <w:widowControl/>
              <w:shd w:val="solid" w:color="FFFFFF" w:fill="auto"/>
              <w:kinsoku/>
              <w:wordWrap/>
              <w:overflowPunct/>
              <w:topLinePunct w:val="0"/>
              <w:autoSpaceDE/>
              <w:autoSpaceDN w:val="0"/>
              <w:bidi w:val="0"/>
              <w:adjustRightInd/>
              <w:snapToGrid/>
              <w:spacing w:line="400" w:lineRule="exact"/>
              <w:jc w:val="center"/>
              <w:textAlignment w:val="auto"/>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构成招标文件的其他文件</w:t>
            </w:r>
          </w:p>
        </w:tc>
        <w:tc>
          <w:tcPr>
            <w:tcW w:w="8032" w:type="dxa"/>
            <w:noWrap w:val="0"/>
            <w:vAlign w:val="center"/>
          </w:tcPr>
          <w:p w14:paraId="0BB56E3F">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招标文件的澄清、修改书及有关补充通知为招标文件的有效组成部分。</w:t>
            </w:r>
          </w:p>
        </w:tc>
      </w:tr>
      <w:tr w14:paraId="16320D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7" w:hRule="exact"/>
          <w:jc w:val="center"/>
        </w:trPr>
        <w:tc>
          <w:tcPr>
            <w:tcW w:w="547" w:type="dxa"/>
            <w:noWrap w:val="0"/>
            <w:vAlign w:val="center"/>
          </w:tcPr>
          <w:p w14:paraId="3094D4DB">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cs="宋体"/>
                <w:color w:val="000000" w:themeColor="text1"/>
                <w:sz w:val="24"/>
                <w:szCs w:val="24"/>
                <w:lang w:val="en-US" w:eastAsia="zh-CN"/>
                <w14:textFill>
                  <w14:solidFill>
                    <w14:schemeClr w14:val="tx1"/>
                  </w14:solidFill>
                </w14:textFill>
              </w:rPr>
              <w:t>9</w:t>
            </w:r>
          </w:p>
        </w:tc>
        <w:tc>
          <w:tcPr>
            <w:tcW w:w="1619" w:type="dxa"/>
            <w:noWrap w:val="0"/>
            <w:vAlign w:val="center"/>
          </w:tcPr>
          <w:p w14:paraId="440667DE">
            <w:pPr>
              <w:keepNext w:val="0"/>
              <w:keepLines w:val="0"/>
              <w:pageBreakBefore w:val="0"/>
              <w:shd w:val="solid" w:color="FFFFFF" w:fill="auto"/>
              <w:kinsoku/>
              <w:wordWrap/>
              <w:topLinePunct w:val="0"/>
              <w:autoSpaceDN w:val="0"/>
              <w:bidi w:val="0"/>
              <w:spacing w:line="400" w:lineRule="exact"/>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投标有效期</w:t>
            </w:r>
          </w:p>
        </w:tc>
        <w:tc>
          <w:tcPr>
            <w:tcW w:w="8032" w:type="dxa"/>
            <w:noWrap w:val="0"/>
            <w:vAlign w:val="center"/>
          </w:tcPr>
          <w:p w14:paraId="365E4BBE">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60</w:t>
            </w:r>
            <w:r>
              <w:rPr>
                <w:rFonts w:hint="eastAsia" w:ascii="宋体" w:hAnsi="宋体" w:eastAsia="宋体" w:cs="宋体"/>
                <w:color w:val="000000" w:themeColor="text1"/>
                <w:sz w:val="24"/>
                <w:szCs w:val="24"/>
                <w:u w:val="single"/>
                <w:lang w:val="zh-CN"/>
                <w14:textFill>
                  <w14:solidFill>
                    <w14:schemeClr w14:val="tx1"/>
                  </w14:solidFill>
                </w14:textFill>
              </w:rPr>
              <w:t xml:space="preserve">  </w:t>
            </w:r>
            <w:r>
              <w:rPr>
                <w:rFonts w:hint="eastAsia" w:ascii="宋体" w:hAnsi="宋体" w:eastAsia="宋体" w:cs="宋体"/>
                <w:color w:val="000000" w:themeColor="text1"/>
                <w:sz w:val="24"/>
                <w:szCs w:val="24"/>
                <w:lang w:val="zh-CN"/>
                <w14:textFill>
                  <w14:solidFill>
                    <w14:schemeClr w14:val="tx1"/>
                  </w14:solidFill>
                </w14:textFill>
              </w:rPr>
              <w:t>日历天（投标有效期从提交投标文件的截止之日起算。有效期短于该规定期限的投标无效）</w:t>
            </w:r>
          </w:p>
        </w:tc>
      </w:tr>
      <w:tr w14:paraId="51E3DBF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7" w:hRule="exact"/>
          <w:jc w:val="center"/>
        </w:trPr>
        <w:tc>
          <w:tcPr>
            <w:tcW w:w="547" w:type="dxa"/>
            <w:noWrap w:val="0"/>
            <w:vAlign w:val="center"/>
          </w:tcPr>
          <w:p w14:paraId="10B350B0">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0</w:t>
            </w:r>
          </w:p>
        </w:tc>
        <w:tc>
          <w:tcPr>
            <w:tcW w:w="1619" w:type="dxa"/>
            <w:noWrap w:val="0"/>
            <w:vAlign w:val="center"/>
          </w:tcPr>
          <w:p w14:paraId="132D3CD5">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采购方式</w:t>
            </w:r>
          </w:p>
        </w:tc>
        <w:tc>
          <w:tcPr>
            <w:tcW w:w="8032" w:type="dxa"/>
            <w:noWrap w:val="0"/>
            <w:vAlign w:val="center"/>
          </w:tcPr>
          <w:p w14:paraId="54C2218F">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公开招标</w:t>
            </w:r>
          </w:p>
        </w:tc>
      </w:tr>
      <w:tr w14:paraId="66E352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1" w:hRule="atLeast"/>
          <w:jc w:val="center"/>
        </w:trPr>
        <w:tc>
          <w:tcPr>
            <w:tcW w:w="547" w:type="dxa"/>
            <w:noWrap w:val="0"/>
            <w:vAlign w:val="center"/>
          </w:tcPr>
          <w:p w14:paraId="2F14DB68">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1</w:t>
            </w:r>
          </w:p>
        </w:tc>
        <w:tc>
          <w:tcPr>
            <w:tcW w:w="1619" w:type="dxa"/>
            <w:noWrap w:val="0"/>
            <w:vAlign w:val="center"/>
          </w:tcPr>
          <w:p w14:paraId="68A4FA31">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评标方法</w:t>
            </w:r>
          </w:p>
        </w:tc>
        <w:tc>
          <w:tcPr>
            <w:tcW w:w="8032" w:type="dxa"/>
            <w:noWrap w:val="0"/>
            <w:vAlign w:val="center"/>
          </w:tcPr>
          <w:p w14:paraId="139262A6">
            <w:pPr>
              <w:pStyle w:val="48"/>
              <w:keepNext w:val="0"/>
              <w:keepLines w:val="0"/>
              <w:pageBreakBefore w:val="0"/>
              <w:kinsoku/>
              <w:wordWrap/>
              <w:topLinePunct w:val="0"/>
              <w:bidi w:val="0"/>
              <w:spacing w:line="400" w:lineRule="exac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auto"/>
                <w:sz w:val="24"/>
                <w:szCs w:val="24"/>
                <w:lang w:val="zh-CN"/>
              </w:rPr>
              <w:t>综合评分法</w:t>
            </w:r>
            <w:r>
              <w:rPr>
                <w:rFonts w:hint="eastAsia" w:ascii="宋体" w:hAnsi="宋体" w:eastAsia="宋体" w:cs="宋体"/>
                <w:color w:val="auto"/>
                <w:sz w:val="24"/>
                <w:szCs w:val="24"/>
                <w:lang w:val="en-US" w:eastAsia="zh-CN"/>
              </w:rPr>
              <w:t xml:space="preserve">  评标权重：商务及技术评分</w:t>
            </w:r>
            <w:r>
              <w:rPr>
                <w:rFonts w:hint="eastAsia" w:cs="宋体"/>
                <w:color w:val="auto"/>
                <w:sz w:val="24"/>
                <w:szCs w:val="24"/>
                <w:lang w:val="en-US" w:eastAsia="zh-CN"/>
              </w:rPr>
              <w:t>7</w:t>
            </w:r>
            <w:r>
              <w:rPr>
                <w:rFonts w:hint="eastAsia" w:ascii="宋体" w:hAnsi="宋体" w:eastAsia="宋体" w:cs="宋体"/>
                <w:color w:val="auto"/>
                <w:sz w:val="24"/>
                <w:szCs w:val="24"/>
                <w:lang w:val="en-US" w:eastAsia="zh-CN"/>
              </w:rPr>
              <w:t>0分，价格评分</w:t>
            </w:r>
            <w:r>
              <w:rPr>
                <w:rFonts w:hint="eastAsia" w:cs="宋体"/>
                <w:color w:val="auto"/>
                <w:sz w:val="24"/>
                <w:szCs w:val="24"/>
                <w:lang w:val="en-US" w:eastAsia="zh-CN"/>
              </w:rPr>
              <w:t>3</w:t>
            </w:r>
            <w:r>
              <w:rPr>
                <w:rFonts w:hint="eastAsia" w:ascii="宋体" w:hAnsi="宋体" w:eastAsia="宋体" w:cs="宋体"/>
                <w:color w:val="auto"/>
                <w:sz w:val="24"/>
                <w:szCs w:val="24"/>
                <w:lang w:val="en-US" w:eastAsia="zh-CN"/>
              </w:rPr>
              <w:t>0分。</w:t>
            </w:r>
          </w:p>
        </w:tc>
      </w:tr>
      <w:tr w14:paraId="2335A0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DD962B">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1F4D8ED">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投标保证金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FFED4AB">
            <w:pPr>
              <w:keepNext w:val="0"/>
              <w:keepLines w:val="0"/>
              <w:pageBreakBefore w:val="0"/>
              <w:kinsoku/>
              <w:wordWrap/>
              <w:topLinePunct w:val="0"/>
              <w:bidi w:val="0"/>
              <w:spacing w:line="400" w:lineRule="exact"/>
              <w:jc w:val="left"/>
              <w:rPr>
                <w:rFonts w:hint="eastAsia" w:ascii="宋体" w:hAnsi="宋体" w:eastAsia="宋体" w:cs="宋体"/>
                <w:b/>
                <w:color w:val="auto"/>
                <w:sz w:val="24"/>
                <w:szCs w:val="24"/>
                <w:lang w:val="zh-CN" w:eastAsia="zh-CN"/>
              </w:rPr>
            </w:pPr>
            <w:r>
              <w:rPr>
                <w:rFonts w:hint="eastAsia" w:ascii="宋体" w:hAnsi="宋体" w:eastAsia="宋体" w:cs="宋体"/>
                <w:b/>
                <w:color w:val="auto"/>
                <w:sz w:val="24"/>
                <w:szCs w:val="24"/>
                <w:lang w:val="zh-CN" w:eastAsia="zh-CN"/>
              </w:rPr>
              <w:t>投标保证金金额：人民币</w:t>
            </w:r>
            <w:r>
              <w:rPr>
                <w:rFonts w:hint="eastAsia" w:asciiTheme="minorEastAsia" w:hAnsiTheme="minorEastAsia" w:eastAsiaTheme="minorEastAsia" w:cstheme="minorEastAsia"/>
                <w:b/>
                <w:bCs/>
                <w:color w:val="auto"/>
                <w:kern w:val="2"/>
                <w:sz w:val="24"/>
                <w:szCs w:val="24"/>
                <w:lang w:val="en-US" w:eastAsia="zh-CN" w:bidi="ar-SA"/>
              </w:rPr>
              <w:t>叁</w:t>
            </w:r>
            <w:r>
              <w:rPr>
                <w:rFonts w:hint="eastAsia" w:ascii="宋体" w:hAnsi="宋体" w:cs="宋体"/>
                <w:b/>
                <w:color w:val="auto"/>
                <w:sz w:val="24"/>
                <w:szCs w:val="24"/>
                <w:lang w:val="en-US" w:eastAsia="zh-CN"/>
              </w:rPr>
              <w:t>万</w:t>
            </w:r>
            <w:r>
              <w:rPr>
                <w:rFonts w:hint="eastAsia" w:ascii="宋体" w:hAnsi="宋体" w:eastAsia="宋体" w:cs="宋体"/>
                <w:b/>
                <w:color w:val="auto"/>
                <w:sz w:val="24"/>
                <w:szCs w:val="24"/>
                <w:lang w:val="zh-CN" w:eastAsia="zh-CN"/>
              </w:rPr>
              <w:t>元整（</w:t>
            </w:r>
            <w:r>
              <w:rPr>
                <w:rFonts w:hint="eastAsia" w:ascii="宋体" w:hAnsi="宋体" w:cs="宋体"/>
                <w:b/>
                <w:color w:val="auto"/>
                <w:sz w:val="24"/>
                <w:szCs w:val="24"/>
                <w:lang w:val="en-US" w:eastAsia="zh-CN"/>
              </w:rPr>
              <w:t>30</w:t>
            </w:r>
            <w:r>
              <w:rPr>
                <w:rFonts w:hint="eastAsia" w:ascii="宋体" w:hAnsi="宋体" w:eastAsia="宋体" w:cs="宋体"/>
                <w:b/>
                <w:color w:val="auto"/>
                <w:sz w:val="24"/>
                <w:szCs w:val="24"/>
                <w:lang w:val="en-US" w:eastAsia="zh-CN"/>
              </w:rPr>
              <w:t>0</w:t>
            </w:r>
            <w:r>
              <w:rPr>
                <w:rFonts w:hint="eastAsia" w:ascii="宋体" w:hAnsi="宋体" w:eastAsia="宋体" w:cs="宋体"/>
                <w:b/>
                <w:color w:val="auto"/>
                <w:sz w:val="24"/>
                <w:szCs w:val="24"/>
                <w:lang w:val="zh-CN" w:eastAsia="zh-CN"/>
              </w:rPr>
              <w:t>00.00元整）</w:t>
            </w:r>
          </w:p>
          <w:p w14:paraId="24F9A5FE">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保证金形式：支票、汇票、本票、网上银行支付或者金融机构、担保机构出具的保函等政府采购法律法规中要求的非现金形式；</w:t>
            </w:r>
          </w:p>
          <w:p w14:paraId="70E5E61F">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en-US" w:eastAsia="zh-CN" w:bidi="ar-SA"/>
              </w:rPr>
              <w:t>（1）若采用电汇或转账：</w:t>
            </w:r>
            <w:r>
              <w:rPr>
                <w:rFonts w:hint="eastAsia" w:asciiTheme="minorEastAsia" w:hAnsiTheme="minorEastAsia" w:eastAsiaTheme="minorEastAsia" w:cstheme="minorEastAsia"/>
                <w:b/>
                <w:bCs/>
                <w:color w:val="auto"/>
                <w:kern w:val="2"/>
                <w:sz w:val="24"/>
                <w:szCs w:val="24"/>
                <w:lang w:val="zh-CN" w:eastAsia="zh-CN" w:bidi="ar-SA"/>
              </w:rPr>
              <w:t>投标保证金于投标时间截止之前（北京时间，以到账时间为准）从投标人基本账户以网银或银行电汇形式汇至本公司账户，否则响应文件将</w:t>
            </w:r>
            <w:r>
              <w:rPr>
                <w:rFonts w:hint="eastAsia" w:asciiTheme="minorEastAsia" w:hAnsiTheme="minorEastAsia" w:eastAsiaTheme="minorEastAsia" w:cstheme="minorEastAsia"/>
                <w:b/>
                <w:bCs/>
                <w:color w:val="auto"/>
                <w:kern w:val="2"/>
                <w:sz w:val="24"/>
                <w:szCs w:val="24"/>
                <w:lang w:val="en-US" w:eastAsia="zh-CN" w:bidi="ar-SA"/>
              </w:rPr>
              <w:t>视为无效投标</w:t>
            </w:r>
            <w:r>
              <w:rPr>
                <w:rFonts w:hint="eastAsia" w:asciiTheme="minorEastAsia" w:hAnsiTheme="minorEastAsia" w:eastAsiaTheme="minorEastAsia" w:cstheme="minorEastAsia"/>
                <w:b/>
                <w:bCs/>
                <w:color w:val="auto"/>
                <w:kern w:val="2"/>
                <w:sz w:val="24"/>
                <w:szCs w:val="24"/>
                <w:lang w:val="zh-CN" w:eastAsia="zh-CN" w:bidi="ar-SA"/>
              </w:rPr>
              <w:t>。投标人提交投标保证金应充分考虑资金在途时间。汇（转）款时，应在用途栏（备注栏）准确注明“（简写项目名称）投标保证金”字样。</w:t>
            </w:r>
          </w:p>
          <w:p w14:paraId="7388FCD4">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户名：新疆华域天恒工程管理有限公司</w:t>
            </w:r>
          </w:p>
          <w:p w14:paraId="397D3A0A">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开户银行：中国农业银行股份有限公司吐鲁番高昌支行  </w:t>
            </w:r>
          </w:p>
          <w:p w14:paraId="1F9EEAEE">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帐号：3026 5301 0400 1229 8     </w:t>
            </w:r>
          </w:p>
          <w:p w14:paraId="718577C6">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行号：1038 8302 6535</w:t>
            </w:r>
          </w:p>
          <w:p w14:paraId="65EC964A">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en-US" w:eastAsia="zh-CN" w:bidi="ar-SA"/>
              </w:rPr>
            </w:pPr>
            <w:r>
              <w:rPr>
                <w:rFonts w:hint="eastAsia" w:asciiTheme="minorEastAsia" w:hAnsiTheme="minorEastAsia" w:eastAsiaTheme="minorEastAsia" w:cstheme="minorEastAsia"/>
                <w:b/>
                <w:bCs/>
                <w:color w:val="auto"/>
                <w:kern w:val="2"/>
                <w:sz w:val="24"/>
                <w:szCs w:val="24"/>
                <w:lang w:val="en-US" w:eastAsia="zh-CN" w:bidi="ar-SA"/>
              </w:rPr>
              <w:t>（2）若采用保函形式：采用保函形式应按以下要求办理：</w:t>
            </w:r>
            <w:r>
              <w:rPr>
                <w:rFonts w:hint="eastAsia" w:asciiTheme="minorEastAsia" w:hAnsiTheme="minorEastAsia" w:eastAsiaTheme="minorEastAsia" w:cstheme="minorEastAsia"/>
                <w:b/>
                <w:bCs/>
                <w:color w:val="auto"/>
                <w:kern w:val="2"/>
                <w:sz w:val="24"/>
                <w:szCs w:val="24"/>
                <w:lang w:val="zh-CN" w:eastAsia="zh-CN" w:bidi="ar-SA"/>
              </w:rPr>
              <w:t>1、</w:t>
            </w:r>
            <w:r>
              <w:rPr>
                <w:rFonts w:hint="eastAsia" w:asciiTheme="minorEastAsia" w:hAnsiTheme="minorEastAsia" w:eastAsiaTheme="minorEastAsia" w:cstheme="minorEastAsia"/>
                <w:b/>
                <w:bCs/>
                <w:color w:val="auto"/>
                <w:kern w:val="2"/>
                <w:sz w:val="24"/>
                <w:szCs w:val="24"/>
                <w:lang w:val="en-US" w:eastAsia="zh-CN" w:bidi="ar-SA"/>
              </w:rPr>
              <w:t>保函须在磋商文件规定的投标截止时间前办理完成；2.</w:t>
            </w:r>
            <w:r>
              <w:rPr>
                <w:rFonts w:hint="eastAsia" w:asciiTheme="minorEastAsia" w:hAnsiTheme="minorEastAsia" w:eastAsiaTheme="minorEastAsia" w:cstheme="minorEastAsia"/>
                <w:b/>
                <w:bCs/>
                <w:color w:val="auto"/>
                <w:kern w:val="2"/>
                <w:sz w:val="24"/>
                <w:szCs w:val="24"/>
                <w:lang w:val="zh-CN" w:eastAsia="zh-CN" w:bidi="ar-SA"/>
              </w:rPr>
              <w:t>保函金额不得少于保证金金额；</w:t>
            </w:r>
            <w:r>
              <w:rPr>
                <w:rFonts w:hint="eastAsia" w:asciiTheme="minorEastAsia" w:hAnsiTheme="minorEastAsia" w:eastAsiaTheme="minorEastAsia" w:cstheme="minorEastAsia"/>
                <w:b/>
                <w:bCs/>
                <w:color w:val="auto"/>
                <w:kern w:val="2"/>
                <w:sz w:val="24"/>
                <w:szCs w:val="24"/>
                <w:lang w:val="en-US" w:eastAsia="zh-CN" w:bidi="ar-SA"/>
              </w:rPr>
              <w:t>3</w:t>
            </w:r>
            <w:r>
              <w:rPr>
                <w:rFonts w:hint="eastAsia" w:asciiTheme="minorEastAsia" w:hAnsiTheme="minorEastAsia" w:eastAsiaTheme="minorEastAsia" w:cstheme="minorEastAsia"/>
                <w:b/>
                <w:bCs/>
                <w:color w:val="auto"/>
                <w:kern w:val="2"/>
                <w:sz w:val="24"/>
                <w:szCs w:val="24"/>
                <w:lang w:val="zh-CN" w:eastAsia="zh-CN" w:bidi="ar-SA"/>
              </w:rPr>
              <w:t>、保函的有效期不得少于本项目投标有效期；</w:t>
            </w:r>
            <w:r>
              <w:rPr>
                <w:rFonts w:hint="eastAsia" w:asciiTheme="minorEastAsia" w:hAnsiTheme="minorEastAsia" w:eastAsiaTheme="minorEastAsia" w:cstheme="minorEastAsia"/>
                <w:b/>
                <w:bCs/>
                <w:color w:val="auto"/>
                <w:kern w:val="2"/>
                <w:sz w:val="24"/>
                <w:szCs w:val="24"/>
                <w:lang w:val="en-US" w:eastAsia="zh-CN" w:bidi="ar-SA"/>
              </w:rPr>
              <w:t>4</w:t>
            </w:r>
            <w:r>
              <w:rPr>
                <w:rFonts w:hint="eastAsia" w:asciiTheme="minorEastAsia" w:hAnsiTheme="minorEastAsia" w:eastAsiaTheme="minorEastAsia" w:cstheme="minorEastAsia"/>
                <w:b/>
                <w:bCs/>
                <w:color w:val="auto"/>
                <w:kern w:val="2"/>
                <w:sz w:val="24"/>
                <w:szCs w:val="24"/>
                <w:lang w:val="zh-CN" w:eastAsia="zh-CN" w:bidi="ar-SA"/>
              </w:rPr>
              <w:t>、保函应是针对本项目开具的；</w:t>
            </w:r>
            <w:r>
              <w:rPr>
                <w:rFonts w:hint="eastAsia" w:asciiTheme="minorEastAsia" w:hAnsiTheme="minorEastAsia" w:eastAsiaTheme="minorEastAsia" w:cstheme="minorEastAsia"/>
                <w:b/>
                <w:bCs/>
                <w:color w:val="auto"/>
                <w:kern w:val="2"/>
                <w:sz w:val="24"/>
                <w:szCs w:val="24"/>
                <w:lang w:val="en-US" w:eastAsia="zh-CN" w:bidi="ar-SA"/>
              </w:rPr>
              <w:t>5、</w:t>
            </w:r>
            <w:r>
              <w:rPr>
                <w:rFonts w:hint="eastAsia" w:asciiTheme="minorEastAsia" w:hAnsiTheme="minorEastAsia" w:eastAsiaTheme="minorEastAsia" w:cstheme="minorEastAsia"/>
                <w:b/>
                <w:bCs/>
                <w:color w:val="auto"/>
                <w:kern w:val="2"/>
                <w:sz w:val="24"/>
                <w:szCs w:val="24"/>
                <w:lang w:val="zh-CN" w:eastAsia="zh-CN" w:bidi="ar-SA"/>
              </w:rPr>
              <w:t>保函是响应文件中组成部分；</w:t>
            </w:r>
            <w:r>
              <w:rPr>
                <w:rFonts w:hint="eastAsia" w:asciiTheme="minorEastAsia" w:hAnsiTheme="minorEastAsia" w:eastAsiaTheme="minorEastAsia" w:cstheme="minorEastAsia"/>
                <w:b/>
                <w:bCs/>
                <w:color w:val="auto"/>
                <w:kern w:val="2"/>
                <w:sz w:val="24"/>
                <w:szCs w:val="24"/>
                <w:lang w:val="en-US" w:eastAsia="zh-CN" w:bidi="ar-SA"/>
              </w:rPr>
              <w:t>6.保函按照“一项目一保函”的原则。</w:t>
            </w:r>
          </w:p>
          <w:p w14:paraId="6CED6ABA">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退投标保证金程序：</w:t>
            </w:r>
          </w:p>
          <w:p w14:paraId="7DB4255C">
            <w:pPr>
              <w:pStyle w:val="48"/>
              <w:keepNext w:val="0"/>
              <w:keepLines w:val="0"/>
              <w:pageBreakBefore w:val="0"/>
              <w:kinsoku/>
              <w:wordWrap/>
              <w:topLinePunct w:val="0"/>
              <w:bidi w:val="0"/>
              <w:spacing w:line="360" w:lineRule="exact"/>
              <w:ind w:right="0" w:rightChars="0"/>
              <w:textAlignment w:val="auto"/>
              <w:rPr>
                <w:rFonts w:hint="eastAsia" w:asciiTheme="minorEastAsia" w:hAnsiTheme="minorEastAsia" w:eastAsiaTheme="minorEastAsia" w:cstheme="minorEastAsia"/>
                <w:b/>
                <w:bCs/>
                <w:color w:val="auto"/>
                <w:kern w:val="2"/>
                <w:sz w:val="24"/>
                <w:szCs w:val="24"/>
                <w:lang w:val="zh-CN" w:eastAsia="zh-CN" w:bidi="ar-SA"/>
              </w:rPr>
            </w:pPr>
            <w:r>
              <w:rPr>
                <w:rFonts w:hint="eastAsia" w:asciiTheme="minorEastAsia" w:hAnsiTheme="minorEastAsia" w:eastAsiaTheme="minorEastAsia" w:cstheme="minorEastAsia"/>
                <w:b/>
                <w:bCs/>
                <w:color w:val="auto"/>
                <w:kern w:val="2"/>
                <w:sz w:val="24"/>
                <w:szCs w:val="24"/>
                <w:lang w:val="zh-CN" w:eastAsia="zh-CN" w:bidi="ar-SA"/>
              </w:rPr>
              <w:t xml:space="preserve">  未中标的投标保证金，在中标结果发出后5个工作日内予以退还。</w:t>
            </w:r>
          </w:p>
          <w:p w14:paraId="23D7EAAF">
            <w:pPr>
              <w:keepNext w:val="0"/>
              <w:keepLines w:val="0"/>
              <w:pageBreakBefore w:val="0"/>
              <w:kinsoku/>
              <w:wordWrap/>
              <w:topLinePunct w:val="0"/>
              <w:bidi w:val="0"/>
              <w:spacing w:line="400" w:lineRule="exact"/>
              <w:jc w:val="left"/>
              <w:rPr>
                <w:rFonts w:hint="eastAsia" w:ascii="宋体" w:hAnsi="宋体" w:eastAsia="宋体" w:cs="宋体"/>
                <w:b/>
                <w:color w:val="auto"/>
                <w:sz w:val="24"/>
                <w:szCs w:val="24"/>
                <w:lang w:val="zh-CN"/>
              </w:rPr>
            </w:pPr>
            <w:r>
              <w:rPr>
                <w:rFonts w:hint="eastAsia" w:asciiTheme="minorEastAsia" w:hAnsiTheme="minorEastAsia" w:eastAsiaTheme="minorEastAsia" w:cstheme="minorEastAsia"/>
                <w:b/>
                <w:bCs/>
                <w:color w:val="auto"/>
                <w:kern w:val="2"/>
                <w:sz w:val="24"/>
                <w:szCs w:val="24"/>
                <w:lang w:val="zh-CN" w:eastAsia="zh-CN" w:bidi="ar-SA"/>
              </w:rPr>
              <w:t>中标的投标保证金，与采购人签订采购合同后5个工作日内予以退还。</w:t>
            </w:r>
          </w:p>
        </w:tc>
      </w:tr>
      <w:tr w14:paraId="069C97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6F244F3">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9729C42">
            <w:pPr>
              <w:keepNext w:val="0"/>
              <w:keepLines w:val="0"/>
              <w:pageBreakBefore w:val="0"/>
              <w:kinsoku/>
              <w:wordWrap/>
              <w:overflowPunct/>
              <w:topLinePunct w:val="0"/>
              <w:bidi w:val="0"/>
              <w:spacing w:beforeAutospacing="0" w:after="0" w:afterAutospacing="0" w:line="400" w:lineRule="exact"/>
              <w:ind w:left="0" w:leftChars="0" w:right="0" w:rightChars="0"/>
              <w:jc w:val="center"/>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其他可以不予退还投标保证金的情形</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9C5DB98">
            <w:pPr>
              <w:keepNext w:val="0"/>
              <w:keepLines w:val="0"/>
              <w:pageBreakBefore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中提供虚假资料；</w:t>
            </w:r>
            <w:r>
              <w:rPr>
                <w:rFonts w:hint="eastAsia" w:ascii="宋体" w:hAnsi="宋体" w:eastAsia="宋体" w:cs="宋体"/>
                <w:color w:val="auto"/>
                <w:sz w:val="24"/>
                <w:szCs w:val="24"/>
                <w:highlight w:val="none"/>
                <w:lang w:val="en-US" w:eastAsia="zh-CN"/>
              </w:rPr>
              <w:t>中标供应商</w:t>
            </w:r>
            <w:r>
              <w:rPr>
                <w:rFonts w:hint="eastAsia" w:ascii="宋体" w:hAnsi="宋体" w:eastAsia="宋体" w:cs="宋体"/>
                <w:color w:val="auto"/>
                <w:sz w:val="24"/>
                <w:szCs w:val="24"/>
                <w:highlight w:val="none"/>
              </w:rPr>
              <w:t>未按国家规定的招标代理服务取费标准缴纳招标代理服务费用的。</w:t>
            </w:r>
          </w:p>
        </w:tc>
      </w:tr>
      <w:tr w14:paraId="36DB44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497152D">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B85691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4"/>
                <w:szCs w:val="24"/>
                <w:highlight w:val="yellow"/>
                <w:lang w:val="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投标文件</w:t>
            </w:r>
            <w:r>
              <w:rPr>
                <w:rFonts w:hint="eastAsia" w:ascii="宋体" w:hAnsi="宋体" w:eastAsia="宋体" w:cs="宋体"/>
                <w:color w:val="000000" w:themeColor="text1"/>
                <w:sz w:val="24"/>
                <w:szCs w:val="24"/>
                <w14:textFill>
                  <w14:solidFill>
                    <w14:schemeClr w14:val="tx1"/>
                  </w14:solidFill>
                </w14:textFill>
              </w:rPr>
              <w:t>递交截止时间</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3555B72">
            <w:pPr>
              <w:keepNext w:val="0"/>
              <w:keepLines w:val="0"/>
              <w:pageBreakBefore w:val="0"/>
              <w:kinsoku/>
              <w:wordWrap/>
              <w:topLinePunct w:val="0"/>
              <w:bidi w:val="0"/>
              <w:spacing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highlight w:val="none"/>
                <w:lang w:val="en-US" w:eastAsia="zh-CN"/>
              </w:rPr>
              <w:t>06月01日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北京时间）</w:t>
            </w:r>
          </w:p>
        </w:tc>
      </w:tr>
      <w:tr w14:paraId="3BE667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1"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8BD6D84">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rPr>
              <w:t>1</w:t>
            </w:r>
            <w:r>
              <w:rPr>
                <w:rFonts w:hint="eastAsia" w:cs="宋体"/>
                <w:color w:val="auto"/>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BA394C9">
            <w:pPr>
              <w:keepNext w:val="0"/>
              <w:keepLines w:val="0"/>
              <w:pageBreakBefore w:val="0"/>
              <w:kinsoku/>
              <w:wordWrap/>
              <w:overflowPunct w:val="0"/>
              <w:topLinePunct w:val="0"/>
              <w:bidi w:val="0"/>
              <w:spacing w:line="400" w:lineRule="exact"/>
              <w:jc w:val="center"/>
              <w:rPr>
                <w:rFonts w:hint="eastAsia" w:ascii="宋体" w:hAnsi="宋体" w:eastAsia="宋体" w:cs="宋体"/>
                <w:color w:val="auto"/>
                <w:sz w:val="24"/>
                <w:szCs w:val="24"/>
                <w:highlight w:val="yellow"/>
                <w:lang w:val="zh-CN"/>
              </w:rPr>
            </w:pPr>
            <w:r>
              <w:rPr>
                <w:rFonts w:hint="eastAsia" w:ascii="宋体" w:hAnsi="宋体" w:eastAsia="宋体" w:cs="宋体"/>
                <w:sz w:val="24"/>
                <w:szCs w:val="24"/>
                <w:lang w:eastAsia="zh-CN"/>
              </w:rPr>
              <w:t>投标文件</w:t>
            </w:r>
            <w:r>
              <w:rPr>
                <w:rFonts w:hint="eastAsia" w:ascii="宋体" w:hAnsi="宋体" w:eastAsia="宋体" w:cs="宋体"/>
                <w:sz w:val="24"/>
                <w:szCs w:val="24"/>
              </w:rPr>
              <w:t>递交地点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9798A9">
            <w:pPr>
              <w:keepNext w:val="0"/>
              <w:keepLines w:val="0"/>
              <w:pageBreakBefore w:val="0"/>
              <w:kinsoku/>
              <w:wordWrap/>
              <w:overflowPunct w:val="0"/>
              <w:topLinePunct w:val="0"/>
              <w:bidi w:val="0"/>
              <w:spacing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政采云平台（http://www.ccgp-xinjiang.gov.cn//）</w:t>
            </w:r>
          </w:p>
        </w:tc>
      </w:tr>
      <w:tr w14:paraId="5A0AB8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C8FAFBB">
            <w:pPr>
              <w:pStyle w:val="48"/>
              <w:keepNext w:val="0"/>
              <w:keepLines w:val="0"/>
              <w:pageBreakBefore w:val="0"/>
              <w:kinsoku/>
              <w:wordWrap/>
              <w:topLinePunct w:val="0"/>
              <w:bidi w:val="0"/>
              <w:spacing w:line="400" w:lineRule="exact"/>
              <w:ind w:right="230" w:rightChars="0"/>
              <w:jc w:val="center"/>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cs="宋体"/>
                <w:color w:val="000000" w:themeColor="text1"/>
                <w:sz w:val="24"/>
                <w:szCs w:val="24"/>
                <w:lang w:val="en-US" w:eastAsia="zh-CN"/>
                <w14:textFill>
                  <w14:solidFill>
                    <w14:schemeClr w14:val="tx1"/>
                  </w14:solidFill>
                </w14:textFill>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3A183C08">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zh-CN"/>
              </w:rPr>
              <w:t>履约保证金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83A5E3">
            <w:pPr>
              <w:keepNext w:val="0"/>
              <w:keepLines w:val="0"/>
              <w:pageBreakBefore w:val="0"/>
              <w:shd w:val="solid" w:color="FFFFFF" w:fill="auto"/>
              <w:kinsoku/>
              <w:wordWrap/>
              <w:topLinePunct w:val="0"/>
              <w:autoSpaceDN w:val="0"/>
              <w:bidi w:val="0"/>
              <w:spacing w:line="400" w:lineRule="exact"/>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w:t>
            </w:r>
          </w:p>
        </w:tc>
      </w:tr>
      <w:tr w14:paraId="26E9D67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87FA392">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1</w:t>
            </w:r>
            <w:r>
              <w:rPr>
                <w:rFonts w:hint="eastAsia" w:cs="宋体"/>
                <w:color w:val="auto"/>
                <w:kern w:val="2"/>
                <w:sz w:val="24"/>
                <w:szCs w:val="24"/>
                <w:lang w:val="en-US" w:eastAsia="zh-CN"/>
              </w:rPr>
              <w:t>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CEBD9B4">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实质性要求和条件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99D8FF0">
            <w:pPr>
              <w:keepNext w:val="0"/>
              <w:keepLines w:val="0"/>
              <w:pageBreakBefore w:val="0"/>
              <w:widowControl/>
              <w:kinsoku/>
              <w:wordWrap/>
              <w:overflowPunct/>
              <w:topLinePunct w:val="0"/>
              <w:autoSpaceDE/>
              <w:autoSpaceDN/>
              <w:bidi w:val="0"/>
              <w:adjustRightInd/>
              <w:snapToGrid/>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highlight w:val="none"/>
                <w:lang w:val="en-US" w:eastAsia="zh-CN"/>
              </w:rPr>
              <w:t>供应商不得偏差离招标文件的实质性要求</w:t>
            </w:r>
          </w:p>
        </w:tc>
      </w:tr>
      <w:tr w14:paraId="7101C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ADB2981">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E605B46">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要求澄清</w:t>
            </w:r>
            <w:r>
              <w:rPr>
                <w:rFonts w:hint="eastAsia" w:ascii="宋体" w:hAnsi="宋体" w:eastAsia="宋体" w:cs="宋体"/>
                <w:color w:val="auto"/>
                <w:sz w:val="24"/>
                <w:szCs w:val="24"/>
                <w:highlight w:val="none"/>
                <w:lang w:val="en-US" w:eastAsia="zh-CN"/>
              </w:rPr>
              <w:t>招标文件</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083A58D">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时间：供应商要求采购人对已发出的</w:t>
            </w:r>
            <w:r>
              <w:rPr>
                <w:rFonts w:hint="eastAsia" w:ascii="宋体" w:hAnsi="宋体" w:cs="宋体"/>
                <w:color w:val="auto"/>
                <w:sz w:val="24"/>
                <w:szCs w:val="24"/>
                <w:lang w:val="en-US" w:eastAsia="zh-CN"/>
              </w:rPr>
              <w:t>采购文件</w:t>
            </w:r>
            <w:r>
              <w:rPr>
                <w:rFonts w:hint="eastAsia" w:ascii="宋体" w:hAnsi="宋体" w:eastAsia="宋体" w:cs="宋体"/>
                <w:color w:val="auto"/>
                <w:sz w:val="24"/>
                <w:szCs w:val="24"/>
                <w:lang w:val="zh-CN" w:eastAsia="zh-CN"/>
              </w:rPr>
              <w:t>进行澄清的，应在投标截止时间的</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天前。</w:t>
            </w:r>
          </w:p>
          <w:p w14:paraId="3CEBDABA">
            <w:pPr>
              <w:keepNext w:val="0"/>
              <w:keepLines w:val="0"/>
              <w:pageBreakBefore w:val="0"/>
              <w:tabs>
                <w:tab w:val="left" w:pos="7665"/>
              </w:tabs>
              <w:kinsoku/>
              <w:wordWrap/>
              <w:topLinePunct w:val="0"/>
              <w:bidi w:val="0"/>
              <w:spacing w:line="400" w:lineRule="exact"/>
              <w:jc w:val="left"/>
              <w:rPr>
                <w:rFonts w:hint="eastAsia" w:ascii="宋体" w:hAnsi="宋体" w:eastAsia="宋体" w:cs="宋体"/>
                <w:sz w:val="24"/>
                <w:szCs w:val="24"/>
                <w:lang w:val="zh-CN"/>
              </w:rPr>
            </w:pPr>
            <w:r>
              <w:rPr>
                <w:rFonts w:hint="eastAsia" w:ascii="宋体" w:hAnsi="宋体" w:eastAsia="宋体" w:cs="宋体"/>
                <w:color w:val="auto"/>
                <w:sz w:val="24"/>
                <w:szCs w:val="24"/>
                <w:lang w:val="zh-CN" w:eastAsia="zh-CN"/>
              </w:rPr>
              <w:t>形式：供应商将要求澄清的内容以书面形式送达采购人（或招标代理机构）。</w:t>
            </w:r>
          </w:p>
        </w:tc>
      </w:tr>
      <w:tr w14:paraId="2CB36B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7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935F82D">
            <w:pPr>
              <w:pStyle w:val="48"/>
              <w:keepNext w:val="0"/>
              <w:keepLines w:val="0"/>
              <w:pageBreakBefore w:val="0"/>
              <w:kinsoku/>
              <w:wordWrap/>
              <w:topLinePunct w:val="0"/>
              <w:bidi w:val="0"/>
              <w:spacing w:line="400" w:lineRule="exact"/>
              <w:ind w:right="264" w:rightChars="0"/>
              <w:jc w:val="center"/>
              <w:rPr>
                <w:rFonts w:hint="default" w:ascii="宋体" w:hAnsi="宋体" w:eastAsia="宋体" w:cs="宋体"/>
                <w:color w:val="auto"/>
                <w:kern w:val="2"/>
                <w:sz w:val="24"/>
                <w:szCs w:val="24"/>
                <w:lang w:val="en-US" w:eastAsia="zh-CN" w:bidi="ar-SA"/>
              </w:rPr>
            </w:pPr>
            <w:r>
              <w:rPr>
                <w:rFonts w:hint="eastAsia" w:cs="宋体"/>
                <w:color w:val="auto"/>
                <w:kern w:val="2"/>
                <w:sz w:val="24"/>
                <w:szCs w:val="24"/>
                <w:lang w:val="en-US" w:eastAsia="zh-CN"/>
              </w:rPr>
              <w:t>19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4966D87">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澄清发出的形式</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4AF9E4C">
            <w:pPr>
              <w:keepNext w:val="0"/>
              <w:keepLines w:val="0"/>
              <w:pageBreakBefore w:val="0"/>
              <w:shd w:val="solid" w:color="FFFFFF" w:fill="auto"/>
              <w:kinsoku/>
              <w:wordWrap/>
              <w:topLinePunct w:val="0"/>
              <w:autoSpaceDN w:val="0"/>
              <w:bidi w:val="0"/>
              <w:spacing w:line="400" w:lineRule="exact"/>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bidi="ar"/>
              </w:rPr>
              <w:t>以书面形式发出</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如有必要对招标文件澄清和修改的将在新疆政府采购网及时发布，澄清文件一旦发布即视为以书面形式通知所有潜在投标人，请各投标人自行关注本次招标项目相关信息的变更情况，否则所造成的一切后果由投标人自负。</w:t>
            </w:r>
          </w:p>
        </w:tc>
      </w:tr>
      <w:tr w14:paraId="331CB79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E7D407E">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F1F20B0">
            <w:pPr>
              <w:pStyle w:val="48"/>
              <w:keepNext w:val="0"/>
              <w:keepLines w:val="0"/>
              <w:pageBreakBefore w:val="0"/>
              <w:kinsoku/>
              <w:wordWrap/>
              <w:topLinePunct w:val="0"/>
              <w:bidi w:val="0"/>
              <w:spacing w:line="400" w:lineRule="exact"/>
              <w:ind w:left="96" w:leftChars="0"/>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支付方式</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2068FC9">
            <w:pPr>
              <w:pStyle w:val="34"/>
              <w:keepNext w:val="0"/>
              <w:keepLines w:val="0"/>
              <w:pageBreakBefore w:val="0"/>
              <w:kinsoku/>
              <w:wordWrap/>
              <w:topLinePunct w:val="0"/>
              <w:bidi w:val="0"/>
              <w:spacing w:line="400" w:lineRule="exact"/>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合同签订生效后 ，支付合同总金额的 50%。</w:t>
            </w:r>
          </w:p>
          <w:p w14:paraId="0F40F2C3">
            <w:pPr>
              <w:pStyle w:val="34"/>
              <w:keepNext w:val="0"/>
              <w:keepLines w:val="0"/>
              <w:pageBreakBefore w:val="0"/>
              <w:kinsoku/>
              <w:wordWrap/>
              <w:topLinePunct w:val="0"/>
              <w:bidi w:val="0"/>
              <w:spacing w:line="400" w:lineRule="exact"/>
              <w:ind w:left="0" w:leftChars="0" w:firstLine="0" w:firstLine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全部货物交付、安装调试完毕，并经验收合格后 ，支付合同总金额的 50%。</w:t>
            </w:r>
          </w:p>
        </w:tc>
      </w:tr>
      <w:tr w14:paraId="1F07543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3CCAAD7">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14:textFill>
                  <w14:solidFill>
                    <w14:schemeClr w14:val="tx1"/>
                  </w14:solidFill>
                </w14:textFill>
              </w:rPr>
              <w:t>2</w:t>
            </w:r>
            <w:r>
              <w:rPr>
                <w:rFonts w:hint="eastAsia" w:cs="宋体"/>
                <w:color w:val="000000" w:themeColor="text1"/>
                <w:kern w:val="2"/>
                <w:sz w:val="24"/>
                <w:szCs w:val="24"/>
                <w:lang w:val="en-US" w:eastAsia="zh-CN"/>
                <w14:textFill>
                  <w14:solidFill>
                    <w14:schemeClr w14:val="tx1"/>
                  </w14:solidFill>
                </w14:textFill>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700D1FF">
            <w:pPr>
              <w:pStyle w:val="48"/>
              <w:keepNext w:val="0"/>
              <w:keepLines w:val="0"/>
              <w:pageBreakBefore w:val="0"/>
              <w:kinsoku/>
              <w:wordWrap/>
              <w:topLinePunct w:val="0"/>
              <w:bidi w:val="0"/>
              <w:spacing w:line="400" w:lineRule="exact"/>
              <w:ind w:left="96"/>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评标委员会的组建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062A3BAE">
            <w:pPr>
              <w:keepNext w:val="0"/>
              <w:keepLines w:val="0"/>
              <w:pageBreakBefore w:val="0"/>
              <w:kinsoku/>
              <w:wordWrap/>
              <w:topLinePunct w:val="0"/>
              <w:bidi w:val="0"/>
              <w:spacing w:line="400" w:lineRule="exact"/>
              <w:ind w:right="105" w:rightChars="5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依法组建评标委员会。评标委员会成员由</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人构成，其中：</w:t>
            </w:r>
            <w:r>
              <w:rPr>
                <w:rFonts w:hint="eastAsia" w:ascii="宋体" w:hAnsi="宋体" w:eastAsia="宋体" w:cs="宋体"/>
                <w:color w:val="000000" w:themeColor="text1"/>
                <w:sz w:val="24"/>
                <w:szCs w:val="24"/>
                <w:highlight w:val="none"/>
                <w:lang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代表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1 </w:t>
            </w:r>
            <w:r>
              <w:rPr>
                <w:rFonts w:hint="eastAsia" w:ascii="宋体" w:hAnsi="宋体" w:eastAsia="宋体" w:cs="宋体"/>
                <w:color w:val="000000" w:themeColor="text1"/>
                <w:sz w:val="24"/>
                <w:szCs w:val="24"/>
                <w:highlight w:val="none"/>
                <w14:textFill>
                  <w14:solidFill>
                    <w14:schemeClr w14:val="tx1"/>
                  </w14:solidFill>
                </w14:textFill>
              </w:rPr>
              <w:t>人，经济及技术方面的专家</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人；经济及技术方面的专家由</w:t>
            </w:r>
            <w:r>
              <w:rPr>
                <w:rFonts w:hint="eastAsia" w:ascii="宋体" w:hAnsi="宋体" w:eastAsia="宋体" w:cs="宋体"/>
                <w:color w:val="000000" w:themeColor="text1"/>
                <w:sz w:val="24"/>
                <w:szCs w:val="24"/>
                <w:highlight w:val="none"/>
                <w:lang w:val="en-US" w:eastAsia="zh-CN"/>
                <w14:textFill>
                  <w14:solidFill>
                    <w14:schemeClr w14:val="tx1"/>
                  </w14:solidFill>
                </w14:textFill>
              </w:rPr>
              <w:t>政府采购平台</w:t>
            </w:r>
            <w:r>
              <w:rPr>
                <w:rFonts w:hint="eastAsia" w:ascii="宋体" w:hAnsi="宋体" w:eastAsia="宋体" w:cs="宋体"/>
                <w:color w:val="000000" w:themeColor="text1"/>
                <w:sz w:val="24"/>
                <w:szCs w:val="24"/>
                <w:highlight w:val="none"/>
                <w14:textFill>
                  <w14:solidFill>
                    <w14:schemeClr w14:val="tx1"/>
                  </w14:solidFill>
                </w14:textFill>
              </w:rPr>
              <w:t>专家库中随机抽取。</w:t>
            </w:r>
          </w:p>
        </w:tc>
      </w:tr>
      <w:tr w14:paraId="5A5493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0843AC7">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E2FF5E1">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电子投标须知</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2CF6006">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请投标单位提前自学线上开标流程；投标截止时间当天，线上开标环节，投标文件解密时长30分钟，各投标单位务必提前调试好在线参标电脑的各项配置及CA锁网上进行签到、文件解密以及操作投标，投标文件报价确认签字时间为10分钟，超过时间视为报价无</w:t>
            </w:r>
            <w:r>
              <w:rPr>
                <w:rFonts w:hint="eastAsia" w:ascii="宋体" w:hAnsi="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CN"/>
              </w:rPr>
              <w:t>。</w:t>
            </w:r>
          </w:p>
          <w:p w14:paraId="070B1D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（如投标单位对电子投标</w:t>
            </w:r>
            <w:r>
              <w:rPr>
                <w:rFonts w:hint="eastAsia" w:ascii="宋体" w:hAnsi="宋体" w:cs="宋体"/>
                <w:color w:val="auto"/>
                <w:sz w:val="24"/>
                <w:szCs w:val="24"/>
                <w:highlight w:val="none"/>
                <w:lang w:val="en-US" w:eastAsia="zh-CN"/>
              </w:rPr>
              <w:t>操作</w:t>
            </w:r>
            <w:r>
              <w:rPr>
                <w:rFonts w:hint="eastAsia" w:ascii="宋体" w:hAnsi="宋体" w:eastAsia="宋体" w:cs="宋体"/>
                <w:color w:val="auto"/>
                <w:sz w:val="24"/>
                <w:szCs w:val="24"/>
                <w:highlight w:val="none"/>
                <w:lang w:val="en-US" w:eastAsia="zh-CN"/>
              </w:rPr>
              <w:t>不清楚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无法完成</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可到招标现场，请自带笔记本电脑及</w:t>
            </w:r>
            <w:r>
              <w:rPr>
                <w:rFonts w:hint="eastAsia" w:ascii="宋体" w:hAnsi="宋体" w:cs="宋体"/>
                <w:color w:val="auto"/>
                <w:sz w:val="24"/>
                <w:szCs w:val="24"/>
                <w:highlight w:val="none"/>
                <w:lang w:val="en-US" w:eastAsia="zh-CN"/>
              </w:rPr>
              <w:t>本单位</w:t>
            </w:r>
            <w:r>
              <w:rPr>
                <w:rFonts w:hint="eastAsia" w:ascii="宋体" w:hAnsi="宋体" w:eastAsia="宋体" w:cs="宋体"/>
                <w:color w:val="auto"/>
                <w:sz w:val="24"/>
                <w:szCs w:val="24"/>
                <w:highlight w:val="none"/>
                <w:lang w:val="en-US" w:eastAsia="zh-CN"/>
              </w:rPr>
              <w:t>CA锁网上进行签到、文件解密以及操作投标。）</w:t>
            </w:r>
          </w:p>
          <w:p w14:paraId="450DA894">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2.招标文件中采购清单、技术需求等如有偏差，如有</w:t>
            </w:r>
            <w:r>
              <w:rPr>
                <w:rFonts w:hint="eastAsia" w:ascii="宋体" w:hAnsi="宋体" w:cs="宋体"/>
                <w:color w:val="auto"/>
                <w:sz w:val="24"/>
                <w:szCs w:val="24"/>
                <w:highlight w:val="none"/>
                <w:lang w:val="en-US" w:eastAsia="zh-CN"/>
              </w:rPr>
              <w:t>异议</w:t>
            </w:r>
            <w:r>
              <w:rPr>
                <w:rFonts w:hint="eastAsia" w:ascii="宋体" w:hAnsi="宋体" w:eastAsia="宋体" w:cs="宋体"/>
                <w:color w:val="auto"/>
                <w:sz w:val="24"/>
                <w:szCs w:val="24"/>
                <w:highlight w:val="none"/>
                <w:lang w:val="en-US" w:eastAsia="zh-CN"/>
              </w:rPr>
              <w:t>请澄清中及时提出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否则视为充分理解招标文件各项要求。</w:t>
            </w:r>
          </w:p>
          <w:p w14:paraId="4B0658D6">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次采用政府采购云平台线上招标、投标，请各潜在投标单位及时办理CA锁和学习政府采购云平台线上投标相关知识。请在政府采购云平台登录后，进行下载招标文件，投标单位获取招标文件后及时关注云平台答疑文件获取栏目，具体相关事宜见政府采购云平台。本项目采用资格后审，请投标单位仔细阅读招标文件的各项要求，制作投标文件，并准备相关资料，若投标单位未按招标文件规定的时间和地点递交投标文件、资格条件不符或提供资料不全等原因导致投标失败，则由投标单位自行承担由此而引起的所有不利后果。投标单位应在中标后递交纸质版投标文件，如二者内容不一致，则以电子版投标文件为准。</w:t>
            </w:r>
          </w:p>
          <w:p w14:paraId="17E7B6E7">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招标文件中如有内容冲突的地方，以投标须知</w:t>
            </w:r>
            <w:r>
              <w:rPr>
                <w:rFonts w:hint="eastAsia" w:ascii="宋体" w:hAnsi="宋体" w:cs="宋体"/>
                <w:color w:val="auto"/>
                <w:sz w:val="24"/>
                <w:szCs w:val="24"/>
                <w:highlight w:val="none"/>
                <w:lang w:val="en-US" w:eastAsia="zh-CN"/>
              </w:rPr>
              <w:t>前附表</w:t>
            </w:r>
            <w:r>
              <w:rPr>
                <w:rFonts w:hint="eastAsia" w:ascii="宋体" w:hAnsi="宋体" w:eastAsia="宋体" w:cs="宋体"/>
                <w:color w:val="auto"/>
                <w:sz w:val="24"/>
                <w:szCs w:val="24"/>
                <w:highlight w:val="none"/>
                <w:lang w:val="en-US" w:eastAsia="zh-CN"/>
              </w:rPr>
              <w:t>要求为准。</w:t>
            </w:r>
          </w:p>
        </w:tc>
      </w:tr>
      <w:tr w14:paraId="4F9676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7F7C90C8">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6CE36F2">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kern w:val="2"/>
                <w:sz w:val="24"/>
                <w:szCs w:val="24"/>
                <w:highlight w:val="none"/>
                <w:lang w:val="en-US" w:eastAsia="zh-CN" w:bidi="ar-SA"/>
              </w:rPr>
              <w:t>中小企业政策</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3BBEAEE8">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FF"/>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根据工信部等部委发布的《关于印发中小企业划型标准规定的通知》（工信部联企业〔2011〕300号）；财政部《关于进一步加大政府采购支持中小企业力度的通知》（财库〔2022〕19号）规定，</w:t>
            </w:r>
            <w:r>
              <w:rPr>
                <w:rFonts w:hint="eastAsia" w:ascii="宋体" w:hAnsi="宋体" w:eastAsia="宋体" w:cs="宋体"/>
                <w:b w:val="0"/>
                <w:bCs w:val="0"/>
                <w:color w:val="auto"/>
                <w:kern w:val="2"/>
                <w:sz w:val="24"/>
                <w:szCs w:val="24"/>
                <w:highlight w:val="none"/>
                <w:lang w:val="en-US" w:eastAsia="zh-CN" w:bidi="ar-SA"/>
              </w:rPr>
              <w:t>本次采购标的所属行业为</w:t>
            </w:r>
            <w:r>
              <w:rPr>
                <w:rFonts w:hint="eastAsia" w:ascii="宋体" w:hAnsi="宋体" w:eastAsia="宋体" w:cs="宋体"/>
                <w:b/>
                <w:bCs/>
                <w:color w:val="auto"/>
                <w:kern w:val="2"/>
                <w:sz w:val="24"/>
                <w:szCs w:val="24"/>
                <w:highlight w:val="none"/>
                <w:lang w:val="en-US" w:eastAsia="zh-CN" w:bidi="ar-SA"/>
              </w:rPr>
              <w:t>工业（制造业）</w:t>
            </w:r>
            <w:r>
              <w:rPr>
                <w:rFonts w:hint="eastAsia" w:ascii="宋体" w:hAnsi="宋体" w:eastAsia="宋体" w:cs="宋体"/>
                <w:color w:val="auto"/>
                <w:kern w:val="2"/>
                <w:sz w:val="24"/>
                <w:szCs w:val="24"/>
                <w:highlight w:val="none"/>
                <w:lang w:val="en-US" w:eastAsia="zh-CN" w:bidi="ar-SA"/>
              </w:rPr>
              <w:t>、《政府采购需求管理办法的通知》（财库〔2021〕22 号）、《政府采购促进中小企业发展管理办法》（财库[2020]46 号）、《财政部 司法部关于政府采购支持监狱企业发展有关问题的通知》（财库〔2014〕68 号）和《三部门联合发布关于促进残疾人就业政府采购政策的通知》（财库〔2017〕 141 号）的规定，对满足价格扣除条件且在投标文件中提交了《供应商企业类型声明函》或省级以上监狱管理局、戒毒管理局（含新疆生产建设兵团）出具的属于监狱企业的证明文件</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的供应商。</w:t>
            </w:r>
          </w:p>
          <w:p w14:paraId="113FA2F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符合以下条件的中小微型企业应按照采购文件格式要求提供《中小企业声明函》。</w:t>
            </w:r>
          </w:p>
          <w:p w14:paraId="70C79BF1">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863B6AE">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29EFE89D">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（3）依据本办法规</w:t>
            </w:r>
            <w:r>
              <w:rPr>
                <w:rFonts w:hint="eastAsia" w:ascii="宋体" w:hAnsi="宋体" w:eastAsia="宋体" w:cs="宋体"/>
                <w:color w:val="auto"/>
                <w:kern w:val="2"/>
                <w:sz w:val="24"/>
                <w:szCs w:val="24"/>
                <w:highlight w:val="none"/>
                <w:lang w:val="en-US" w:eastAsia="zh-CN" w:bidi="ar-SA"/>
              </w:rPr>
              <w:t>定享受扶持政策获得政府采购合同的，小微企业不得将合同分包给大中型企业，中型企业不得将合同分包给大型企业。</w:t>
            </w:r>
          </w:p>
          <w:p w14:paraId="503AF61A">
            <w:pPr>
              <w:keepNext w:val="0"/>
              <w:keepLines w:val="0"/>
              <w:pageBreakBefore w:val="0"/>
              <w:widowControl w:val="0"/>
              <w:kinsoku/>
              <w:wordWrap/>
              <w:overflowPunct/>
              <w:topLinePunct w:val="0"/>
              <w:autoSpaceDE/>
              <w:autoSpaceDN/>
              <w:bidi w:val="0"/>
              <w:adjustRightInd w:val="0"/>
              <w:snapToGrid w:val="0"/>
              <w:spacing w:beforeAutospacing="0" w:after="0" w:afterAutospacing="0" w:line="400" w:lineRule="exact"/>
              <w:ind w:left="0" w:leftChars="0" w:right="0"/>
              <w:textAlignment w:val="auto"/>
              <w:rPr>
                <w:rFonts w:hint="eastAsia" w:ascii="宋体" w:hAnsi="宋体" w:eastAsia="宋体" w:cs="宋体"/>
                <w:color w:val="auto"/>
                <w:sz w:val="24"/>
                <w:szCs w:val="24"/>
              </w:rPr>
            </w:pPr>
            <w:r>
              <w:rPr>
                <w:rFonts w:hint="eastAsia" w:ascii="宋体" w:hAnsi="宋体" w:eastAsia="宋体" w:cs="宋体"/>
                <w:color w:val="auto"/>
                <w:kern w:val="2"/>
                <w:sz w:val="24"/>
                <w:szCs w:val="24"/>
                <w:highlight w:val="none"/>
                <w:lang w:val="en-US" w:eastAsia="zh-CN" w:bidi="ar-SA"/>
              </w:rPr>
              <w:t>（4）联合体各方均为中小企业的,联合体视同中小企业。其中,联合体各方均为小微企业的,联合体视同小微企业。组成联合体的小微企业与其他企业之间存在直接控股、管理关系的,不享受价格扣除优惠政策。</w:t>
            </w:r>
          </w:p>
        </w:tc>
      </w:tr>
      <w:tr w14:paraId="380C092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815594A">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61118A2">
            <w:pPr>
              <w:keepNext w:val="0"/>
              <w:keepLines w:val="0"/>
              <w:pageBreakBefore w:val="0"/>
              <w:widowControl w:val="0"/>
              <w:kinsoku/>
              <w:wordWrap/>
              <w:overflowPunct/>
              <w:topLinePunct w:val="0"/>
              <w:bidi w:val="0"/>
              <w:adjustRightInd w:val="0"/>
              <w:snapToGrid w:val="0"/>
              <w:spacing w:beforeAutospacing="0" w:after="0" w:afterAutospacing="0" w:line="400" w:lineRule="exact"/>
              <w:ind w:left="0" w:leftChars="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通讯联系</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BE44E80">
            <w:pPr>
              <w:keepNext w:val="0"/>
              <w:keepLines w:val="0"/>
              <w:pageBreakBefore w:val="0"/>
              <w:widowControl w:val="0"/>
              <w:kinsoku/>
              <w:wordWrap/>
              <w:overflowPunct/>
              <w:topLinePunct w:val="0"/>
              <w:autoSpaceDE/>
              <w:autoSpaceDN/>
              <w:bidi w:val="0"/>
              <w:spacing w:beforeAutospacing="0" w:after="0" w:afterAutospacing="0" w:line="400" w:lineRule="exact"/>
              <w:ind w:left="0" w:leftChars="0" w:right="0" w:right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之时起至评标结束止，应确保其提供的联系方式一直保持有效和畅通，以保证在招投标期间需进行往来函件或与之有关的事宜能及时发送或通知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，并能及时反馈信息。否则，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（或招标代理机构）不承担由此（提供的联系方式无效或通讯不畅）引起的一切后果。</w:t>
            </w:r>
          </w:p>
        </w:tc>
      </w:tr>
      <w:tr w14:paraId="1D999B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96337CD">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5</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5E6D39D">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sz w:val="24"/>
                <w:szCs w:val="24"/>
                <w:lang w:val="zh-CN"/>
              </w:rPr>
            </w:pPr>
            <w:r>
              <w:rPr>
                <w:rFonts w:hint="eastAsia" w:ascii="宋体" w:hAnsi="宋体" w:eastAsia="宋体" w:cs="宋体"/>
                <w:color w:val="auto"/>
                <w:sz w:val="24"/>
                <w:szCs w:val="24"/>
              </w:rPr>
              <w:t>对招标文件资质要求、技术参数、商务要求、评分办法等采购需求提出的询问和质疑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E883DE1">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0599C30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常瑞琪</w:t>
            </w:r>
          </w:p>
          <w:p w14:paraId="4E442BEE">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18590559920</w:t>
            </w:r>
          </w:p>
          <w:p w14:paraId="48AC0DB3">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eastAsia="zh-CN"/>
              </w:rPr>
              <w:t>书面形式</w:t>
            </w:r>
          </w:p>
          <w:p w14:paraId="25DC3E69">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地址：吐鲁番市高昌区示范区和平街11幢2层201号</w:t>
            </w:r>
          </w:p>
          <w:p w14:paraId="56F69308">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提出质疑时间：招标文件公告期限届满之日起七个工作日内。</w:t>
            </w:r>
          </w:p>
          <w:p w14:paraId="35A5084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rPr>
              <w:t>备注：供应商应当在法定质疑期内一次性提出针对统一采购程序环节的质疑。</w:t>
            </w:r>
          </w:p>
        </w:tc>
      </w:tr>
      <w:tr w14:paraId="7CC954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6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9520344">
            <w:pPr>
              <w:pStyle w:val="48"/>
              <w:keepNext w:val="0"/>
              <w:keepLines w:val="0"/>
              <w:pageBreakBefore w:val="0"/>
              <w:kinsoku/>
              <w:wordWrap/>
              <w:topLinePunct w:val="0"/>
              <w:bidi w:val="0"/>
              <w:spacing w:line="400" w:lineRule="exact"/>
              <w:ind w:right="264"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rPr>
              <w:t>2</w:t>
            </w:r>
            <w:r>
              <w:rPr>
                <w:rFonts w:hint="eastAsia" w:cs="宋体"/>
                <w:color w:val="auto"/>
                <w:kern w:val="2"/>
                <w:sz w:val="24"/>
                <w:szCs w:val="24"/>
                <w:lang w:val="en-US" w:eastAsia="zh-CN"/>
              </w:rPr>
              <w:t>6</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924D6C4">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对</w:t>
            </w:r>
            <w:r>
              <w:rPr>
                <w:rFonts w:hint="eastAsia" w:ascii="宋体" w:hAnsi="宋体" w:eastAsia="宋体" w:cs="宋体"/>
                <w:color w:val="auto"/>
                <w:sz w:val="24"/>
                <w:szCs w:val="24"/>
              </w:rPr>
              <w:t>招标文件除资质要求、技术参数、商务要求、评分办法等采购需求内容以外事项、</w:t>
            </w:r>
            <w:r>
              <w:rPr>
                <w:rFonts w:hint="eastAsia" w:ascii="宋体" w:hAnsi="宋体" w:eastAsia="宋体" w:cs="宋体"/>
                <w:color w:val="auto"/>
                <w:kern w:val="2"/>
                <w:sz w:val="24"/>
                <w:szCs w:val="24"/>
              </w:rPr>
              <w:t>采购过程和采购结果的询问和质疑</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7B6FF3D">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受理单位：</w:t>
            </w:r>
            <w:r>
              <w:rPr>
                <w:rFonts w:hint="eastAsia" w:ascii="宋体" w:hAnsi="宋体" w:eastAsia="宋体" w:cs="宋体"/>
                <w:color w:val="auto"/>
                <w:sz w:val="24"/>
                <w:szCs w:val="24"/>
                <w:lang w:eastAsia="zh-CN"/>
              </w:rPr>
              <w:t>新疆华域天恒工程管理有限公司</w:t>
            </w:r>
          </w:p>
          <w:p w14:paraId="7ADC7D7D">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 系 人：</w:t>
            </w:r>
            <w:r>
              <w:rPr>
                <w:rFonts w:hint="eastAsia" w:ascii="宋体" w:hAnsi="宋体" w:cs="宋体"/>
                <w:color w:val="auto"/>
                <w:sz w:val="24"/>
                <w:szCs w:val="24"/>
                <w:lang w:val="en-US" w:eastAsia="zh-CN"/>
              </w:rPr>
              <w:t>常瑞琪</w:t>
            </w:r>
          </w:p>
          <w:p w14:paraId="7F4DFA9A">
            <w:pPr>
              <w:keepNext w:val="0"/>
              <w:keepLines w:val="0"/>
              <w:pageBreakBefore w:val="0"/>
              <w:kinsoku/>
              <w:wordWrap/>
              <w:topLinePunct w:val="0"/>
              <w:bidi w:val="0"/>
              <w:spacing w:line="400" w:lineRule="exact"/>
              <w:ind w:right="105" w:rightChars="5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w:t>
            </w:r>
            <w:r>
              <w:rPr>
                <w:rFonts w:hint="eastAsia" w:ascii="宋体" w:hAnsi="宋体" w:cs="宋体"/>
                <w:color w:val="auto"/>
                <w:sz w:val="24"/>
                <w:szCs w:val="24"/>
                <w:lang w:val="en-US" w:eastAsia="zh-CN"/>
              </w:rPr>
              <w:t>18590559920</w:t>
            </w:r>
          </w:p>
          <w:p w14:paraId="4E50CD79">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质疑函接受方式：</w:t>
            </w:r>
            <w:r>
              <w:rPr>
                <w:rFonts w:hint="eastAsia" w:ascii="宋体" w:hAnsi="宋体" w:cs="宋体"/>
                <w:color w:val="auto"/>
                <w:sz w:val="24"/>
                <w:szCs w:val="24"/>
                <w:lang w:eastAsia="zh-CN"/>
              </w:rPr>
              <w:t>书面形式</w:t>
            </w:r>
          </w:p>
          <w:p w14:paraId="3F3704C2">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地址：吐鲁番市高昌区示范区和平街11幢2层201号</w:t>
            </w:r>
          </w:p>
          <w:p w14:paraId="35BF5265">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对采购过程提出质疑时间：为各采购程序环节结束之日起七个工作日内。</w:t>
            </w:r>
          </w:p>
          <w:p w14:paraId="7E0927BF">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对采购结果提出质疑时间：为中标结果公告发布次日后七个工作日内。</w:t>
            </w:r>
          </w:p>
          <w:p w14:paraId="37824485">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备注：1、采购单位无正当理由不按照依法推荐的中标候选供应商顺序确定中标供应商，或者在评标委员会依法推荐的中标候选供应商以外确定中标供应商的质疑由采购单位受理。</w:t>
            </w:r>
          </w:p>
          <w:p w14:paraId="4B3B917B">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2、供应商应当在法定质疑期内一次性提出针对统一采购程序环节的质疑。</w:t>
            </w:r>
          </w:p>
        </w:tc>
      </w:tr>
      <w:tr w14:paraId="0C0605E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4"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35A4F287">
            <w:pPr>
              <w:keepNext w:val="0"/>
              <w:keepLines w:val="0"/>
              <w:pageBreakBefore w:val="0"/>
              <w:kinsoku/>
              <w:wordWrap/>
              <w:topLinePunct w:val="0"/>
              <w:bidi w:val="0"/>
              <w:spacing w:line="400" w:lineRule="exact"/>
              <w:ind w:right="80" w:rightChars="0"/>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2</w:t>
            </w:r>
            <w:r>
              <w:rPr>
                <w:rFonts w:hint="eastAsia" w:ascii="宋体" w:hAnsi="宋体" w:cs="宋体"/>
                <w:bCs/>
                <w:color w:val="auto"/>
                <w:sz w:val="24"/>
                <w:szCs w:val="24"/>
                <w:lang w:val="en-US" w:eastAsia="zh-CN"/>
              </w:rPr>
              <w:t>7</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1823B30">
            <w:pPr>
              <w:pStyle w:val="48"/>
              <w:keepNext w:val="0"/>
              <w:keepLines w:val="0"/>
              <w:pageBreakBefore w:val="0"/>
              <w:kinsoku/>
              <w:wordWrap/>
              <w:topLinePunct w:val="0"/>
              <w:bidi w:val="0"/>
              <w:spacing w:line="400" w:lineRule="exact"/>
              <w:ind w:left="96"/>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投诉</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057D894">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投诉受理单位：本采购项目同级财政部门，即</w:t>
            </w:r>
            <w:r>
              <w:rPr>
                <w:rFonts w:hint="eastAsia" w:ascii="宋体" w:hAnsi="宋体" w:cs="宋体"/>
                <w:color w:val="auto"/>
                <w:sz w:val="24"/>
                <w:szCs w:val="24"/>
                <w:u w:val="single"/>
                <w:lang w:val="en-US" w:eastAsia="zh-CN"/>
              </w:rPr>
              <w:t>托克逊县</w:t>
            </w:r>
            <w:r>
              <w:rPr>
                <w:rFonts w:hint="eastAsia" w:ascii="宋体" w:hAnsi="宋体" w:eastAsia="宋体" w:cs="宋体"/>
                <w:color w:val="auto"/>
                <w:sz w:val="24"/>
                <w:szCs w:val="24"/>
                <w:u w:val="single"/>
                <w:lang w:eastAsia="zh-CN"/>
              </w:rPr>
              <w:t>财政局</w:t>
            </w:r>
            <w:r>
              <w:rPr>
                <w:rFonts w:hint="eastAsia" w:ascii="宋体" w:hAnsi="宋体" w:eastAsia="宋体" w:cs="宋体"/>
                <w:color w:val="auto"/>
                <w:sz w:val="24"/>
                <w:szCs w:val="24"/>
              </w:rPr>
              <w:t>。</w:t>
            </w:r>
          </w:p>
        </w:tc>
      </w:tr>
      <w:tr w14:paraId="4F92A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5EFCD0D5">
            <w:pPr>
              <w:keepNext w:val="0"/>
              <w:keepLines w:val="0"/>
              <w:pageBreakBefore w:val="0"/>
              <w:kinsoku/>
              <w:wordWrap/>
              <w:topLinePunct w:val="0"/>
              <w:bidi w:val="0"/>
              <w:spacing w:line="400" w:lineRule="exact"/>
              <w:ind w:right="80" w:rightChars="0"/>
              <w:jc w:val="center"/>
              <w:rPr>
                <w:rFonts w:hint="default" w:ascii="宋体" w:hAnsi="宋体" w:eastAsia="宋体" w:cs="宋体"/>
                <w:color w:val="auto"/>
                <w:kern w:val="2"/>
                <w:sz w:val="24"/>
                <w:szCs w:val="24"/>
                <w:lang w:val="en-US" w:eastAsia="zh-CN" w:bidi="ar-SA"/>
              </w:rPr>
            </w:pPr>
            <w:r>
              <w:rPr>
                <w:rFonts w:hint="eastAsia" w:ascii="宋体" w:hAnsi="宋体" w:cs="宋体"/>
                <w:bCs/>
                <w:color w:val="auto"/>
                <w:sz w:val="24"/>
                <w:szCs w:val="24"/>
                <w:lang w:val="en-US" w:eastAsia="zh-CN"/>
              </w:rPr>
              <w:t>28</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45600ABB">
            <w:pPr>
              <w:pStyle w:val="48"/>
              <w:keepNext w:val="0"/>
              <w:keepLines w:val="0"/>
              <w:pageBreakBefore w:val="0"/>
              <w:kinsoku/>
              <w:wordWrap/>
              <w:topLinePunct w:val="0"/>
              <w:bidi w:val="0"/>
              <w:spacing w:line="400" w:lineRule="exact"/>
              <w:jc w:val="center"/>
              <w:rPr>
                <w:rFonts w:hint="eastAsia" w:ascii="宋体" w:hAnsi="宋体" w:eastAsia="宋体" w:cs="宋体"/>
                <w:color w:val="auto"/>
                <w:kern w:val="2"/>
                <w:sz w:val="24"/>
                <w:szCs w:val="24"/>
              </w:rPr>
            </w:pPr>
            <w:r>
              <w:rPr>
                <w:rFonts w:hint="eastAsia" w:ascii="宋体" w:hAnsi="宋体" w:eastAsia="宋体" w:cs="宋体"/>
                <w:color w:val="auto"/>
                <w:sz w:val="24"/>
                <w:szCs w:val="24"/>
              </w:rPr>
              <w:t>评审情况的公告</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55643BB0">
            <w:pPr>
              <w:keepNext w:val="0"/>
              <w:keepLines w:val="0"/>
              <w:pageBreakBefore w:val="0"/>
              <w:kinsoku/>
              <w:wordWrap/>
              <w:topLinePunct w:val="0"/>
              <w:bidi w:val="0"/>
              <w:spacing w:line="400" w:lineRule="exact"/>
              <w:ind w:right="105" w:rightChars="50"/>
              <w:jc w:val="left"/>
              <w:rPr>
                <w:rFonts w:hint="eastAsia" w:ascii="宋体" w:hAnsi="宋体" w:eastAsia="宋体" w:cs="宋体"/>
                <w:color w:val="auto"/>
                <w:sz w:val="24"/>
                <w:szCs w:val="24"/>
              </w:rPr>
            </w:pPr>
            <w:r>
              <w:rPr>
                <w:rFonts w:hint="eastAsia" w:ascii="宋体" w:hAnsi="宋体" w:eastAsia="宋体" w:cs="宋体"/>
                <w:color w:val="auto"/>
                <w:sz w:val="24"/>
                <w:szCs w:val="24"/>
              </w:rPr>
              <w:t>评审结果将在新疆政府采购网上采购结果公告栏中予以公告。</w:t>
            </w:r>
          </w:p>
        </w:tc>
      </w:tr>
      <w:tr w14:paraId="775487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47"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27B27B7C">
            <w:pPr>
              <w:pStyle w:val="48"/>
              <w:keepNext w:val="0"/>
              <w:keepLines w:val="0"/>
              <w:pageBreakBefore w:val="0"/>
              <w:kinsoku/>
              <w:wordWrap/>
              <w:topLinePunct w:val="0"/>
              <w:bidi w:val="0"/>
              <w:spacing w:line="400" w:lineRule="exact"/>
              <w:ind w:right="230" w:rightChars="0"/>
              <w:jc w:val="center"/>
              <w:rPr>
                <w:rFonts w:hint="default" w:ascii="宋体" w:hAnsi="宋体" w:eastAsia="宋体" w:cs="宋体"/>
                <w:color w:val="auto"/>
                <w:sz w:val="24"/>
                <w:szCs w:val="24"/>
                <w:lang w:val="en-US" w:eastAsia="zh-CN" w:bidi="ar-SA"/>
              </w:rPr>
            </w:pPr>
            <w:r>
              <w:rPr>
                <w:rFonts w:hint="eastAsia" w:cs="宋体"/>
                <w:color w:val="auto"/>
                <w:sz w:val="24"/>
                <w:szCs w:val="24"/>
                <w:lang w:val="en-US" w:eastAsia="zh-CN"/>
              </w:rPr>
              <w:t>29</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CFA9904">
            <w:pPr>
              <w:keepNext w:val="0"/>
              <w:keepLines w:val="0"/>
              <w:pageBreakBefore w:val="0"/>
              <w:kinsoku/>
              <w:wordWrap/>
              <w:topLinePunct w:val="0"/>
              <w:bidi w:val="0"/>
              <w:spacing w:line="40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政府采购合同</w:t>
            </w:r>
          </w:p>
          <w:p w14:paraId="455E5540">
            <w:pPr>
              <w:keepNext w:val="0"/>
              <w:keepLines w:val="0"/>
              <w:pageBreakBefore w:val="0"/>
              <w:kinsoku/>
              <w:wordWrap/>
              <w:topLinePunct w:val="0"/>
              <w:bidi w:val="0"/>
              <w:spacing w:line="400" w:lineRule="exact"/>
              <w:ind w:firstLine="120" w:firstLineChars="50"/>
              <w:jc w:val="center"/>
              <w:rPr>
                <w:rFonts w:hint="eastAsia" w:ascii="宋体" w:hAnsi="宋体" w:eastAsia="宋体" w:cs="宋体"/>
                <w:color w:val="auto"/>
                <w:sz w:val="24"/>
                <w:szCs w:val="24"/>
              </w:rPr>
            </w:pPr>
            <w:r>
              <w:rPr>
                <w:rFonts w:hint="eastAsia" w:ascii="宋体" w:hAnsi="宋体" w:eastAsia="宋体" w:cs="宋体"/>
                <w:color w:val="auto"/>
                <w:sz w:val="24"/>
                <w:szCs w:val="24"/>
              </w:rPr>
              <w:t>备案</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A227E7E">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政府采购合同签订之日起2个工作日内，采购人应将政府采购合同在新疆政府采购网公告；政府采购合同签订之日起七个工作日内，政府采购合同将向本采购项目同级财政部门备案。</w:t>
            </w:r>
          </w:p>
          <w:p w14:paraId="4809772E">
            <w:pPr>
              <w:keepNext w:val="0"/>
              <w:keepLines w:val="0"/>
              <w:pageBreakBefore w:val="0"/>
              <w:kinsoku/>
              <w:wordWrap/>
              <w:topLinePunct w:val="0"/>
              <w:bidi w:val="0"/>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rPr>
              <w:t>政府采购合同签订之日起2个工作日内，成交供应商应将政府采购合同向采购代理机构审核</w:t>
            </w:r>
            <w:r>
              <w:rPr>
                <w:rFonts w:hint="eastAsia" w:ascii="宋体" w:hAnsi="宋体" w:eastAsia="宋体" w:cs="宋体"/>
                <w:color w:val="auto"/>
                <w:sz w:val="24"/>
                <w:szCs w:val="24"/>
                <w:lang w:val="zh-CN"/>
              </w:rPr>
              <w:t>备案。</w:t>
            </w:r>
          </w:p>
        </w:tc>
      </w:tr>
      <w:tr w14:paraId="509A2D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4D974CDE">
            <w:pPr>
              <w:keepNext w:val="0"/>
              <w:keepLines w:val="0"/>
              <w:pageBreakBefore w:val="0"/>
              <w:kinsoku/>
              <w:wordWrap/>
              <w:topLinePunct w:val="0"/>
              <w:bidi w:val="0"/>
              <w:spacing w:line="400" w:lineRule="exact"/>
              <w:ind w:right="8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w:t>
            </w:r>
            <w:r>
              <w:rPr>
                <w:rFonts w:hint="eastAsia" w:ascii="宋体" w:hAnsi="宋体" w:cs="宋体"/>
                <w:bCs/>
                <w:color w:val="auto"/>
                <w:sz w:val="24"/>
                <w:szCs w:val="24"/>
                <w:lang w:val="en-US" w:eastAsia="zh-CN"/>
              </w:rPr>
              <w:t>0</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50C8DD32">
            <w:pPr>
              <w:pStyle w:val="64"/>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低于成本价不正当竞争预防措施</w:t>
            </w:r>
          </w:p>
          <w:p w14:paraId="764B7921">
            <w:pPr>
              <w:pStyle w:val="64"/>
              <w:keepNext w:val="0"/>
              <w:keepLines w:val="0"/>
              <w:pageBreakBefore w:val="0"/>
              <w:kinsoku/>
              <w:wordWrap/>
              <w:topLinePunct w:val="0"/>
              <w:bidi w:val="0"/>
              <w:spacing w:before="100" w:beforeAutospacing="1" w:after="100" w:afterAutospacing="1" w:line="40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
                <w:bCs/>
                <w:color w:val="auto"/>
                <w:sz w:val="24"/>
                <w:szCs w:val="24"/>
              </w:rPr>
              <w:t>实质性要求</w:t>
            </w:r>
            <w:r>
              <w:rPr>
                <w:rFonts w:hint="eastAsia" w:ascii="宋体" w:hAnsi="宋体" w:eastAsia="宋体" w:cs="宋体"/>
                <w:bCs/>
                <w:color w:val="auto"/>
                <w:sz w:val="24"/>
                <w:szCs w:val="24"/>
              </w:rPr>
              <w:t>）</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3DCCE09">
            <w:pPr>
              <w:pStyle w:val="74"/>
              <w:keepNext w:val="0"/>
              <w:keepLines w:val="0"/>
              <w:pageBreakBefore w:val="0"/>
              <w:kinsoku/>
              <w:wordWrap/>
              <w:topLinePunct w:val="0"/>
              <w:bidi w:val="0"/>
              <w:adjustRightInd w:val="0"/>
              <w:snapToGrid w:val="0"/>
              <w:spacing w:line="360" w:lineRule="exact"/>
              <w:ind w:right="0" w:rightChars="0"/>
              <w:textAlignment w:val="auto"/>
              <w:rPr>
                <w:rFonts w:hint="eastAsia" w:ascii="仿宋" w:hAnsi="仿宋" w:eastAsia="仿宋"/>
                <w:b/>
                <w:bCs/>
                <w:snapToGrid w:val="0"/>
                <w:kern w:val="0"/>
                <w:sz w:val="24"/>
                <w:szCs w:val="22"/>
                <w:lang w:val="zh-CN"/>
              </w:rPr>
            </w:pPr>
            <w:r>
              <w:rPr>
                <w:rFonts w:hint="eastAsia" w:ascii="宋体" w:hAnsi="宋体" w:eastAsia="宋体" w:cs="宋体"/>
                <w:b/>
                <w:bCs/>
                <w:snapToGrid w:val="0"/>
                <w:kern w:val="0"/>
                <w:sz w:val="24"/>
                <w:szCs w:val="22"/>
                <w:lang w:val="zh-CN"/>
              </w:rPr>
              <w:t>低价不正当竞争预防措施(实质性要求):</w:t>
            </w:r>
          </w:p>
          <w:p w14:paraId="382CC98C">
            <w:pPr>
              <w:pStyle w:val="74"/>
              <w:keepNext w:val="0"/>
              <w:keepLines w:val="0"/>
              <w:pageBreakBefore w:val="0"/>
              <w:numPr>
                <w:ilvl w:val="0"/>
                <w:numId w:val="1"/>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 xml:space="preserve">在评标过程中，评标委员会认为投标人的报价明显低于其 他通过符合性审查投标人的报价，有可能影响产品质量或者不能 诚信履约的，应当要求其在评标现场合理的时间内提供书面说明，必要时提交相关证明材料；投标人不能证明其报价合理性的，评标委员会应当将其作为无效投标处理。 </w:t>
            </w:r>
          </w:p>
          <w:p w14:paraId="4AAA4914">
            <w:pPr>
              <w:pStyle w:val="74"/>
              <w:keepNext w:val="0"/>
              <w:keepLines w:val="0"/>
              <w:pageBreakBefore w:val="0"/>
              <w:numPr>
                <w:ilvl w:val="0"/>
                <w:numId w:val="1"/>
              </w:numPr>
              <w:kinsoku/>
              <w:wordWrap/>
              <w:topLinePunct w:val="0"/>
              <w:bidi w:val="0"/>
              <w:adjustRightInd w:val="0"/>
              <w:snapToGrid w:val="0"/>
              <w:spacing w:line="360" w:lineRule="exact"/>
              <w:ind w:right="0" w:rightChars="0"/>
              <w:textAlignment w:val="auto"/>
              <w:rPr>
                <w:rFonts w:hint="eastAsia" w:ascii="宋体" w:hAnsi="宋体" w:eastAsia="宋体" w:cs="宋体"/>
                <w:snapToGrid w:val="0"/>
                <w:color w:val="auto"/>
                <w:kern w:val="0"/>
                <w:sz w:val="24"/>
                <w:szCs w:val="22"/>
                <w:lang w:val="zh-CN" w:eastAsia="zh-CN" w:bidi="ar-SA"/>
              </w:rPr>
            </w:pPr>
            <w:r>
              <w:rPr>
                <w:rFonts w:hint="eastAsia" w:ascii="宋体" w:hAnsi="宋体" w:eastAsia="宋体" w:cs="宋体"/>
                <w:snapToGrid w:val="0"/>
                <w:color w:val="auto"/>
                <w:kern w:val="0"/>
                <w:sz w:val="24"/>
                <w:szCs w:val="22"/>
                <w:lang w:val="en-US" w:eastAsia="zh-CN" w:bidi="ar-SA"/>
              </w:rPr>
              <w:t>政府采购异常低价审查：根据《关于推动解决政府采购异常低价问题的通知》（财库〔2026〕2号）的规定：</w:t>
            </w:r>
          </w:p>
          <w:p w14:paraId="4A6AFE81">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（一）采购评审中出现下列情形之一的，评审委员会应当启动异常低价投标（响应）审查程序：</w:t>
            </w:r>
          </w:p>
          <w:p w14:paraId="2F20F680">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1.投标（响应）报价低于全部通过符合性审查供应商投标（响应）报价平均值50%的，即投标（响应）报价&lt;全部通过符合性审查供应商投标（响应）报价平均值×50%；</w:t>
            </w:r>
          </w:p>
          <w:p w14:paraId="28E3B780">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2.投标（响应）报价低于通过符合性审查的次低报价供应商投标（响应）报价50%的，即投标（响应）报价&lt;通过符合性审查的次低报价供应商投标（响应）报价×50%；</w:t>
            </w:r>
          </w:p>
          <w:p w14:paraId="736EAE7F">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3.投标（响应）报价低于采购项目最高限价45%的，即投标（响应）报价&lt;采购项目最高限价×45%；</w:t>
            </w:r>
          </w:p>
          <w:p w14:paraId="6DFCF2D6">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4.评审委员会基于专业判断，认为供应商报价过低，有可能影响产品质量或者不能诚信履约的其他情形。</w:t>
            </w:r>
          </w:p>
          <w:p w14:paraId="1A5CC7DE">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采购人可以结合具体项目实际情况，提高上述第1项至第3项中启动异常低价投标（响应）审查的数值标准，但是最高不得超过65%。</w:t>
            </w:r>
          </w:p>
          <w:p w14:paraId="5B274468">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相关法律法规对供应商报价有规定的，从其规定。</w:t>
            </w:r>
          </w:p>
          <w:p w14:paraId="0EEF57CD">
            <w:pPr>
              <w:pStyle w:val="41"/>
              <w:keepNext w:val="0"/>
              <w:keepLines w:val="0"/>
              <w:pageBreakBefore w:val="0"/>
              <w:widowControl w:val="0"/>
              <w:kinsoku/>
              <w:wordWrap/>
              <w:overflowPunct/>
              <w:topLinePunct w:val="0"/>
              <w:bidi w:val="0"/>
              <w:adjustRightInd w:val="0"/>
              <w:spacing w:line="360" w:lineRule="exact"/>
              <w:ind w:right="0" w:rightChars="0"/>
              <w:jc w:val="both"/>
              <w:textAlignment w:val="auto"/>
              <w:rPr>
                <w:rFonts w:hint="eastAsia" w:ascii="宋体" w:hAnsi="宋体" w:eastAsia="宋体" w:cs="宋体"/>
                <w:snapToGrid w:val="0"/>
                <w:color w:val="auto"/>
                <w:kern w:val="0"/>
                <w:sz w:val="24"/>
                <w:szCs w:val="22"/>
                <w:lang w:val="en-US" w:eastAsia="zh-CN" w:bidi="ar-SA"/>
              </w:rPr>
            </w:pPr>
            <w:r>
              <w:rPr>
                <w:rFonts w:hint="eastAsia" w:ascii="宋体" w:hAnsi="宋体" w:eastAsia="宋体" w:cs="宋体"/>
                <w:snapToGrid w:val="0"/>
                <w:color w:val="auto"/>
                <w:kern w:val="0"/>
                <w:sz w:val="24"/>
                <w:szCs w:val="22"/>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4CFF021">
            <w:pPr>
              <w:keepNext w:val="0"/>
              <w:keepLines w:val="0"/>
              <w:pageBreakBefore w:val="0"/>
              <w:kinsoku/>
              <w:wordWrap/>
              <w:topLinePunct w:val="0"/>
              <w:bidi w:val="0"/>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snapToGrid w:val="0"/>
                <w:color w:val="auto"/>
                <w:kern w:val="0"/>
                <w:sz w:val="24"/>
                <w:szCs w:val="22"/>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w:t>
            </w:r>
            <w:r>
              <w:rPr>
                <w:rFonts w:hint="eastAsia" w:ascii="宋体" w:hAnsi="宋体" w:eastAsia="宋体" w:cs="宋体"/>
                <w:b/>
                <w:color w:val="auto"/>
                <w:sz w:val="24"/>
                <w:szCs w:val="24"/>
              </w:rPr>
              <w:t>价合理性的，评标委员会应当将其</w:t>
            </w:r>
            <w:r>
              <w:rPr>
                <w:rFonts w:hint="eastAsia" w:ascii="宋体" w:hAnsi="宋体" w:eastAsia="宋体" w:cs="宋体"/>
                <w:b/>
                <w:color w:val="auto"/>
                <w:sz w:val="24"/>
                <w:szCs w:val="24"/>
                <w:lang w:eastAsia="zh-CN"/>
              </w:rPr>
              <w:t>投标文件</w:t>
            </w:r>
            <w:r>
              <w:rPr>
                <w:rFonts w:hint="eastAsia" w:ascii="宋体" w:hAnsi="宋体" w:eastAsia="宋体" w:cs="宋体"/>
                <w:b/>
                <w:color w:val="auto"/>
                <w:sz w:val="24"/>
                <w:szCs w:val="24"/>
              </w:rPr>
              <w:t>作为无效处理。</w:t>
            </w:r>
          </w:p>
        </w:tc>
      </w:tr>
      <w:tr w14:paraId="73F65D6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2"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FAF8AC">
            <w:pPr>
              <w:keepNext w:val="0"/>
              <w:keepLines w:val="0"/>
              <w:pageBreakBefore w:val="0"/>
              <w:kinsoku/>
              <w:wordWrap/>
              <w:topLinePunct w:val="0"/>
              <w:bidi w:val="0"/>
              <w:spacing w:line="400" w:lineRule="exact"/>
              <w:ind w:right="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cs="宋体"/>
                <w:color w:val="auto"/>
                <w:sz w:val="24"/>
                <w:szCs w:val="24"/>
                <w:lang w:val="en-US" w:eastAsia="zh-CN"/>
              </w:rPr>
              <w:t>1</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2C88814F">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招标代理费</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FC7839D">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代理费收取方式：电汇或银行转账</w:t>
            </w:r>
          </w:p>
          <w:p w14:paraId="1F1D9633">
            <w:pPr>
              <w:keepNext w:val="0"/>
              <w:keepLines w:val="0"/>
              <w:pageBreakBefore w:val="0"/>
              <w:tabs>
                <w:tab w:val="left" w:pos="7665"/>
              </w:tabs>
              <w:kinsoku/>
              <w:wordWrap/>
              <w:topLinePunct w:val="0"/>
              <w:bidi w:val="0"/>
              <w:spacing w:line="400" w:lineRule="exact"/>
              <w:jc w:val="left"/>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代理费收取标准：</w:t>
            </w:r>
            <w:r>
              <w:rPr>
                <w:rFonts w:hint="eastAsia" w:ascii="宋体" w:hAnsi="宋体" w:eastAsia="宋体" w:cs="宋体"/>
                <w:color w:val="auto"/>
                <w:sz w:val="24"/>
                <w:szCs w:val="24"/>
                <w:lang w:val="zh-CN" w:eastAsia="zh-CN"/>
              </w:rPr>
              <w:t>参照发改价格【2011】534号及发改办价格【2003】857号计算按标准收取，由中标人支付</w:t>
            </w:r>
            <w:r>
              <w:rPr>
                <w:rFonts w:hint="eastAsia" w:ascii="宋体" w:hAnsi="宋体" w:eastAsia="宋体" w:cs="宋体"/>
                <w:color w:val="auto"/>
                <w:sz w:val="24"/>
                <w:szCs w:val="24"/>
                <w:lang w:val="zh-CN"/>
              </w:rPr>
              <w:t>。</w:t>
            </w:r>
          </w:p>
        </w:tc>
      </w:tr>
      <w:tr w14:paraId="2544B33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96"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060EBDFF">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2</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0076CBC8">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信用查询记录</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2ECE5E37">
            <w:pPr>
              <w:keepNext w:val="0"/>
              <w:keepLines w:val="0"/>
              <w:pageBreakBefore w:val="0"/>
              <w:tabs>
                <w:tab w:val="left" w:pos="7665"/>
              </w:tabs>
              <w:kinsoku/>
              <w:wordWrap/>
              <w:topLinePunct w:val="0"/>
              <w:bidi w:val="0"/>
              <w:spacing w:line="400" w:lineRule="exact"/>
              <w:rPr>
                <w:rFonts w:hint="eastAsia" w:ascii="宋体" w:hAnsi="宋体" w:eastAsia="宋体" w:cs="宋体"/>
                <w:color w:val="auto"/>
                <w:sz w:val="24"/>
                <w:szCs w:val="24"/>
                <w:lang w:val="zh-CN" w:eastAsia="zh-CN" w:bidi="ar-SA"/>
              </w:rPr>
            </w:pPr>
            <w:r>
              <w:rPr>
                <w:rFonts w:hint="eastAsia" w:ascii="宋体" w:hAnsi="宋体" w:eastAsia="宋体" w:cs="宋体"/>
                <w:color w:val="auto"/>
                <w:sz w:val="24"/>
                <w:szCs w:val="24"/>
                <w:lang w:val="zh-CN"/>
              </w:rPr>
              <w:t>资格审查时，通过“信用中国”网站(www.creditchina.gov.cn)、中国政府采购网(www.ccgp.gov.cn)</w:t>
            </w:r>
            <w:r>
              <w:rPr>
                <w:rFonts w:hint="eastAsia" w:ascii="宋体" w:hAnsi="宋体" w:cs="宋体"/>
                <w:color w:val="auto"/>
                <w:sz w:val="24"/>
                <w:szCs w:val="24"/>
                <w:lang w:val="zh-CN"/>
              </w:rPr>
              <w:t>、</w:t>
            </w:r>
            <w:r>
              <w:rPr>
                <w:rFonts w:hint="eastAsia" w:ascii="宋体" w:hAnsi="宋体" w:eastAsia="宋体" w:cs="宋体"/>
                <w:sz w:val="24"/>
                <w:szCs w:val="24"/>
                <w:highlight w:val="none"/>
                <w:lang w:val="en-US" w:eastAsia="zh-CN"/>
              </w:rPr>
              <w:t>国家企业信用信息公示系统（www.gsxt.gov.cn）</w:t>
            </w:r>
            <w:r>
              <w:rPr>
                <w:rFonts w:hint="eastAsia" w:ascii="宋体" w:hAnsi="宋体" w:eastAsia="宋体" w:cs="宋体"/>
                <w:color w:val="auto"/>
                <w:sz w:val="24"/>
                <w:szCs w:val="24"/>
                <w:lang w:val="zh-CN"/>
              </w:rPr>
              <w:t>渠道查询投标人信用记录，经查询列入失信被执行人、重大税收违法案件当事人名单、政府采购严重违法失信行为记录名单，其投标无效，无效投标人的信用记录查询结果截图将作为项目材料的组成部分。</w:t>
            </w:r>
          </w:p>
        </w:tc>
      </w:tr>
      <w:tr w14:paraId="076AA16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BBE8EE2">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3</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0C0DB55C">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节能环保</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6A7C3B1A">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政府采购强制采购：</w:t>
            </w:r>
            <w:r>
              <w:rPr>
                <w:rFonts w:hint="eastAsia" w:ascii="宋体" w:hAnsi="宋体" w:eastAsia="宋体" w:cs="宋体"/>
                <w:color w:val="000000"/>
                <w:kern w:val="0"/>
                <w:sz w:val="24"/>
                <w:szCs w:val="24"/>
                <w:lang w:val="en-US" w:eastAsia="zh-CN" w:bidi="ar"/>
              </w:rPr>
              <w:t xml:space="preserve">(1)标记符号的节能产品；(2)其他。采购最新一期《节能产品政府采购清单》的产品。 </w:t>
            </w:r>
          </w:p>
          <w:p w14:paraId="27F9DBE0">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b/>
                <w:bCs/>
                <w:color w:val="000000"/>
                <w:kern w:val="0"/>
                <w:sz w:val="24"/>
                <w:szCs w:val="24"/>
                <w:lang w:val="en-US" w:eastAsia="zh-CN" w:bidi="ar"/>
              </w:rPr>
              <w:t>政府采购优先采购：</w:t>
            </w:r>
            <w:r>
              <w:rPr>
                <w:rFonts w:hint="eastAsia" w:ascii="宋体" w:hAnsi="宋体" w:eastAsia="宋体" w:cs="宋体"/>
                <w:color w:val="000000"/>
                <w:kern w:val="0"/>
                <w:sz w:val="24"/>
                <w:szCs w:val="24"/>
                <w:lang w:val="en-US" w:eastAsia="zh-CN" w:bidi="ar"/>
              </w:rPr>
              <w:t xml:space="preserve">(1)非标记符号的节能产品；(2)环境标志产品； </w:t>
            </w:r>
          </w:p>
          <w:p w14:paraId="7ED6A9EA">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采购产品为《节能产品政府采购清单》(最新期)内非标记符号的节能产品及《环境标 志产品政府采购清单》(最新期)内的产品： </w:t>
            </w:r>
          </w:p>
          <w:p w14:paraId="49441EBE">
            <w:pPr>
              <w:keepNext w:val="0"/>
              <w:keepLines w:val="0"/>
              <w:pageBreakBefore w:val="0"/>
              <w:widowControl/>
              <w:suppressLineNumbers w:val="0"/>
              <w:kinsoku/>
              <w:wordWrap/>
              <w:topLinePunct w:val="0"/>
              <w:bidi w:val="0"/>
              <w:spacing w:line="400" w:lineRule="exact"/>
              <w:jc w:val="left"/>
              <w:rPr>
                <w:rFonts w:hint="eastAsia" w:ascii="宋体" w:hAnsi="宋体" w:eastAsia="宋体" w:cs="宋体"/>
                <w:b/>
                <w:sz w:val="24"/>
                <w:szCs w:val="24"/>
              </w:rPr>
            </w:pPr>
            <w:r>
              <w:rPr>
                <w:rFonts w:hint="eastAsia" w:ascii="宋体" w:hAnsi="宋体" w:eastAsia="宋体" w:cs="宋体"/>
                <w:color w:val="000000"/>
                <w:kern w:val="0"/>
                <w:sz w:val="24"/>
                <w:szCs w:val="24"/>
                <w:lang w:val="en-US" w:eastAsia="zh-CN" w:bidi="ar"/>
              </w:rPr>
              <w:t>投标文件（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574C50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08"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105852DF">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cs="宋体"/>
                <w:color w:val="auto"/>
                <w:sz w:val="24"/>
                <w:szCs w:val="24"/>
                <w:lang w:val="en-US" w:eastAsia="zh-CN"/>
              </w:rPr>
              <w:t>4</w:t>
            </w: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F6911E6">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特</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别提示</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7A3F08A7">
            <w:pPr>
              <w:pStyle w:val="4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本项目核心产品：拱架、棚顶膜</w:t>
            </w:r>
          </w:p>
          <w:p w14:paraId="6D5B00CE">
            <w:pPr>
              <w:pStyle w:val="42"/>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14" w:firstLineChars="6"/>
              <w:textAlignment w:val="auto"/>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注：提供相同核心品牌产品且通过资格审查、符合性审查的不同投标人参加同一合同项下投标的，按一家投标人计算，评审后得分最高的同品牌投标人获得中标人推荐资格；评审得分相同的，由采购人或采购人委托评标委员会按照投标人投标总报价最低确定一个投标人获得中标人推荐资格，其他同品牌投标人不作为中标候选人。</w:t>
            </w:r>
          </w:p>
          <w:p w14:paraId="41509A71">
            <w:pPr>
              <w:keepNext w:val="0"/>
              <w:keepLines w:val="0"/>
              <w:pageBreakBefore w:val="0"/>
              <w:tabs>
                <w:tab w:val="left" w:pos="7665"/>
              </w:tabs>
              <w:kinsoku/>
              <w:wordWrap/>
              <w:topLinePunct w:val="0"/>
              <w:bidi w:val="0"/>
              <w:spacing w:line="400" w:lineRule="exact"/>
              <w:jc w:val="left"/>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招标文件中部分标有实质性要求、加粗、加下划线、废标、无效标、投标被拒绝字样的条款，为招标的实质性要求和条件，着重提醒各投标人注意，并认真查看采购文件中的每一个条款及要求，因误读采购文件而造成的后果，采购人概不负责。</w:t>
            </w:r>
          </w:p>
        </w:tc>
      </w:tr>
      <w:tr w14:paraId="76287D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6DBD5D2A">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p>
        </w:tc>
        <w:tc>
          <w:tcPr>
            <w:tcW w:w="1619" w:type="dxa"/>
            <w:tcBorders>
              <w:top w:val="single" w:color="auto" w:sz="8" w:space="0"/>
              <w:left w:val="single" w:color="auto" w:sz="8" w:space="0"/>
              <w:bottom w:val="single" w:color="auto" w:sz="8" w:space="0"/>
              <w:right w:val="single" w:color="auto" w:sz="8" w:space="0"/>
            </w:tcBorders>
            <w:noWrap w:val="0"/>
            <w:vAlign w:val="center"/>
          </w:tcPr>
          <w:p w14:paraId="1AA5C61F">
            <w:pPr>
              <w:pStyle w:val="73"/>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238A87F1">
            <w:pPr>
              <w:pStyle w:val="73"/>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color w:val="auto"/>
                <w:kern w:val="0"/>
                <w:sz w:val="24"/>
                <w:szCs w:val="24"/>
                <w:highlight w:val="none"/>
                <w:lang w:val="en-US" w:eastAsia="zh-CN"/>
              </w:rPr>
            </w:pPr>
          </w:p>
          <w:p w14:paraId="078618D5">
            <w:pPr>
              <w:pStyle w:val="73"/>
              <w:keepNext w:val="0"/>
              <w:keepLines w:val="0"/>
              <w:pageBreakBefore w:val="0"/>
              <w:widowControl/>
              <w:kinsoku/>
              <w:wordWrap/>
              <w:overflowPunct/>
              <w:topLinePunct w:val="0"/>
              <w:bidi w:val="0"/>
              <w:snapToGrid/>
              <w:spacing w:line="32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kern w:val="0"/>
                <w:sz w:val="24"/>
                <w:szCs w:val="24"/>
                <w:highlight w:val="none"/>
                <w:lang w:val="en-US" w:eastAsia="zh-CN"/>
              </w:rPr>
              <w:t>实质性要求和条件</w:t>
            </w:r>
          </w:p>
        </w:tc>
        <w:tc>
          <w:tcPr>
            <w:tcW w:w="8032" w:type="dxa"/>
            <w:tcBorders>
              <w:top w:val="single" w:color="auto" w:sz="8" w:space="0"/>
              <w:left w:val="single" w:color="auto" w:sz="8" w:space="0"/>
              <w:bottom w:val="single" w:color="auto" w:sz="8" w:space="0"/>
              <w:right w:val="single" w:color="auto" w:sz="18" w:space="0"/>
            </w:tcBorders>
            <w:noWrap w:val="0"/>
            <w:vAlign w:val="top"/>
          </w:tcPr>
          <w:p w14:paraId="4468084F">
            <w:pPr>
              <w:pStyle w:val="73"/>
              <w:keepNext w:val="0"/>
              <w:keepLines w:val="0"/>
              <w:pageBreakBefore w:val="0"/>
              <w:widowControl/>
              <w:kinsoku/>
              <w:wordWrap/>
              <w:overflowPunct/>
              <w:topLinePunct w:val="0"/>
              <w:bidi w:val="0"/>
              <w:snapToGrid/>
              <w:spacing w:beforeAutospacing="0" w:afterAutospacing="0" w:line="360" w:lineRule="exact"/>
              <w:ind w:left="0" w:leftChars="0" w:right="0" w:righ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color w:val="auto"/>
                <w:kern w:val="0"/>
                <w:sz w:val="24"/>
                <w:szCs w:val="24"/>
                <w:highlight w:val="none"/>
                <w:lang w:val="en-US" w:eastAsia="zh-CN"/>
              </w:rPr>
              <w:t>实质性要求和条件：除法律、法规和规章规定外，采购文件中用“拒绝”、“不接受”、“无效”、“不得”</w:t>
            </w:r>
            <w:r>
              <w:rPr>
                <w:rFonts w:hint="eastAsia" w:ascii="宋体" w:hAnsi="宋体" w:eastAsia="宋体" w:cs="宋体"/>
                <w:b w:val="0"/>
                <w:bCs/>
                <w:sz w:val="24"/>
                <w:szCs w:val="24"/>
              </w:rPr>
              <w:t>加粗、</w:t>
            </w:r>
            <w:r>
              <w:rPr>
                <w:rFonts w:hint="eastAsia" w:ascii="宋体" w:hAnsi="宋体" w:eastAsia="宋体" w:cs="宋体"/>
                <w:b w:val="0"/>
                <w:bCs/>
                <w:color w:val="auto"/>
                <w:kern w:val="0"/>
                <w:sz w:val="24"/>
                <w:szCs w:val="24"/>
                <w:highlight w:val="none"/>
                <w:lang w:val="en-US" w:eastAsia="zh-CN"/>
              </w:rPr>
              <w:t>等文字规定或采购文件初步审查表中的内容以及标注“★”</w:t>
            </w:r>
            <w:r>
              <w:rPr>
                <w:rFonts w:hint="eastAsia" w:ascii="宋体" w:hAnsi="宋体" w:eastAsia="宋体" w:cs="宋体"/>
                <w:color w:val="auto"/>
                <w:kern w:val="0"/>
                <w:sz w:val="24"/>
                <w:szCs w:val="24"/>
                <w:highlight w:val="none"/>
                <w:lang w:val="en-US" w:eastAsia="zh-CN"/>
              </w:rPr>
              <w:t>符号的条款为实质性要求条款（即重要条款），对其中任何一条的偏离，在评标时将其视为无效投标。</w:t>
            </w:r>
          </w:p>
        </w:tc>
      </w:tr>
      <w:tr w14:paraId="352A1E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3" w:hRule="atLeast"/>
          <w:jc w:val="center"/>
        </w:trPr>
        <w:tc>
          <w:tcPr>
            <w:tcW w:w="547" w:type="dxa"/>
            <w:tcBorders>
              <w:top w:val="single" w:color="auto" w:sz="8" w:space="0"/>
              <w:left w:val="single" w:color="auto" w:sz="18" w:space="0"/>
              <w:bottom w:val="single" w:color="auto" w:sz="8" w:space="0"/>
              <w:right w:val="single" w:color="auto" w:sz="8" w:space="0"/>
            </w:tcBorders>
            <w:noWrap w:val="0"/>
            <w:vAlign w:val="center"/>
          </w:tcPr>
          <w:p w14:paraId="3F3BABB6">
            <w:pPr>
              <w:pStyle w:val="48"/>
              <w:keepNext w:val="0"/>
              <w:keepLines w:val="0"/>
              <w:pageBreakBefore w:val="0"/>
              <w:kinsoku/>
              <w:wordWrap/>
              <w:topLinePunct w:val="0"/>
              <w:bidi w:val="0"/>
              <w:spacing w:line="400" w:lineRule="exact"/>
              <w:ind w:right="230"/>
              <w:jc w:val="center"/>
              <w:rPr>
                <w:rFonts w:hint="eastAsia" w:ascii="宋体" w:hAnsi="宋体" w:eastAsia="宋体" w:cs="宋体"/>
                <w:color w:val="auto"/>
                <w:sz w:val="24"/>
                <w:szCs w:val="24"/>
                <w:lang w:val="en-US" w:eastAsia="zh-CN"/>
              </w:rPr>
            </w:pPr>
          </w:p>
        </w:tc>
        <w:tc>
          <w:tcPr>
            <w:tcW w:w="1619" w:type="dxa"/>
            <w:tcBorders>
              <w:top w:val="single" w:color="auto" w:sz="8" w:space="0"/>
              <w:left w:val="single" w:color="auto" w:sz="8" w:space="0"/>
              <w:bottom w:val="single" w:color="auto" w:sz="8" w:space="0"/>
              <w:right w:val="single" w:color="auto" w:sz="8" w:space="0"/>
            </w:tcBorders>
            <w:noWrap w:val="0"/>
            <w:vAlign w:val="center"/>
          </w:tcPr>
          <w:p w14:paraId="7B2BCB21">
            <w:pPr>
              <w:pStyle w:val="48"/>
              <w:keepNext w:val="0"/>
              <w:keepLines w:val="0"/>
              <w:pageBreakBefore w:val="0"/>
              <w:kinsoku/>
              <w:wordWrap/>
              <w:topLinePunct w:val="0"/>
              <w:bidi w:val="0"/>
              <w:spacing w:line="400" w:lineRule="exact"/>
              <w:ind w:left="96" w:leftChars="0"/>
              <w:jc w:val="center"/>
              <w:rPr>
                <w:rFonts w:hint="eastAsia" w:ascii="宋体" w:hAnsi="宋体" w:eastAsia="宋体" w:cs="宋体"/>
                <w:b/>
                <w:bCs/>
                <w:color w:val="auto"/>
                <w:sz w:val="24"/>
                <w:szCs w:val="24"/>
                <w:lang w:val="zh-CN"/>
              </w:rPr>
            </w:pPr>
            <w:r>
              <w:rPr>
                <w:rFonts w:hint="eastAsia" w:ascii="宋体" w:hAnsi="宋体" w:eastAsia="宋体" w:cs="宋体"/>
                <w:b/>
                <w:bCs/>
                <w:color w:val="auto"/>
                <w:sz w:val="24"/>
                <w:szCs w:val="24"/>
                <w:lang w:val="en-US" w:eastAsia="zh-CN"/>
              </w:rPr>
              <w:t>注</w:t>
            </w:r>
          </w:p>
        </w:tc>
        <w:tc>
          <w:tcPr>
            <w:tcW w:w="8032" w:type="dxa"/>
            <w:tcBorders>
              <w:top w:val="single" w:color="auto" w:sz="8" w:space="0"/>
              <w:left w:val="single" w:color="auto" w:sz="8" w:space="0"/>
              <w:bottom w:val="single" w:color="auto" w:sz="8" w:space="0"/>
              <w:right w:val="single" w:color="auto" w:sz="18" w:space="0"/>
            </w:tcBorders>
            <w:noWrap w:val="0"/>
            <w:vAlign w:val="center"/>
          </w:tcPr>
          <w:p w14:paraId="18694027">
            <w:pPr>
              <w:pStyle w:val="48"/>
              <w:keepNext w:val="0"/>
              <w:keepLines w:val="0"/>
              <w:pageBreakBefore w:val="0"/>
              <w:kinsoku/>
              <w:wordWrap/>
              <w:topLinePunct w:val="0"/>
              <w:bidi w:val="0"/>
              <w:spacing w:line="400" w:lineRule="exact"/>
              <w:ind w:left="96" w:leftChars="0"/>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采购文件内容如有不一致的以前附表为准。</w:t>
            </w:r>
          </w:p>
        </w:tc>
      </w:tr>
    </w:tbl>
    <w:p w14:paraId="423695E4">
      <w:pPr>
        <w:pageBreakBefore w:val="0"/>
        <w:widowControl/>
        <w:kinsoku/>
        <w:wordWrap/>
        <w:overflowPunct/>
        <w:topLinePunct w:val="0"/>
        <w:bidi w:val="0"/>
        <w:spacing w:line="400" w:lineRule="exact"/>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rPr>
        <w:t>第</w:t>
      </w:r>
      <w:r>
        <w:rPr>
          <w:rFonts w:hint="eastAsia" w:ascii="宋体" w:hAnsi="宋体" w:eastAsia="宋体" w:cs="宋体"/>
          <w:b/>
          <w:color w:val="000000"/>
          <w:sz w:val="36"/>
          <w:szCs w:val="36"/>
          <w:highlight w:val="none"/>
          <w:lang w:val="en-US" w:eastAsia="zh-CN"/>
        </w:rPr>
        <w:t>三</w:t>
      </w:r>
      <w:r>
        <w:rPr>
          <w:rFonts w:hint="eastAsia" w:ascii="宋体" w:hAnsi="宋体" w:eastAsia="宋体" w:cs="宋体"/>
          <w:b/>
          <w:color w:val="000000"/>
          <w:sz w:val="36"/>
          <w:szCs w:val="36"/>
          <w:highlight w:val="none"/>
        </w:rPr>
        <w:t>章 投标</w:t>
      </w:r>
      <w:r>
        <w:rPr>
          <w:rFonts w:hint="eastAsia" w:ascii="宋体" w:hAnsi="宋体" w:eastAsia="宋体" w:cs="宋体"/>
          <w:b/>
          <w:color w:val="000000"/>
          <w:sz w:val="36"/>
          <w:szCs w:val="36"/>
          <w:highlight w:val="none"/>
          <w:lang w:val="en-US" w:eastAsia="zh-CN"/>
        </w:rPr>
        <w:t>人</w:t>
      </w:r>
      <w:r>
        <w:rPr>
          <w:rFonts w:hint="eastAsia" w:ascii="宋体" w:hAnsi="宋体" w:eastAsia="宋体" w:cs="宋体"/>
          <w:b/>
          <w:color w:val="000000"/>
          <w:sz w:val="36"/>
          <w:szCs w:val="36"/>
          <w:highlight w:val="none"/>
        </w:rPr>
        <w:t>须知</w:t>
      </w:r>
    </w:p>
    <w:p w14:paraId="01CE21F3">
      <w:pPr>
        <w:pageBreakBefore w:val="0"/>
        <w:kinsoku/>
        <w:wordWrap/>
        <w:overflowPunct/>
        <w:topLinePunct w:val="0"/>
        <w:bidi w:val="0"/>
        <w:adjustRightInd w:val="0"/>
        <w:snapToGrid w:val="0"/>
        <w:spacing w:line="400" w:lineRule="exact"/>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一、总  则</w:t>
      </w:r>
    </w:p>
    <w:p w14:paraId="450FB0AE">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1、适用范围</w:t>
      </w:r>
    </w:p>
    <w:p w14:paraId="2FFC92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xml:space="preserve">1.1 </w:t>
      </w:r>
      <w:r>
        <w:rPr>
          <w:rFonts w:hint="eastAsia" w:ascii="宋体" w:hAnsi="宋体" w:eastAsia="宋体" w:cs="宋体"/>
          <w:sz w:val="24"/>
          <w:szCs w:val="24"/>
          <w:highlight w:val="none"/>
        </w:rPr>
        <w:t>本次招标采取公开招标方式，本招标文件仅适用于招标公告中所述项目。</w:t>
      </w:r>
    </w:p>
    <w:p w14:paraId="6D50513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2、合格的投标人</w:t>
      </w:r>
    </w:p>
    <w:p w14:paraId="5A5B8066">
      <w:pPr>
        <w:pageBreakBefore w:val="0"/>
        <w:kinsoku/>
        <w:wordWrap/>
        <w:overflowPunct/>
        <w:topLinePunct w:val="0"/>
        <w:bidi w:val="0"/>
        <w:adjustRightInd w:val="0"/>
        <w:snapToGrid w:val="0"/>
        <w:spacing w:beforeAutospacing="0" w:afterAutospacing="0" w:line="400" w:lineRule="exact"/>
        <w:ind w:firstLine="463" w:firstLineChars="192"/>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2.1投标人资格要求：</w:t>
      </w:r>
    </w:p>
    <w:p w14:paraId="55C0E30B">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2.1.1.满足《中华人民共和国政府采购法》第二十二条规定；</w:t>
      </w:r>
    </w:p>
    <w:p w14:paraId="2354F1BE">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2.1.2.落实政府采购政策需满足的资格要求：本项目专门面向中小企业</w:t>
      </w:r>
      <w:r>
        <w:rPr>
          <w:rFonts w:hint="eastAsia" w:ascii="宋体" w:hAnsi="宋体" w:cs="宋体"/>
          <w:color w:val="auto"/>
          <w:kern w:val="2"/>
          <w:sz w:val="24"/>
          <w:szCs w:val="24"/>
          <w:highlight w:val="none"/>
          <w:lang w:val="en-US" w:eastAsia="zh-CN" w:bidi="ar-SA"/>
        </w:rPr>
        <w:t>；</w:t>
      </w:r>
    </w:p>
    <w:p w14:paraId="7850BEDA">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2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2.1.3.本项目的特定资格要求：供应商须具备建筑工程施工总承包三级及以上资质或钢结构工程专业承包一级资质。</w:t>
      </w:r>
    </w:p>
    <w:p w14:paraId="5CA2B61D">
      <w:pPr>
        <w:pageBreakBefore w:val="0"/>
        <w:kinsoku/>
        <w:wordWrap/>
        <w:overflowPunct/>
        <w:topLinePunct w:val="0"/>
        <w:autoSpaceDE w:val="0"/>
        <w:autoSpaceDN w:val="0"/>
        <w:bidi w:val="0"/>
        <w:adjustRightInd w:val="0"/>
        <w:snapToGrid w:val="0"/>
        <w:spacing w:beforeAutospacing="0" w:afterAutospacing="0" w:line="400" w:lineRule="exact"/>
        <w:ind w:firstLine="241" w:firstLineChars="100"/>
        <w:rPr>
          <w:rFonts w:hint="eastAsia" w:ascii="宋体" w:hAnsi="宋体" w:eastAsia="宋体" w:cs="宋体"/>
          <w:b/>
          <w:color w:val="000000"/>
          <w:sz w:val="24"/>
          <w:szCs w:val="24"/>
          <w:highlight w:val="none"/>
        </w:rPr>
      </w:pPr>
      <w:r>
        <w:rPr>
          <w:rFonts w:hint="eastAsia" w:ascii="宋体" w:hAnsi="宋体" w:eastAsia="宋体" w:cs="宋体"/>
          <w:b/>
          <w:color w:val="000000" w:themeColor="text1"/>
          <w:sz w:val="24"/>
          <w:szCs w:val="24"/>
          <w:highlight w:val="none"/>
          <w14:textFill>
            <w14:solidFill>
              <w14:schemeClr w14:val="tx1"/>
            </w14:solidFill>
          </w14:textFill>
        </w:rPr>
        <w:t>2.2 投标人在本次招标活动中，必须遵守《中华人民</w:t>
      </w:r>
      <w:r>
        <w:rPr>
          <w:rFonts w:hint="eastAsia" w:ascii="宋体" w:hAnsi="宋体" w:eastAsia="宋体" w:cs="宋体"/>
          <w:b/>
          <w:color w:val="000000"/>
          <w:sz w:val="24"/>
          <w:szCs w:val="24"/>
          <w:highlight w:val="none"/>
        </w:rPr>
        <w:t>共和国招标投标法》、《中华人民共和国政府招标法》及相关法律的规定。</w:t>
      </w:r>
    </w:p>
    <w:p w14:paraId="25FF2F59">
      <w:pPr>
        <w:pageBreakBefore w:val="0"/>
        <w:numPr>
          <w:ilvl w:val="0"/>
          <w:numId w:val="2"/>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定义</w:t>
      </w:r>
    </w:p>
    <w:p w14:paraId="0875D420">
      <w:pPr>
        <w:pageBreakBefore w:val="0"/>
        <w:kinsoku/>
        <w:wordWrap/>
        <w:overflowPunct/>
        <w:topLinePunct w:val="0"/>
        <w:autoSpaceDE w:val="0"/>
        <w:autoSpaceDN w:val="0"/>
        <w:bidi w:val="0"/>
        <w:adjustRightInd w:val="0"/>
        <w:snapToGrid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    3.1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”系指合同中明确规定的实际购买货物和服务的法人、行政事业单位、团体组织。</w:t>
      </w:r>
      <w:r>
        <w:rPr>
          <w:rFonts w:hint="eastAsia" w:ascii="宋体" w:hAnsi="宋体" w:eastAsia="宋体" w:cs="宋体"/>
          <w:color w:val="000000"/>
          <w:sz w:val="24"/>
          <w:szCs w:val="24"/>
          <w:highlight w:val="none"/>
          <w:lang w:val="en-US" w:eastAsia="zh-CN"/>
        </w:rPr>
        <w:t>本项目中系指</w:t>
      </w:r>
      <w:r>
        <w:rPr>
          <w:rFonts w:hint="eastAsia" w:ascii="宋体" w:hAnsi="宋体" w:cs="宋体"/>
          <w:color w:val="000000"/>
          <w:sz w:val="24"/>
          <w:szCs w:val="24"/>
          <w:highlight w:val="none"/>
          <w:lang w:val="en-US" w:eastAsia="zh-CN"/>
        </w:rPr>
        <w:t>托克逊县伊拉湖镇人民政府</w:t>
      </w:r>
      <w:r>
        <w:rPr>
          <w:rFonts w:hint="eastAsia" w:ascii="宋体" w:hAnsi="宋体" w:eastAsia="宋体" w:cs="宋体"/>
          <w:color w:val="000000"/>
          <w:sz w:val="24"/>
          <w:szCs w:val="24"/>
          <w:highlight w:val="none"/>
          <w:lang w:val="en-US" w:eastAsia="zh-CN"/>
        </w:rPr>
        <w:t>。</w:t>
      </w:r>
    </w:p>
    <w:p w14:paraId="2A60D36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 “投标人”系指响应招标，并按照招标文件的要求参与</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任务竞争的法人，中标后即为中标人，签定合同后即为卖方。</w:t>
      </w:r>
    </w:p>
    <w:p w14:paraId="13EB333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 “招标</w:t>
      </w:r>
      <w:r>
        <w:rPr>
          <w:rFonts w:hint="eastAsia" w:ascii="宋体" w:hAnsi="宋体" w:eastAsia="宋体" w:cs="宋体"/>
          <w:color w:val="000000"/>
          <w:sz w:val="24"/>
          <w:szCs w:val="24"/>
          <w:highlight w:val="none"/>
          <w:lang w:val="en-US" w:eastAsia="zh-CN"/>
        </w:rPr>
        <w:t>代理</w:t>
      </w:r>
      <w:r>
        <w:rPr>
          <w:rFonts w:hint="eastAsia" w:ascii="宋体" w:hAnsi="宋体" w:eastAsia="宋体" w:cs="宋体"/>
          <w:color w:val="000000"/>
          <w:sz w:val="24"/>
          <w:szCs w:val="24"/>
          <w:highlight w:val="none"/>
        </w:rPr>
        <w:t>机构”为</w:t>
      </w:r>
      <w:r>
        <w:rPr>
          <w:rFonts w:hint="eastAsia" w:ascii="宋体" w:hAnsi="宋体" w:eastAsia="宋体" w:cs="宋体"/>
          <w:color w:val="000000"/>
          <w:sz w:val="24"/>
          <w:szCs w:val="24"/>
          <w:highlight w:val="none"/>
          <w:lang w:eastAsia="zh-CN"/>
        </w:rPr>
        <w:t>新疆华域天恒工程管理有限公司</w:t>
      </w:r>
      <w:r>
        <w:rPr>
          <w:rFonts w:hint="eastAsia" w:ascii="宋体" w:hAnsi="宋体" w:eastAsia="宋体" w:cs="宋体"/>
          <w:color w:val="000000"/>
          <w:sz w:val="24"/>
          <w:szCs w:val="24"/>
          <w:highlight w:val="none"/>
        </w:rPr>
        <w:t>。</w:t>
      </w:r>
    </w:p>
    <w:p w14:paraId="3862A91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 “货物”系指卖方按合同要求，须向买方提供的一切产品及其它技术资料和材料。</w:t>
      </w:r>
    </w:p>
    <w:p w14:paraId="451448B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 “服务”系指合同规定卖方须承担的技术协助、本地化开发、运输、安装、调试和交付使用后免费维护期内及质保期外应履行的义务及售后服务等其他类似的义务。</w:t>
      </w:r>
    </w:p>
    <w:p w14:paraId="7EA107B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 “卖方”系指提供合同货物和服务的法人。</w:t>
      </w:r>
    </w:p>
    <w:p w14:paraId="7758447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 “买方”系指购买</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的单位。</w:t>
      </w:r>
    </w:p>
    <w:p w14:paraId="6E26CC6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4、投标费用</w:t>
      </w:r>
    </w:p>
    <w:p w14:paraId="7BEE7F8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 无论投标结果如何，投标人须自行承担所有与参加投标有关的全部费用。</w:t>
      </w:r>
    </w:p>
    <w:p w14:paraId="34002C9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二、招标文件</w:t>
      </w:r>
    </w:p>
    <w:p w14:paraId="2928B01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5、招标文件</w:t>
      </w:r>
    </w:p>
    <w:p w14:paraId="79FB7DB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 招标文件用以阐明所招标的内容，</w:t>
      </w:r>
      <w:r>
        <w:rPr>
          <w:rFonts w:hint="eastAsia" w:ascii="宋体" w:hAnsi="宋体" w:eastAsia="宋体" w:cs="宋体"/>
          <w:color w:val="000000"/>
          <w:sz w:val="24"/>
          <w:szCs w:val="24"/>
          <w:highlight w:val="none"/>
          <w:lang w:val="en-US" w:eastAsia="zh-CN"/>
        </w:rPr>
        <w:t>招标文件内容</w:t>
      </w:r>
      <w:r>
        <w:rPr>
          <w:rFonts w:hint="eastAsia" w:ascii="宋体" w:hAnsi="宋体" w:eastAsia="宋体" w:cs="宋体"/>
          <w:color w:val="000000"/>
          <w:sz w:val="24"/>
          <w:szCs w:val="24"/>
          <w:highlight w:val="none"/>
        </w:rPr>
        <w:t>包括：</w:t>
      </w:r>
    </w:p>
    <w:p w14:paraId="54581FD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5.1.1</w:t>
      </w:r>
      <w:r>
        <w:rPr>
          <w:rFonts w:hint="eastAsia" w:ascii="宋体" w:hAnsi="宋体" w:eastAsia="宋体" w:cs="宋体"/>
          <w:color w:val="000000"/>
          <w:sz w:val="24"/>
          <w:szCs w:val="24"/>
          <w:highlight w:val="none"/>
        </w:rPr>
        <w:t>投标邀请（招标公告）</w:t>
      </w:r>
    </w:p>
    <w:p w14:paraId="2BF4365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5.1.2</w:t>
      </w:r>
      <w:r>
        <w:rPr>
          <w:rFonts w:hint="eastAsia" w:ascii="宋体" w:hAnsi="宋体" w:eastAsia="宋体" w:cs="宋体"/>
          <w:color w:val="000000"/>
          <w:sz w:val="24"/>
          <w:szCs w:val="24"/>
          <w:highlight w:val="none"/>
        </w:rPr>
        <w:t>投标人须知前附表</w:t>
      </w:r>
    </w:p>
    <w:p w14:paraId="58FB2F7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5.1.3</w:t>
      </w:r>
      <w:r>
        <w:rPr>
          <w:rFonts w:hint="eastAsia" w:ascii="宋体" w:hAnsi="宋体" w:eastAsia="宋体" w:cs="宋体"/>
          <w:color w:val="000000"/>
          <w:sz w:val="24"/>
          <w:szCs w:val="24"/>
          <w:highlight w:val="none"/>
        </w:rPr>
        <w:t>投标人须知</w:t>
      </w:r>
    </w:p>
    <w:p w14:paraId="01878E1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5.1.4</w:t>
      </w:r>
      <w:r>
        <w:rPr>
          <w:rFonts w:hint="eastAsia" w:ascii="宋体" w:hAnsi="宋体" w:eastAsia="宋体" w:cs="宋体"/>
          <w:color w:val="000000"/>
          <w:sz w:val="24"/>
          <w:szCs w:val="24"/>
          <w:highlight w:val="none"/>
        </w:rPr>
        <w:t>合同文本格式</w:t>
      </w:r>
    </w:p>
    <w:p w14:paraId="266FF19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5.1.5</w:t>
      </w:r>
      <w:r>
        <w:rPr>
          <w:rFonts w:hint="eastAsia" w:ascii="宋体" w:hAnsi="宋体" w:eastAsia="宋体" w:cs="宋体"/>
          <w:color w:val="000000"/>
          <w:sz w:val="24"/>
          <w:szCs w:val="24"/>
          <w:highlight w:val="none"/>
        </w:rPr>
        <w:t>采购需求</w:t>
      </w:r>
    </w:p>
    <w:p w14:paraId="108490C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5.1.6</w:t>
      </w:r>
      <w:r>
        <w:rPr>
          <w:rFonts w:hint="eastAsia" w:ascii="宋体" w:hAnsi="宋体" w:eastAsia="宋体" w:cs="宋体"/>
          <w:color w:val="000000"/>
          <w:sz w:val="24"/>
          <w:szCs w:val="24"/>
          <w:highlight w:val="none"/>
        </w:rPr>
        <w:t>评标方法及评标标准</w:t>
      </w:r>
    </w:p>
    <w:p w14:paraId="6C272AD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5.1.7</w:t>
      </w:r>
      <w:r>
        <w:rPr>
          <w:rFonts w:hint="eastAsia" w:ascii="宋体" w:hAnsi="宋体" w:eastAsia="宋体" w:cs="宋体"/>
          <w:color w:val="000000"/>
          <w:sz w:val="24"/>
          <w:szCs w:val="24"/>
          <w:highlight w:val="none"/>
        </w:rPr>
        <w:t>投标文件格式</w:t>
      </w:r>
    </w:p>
    <w:p w14:paraId="7471CD1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5.2投标人应仔细阅读招标文件中的所有内容。</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将拒绝未按招标文件的要求提供全部资料或提交的投标文件未对招标文件作出实质性响应的投标。</w:t>
      </w:r>
    </w:p>
    <w:p w14:paraId="5E6469D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eastAsia="zh-CN"/>
        </w:rPr>
      </w:pPr>
      <w:r>
        <w:rPr>
          <w:rFonts w:hint="eastAsia" w:ascii="宋体" w:hAnsi="宋体" w:eastAsia="宋体" w:cs="宋体"/>
          <w:b/>
          <w:color w:val="000000"/>
          <w:sz w:val="24"/>
          <w:szCs w:val="24"/>
          <w:highlight w:val="none"/>
        </w:rPr>
        <w:t>6、招标文件的澄清</w:t>
      </w:r>
      <w:r>
        <w:rPr>
          <w:rFonts w:hint="eastAsia" w:ascii="宋体" w:hAnsi="宋体" w:eastAsia="宋体" w:cs="宋体"/>
          <w:b/>
          <w:color w:val="000000"/>
          <w:sz w:val="24"/>
          <w:szCs w:val="24"/>
          <w:highlight w:val="none"/>
          <w:lang w:eastAsia="zh-CN"/>
        </w:rPr>
        <w:t>或者修改</w:t>
      </w:r>
    </w:p>
    <w:p w14:paraId="030211F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rPr>
        <w:t>.1澄清或者修改的内容可能影响投标文件编制的，在投标截止期十五日前的任何时间，招标方可主动或依据投标人要求澄清的问题而修改或补充招标文件，并以书面形式</w:t>
      </w:r>
      <w:r>
        <w:rPr>
          <w:rFonts w:hint="eastAsia" w:ascii="宋体" w:hAnsi="宋体" w:eastAsia="宋体" w:cs="宋体"/>
          <w:b w:val="0"/>
          <w:bCs/>
          <w:color w:val="000000"/>
          <w:sz w:val="24"/>
          <w:szCs w:val="24"/>
          <w:highlight w:val="none"/>
          <w:lang w:eastAsia="zh-CN"/>
        </w:rPr>
        <w:t>及</w:t>
      </w:r>
      <w:r>
        <w:rPr>
          <w:rFonts w:hint="eastAsia" w:ascii="宋体" w:hAnsi="宋体" w:eastAsia="宋体" w:cs="宋体"/>
          <w:b w:val="0"/>
          <w:bCs/>
          <w:color w:val="000000"/>
          <w:sz w:val="24"/>
          <w:szCs w:val="24"/>
          <w:highlight w:val="none"/>
        </w:rPr>
        <w:t>网上公告通知所有投标人，投标人在收到该通知后应立即以</w:t>
      </w:r>
      <w:r>
        <w:rPr>
          <w:rFonts w:hint="eastAsia" w:ascii="宋体" w:hAnsi="宋体" w:eastAsia="宋体" w:cs="宋体"/>
          <w:b w:val="0"/>
          <w:bCs/>
          <w:color w:val="000000"/>
          <w:sz w:val="24"/>
          <w:szCs w:val="24"/>
          <w:highlight w:val="none"/>
          <w:lang w:eastAsia="zh-CN"/>
        </w:rPr>
        <w:t>书面</w:t>
      </w:r>
      <w:r>
        <w:rPr>
          <w:rFonts w:hint="eastAsia" w:ascii="宋体" w:hAnsi="宋体" w:eastAsia="宋体" w:cs="宋体"/>
          <w:b w:val="0"/>
          <w:bCs/>
          <w:color w:val="000000"/>
          <w:sz w:val="24"/>
          <w:szCs w:val="24"/>
          <w:highlight w:val="none"/>
        </w:rPr>
        <w:t>形式予以确认。</w:t>
      </w:r>
    </w:p>
    <w:p w14:paraId="0B2D2E2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6</w:t>
      </w:r>
      <w:r>
        <w:rPr>
          <w:rFonts w:hint="eastAsia" w:ascii="宋体" w:hAnsi="宋体" w:eastAsia="宋体" w:cs="宋体"/>
          <w:b w:val="0"/>
          <w:bCs/>
          <w:color w:val="000000"/>
          <w:sz w:val="24"/>
          <w:szCs w:val="24"/>
          <w:highlight w:val="none"/>
        </w:rPr>
        <w:t>.2为使投标人在准备投标时有适当的时间考虑投标文件的修改，招标方有权决定推迟投标截止时间和开标时间，并将此变更通知所有的投标人。</w:t>
      </w:r>
    </w:p>
    <w:p w14:paraId="2FA5BD0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val="en-US" w:eastAsia="zh-CN"/>
        </w:rPr>
        <w:t xml:space="preserve">    6</w:t>
      </w:r>
      <w:r>
        <w:rPr>
          <w:rFonts w:hint="eastAsia" w:ascii="宋体" w:hAnsi="宋体" w:eastAsia="宋体" w:cs="宋体"/>
          <w:b w:val="0"/>
          <w:bCs/>
          <w:color w:val="000000"/>
          <w:sz w:val="24"/>
          <w:szCs w:val="24"/>
          <w:highlight w:val="none"/>
        </w:rPr>
        <w:t>.3招标文件的修改和补充文件</w:t>
      </w:r>
      <w:r>
        <w:rPr>
          <w:rFonts w:hint="eastAsia" w:ascii="宋体" w:hAnsi="宋体" w:eastAsia="宋体" w:cs="宋体"/>
          <w:color w:val="000000"/>
          <w:sz w:val="24"/>
          <w:szCs w:val="24"/>
          <w:highlight w:val="none"/>
        </w:rPr>
        <w:t>将在新疆政府采购网公布</w:t>
      </w:r>
      <w:r>
        <w:rPr>
          <w:rFonts w:hint="eastAsia" w:ascii="宋体" w:hAnsi="宋体" w:eastAsia="宋体" w:cs="宋体"/>
          <w:color w:val="000000"/>
          <w:sz w:val="24"/>
          <w:szCs w:val="24"/>
          <w:highlight w:val="none"/>
          <w:lang w:eastAsia="zh-CN"/>
        </w:rPr>
        <w:t>，修改、补充</w:t>
      </w:r>
      <w:r>
        <w:rPr>
          <w:rFonts w:hint="eastAsia" w:ascii="宋体" w:hAnsi="宋体" w:eastAsia="宋体" w:cs="宋体"/>
          <w:b w:val="0"/>
          <w:bCs/>
          <w:color w:val="000000"/>
          <w:sz w:val="24"/>
          <w:szCs w:val="24"/>
          <w:highlight w:val="none"/>
        </w:rPr>
        <w:t>将构成招标文件的一部分，并且对投标人具有优先约束力</w:t>
      </w:r>
      <w:r>
        <w:rPr>
          <w:rFonts w:hint="eastAsia" w:ascii="宋体" w:hAnsi="宋体" w:eastAsia="宋体" w:cs="宋体"/>
          <w:b w:val="0"/>
          <w:bCs/>
          <w:color w:val="000000"/>
          <w:sz w:val="24"/>
          <w:szCs w:val="24"/>
          <w:highlight w:val="none"/>
          <w:lang w:eastAsia="zh-CN"/>
        </w:rPr>
        <w:t>。</w:t>
      </w:r>
    </w:p>
    <w:p w14:paraId="1BF0EC9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w:t>
      </w:r>
      <w:r>
        <w:rPr>
          <w:rFonts w:hint="eastAsia" w:ascii="宋体" w:hAnsi="宋体" w:eastAsia="宋体" w:cs="宋体"/>
          <w:b/>
          <w:sz w:val="24"/>
          <w:szCs w:val="24"/>
        </w:rPr>
        <w:t>询问和质疑</w:t>
      </w:r>
    </w:p>
    <w:p w14:paraId="4653C6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.1投标人对政府采购活动事项有疑问的，可以提出询问；</w:t>
      </w:r>
    </w:p>
    <w:p w14:paraId="7F47B0A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.2投标人认为采购文件、采购过程、中标或者中标结果使自己的权益受到损害的，可以在知道或者应知权益受到损害之日起7个工作日内，提出质疑。</w:t>
      </w:r>
    </w:p>
    <w:p w14:paraId="5C75B4C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.3接收质疑函的方式：投标人应提交书面质疑函，投标人应在法定质疑期内一次性提出针对同一采购程序环节的质疑。</w:t>
      </w:r>
    </w:p>
    <w:p w14:paraId="1FE4EE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.4投标人提出质疑应当提交质疑函和必要的证明材料。质疑函应当包括下列内容：</w:t>
      </w:r>
    </w:p>
    <w:p w14:paraId="2A3846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（1）投标人的姓名或者名称、地址、邮编、联系人及联系电话；</w:t>
      </w:r>
    </w:p>
    <w:p w14:paraId="377D1B3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（2）质疑项目的名称、编号；</w:t>
      </w:r>
    </w:p>
    <w:p w14:paraId="6CE85D8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（3）具体、明确的质疑事项和与质疑事项相关的请求；</w:t>
      </w:r>
    </w:p>
    <w:p w14:paraId="4B61BE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（4）事实依据；</w:t>
      </w:r>
    </w:p>
    <w:p w14:paraId="0C12780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（5）必要的法律依据；</w:t>
      </w:r>
    </w:p>
    <w:p w14:paraId="7429E9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（6）提出质疑的日期。</w:t>
      </w:r>
    </w:p>
    <w:p w14:paraId="5C42F3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.5投标人为自然人的，质疑函应当由本人签字；投标人为法人或者其他组织的，质疑函应当由法定代表人、主要负责人，或者其授权代表签字或者盖章，并加盖公章。</w:t>
      </w:r>
    </w:p>
    <w:p w14:paraId="3E0BCA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6投标人委托代理人递交质疑函的，应提供法定代表人授权委托书和代理人身份证复印件。授权委托书应当载明代理人的姓名、授权事项、具体权限、期限和相关事项。投标人为自然人的，授权委托书应当由本人签字；投标人为法人或者其他组织的，授权委托书应当由法定代表人、主要负责人签字或者盖章，并加盖公章。</w:t>
      </w:r>
    </w:p>
    <w:p w14:paraId="35D470DB">
      <w:pPr>
        <w:pStyle w:val="23"/>
        <w:rPr>
          <w:rFonts w:hint="eastAsia" w:ascii="宋体" w:hAnsi="宋体" w:eastAsia="宋体" w:cs="宋体"/>
          <w:lang w:val="en-US" w:eastAsia="zh-CN"/>
        </w:rPr>
      </w:pPr>
    </w:p>
    <w:p w14:paraId="6D4E440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p>
    <w:p w14:paraId="4A5CE9E7">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三、投标文件的编制</w:t>
      </w:r>
    </w:p>
    <w:p w14:paraId="4AD4E8A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8、 投标文件的编写</w:t>
      </w:r>
    </w:p>
    <w:p w14:paraId="1FC3360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1投标人应认真阅读招标文件的所有内容，按招标文件的要求提供投标文件，投标文件应当对招标文件提出的要求和条件作出明确响应，并保证所提供的全部资料的真实性、完整性，以使其投标文件对招标文件做出实质性响应。</w:t>
      </w:r>
    </w:p>
    <w:p w14:paraId="7F11991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8</w:t>
      </w:r>
      <w:r>
        <w:rPr>
          <w:rFonts w:hint="eastAsia" w:ascii="宋体" w:hAnsi="宋体" w:eastAsia="宋体" w:cs="宋体"/>
          <w:b w:val="0"/>
          <w:bCs/>
          <w:color w:val="000000"/>
          <w:sz w:val="24"/>
          <w:szCs w:val="24"/>
          <w:highlight w:val="none"/>
        </w:rPr>
        <w:t>.2采购人或采购代理机构有权随时检查投标人所提供的全部资料的真实性。如果发现投标人在投标资料中使用有虚假的证明材料的，由此所产生的经济责任和法律责任由投标人自行承担。</w:t>
      </w:r>
    </w:p>
    <w:p w14:paraId="4AC86E8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9、 投标的语言</w:t>
      </w:r>
    </w:p>
    <w:p w14:paraId="5C0FD5E9">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9.1 投标人提交的投标文件以及投标人与采购</w:t>
      </w:r>
      <w:r>
        <w:rPr>
          <w:rFonts w:hint="eastAsia" w:ascii="宋体" w:hAnsi="宋体" w:eastAsia="宋体" w:cs="宋体"/>
          <w:color w:val="000000"/>
          <w:sz w:val="24"/>
          <w:szCs w:val="24"/>
          <w:highlight w:val="none"/>
          <w:lang w:val="en-US" w:eastAsia="zh-CN"/>
        </w:rPr>
        <w:t>人</w:t>
      </w:r>
      <w:r>
        <w:rPr>
          <w:rFonts w:hint="eastAsia" w:ascii="宋体" w:hAnsi="宋体" w:eastAsia="宋体" w:cs="宋体"/>
          <w:color w:val="000000"/>
          <w:sz w:val="24"/>
          <w:szCs w:val="24"/>
          <w:highlight w:val="none"/>
        </w:rPr>
        <w:t>就有关投标的所有来往通知、函件和文件均应使用简体中文。</w:t>
      </w:r>
    </w:p>
    <w:p w14:paraId="079008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9.2投标文件中使用的计量单位除招标文件中有特殊规定外，一律使用法定计量单位。</w:t>
      </w:r>
    </w:p>
    <w:p w14:paraId="00C8A41D">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10、投标文件的格式</w:t>
      </w:r>
    </w:p>
    <w:p w14:paraId="06077CDC">
      <w:pPr>
        <w:pageBreakBefore w:val="0"/>
        <w:kinsoku/>
        <w:wordWrap/>
        <w:overflowPunct/>
        <w:topLinePunct w:val="0"/>
        <w:bidi w:val="0"/>
        <w:adjustRightInd w:val="0"/>
        <w:snapToGrid w:val="0"/>
        <w:spacing w:beforeAutospacing="0" w:afterAutospacing="0" w:line="400" w:lineRule="exact"/>
        <w:ind w:firstLine="56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10.1投标人应按招标文件提供的格式及投标报价说明完整地填写所提供的产品、品牌、服务、数量及价格。</w:t>
      </w:r>
    </w:p>
    <w:p w14:paraId="3519467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10.2如投标人认为需要对招标文件的有关内容做详细的阐述而招标文件中提供的投标文件格式又不能满足，投标人可以在投标文件相关格式后另行添加表格或文字，对招标文件的有关内容做详细的阐述。但阐述的内容不能偏离招标文件的实质性内容，且应完整、表达清晰、准确。如果阐述的内容偏离了招标文件的实质性内容，投标文件按</w:t>
      </w:r>
      <w:r>
        <w:rPr>
          <w:rFonts w:hint="eastAsia" w:ascii="宋体" w:hAnsi="宋体" w:eastAsia="宋体" w:cs="宋体"/>
          <w:color w:val="auto"/>
          <w:sz w:val="24"/>
          <w:szCs w:val="24"/>
          <w:highlight w:val="none"/>
        </w:rPr>
        <w:t>废标处理。</w:t>
      </w:r>
    </w:p>
    <w:p w14:paraId="1F56AA1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11、投标文件的组成和顺序:投标文件由</w:t>
      </w:r>
      <w:r>
        <w:rPr>
          <w:rFonts w:hint="eastAsia" w:ascii="宋体" w:hAnsi="宋体" w:cs="宋体"/>
          <w:b/>
          <w:color w:val="auto"/>
          <w:sz w:val="24"/>
          <w:szCs w:val="24"/>
          <w:highlight w:val="none"/>
          <w:lang w:val="en-US" w:eastAsia="zh-CN"/>
        </w:rPr>
        <w:t>资格审查</w:t>
      </w:r>
      <w:r>
        <w:rPr>
          <w:rFonts w:hint="eastAsia" w:ascii="宋体" w:hAnsi="宋体" w:cs="宋体"/>
          <w:b/>
          <w:color w:val="auto"/>
          <w:sz w:val="24"/>
          <w:szCs w:val="24"/>
          <w:highlight w:val="none"/>
          <w:lang w:eastAsia="zh-CN"/>
        </w:rPr>
        <w:t>、</w:t>
      </w:r>
      <w:r>
        <w:rPr>
          <w:rFonts w:hint="eastAsia" w:ascii="宋体" w:hAnsi="宋体" w:eastAsia="宋体" w:cs="宋体"/>
          <w:b/>
          <w:color w:val="auto"/>
          <w:sz w:val="24"/>
          <w:szCs w:val="24"/>
          <w:highlight w:val="none"/>
        </w:rPr>
        <w:t>经济报价部分、商务技术部分三部分组成。开标一览表需按招标文件提供的格式填写，统一规范，并单独提供且与投标文件中提供的一致。</w:t>
      </w:r>
    </w:p>
    <w:p w14:paraId="1CDDD91F">
      <w:pPr>
        <w:pageBreakBefore w:val="0"/>
        <w:widowControl/>
        <w:kinsoku/>
        <w:wordWrap/>
        <w:overflowPunct/>
        <w:topLinePunct w:val="0"/>
        <w:bidi w:val="0"/>
        <w:adjustRightInd w:val="0"/>
        <w:snapToGrid w:val="0"/>
        <w:spacing w:line="400" w:lineRule="exact"/>
        <w:ind w:firstLine="463" w:firstLineChars="192"/>
        <w:rPr>
          <w:rFonts w:hint="eastAsia" w:ascii="宋体" w:hAnsi="宋体" w:eastAsia="宋体" w:cs="宋体"/>
          <w:color w:val="C00000"/>
          <w:sz w:val="24"/>
          <w:szCs w:val="24"/>
          <w:highlight w:val="none"/>
        </w:rPr>
      </w:pPr>
      <w:r>
        <w:rPr>
          <w:rFonts w:hint="eastAsia" w:ascii="宋体" w:hAnsi="宋体" w:eastAsia="宋体" w:cs="宋体"/>
          <w:b/>
          <w:bCs/>
          <w:sz w:val="24"/>
          <w:szCs w:val="24"/>
          <w:lang w:val="en-US" w:eastAsia="zh-CN"/>
        </w:rPr>
        <w:t>11.1资格审查部分</w:t>
      </w:r>
    </w:p>
    <w:p w14:paraId="11AF2A8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11.1.1</w:t>
      </w:r>
      <w:r>
        <w:rPr>
          <w:rFonts w:hint="eastAsia" w:asciiTheme="minorEastAsia" w:hAnsiTheme="minorEastAsia" w:eastAsiaTheme="minorEastAsia" w:cstheme="minorEastAsia"/>
          <w:color w:val="auto"/>
          <w:sz w:val="24"/>
          <w:szCs w:val="24"/>
          <w:highlight w:val="none"/>
          <w:lang w:val="en-US" w:eastAsia="zh-CN"/>
        </w:rPr>
        <w:t>符合</w:t>
      </w:r>
      <w:r>
        <w:rPr>
          <w:rFonts w:hint="eastAsia" w:asciiTheme="minorEastAsia" w:hAnsiTheme="minorEastAsia" w:eastAsiaTheme="minorEastAsia" w:cstheme="minorEastAsia"/>
          <w:color w:val="auto"/>
          <w:sz w:val="24"/>
          <w:szCs w:val="24"/>
          <w:highlight w:val="none"/>
        </w:rPr>
        <w:t>中华人民共和国政府采购法第二十二条规定</w:t>
      </w:r>
    </w:p>
    <w:p w14:paraId="4F031E63">
      <w:pPr>
        <w:pageBreakBefore w:val="0"/>
        <w:widowControl/>
        <w:kinsoku/>
        <w:wordWrap/>
        <w:overflowPunct/>
        <w:topLinePunct w:val="0"/>
        <w:bidi w:val="0"/>
        <w:adjustRightInd w:val="0"/>
        <w:snapToGrid w:val="0"/>
        <w:spacing w:line="400" w:lineRule="exact"/>
        <w:ind w:firstLine="460" w:firstLineChars="192"/>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具有有效的</w:t>
      </w:r>
      <w:r>
        <w:rPr>
          <w:rFonts w:hint="eastAsia" w:ascii="宋体" w:hAnsi="宋体" w:cs="宋体"/>
          <w:i w:val="0"/>
          <w:iCs w:val="0"/>
          <w:caps w:val="0"/>
          <w:color w:val="auto"/>
          <w:spacing w:val="0"/>
          <w:sz w:val="24"/>
          <w:szCs w:val="24"/>
          <w:highlight w:val="none"/>
          <w:lang w:val="en-US" w:eastAsia="zh-CN"/>
        </w:rPr>
        <w:t>资质证书</w:t>
      </w:r>
    </w:p>
    <w:p w14:paraId="1BBEF859">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法定代表人证明书</w:t>
      </w:r>
      <w:r>
        <w:rPr>
          <w:rFonts w:hint="eastAsia" w:ascii="宋体" w:hAnsi="宋体" w:eastAsia="宋体" w:cs="宋体"/>
          <w:color w:val="auto"/>
          <w:sz w:val="24"/>
          <w:szCs w:val="24"/>
          <w:highlight w:val="none"/>
          <w:lang w:val="en-US" w:eastAsia="zh-CN"/>
        </w:rPr>
        <w:t>或法定代表人授权委托书</w:t>
      </w:r>
    </w:p>
    <w:p w14:paraId="7B933EF8">
      <w:pPr>
        <w:pageBreakBefore w:val="0"/>
        <w:widowControl/>
        <w:kinsoku/>
        <w:wordWrap/>
        <w:overflowPunct/>
        <w:topLinePunct w:val="0"/>
        <w:bidi w:val="0"/>
        <w:adjustRightInd w:val="0"/>
        <w:snapToGrid w:val="0"/>
        <w:spacing w:line="400" w:lineRule="exact"/>
        <w:ind w:firstLine="460" w:firstLineChars="192"/>
        <w:rPr>
          <w:rFonts w:hint="eastAsia" w:asciiTheme="minorEastAsia" w:hAnsiTheme="minorEastAsia" w:eastAsiaTheme="minorEastAsia" w:cstheme="minorEastAsia"/>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11.1.4</w:t>
      </w:r>
      <w:r>
        <w:rPr>
          <w:rFonts w:hint="eastAsia" w:asciiTheme="minorEastAsia" w:hAnsiTheme="minorEastAsia" w:eastAsiaTheme="minorEastAsia" w:cstheme="minorEastAsia"/>
          <w:color w:val="auto"/>
          <w:kern w:val="0"/>
          <w:sz w:val="24"/>
          <w:szCs w:val="24"/>
          <w:highlight w:val="none"/>
          <w:lang w:val="en-US" w:eastAsia="zh-CN"/>
        </w:rPr>
        <w:t>投标保证金汇款凭证或保函</w:t>
      </w:r>
    </w:p>
    <w:p w14:paraId="78CA6808">
      <w:pPr>
        <w:pageBreakBefore w:val="0"/>
        <w:widowControl/>
        <w:kinsoku/>
        <w:wordWrap/>
        <w:overflowPunct/>
        <w:topLinePunct w:val="0"/>
        <w:bidi w:val="0"/>
        <w:adjustRightInd w:val="0"/>
        <w:snapToGrid w:val="0"/>
        <w:spacing w:line="400" w:lineRule="exact"/>
        <w:ind w:firstLine="460" w:firstLineChars="192"/>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rPr>
        <w:t>11.1.5</w:t>
      </w:r>
      <w:r>
        <w:rPr>
          <w:rFonts w:hint="eastAsia" w:ascii="宋体" w:hAnsi="宋体" w:cs="宋体"/>
          <w:color w:val="auto"/>
          <w:sz w:val="24"/>
          <w:szCs w:val="24"/>
          <w:lang w:val="en-US" w:eastAsia="zh-CN"/>
        </w:rPr>
        <w:t>中小企业申明函</w:t>
      </w:r>
    </w:p>
    <w:p w14:paraId="37E2FD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11.1.6</w:t>
      </w:r>
      <w:r>
        <w:rPr>
          <w:rFonts w:hint="eastAsia" w:ascii="宋体" w:hAnsi="宋体" w:eastAsia="宋体" w:cs="宋体"/>
          <w:color w:val="auto"/>
          <w:sz w:val="24"/>
          <w:szCs w:val="24"/>
          <w:lang w:val="en-US" w:eastAsia="zh-CN"/>
        </w:rPr>
        <w:t>投标人认为需要提交的其他资料</w:t>
      </w:r>
    </w:p>
    <w:p w14:paraId="64D6600E">
      <w:pPr>
        <w:pageBreakBefore w:val="0"/>
        <w:widowControl/>
        <w:kinsoku/>
        <w:wordWrap/>
        <w:overflowPunct/>
        <w:topLinePunct w:val="0"/>
        <w:bidi w:val="0"/>
        <w:adjustRightInd w:val="0"/>
        <w:snapToGrid w:val="0"/>
        <w:spacing w:line="400" w:lineRule="exact"/>
        <w:ind w:firstLine="463" w:firstLineChars="19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11.2</w:t>
      </w:r>
      <w:r>
        <w:rPr>
          <w:rFonts w:hint="eastAsia" w:ascii="宋体" w:hAnsi="宋体" w:cs="宋体"/>
          <w:b/>
          <w:bCs/>
          <w:color w:val="auto"/>
          <w:sz w:val="24"/>
          <w:szCs w:val="24"/>
          <w:highlight w:val="none"/>
          <w:lang w:val="en-US" w:eastAsia="zh-CN"/>
        </w:rPr>
        <w:t>经济</w:t>
      </w:r>
      <w:r>
        <w:rPr>
          <w:rFonts w:hint="eastAsia" w:ascii="宋体" w:hAnsi="宋体" w:eastAsia="宋体" w:cs="宋体"/>
          <w:b/>
          <w:bCs/>
          <w:color w:val="auto"/>
          <w:sz w:val="24"/>
          <w:szCs w:val="24"/>
          <w:highlight w:val="none"/>
        </w:rPr>
        <w:t>部分：</w:t>
      </w:r>
    </w:p>
    <w:p w14:paraId="692633B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r>
        <w:rPr>
          <w:rFonts w:hint="eastAsia" w:ascii="宋体" w:hAnsi="宋体" w:cs="宋体"/>
          <w:color w:val="auto"/>
          <w:sz w:val="24"/>
          <w:szCs w:val="24"/>
          <w:lang w:val="en-US" w:eastAsia="zh-CN"/>
        </w:rPr>
        <w:t>投标书</w:t>
      </w:r>
    </w:p>
    <w:p w14:paraId="138752BE">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lang w:val="en-US" w:eastAsia="zh-CN"/>
        </w:rPr>
        <w:t>开标一览表</w:t>
      </w:r>
    </w:p>
    <w:p w14:paraId="6340D67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11.2.3</w:t>
      </w:r>
      <w:r>
        <w:rPr>
          <w:rFonts w:hint="eastAsia" w:ascii="宋体" w:hAnsi="宋体" w:cs="宋体"/>
          <w:color w:val="auto"/>
          <w:sz w:val="24"/>
          <w:szCs w:val="24"/>
          <w:lang w:val="en-US" w:eastAsia="zh-CN"/>
        </w:rPr>
        <w:t>报价明细表</w:t>
      </w:r>
    </w:p>
    <w:p w14:paraId="7B5B189D">
      <w:pPr>
        <w:pageBreakBefore w:val="0"/>
        <w:widowControl/>
        <w:kinsoku/>
        <w:wordWrap/>
        <w:overflowPunct/>
        <w:topLinePunct w:val="0"/>
        <w:bidi w:val="0"/>
        <w:adjustRightInd w:val="0"/>
        <w:snapToGrid w:val="0"/>
        <w:spacing w:line="400" w:lineRule="exact"/>
        <w:ind w:firstLine="463" w:firstLineChars="192"/>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highlight w:val="none"/>
        </w:rPr>
        <w:t xml:space="preserve">11.3 </w:t>
      </w:r>
      <w:r>
        <w:rPr>
          <w:rFonts w:hint="eastAsia" w:ascii="宋体" w:hAnsi="宋体" w:eastAsia="宋体" w:cs="宋体"/>
          <w:b/>
          <w:color w:val="auto"/>
          <w:sz w:val="24"/>
          <w:szCs w:val="24"/>
          <w:highlight w:val="none"/>
          <w:lang w:val="en-US" w:eastAsia="zh-CN"/>
        </w:rPr>
        <w:t>商务</w:t>
      </w:r>
      <w:r>
        <w:rPr>
          <w:rFonts w:hint="eastAsia" w:ascii="宋体" w:hAnsi="宋体" w:eastAsia="宋体" w:cs="宋体"/>
          <w:b/>
          <w:color w:val="auto"/>
          <w:sz w:val="24"/>
          <w:szCs w:val="24"/>
          <w:highlight w:val="none"/>
        </w:rPr>
        <w:t>技术部分：</w:t>
      </w:r>
    </w:p>
    <w:p w14:paraId="0EB07EA8">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11.3.1</w:t>
      </w:r>
      <w:r>
        <w:rPr>
          <w:rFonts w:hint="eastAsia" w:ascii="宋体" w:hAnsi="宋体" w:eastAsia="宋体" w:cs="宋体"/>
          <w:color w:val="auto"/>
          <w:sz w:val="24"/>
          <w:szCs w:val="24"/>
          <w:lang w:val="en-US" w:eastAsia="zh-CN"/>
        </w:rPr>
        <w:t>投标承诺书</w:t>
      </w:r>
    </w:p>
    <w:p w14:paraId="67844A4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11.3.2</w:t>
      </w:r>
      <w:r>
        <w:rPr>
          <w:rFonts w:hint="eastAsia" w:ascii="宋体" w:hAnsi="宋体" w:eastAsia="宋体" w:cs="宋体"/>
          <w:color w:val="auto"/>
          <w:sz w:val="24"/>
          <w:szCs w:val="24"/>
          <w:lang w:val="en-US" w:eastAsia="zh-CN"/>
        </w:rPr>
        <w:t>类似业绩</w:t>
      </w:r>
    </w:p>
    <w:p w14:paraId="55A240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11.3.3</w:t>
      </w:r>
      <w:r>
        <w:rPr>
          <w:rFonts w:hint="eastAsia" w:ascii="宋体" w:hAnsi="宋体" w:eastAsia="宋体" w:cs="宋体"/>
          <w:color w:val="auto"/>
          <w:sz w:val="24"/>
          <w:szCs w:val="24"/>
          <w:lang w:val="en-US" w:eastAsia="zh-CN"/>
        </w:rPr>
        <w:t>项目团队</w:t>
      </w:r>
    </w:p>
    <w:p w14:paraId="04BC81E3">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11.3.4</w:t>
      </w:r>
      <w:r>
        <w:rPr>
          <w:rFonts w:hint="eastAsia" w:ascii="宋体" w:hAnsi="宋体" w:eastAsia="宋体" w:cs="宋体"/>
          <w:color w:val="auto"/>
          <w:sz w:val="24"/>
          <w:szCs w:val="24"/>
          <w:lang w:val="en-US" w:eastAsia="zh-CN"/>
        </w:rPr>
        <w:t>商务条款偏离表</w:t>
      </w:r>
    </w:p>
    <w:p w14:paraId="58665B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11.3.5</w:t>
      </w:r>
      <w:r>
        <w:rPr>
          <w:rFonts w:hint="eastAsia" w:ascii="宋体" w:hAnsi="宋体" w:eastAsia="宋体" w:cs="宋体"/>
          <w:color w:val="auto"/>
          <w:sz w:val="24"/>
          <w:szCs w:val="24"/>
          <w:lang w:val="en-US" w:eastAsia="zh-CN"/>
        </w:rPr>
        <w:t>实施方案</w:t>
      </w:r>
    </w:p>
    <w:p w14:paraId="04F1C3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11.3.6配置及性能指标</w:t>
      </w:r>
    </w:p>
    <w:p w14:paraId="442FD957">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lang w:val="en-US" w:eastAsia="zh-CN"/>
        </w:rPr>
        <w:t>质量保障措施</w:t>
      </w:r>
    </w:p>
    <w:p w14:paraId="57D03A25">
      <w:pPr>
        <w:pageBreakBefore w:val="0"/>
        <w:widowControl/>
        <w:kinsoku/>
        <w:wordWrap/>
        <w:overflowPunct/>
        <w:topLinePunct w:val="0"/>
        <w:bidi w:val="0"/>
        <w:adjustRightInd w:val="0"/>
        <w:snapToGrid w:val="0"/>
        <w:spacing w:line="400" w:lineRule="exact"/>
        <w:ind w:firstLine="460" w:firstLineChars="19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lang w:val="en-US" w:eastAsia="zh-CN"/>
        </w:rPr>
        <w:t>售后服务</w:t>
      </w:r>
    </w:p>
    <w:p w14:paraId="194BC946">
      <w:pPr>
        <w:tabs>
          <w:tab w:val="left" w:pos="900"/>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11.3.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lang w:val="en-US" w:eastAsia="zh-CN"/>
        </w:rPr>
        <w:t>企业的承</w:t>
      </w:r>
      <w:r>
        <w:rPr>
          <w:rFonts w:hint="eastAsia" w:ascii="宋体" w:hAnsi="宋体" w:eastAsia="宋体" w:cs="宋体"/>
          <w:sz w:val="24"/>
          <w:szCs w:val="24"/>
          <w:lang w:val="en-US" w:eastAsia="zh-CN"/>
        </w:rPr>
        <w:t>诺及优惠条件</w:t>
      </w:r>
    </w:p>
    <w:p w14:paraId="57011736">
      <w:pPr>
        <w:tabs>
          <w:tab w:val="left" w:pos="900"/>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11.3.10技术条款偏离表</w:t>
      </w:r>
    </w:p>
    <w:p w14:paraId="7E984352">
      <w:pPr>
        <w:tabs>
          <w:tab w:val="left" w:pos="900"/>
        </w:tabs>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11.3.11投标人认为需要提供的其他资料</w:t>
      </w:r>
    </w:p>
    <w:p w14:paraId="016E9118">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12、投标报价：</w:t>
      </w:r>
    </w:p>
    <w:p w14:paraId="42141E7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bookmarkStart w:id="0" w:name="OLE_LINK1"/>
      <w:r>
        <w:rPr>
          <w:rFonts w:hint="eastAsia" w:ascii="宋体" w:hAnsi="宋体" w:eastAsia="宋体" w:cs="宋体"/>
          <w:color w:val="000000"/>
          <w:sz w:val="24"/>
          <w:szCs w:val="24"/>
          <w:highlight w:val="none"/>
        </w:rPr>
        <w:t>12.1投标单位应在投标</w:t>
      </w:r>
      <w:r>
        <w:rPr>
          <w:rFonts w:hint="eastAsia" w:ascii="宋体" w:hAnsi="宋体" w:eastAsia="宋体" w:cs="宋体"/>
          <w:sz w:val="24"/>
          <w:szCs w:val="24"/>
          <w:highlight w:val="none"/>
        </w:rPr>
        <w:t>的报价表上标</w:t>
      </w:r>
      <w:r>
        <w:rPr>
          <w:rFonts w:hint="eastAsia" w:ascii="宋体" w:hAnsi="宋体" w:eastAsia="宋体" w:cs="宋体"/>
          <w:color w:val="000000"/>
          <w:sz w:val="24"/>
          <w:szCs w:val="24"/>
          <w:highlight w:val="none"/>
        </w:rPr>
        <w:t>明总价。</w:t>
      </w:r>
    </w:p>
    <w:p w14:paraId="4B52AE4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3F98C0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12.1.2</w:t>
      </w:r>
      <w:r>
        <w:rPr>
          <w:rFonts w:hint="eastAsia" w:ascii="宋体" w:hAnsi="宋体" w:eastAsia="宋体" w:cs="宋体"/>
          <w:color w:val="000000"/>
          <w:sz w:val="24"/>
          <w:szCs w:val="24"/>
          <w:highlight w:val="none"/>
        </w:rPr>
        <w:t>大写金额和小写金额不一致的，以大写金额为准；</w:t>
      </w:r>
    </w:p>
    <w:p w14:paraId="7323D69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128596C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12.1.4</w:t>
      </w:r>
      <w:r>
        <w:rPr>
          <w:rFonts w:hint="eastAsia" w:ascii="宋体" w:hAnsi="宋体" w:eastAsia="宋体" w:cs="宋体"/>
          <w:color w:val="000000"/>
          <w:sz w:val="24"/>
          <w:szCs w:val="24"/>
          <w:highlight w:val="none"/>
        </w:rPr>
        <w:t>总价金额与按单价汇总金额不一致的，以单价金额计算结果为准。投标单位应在投标报价表中标明其提供的所有货物及其相关工作范围内所在费用的总价。</w:t>
      </w:r>
    </w:p>
    <w:p w14:paraId="0880E9C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12.2 除非合同中另有规定，投标人对《投标报价表》中的全部</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服务的报价应包括所投</w:t>
      </w:r>
      <w:r>
        <w:rPr>
          <w:rFonts w:hint="eastAsia" w:ascii="宋体" w:hAnsi="宋体" w:eastAsia="宋体" w:cs="宋体"/>
          <w:color w:val="000000"/>
          <w:sz w:val="24"/>
          <w:szCs w:val="24"/>
          <w:highlight w:val="none"/>
          <w:lang w:eastAsia="zh-CN"/>
        </w:rPr>
        <w:t>货物、</w:t>
      </w:r>
      <w:r>
        <w:rPr>
          <w:rFonts w:hint="eastAsia" w:ascii="宋体" w:hAnsi="宋体" w:eastAsia="宋体" w:cs="宋体"/>
          <w:color w:val="000000"/>
          <w:sz w:val="24"/>
          <w:szCs w:val="24"/>
          <w:highlight w:val="none"/>
        </w:rPr>
        <w:t>服务项目所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14:paraId="0A6B3ED1">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12.3 投标人应对招标文件内所要招标的全部内容进行报价，报价采用总</w:t>
      </w:r>
      <w:r>
        <w:rPr>
          <w:rFonts w:hint="eastAsia" w:ascii="宋体" w:hAnsi="宋体" w:eastAsia="宋体" w:cs="宋体"/>
          <w:color w:val="000000"/>
          <w:sz w:val="24"/>
          <w:szCs w:val="24"/>
          <w:highlight w:val="none"/>
          <w:lang w:eastAsia="zh-CN"/>
        </w:rPr>
        <w:t>报价</w:t>
      </w:r>
      <w:r>
        <w:rPr>
          <w:rFonts w:hint="eastAsia" w:ascii="宋体" w:hAnsi="宋体" w:eastAsia="宋体" w:cs="宋体"/>
          <w:color w:val="000000"/>
          <w:sz w:val="24"/>
          <w:szCs w:val="24"/>
          <w:highlight w:val="none"/>
        </w:rPr>
        <w:t>方式，投标人的报价应包括所投产品费用、安装调试费、测试验收费、培训费、运行维护费用、税金、国际国内运输保险及其他有关的为完成本项目发生的所有费用，招标文件中另有规定的除外。</w:t>
      </w:r>
    </w:p>
    <w:p w14:paraId="63135CB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12.4 一项投标内容只允许一个报价，</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不接受任何有选择性的投标报价。</w:t>
      </w:r>
    </w:p>
    <w:p w14:paraId="4774B54C">
      <w:pPr>
        <w:pStyle w:val="23"/>
        <w:keepNext w:val="0"/>
        <w:keepLines w:val="0"/>
        <w:pageBreakBefore w:val="0"/>
        <w:widowControl w:val="0"/>
        <w:kinsoku/>
        <w:wordWrap/>
        <w:overflowPunct/>
        <w:topLinePunct w:val="0"/>
        <w:autoSpaceDE/>
        <w:autoSpaceDN/>
        <w:bidi w:val="0"/>
        <w:spacing w:after="0" w:line="400" w:lineRule="exact"/>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12.5投标人不得违反《中华人民共和国反不正当竞争法》的规定，以低于成本的价格销售货物或服务，否则对其价格构成情况做出详细说明并提供相关证明资料。评标委员会认为投标人的报价明显低于其他通过符合性审查投标人的报价，有可能影响产品质量或者不能诚信履约的，应当要求在发出询标函的30分钟内提供书面说明，必要时提交相关证明材料；投标人逾期或拒绝或不能证明其报价合理性的，评标委员会应当将其作为无效投标处理。投标人的澄清、说明或者补正应当采用书面形式，由其授权代表签字，并不得超出投标文件的范围或者改变投标文件的实质性内容，书面承诺为其投标文件的组成部分。</w:t>
      </w:r>
    </w:p>
    <w:p w14:paraId="5C5D637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投标文件报价中的单价和总价全部采用人民币表示，除非合同的主要条款另有规定。</w:t>
      </w:r>
      <w:bookmarkEnd w:id="0"/>
    </w:p>
    <w:p w14:paraId="7D326B4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13、投标人应逐条详细阅读招标文件有关要求，表明所提供的服务是否对招标文件做出实质性响应。</w:t>
      </w:r>
    </w:p>
    <w:p w14:paraId="248271D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14、投标文件的有效期</w:t>
      </w:r>
    </w:p>
    <w:p w14:paraId="15D516D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投标文件从实际开标之</w:t>
      </w:r>
      <w:r>
        <w:rPr>
          <w:rFonts w:hint="eastAsia" w:ascii="宋体" w:hAnsi="宋体" w:eastAsia="宋体" w:cs="宋体"/>
          <w:sz w:val="24"/>
          <w:szCs w:val="24"/>
          <w:highlight w:val="none"/>
        </w:rPr>
        <w:t>日起</w:t>
      </w:r>
      <w:r>
        <w:rPr>
          <w:rFonts w:hint="eastAsia" w:ascii="宋体" w:hAnsi="宋体" w:eastAsia="宋体" w:cs="宋体"/>
          <w:b/>
          <w:bCs/>
          <w:sz w:val="24"/>
          <w:szCs w:val="24"/>
          <w:highlight w:val="none"/>
          <w:u w:val="single"/>
        </w:rPr>
        <w:t>60</w:t>
      </w:r>
      <w:r>
        <w:rPr>
          <w:rFonts w:hint="eastAsia" w:ascii="宋体" w:hAnsi="宋体" w:eastAsia="宋体" w:cs="宋体"/>
          <w:sz w:val="24"/>
          <w:szCs w:val="24"/>
          <w:highlight w:val="none"/>
        </w:rPr>
        <w:t>天内有</w:t>
      </w:r>
      <w:r>
        <w:rPr>
          <w:rFonts w:hint="eastAsia" w:ascii="宋体" w:hAnsi="宋体" w:eastAsia="宋体" w:cs="宋体"/>
          <w:color w:val="000000"/>
          <w:sz w:val="24"/>
          <w:szCs w:val="24"/>
          <w:highlight w:val="none"/>
        </w:rPr>
        <w:t>效。</w:t>
      </w:r>
    </w:p>
    <w:p w14:paraId="7C6728F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14.2 如遇特殊情况，在原投标有效期届满之前，</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可与投标人协商延长投标文件的有效期，并经投标人确认。</w:t>
      </w:r>
    </w:p>
    <w:p w14:paraId="0400747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15、投标文件的份数、签署、字体、装订</w:t>
      </w:r>
    </w:p>
    <w:p w14:paraId="62783AD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15.1 投标人必须按“投标人须知前附表”中规定的“正本”和“副本”份数，投标文件正本和副本如有不一致之处，以正本为准。</w:t>
      </w:r>
    </w:p>
    <w:p w14:paraId="5DB05B86">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15.2 投标文件正本与副本须用不褪色的墨水笔书写或打印。投标文件的书写应清楚工整，修改处应由投标人全权代表签章。</w:t>
      </w:r>
    </w:p>
    <w:p w14:paraId="512A5572">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15.3 投标文件应由企业法人或法人授权代表在凡规定签章处逐一签署及加盖</w:t>
      </w:r>
      <w:r>
        <w:rPr>
          <w:rFonts w:hint="eastAsia" w:ascii="宋体" w:hAnsi="宋体" w:cs="宋体"/>
          <w:color w:val="000000"/>
          <w:sz w:val="24"/>
          <w:szCs w:val="24"/>
          <w:highlight w:val="none"/>
          <w:lang w:eastAsia="zh-CN"/>
        </w:rPr>
        <w:t>供应商公章</w:t>
      </w:r>
      <w:r>
        <w:rPr>
          <w:rFonts w:hint="eastAsia" w:ascii="宋体" w:hAnsi="宋体" w:eastAsia="宋体" w:cs="宋体"/>
          <w:color w:val="000000"/>
          <w:sz w:val="24"/>
          <w:szCs w:val="24"/>
          <w:highlight w:val="none"/>
        </w:rPr>
        <w:t>。</w:t>
      </w:r>
    </w:p>
    <w:p w14:paraId="439A1C85">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15.4 投标文件一律采用胶装方式进行装订</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不得活页装订</w:t>
      </w:r>
      <w:r>
        <w:rPr>
          <w:rFonts w:hint="eastAsia" w:ascii="宋体" w:hAnsi="宋体" w:eastAsia="宋体" w:cs="宋体"/>
          <w:color w:val="000000"/>
          <w:sz w:val="24"/>
          <w:szCs w:val="24"/>
          <w:highlight w:val="none"/>
        </w:rPr>
        <w:t>。</w:t>
      </w:r>
    </w:p>
    <w:p w14:paraId="0FF49C4F">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16、投标保证金</w:t>
      </w:r>
    </w:p>
    <w:p w14:paraId="28D6993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 投标保证金数额</w:t>
      </w:r>
      <w:r>
        <w:rPr>
          <w:rFonts w:hint="eastAsia" w:ascii="宋体" w:hAnsi="宋体" w:eastAsia="宋体" w:cs="宋体"/>
          <w:b/>
          <w:color w:val="000000"/>
          <w:sz w:val="24"/>
          <w:szCs w:val="24"/>
          <w:highlight w:val="none"/>
          <w:u w:val="single"/>
        </w:rPr>
        <w:t xml:space="preserve">详见投标人须知前附表 </w:t>
      </w:r>
      <w:r>
        <w:rPr>
          <w:rFonts w:hint="eastAsia" w:ascii="宋体" w:hAnsi="宋体" w:eastAsia="宋体" w:cs="宋体"/>
          <w:color w:val="000000"/>
          <w:sz w:val="24"/>
          <w:szCs w:val="24"/>
          <w:highlight w:val="none"/>
        </w:rPr>
        <w:t>。</w:t>
      </w:r>
    </w:p>
    <w:p w14:paraId="42557D9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 投标保证金用于应对本次招标因投标人违规、违约而产生的风险。</w:t>
      </w:r>
    </w:p>
    <w:p w14:paraId="30D15627">
      <w:pPr>
        <w:pageBreakBefore w:val="0"/>
        <w:widowControl/>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w:t>
      </w:r>
      <w:r>
        <w:rPr>
          <w:rFonts w:hint="eastAsia" w:ascii="宋体" w:hAnsi="宋体" w:eastAsia="宋体" w:cs="宋体"/>
          <w:color w:val="FF0000"/>
          <w:sz w:val="24"/>
          <w:szCs w:val="24"/>
          <w:highlight w:val="none"/>
        </w:rPr>
        <w:t xml:space="preserve"> </w:t>
      </w:r>
      <w:r>
        <w:rPr>
          <w:rFonts w:hint="eastAsia" w:ascii="宋体" w:hAnsi="宋体" w:eastAsia="宋体" w:cs="宋体"/>
          <w:color w:val="000000" w:themeColor="text1"/>
          <w:sz w:val="24"/>
          <w:szCs w:val="24"/>
          <w:highlight w:val="none"/>
          <w14:textFill>
            <w14:solidFill>
              <w14:schemeClr w14:val="tx1"/>
            </w14:solidFill>
          </w14:textFill>
        </w:rPr>
        <w:t>投标人必须于投标截止时间</w:t>
      </w:r>
      <w:r>
        <w:rPr>
          <w:rFonts w:hint="eastAsia" w:ascii="宋体" w:hAnsi="宋体" w:eastAsia="宋体" w:cs="宋体"/>
          <w:sz w:val="24"/>
          <w:szCs w:val="24"/>
          <w:highlight w:val="none"/>
        </w:rPr>
        <w:t>前</w:t>
      </w:r>
      <w:r>
        <w:rPr>
          <w:rFonts w:hint="eastAsia" w:ascii="宋体" w:hAnsi="宋体" w:eastAsia="宋体" w:cs="宋体"/>
          <w:color w:val="000000"/>
          <w:sz w:val="24"/>
          <w:szCs w:val="24"/>
          <w:highlight w:val="none"/>
        </w:rPr>
        <w:t>将投标保证金交纳至规定的帐号，对未按要求提交投标保证金的投标文件，</w:t>
      </w:r>
      <w:r>
        <w:rPr>
          <w:rFonts w:hint="eastAsia" w:ascii="宋体" w:hAnsi="宋体" w:eastAsia="宋体" w:cs="宋体"/>
          <w:color w:val="000000"/>
          <w:sz w:val="24"/>
          <w:szCs w:val="24"/>
          <w:highlight w:val="none"/>
          <w:lang w:eastAsia="zh-CN"/>
        </w:rPr>
        <w:t>招标代理机构</w:t>
      </w:r>
      <w:r>
        <w:rPr>
          <w:rFonts w:hint="eastAsia" w:ascii="宋体" w:hAnsi="宋体" w:eastAsia="宋体" w:cs="宋体"/>
          <w:color w:val="000000"/>
          <w:sz w:val="24"/>
          <w:szCs w:val="24"/>
          <w:highlight w:val="none"/>
        </w:rPr>
        <w:t>将视为不响应投标予以拒绝。</w:t>
      </w:r>
    </w:p>
    <w:p w14:paraId="54A5CC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16.4 投标保证金应以银行电汇或转账</w:t>
      </w:r>
      <w:r>
        <w:rPr>
          <w:rFonts w:hint="eastAsia" w:ascii="宋体" w:hAnsi="宋体" w:eastAsia="宋体" w:cs="宋体"/>
          <w:color w:val="000000"/>
          <w:sz w:val="24"/>
          <w:szCs w:val="24"/>
          <w:highlight w:val="none"/>
          <w:lang w:val="en-US" w:eastAsia="zh-CN"/>
        </w:rPr>
        <w:t>等非现金</w:t>
      </w:r>
      <w:r>
        <w:rPr>
          <w:rFonts w:hint="eastAsia" w:ascii="宋体" w:hAnsi="宋体" w:eastAsia="宋体" w:cs="宋体"/>
          <w:color w:val="000000"/>
          <w:sz w:val="24"/>
          <w:szCs w:val="24"/>
          <w:highlight w:val="none"/>
        </w:rPr>
        <w:t>方式提交。</w:t>
      </w:r>
    </w:p>
    <w:p w14:paraId="1746FA4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16.5投标保证金的退还条件：</w:t>
      </w:r>
    </w:p>
    <w:p w14:paraId="3F8497E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16.5.1</w:t>
      </w:r>
      <w:r>
        <w:rPr>
          <w:rFonts w:hint="eastAsia" w:ascii="宋体" w:hAnsi="宋体" w:eastAsia="宋体" w:cs="宋体"/>
          <w:color w:val="000000"/>
          <w:sz w:val="24"/>
          <w:szCs w:val="24"/>
          <w:highlight w:val="none"/>
        </w:rPr>
        <w:t>未中标的投标人保证金，在该采购项目的中标通知书发出后5个工作日内,投标保证金退回投标人。</w:t>
      </w:r>
    </w:p>
    <w:p w14:paraId="1C0AE1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16.5.2</w:t>
      </w:r>
      <w:r>
        <w:rPr>
          <w:rFonts w:hint="eastAsia" w:ascii="宋体" w:hAnsi="宋体" w:eastAsia="宋体" w:cs="宋体"/>
          <w:color w:val="000000"/>
          <w:sz w:val="24"/>
          <w:szCs w:val="24"/>
          <w:highlight w:val="none"/>
        </w:rPr>
        <w:t>中标的投标人，其投标保证金将保持全部的约束力，直至中标人按规定和采购人签订采购合同后，5个工作日内办理投标保证金退回手续。</w:t>
      </w:r>
    </w:p>
    <w:p w14:paraId="4F01EF7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16.6在招标方规定的投标有效期满之前，招标方将以书面形式发出《中标通知书》，《中标通知书》一经发出即发生法律效力。</w:t>
      </w:r>
    </w:p>
    <w:p w14:paraId="0649AD1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 下列情况投标保证金将会被没收：</w:t>
      </w:r>
    </w:p>
    <w:p w14:paraId="66924B5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供应商在采购文件文件规定的投标有效期内撤回其投标文件文件的；</w:t>
      </w:r>
    </w:p>
    <w:p w14:paraId="3B6A70A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开标过程中未经评标委员会同意擅自中途退场；</w:t>
      </w:r>
    </w:p>
    <w:p w14:paraId="5BA4CAF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供应商恶意串通使投标失去竞争性的；</w:t>
      </w:r>
    </w:p>
    <w:p w14:paraId="27C5616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向采购代理机构或评标委员会有意提供虚假材料的；</w:t>
      </w:r>
    </w:p>
    <w:p w14:paraId="5B7D8DC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供应商投标文件出现妨碍公平竞争的行为的；</w:t>
      </w:r>
    </w:p>
    <w:p w14:paraId="244AFB6A">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未在规定的期限内领取成交通知书的；</w:t>
      </w:r>
    </w:p>
    <w:p w14:paraId="6F13B0F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成交单位因自身原因在成交通知书规定的时间内未能与采购单位签订合同的；</w:t>
      </w:r>
    </w:p>
    <w:p w14:paraId="7BBD7437">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16.7</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违反政府采购法及有关法律、法规的。</w:t>
      </w:r>
    </w:p>
    <w:p w14:paraId="6FC34CE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16.8有下列情形之一的，视为供应商串通投标，其投标无效：</w:t>
      </w:r>
    </w:p>
    <w:p w14:paraId="0A31EADE">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16.8.1不同供应商的投标文件由同一单位或者个人编制;</w:t>
      </w:r>
    </w:p>
    <w:p w14:paraId="16E1F1B4">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16.8.2不同供应商委托同一单位或者个人办理投标事宜;</w:t>
      </w:r>
    </w:p>
    <w:p w14:paraId="443B6A4C">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16.8.3不同供应商的投标文件载明的项目管理成员或者联系人员为同一人;</w:t>
      </w:r>
    </w:p>
    <w:p w14:paraId="6D176B46">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16.8.4不同供应商的投标文件异常一致或者投标报价呈规律性差异;</w:t>
      </w:r>
    </w:p>
    <w:p w14:paraId="738E621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16.8.5不同供应商的投标文件相互混装;</w:t>
      </w:r>
    </w:p>
    <w:p w14:paraId="0A0D363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16.8.6不同供应商的投标保证金从同一单位或者个人的账户转出。</w:t>
      </w:r>
    </w:p>
    <w:p w14:paraId="228CAC2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17. 投标文件的修改和撤销</w:t>
      </w:r>
    </w:p>
    <w:p w14:paraId="43D42C7F">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17.1　投标人在递交投标文件后，可在规定的投标截止时间之前，对其投标文件以书面通知的形式进行修改或撤消。该通知须有投标人的法定代表人或其委托代理人的签字，并得到招标方的确认。</w:t>
      </w:r>
    </w:p>
    <w:p w14:paraId="3B80C22D">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17.2  投标人对投标文件修改的书面材料或撤消通知应按招标文件要求进行密封、标注和递交，并注明“修改投标文件”或“撤消投标”字样，修改或撤销的内容须按招标文件的要求签署、盖章，并作为投标文件的组成部分。</w:t>
      </w:r>
    </w:p>
    <w:p w14:paraId="1DC4AA42">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17.3　对投标文件修改的书面材料应于投标截止日前送达招标方，投标截止时间以后不得修改投标文件。</w:t>
      </w:r>
    </w:p>
    <w:p w14:paraId="2BEAD7D0">
      <w:pPr>
        <w:pStyle w:val="6"/>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00B93DC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四、投标文件的递交</w:t>
      </w:r>
    </w:p>
    <w:p w14:paraId="11D3D6F3">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eastAsia="宋体" w:cs="宋体"/>
          <w:b/>
          <w:color w:val="000000"/>
          <w:sz w:val="24"/>
          <w:szCs w:val="24"/>
          <w:highlight w:val="none"/>
          <w:lang w:val="en-US" w:eastAsia="zh-CN"/>
        </w:rPr>
        <w:t>8</w:t>
      </w:r>
      <w:r>
        <w:rPr>
          <w:rFonts w:hint="eastAsia" w:ascii="宋体" w:hAnsi="宋体" w:eastAsia="宋体" w:cs="宋体"/>
          <w:b/>
          <w:color w:val="000000"/>
          <w:sz w:val="24"/>
          <w:szCs w:val="24"/>
          <w:highlight w:val="none"/>
        </w:rPr>
        <w:t>、投标文件的</w:t>
      </w:r>
      <w:r>
        <w:rPr>
          <w:rFonts w:hint="eastAsia" w:ascii="宋体" w:hAnsi="宋体" w:eastAsia="宋体" w:cs="宋体"/>
          <w:b/>
          <w:color w:val="000000"/>
          <w:sz w:val="24"/>
          <w:szCs w:val="24"/>
          <w:highlight w:val="none"/>
          <w:lang w:eastAsia="zh-CN"/>
        </w:rPr>
        <w:t>加密</w:t>
      </w:r>
      <w:r>
        <w:rPr>
          <w:rFonts w:hint="eastAsia" w:ascii="宋体" w:hAnsi="宋体" w:eastAsia="宋体" w:cs="宋体"/>
          <w:b/>
          <w:color w:val="000000"/>
          <w:sz w:val="24"/>
          <w:szCs w:val="24"/>
          <w:highlight w:val="none"/>
        </w:rPr>
        <w:t>和标记</w:t>
      </w:r>
    </w:p>
    <w:p w14:paraId="26C3E6E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18.1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14:paraId="21F1BC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18.2投标截止时间以政采云平台中心交易平台显示的时间为准，逾期系统将自动关闭，未完成上传的投标文件视为逾期送达，将被拒绝</w:t>
      </w:r>
      <w:r>
        <w:rPr>
          <w:rFonts w:hint="eastAsia" w:ascii="宋体" w:hAnsi="宋体" w:eastAsia="宋体" w:cs="宋体"/>
          <w:b w:val="0"/>
          <w:bCs/>
          <w:color w:val="000000"/>
          <w:sz w:val="24"/>
          <w:szCs w:val="24"/>
          <w:highlight w:val="none"/>
        </w:rPr>
        <w:t>。</w:t>
      </w:r>
    </w:p>
    <w:p w14:paraId="563B2C1B">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rPr>
        <w:t>1</w:t>
      </w:r>
      <w:r>
        <w:rPr>
          <w:rFonts w:hint="eastAsia" w:ascii="宋体" w:hAnsi="宋体" w:eastAsia="宋体" w:cs="宋体"/>
          <w:b/>
          <w:bCs w:val="0"/>
          <w:color w:val="000000"/>
          <w:sz w:val="24"/>
          <w:szCs w:val="24"/>
          <w:highlight w:val="none"/>
          <w:lang w:val="en-US" w:eastAsia="zh-CN"/>
        </w:rPr>
        <w:t>9</w:t>
      </w:r>
      <w:r>
        <w:rPr>
          <w:rFonts w:hint="eastAsia" w:ascii="宋体" w:hAnsi="宋体" w:eastAsia="宋体" w:cs="宋体"/>
          <w:b/>
          <w:bCs w:val="0"/>
          <w:color w:val="000000"/>
          <w:sz w:val="24"/>
          <w:szCs w:val="24"/>
          <w:highlight w:val="none"/>
        </w:rPr>
        <w:t>、投标文件递交的截止日期</w:t>
      </w:r>
    </w:p>
    <w:p w14:paraId="3DE56379">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1</w:t>
      </w:r>
      <w:r>
        <w:rPr>
          <w:rFonts w:hint="eastAsia" w:ascii="宋体" w:hAnsi="宋体" w:eastAsia="宋体" w:cs="宋体"/>
          <w:sz w:val="24"/>
          <w:szCs w:val="24"/>
          <w:highlight w:val="none"/>
          <w:lang w:val="en-US" w:eastAsia="zh-CN"/>
        </w:rPr>
        <w:t>9.1本次采用网上评标系统，供应商在线参加开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14:paraId="0554613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19.2供应商登录政采云平台，在开标时间后30分钟内用“项目采购----开标评标”功能进行解密电子版投标文件。若供应商在规定时间内未按时解密的，视为无效响应。解密与加密电子版投标文件须使用同一个CA。</w:t>
      </w:r>
    </w:p>
    <w:p w14:paraId="395599B1">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19.3如果供应商未按上述要求加密并上传，采购代理机构对投标文件的误投、无法解密、传输错误等问题概不负责。对由此造成无法正常开启的投标文件，采购代理机构有权予以拒绝，并退回供应商。</w:t>
      </w:r>
    </w:p>
    <w:p w14:paraId="474B2D6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19.4 开标时检查响应文件上传情况。</w:t>
      </w:r>
    </w:p>
    <w:p w14:paraId="3EA6069F">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sz w:val="24"/>
          <w:szCs w:val="24"/>
          <w:highlight w:val="none"/>
          <w:lang w:val="en-US" w:eastAsia="zh-CN"/>
        </w:rPr>
        <w:t>19.5开标原则在开标会议上宣布。</w:t>
      </w:r>
    </w:p>
    <w:p w14:paraId="1D99B1C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20</w:t>
      </w:r>
      <w:r>
        <w:rPr>
          <w:rFonts w:hint="eastAsia" w:ascii="宋体" w:hAnsi="宋体" w:eastAsia="宋体" w:cs="宋体"/>
          <w:b/>
          <w:color w:val="000000"/>
          <w:sz w:val="24"/>
          <w:szCs w:val="24"/>
          <w:highlight w:val="none"/>
          <w:lang w:eastAsia="zh-CN"/>
        </w:rPr>
        <w:t>、</w:t>
      </w:r>
      <w:r>
        <w:rPr>
          <w:rFonts w:hint="eastAsia" w:ascii="宋体" w:hAnsi="宋体" w:eastAsia="宋体" w:cs="宋体"/>
          <w:b/>
          <w:color w:val="000000"/>
          <w:sz w:val="24"/>
          <w:szCs w:val="24"/>
          <w:highlight w:val="none"/>
        </w:rPr>
        <w:t>投标截止时间</w:t>
      </w:r>
    </w:p>
    <w:p w14:paraId="0FA8D7C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20.1  投标文件应在投标人须知前附表规定的投标截止时间之前上传送到投标人须知前附表指定的地点。</w:t>
      </w:r>
    </w:p>
    <w:p w14:paraId="4DEC4A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20.2　所有投标文件不论何种方式递交，都必须在招标方规定的投标截止时间之前递交到招标文件指定地点，在此之后送达的投标文件，为无效投标，投标文件将一律被拒绝。任何单位和个人不得在开标前开启投标文件。</w:t>
      </w:r>
    </w:p>
    <w:p w14:paraId="511F472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20.3  出现因招标文件的修改而推迟投标截止时间的情况时，投标人则需按招标方的书面修改通知重新规定的投标时间递交。</w:t>
      </w:r>
    </w:p>
    <w:p w14:paraId="2FACA02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21</w:t>
      </w:r>
      <w:r>
        <w:rPr>
          <w:rFonts w:hint="eastAsia" w:ascii="宋体" w:hAnsi="宋体" w:eastAsia="宋体" w:cs="宋体"/>
          <w:b/>
          <w:color w:val="000000"/>
          <w:sz w:val="24"/>
          <w:szCs w:val="24"/>
          <w:highlight w:val="none"/>
        </w:rPr>
        <w:t>、投标文件的修改和撤消</w:t>
      </w:r>
    </w:p>
    <w:p w14:paraId="6CEBA2E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.1 投标人在递交投标文件后，可以修改或撤回其投标文件。但投标人必须在规定的投标截止时间之前向采购代理机构发出书面通知。</w:t>
      </w:r>
    </w:p>
    <w:p w14:paraId="1407DE9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.2 在投标截止时间之后，投标人不得对其投标文件做任何修改。从投标截止时间起至投标有效终止时间前，投标人不得撤回其投标。</w:t>
      </w:r>
    </w:p>
    <w:p w14:paraId="6F2381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.3 采购代理机构不接受电话、电传、传真等形式的投标。</w:t>
      </w:r>
    </w:p>
    <w:p w14:paraId="1C5B3B7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rPr>
        <w:t>.4 采购代理机构对不可抗力事件所造成投标文件的损坏、丢失不承担任何责任。</w:t>
      </w:r>
    </w:p>
    <w:p w14:paraId="5171CFB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p>
    <w:p w14:paraId="18883E8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五、开    标</w:t>
      </w:r>
    </w:p>
    <w:p w14:paraId="7011AD56">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、开标</w:t>
      </w:r>
    </w:p>
    <w:p w14:paraId="6AF43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22.2.1采购代理机构按照招标文件规定的时间、地点主持开标。开标前，采购代理机构将会同监督人员进行验标（检查网上招标系统正常与否，检查电子版响应文件，检查供应商报名及保证金交纳情况），确认无误后开标。开标时，各供应商应对本单位的加密的电子响应文件解密，采购代理机构工作人员在监督人员的监督下解密所有响应文件。逾期未解密的投标文件视为无效投标文件（解密时长30分钟）。</w:t>
      </w:r>
    </w:p>
    <w:p w14:paraId="0318AFF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22.2.2开标时，采购代理机构将通过网上开标系统公布供应商名称、投标价格，以及采购代理机构认为合适的其它详细内容。供应商若有报价和优惠未被唱出，应在开标时及时声明或提请注意，否则采购代理机构对此不承担任何责任。</w:t>
      </w:r>
    </w:p>
    <w:p w14:paraId="38250CF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22.2.3在评审结束前，未得到采购代理机构允许，供应商法定代表人或授权代理人不得离开开标现场。</w:t>
      </w:r>
    </w:p>
    <w:p w14:paraId="299F623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22.2.4监督人员对开标过程进行全程监督。</w:t>
      </w:r>
    </w:p>
    <w:p w14:paraId="7FFEEF5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22</w:t>
      </w:r>
      <w:r>
        <w:rPr>
          <w:rFonts w:hint="eastAsia" w:ascii="宋体" w:hAnsi="宋体" w:eastAsia="宋体" w:cs="宋体"/>
          <w:color w:val="000000"/>
          <w:sz w:val="24"/>
          <w:szCs w:val="24"/>
          <w:highlight w:val="none"/>
        </w:rPr>
        <w:t>.3 开标异议</w:t>
      </w:r>
    </w:p>
    <w:p w14:paraId="3BB8B0E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供应商对开标有异议的，应当在开标现场提出，采购人当场作出答复，并制作记录。</w:t>
      </w:r>
    </w:p>
    <w:p w14:paraId="01BA174A">
      <w:pPr>
        <w:pStyle w:val="23"/>
        <w:ind w:left="0" w:leftChars="0" w:firstLine="0" w:firstLineChars="0"/>
        <w:rPr>
          <w:rFonts w:hint="eastAsia"/>
        </w:rPr>
      </w:pPr>
    </w:p>
    <w:p w14:paraId="136A12A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六、评标、定标</w:t>
      </w:r>
    </w:p>
    <w:p w14:paraId="1D84553C">
      <w:pPr>
        <w:pageBreakBefore w:val="0"/>
        <w:kinsoku/>
        <w:wordWrap/>
        <w:overflowPunct/>
        <w:topLinePunct w:val="0"/>
        <w:bidi w:val="0"/>
        <w:adjustRightInd w:val="0"/>
        <w:snapToGrid w:val="0"/>
        <w:spacing w:beforeAutospacing="0" w:afterAutospacing="0" w:line="400" w:lineRule="exact"/>
        <w:ind w:firstLine="472" w:firstLineChars="196"/>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、评标</w:t>
      </w:r>
    </w:p>
    <w:p w14:paraId="56973F2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b/>
          <w:color w:val="000000"/>
          <w:sz w:val="24"/>
          <w:szCs w:val="24"/>
          <w:highlight w:val="none"/>
        </w:rPr>
        <w:t xml:space="preserve">评标委员会或评标小组 </w:t>
      </w:r>
    </w:p>
    <w:p w14:paraId="236DC732">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.1.1评标委员会或评标小组（以下简称评标委员会）的评标工作由招标单位负责组织，具体评标事务由评标委员会</w:t>
      </w:r>
      <w:r>
        <w:rPr>
          <w:rFonts w:hint="eastAsia" w:ascii="宋体" w:hAnsi="宋体" w:eastAsia="宋体" w:cs="宋体"/>
          <w:color w:val="auto"/>
          <w:sz w:val="24"/>
          <w:szCs w:val="24"/>
          <w:highlight w:val="none"/>
        </w:rPr>
        <w:t>负责，并独立履行其法规规定的职责。</w:t>
      </w:r>
    </w:p>
    <w:p w14:paraId="50333F6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.1.2评标委员会由</w:t>
      </w:r>
      <w:r>
        <w:rPr>
          <w:rFonts w:hint="eastAsia" w:ascii="宋体" w:hAnsi="宋体" w:eastAsia="宋体" w:cs="宋体"/>
          <w:color w:val="auto"/>
          <w:sz w:val="24"/>
          <w:szCs w:val="24"/>
          <w:highlight w:val="none"/>
          <w:lang w:eastAsia="zh-CN"/>
        </w:rPr>
        <w:t>采购人（</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和专家库中熟悉相关技术的专家</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组成，成员人数为</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rPr>
        <w:t>，其中熟悉相关技术方面的专家不得少于成员总数的三之二。评标委员会设负责人的，评标委员会负责人由评标委员会推举产生或者由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确定。评标委员会负责人与评标委员会的其他成员有同等的表决权。</w:t>
      </w:r>
    </w:p>
    <w:p w14:paraId="50DFA7C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.1.3 评标委员会或评标小组负责具体的评标事务，并</w:t>
      </w:r>
      <w:r>
        <w:rPr>
          <w:rFonts w:hint="eastAsia" w:ascii="宋体" w:hAnsi="宋体" w:eastAsia="宋体" w:cs="宋体"/>
          <w:color w:val="000000"/>
          <w:sz w:val="24"/>
          <w:szCs w:val="24"/>
          <w:highlight w:val="none"/>
        </w:rPr>
        <w:t>独立履行以下职责：</w:t>
      </w:r>
    </w:p>
    <w:p w14:paraId="4DC6D5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.1.3.1 审查投标文件是否符合招标文件的要求，并作出评价；</w:t>
      </w:r>
    </w:p>
    <w:p w14:paraId="3381CD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.1.3.2 可以要求投标投标人对投标文件有关事项作出解释或澄清；</w:t>
      </w:r>
    </w:p>
    <w:p w14:paraId="6EAE2F4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.1.3.3 推荐中标候选投标人名单，或者受</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委托按照事先确定的办法直接确定中标人；</w:t>
      </w:r>
    </w:p>
    <w:p w14:paraId="5CA75058">
      <w:pPr>
        <w:pageBreakBefore w:val="0"/>
        <w:kinsoku/>
        <w:wordWrap/>
        <w:overflowPunct/>
        <w:topLinePunct w:val="0"/>
        <w:bidi w:val="0"/>
        <w:adjustRightInd w:val="0"/>
        <w:snapToGrid w:val="0"/>
        <w:spacing w:beforeAutospacing="0" w:afterAutospacing="0" w:line="4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.1.3.4 向招标单位或者有关部门报告非法干预评标工作的行为。</w:t>
      </w:r>
    </w:p>
    <w:p w14:paraId="05B50350">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 评标委员会成员应当履行下列义务：</w:t>
      </w:r>
    </w:p>
    <w:p w14:paraId="6C65446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.1.4.1 遵纪守法，客观、公正、廉洁地履行职责；</w:t>
      </w:r>
    </w:p>
    <w:p w14:paraId="399B3928">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.1.4.2 按照招标文件规定的评标办法和评标标准进行评标，对评审意见承担个人责任；</w:t>
      </w:r>
    </w:p>
    <w:p w14:paraId="6B0A375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.1.4.3 对评标过程和结果，以及投标人的商业秘密保密；</w:t>
      </w:r>
    </w:p>
    <w:p w14:paraId="038B325D">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.1.4.4 参与评标报告的起草；</w:t>
      </w:r>
    </w:p>
    <w:p w14:paraId="105D1881">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.1.4.5 配合财政部门的投诉处理工作；</w:t>
      </w:r>
    </w:p>
    <w:p w14:paraId="10CC8203">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.1.4.6 配合招标单位答复投标投标人提出的质疑。</w:t>
      </w:r>
    </w:p>
    <w:p w14:paraId="0E58D015">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rPr>
        <w:t>.2按国家计委等七部委颁发的《评标委员会和评标方法暂行规定》，结合本工程特点，本项目采用综合评分法，对于经济报价的评分，按以下方法进行：价格分采用低价优先法计算，即满足招标文件要求且投标价格最低的投标报价为评标基准价，其价格分为满分。其他投标人的价格分统一按照下列公式计算：</w:t>
      </w:r>
    </w:p>
    <w:p w14:paraId="434838AA">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u w:val="single"/>
        </w:rPr>
        <w:t>投标报价得分=(评标基准价/投标报价)×</w:t>
      </w:r>
      <w:r>
        <w:rPr>
          <w:rFonts w:hint="eastAsia" w:ascii="宋体" w:hAnsi="宋体" w:cs="宋体"/>
          <w:b/>
          <w:color w:val="auto"/>
          <w:sz w:val="24"/>
          <w:szCs w:val="24"/>
          <w:highlight w:val="none"/>
          <w:u w:val="single"/>
          <w:lang w:val="en-US" w:eastAsia="zh-CN"/>
        </w:rPr>
        <w:t>3</w:t>
      </w:r>
      <w:r>
        <w:rPr>
          <w:rFonts w:hint="eastAsia" w:ascii="宋体" w:hAnsi="宋体" w:eastAsia="宋体" w:cs="宋体"/>
          <w:b/>
          <w:color w:val="auto"/>
          <w:sz w:val="24"/>
          <w:szCs w:val="24"/>
          <w:highlight w:val="none"/>
          <w:u w:val="single"/>
        </w:rPr>
        <w:t>0%×100</w:t>
      </w:r>
      <w:r>
        <w:rPr>
          <w:rFonts w:hint="eastAsia" w:ascii="宋体" w:hAnsi="宋体" w:eastAsia="宋体" w:cs="宋体"/>
          <w:b/>
          <w:color w:val="auto"/>
          <w:sz w:val="24"/>
          <w:szCs w:val="24"/>
          <w:highlight w:val="none"/>
        </w:rPr>
        <w:t>（总分100分：其中商务部分和技术部分占</w:t>
      </w:r>
      <w:r>
        <w:rPr>
          <w:rFonts w:hint="eastAsia" w:ascii="宋体" w:hAnsi="宋体" w:cs="宋体"/>
          <w:b/>
          <w:color w:val="auto"/>
          <w:sz w:val="24"/>
          <w:szCs w:val="24"/>
          <w:highlight w:val="none"/>
          <w:lang w:val="en-US" w:eastAsia="zh-CN"/>
        </w:rPr>
        <w:t>7</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分，投标报价占</w:t>
      </w: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lang w:val="en-US" w:eastAsia="zh-CN"/>
        </w:rPr>
        <w:t>0</w:t>
      </w:r>
      <w:r>
        <w:rPr>
          <w:rFonts w:hint="eastAsia" w:ascii="宋体" w:hAnsi="宋体" w:eastAsia="宋体" w:cs="宋体"/>
          <w:b/>
          <w:color w:val="auto"/>
          <w:sz w:val="24"/>
          <w:szCs w:val="24"/>
          <w:highlight w:val="none"/>
        </w:rPr>
        <w:t>分），最终合计得分最高的投标人作为第一中标候选人，以此类推确定第二、第三中标候选人。</w:t>
      </w:r>
    </w:p>
    <w:p w14:paraId="0D1BD1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 评标的依据为招标文件和投标文件。</w:t>
      </w:r>
    </w:p>
    <w:p w14:paraId="62F9BE1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.4评标过程的保密性。开标后，直到授予中标人合同止，凡是属于审查、澄清、评价和比较的有关资料以及授标建议等均不得向投标人或其他无关的人员透露。</w:t>
      </w:r>
    </w:p>
    <w:p w14:paraId="2F2AD14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.5 投标人在评标过程中所进行的力图影响评标结果、有悖于招标规则的活动，可能导致取消其中标资格。</w:t>
      </w:r>
    </w:p>
    <w:p w14:paraId="56DD9BA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.6 与招标文件有重大偏离的投标文件将被拒绝。且此重大偏离在开标后不许修改。</w:t>
      </w:r>
    </w:p>
    <w:p w14:paraId="0A4C8D7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.7 按国家计委等七部委颁发的《评标委员会和评标办法暂行规定</w:t>
      </w:r>
      <w:r>
        <w:rPr>
          <w:rFonts w:hint="eastAsia" w:ascii="宋体" w:hAnsi="宋体" w:eastAsia="宋体" w:cs="宋体"/>
          <w:sz w:val="24"/>
          <w:szCs w:val="24"/>
          <w:highlight w:val="none"/>
        </w:rPr>
        <w:t>》及政府招标货物和服务招标投标管理办法（财政部令第87号）以下行为将视为无效投标和废标</w:t>
      </w:r>
      <w:r>
        <w:rPr>
          <w:rFonts w:hint="eastAsia" w:ascii="宋体" w:hAnsi="宋体" w:eastAsia="宋体" w:cs="宋体"/>
          <w:sz w:val="24"/>
          <w:szCs w:val="24"/>
          <w:highlight w:val="none"/>
          <w:lang w:val="en-US" w:eastAsia="zh-CN"/>
        </w:rPr>
        <w:t>条款。</w:t>
      </w:r>
    </w:p>
    <w:p w14:paraId="43794F8C">
      <w:pPr>
        <w:pStyle w:val="4"/>
        <w:pageBreakBefore w:val="0"/>
        <w:kinsoku/>
        <w:wordWrap/>
        <w:overflowPunct/>
        <w:topLinePunct w:val="0"/>
        <w:bidi w:val="0"/>
        <w:spacing w:beforeAutospacing="0" w:afterAutospacing="0" w:line="400" w:lineRule="exact"/>
        <w:ind w:left="639" w:leftChars="184" w:hanging="253" w:hangingChars="105"/>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23.8无效投标：</w:t>
      </w:r>
    </w:p>
    <w:p w14:paraId="5F0B1D96">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23.8.1</w:t>
      </w:r>
      <w:r>
        <w:rPr>
          <w:rFonts w:hint="eastAsia" w:ascii="宋体" w:hAnsi="宋体" w:eastAsia="宋体" w:cs="宋体"/>
          <w:color w:val="000000"/>
          <w:sz w:val="24"/>
          <w:szCs w:val="24"/>
          <w:highlight w:val="none"/>
        </w:rPr>
        <w:t>投标保证金的缴纳主体与投标人不一致的，没有按照招标文件要求提供投标担保，或者所提供的投标担保有瑕疵的；</w:t>
      </w:r>
    </w:p>
    <w:p w14:paraId="655A9EE7">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23.8.2</w:t>
      </w:r>
      <w:r>
        <w:rPr>
          <w:rFonts w:hint="eastAsia" w:ascii="宋体" w:hAnsi="宋体" w:eastAsia="宋体" w:cs="宋体"/>
          <w:color w:val="000000"/>
          <w:sz w:val="24"/>
          <w:szCs w:val="24"/>
          <w:highlight w:val="none"/>
        </w:rPr>
        <w:t>投标文件没有投标人法定代表人或其授权代表签字（</w:t>
      </w:r>
      <w:r>
        <w:rPr>
          <w:rFonts w:hint="eastAsia" w:ascii="宋体" w:hAnsi="宋体" w:cs="宋体"/>
          <w:color w:val="000000"/>
          <w:sz w:val="24"/>
          <w:szCs w:val="24"/>
          <w:highlight w:val="none"/>
          <w:lang w:val="en-US" w:eastAsia="zh-CN"/>
        </w:rPr>
        <w:t>或盖</w:t>
      </w:r>
      <w:r>
        <w:rPr>
          <w:rFonts w:hint="eastAsia" w:ascii="宋体" w:hAnsi="宋体" w:eastAsia="宋体" w:cs="宋体"/>
          <w:color w:val="000000"/>
          <w:sz w:val="24"/>
          <w:szCs w:val="24"/>
          <w:highlight w:val="none"/>
        </w:rPr>
        <w:t>章）和加盖投标</w:t>
      </w:r>
      <w:r>
        <w:rPr>
          <w:rFonts w:hint="eastAsia" w:ascii="宋体" w:hAnsi="宋体" w:cs="宋体"/>
          <w:color w:val="000000"/>
          <w:sz w:val="24"/>
          <w:szCs w:val="24"/>
          <w:highlight w:val="none"/>
          <w:lang w:eastAsia="zh-CN"/>
        </w:rPr>
        <w:t>供应商公章</w:t>
      </w:r>
      <w:r>
        <w:rPr>
          <w:rFonts w:hint="eastAsia" w:ascii="宋体" w:hAnsi="宋体" w:eastAsia="宋体" w:cs="宋体"/>
          <w:color w:val="000000"/>
          <w:sz w:val="24"/>
          <w:szCs w:val="24"/>
          <w:highlight w:val="none"/>
        </w:rPr>
        <w:t>的；</w:t>
      </w:r>
    </w:p>
    <w:p w14:paraId="2282A1D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23.8.3</w:t>
      </w:r>
      <w:r>
        <w:rPr>
          <w:rFonts w:hint="eastAsia" w:ascii="宋体" w:hAnsi="宋体" w:eastAsia="宋体" w:cs="宋体"/>
          <w:color w:val="000000"/>
          <w:sz w:val="24"/>
          <w:szCs w:val="24"/>
          <w:highlight w:val="none"/>
        </w:rPr>
        <w:t>投标文件记载的招标项目完成期限超过招标文件规定的完成期限；</w:t>
      </w:r>
    </w:p>
    <w:p w14:paraId="62A166A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23.8.4</w:t>
      </w:r>
      <w:r>
        <w:rPr>
          <w:rFonts w:hint="eastAsia" w:ascii="宋体" w:hAnsi="宋体" w:eastAsia="宋体" w:cs="宋体"/>
          <w:color w:val="000000"/>
          <w:sz w:val="24"/>
          <w:szCs w:val="24"/>
          <w:highlight w:val="none"/>
        </w:rPr>
        <w:t>不具备招标文件中规定的资格要求的；</w:t>
      </w:r>
    </w:p>
    <w:p w14:paraId="2B520840">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23.8.5</w:t>
      </w:r>
      <w:r>
        <w:rPr>
          <w:rFonts w:hint="eastAsia" w:ascii="宋体" w:hAnsi="宋体" w:eastAsia="宋体" w:cs="宋体"/>
          <w:color w:val="000000"/>
          <w:sz w:val="24"/>
          <w:szCs w:val="24"/>
          <w:highlight w:val="none"/>
        </w:rPr>
        <w:t>明显不符合技术规格和技术标准的要求；</w:t>
      </w:r>
    </w:p>
    <w:p w14:paraId="78122B7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23.8.6</w:t>
      </w:r>
      <w:r>
        <w:rPr>
          <w:rFonts w:hint="eastAsia" w:ascii="宋体" w:hAnsi="宋体" w:eastAsia="宋体" w:cs="宋体"/>
          <w:color w:val="000000"/>
          <w:sz w:val="24"/>
          <w:szCs w:val="24"/>
          <w:highlight w:val="none"/>
        </w:rPr>
        <w:t>投标附有</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不能接受的条件；</w:t>
      </w:r>
    </w:p>
    <w:p w14:paraId="43CFB83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23.8.7</w:t>
      </w:r>
      <w:r>
        <w:rPr>
          <w:rFonts w:hint="eastAsia" w:ascii="宋体" w:hAnsi="宋体" w:eastAsia="宋体" w:cs="宋体"/>
          <w:color w:val="000000"/>
          <w:sz w:val="24"/>
          <w:szCs w:val="24"/>
          <w:highlight w:val="none"/>
        </w:rPr>
        <w:t>不符合招标文件中规定的其他实质性要求；</w:t>
      </w:r>
    </w:p>
    <w:p w14:paraId="5F674B1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23.8.8</w:t>
      </w:r>
      <w:r>
        <w:rPr>
          <w:rFonts w:hint="eastAsia" w:ascii="宋体" w:hAnsi="宋体" w:eastAsia="宋体" w:cs="宋体"/>
          <w:color w:val="000000"/>
          <w:sz w:val="24"/>
          <w:szCs w:val="24"/>
          <w:highlight w:val="none"/>
        </w:rPr>
        <w:t>投标报价不符合招标文件规定的要求；</w:t>
      </w:r>
    </w:p>
    <w:p w14:paraId="4D309875">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23.8.9</w:t>
      </w:r>
      <w:r>
        <w:rPr>
          <w:rFonts w:hint="eastAsia" w:ascii="宋体" w:hAnsi="宋体" w:eastAsia="宋体" w:cs="宋体"/>
          <w:color w:val="000000"/>
          <w:sz w:val="24"/>
          <w:szCs w:val="24"/>
          <w:highlight w:val="none"/>
        </w:rPr>
        <w:t>在评标过程中，评标委员会发现供应商的报价明显低于其他投标报价，使得其投标报价可能低于其个别成本的，应当要求该供应商做出书面说明并提供相关证明材料。供应商不能合理说明或者不能提供相关证明材料的，由评标委员会认定该供应商以低于成本报价竞标。</w:t>
      </w:r>
    </w:p>
    <w:p w14:paraId="26F84A4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23.8.10</w:t>
      </w:r>
      <w:r>
        <w:rPr>
          <w:rFonts w:hint="eastAsia" w:ascii="宋体" w:hAnsi="宋体" w:eastAsia="宋体" w:cs="宋体"/>
          <w:color w:val="000000"/>
          <w:sz w:val="24"/>
          <w:szCs w:val="24"/>
          <w:highlight w:val="none"/>
        </w:rPr>
        <w:t>其他法律、法规及本招标文件规定的属无效投标的情形</w:t>
      </w:r>
      <w:r>
        <w:rPr>
          <w:rFonts w:hint="eastAsia" w:ascii="宋体" w:hAnsi="宋体" w:eastAsia="宋体" w:cs="宋体"/>
          <w:color w:val="000000"/>
          <w:sz w:val="24"/>
          <w:szCs w:val="24"/>
          <w:highlight w:val="none"/>
          <w:lang w:eastAsia="zh-CN"/>
        </w:rPr>
        <w:t>。</w:t>
      </w:r>
    </w:p>
    <w:p w14:paraId="5082682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val="0"/>
          <w:bCs w:val="0"/>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23.8.11</w:t>
      </w:r>
      <w:r>
        <w:rPr>
          <w:rFonts w:hint="eastAsia" w:ascii="宋体" w:hAnsi="宋体" w:eastAsia="宋体" w:cs="宋体"/>
          <w:b w:val="0"/>
          <w:bCs w:val="0"/>
          <w:color w:val="000000"/>
          <w:kern w:val="2"/>
          <w:sz w:val="24"/>
          <w:szCs w:val="24"/>
          <w:highlight w:val="none"/>
          <w:lang w:val="en-US" w:eastAsia="zh-CN" w:bidi="ar-SA"/>
        </w:rPr>
        <w:t>投标人被“信用中国”网站（www.creditchina.gov.cn）列入失信被执行人或重大税收违法案件当事人名单或政府采购严重失信行为记录名单。</w:t>
      </w:r>
    </w:p>
    <w:p w14:paraId="7456F58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投标文件有上述情形之一的，视为非实质性响应招标，并按规定作无效标处理。</w:t>
      </w:r>
    </w:p>
    <w:p w14:paraId="310A7E57">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23.9废标条款：</w:t>
      </w:r>
    </w:p>
    <w:p w14:paraId="19EF2A30">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23.9.1</w:t>
      </w:r>
      <w:r>
        <w:rPr>
          <w:rFonts w:hint="eastAsia" w:ascii="宋体" w:hAnsi="宋体" w:eastAsia="宋体" w:cs="宋体"/>
          <w:color w:val="000000"/>
          <w:sz w:val="24"/>
          <w:szCs w:val="24"/>
          <w:highlight w:val="none"/>
        </w:rPr>
        <w:t>符合专业条件的供应商或者对招标文件作实质响应的供应商不足三家的。</w:t>
      </w:r>
    </w:p>
    <w:p w14:paraId="52BC5645">
      <w:pPr>
        <w:pageBreakBefore w:val="0"/>
        <w:numPr>
          <w:ilvl w:val="0"/>
          <w:numId w:val="0"/>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23.9.2</w:t>
      </w:r>
      <w:r>
        <w:rPr>
          <w:rFonts w:hint="eastAsia" w:ascii="宋体" w:hAnsi="宋体" w:eastAsia="宋体" w:cs="宋体"/>
          <w:color w:val="000000"/>
          <w:sz w:val="24"/>
          <w:szCs w:val="24"/>
          <w:highlight w:val="none"/>
        </w:rPr>
        <w:t>出现影响采购公正的违法、违规行为的。</w:t>
      </w:r>
    </w:p>
    <w:p w14:paraId="0E81169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23.9.3</w:t>
      </w:r>
      <w:r>
        <w:rPr>
          <w:rFonts w:hint="eastAsia" w:ascii="宋体" w:hAnsi="宋体" w:eastAsia="宋体" w:cs="宋体"/>
          <w:color w:val="000000"/>
          <w:sz w:val="24"/>
          <w:szCs w:val="24"/>
          <w:highlight w:val="none"/>
        </w:rPr>
        <w:t>因重大变故，采购任务取消的。</w:t>
      </w:r>
    </w:p>
    <w:p w14:paraId="7C98D40D">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23.9.4</w:t>
      </w:r>
      <w:r>
        <w:rPr>
          <w:rFonts w:hint="eastAsia" w:ascii="宋体" w:hAnsi="宋体" w:eastAsia="宋体" w:cs="宋体"/>
          <w:color w:val="000000"/>
          <w:sz w:val="24"/>
          <w:szCs w:val="24"/>
          <w:highlight w:val="none"/>
        </w:rPr>
        <w:t>评标委员会认定招标文件存在歧义、重大缺陷导致评审工作无法进行。</w:t>
      </w:r>
    </w:p>
    <w:p w14:paraId="413EBF80">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Cs/>
          <w:sz w:val="24"/>
          <w:szCs w:val="24"/>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4</w:t>
      </w:r>
      <w:r>
        <w:rPr>
          <w:rFonts w:hint="eastAsia" w:ascii="宋体" w:hAnsi="宋体" w:eastAsia="宋体" w:cs="宋体"/>
          <w:b/>
          <w:color w:val="000000"/>
          <w:sz w:val="24"/>
          <w:szCs w:val="24"/>
          <w:highlight w:val="none"/>
        </w:rPr>
        <w:t>、对投标文件的初步审查和响应性确定</w:t>
      </w:r>
    </w:p>
    <w:p w14:paraId="0A5770C9">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.1.1 资格审查：依据法律法规和招标文件的规定，由采购人对投标文件中的资格证明文件进行审查。资格审查的结论，采购人以书面形式向评委会进行反馈。</w:t>
      </w:r>
    </w:p>
    <w:p w14:paraId="1D7B403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接受联合体的项目，两个以上的自然人、法人或者其他组织组成一个联合体，以一个供应商的身份共同参加政府采购活动的,联合体成员存在不良信用记录的，视同联合体存在不良应用记录。</w:t>
      </w:r>
    </w:p>
    <w:p w14:paraId="4128EAE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.1.2 符合性审查：依据招标文件的规定，由评委会从投标文件的有效性、完整性和对招标文件的响应程度进行审查，以确定是否对招标文件的实质性要求作出响应。</w:t>
      </w:r>
    </w:p>
    <w:p w14:paraId="7997A5E3">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.1.3 未通过资格审查或符合性审查的投标人，</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将在评标现场向其授权代表告知未通过资格审查或符合性审查的原因，评审结束后，</w:t>
      </w:r>
      <w:r>
        <w:rPr>
          <w:rFonts w:hint="eastAsia" w:ascii="宋体" w:hAnsi="宋体" w:eastAsia="宋体" w:cs="宋体"/>
          <w:color w:val="000000"/>
          <w:sz w:val="24"/>
          <w:szCs w:val="24"/>
          <w:highlight w:val="none"/>
          <w:lang w:val="en-US" w:eastAsia="zh-CN"/>
        </w:rPr>
        <w:t>代理机构</w:t>
      </w:r>
      <w:r>
        <w:rPr>
          <w:rFonts w:hint="eastAsia" w:ascii="宋体" w:hAnsi="宋体" w:eastAsia="宋体" w:cs="宋体"/>
          <w:color w:val="000000"/>
          <w:sz w:val="24"/>
          <w:szCs w:val="24"/>
          <w:highlight w:val="none"/>
        </w:rPr>
        <w:t>将不再告知未通过资格审查或符合性审查的原因。</w:t>
      </w:r>
    </w:p>
    <w:p w14:paraId="08AD892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.2在详细评标之前，评委会将首先审查每份投标文件是否实质性响应了招标文件的要求。实质性响应的投标应该是与招标文件要求的全部条款、条件和规格相符，没有重大偏离或保留的投标。</w:t>
      </w:r>
    </w:p>
    <w:p w14:paraId="67065F8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三分二及以上成员的认定。评委决定投标文件的响应性只根据投标文件本身的内容，而不寻求外部的证据。</w:t>
      </w:r>
    </w:p>
    <w:p w14:paraId="2F84FBF1">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.3如果投标文件实质上没有响应招标文件的要求，评委会将予以拒绝，投标人不得通过修改或撤销不合要求的偏离或保留而使其投标成为实质性响应的投标。</w:t>
      </w:r>
    </w:p>
    <w:p w14:paraId="7262906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.4评委会将对确定为实质性响应的投标进行进一步审核，看其是否有计算上或累加上的算术错误，修正错误的原则如下：</w:t>
      </w:r>
    </w:p>
    <w:p w14:paraId="49E5C2B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24.4.1</w:t>
      </w:r>
      <w:r>
        <w:rPr>
          <w:rFonts w:hint="eastAsia" w:ascii="宋体" w:hAnsi="宋体" w:eastAsia="宋体" w:cs="宋体"/>
          <w:color w:val="000000"/>
          <w:sz w:val="24"/>
          <w:szCs w:val="24"/>
          <w:highlight w:val="none"/>
        </w:rPr>
        <w:t>投标文件中开标一览表内容与投标文件中相应内容不一致的，以开标一览表为准。</w:t>
      </w:r>
    </w:p>
    <w:p w14:paraId="4FDFAB3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24.4.2</w:t>
      </w:r>
      <w:r>
        <w:rPr>
          <w:rFonts w:hint="eastAsia" w:ascii="宋体" w:hAnsi="宋体" w:eastAsia="宋体" w:cs="宋体"/>
          <w:color w:val="000000"/>
          <w:sz w:val="24"/>
          <w:szCs w:val="24"/>
          <w:highlight w:val="none"/>
        </w:rPr>
        <w:t>大写金额和小写金额不一致的，以大写金额为准。</w:t>
      </w:r>
    </w:p>
    <w:p w14:paraId="0B3476C8">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24.4.3</w:t>
      </w:r>
      <w:r>
        <w:rPr>
          <w:rFonts w:hint="eastAsia" w:ascii="宋体" w:hAnsi="宋体" w:eastAsia="宋体" w:cs="宋体"/>
          <w:color w:val="000000"/>
          <w:sz w:val="24"/>
          <w:szCs w:val="24"/>
          <w:highlight w:val="none"/>
        </w:rPr>
        <w:t>单价金额小数点或者百分比有明显错位的，以开标一览表的总价为准，并修改单价。</w:t>
      </w:r>
    </w:p>
    <w:p w14:paraId="5CF70FD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24.4.4</w:t>
      </w:r>
      <w:r>
        <w:rPr>
          <w:rFonts w:hint="eastAsia" w:ascii="宋体" w:hAnsi="宋体" w:eastAsia="宋体" w:cs="宋体"/>
          <w:color w:val="000000"/>
          <w:sz w:val="24"/>
          <w:szCs w:val="24"/>
          <w:highlight w:val="none"/>
        </w:rPr>
        <w:t>总价金额与按单价汇总金额不一致的，以单价金额计算结果为准。</w:t>
      </w:r>
    </w:p>
    <w:p w14:paraId="784056D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同时出现两种以上错误的，按照前款规定的顺序修正。</w:t>
      </w:r>
    </w:p>
    <w:p w14:paraId="422C9234">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.5评委会将按上述修正错误的方法调整投标文件中的投标报价，调整后的价格应对投标人具有约束力。如果投标人不接受修正后的价格，则其投标将被拒绝，其投标保证金不予退还。</w:t>
      </w:r>
    </w:p>
    <w:p w14:paraId="0036BF6A">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b/>
          <w:color w:val="000000"/>
          <w:kern w:val="2"/>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.6评委会将允许修正投标文件中不构成重大偏离的、微小的、非正规的、不一致的或不规则的地方，但这些修改不能影响任何投标人相应的名次排列。</w:t>
      </w:r>
    </w:p>
    <w:p w14:paraId="37B60F4C">
      <w:pPr>
        <w:pageBreakBefore w:val="0"/>
        <w:numPr>
          <w:ilvl w:val="0"/>
          <w:numId w:val="0"/>
        </w:numPr>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5</w:t>
      </w:r>
      <w:r>
        <w:rPr>
          <w:rFonts w:hint="eastAsia" w:ascii="宋体" w:hAnsi="宋体" w:eastAsia="宋体" w:cs="宋体"/>
          <w:b/>
          <w:color w:val="000000"/>
          <w:sz w:val="24"/>
          <w:szCs w:val="24"/>
          <w:highlight w:val="none"/>
        </w:rPr>
        <w:t>、投标文件的澄清</w:t>
      </w:r>
    </w:p>
    <w:p w14:paraId="6FCA002B">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.1 评标委员会在评标过程中有权随时请投标人就投标文件中含混之处加以澄清或答疑。</w:t>
      </w:r>
    </w:p>
    <w:p w14:paraId="15ABA912">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.2 投标人对要求澄清的问题应以书面形式明确答复，并应有法人授权代表的签署。</w:t>
      </w:r>
    </w:p>
    <w:p w14:paraId="6A777DA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.3 投标人的澄清文件是投标文件的组成部分，并取代投标文件中被澄清的部分。</w:t>
      </w:r>
    </w:p>
    <w:p w14:paraId="60498F2F">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.4 投标文件的澄清不得改变投标的实质内容。</w:t>
      </w:r>
    </w:p>
    <w:p w14:paraId="08C221EE">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.5如果投标人在投标文件中未对招标文件中的条款或参数要求提出偏离意见或澄清将视同投标人同意招标文件的全部或部分要求。</w:t>
      </w:r>
    </w:p>
    <w:p w14:paraId="063792DD">
      <w:pPr>
        <w:pageBreakBefore w:val="0"/>
        <w:kinsoku/>
        <w:wordWrap/>
        <w:overflowPunct/>
        <w:topLinePunct w:val="0"/>
        <w:bidi w:val="0"/>
        <w:adjustRightInd w:val="0"/>
        <w:snapToGrid w:val="0"/>
        <w:spacing w:beforeAutospacing="0" w:afterAutospacing="0" w:line="40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6</w:t>
      </w:r>
      <w:r>
        <w:rPr>
          <w:rFonts w:hint="eastAsia" w:ascii="宋体" w:hAnsi="宋体" w:eastAsia="宋体" w:cs="宋体"/>
          <w:b/>
          <w:color w:val="000000"/>
          <w:sz w:val="24"/>
          <w:szCs w:val="24"/>
          <w:highlight w:val="none"/>
        </w:rPr>
        <w:t>、定标</w:t>
      </w:r>
    </w:p>
    <w:p w14:paraId="7187B482">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 评标委员会有权选择和拒绝投标人中标，且无需向投标人进行任何有关评标的解释工作。</w:t>
      </w:r>
    </w:p>
    <w:p w14:paraId="1CC9130D">
      <w:pPr>
        <w:pStyle w:val="38"/>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.2 评标委员会通过上述评标方法以</w:t>
      </w:r>
      <w:r>
        <w:rPr>
          <w:rFonts w:hint="eastAsia" w:ascii="宋体" w:hAnsi="宋体" w:eastAsia="宋体" w:cs="宋体"/>
          <w:b/>
          <w:color w:val="000000"/>
          <w:sz w:val="24"/>
          <w:szCs w:val="24"/>
          <w:highlight w:val="none"/>
        </w:rPr>
        <w:t>最终合计得分最高的投标人作为第一中标候选人，以此类推确定第二、第三中标候选人。</w:t>
      </w:r>
    </w:p>
    <w:p w14:paraId="3740A3F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 若有充分证据证明，中标人出现下列情况之一的，一经查实，将被取消中标资格：</w:t>
      </w:r>
    </w:p>
    <w:p w14:paraId="21FA086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提供虚假材料谋取中标的。</w:t>
      </w:r>
    </w:p>
    <w:p w14:paraId="0371AD2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向采购人、采购中心行贿或者提供其他不正当利益的。</w:t>
      </w:r>
    </w:p>
    <w:p w14:paraId="533814E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恶意竞争，投标总报价明显低于其自身合理成本且又无法提供证明的。</w:t>
      </w:r>
    </w:p>
    <w:p w14:paraId="1B9D38C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属于本文件规定的无效条件，但在评标过程中又未被评委会发现的。</w:t>
      </w:r>
    </w:p>
    <w:p w14:paraId="2BC5AE2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与采购人或者其他供应商恶意串通的。</w:t>
      </w:r>
    </w:p>
    <w:p w14:paraId="39E5390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采取不正当手段诋毁、排挤其他供应商的。</w:t>
      </w:r>
    </w:p>
    <w:p w14:paraId="1F6086B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w:t>
      </w:r>
      <w:r>
        <w:rPr>
          <w:rFonts w:hint="eastAsia" w:ascii="宋体" w:hAnsi="宋体" w:eastAsia="宋体" w:cs="宋体"/>
          <w:color w:val="000000"/>
          <w:sz w:val="24"/>
          <w:szCs w:val="24"/>
          <w:highlight w:val="none"/>
        </w:rPr>
        <w:t>有下列情形之一的，视为投标人串通投标，投标无效：</w:t>
      </w:r>
    </w:p>
    <w:p w14:paraId="4A73BCD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26.4.1</w:t>
      </w:r>
      <w:r>
        <w:rPr>
          <w:rFonts w:hint="eastAsia" w:ascii="宋体" w:hAnsi="宋体" w:eastAsia="宋体" w:cs="宋体"/>
          <w:color w:val="000000"/>
          <w:sz w:val="24"/>
          <w:szCs w:val="24"/>
          <w:highlight w:val="none"/>
        </w:rPr>
        <w:t>不同投标人的投标文件由同一单位或者个人编制。</w:t>
      </w:r>
    </w:p>
    <w:p w14:paraId="50F6160E">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26.4.2</w:t>
      </w:r>
      <w:r>
        <w:rPr>
          <w:rFonts w:hint="eastAsia" w:ascii="宋体" w:hAnsi="宋体" w:eastAsia="宋体" w:cs="宋体"/>
          <w:color w:val="000000"/>
          <w:sz w:val="24"/>
          <w:szCs w:val="24"/>
          <w:highlight w:val="none"/>
        </w:rPr>
        <w:t>不同投标人委托同一单位或者个人办理投标事宜。</w:t>
      </w:r>
    </w:p>
    <w:p w14:paraId="7202A6C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26.4.3</w:t>
      </w:r>
      <w:r>
        <w:rPr>
          <w:rFonts w:hint="eastAsia" w:ascii="宋体" w:hAnsi="宋体" w:eastAsia="宋体" w:cs="宋体"/>
          <w:color w:val="000000"/>
          <w:sz w:val="24"/>
          <w:szCs w:val="24"/>
          <w:highlight w:val="none"/>
        </w:rPr>
        <w:t>不同投标人的投标文件载明的项目管理成员或者联系人员为同一人。</w:t>
      </w:r>
    </w:p>
    <w:p w14:paraId="409BD2C7">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26.4.4</w:t>
      </w:r>
      <w:r>
        <w:rPr>
          <w:rFonts w:hint="eastAsia" w:ascii="宋体" w:hAnsi="宋体" w:eastAsia="宋体" w:cs="宋体"/>
          <w:color w:val="000000"/>
          <w:sz w:val="24"/>
          <w:szCs w:val="24"/>
          <w:highlight w:val="none"/>
        </w:rPr>
        <w:t>不同投标人的投标文件异常一致或者投标报价呈规律性差异。</w:t>
      </w:r>
    </w:p>
    <w:p w14:paraId="3449678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26.4.5</w:t>
      </w:r>
      <w:r>
        <w:rPr>
          <w:rFonts w:hint="eastAsia" w:ascii="宋体" w:hAnsi="宋体" w:eastAsia="宋体" w:cs="宋体"/>
          <w:color w:val="000000"/>
          <w:sz w:val="24"/>
          <w:szCs w:val="24"/>
          <w:highlight w:val="none"/>
        </w:rPr>
        <w:t>不同投标人的投标文件相互混装。</w:t>
      </w:r>
    </w:p>
    <w:p w14:paraId="112CD4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26.4.6</w:t>
      </w:r>
      <w:r>
        <w:rPr>
          <w:rFonts w:hint="eastAsia" w:ascii="宋体" w:hAnsi="宋体" w:eastAsia="宋体" w:cs="宋体"/>
          <w:color w:val="000000"/>
          <w:sz w:val="24"/>
          <w:szCs w:val="24"/>
          <w:highlight w:val="none"/>
        </w:rPr>
        <w:t>不同投标人的投标保证金从同一单位或者个人的账户转出。</w:t>
      </w:r>
    </w:p>
    <w:p w14:paraId="5EDBFE86">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color w:val="000000"/>
          <w:sz w:val="24"/>
          <w:szCs w:val="24"/>
          <w:highlight w:val="none"/>
          <w:lang w:val="en-US" w:eastAsia="zh-CN"/>
        </w:rPr>
        <w:t>7</w:t>
      </w:r>
      <w:r>
        <w:rPr>
          <w:rFonts w:hint="eastAsia" w:ascii="宋体" w:hAnsi="宋体" w:eastAsia="宋体" w:cs="宋体"/>
          <w:b/>
          <w:color w:val="000000"/>
          <w:sz w:val="24"/>
          <w:szCs w:val="24"/>
          <w:highlight w:val="none"/>
        </w:rPr>
        <w:t>、中标通知</w:t>
      </w:r>
    </w:p>
    <w:p w14:paraId="1A956F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.1中标公示期：在“新疆政府采购网”发布中标公告，期限为1个工作日。</w:t>
      </w:r>
    </w:p>
    <w:p w14:paraId="4505DC68">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.2招标代理机构根据定标结果，在投标有效期届满前，以书面形式向中标单位发出中标通知书。</w:t>
      </w:r>
    </w:p>
    <w:p w14:paraId="4DEDE5F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.3 招标代理机构将定标结果及时通知未中标单位并退还投标保证金。无需解释落标原因。</w:t>
      </w:r>
    </w:p>
    <w:p w14:paraId="037B8F98">
      <w:pPr>
        <w:pStyle w:val="13"/>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28、质疑处理</w:t>
      </w:r>
    </w:p>
    <w:p w14:paraId="791C54C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.1 提出质疑的供应商应当是参与所质疑项目采购活动的供应商。潜在供应商依法获取其可质疑的采购文件的，可以对采购文件提出质疑。</w:t>
      </w:r>
    </w:p>
    <w:p w14:paraId="441E57FD">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.2供应商认为采购文件、采购过程和采购结果使自己的权益受到损害的，可以在知道或应知其权益受到损害之日起七个工作日内，以书面形式向</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或采购人提出质疑。上述应知其权益受到损害之日，是指：</w:t>
      </w:r>
    </w:p>
    <w:p w14:paraId="6D56967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.2.1对可以质疑的采购文件提出质疑的，为收到采购文件之日或者采购文件公告期限届满之日；</w:t>
      </w:r>
    </w:p>
    <w:p w14:paraId="0676CF0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.2.2对采购过程提出质疑的，为各采购程序环节结束之日；</w:t>
      </w:r>
    </w:p>
    <w:p w14:paraId="2D22B9E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w:t>
      </w: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.2.3对中标或者成交结果提出质疑的，为中标或者成交结果公告期限届满之日。</w:t>
      </w:r>
    </w:p>
    <w:p w14:paraId="761DF8F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供应商应当在法定质疑期内一次性提出针对同一采购程序环节的质疑。供应商如在法定期限内对同一采购程序环节提出多次质疑的，</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将只对供应商第一次质疑作出答复。</w:t>
      </w:r>
    </w:p>
    <w:p w14:paraId="713D249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招标代理机构</w:t>
      </w:r>
      <w:r>
        <w:rPr>
          <w:rFonts w:hint="eastAsia" w:ascii="宋体" w:hAnsi="宋体" w:eastAsia="宋体" w:cs="宋体"/>
          <w:color w:val="000000"/>
          <w:sz w:val="24"/>
          <w:szCs w:val="24"/>
          <w:highlight w:val="none"/>
        </w:rPr>
        <w:t>只接收以</w:t>
      </w:r>
      <w:r>
        <w:rPr>
          <w:rFonts w:hint="eastAsia" w:ascii="宋体" w:hAnsi="宋体" w:eastAsia="宋体" w:cs="宋体"/>
          <w:color w:val="000000"/>
          <w:sz w:val="24"/>
          <w:szCs w:val="24"/>
          <w:highlight w:val="none"/>
          <w:lang w:eastAsia="zh-CN"/>
        </w:rPr>
        <w:t>书面</w:t>
      </w:r>
      <w:r>
        <w:rPr>
          <w:rFonts w:hint="eastAsia" w:ascii="宋体" w:hAnsi="宋体" w:eastAsia="宋体" w:cs="宋体"/>
          <w:color w:val="000000"/>
          <w:sz w:val="24"/>
          <w:szCs w:val="24"/>
          <w:highlight w:val="none"/>
        </w:rPr>
        <w:t>形式送达的质疑。</w:t>
      </w:r>
      <w:r>
        <w:rPr>
          <w:rFonts w:hint="eastAsia" w:ascii="宋体" w:hAnsi="宋体" w:eastAsia="宋体" w:cs="宋体"/>
          <w:color w:val="000000"/>
          <w:sz w:val="24"/>
          <w:szCs w:val="24"/>
          <w:highlight w:val="none"/>
          <w:lang w:val="en-US" w:eastAsia="zh-CN"/>
        </w:rPr>
        <w:t>联系方式见前附表</w:t>
      </w:r>
      <w:r>
        <w:rPr>
          <w:rFonts w:hint="eastAsia" w:ascii="宋体" w:hAnsi="宋体" w:eastAsia="宋体" w:cs="宋体"/>
          <w:color w:val="000000"/>
          <w:sz w:val="24"/>
          <w:szCs w:val="24"/>
          <w:highlight w:val="none"/>
        </w:rPr>
        <w:t>。</w:t>
      </w:r>
    </w:p>
    <w:p w14:paraId="18196D96">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 以下情形的质疑不予受理</w:t>
      </w:r>
    </w:p>
    <w:p w14:paraId="2545095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.5.1 内容不符合《政府采购质疑和投诉办法》第十二条规定的质疑。</w:t>
      </w:r>
    </w:p>
    <w:p w14:paraId="2F037B01">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.5.2 超出政府采购法定期限的质疑。</w:t>
      </w:r>
    </w:p>
    <w:p w14:paraId="4F9C8C93">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 xml:space="preserve"> 未参加投标活动的供应商或在投标活动中自身权益未受到损害的供应商所提出的质疑。</w:t>
      </w:r>
    </w:p>
    <w:p w14:paraId="081368D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.5.</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供应商组成联合体参加投标，联合体中任何一方或多方未按要求签字、盖章、加盖公章的质疑。</w:t>
      </w:r>
    </w:p>
    <w:p w14:paraId="5AF2B7F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28</w:t>
      </w:r>
      <w:r>
        <w:rPr>
          <w:rFonts w:hint="eastAsia" w:ascii="宋体" w:hAnsi="宋体" w:eastAsia="宋体" w:cs="宋体"/>
          <w:color w:val="000000"/>
          <w:sz w:val="24"/>
          <w:szCs w:val="24"/>
          <w:highlight w:val="none"/>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14:paraId="4F8B4691">
      <w:pPr>
        <w:pageBreakBefore w:val="0"/>
        <w:widowControl w:val="0"/>
        <w:kinsoku/>
        <w:wordWrap/>
        <w:overflowPunct/>
        <w:topLinePunct w:val="0"/>
        <w:autoSpaceDE/>
        <w:autoSpaceDN/>
        <w:bidi w:val="0"/>
        <w:spacing w:beforeAutospacing="0" w:afterAutospacing="0" w:line="400" w:lineRule="exact"/>
        <w:textAlignment w:val="auto"/>
        <w:rPr>
          <w:rFonts w:hint="eastAsia" w:ascii="宋体" w:hAnsi="宋体" w:eastAsia="宋体" w:cs="宋体"/>
          <w:sz w:val="24"/>
          <w:szCs w:val="24"/>
          <w:lang w:eastAsia="zh-CN"/>
        </w:rPr>
      </w:pPr>
    </w:p>
    <w:p w14:paraId="16B5438E">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p>
    <w:p w14:paraId="643493FD">
      <w:pPr>
        <w:pageBreakBefore w:val="0"/>
        <w:widowControl w:val="0"/>
        <w:kinsoku/>
        <w:wordWrap/>
        <w:overflowPunct/>
        <w:topLinePunct w:val="0"/>
        <w:autoSpaceDE/>
        <w:autoSpaceDN/>
        <w:bidi w:val="0"/>
        <w:adjustRightInd w:val="0"/>
        <w:snapToGrid w:val="0"/>
        <w:spacing w:beforeAutospacing="0" w:afterAutospacing="0" w:line="40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七、签定合同</w:t>
      </w:r>
    </w:p>
    <w:p w14:paraId="2A9A9BBE">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29</w:t>
      </w:r>
      <w:r>
        <w:rPr>
          <w:rFonts w:hint="eastAsia" w:ascii="宋体" w:hAnsi="宋体" w:eastAsia="宋体" w:cs="宋体"/>
          <w:b/>
          <w:color w:val="000000"/>
          <w:sz w:val="24"/>
          <w:szCs w:val="24"/>
          <w:highlight w:val="none"/>
        </w:rPr>
        <w:t>、签定合同</w:t>
      </w:r>
    </w:p>
    <w:p w14:paraId="17503BDC">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.1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和中标人在自中标通知书发出之日起</w:t>
      </w:r>
      <w:r>
        <w:rPr>
          <w:rFonts w:hint="eastAsia" w:ascii="宋体" w:hAnsi="宋体" w:eastAsia="宋体" w:cs="宋体"/>
          <w:b/>
          <w:bCs/>
          <w:sz w:val="24"/>
          <w:szCs w:val="24"/>
          <w:highlight w:val="none"/>
        </w:rPr>
        <w:t>30</w:t>
      </w:r>
      <w:r>
        <w:rPr>
          <w:rFonts w:hint="eastAsia" w:ascii="宋体" w:hAnsi="宋体" w:eastAsia="宋体" w:cs="宋体"/>
          <w:color w:val="000000"/>
          <w:sz w:val="24"/>
          <w:szCs w:val="24"/>
          <w:highlight w:val="none"/>
        </w:rPr>
        <w:t>日内，依据《中华人民共和国经济合同法》和有关法规及招、投标文件签定合同。</w:t>
      </w:r>
    </w:p>
    <w:p w14:paraId="2B260E75">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.2 中标合同不得转让。合同分包需在投标文件中予以说明，并需经</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同意。否则，</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有权取消中标人的中标资格。</w:t>
      </w:r>
    </w:p>
    <w:p w14:paraId="751A2300">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 xml:space="preserve">.3 </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如遇中标人违约，可从侯选中标人中重新选定中标人，并签定经济合同。</w:t>
      </w:r>
    </w:p>
    <w:p w14:paraId="6220FF89">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29</w:t>
      </w:r>
      <w:r>
        <w:rPr>
          <w:rFonts w:hint="eastAsia" w:ascii="宋体" w:hAnsi="宋体" w:eastAsia="宋体" w:cs="宋体"/>
          <w:color w:val="000000"/>
          <w:sz w:val="24"/>
          <w:szCs w:val="24"/>
          <w:highlight w:val="none"/>
        </w:rPr>
        <w:t>.4 合同的制订由</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、中标人、招标代理机构三方参加，为确保合同双方的利益均等，由招标代理机构在合同制订过程中进行协调。</w:t>
      </w:r>
    </w:p>
    <w:p w14:paraId="69DEE754">
      <w:pPr>
        <w:pStyle w:val="5"/>
        <w:pageBreakBefore w:val="0"/>
        <w:widowControl w:val="0"/>
        <w:kinsoku/>
        <w:wordWrap/>
        <w:overflowPunct/>
        <w:topLinePunct w:val="0"/>
        <w:autoSpaceDE/>
        <w:autoSpaceDN/>
        <w:bidi w:val="0"/>
        <w:spacing w:beforeAutospacing="0" w:afterAutospacing="0" w:line="400" w:lineRule="exact"/>
        <w:ind w:firstLine="482" w:firstLineChars="200"/>
        <w:textAlignment w:val="auto"/>
        <w:rPr>
          <w:rFonts w:hint="eastAsia" w:ascii="宋体" w:hAnsi="宋体" w:eastAsia="宋体" w:cs="宋体"/>
          <w:b/>
          <w:color w:val="000000"/>
          <w:kern w:val="2"/>
          <w:sz w:val="24"/>
          <w:szCs w:val="24"/>
          <w:highlight w:val="none"/>
          <w:lang w:val="en-US" w:eastAsia="zh-CN" w:bidi="ar-SA"/>
        </w:rPr>
      </w:pPr>
      <w:bookmarkStart w:id="1" w:name="_Toc513029243"/>
      <w:bookmarkStart w:id="2" w:name="_Toc20823315"/>
      <w:bookmarkStart w:id="3" w:name="_Toc16938559"/>
      <w:r>
        <w:rPr>
          <w:rFonts w:hint="eastAsia" w:ascii="宋体" w:hAnsi="宋体" w:eastAsia="宋体" w:cs="宋体"/>
          <w:b/>
          <w:color w:val="000000"/>
          <w:kern w:val="2"/>
          <w:sz w:val="24"/>
          <w:szCs w:val="24"/>
          <w:highlight w:val="none"/>
          <w:lang w:val="en-US" w:eastAsia="zh-CN" w:bidi="ar-SA"/>
        </w:rPr>
        <w:t>30、货物和服务的追加、减少和添购</w:t>
      </w:r>
    </w:p>
    <w:p w14:paraId="779B2E14">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1政府采购合同履行中，采购人需追加与合同标的相同的货物和服务的，经政府采购管理部门同意后，在不改变合同其他条款的前提下，可以与中标人协商签订补充合同，但所有补充合同的采购金额不超过原合同金额10%。</w:t>
      </w:r>
    </w:p>
    <w:p w14:paraId="267EE25B">
      <w:pPr>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.2采购结束后，采购人若由于各种客观原因，必须对采购项目所牵涉的货物和服务进行适当的减少时，在双方协商一致的前提下，可以按照招标采购时的价格水平做相应的调减，并据此签订补充合同</w:t>
      </w:r>
      <w:r>
        <w:rPr>
          <w:rFonts w:hint="eastAsia" w:ascii="宋体" w:hAnsi="宋体" w:eastAsia="宋体" w:cs="宋体"/>
          <w:color w:val="000000"/>
          <w:sz w:val="24"/>
          <w:szCs w:val="24"/>
          <w:highlight w:val="none"/>
          <w:lang w:eastAsia="zh-CN"/>
        </w:rPr>
        <w:t>。</w:t>
      </w:r>
    </w:p>
    <w:p w14:paraId="4265570F">
      <w:pPr>
        <w:pageBreakBefore w:val="0"/>
        <w:widowControl w:val="0"/>
        <w:kinsoku/>
        <w:wordWrap/>
        <w:overflowPunct/>
        <w:topLinePunct w:val="0"/>
        <w:autoSpaceDE/>
        <w:autoSpaceDN/>
        <w:bidi w:val="0"/>
        <w:adjustRightInd w:val="0"/>
        <w:snapToGrid w:val="0"/>
        <w:spacing w:beforeAutospacing="0" w:afterAutospacing="0" w:line="4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31</w:t>
      </w:r>
      <w:r>
        <w:rPr>
          <w:rFonts w:hint="eastAsia" w:ascii="宋体" w:hAnsi="宋体" w:eastAsia="宋体" w:cs="宋体"/>
          <w:b/>
          <w:bCs/>
          <w:color w:val="000000"/>
          <w:sz w:val="24"/>
          <w:szCs w:val="24"/>
          <w:highlight w:val="none"/>
        </w:rPr>
        <w:t>. 履约保证金：</w:t>
      </w:r>
    </w:p>
    <w:bookmarkEnd w:id="1"/>
    <w:bookmarkEnd w:id="2"/>
    <w:bookmarkEnd w:id="3"/>
    <w:p w14:paraId="07FA812E">
      <w:pPr>
        <w:pStyle w:val="22"/>
        <w:pageBreakBefore w:val="0"/>
        <w:kinsoku/>
        <w:wordWrap/>
        <w:overflowPunct/>
        <w:topLinePunct w:val="0"/>
        <w:bidi w:val="0"/>
        <w:spacing w:beforeAutospacing="0" w:after="0" w:afterAutospacing="0" w:line="400" w:lineRule="exact"/>
        <w:ind w:left="0" w:leftChars="0" w:firstLine="480" w:firstLineChars="200"/>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无</w:t>
      </w:r>
    </w:p>
    <w:p w14:paraId="2B2829F6">
      <w:pPr>
        <w:rPr>
          <w:rFonts w:hint="eastAsia"/>
        </w:rPr>
      </w:pPr>
    </w:p>
    <w:p w14:paraId="3D478C63">
      <w:pPr>
        <w:rPr>
          <w:rFonts w:hint="eastAsia"/>
        </w:rPr>
      </w:pPr>
    </w:p>
    <w:p w14:paraId="45D08654">
      <w:pPr>
        <w:pStyle w:val="10"/>
        <w:rPr>
          <w:rFonts w:hint="eastAsia"/>
        </w:rPr>
      </w:pPr>
    </w:p>
    <w:p w14:paraId="4B26ECC5">
      <w:pPr>
        <w:pStyle w:val="22"/>
        <w:rPr>
          <w:rFonts w:hint="eastAsia"/>
        </w:rPr>
      </w:pPr>
    </w:p>
    <w:p w14:paraId="4C71FB0E">
      <w:pPr>
        <w:rPr>
          <w:rFonts w:hint="eastAsia"/>
        </w:rPr>
      </w:pPr>
    </w:p>
    <w:p w14:paraId="402ED29C">
      <w:pPr>
        <w:rPr>
          <w:rFonts w:hint="eastAsia"/>
        </w:rPr>
      </w:pPr>
    </w:p>
    <w:p w14:paraId="552D838F">
      <w:pPr>
        <w:rPr>
          <w:rFonts w:hint="eastAsia"/>
        </w:rPr>
      </w:pPr>
    </w:p>
    <w:p w14:paraId="24302762">
      <w:pPr>
        <w:rPr>
          <w:rFonts w:hint="eastAsia"/>
        </w:rPr>
      </w:pPr>
    </w:p>
    <w:p w14:paraId="665CF183">
      <w:pPr>
        <w:rPr>
          <w:rFonts w:hint="eastAsia"/>
        </w:rPr>
      </w:pPr>
    </w:p>
    <w:p w14:paraId="6225C066">
      <w:pPr>
        <w:rPr>
          <w:rFonts w:hint="eastAsia"/>
        </w:rPr>
      </w:pPr>
    </w:p>
    <w:p w14:paraId="62D47E8A">
      <w:pPr>
        <w:rPr>
          <w:rFonts w:hint="eastAsia"/>
        </w:rPr>
      </w:pPr>
    </w:p>
    <w:p w14:paraId="1362CCD0">
      <w:pPr>
        <w:rPr>
          <w:rFonts w:hint="eastAsia"/>
        </w:rPr>
      </w:pPr>
    </w:p>
    <w:p w14:paraId="0554B504">
      <w:pPr>
        <w:rPr>
          <w:rFonts w:hint="eastAsia"/>
        </w:rPr>
      </w:pPr>
    </w:p>
    <w:p w14:paraId="6A2ADD77">
      <w:pPr>
        <w:rPr>
          <w:rFonts w:hint="eastAsia"/>
        </w:rPr>
      </w:pPr>
    </w:p>
    <w:p w14:paraId="0EA47CBA">
      <w:pPr>
        <w:rPr>
          <w:rFonts w:hint="eastAsia"/>
        </w:rPr>
      </w:pPr>
    </w:p>
    <w:p w14:paraId="70D3AB32">
      <w:pPr>
        <w:rPr>
          <w:rFonts w:hint="eastAsia"/>
        </w:rPr>
      </w:pPr>
    </w:p>
    <w:p w14:paraId="245600C5">
      <w:pPr>
        <w:rPr>
          <w:rFonts w:hint="eastAsia"/>
        </w:rPr>
      </w:pPr>
    </w:p>
    <w:p w14:paraId="043485CA">
      <w:pPr>
        <w:rPr>
          <w:rFonts w:hint="eastAsia"/>
        </w:rPr>
      </w:pPr>
    </w:p>
    <w:p w14:paraId="1AEBB0ED">
      <w:pPr>
        <w:rPr>
          <w:rFonts w:hint="eastAsia"/>
        </w:rPr>
      </w:pPr>
    </w:p>
    <w:p w14:paraId="2D7225EF">
      <w:pPr>
        <w:rPr>
          <w:rFonts w:hint="eastAsia"/>
        </w:rPr>
      </w:pPr>
    </w:p>
    <w:p w14:paraId="75A2A5D2">
      <w:pPr>
        <w:rPr>
          <w:rFonts w:hint="eastAsia"/>
        </w:rPr>
      </w:pPr>
    </w:p>
    <w:p w14:paraId="2609BF86">
      <w:pPr>
        <w:pStyle w:val="22"/>
        <w:pageBreakBefore w:val="0"/>
        <w:kinsoku/>
        <w:wordWrap/>
        <w:overflowPunct/>
        <w:topLinePunct w:val="0"/>
        <w:bidi w:val="0"/>
        <w:spacing w:beforeAutospacing="0" w:after="0" w:afterAutospacing="0" w:line="400" w:lineRule="exact"/>
        <w:jc w:val="center"/>
        <w:rPr>
          <w:rFonts w:hint="eastAsia" w:asciiTheme="minorEastAsia" w:hAnsiTheme="minorEastAsia" w:eastAsiaTheme="minorEastAsia" w:cstheme="minorEastAsia"/>
          <w:color w:val="FF0000"/>
          <w:sz w:val="24"/>
          <w:szCs w:val="24"/>
        </w:rPr>
      </w:pPr>
      <w:r>
        <w:rPr>
          <w:rStyle w:val="30"/>
          <w:rFonts w:hint="eastAsia" w:asciiTheme="minorEastAsia" w:hAnsiTheme="minorEastAsia" w:eastAsiaTheme="minorEastAsia" w:cstheme="minorEastAsia"/>
          <w:b/>
          <w:bCs/>
          <w:color w:val="auto"/>
          <w:w w:val="90"/>
          <w:sz w:val="36"/>
          <w:szCs w:val="36"/>
          <w:u w:val="none"/>
        </w:rPr>
        <w:t>第四章 合同文本格式</w:t>
      </w:r>
    </w:p>
    <w:p w14:paraId="6F1C7BB1">
      <w:pPr>
        <w:keepLines w:val="0"/>
        <w:pageBreakBefore w:val="0"/>
        <w:kinsoku/>
        <w:wordWrap/>
        <w:overflowPunct/>
        <w:topLinePunct w:val="0"/>
        <w:bidi w:val="0"/>
        <w:adjustRightInd w:val="0"/>
        <w:snapToGrid w:val="0"/>
        <w:spacing w:line="42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采 购 （专 用） 合 同</w:t>
      </w:r>
    </w:p>
    <w:p w14:paraId="1970D658">
      <w:pPr>
        <w:keepNext w:val="0"/>
        <w:keepLines w:val="0"/>
        <w:pageBreakBefore w:val="0"/>
        <w:kinsoku/>
        <w:wordWrap/>
        <w:overflowPunct/>
        <w:topLinePunct w:val="0"/>
        <w:bidi w:val="0"/>
        <w:adjustRightInd w:val="0"/>
        <w:snapToGrid w:val="0"/>
        <w:spacing w:beforeAutospacing="0" w:afterAutospacing="0" w:line="32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（仅供参考，以采购人实际签订为准）</w:t>
      </w:r>
    </w:p>
    <w:p w14:paraId="180EFBB0">
      <w:pPr>
        <w:pStyle w:val="34"/>
        <w:rPr>
          <w:rFonts w:hint="eastAsia" w:asciiTheme="minorEastAsia" w:hAnsiTheme="minorEastAsia" w:eastAsiaTheme="minorEastAsia" w:cstheme="minorEastAsia"/>
        </w:rPr>
      </w:pPr>
    </w:p>
    <w:p w14:paraId="704D8A5E">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甲方（招标用户采购方）：                                合同编号：</w:t>
      </w:r>
    </w:p>
    <w:p w14:paraId="6E64D16C">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乙方（投标中标供应方）：                                 签约地点：</w:t>
      </w:r>
    </w:p>
    <w:p w14:paraId="5355D807">
      <w:pPr>
        <w:pStyle w:val="10"/>
        <w:numPr>
          <w:ilvl w:val="0"/>
          <w:numId w:val="0"/>
        </w:numPr>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根据《中华人民共和国政府采购法》及       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   </w:t>
      </w:r>
      <w:r>
        <w:rPr>
          <w:rFonts w:hint="eastAsia" w:asciiTheme="minorEastAsia" w:hAnsiTheme="minorEastAsia" w:eastAsiaTheme="minorEastAsia" w:cstheme="minorEastAsia"/>
          <w:color w:val="000000"/>
          <w:sz w:val="24"/>
          <w:szCs w:val="24"/>
          <w:lang w:val="en-US" w:eastAsia="zh-CN"/>
        </w:rPr>
        <w:t>日托克逊县伊拉湖镇康克村连栋大棚示范项目文件（招标编号：    ，采购代理机构：</w:t>
      </w:r>
      <w:r>
        <w:rPr>
          <w:rFonts w:hint="eastAsia" w:asciiTheme="minorEastAsia" w:hAnsiTheme="minorEastAsia" w:eastAsiaTheme="minorEastAsia" w:cstheme="minorEastAsia"/>
          <w:color w:val="000000"/>
          <w:sz w:val="24"/>
          <w:szCs w:val="24"/>
          <w:lang w:eastAsia="zh-CN"/>
        </w:rPr>
        <w:t>新疆华域天恒工程管理有限公司</w:t>
      </w:r>
      <w:r>
        <w:rPr>
          <w:rFonts w:hint="eastAsia" w:asciiTheme="minorEastAsia" w:hAnsiTheme="minorEastAsia" w:eastAsiaTheme="minorEastAsia" w:cstheme="minorEastAsia"/>
          <w:color w:val="000000"/>
          <w:sz w:val="24"/>
          <w:szCs w:val="24"/>
        </w:rPr>
        <w:t>）的要求，经双方协商一致，签订本合同。</w:t>
      </w:r>
    </w:p>
    <w:p w14:paraId="539656B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1、合同设备</w:t>
      </w:r>
    </w:p>
    <w:p w14:paraId="0785D56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乙方负责向甲方供应下表中所列</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及负责安装调试。</w:t>
      </w:r>
    </w:p>
    <w:tbl>
      <w:tblPr>
        <w:tblStyle w:val="2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65"/>
        <w:gridCol w:w="829"/>
        <w:gridCol w:w="878"/>
        <w:gridCol w:w="878"/>
        <w:gridCol w:w="878"/>
        <w:gridCol w:w="878"/>
        <w:gridCol w:w="878"/>
        <w:gridCol w:w="878"/>
        <w:gridCol w:w="938"/>
      </w:tblGrid>
      <w:tr w14:paraId="75B9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noWrap w:val="0"/>
            <w:vAlign w:val="center"/>
          </w:tcPr>
          <w:p w14:paraId="43B76F3B">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货物名称</w:t>
            </w:r>
          </w:p>
        </w:tc>
        <w:tc>
          <w:tcPr>
            <w:tcW w:w="1365" w:type="dxa"/>
            <w:noWrap w:val="0"/>
            <w:vAlign w:val="center"/>
          </w:tcPr>
          <w:p w14:paraId="2F012A47">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规格型号</w:t>
            </w:r>
          </w:p>
        </w:tc>
        <w:tc>
          <w:tcPr>
            <w:tcW w:w="829" w:type="dxa"/>
            <w:noWrap w:val="0"/>
            <w:vAlign w:val="center"/>
          </w:tcPr>
          <w:p w14:paraId="6C968FA8">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产地厂家</w:t>
            </w:r>
          </w:p>
        </w:tc>
        <w:tc>
          <w:tcPr>
            <w:tcW w:w="878" w:type="dxa"/>
            <w:noWrap w:val="0"/>
            <w:vAlign w:val="center"/>
          </w:tcPr>
          <w:p w14:paraId="61E1B996">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w:t>
            </w:r>
          </w:p>
        </w:tc>
        <w:tc>
          <w:tcPr>
            <w:tcW w:w="878" w:type="dxa"/>
            <w:noWrap w:val="0"/>
            <w:vAlign w:val="center"/>
          </w:tcPr>
          <w:p w14:paraId="3CC95CF4">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数量</w:t>
            </w:r>
          </w:p>
        </w:tc>
        <w:tc>
          <w:tcPr>
            <w:tcW w:w="878" w:type="dxa"/>
            <w:noWrap w:val="0"/>
            <w:vAlign w:val="center"/>
          </w:tcPr>
          <w:p w14:paraId="6EF0487A">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单价</w:t>
            </w:r>
          </w:p>
        </w:tc>
        <w:tc>
          <w:tcPr>
            <w:tcW w:w="878" w:type="dxa"/>
            <w:noWrap w:val="0"/>
            <w:vAlign w:val="center"/>
          </w:tcPr>
          <w:p w14:paraId="0BF37F3D">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总价</w:t>
            </w:r>
          </w:p>
        </w:tc>
        <w:tc>
          <w:tcPr>
            <w:tcW w:w="878" w:type="dxa"/>
            <w:noWrap w:val="0"/>
            <w:vAlign w:val="center"/>
          </w:tcPr>
          <w:p w14:paraId="0367257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随机配件</w:t>
            </w:r>
          </w:p>
        </w:tc>
        <w:tc>
          <w:tcPr>
            <w:tcW w:w="878" w:type="dxa"/>
            <w:noWrap w:val="0"/>
            <w:vAlign w:val="center"/>
          </w:tcPr>
          <w:p w14:paraId="36A1C03E">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交货地点</w:t>
            </w:r>
          </w:p>
        </w:tc>
        <w:tc>
          <w:tcPr>
            <w:tcW w:w="938" w:type="dxa"/>
            <w:noWrap w:val="0"/>
            <w:vAlign w:val="center"/>
          </w:tcPr>
          <w:p w14:paraId="5FBE7825">
            <w:pPr>
              <w:keepNext w:val="0"/>
              <w:keepLines w:val="0"/>
              <w:pageBreakBefore w:val="0"/>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交货 时间</w:t>
            </w:r>
          </w:p>
        </w:tc>
      </w:tr>
      <w:tr w14:paraId="3F9E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5826397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1365" w:type="dxa"/>
            <w:noWrap w:val="0"/>
            <w:vAlign w:val="top"/>
          </w:tcPr>
          <w:p w14:paraId="7BB94024">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29" w:type="dxa"/>
            <w:noWrap w:val="0"/>
            <w:vAlign w:val="top"/>
          </w:tcPr>
          <w:p w14:paraId="59A59A2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653457FA">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CB0C0B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7B8CE4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6482DD4">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113253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6147F7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938" w:type="dxa"/>
            <w:noWrap w:val="0"/>
            <w:vAlign w:val="top"/>
          </w:tcPr>
          <w:p w14:paraId="2A1325A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r>
      <w:tr w14:paraId="338D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noWrap w:val="0"/>
            <w:vAlign w:val="top"/>
          </w:tcPr>
          <w:p w14:paraId="750C16A2">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1365" w:type="dxa"/>
            <w:noWrap w:val="0"/>
            <w:vAlign w:val="top"/>
          </w:tcPr>
          <w:p w14:paraId="2A164B8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29" w:type="dxa"/>
            <w:noWrap w:val="0"/>
            <w:vAlign w:val="top"/>
          </w:tcPr>
          <w:p w14:paraId="3B1055C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874AA1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6DAAFB4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7BB0CD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7BA72FF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19FD4EA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878" w:type="dxa"/>
            <w:noWrap w:val="0"/>
            <w:vAlign w:val="top"/>
          </w:tcPr>
          <w:p w14:paraId="52BEB9F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c>
          <w:tcPr>
            <w:tcW w:w="938" w:type="dxa"/>
            <w:noWrap w:val="0"/>
            <w:vAlign w:val="top"/>
          </w:tcPr>
          <w:p w14:paraId="7A0E12E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tc>
      </w:tr>
    </w:tbl>
    <w:p w14:paraId="14AC7AC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2、合同总价和支付方式</w:t>
      </w:r>
    </w:p>
    <w:p w14:paraId="767861C1">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sz w:val="24"/>
          <w:szCs w:val="24"/>
        </w:rPr>
        <w:t>2.1合同总价</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：总价为人民币（大写）：</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，即RMB￥</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元，该合同总金额是设计、设备制造、包装、仓储、运输、安装及验收合格之前及保修期与备品备件发生的所有含税费用。本合同执行期间合同总金额不变。</w:t>
      </w:r>
    </w:p>
    <w:p w14:paraId="73577CF3">
      <w:pPr>
        <w:spacing w:line="560" w:lineRule="exact"/>
        <w:jc w:val="left"/>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2.2支付方式：</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合同签订生效后 ，支付合同总金额的 50%。全部货物交付、安装调试完毕，并经验收合格后 ，支付合同总金额的 50%。</w:t>
      </w:r>
    </w:p>
    <w:p w14:paraId="10BCC44B">
      <w:pPr>
        <w:keepNext w:val="0"/>
        <w:keepLines w:val="0"/>
        <w:pageBreakBefore w:val="0"/>
        <w:kinsoku/>
        <w:wordWrap/>
        <w:overflowPunct/>
        <w:topLinePunct w:val="0"/>
        <w:autoSpaceDE/>
        <w:autoSpaceDN/>
        <w:bidi w:val="0"/>
        <w:spacing w:line="400" w:lineRule="exact"/>
        <w:ind w:left="420" w:hanging="480" w:hanging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 乙方开户银行：</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；乙方账号</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32A46965">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3、合同组成</w:t>
      </w:r>
    </w:p>
    <w:p w14:paraId="1C8DC52F">
      <w:pPr>
        <w:keepNext w:val="0"/>
        <w:keepLines w:val="0"/>
        <w:pageBreakBefore w:val="0"/>
        <w:kinsoku/>
        <w:wordWrap/>
        <w:overflowPunct/>
        <w:topLinePunct w:val="0"/>
        <w:autoSpaceDE/>
        <w:autoSpaceDN/>
        <w:bidi w:val="0"/>
        <w:spacing w:line="400" w:lineRule="exact"/>
        <w:ind w:left="630" w:left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详细价格、技术说明及其它有关合同设备的特定信息由合同附件说明。所有附件及本项目的招投标文件、会议纪要、协议等均为本合同不可分割之一部分。</w:t>
      </w:r>
    </w:p>
    <w:p w14:paraId="4C04AAA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4、技术要求</w:t>
      </w:r>
    </w:p>
    <w:p w14:paraId="0A8D5E6D">
      <w:pPr>
        <w:keepNext w:val="0"/>
        <w:keepLines w:val="0"/>
        <w:pageBreakBefore w:val="0"/>
        <w:kinsoku/>
        <w:wordWrap/>
        <w:overflowPunct/>
        <w:topLinePunct w:val="0"/>
        <w:autoSpaceDE/>
        <w:autoSpaceDN/>
        <w:bidi w:val="0"/>
        <w:spacing w:line="400" w:lineRule="exact"/>
        <w:ind w:left="630" w:hanging="720" w:hanging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ab/>
      </w:r>
      <w:r>
        <w:rPr>
          <w:rFonts w:hint="eastAsia" w:asciiTheme="minorEastAsia" w:hAnsiTheme="minorEastAsia" w:eastAsiaTheme="minorEastAsia" w:cstheme="minorEastAsia"/>
          <w:color w:val="000000"/>
          <w:sz w:val="24"/>
          <w:szCs w:val="24"/>
        </w:rPr>
        <w:t>乙方所提供设备，必须符合国家有关规范和环保要求及甲方的技术要求，并提供设备的出厂测试报告。</w:t>
      </w:r>
    </w:p>
    <w:p w14:paraId="21744B90">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5、合同设备包装、交货、安装、调试及验收</w:t>
      </w:r>
    </w:p>
    <w:p w14:paraId="7B2673D8">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5.1 合同设备的包装：</w:t>
      </w:r>
    </w:p>
    <w:p w14:paraId="6E2217C4">
      <w:pPr>
        <w:keepNext w:val="0"/>
        <w:keepLines w:val="0"/>
        <w:pageBreakBefore w:val="0"/>
        <w:kinsoku/>
        <w:wordWrap/>
        <w:overflowPunct/>
        <w:topLinePunct w:val="0"/>
        <w:autoSpaceDE/>
        <w:autoSpaceDN/>
        <w:bidi w:val="0"/>
        <w:spacing w:line="400" w:lineRule="exact"/>
        <w:ind w:left="785" w:leftChars="374"/>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设备的包装均应有良好的防湿、防锈、防潮、防雨、防腐及防碰撞的措施。凡由于包装不良造成的损失和由此产生的费用均由乙方承担。</w:t>
      </w:r>
    </w:p>
    <w:p w14:paraId="42B044C6">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 合同设备的交货：</w:t>
      </w:r>
    </w:p>
    <w:p w14:paraId="184A9719">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5.2.1 乙方交货时间：合同签订后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天交货。</w:t>
      </w:r>
    </w:p>
    <w:p w14:paraId="49CA04C5">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5.2.2 乙方交货地点：</w:t>
      </w:r>
      <w:r>
        <w:rPr>
          <w:rFonts w:hint="eastAsia" w:asciiTheme="minorEastAsia" w:hAnsiTheme="minorEastAsia" w:eastAsiaTheme="minorEastAsia" w:cstheme="minorEastAsia"/>
          <w:sz w:val="24"/>
          <w:szCs w:val="24"/>
        </w:rPr>
        <w:t>各设备使用方</w:t>
      </w:r>
      <w:r>
        <w:rPr>
          <w:rFonts w:hint="eastAsia" w:asciiTheme="minorEastAsia" w:hAnsiTheme="minorEastAsia" w:eastAsiaTheme="minorEastAsia" w:cstheme="minorEastAsia"/>
          <w:color w:val="000000"/>
          <w:sz w:val="24"/>
          <w:szCs w:val="24"/>
        </w:rPr>
        <w:t>。</w:t>
      </w:r>
    </w:p>
    <w:p w14:paraId="541CD2C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  设备的验收：</w:t>
      </w:r>
    </w:p>
    <w:p w14:paraId="3F689AC2">
      <w:pPr>
        <w:keepNext w:val="0"/>
        <w:keepLines w:val="0"/>
        <w:pageBreakBefore w:val="0"/>
        <w:kinsoku/>
        <w:wordWrap/>
        <w:overflowPunct/>
        <w:topLinePunct w:val="0"/>
        <w:autoSpaceDE/>
        <w:autoSpaceDN/>
        <w:bidi w:val="0"/>
        <w:spacing w:line="400" w:lineRule="exact"/>
        <w:ind w:left="782" w:leftChars="200" w:right="-420" w:rightChars="-200" w:hanging="362" w:hangingChars="151"/>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5.3.1中标</w:t>
      </w:r>
      <w:r>
        <w:rPr>
          <w:rFonts w:hint="eastAsia" w:asciiTheme="minorEastAsia" w:hAnsiTheme="minorEastAsia" w:eastAsiaTheme="minorEastAsia" w:cstheme="minorEastAsia"/>
          <w:color w:val="000000"/>
          <w:sz w:val="24"/>
          <w:szCs w:val="24"/>
        </w:rPr>
        <w:t>设备安装调试，试运行一个月后组织验收，如中标设备在试运行期间出现故障，则应相应延长试</w:t>
      </w:r>
    </w:p>
    <w:p w14:paraId="6FCE933E">
      <w:pPr>
        <w:keepNext w:val="0"/>
        <w:keepLines w:val="0"/>
        <w:pageBreakBefore w:val="0"/>
        <w:kinsoku/>
        <w:wordWrap/>
        <w:overflowPunct/>
        <w:topLinePunct w:val="0"/>
        <w:autoSpaceDE/>
        <w:autoSpaceDN/>
        <w:bidi w:val="0"/>
        <w:spacing w:line="400" w:lineRule="exact"/>
        <w:ind w:left="735" w:leftChars="350" w:right="-420" w:rightChars="-200"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运行时间,</w:t>
      </w:r>
      <w:r>
        <w:rPr>
          <w:rFonts w:hint="eastAsia" w:asciiTheme="minorEastAsia" w:hAnsiTheme="minorEastAsia" w:eastAsiaTheme="minorEastAsia" w:cstheme="minorEastAsia"/>
          <w:sz w:val="24"/>
          <w:szCs w:val="24"/>
        </w:rPr>
        <w:t>验收应在甲乙双方共同参加下进行。</w:t>
      </w:r>
    </w:p>
    <w:p w14:paraId="085E832F">
      <w:pPr>
        <w:keepNext w:val="0"/>
        <w:keepLines w:val="0"/>
        <w:pageBreakBefore w:val="0"/>
        <w:kinsoku/>
        <w:wordWrap/>
        <w:overflowPunct/>
        <w:topLinePunct w:val="0"/>
        <w:autoSpaceDE/>
        <w:autoSpaceDN/>
        <w:bidi w:val="0"/>
        <w:spacing w:line="400" w:lineRule="exact"/>
        <w:ind w:left="1020" w:leftChars="200" w:right="-420" w:righ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5.3.2 验收按国家有关的规定、规范进行。验收时如</w:t>
      </w:r>
      <w:r>
        <w:rPr>
          <w:rFonts w:hint="eastAsia" w:asciiTheme="minorEastAsia" w:hAnsiTheme="minorEastAsia" w:eastAsiaTheme="minorEastAsia" w:cstheme="minorEastAsia"/>
          <w:color w:val="000000"/>
          <w:sz w:val="24"/>
          <w:szCs w:val="24"/>
        </w:rPr>
        <w:t>发现所交付的设备有短装、次品、损坏或其它不符合本合同规定之情形者，甲方应做出详尽的现场记录，或由甲乙双方签署备忘录。此现场记录或备忘录可用作补充、缺失和更换损坏部件的有效证据。由此产生的有关费用由乙方承担。</w:t>
      </w:r>
    </w:p>
    <w:p w14:paraId="2D7CFF74">
      <w:pPr>
        <w:keepNext w:val="0"/>
        <w:keepLines w:val="0"/>
        <w:pageBreakBefore w:val="0"/>
        <w:kinsoku/>
        <w:wordWrap/>
        <w:overflowPunct/>
        <w:topLinePunct w:val="0"/>
        <w:autoSpaceDE/>
        <w:autoSpaceDN/>
        <w:bidi w:val="0"/>
        <w:spacing w:line="400" w:lineRule="exact"/>
        <w:ind w:left="1023" w:leftChars="190" w:hanging="624" w:hangingChars="26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5.3.3 如果合同设备运输过程中因事故造成货物短缺、损坏，乙方应及时安排换装，以保证合同设备安装调试的成功完成。换货的相关费用由乙方承担。</w:t>
      </w:r>
    </w:p>
    <w:p w14:paraId="1E328F98">
      <w:pPr>
        <w:keepNext w:val="0"/>
        <w:keepLines w:val="0"/>
        <w:pageBreakBefore w:val="0"/>
        <w:kinsoku/>
        <w:wordWrap/>
        <w:overflowPunct/>
        <w:topLinePunct w:val="0"/>
        <w:autoSpaceDE/>
        <w:autoSpaceDN/>
        <w:bidi w:val="0"/>
        <w:spacing w:line="400" w:lineRule="exact"/>
        <w:ind w:left="684" w:leftChars="200" w:hanging="264" w:hangingChars="11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5.3.4 国内产品产品必须具备出厂合格证。</w:t>
      </w:r>
    </w:p>
    <w:p w14:paraId="7FC5E12D">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5.5  乙方保证合同项下提供的设备不侵犯任何第三方的专利、商标或版权。否则，乙方须承担对第三方的专利或版权的侵权责任并承担因此而发生的所有费用。</w:t>
      </w:r>
    </w:p>
    <w:p w14:paraId="1E64905D">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6、质量保证及售后服务</w:t>
      </w:r>
    </w:p>
    <w:p w14:paraId="71B6A7DB">
      <w:pPr>
        <w:keepNext w:val="0"/>
        <w:keepLines w:val="0"/>
        <w:pageBreakBefore w:val="0"/>
        <w:kinsoku/>
        <w:wordWrap/>
        <w:overflowPunct/>
        <w:topLinePunct w:val="0"/>
        <w:autoSpaceDE/>
        <w:autoSpaceDN/>
        <w:bidi w:val="0"/>
        <w:spacing w:line="400" w:lineRule="exact"/>
        <w:ind w:left="420" w:left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 乙方保证合同设备是全新、未曾使用过的，其质量、规格及技术特征符合合同附件的要求。</w:t>
      </w:r>
    </w:p>
    <w:p w14:paraId="47B1F674">
      <w:pPr>
        <w:keepNext w:val="0"/>
        <w:keepLines w:val="0"/>
        <w:pageBreakBefore w:val="0"/>
        <w:kinsoku/>
        <w:wordWrap/>
        <w:overflowPunct/>
        <w:topLinePunct w:val="0"/>
        <w:autoSpaceDE/>
        <w:autoSpaceDN/>
        <w:bidi w:val="0"/>
        <w:spacing w:line="400" w:lineRule="exact"/>
        <w:ind w:left="420" w:left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6.2 合同设备保质保用期按生产厂家的标准执行，但不得少于</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年（用户单位验收之日起计算）。</w:t>
      </w:r>
    </w:p>
    <w:p w14:paraId="195E9227">
      <w:pPr>
        <w:keepNext w:val="0"/>
        <w:keepLines w:val="0"/>
        <w:pageBreakBefore w:val="0"/>
        <w:kinsoku/>
        <w:wordWrap/>
        <w:overflowPunct/>
        <w:topLinePunct w:val="0"/>
        <w:autoSpaceDE/>
        <w:autoSpaceDN/>
        <w:bidi w:val="0"/>
        <w:spacing w:line="400" w:lineRule="exact"/>
        <w:ind w:left="840" w:leftChars="4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保质保用期内非甲方的人为原因而出现产品质量及安装问题，由乙方负责包修、包换或包退，并承担因此而产生的一切费用。乙方应在收到甲方通知后24小时内派员到现场维修。</w:t>
      </w:r>
    </w:p>
    <w:p w14:paraId="1628DAC0">
      <w:pPr>
        <w:keepNext w:val="0"/>
        <w:keepLines w:val="0"/>
        <w:pageBreakBefore w:val="0"/>
        <w:kinsoku/>
        <w:wordWrap/>
        <w:overflowPunct/>
        <w:topLinePunct w:val="0"/>
        <w:autoSpaceDE/>
        <w:autoSpaceDN/>
        <w:bidi w:val="0"/>
        <w:spacing w:line="400" w:lineRule="exact"/>
        <w:ind w:firstLine="960" w:firstLineChars="4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下列情况乙方不负责免费保修：</w:t>
      </w:r>
    </w:p>
    <w:p w14:paraId="2EDB5E76">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1）甲方不按照乙方提供的正确使用方法而引致设备故障损坏；</w:t>
      </w:r>
    </w:p>
    <w:p w14:paraId="04DC85AD">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2）甲方擅自改装设备；</w:t>
      </w:r>
    </w:p>
    <w:p w14:paraId="11C8FDB2">
      <w:pPr>
        <w:keepNext w:val="0"/>
        <w:keepLines w:val="0"/>
        <w:pageBreakBefore w:val="0"/>
        <w:kinsoku/>
        <w:wordWrap/>
        <w:overflowPunct/>
        <w:topLinePunct w:val="0"/>
        <w:autoSpaceDE/>
        <w:autoSpaceDN/>
        <w:bidi w:val="0"/>
        <w:spacing w:line="400" w:lineRule="exact"/>
        <w:ind w:left="840" w:leftChars="400" w:firstLine="120" w:firstLineChars="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3）各种人为因素或天灾等外来因素造成的损坏。</w:t>
      </w:r>
    </w:p>
    <w:p w14:paraId="496B4376">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6.3 因设备的质量问题而发生争议，由省级质检部门进行质量鉴定。设备符合质量标准的，鉴定费用由甲方承担；设备不符合质量标准的，鉴定费用由乙方承担。</w:t>
      </w:r>
    </w:p>
    <w:p w14:paraId="372E59C0">
      <w:pPr>
        <w:keepNext w:val="0"/>
        <w:keepLines w:val="0"/>
        <w:pageBreakBefore w:val="0"/>
        <w:kinsoku/>
        <w:wordWrap/>
        <w:overflowPunct/>
        <w:topLinePunct w:val="0"/>
        <w:autoSpaceDE/>
        <w:autoSpaceDN/>
        <w:bidi w:val="0"/>
        <w:spacing w:line="400" w:lineRule="exact"/>
        <w:ind w:left="795" w:leftChars="15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6.4 乙方为甲方提供操作及维护培训，主要内容为设备的基本结构、性能、主要部件的构造及原理，日常使用操作、保养与管理，常见故障的排除，紧急情况的处理等，培训地点主要在设备安装现场或按甲乙双方协商安排。</w:t>
      </w:r>
    </w:p>
    <w:p w14:paraId="0405AB59">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7、技术服务</w:t>
      </w:r>
    </w:p>
    <w:p w14:paraId="360CE2C1">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7.1 乙方应派员到甲方指定地点配合工作。</w:t>
      </w:r>
    </w:p>
    <w:p w14:paraId="27DCF4D1">
      <w:pPr>
        <w:keepNext w:val="0"/>
        <w:keepLines w:val="0"/>
        <w:pageBreakBefore w:val="0"/>
        <w:kinsoku/>
        <w:wordWrap/>
        <w:overflowPunct/>
        <w:topLinePunct w:val="0"/>
        <w:autoSpaceDE/>
        <w:autoSpaceDN/>
        <w:bidi w:val="0"/>
        <w:spacing w:line="400" w:lineRule="exact"/>
        <w:ind w:left="900" w:leftChars="20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7.2 乙方按甲方提供的合同执行进度计划，再配合甲方及有关单位，做好合同执行进度上的配合工作。</w:t>
      </w:r>
    </w:p>
    <w:p w14:paraId="24B7E2D7">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8、不可抗力</w:t>
      </w:r>
    </w:p>
    <w:p w14:paraId="3FC02A55">
      <w:pPr>
        <w:keepNext w:val="0"/>
        <w:keepLines w:val="0"/>
        <w:pageBreakBefore w:val="0"/>
        <w:kinsoku/>
        <w:wordWrap/>
        <w:overflowPunct/>
        <w:topLinePunct w:val="0"/>
        <w:autoSpaceDE/>
        <w:autoSpaceDN/>
        <w:bidi w:val="0"/>
        <w:spacing w:line="400" w:lineRule="exact"/>
        <w:ind w:right="-420" w:rightChars="-20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8.1  不可抗力指战争、严重火灾、洪水、台风、地震等或其它双方认定的不可抗力事件。</w:t>
      </w:r>
    </w:p>
    <w:p w14:paraId="0CF70A0A">
      <w:pPr>
        <w:keepNext w:val="0"/>
        <w:keepLines w:val="0"/>
        <w:pageBreakBefore w:val="0"/>
        <w:kinsoku/>
        <w:wordWrap/>
        <w:overflowPunct/>
        <w:topLinePunct w:val="0"/>
        <w:autoSpaceDE/>
        <w:autoSpaceDN/>
        <w:bidi w:val="0"/>
        <w:spacing w:line="400" w:lineRule="exact"/>
        <w:ind w:left="1020" w:leftChars="200" w:right="-609"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8.2  签约双方中任何一方由于不可抗力影响合同执行时，发生不可抗力一方应尽快将事故通知另一方。 在此情况下，乙方仍然有责任采取必要的措施加速供货，双方应通过友好协商尽快解决本合同的执行问题。</w:t>
      </w:r>
    </w:p>
    <w:p w14:paraId="7F9C5BD6">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9、索赔</w:t>
      </w:r>
    </w:p>
    <w:p w14:paraId="2807DE30">
      <w:pPr>
        <w:keepNext w:val="0"/>
        <w:keepLines w:val="0"/>
        <w:pageBreakBefore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9.1 如有异议，甲方有权根据有关政府部门的检验结果向乙方提出索赔。</w:t>
      </w:r>
    </w:p>
    <w:p w14:paraId="3E6994AB">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9.2 在合同执行期间，如果乙方对甲方提出的索赔和差异负有责任，乙方应按照甲方同意的下列一种或多种方式解决索赔事宜：</w:t>
      </w:r>
    </w:p>
    <w:p w14:paraId="2979EFBB">
      <w:pPr>
        <w:keepNext w:val="0"/>
        <w:keepLines w:val="0"/>
        <w:pageBreakBefore w:val="0"/>
        <w:kinsoku/>
        <w:wordWrap/>
        <w:overflowPunct/>
        <w:topLinePunct w:val="0"/>
        <w:autoSpaceDE/>
        <w:autoSpaceDN/>
        <w:bidi w:val="0"/>
        <w:spacing w:line="400" w:lineRule="exact"/>
        <w:ind w:left="1389" w:leftChars="433" w:right="-399" w:rightChars="-190" w:hanging="480" w:hanging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1）乙方同意退货，并按合同规定的同种货币将货款退还给甲方，并承担由此发生的一切损失和费用。</w:t>
      </w:r>
    </w:p>
    <w:p w14:paraId="1F74883A">
      <w:pPr>
        <w:keepNext w:val="0"/>
        <w:keepLines w:val="0"/>
        <w:pageBreakBefore w:val="0"/>
        <w:kinsoku/>
        <w:wordWrap/>
        <w:overflowPunct/>
        <w:topLinePunct w:val="0"/>
        <w:autoSpaceDE/>
        <w:autoSpaceDN/>
        <w:bidi w:val="0"/>
        <w:spacing w:line="400" w:lineRule="exact"/>
        <w:ind w:firstLine="1080" w:firstLineChars="4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2）根据货物低劣程度、损坏程度以及甲方所遭受损失的数额甲乙双方商定降低货物的价格。</w:t>
      </w:r>
    </w:p>
    <w:p w14:paraId="65752805">
      <w:pPr>
        <w:keepNext w:val="0"/>
        <w:keepLines w:val="0"/>
        <w:pageBreakBefore w:val="0"/>
        <w:kinsoku/>
        <w:wordWrap/>
        <w:overflowPunct/>
        <w:topLinePunct w:val="0"/>
        <w:autoSpaceDE/>
        <w:autoSpaceDN/>
        <w:bidi w:val="0"/>
        <w:spacing w:line="400" w:lineRule="exact"/>
        <w:ind w:left="1303" w:leftChars="448" w:hanging="362" w:hangingChars="151"/>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3）用符合规格、质量和性能要求的新零件、部件或货物来更换有缺陷的部分或修补缺陷的部分，乙方应承担一切费用和风险并负有甲方所发生的一切直接费用。同时，相应延长质量保证期。</w:t>
      </w:r>
    </w:p>
    <w:p w14:paraId="10DD2A4A">
      <w:pPr>
        <w:keepNext w:val="0"/>
        <w:keepLines w:val="0"/>
        <w:pageBreakBefore w:val="0"/>
        <w:kinsoku/>
        <w:wordWrap/>
        <w:overflowPunct/>
        <w:topLinePunct w:val="0"/>
        <w:autoSpaceDE/>
        <w:autoSpaceDN/>
        <w:bidi w:val="0"/>
        <w:spacing w:line="400" w:lineRule="exact"/>
        <w:ind w:left="1058" w:leftChars="200" w:hanging="638" w:hangingChars="266"/>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9.3 如果在甲方发出索赔通知后</w:t>
      </w:r>
      <w:r>
        <w:rPr>
          <w:rFonts w:hint="eastAsia" w:asciiTheme="minorEastAsia" w:hAnsiTheme="minorEastAsia" w:eastAsiaTheme="minorEastAsia" w:cstheme="minorEastAsia"/>
          <w:color w:val="000000"/>
          <w:sz w:val="24"/>
          <w:szCs w:val="24"/>
          <w:shd w:val="clear" w:color="auto" w:fill="FFFFFF"/>
        </w:rPr>
        <w:t>30</w:t>
      </w:r>
      <w:r>
        <w:rPr>
          <w:rFonts w:hint="eastAsia" w:asciiTheme="minorEastAsia" w:hAnsiTheme="minorEastAsia" w:eastAsiaTheme="minorEastAsia" w:cstheme="minorEastAsia"/>
          <w:color w:val="000000"/>
          <w:sz w:val="24"/>
          <w:szCs w:val="24"/>
        </w:rPr>
        <w:t>天内，乙方未作答复，上述索赔应视为已被乙方接受。甲方将从合同款项中扣回索赔金额。如果这些金额不足以补偿索赔金额，甲方有权向乙方提出不足部分的补偿。</w:t>
      </w:r>
    </w:p>
    <w:p w14:paraId="38D77E2C">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10、违约与处罚</w:t>
      </w:r>
    </w:p>
    <w:p w14:paraId="0C4DCAB3">
      <w:pPr>
        <w:keepNext w:val="0"/>
        <w:keepLines w:val="0"/>
        <w:pageBreakBefore w:val="0"/>
        <w:kinsoku/>
        <w:wordWrap/>
        <w:overflowPunct/>
        <w:topLinePunct w:val="0"/>
        <w:autoSpaceDE/>
        <w:autoSpaceDN/>
        <w:bidi w:val="0"/>
        <w:spacing w:line="400" w:lineRule="exact"/>
        <w:ind w:left="1017" w:leftChars="200" w:hanging="597" w:hangingChars="249"/>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10.1 甲方应依合同规定时间内，向乙方支付货款，每拖延一天乙方可向甲方加收合同金额的</w:t>
      </w:r>
      <w:r>
        <w:rPr>
          <w:rFonts w:hint="eastAsia" w:asciiTheme="minorEastAsia" w:hAnsiTheme="minorEastAsia" w:eastAsiaTheme="minorEastAsia" w:cstheme="minorEastAsia"/>
          <w:color w:val="000000"/>
          <w:sz w:val="24"/>
          <w:szCs w:val="24"/>
          <w:shd w:val="clear" w:color="auto" w:fill="FFFFFF"/>
        </w:rPr>
        <w:t>3‰</w:t>
      </w:r>
      <w:r>
        <w:rPr>
          <w:rFonts w:hint="eastAsia" w:asciiTheme="minorEastAsia" w:hAnsiTheme="minorEastAsia" w:eastAsiaTheme="minorEastAsia" w:cstheme="minorEastAsia"/>
          <w:color w:val="000000"/>
          <w:sz w:val="24"/>
          <w:szCs w:val="24"/>
        </w:rPr>
        <w:t>的违约金。</w:t>
      </w:r>
    </w:p>
    <w:p w14:paraId="76770036">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10.2 乙方未能按时交货，每拖延一天，须向甲方支付合同金额的</w:t>
      </w:r>
      <w:r>
        <w:rPr>
          <w:rFonts w:hint="eastAsia" w:asciiTheme="minorEastAsia" w:hAnsiTheme="minorEastAsia" w:eastAsiaTheme="minorEastAsia" w:cstheme="minorEastAsia"/>
          <w:color w:val="000000"/>
          <w:sz w:val="24"/>
          <w:szCs w:val="24"/>
          <w:shd w:val="clear" w:color="auto" w:fill="FFFFFF"/>
        </w:rPr>
        <w:t>3‰</w:t>
      </w:r>
      <w:r>
        <w:rPr>
          <w:rFonts w:hint="eastAsia" w:asciiTheme="minorEastAsia" w:hAnsiTheme="minorEastAsia" w:eastAsiaTheme="minorEastAsia" w:cstheme="minorEastAsia"/>
          <w:color w:val="000000"/>
          <w:sz w:val="24"/>
          <w:szCs w:val="24"/>
        </w:rPr>
        <w:t>的违约金，此部份金额从乙方履约保证金中扣除，不足部份，甲方有权向乙方提出追偿。</w:t>
      </w:r>
    </w:p>
    <w:p w14:paraId="06B0423D">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10.3 乙方交付的货物不符合合同规定的，甲方有权拒收，乙方向甲方支付合同金额的</w:t>
      </w:r>
      <w:r>
        <w:rPr>
          <w:rFonts w:hint="eastAsia" w:asciiTheme="minorEastAsia" w:hAnsiTheme="minorEastAsia" w:eastAsiaTheme="minorEastAsia" w:cstheme="minorEastAsia"/>
          <w:color w:val="000000"/>
          <w:sz w:val="24"/>
          <w:szCs w:val="24"/>
          <w:shd w:val="clear" w:color="auto" w:fill="FFFFFF"/>
        </w:rPr>
        <w:t>5%</w:t>
      </w:r>
      <w:r>
        <w:rPr>
          <w:rFonts w:hint="eastAsia" w:asciiTheme="minorEastAsia" w:hAnsiTheme="minorEastAsia" w:eastAsiaTheme="minorEastAsia" w:cstheme="minorEastAsia"/>
          <w:color w:val="000000"/>
          <w:sz w:val="24"/>
          <w:szCs w:val="24"/>
        </w:rPr>
        <w:t>的违约金，此部份金额从乙方履约保证金中扣除。</w:t>
      </w:r>
    </w:p>
    <w:p w14:paraId="009C501A">
      <w:pPr>
        <w:keepNext w:val="0"/>
        <w:keepLines w:val="0"/>
        <w:pageBreakBefore w:val="0"/>
        <w:kinsoku/>
        <w:wordWrap/>
        <w:overflowPunct/>
        <w:topLinePunct w:val="0"/>
        <w:autoSpaceDE/>
        <w:autoSpaceDN/>
        <w:bidi w:val="0"/>
        <w:spacing w:line="400" w:lineRule="exact"/>
        <w:ind w:left="660" w:leftChars="200" w:hanging="240" w:hangingChars="1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10.4 甲方无正当理由拒收货物的，甲方向乙方支付合同金额的</w:t>
      </w:r>
      <w:r>
        <w:rPr>
          <w:rFonts w:hint="eastAsia" w:asciiTheme="minorEastAsia" w:hAnsiTheme="minorEastAsia" w:eastAsiaTheme="minorEastAsia" w:cstheme="minorEastAsia"/>
          <w:color w:val="000000"/>
          <w:sz w:val="24"/>
          <w:szCs w:val="24"/>
          <w:shd w:val="clear" w:color="auto" w:fill="FFFFFF"/>
        </w:rPr>
        <w:t>5%</w:t>
      </w:r>
      <w:r>
        <w:rPr>
          <w:rFonts w:hint="eastAsia" w:asciiTheme="minorEastAsia" w:hAnsiTheme="minorEastAsia" w:eastAsiaTheme="minorEastAsia" w:cstheme="minorEastAsia"/>
          <w:color w:val="000000"/>
          <w:sz w:val="24"/>
          <w:szCs w:val="24"/>
        </w:rPr>
        <w:t>的违约金。</w:t>
      </w:r>
    </w:p>
    <w:p w14:paraId="55163433">
      <w:pPr>
        <w:keepNext w:val="0"/>
        <w:keepLines w:val="0"/>
        <w:pageBreakBefore w:val="0"/>
        <w:kinsoku/>
        <w:wordWrap/>
        <w:overflowPunct/>
        <w:topLinePunct w:val="0"/>
        <w:autoSpaceDE/>
        <w:autoSpaceDN/>
        <w:bidi w:val="0"/>
        <w:spacing w:line="400" w:lineRule="exact"/>
        <w:ind w:left="1020" w:leftChars="20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10.5 乙方未能交付货物，则须向甲方支付合同采购金额</w:t>
      </w:r>
      <w:r>
        <w:rPr>
          <w:rFonts w:hint="eastAsia" w:asciiTheme="minorEastAsia" w:hAnsiTheme="minorEastAsia" w:eastAsiaTheme="minorEastAsia" w:cstheme="minorEastAsia"/>
          <w:color w:val="000000"/>
          <w:sz w:val="24"/>
          <w:szCs w:val="24"/>
          <w:shd w:val="clear" w:color="auto" w:fill="FFFFFF"/>
        </w:rPr>
        <w:t>5%</w:t>
      </w:r>
      <w:r>
        <w:rPr>
          <w:rFonts w:hint="eastAsia" w:asciiTheme="minorEastAsia" w:hAnsiTheme="minorEastAsia" w:eastAsiaTheme="minorEastAsia" w:cstheme="minorEastAsia"/>
          <w:color w:val="000000"/>
          <w:sz w:val="24"/>
          <w:szCs w:val="24"/>
        </w:rPr>
        <w:t>的违约金，此部份金额从乙方履约保证金中扣除。在乙方未能交货</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天后，视为其不能交付货物，甲方将有权终止合同并提出进一步索赔的权力。</w:t>
      </w:r>
    </w:p>
    <w:p w14:paraId="6380C4E8">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11、合同终止</w:t>
      </w:r>
    </w:p>
    <w:p w14:paraId="49BD19CD">
      <w:pPr>
        <w:keepNext w:val="0"/>
        <w:keepLines w:val="0"/>
        <w:pageBreakBefore w:val="0"/>
        <w:kinsoku/>
        <w:wordWrap/>
        <w:overflowPunct/>
        <w:topLinePunct w:val="0"/>
        <w:autoSpaceDE/>
        <w:autoSpaceDN/>
        <w:bidi w:val="0"/>
        <w:spacing w:line="400" w:lineRule="exact"/>
        <w:ind w:left="420" w:leftChars="200" w:right="-84" w:rightChars="-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如果一方严重违反合同，并在收到对方违约通知书后在</w:t>
      </w:r>
      <w:r>
        <w:rPr>
          <w:rFonts w:hint="eastAsia" w:asciiTheme="minorEastAsia" w:hAnsiTheme="minorEastAsia" w:eastAsiaTheme="minorEastAsia" w:cstheme="minorEastAsia"/>
          <w:color w:val="000000"/>
          <w:sz w:val="24"/>
          <w:szCs w:val="24"/>
          <w:shd w:val="clear" w:color="auto" w:fill="FFFFFF"/>
        </w:rPr>
        <w:t>30</w:t>
      </w:r>
      <w:r>
        <w:rPr>
          <w:rFonts w:hint="eastAsia" w:asciiTheme="minorEastAsia" w:hAnsiTheme="minorEastAsia" w:eastAsiaTheme="minorEastAsia" w:cstheme="minorEastAsia"/>
          <w:color w:val="000000"/>
          <w:sz w:val="24"/>
          <w:szCs w:val="24"/>
        </w:rPr>
        <w:t>天内仍未能改正违约的，另一方可立即终止本合同。</w:t>
      </w:r>
    </w:p>
    <w:p w14:paraId="2EBA3D51">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12、法律诉讼</w:t>
      </w:r>
    </w:p>
    <w:p w14:paraId="6823B9D3">
      <w:pPr>
        <w:keepNext w:val="0"/>
        <w:keepLines w:val="0"/>
        <w:pageBreakBefore w:val="0"/>
        <w:kinsoku/>
        <w:wordWrap/>
        <w:overflowPunct/>
        <w:topLinePunct w:val="0"/>
        <w:autoSpaceDE/>
        <w:autoSpaceDN/>
        <w:bidi w:val="0"/>
        <w:spacing w:line="400" w:lineRule="exact"/>
        <w:ind w:left="630" w:leftChars="3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签约双方在履约中发生争执和分歧，双方应通过友好协商解决，若经协商不能达成协议时，则由合同签订地或招标人所在地人民法院提起诉讼。受理期间，双方应继续执行合同其余部分。</w:t>
      </w:r>
    </w:p>
    <w:p w14:paraId="2ADAD9DE">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13、其它</w:t>
      </w:r>
    </w:p>
    <w:p w14:paraId="4697751F">
      <w:pPr>
        <w:keepNext w:val="0"/>
        <w:keepLines w:val="0"/>
        <w:pageBreakBefore w:val="0"/>
        <w:kinsoku/>
        <w:wordWrap/>
        <w:overflowPunct/>
        <w:topLinePunct w:val="0"/>
        <w:autoSpaceDE/>
        <w:autoSpaceDN/>
        <w:bidi w:val="0"/>
        <w:spacing w:line="400" w:lineRule="exact"/>
        <w:ind w:left="1125" w:leftChars="250" w:hanging="600" w:hanging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13.1 本合同正本四份，具有同等法律效力，甲、乙双方各执一份，财政局一份，采购代理机构一份。合同自签字之日起即时生效。</w:t>
      </w:r>
    </w:p>
    <w:p w14:paraId="1B436713">
      <w:pPr>
        <w:keepNext w:val="0"/>
        <w:keepLines w:val="0"/>
        <w:pageBreakBefore w:val="0"/>
        <w:kinsoku/>
        <w:wordWrap/>
        <w:overflowPunct/>
        <w:topLinePunct w:val="0"/>
        <w:autoSpaceDE/>
        <w:autoSpaceDN/>
        <w:bidi w:val="0"/>
        <w:snapToGrid w:val="0"/>
        <w:spacing w:line="400" w:lineRule="exact"/>
        <w:ind w:firstLine="600" w:firstLine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13.2下列文件是本合同的一部分，并与本合同一起阅读和解释</w:t>
      </w:r>
    </w:p>
    <w:p w14:paraId="0896C047">
      <w:pPr>
        <w:keepNext w:val="0"/>
        <w:keepLines w:val="0"/>
        <w:pageBreakBefore w:val="0"/>
        <w:kinsoku/>
        <w:wordWrap/>
        <w:overflowPunct/>
        <w:topLinePunct w:val="0"/>
        <w:autoSpaceDE/>
        <w:autoSpaceDN/>
        <w:bidi w:val="0"/>
        <w:snapToGrid w:val="0"/>
        <w:spacing w:line="400" w:lineRule="exact"/>
        <w:ind w:firstLine="1080" w:firstLineChars="4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13.2.1 中标人提交的投标函和投标一览表；</w:t>
      </w:r>
    </w:p>
    <w:p w14:paraId="01FB9769">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13.2.2 资格声明函；</w:t>
      </w:r>
    </w:p>
    <w:p w14:paraId="3AB1DD9F">
      <w:pPr>
        <w:keepNext w:val="0"/>
        <w:keepLines w:val="0"/>
        <w:pageBreakBefore w:val="0"/>
        <w:kinsoku/>
        <w:wordWrap/>
        <w:overflowPunct/>
        <w:topLinePunct w:val="0"/>
        <w:autoSpaceDE/>
        <w:autoSpaceDN/>
        <w:bidi w:val="0"/>
        <w:snapToGrid w:val="0"/>
        <w:spacing w:line="400" w:lineRule="exact"/>
        <w:ind w:firstLine="1056" w:firstLineChars="44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13.2.3 中标通知书；</w:t>
      </w:r>
    </w:p>
    <w:p w14:paraId="5BF1E022">
      <w:pPr>
        <w:keepNext w:val="0"/>
        <w:keepLines w:val="0"/>
        <w:pageBreakBefore w:val="0"/>
        <w:kinsoku/>
        <w:wordWrap/>
        <w:overflowPunct/>
        <w:topLinePunct w:val="0"/>
        <w:autoSpaceDE/>
        <w:autoSpaceDN/>
        <w:bidi w:val="0"/>
        <w:snapToGrid w:val="0"/>
        <w:spacing w:line="400" w:lineRule="exact"/>
        <w:ind w:firstLine="1058" w:firstLineChars="441"/>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13.2.4 其他相关投标文件。 </w:t>
      </w:r>
    </w:p>
    <w:p w14:paraId="1A1A6D6B">
      <w:pPr>
        <w:keepNext w:val="0"/>
        <w:keepLines w:val="0"/>
        <w:pageBreakBefore w:val="0"/>
        <w:kinsoku/>
        <w:wordWrap/>
        <w:overflowPunct/>
        <w:topLinePunct w:val="0"/>
        <w:autoSpaceDE/>
        <w:autoSpaceDN/>
        <w:bidi w:val="0"/>
        <w:spacing w:line="400" w:lineRule="exact"/>
        <w:ind w:firstLine="600" w:firstLineChars="2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13.3 本合同未尽事宜，由双方协商处理。</w:t>
      </w:r>
    </w:p>
    <w:p w14:paraId="721BA6BB">
      <w:pPr>
        <w:keepNext w:val="0"/>
        <w:keepLines w:val="0"/>
        <w:pageBreakBefore w:val="0"/>
        <w:kinsoku/>
        <w:wordWrap/>
        <w:overflowPunct/>
        <w:topLinePunct w:val="0"/>
        <w:autoSpaceDE/>
        <w:autoSpaceDN/>
        <w:bidi w:val="0"/>
        <w:spacing w:line="400" w:lineRule="exact"/>
        <w:textAlignment w:val="auto"/>
        <w:rPr>
          <w:rFonts w:hint="eastAsia" w:asciiTheme="minorEastAsia" w:hAnsiTheme="minorEastAsia" w:eastAsiaTheme="minorEastAsia" w:cstheme="minorEastAsia"/>
          <w:color w:val="000000"/>
          <w:sz w:val="24"/>
          <w:szCs w:val="24"/>
        </w:rPr>
      </w:pPr>
    </w:p>
    <w:p w14:paraId="686EBE3E">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甲方：                                                 乙方：</w:t>
      </w:r>
    </w:p>
    <w:p w14:paraId="76D6E536">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 xml:space="preserve">单位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公司</w:t>
      </w:r>
    </w:p>
    <w:p w14:paraId="6AD871A4">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签约代表：                                              签约代表：</w:t>
      </w:r>
    </w:p>
    <w:p w14:paraId="2976DBD6">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                                                  地址：</w:t>
      </w:r>
    </w:p>
    <w:p w14:paraId="4DFC5F71">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电话：　　　                                            电话：</w:t>
      </w:r>
    </w:p>
    <w:p w14:paraId="282BA54D">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传真：　　　                                            传真：</w:t>
      </w:r>
    </w:p>
    <w:p w14:paraId="6116599A">
      <w:pPr>
        <w:keepNext w:val="0"/>
        <w:keepLines w:val="0"/>
        <w:pageBreakBefore w:val="0"/>
        <w:kinsoku/>
        <w:wordWrap/>
        <w:overflowPunct/>
        <w:topLinePunct w:val="0"/>
        <w:autoSpaceDE/>
        <w:autoSpaceDN/>
        <w:bidi w:val="0"/>
        <w:spacing w:line="40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            签约日期：20</w:t>
      </w:r>
      <w:r>
        <w:rPr>
          <w:rFonts w:hint="eastAsia" w:asciiTheme="minorEastAsia" w:hAnsiTheme="minorEastAsia" w:eastAsiaTheme="minorEastAsia" w:cstheme="minorEastAsia"/>
          <w:sz w:val="24"/>
          <w:szCs w:val="24"/>
          <w:lang w:val="en-US" w:eastAsia="zh-CN"/>
        </w:rPr>
        <w:t>26</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450F89EE">
      <w:pPr>
        <w:keepNext w:val="0"/>
        <w:keepLines w:val="0"/>
        <w:pageBreakBefore w:val="0"/>
        <w:kinsoku/>
        <w:wordWrap/>
        <w:overflowPunct/>
        <w:topLinePunct w:val="0"/>
        <w:autoSpaceDE/>
        <w:autoSpaceDN/>
        <w:bidi w:val="0"/>
        <w:adjustRightInd w:val="0"/>
        <w:snapToGrid w:val="0"/>
        <w:spacing w:line="400" w:lineRule="exact"/>
        <w:ind w:left="-359" w:leftChars="-171" w:right="-506" w:rightChars="-241" w:firstLine="240" w:firstLineChars="100"/>
        <w:textAlignment w:val="auto"/>
        <w:rPr>
          <w:rFonts w:hint="eastAsia" w:ascii="仿宋" w:hAnsi="仿宋" w:eastAsia="仿宋" w:cs="仿宋"/>
          <w:sz w:val="24"/>
          <w:szCs w:val="24"/>
        </w:rPr>
      </w:pPr>
      <w:r>
        <w:rPr>
          <w:rFonts w:hint="eastAsia" w:ascii="仿宋" w:hAnsi="仿宋" w:eastAsia="仿宋" w:cs="仿宋"/>
          <w:sz w:val="24"/>
          <w:szCs w:val="24"/>
        </w:rPr>
        <w:t xml:space="preserve">          </w:t>
      </w:r>
    </w:p>
    <w:p w14:paraId="735BFAFC">
      <w:pPr>
        <w:tabs>
          <w:tab w:val="left" w:pos="486"/>
        </w:tabs>
        <w:bidi w:val="0"/>
        <w:jc w:val="left"/>
        <w:rPr>
          <w:color w:val="auto"/>
          <w:lang w:val="en-US" w:eastAsia="zh-CN"/>
        </w:rPr>
        <w:sectPr>
          <w:footerReference r:id="rId5" w:type="default"/>
          <w:pgSz w:w="11906" w:h="16838"/>
          <w:pgMar w:top="1928" w:right="1531" w:bottom="1701" w:left="1531" w:header="851" w:footer="992" w:gutter="0"/>
          <w:pgNumType w:fmt="decimal" w:start="1"/>
          <w:cols w:space="720" w:num="1"/>
          <w:docGrid w:type="lines" w:linePitch="312" w:charSpace="0"/>
        </w:sectPr>
      </w:pPr>
    </w:p>
    <w:p w14:paraId="3A3A0DF3">
      <w:pPr>
        <w:pStyle w:val="22"/>
        <w:pageBreakBefore w:val="0"/>
        <w:numPr>
          <w:ilvl w:val="0"/>
          <w:numId w:val="3"/>
        </w:numPr>
        <w:kinsoku/>
        <w:wordWrap/>
        <w:overflowPunct/>
        <w:topLinePunct w:val="0"/>
        <w:bidi w:val="0"/>
        <w:spacing w:beforeAutospacing="0" w:after="0" w:afterAutospacing="0" w:line="400" w:lineRule="exact"/>
        <w:jc w:val="center"/>
        <w:rPr>
          <w:rStyle w:val="30"/>
          <w:rFonts w:hint="eastAsia" w:ascii="宋体" w:hAnsi="宋体" w:eastAsia="宋体" w:cs="宋体"/>
          <w:b/>
          <w:bCs/>
          <w:color w:val="000000" w:themeColor="text1"/>
          <w:w w:val="90"/>
          <w:sz w:val="36"/>
          <w:szCs w:val="36"/>
          <w:highlight w:val="none"/>
          <w:u w:val="none"/>
          <w:lang w:eastAsia="zh-Hans"/>
          <w14:textFill>
            <w14:solidFill>
              <w14:schemeClr w14:val="tx1"/>
            </w14:solidFill>
          </w14:textFill>
        </w:rPr>
      </w:pPr>
      <w:r>
        <w:rPr>
          <w:rStyle w:val="30"/>
          <w:rFonts w:hint="eastAsia" w:ascii="宋体" w:hAnsi="宋体" w:eastAsia="宋体" w:cs="宋体"/>
          <w:b/>
          <w:bCs/>
          <w:color w:val="000000" w:themeColor="text1"/>
          <w:w w:val="90"/>
          <w:sz w:val="36"/>
          <w:szCs w:val="36"/>
          <w:highlight w:val="none"/>
          <w:u w:val="none"/>
          <w14:textFill>
            <w14:solidFill>
              <w14:schemeClr w14:val="tx1"/>
            </w14:solidFill>
          </w14:textFill>
        </w:rPr>
        <w:t xml:space="preserve"> </w:t>
      </w:r>
      <w:r>
        <w:rPr>
          <w:rStyle w:val="30"/>
          <w:rFonts w:hint="eastAsia" w:ascii="宋体" w:hAnsi="宋体" w:eastAsia="宋体" w:cs="宋体"/>
          <w:b/>
          <w:bCs/>
          <w:color w:val="000000" w:themeColor="text1"/>
          <w:w w:val="90"/>
          <w:sz w:val="36"/>
          <w:szCs w:val="36"/>
          <w:highlight w:val="none"/>
          <w:u w:val="none"/>
          <w:lang w:eastAsia="zh-Hans"/>
          <w14:textFill>
            <w14:solidFill>
              <w14:schemeClr w14:val="tx1"/>
            </w14:solidFill>
          </w14:textFill>
        </w:rPr>
        <w:t>采购需求</w:t>
      </w:r>
      <w:bookmarkStart w:id="4" w:name="_Toc1579209951"/>
      <w:bookmarkEnd w:id="4"/>
    </w:p>
    <w:p w14:paraId="6E1F6CE7">
      <w:pPr>
        <w:numPr>
          <w:ilvl w:val="0"/>
          <w:numId w:val="0"/>
        </w:numPr>
        <w:rPr>
          <w:rFonts w:hint="eastAsia"/>
          <w:color w:val="000000" w:themeColor="text1"/>
          <w:lang w:val="en-US" w:eastAsia="zh-CN"/>
          <w14:textFill>
            <w14:solidFill>
              <w14:schemeClr w14:val="tx1"/>
            </w14:solidFill>
          </w14:textFill>
        </w:rPr>
      </w:pPr>
    </w:p>
    <w:tbl>
      <w:tblPr>
        <w:tblStyle w:val="24"/>
        <w:tblW w:w="139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790"/>
        <w:gridCol w:w="2016"/>
        <w:gridCol w:w="5667"/>
        <w:gridCol w:w="960"/>
        <w:gridCol w:w="962"/>
        <w:gridCol w:w="1210"/>
        <w:gridCol w:w="1060"/>
        <w:gridCol w:w="702"/>
      </w:tblGrid>
      <w:tr w14:paraId="34798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3935" w:type="dxa"/>
            <w:gridSpan w:val="9"/>
            <w:tcBorders>
              <w:top w:val="single" w:color="000000" w:sz="4" w:space="0"/>
              <w:left w:val="single" w:color="000000" w:sz="4" w:space="0"/>
              <w:bottom w:val="nil"/>
              <w:right w:val="single" w:color="000000" w:sz="4" w:space="0"/>
            </w:tcBorders>
            <w:shd w:val="clear" w:color="auto" w:fill="auto"/>
            <w:vAlign w:val="center"/>
          </w:tcPr>
          <w:p w14:paraId="51E866E8">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   托克逊县伊拉湖镇康克连栋大棚示范项目</w:t>
            </w:r>
            <w:r>
              <w:rPr>
                <w:rFonts w:hint="eastAsia" w:ascii="宋体" w:hAnsi="宋体" w:eastAsia="宋体" w:cs="宋体"/>
                <w:b/>
                <w:bCs/>
                <w:i w:val="0"/>
                <w:iCs w:val="0"/>
                <w:color w:val="000000"/>
                <w:kern w:val="0"/>
                <w:sz w:val="40"/>
                <w:szCs w:val="40"/>
                <w:u w:val="none"/>
                <w:lang w:val="en-US" w:eastAsia="zh-CN" w:bidi="ar"/>
              </w:rPr>
              <w:br w:type="textWrapping"/>
            </w:r>
            <w:r>
              <w:rPr>
                <w:rFonts w:hint="eastAsia" w:ascii="宋体" w:hAnsi="宋体" w:eastAsia="宋体" w:cs="宋体"/>
                <w:b/>
                <w:bCs/>
                <w:i w:val="0"/>
                <w:iCs w:val="0"/>
                <w:color w:val="000000"/>
                <w:kern w:val="0"/>
                <w:sz w:val="40"/>
                <w:szCs w:val="40"/>
                <w:u w:val="none"/>
                <w:lang w:val="en-US" w:eastAsia="zh-CN" w:bidi="ar"/>
              </w:rPr>
              <w:t>清单</w:t>
            </w:r>
          </w:p>
        </w:tc>
      </w:tr>
      <w:tr w14:paraId="29E5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401286F">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序号</w:t>
            </w:r>
          </w:p>
        </w:tc>
        <w:tc>
          <w:tcPr>
            <w:tcW w:w="79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695FA98">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名称</w:t>
            </w:r>
          </w:p>
        </w:tc>
        <w:tc>
          <w:tcPr>
            <w:tcW w:w="2016"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A662415">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项目特征</w:t>
            </w:r>
          </w:p>
        </w:tc>
        <w:tc>
          <w:tcPr>
            <w:tcW w:w="5667" w:type="dxa"/>
            <w:tcBorders>
              <w:top w:val="single" w:color="000000" w:sz="8" w:space="0"/>
              <w:left w:val="single" w:color="000000" w:sz="4" w:space="0"/>
              <w:bottom w:val="single" w:color="000000" w:sz="4" w:space="0"/>
              <w:right w:val="single" w:color="000000" w:sz="4" w:space="0"/>
            </w:tcBorders>
            <w:shd w:val="clear" w:color="auto" w:fill="auto"/>
            <w:vAlign w:val="center"/>
          </w:tcPr>
          <w:p w14:paraId="436C62C2">
            <w:pPr>
              <w:keepNext w:val="0"/>
              <w:keepLines w:val="0"/>
              <w:widowControl/>
              <w:suppressLineNumbers w:val="0"/>
              <w:ind w:firstLineChars="100"/>
              <w:jc w:val="lef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工作内容</w:t>
            </w:r>
          </w:p>
        </w:tc>
        <w:tc>
          <w:tcPr>
            <w:tcW w:w="9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1ECDA2B3">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单位</w:t>
            </w:r>
          </w:p>
        </w:tc>
        <w:tc>
          <w:tcPr>
            <w:tcW w:w="96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678FFF5">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数量</w:t>
            </w:r>
          </w:p>
        </w:tc>
        <w:tc>
          <w:tcPr>
            <w:tcW w:w="121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CAECCC">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单价</w:t>
            </w:r>
          </w:p>
        </w:tc>
        <w:tc>
          <w:tcPr>
            <w:tcW w:w="106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AF6356C">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总价</w:t>
            </w:r>
          </w:p>
        </w:tc>
        <w:tc>
          <w:tcPr>
            <w:tcW w:w="702" w:type="dxa"/>
            <w:tcBorders>
              <w:top w:val="single" w:color="000000" w:sz="8" w:space="0"/>
              <w:left w:val="single" w:color="000000" w:sz="4" w:space="0"/>
              <w:bottom w:val="single" w:color="000000" w:sz="4" w:space="0"/>
              <w:right w:val="single" w:color="000000" w:sz="8" w:space="0"/>
            </w:tcBorders>
            <w:shd w:val="clear" w:color="auto" w:fill="auto"/>
            <w:vAlign w:val="center"/>
          </w:tcPr>
          <w:p w14:paraId="4281434D">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备注</w:t>
            </w:r>
          </w:p>
        </w:tc>
      </w:tr>
      <w:tr w14:paraId="159B6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7"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F0AA33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C8F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拱架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672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1.规格：30mm*60mm*1.8mm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2.材质信息：镀锌椭圆管11.5m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D76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3.施工前全面清理施工场地，彻底清除场内杂物、杂草及凸起障碍物，保障场地平整达标；</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通过配套螺栓、专用连接件拼接各骨架构件，拼接过程中确保构件衔接紧密、螺栓紧固到位，逐一核对骨架整体尺寸、弧度，确认符合设计标准；组装完成后全面检查，确保骨架无变形、无松动，整体结构稳固可靠。</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5.采用人工配合简易吊装设备的方式，平稳起吊单榀组装完成的骨架，精准安放至预处理完毕的基坑内；起吊、安放过程匀速缓慢操作，避免骨架磕碰、弯折变形；骨架就位后做好临时固定，精细调整骨架垂直度、标高及间距，保障每榀骨架定位精准、整体排列整齐划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6.措施项目施工内容详施工当地现行标准，达到竣工验收要求。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1B9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B3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7317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2731">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009F">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2E5F484">
            <w:pPr>
              <w:jc w:val="center"/>
              <w:rPr>
                <w:rFonts w:hint="eastAsia" w:ascii="宋体" w:hAnsi="宋体" w:eastAsia="宋体" w:cs="宋体"/>
                <w:i w:val="0"/>
                <w:iCs w:val="0"/>
                <w:color w:val="000000"/>
                <w:sz w:val="24"/>
                <w:szCs w:val="24"/>
                <w:u w:val="none"/>
              </w:rPr>
            </w:pPr>
          </w:p>
        </w:tc>
      </w:tr>
      <w:tr w14:paraId="5F43B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2"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75085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91D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水平梁</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6935">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1.规格：30mm*50mm*1.8mm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2.材质信息：镀锌方管5m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A7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通过配套螺栓、专用连接件拼接各骨架构件，拼接过程中确保构件衔接紧密、螺栓紧固到位，逐一核对骨架整体尺寸、弧度，确认符合设计标准；组装完成后全面检查，确保骨架无变形、无松动，整体结构稳固可靠。</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采用人工配合简易吊装设备的方式，平稳起吊单榀组装完成的骨架，精准安放至预处理完毕的基坑内；起吊、安放过程匀速缓慢操作，避免骨架磕碰、弯折变形；骨架就位后做好临时固定，精细调整骨架垂直度、标高及间距，保障每榀骨架定位精准、整体排列整齐划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5.措施项目施工内容详施工当地现行标准，达到竣工验收要求。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838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02EB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7317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AA6">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4E19">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5CC9F0">
            <w:pPr>
              <w:jc w:val="center"/>
              <w:rPr>
                <w:rFonts w:hint="eastAsia" w:ascii="宋体" w:hAnsi="宋体" w:eastAsia="宋体" w:cs="宋体"/>
                <w:i w:val="0"/>
                <w:iCs w:val="0"/>
                <w:color w:val="000000"/>
                <w:sz w:val="24"/>
                <w:szCs w:val="24"/>
                <w:u w:val="none"/>
              </w:rPr>
            </w:pPr>
          </w:p>
        </w:tc>
      </w:tr>
      <w:tr w14:paraId="717CB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6"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B00B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9AB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抗风立柱</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E98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1.规格：30mm*60mm*1.8mm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2.材质信息：椭圆管2.5m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44D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通过配套螺栓、专用连接件拼接各骨架构件，拼接过程中确保构件衔接紧密、螺栓紧固到位，逐一核对骨架整体尺寸、弧度，确认符合设计标准；组装完成后全面检查，确保骨架无变形、无松动，整体结构稳固可靠。</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采用人工配合简易吊装设备的方式，平稳起吊单榀组装完成的骨架，精准安放至预处理完毕的基坑内；起吊、安放过程匀速缓慢操作，避免骨架磕碰、弯折变形；骨架就位后做好临时固定，精细调整骨架垂直度、标高及间距，保障每榀骨架定位精准、整体排列整齐划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5.措施项目施工内容详施工当地现行标准，达到竣工验收要求。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D1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84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0B0A">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F871">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8327F7">
            <w:pPr>
              <w:jc w:val="center"/>
              <w:rPr>
                <w:rFonts w:hint="eastAsia" w:ascii="宋体" w:hAnsi="宋体" w:eastAsia="宋体" w:cs="宋体"/>
                <w:i w:val="0"/>
                <w:iCs w:val="0"/>
                <w:color w:val="000000"/>
                <w:sz w:val="24"/>
                <w:szCs w:val="24"/>
                <w:u w:val="none"/>
              </w:rPr>
            </w:pPr>
          </w:p>
        </w:tc>
      </w:tr>
      <w:tr w14:paraId="2DC8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1"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0F472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903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纵拉杆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7E7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1.规格：25mm*1.5m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2.材质信息：镀锌杆1.5m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034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骨架组装验收合格后，按照图纸设计定位，在骨架顶部精准安装；纵拉杆管箍，确保管箍与骨架连接牢固，统一调整管箍间距、安装；角度，保证管箍排布规整，让后续纵拉杆安装；贴合紧密、整体受力均匀，强化骨架整体横向支撑力。</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497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3B3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1938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53CF">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4FAA">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80BBA0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缩头</w:t>
            </w:r>
          </w:p>
        </w:tc>
      </w:tr>
      <w:tr w14:paraId="0EA1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2"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3E34A8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F8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竖吊杆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97E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1.规格：25mm*1.5mm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2.材质信息：镀锌杆1.5m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C14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通过配套螺栓、专用连接件拼接各骨架构件，拼接过程中确保构件衔接紧密、螺栓紧固到位，逐一核对骨架整体尺寸、弧度，确认符合设计标准；组装完成后全面检查，确保骨架无变形、无松动，整体结构稳固可靠。</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采用人工配合简易吊装设备的方式，平稳起吊单榀组装完成的骨架，精准安放至预处理完毕的基坑内；起吊、安放过程匀速缓慢操作，避免骨架磕碰、弯折变形；骨架就位后做好临时固定，精细调整骨架垂直度、标高及间距，保障每榀骨架定位精准、整体排列整齐划一。</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5.措施项目施工内容详施工当地现行标准，达到竣工验收要求。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111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09A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7317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0BC4">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8AAF">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77ED7A">
            <w:pPr>
              <w:jc w:val="center"/>
              <w:rPr>
                <w:rFonts w:hint="eastAsia" w:ascii="宋体" w:hAnsi="宋体" w:eastAsia="宋体" w:cs="宋体"/>
                <w:i w:val="0"/>
                <w:iCs w:val="0"/>
                <w:color w:val="000000"/>
                <w:sz w:val="24"/>
                <w:szCs w:val="24"/>
                <w:u w:val="none"/>
              </w:rPr>
            </w:pPr>
          </w:p>
        </w:tc>
      </w:tr>
      <w:tr w14:paraId="50EF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1"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98FEBC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62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水槽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4E2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1.规格：415mm*1.5mm*4m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2D8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待基坑混凝土强度达到设计要求后，按照图纸设计位置安装；大棚水槽，精细调整水槽水平度与排水坡度，确保水槽排水顺畅、无积水隐患；做好水槽拼接处密封处理，杜绝漏水问题，同时加固水槽与骨架的连接部位，保障整体安装；稳固。</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EF4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951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2642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27B1">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8B03">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63E71E">
            <w:pPr>
              <w:jc w:val="center"/>
              <w:rPr>
                <w:rFonts w:hint="eastAsia" w:ascii="宋体" w:hAnsi="宋体" w:eastAsia="宋体" w:cs="宋体"/>
                <w:i w:val="0"/>
                <w:iCs w:val="0"/>
                <w:color w:val="000000"/>
                <w:sz w:val="24"/>
                <w:szCs w:val="24"/>
                <w:u w:val="none"/>
              </w:rPr>
            </w:pPr>
          </w:p>
        </w:tc>
      </w:tr>
      <w:tr w14:paraId="36533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460AB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EE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水槽托架</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F61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1.材质信息：镀锌板</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B91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3.配合水槽安装；托架附件工作，确保水槽符合设计标准；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0CC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F31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2642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F09B">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24CD">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DF95D1">
            <w:pPr>
              <w:jc w:val="center"/>
              <w:rPr>
                <w:rFonts w:hint="eastAsia" w:ascii="宋体" w:hAnsi="宋体" w:eastAsia="宋体" w:cs="宋体"/>
                <w:i w:val="0"/>
                <w:iCs w:val="0"/>
                <w:color w:val="000000"/>
                <w:sz w:val="24"/>
                <w:szCs w:val="24"/>
                <w:u w:val="none"/>
              </w:rPr>
            </w:pPr>
          </w:p>
        </w:tc>
      </w:tr>
      <w:tr w14:paraId="15025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2"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C5811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865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水槽漏斗</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9A8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1.材质信息：镀锌板</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566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3.配合水槽安装；水槽漏斗及附件工作，确保水槽漏斗符合设计标准；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D0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EF5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2939">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AD30">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49BEFBC">
            <w:pPr>
              <w:jc w:val="center"/>
              <w:rPr>
                <w:rFonts w:hint="eastAsia" w:ascii="宋体" w:hAnsi="宋体" w:eastAsia="宋体" w:cs="宋体"/>
                <w:i w:val="0"/>
                <w:iCs w:val="0"/>
                <w:color w:val="000000"/>
                <w:sz w:val="24"/>
                <w:szCs w:val="24"/>
                <w:u w:val="none"/>
              </w:rPr>
            </w:pPr>
          </w:p>
        </w:tc>
      </w:tr>
      <w:tr w14:paraId="4C6C0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4D0A4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408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落水管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8B0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1.材质信息：pvc110长2m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82B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3.配合水槽安装；落水管及附件工作，确保落水管符合设计标准；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3E7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22E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F278">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DD86">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4A1A0BE">
            <w:pPr>
              <w:jc w:val="center"/>
              <w:rPr>
                <w:rFonts w:hint="eastAsia" w:ascii="宋体" w:hAnsi="宋体" w:eastAsia="宋体" w:cs="宋体"/>
                <w:i w:val="0"/>
                <w:iCs w:val="0"/>
                <w:color w:val="000000"/>
                <w:sz w:val="24"/>
                <w:szCs w:val="24"/>
                <w:u w:val="none"/>
              </w:rPr>
            </w:pPr>
          </w:p>
        </w:tc>
      </w:tr>
      <w:tr w14:paraId="2C5F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F52D0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319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落水管弯头</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26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1.材质信息：pvc110</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4BE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3.配合水槽安装；落水管弯头及附件工作，确保落水管弯头符合设计标准；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37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F8A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200</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FDF">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BF66">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60E6492">
            <w:pPr>
              <w:jc w:val="center"/>
              <w:rPr>
                <w:rFonts w:hint="eastAsia" w:ascii="宋体" w:hAnsi="宋体" w:eastAsia="宋体" w:cs="宋体"/>
                <w:i w:val="0"/>
                <w:iCs w:val="0"/>
                <w:color w:val="000000"/>
                <w:sz w:val="24"/>
                <w:szCs w:val="24"/>
                <w:u w:val="none"/>
              </w:rPr>
            </w:pPr>
          </w:p>
        </w:tc>
      </w:tr>
      <w:tr w14:paraId="2EDC1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47961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9E0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四周卷膜杆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326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1.规格：25mm*1.5mm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2.材质信息：镀锌带</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65B8">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3.配合电动卷膜器安装四周卷膜杆及附件工作，确保四周卷膜杆符合设计标准；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C33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849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232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405D">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7C70">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54356B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缩头</w:t>
            </w:r>
          </w:p>
        </w:tc>
      </w:tr>
      <w:tr w14:paraId="0402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ACEF5D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FA0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顶卷膜杆</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D3D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1.规格：25mm*1.5mm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2.材质信息：镀锌带</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757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3.配合电动卷膜器安装顶卷膜杆及附件工作，确保顶卷膜杆符合设计标准；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274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1C2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1938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3C5">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A4D6">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5EF5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缩头</w:t>
            </w:r>
          </w:p>
        </w:tc>
      </w:tr>
      <w:tr w14:paraId="6B01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3A420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AFB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拱架纵向连接槽</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D4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1.规格：300mm*1.5mm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2.U型槽镀锌带</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603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868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CAD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11300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AFAB">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BD37">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0156D1C">
            <w:pPr>
              <w:jc w:val="center"/>
              <w:rPr>
                <w:rFonts w:hint="eastAsia" w:ascii="Arial" w:hAnsi="Arial" w:cs="Arial"/>
                <w:i w:val="0"/>
                <w:iCs w:val="0"/>
                <w:color w:val="000000"/>
                <w:sz w:val="24"/>
                <w:szCs w:val="24"/>
                <w:u w:val="none"/>
              </w:rPr>
            </w:pPr>
          </w:p>
        </w:tc>
      </w:tr>
      <w:tr w14:paraId="3E25E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B94E4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9F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棚头加固八字撑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C4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1.规格：25mm*1.5mm*6m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2.材质信息：6m镀锌带</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993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9F5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32B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6051">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8516">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FC3F009">
            <w:pPr>
              <w:jc w:val="center"/>
              <w:rPr>
                <w:rFonts w:hint="default" w:ascii="Arial" w:hAnsi="Arial" w:cs="Arial"/>
                <w:i w:val="0"/>
                <w:iCs w:val="0"/>
                <w:color w:val="000000"/>
                <w:sz w:val="24"/>
                <w:szCs w:val="24"/>
                <w:u w:val="none"/>
              </w:rPr>
            </w:pPr>
          </w:p>
        </w:tc>
      </w:tr>
      <w:tr w14:paraId="2918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560D1A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DA2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棚头加固水平撑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55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1.规格：32mm*2.0mm*6m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2.材质信息：镀锌带</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577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2ED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257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8353">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A833">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32449FE">
            <w:pPr>
              <w:jc w:val="center"/>
              <w:rPr>
                <w:rFonts w:hint="default" w:ascii="Arial" w:hAnsi="Arial" w:cs="Arial"/>
                <w:i w:val="0"/>
                <w:iCs w:val="0"/>
                <w:color w:val="000000"/>
                <w:sz w:val="24"/>
                <w:szCs w:val="24"/>
                <w:u w:val="none"/>
              </w:rPr>
            </w:pPr>
          </w:p>
        </w:tc>
      </w:tr>
      <w:tr w14:paraId="24400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2BC18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D41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抗风斜拉钢丝绳</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6A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1.材质信息：8㎜镀锌钢丝绳，四周长2.5m</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835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A56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处</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52B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430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42D8">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D361">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849AECD">
            <w:pPr>
              <w:jc w:val="center"/>
              <w:rPr>
                <w:rFonts w:hint="eastAsia" w:ascii="宋体" w:hAnsi="宋体" w:eastAsia="宋体" w:cs="宋体"/>
                <w:i w:val="0"/>
                <w:iCs w:val="0"/>
                <w:color w:val="000000"/>
                <w:sz w:val="24"/>
                <w:szCs w:val="24"/>
                <w:u w:val="none"/>
              </w:rPr>
            </w:pPr>
          </w:p>
        </w:tc>
      </w:tr>
      <w:tr w14:paraId="0AB7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9"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34DFF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31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顶部卡槽卡簧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3F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1.规格：0.7mm厚镀铝锌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9D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0CD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72B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4600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E41C">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C7D">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777596D">
            <w:pPr>
              <w:jc w:val="center"/>
              <w:rPr>
                <w:rFonts w:hint="default" w:ascii="Arial" w:hAnsi="Arial" w:cs="Arial"/>
                <w:i w:val="0"/>
                <w:iCs w:val="0"/>
                <w:color w:val="000000"/>
                <w:sz w:val="24"/>
                <w:szCs w:val="24"/>
                <w:u w:val="none"/>
              </w:rPr>
            </w:pPr>
          </w:p>
        </w:tc>
      </w:tr>
      <w:tr w14:paraId="4C81A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236C9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1F1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四周卡槽卡簧</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F8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1.规格：0.7mm厚镀铝锌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E65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4A6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EA4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2636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1916">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108D">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79C3066">
            <w:pPr>
              <w:jc w:val="center"/>
              <w:rPr>
                <w:rFonts w:hint="default" w:ascii="Arial" w:hAnsi="Arial" w:cs="Arial"/>
                <w:i w:val="0"/>
                <w:iCs w:val="0"/>
                <w:color w:val="000000"/>
                <w:sz w:val="24"/>
                <w:szCs w:val="24"/>
                <w:u w:val="none"/>
              </w:rPr>
            </w:pPr>
          </w:p>
        </w:tc>
      </w:tr>
      <w:tr w14:paraId="37E1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37600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53F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拱架抱箍</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63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1.规格：32mm厚镀铝锌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2.含棚头支撑</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EA1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DF9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D38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8200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CFA">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CFD5">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376541">
            <w:pPr>
              <w:jc w:val="center"/>
              <w:rPr>
                <w:rFonts w:hint="eastAsia" w:ascii="宋体" w:hAnsi="宋体" w:eastAsia="宋体" w:cs="宋体"/>
                <w:i w:val="0"/>
                <w:iCs w:val="0"/>
                <w:color w:val="000000"/>
                <w:sz w:val="24"/>
                <w:szCs w:val="24"/>
                <w:u w:val="none"/>
              </w:rPr>
            </w:pPr>
          </w:p>
        </w:tc>
      </w:tr>
      <w:tr w14:paraId="73BD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445D2D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AF3F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椭圆卡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27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1.规格：25mm厚镀铝锌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2.含销子</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AB6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531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79B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7317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10D3">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B137">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230441">
            <w:pPr>
              <w:jc w:val="center"/>
              <w:rPr>
                <w:rFonts w:hint="eastAsia" w:ascii="宋体" w:hAnsi="宋体" w:eastAsia="宋体" w:cs="宋体"/>
                <w:i w:val="0"/>
                <w:iCs w:val="0"/>
                <w:color w:val="000000"/>
                <w:sz w:val="24"/>
                <w:szCs w:val="24"/>
                <w:u w:val="none"/>
              </w:rPr>
            </w:pPr>
          </w:p>
        </w:tc>
      </w:tr>
      <w:tr w14:paraId="4E00C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1138A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218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水平梁抱箍</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581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1.规格：30mm*50mm</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2.含螺丝</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13F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54C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330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7317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E66C">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466E">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1A464B6">
            <w:pPr>
              <w:jc w:val="center"/>
              <w:rPr>
                <w:rFonts w:hint="eastAsia" w:ascii="宋体" w:hAnsi="宋体" w:eastAsia="宋体" w:cs="宋体"/>
                <w:i w:val="0"/>
                <w:iCs w:val="0"/>
                <w:color w:val="000000"/>
                <w:sz w:val="24"/>
                <w:szCs w:val="24"/>
                <w:u w:val="none"/>
              </w:rPr>
            </w:pPr>
          </w:p>
        </w:tc>
      </w:tr>
      <w:tr w14:paraId="610AC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CB90B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80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压膜带</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ADE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1.规格及材质：3公分聚氯乙烯</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9D7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894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F39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4600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1EB">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9E29">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2FC4B65">
            <w:pPr>
              <w:jc w:val="center"/>
              <w:rPr>
                <w:rFonts w:hint="default" w:ascii="Arial" w:hAnsi="Arial" w:cs="Arial"/>
                <w:i w:val="0"/>
                <w:iCs w:val="0"/>
                <w:color w:val="000000"/>
                <w:sz w:val="24"/>
                <w:szCs w:val="24"/>
                <w:u w:val="none"/>
              </w:rPr>
            </w:pPr>
          </w:p>
        </w:tc>
      </w:tr>
      <w:tr w14:paraId="01F99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E1559B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CAC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压模绳固定卡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107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1.规格及材质：镀铝锌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B9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8B0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D8B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4200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9964">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82D1">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1D07EFC">
            <w:pPr>
              <w:jc w:val="center"/>
              <w:rPr>
                <w:rFonts w:hint="default" w:ascii="Arial" w:hAnsi="Arial" w:cs="Arial"/>
                <w:i w:val="0"/>
                <w:iCs w:val="0"/>
                <w:color w:val="000000"/>
                <w:sz w:val="24"/>
                <w:szCs w:val="24"/>
                <w:u w:val="none"/>
              </w:rPr>
            </w:pPr>
          </w:p>
        </w:tc>
      </w:tr>
      <w:tr w14:paraId="7596A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8B54D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5485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压膜卡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D6D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1.规格及材质：镀铝锌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DE4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2A0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B73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26000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B96A">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9EDE">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3BFE4ED">
            <w:pPr>
              <w:jc w:val="center"/>
              <w:rPr>
                <w:rFonts w:hint="default" w:ascii="Arial" w:hAnsi="Arial" w:cs="Arial"/>
                <w:i w:val="0"/>
                <w:iCs w:val="0"/>
                <w:color w:val="000000"/>
                <w:sz w:val="24"/>
                <w:szCs w:val="24"/>
                <w:u w:val="none"/>
              </w:rPr>
            </w:pPr>
          </w:p>
        </w:tc>
      </w:tr>
      <w:tr w14:paraId="3348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8AFCD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AC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顶部电动卷膜器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D26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1.规格及材质：220V、100W</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1B6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F3B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8B4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16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63AA">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11C">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1625CE">
            <w:pPr>
              <w:jc w:val="center"/>
              <w:rPr>
                <w:rFonts w:hint="default" w:ascii="Arial" w:hAnsi="Arial" w:cs="Arial"/>
                <w:i w:val="0"/>
                <w:iCs w:val="0"/>
                <w:color w:val="000000"/>
                <w:sz w:val="24"/>
                <w:szCs w:val="24"/>
                <w:u w:val="none"/>
              </w:rPr>
            </w:pPr>
          </w:p>
        </w:tc>
      </w:tr>
      <w:tr w14:paraId="0B5F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8"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DA01D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43D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侧面电动卷膜器</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5C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1.规格及材质：220V、100W</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411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089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台</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F3B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202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1E2A">
            <w:pPr>
              <w:jc w:val="center"/>
              <w:rPr>
                <w:rFonts w:hint="eastAsia" w:ascii="宋体" w:hAnsi="宋体" w:eastAsia="宋体" w:cs="宋体"/>
                <w:i w:val="0"/>
                <w:iCs w:val="0"/>
                <w:color w:val="30404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F2B5">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C53854E">
            <w:pPr>
              <w:jc w:val="center"/>
              <w:rPr>
                <w:rFonts w:hint="default" w:ascii="Arial" w:hAnsi="Arial" w:cs="Arial"/>
                <w:i w:val="0"/>
                <w:iCs w:val="0"/>
                <w:color w:val="000000"/>
                <w:sz w:val="24"/>
                <w:szCs w:val="24"/>
                <w:u w:val="none"/>
              </w:rPr>
            </w:pPr>
          </w:p>
        </w:tc>
      </w:tr>
      <w:tr w14:paraId="0A1F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36840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15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顶部防虫网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545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1.规格及材质：40</w:t>
            </w:r>
            <w:r>
              <w:rPr>
                <w:rFonts w:hint="eastAsia" w:ascii="宋体" w:hAnsi="宋体" w:eastAsia="宋体" w:cs="宋体"/>
                <w:i w:val="0"/>
                <w:iCs w:val="0"/>
                <w:color w:val="000000"/>
                <w:kern w:val="0"/>
                <w:sz w:val="24"/>
                <w:szCs w:val="24"/>
                <w:u w:val="none"/>
                <w:lang w:val="en-US" w:eastAsia="zh-CN" w:bidi="ar"/>
              </w:rPr>
              <w:t>目</w:t>
            </w:r>
            <w:r>
              <w:rPr>
                <w:rFonts w:hint="default" w:ascii="Arial" w:hAnsi="Arial" w:eastAsia="宋体" w:cs="Arial"/>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米聚氯乙烯</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2BAB">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5A3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4CB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11500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02D4">
            <w:pPr>
              <w:jc w:val="center"/>
              <w:rPr>
                <w:rFonts w:hint="eastAsia" w:ascii="宋体" w:hAnsi="宋体" w:eastAsia="宋体" w:cs="宋体"/>
                <w:i w:val="0"/>
                <w:iCs w:val="0"/>
                <w:color w:val="30404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C9A5">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7B4F2C">
            <w:pPr>
              <w:jc w:val="center"/>
              <w:rPr>
                <w:rFonts w:hint="default" w:ascii="Arial" w:hAnsi="Arial" w:cs="Arial"/>
                <w:i w:val="0"/>
                <w:iCs w:val="0"/>
                <w:color w:val="000000"/>
                <w:sz w:val="24"/>
                <w:szCs w:val="24"/>
                <w:u w:val="none"/>
              </w:rPr>
            </w:pPr>
          </w:p>
        </w:tc>
      </w:tr>
      <w:tr w14:paraId="4283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82F2E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FE3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四周防虫网</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069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1.规格及材质：40目2米聚氯乙烯</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6065">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4EB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米</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C83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2636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F587">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521E">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F321A08">
            <w:pPr>
              <w:jc w:val="center"/>
              <w:rPr>
                <w:rFonts w:hint="eastAsia" w:ascii="宋体" w:hAnsi="宋体" w:eastAsia="宋体" w:cs="宋体"/>
                <w:i w:val="0"/>
                <w:iCs w:val="0"/>
                <w:color w:val="000000"/>
                <w:sz w:val="24"/>
                <w:szCs w:val="24"/>
                <w:u w:val="none"/>
              </w:rPr>
            </w:pPr>
          </w:p>
        </w:tc>
      </w:tr>
      <w:tr w14:paraId="2B84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1"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79C78D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29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AC8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棚顶膜</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1A5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1.规格及材质：PO水</w:t>
            </w:r>
            <w:r>
              <w:rPr>
                <w:rFonts w:hint="eastAsia" w:ascii="宋体" w:hAnsi="宋体" w:eastAsia="宋体" w:cs="宋体"/>
                <w:i w:val="0"/>
                <w:iCs w:val="0"/>
                <w:color w:val="000000"/>
                <w:kern w:val="0"/>
                <w:sz w:val="24"/>
                <w:szCs w:val="24"/>
                <w:u w:val="none"/>
                <w:lang w:val="en-US" w:eastAsia="zh-CN" w:bidi="ar"/>
              </w:rPr>
              <w:t>晶膜</w:t>
            </w:r>
            <w:r>
              <w:rPr>
                <w:rFonts w:hint="default" w:ascii="Arial" w:hAnsi="Arial" w:eastAsia="宋体" w:cs="Arial"/>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丝</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3EED">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3.铺设大棚顶部薄膜，将薄膜平整展开，自上而下缓慢铺设，全程避免薄膜褶皱、撕裂，确保顶部薄膜绷紧贴合，通过卡簧将薄膜边缘牢固固定于顶部卡槽内。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6F9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平方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CF0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76062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65F">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F1BE">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35EA3">
            <w:pPr>
              <w:jc w:val="center"/>
              <w:rPr>
                <w:rFonts w:hint="eastAsia" w:ascii="宋体" w:hAnsi="宋体" w:eastAsia="宋体" w:cs="宋体"/>
                <w:i w:val="0"/>
                <w:iCs w:val="0"/>
                <w:color w:val="000000"/>
                <w:sz w:val="24"/>
                <w:szCs w:val="24"/>
                <w:u w:val="none"/>
              </w:rPr>
            </w:pPr>
          </w:p>
        </w:tc>
      </w:tr>
      <w:tr w14:paraId="0B7F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8"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71D099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9BF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四周棚膜</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AF2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1.规格及材质：PO水晶膜15丝</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5504">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3.铺设大棚四周薄膜，做好与顶部薄膜、裙膜的搭接密封工作，整体覆盖严密、不留缝隙，全面保障大棚保温、防雨、防风核心性能。</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98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平方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11B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4700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A574">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997D">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018A80D">
            <w:pPr>
              <w:jc w:val="center"/>
              <w:rPr>
                <w:rFonts w:hint="eastAsia" w:ascii="宋体" w:hAnsi="宋体" w:eastAsia="宋体" w:cs="宋体"/>
                <w:i w:val="0"/>
                <w:iCs w:val="0"/>
                <w:color w:val="000000"/>
                <w:sz w:val="24"/>
                <w:szCs w:val="24"/>
                <w:u w:val="none"/>
              </w:rPr>
            </w:pPr>
          </w:p>
        </w:tc>
      </w:tr>
      <w:tr w14:paraId="58AF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2F131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21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裙膜</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CA3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1.规格及材质：PO水晶膜15丝</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BF7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3.在大棚下部裙边位置铺设裙膜，确保裙膜铺设平整、绷紧无松弛，上下边缘均通过卡簧固定于卡槽内，搭接部位重叠尺寸符合施工规范，密封处理严实到位，保障裙膜安装牢固、整体密封性达标。</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62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平方</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357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A577">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859F">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D4FECD6">
            <w:pPr>
              <w:jc w:val="center"/>
              <w:rPr>
                <w:rFonts w:hint="eastAsia" w:ascii="宋体" w:hAnsi="宋体" w:eastAsia="宋体" w:cs="宋体"/>
                <w:i w:val="0"/>
                <w:iCs w:val="0"/>
                <w:color w:val="000000"/>
                <w:sz w:val="24"/>
                <w:szCs w:val="24"/>
                <w:u w:val="none"/>
              </w:rPr>
            </w:pPr>
          </w:p>
        </w:tc>
      </w:tr>
      <w:tr w14:paraId="033DC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4BF382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F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立柱U型抱丝</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8650">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规格及材质：</w:t>
            </w:r>
            <w:r>
              <w:rPr>
                <w:rFonts w:hint="default" w:ascii="Arial" w:hAnsi="Arial" w:eastAsia="宋体" w:cs="Arial"/>
                <w:i w:val="0"/>
                <w:iCs w:val="0"/>
                <w:color w:val="000000"/>
                <w:kern w:val="0"/>
                <w:sz w:val="24"/>
                <w:szCs w:val="24"/>
                <w:u w:val="none"/>
                <w:lang w:val="en-US" w:eastAsia="zh-CN" w:bidi="ar"/>
              </w:rPr>
              <w:t>60mm*80mm</w:t>
            </w:r>
            <w:r>
              <w:rPr>
                <w:rFonts w:hint="eastAsia" w:ascii="宋体" w:hAnsi="宋体" w:eastAsia="宋体" w:cs="宋体"/>
                <w:i w:val="0"/>
                <w:iCs w:val="0"/>
                <w:color w:val="000000"/>
                <w:kern w:val="0"/>
                <w:sz w:val="24"/>
                <w:szCs w:val="24"/>
                <w:u w:val="none"/>
                <w:lang w:val="en-US" w:eastAsia="zh-CN" w:bidi="ar"/>
              </w:rPr>
              <w:t>镀铝锌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12A9">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78C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2B4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4444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C886">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70B5">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AB9332C">
            <w:pPr>
              <w:jc w:val="center"/>
              <w:rPr>
                <w:rFonts w:hint="eastAsia" w:ascii="宋体" w:hAnsi="宋体" w:eastAsia="宋体" w:cs="宋体"/>
                <w:i w:val="0"/>
                <w:iCs w:val="0"/>
                <w:color w:val="000000"/>
                <w:sz w:val="24"/>
                <w:szCs w:val="24"/>
                <w:u w:val="none"/>
              </w:rPr>
            </w:pPr>
          </w:p>
        </w:tc>
      </w:tr>
      <w:tr w14:paraId="2D6C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6"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406B8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水平梁螺丝</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B8C1">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规格及材质：</w:t>
            </w:r>
            <w:r>
              <w:rPr>
                <w:rFonts w:hint="default" w:ascii="Arial" w:hAnsi="Arial" w:eastAsia="宋体" w:cs="Arial"/>
                <w:i w:val="0"/>
                <w:iCs w:val="0"/>
                <w:color w:val="000000"/>
                <w:kern w:val="0"/>
                <w:sz w:val="24"/>
                <w:szCs w:val="24"/>
                <w:u w:val="none"/>
                <w:lang w:val="en-US" w:eastAsia="zh-CN" w:bidi="ar"/>
              </w:rPr>
              <w:t>8mm*5mm</w:t>
            </w:r>
            <w:r>
              <w:rPr>
                <w:rFonts w:hint="eastAsia" w:ascii="宋体" w:hAnsi="宋体" w:eastAsia="宋体" w:cs="宋体"/>
                <w:i w:val="0"/>
                <w:iCs w:val="0"/>
                <w:color w:val="000000"/>
                <w:kern w:val="0"/>
                <w:sz w:val="24"/>
                <w:szCs w:val="24"/>
                <w:u w:val="none"/>
                <w:lang w:val="en-US" w:eastAsia="zh-CN" w:bidi="ar"/>
              </w:rPr>
              <w:t>镀锌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AF8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150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CF9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7317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58C7">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C196">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468FB94">
            <w:pPr>
              <w:jc w:val="center"/>
              <w:rPr>
                <w:rFonts w:hint="eastAsia" w:ascii="宋体" w:hAnsi="宋体" w:eastAsia="宋体" w:cs="宋体"/>
                <w:i w:val="0"/>
                <w:iCs w:val="0"/>
                <w:color w:val="000000"/>
                <w:sz w:val="24"/>
                <w:szCs w:val="24"/>
                <w:u w:val="none"/>
              </w:rPr>
            </w:pPr>
          </w:p>
        </w:tc>
      </w:tr>
      <w:tr w14:paraId="2726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3"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CBCAA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24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钻尾丝</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7ECC">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规格及材质：</w:t>
            </w:r>
            <w:r>
              <w:rPr>
                <w:rFonts w:hint="default" w:ascii="Arial" w:hAnsi="Arial" w:eastAsia="宋体" w:cs="Arial"/>
                <w:i w:val="0"/>
                <w:iCs w:val="0"/>
                <w:color w:val="000000"/>
                <w:kern w:val="0"/>
                <w:sz w:val="24"/>
                <w:szCs w:val="24"/>
                <w:u w:val="none"/>
                <w:lang w:val="en-US" w:eastAsia="zh-CN" w:bidi="ar"/>
              </w:rPr>
              <w:t>2.5mm</w:t>
            </w:r>
            <w:r>
              <w:rPr>
                <w:rFonts w:hint="eastAsia" w:ascii="宋体" w:hAnsi="宋体" w:eastAsia="宋体" w:cs="宋体"/>
                <w:i w:val="0"/>
                <w:iCs w:val="0"/>
                <w:color w:val="000000"/>
                <w:kern w:val="0"/>
                <w:sz w:val="24"/>
                <w:szCs w:val="24"/>
                <w:u w:val="none"/>
                <w:lang w:val="en-US" w:eastAsia="zh-CN" w:bidi="ar"/>
              </w:rPr>
              <w:t>钢制</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DFA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C8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箱</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E9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60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55B0">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4AAA">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B10A912">
            <w:pPr>
              <w:jc w:val="center"/>
              <w:rPr>
                <w:rFonts w:hint="eastAsia" w:ascii="宋体" w:hAnsi="宋体" w:eastAsia="宋体" w:cs="宋体"/>
                <w:i w:val="0"/>
                <w:iCs w:val="0"/>
                <w:color w:val="000000"/>
                <w:sz w:val="24"/>
                <w:szCs w:val="24"/>
                <w:u w:val="none"/>
              </w:rPr>
            </w:pPr>
          </w:p>
        </w:tc>
      </w:tr>
      <w:tr w14:paraId="2F278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BD3476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E25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抱箍螺丝</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F530">
            <w:pPr>
              <w:keepNext w:val="0"/>
              <w:keepLines w:val="0"/>
              <w:widowControl/>
              <w:suppressLineNumbers w:val="0"/>
              <w:jc w:val="left"/>
              <w:textAlignment w:val="center"/>
              <w:rPr>
                <w:rFonts w:hint="default" w:ascii="Arial" w:hAnsi="Arial"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1.</w:t>
            </w:r>
            <w:r>
              <w:rPr>
                <w:rFonts w:hint="eastAsia" w:ascii="宋体" w:hAnsi="宋体" w:eastAsia="宋体" w:cs="宋体"/>
                <w:i w:val="0"/>
                <w:iCs w:val="0"/>
                <w:color w:val="000000"/>
                <w:kern w:val="0"/>
                <w:sz w:val="24"/>
                <w:szCs w:val="24"/>
                <w:u w:val="none"/>
                <w:lang w:val="en-US" w:eastAsia="zh-CN" w:bidi="ar"/>
              </w:rPr>
              <w:t>规格及材质：</w:t>
            </w:r>
            <w:r>
              <w:rPr>
                <w:rFonts w:hint="default" w:ascii="Arial" w:hAnsi="Arial" w:eastAsia="宋体" w:cs="Arial"/>
                <w:i w:val="0"/>
                <w:iCs w:val="0"/>
                <w:color w:val="000000"/>
                <w:kern w:val="0"/>
                <w:sz w:val="24"/>
                <w:szCs w:val="24"/>
                <w:u w:val="none"/>
                <w:lang w:val="en-US" w:eastAsia="zh-CN" w:bidi="ar"/>
              </w:rPr>
              <w:t>6mm*5mm</w:t>
            </w:r>
            <w:r>
              <w:rPr>
                <w:rFonts w:hint="eastAsia" w:ascii="宋体" w:hAnsi="宋体" w:eastAsia="宋体" w:cs="宋体"/>
                <w:i w:val="0"/>
                <w:iCs w:val="0"/>
                <w:color w:val="000000"/>
                <w:kern w:val="0"/>
                <w:sz w:val="24"/>
                <w:szCs w:val="24"/>
                <w:u w:val="none"/>
                <w:lang w:val="en-US" w:eastAsia="zh-CN" w:bidi="ar"/>
              </w:rPr>
              <w:t>镀铝锌</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FDA9">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2.安装；</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3.配合主体骨架安装，符合设计标准；</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4.措施项目施工内容详施工当地现行标准，达到竣工验收要求。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4B7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454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8200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D109">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AE5F">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17B407C">
            <w:pPr>
              <w:jc w:val="center"/>
              <w:rPr>
                <w:rFonts w:hint="eastAsia" w:ascii="宋体" w:hAnsi="宋体" w:eastAsia="宋体" w:cs="宋体"/>
                <w:i w:val="0"/>
                <w:iCs w:val="0"/>
                <w:color w:val="000000"/>
                <w:sz w:val="24"/>
                <w:szCs w:val="24"/>
                <w:u w:val="none"/>
              </w:rPr>
            </w:pPr>
          </w:p>
        </w:tc>
      </w:tr>
      <w:tr w14:paraId="4393C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F0592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17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基础</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8A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1.规格：直径</w:t>
            </w:r>
            <w:r>
              <w:rPr>
                <w:rFonts w:hint="default" w:ascii="Arial" w:hAnsi="Arial" w:eastAsia="宋体" w:cs="Arial"/>
                <w:i w:val="0"/>
                <w:iCs w:val="0"/>
                <w:color w:val="000000"/>
                <w:kern w:val="0"/>
                <w:sz w:val="24"/>
                <w:szCs w:val="24"/>
                <w:u w:val="none"/>
                <w:lang w:val="en-US" w:eastAsia="zh-CN" w:bidi="ar"/>
              </w:rPr>
              <w:t>300mm</w:t>
            </w:r>
            <w:r>
              <w:rPr>
                <w:rFonts w:hint="eastAsia" w:ascii="宋体" w:hAnsi="宋体" w:eastAsia="宋体" w:cs="宋体"/>
                <w:i w:val="0"/>
                <w:iCs w:val="0"/>
                <w:color w:val="000000"/>
                <w:kern w:val="0"/>
                <w:sz w:val="24"/>
                <w:szCs w:val="24"/>
                <w:u w:val="none"/>
                <w:lang w:val="en-US" w:eastAsia="zh-CN" w:bidi="ar"/>
              </w:rPr>
              <w:t>，深</w:t>
            </w:r>
            <w:r>
              <w:rPr>
                <w:rFonts w:hint="default" w:ascii="Arial" w:hAnsi="Arial" w:eastAsia="宋体" w:cs="Arial"/>
                <w:i w:val="0"/>
                <w:iCs w:val="0"/>
                <w:color w:val="000000"/>
                <w:kern w:val="0"/>
                <w:sz w:val="24"/>
                <w:szCs w:val="24"/>
                <w:u w:val="none"/>
                <w:lang w:val="en-US" w:eastAsia="zh-CN" w:bidi="ar"/>
              </w:rPr>
              <w:t>700mm</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2.混凝土类型：预拌（商品混凝土）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3.混凝土强度：C25</w:t>
            </w: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E0AA">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1.材料采购、运输；</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2.混凝土浇筑；</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3.措施项目施工内容详施工当地现行标准，达到竣工验收要求。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1F3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个</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1B4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2369 </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BB0E">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11C8">
            <w:pPr>
              <w:jc w:val="center"/>
              <w:rPr>
                <w:rFonts w:hint="eastAsia" w:ascii="宋体" w:hAnsi="宋体" w:eastAsia="宋体" w:cs="宋体"/>
                <w:i w:val="0"/>
                <w:iCs w:val="0"/>
                <w:color w:val="000000"/>
                <w:sz w:val="24"/>
                <w:szCs w:val="24"/>
                <w:u w:val="none"/>
              </w:rPr>
            </w:pP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BB01826">
            <w:pPr>
              <w:jc w:val="center"/>
              <w:rPr>
                <w:rFonts w:hint="eastAsia" w:ascii="宋体" w:hAnsi="宋体" w:eastAsia="宋体" w:cs="宋体"/>
                <w:i w:val="0"/>
                <w:iCs w:val="0"/>
                <w:color w:val="000000"/>
                <w:sz w:val="24"/>
                <w:szCs w:val="24"/>
                <w:u w:val="none"/>
              </w:rPr>
            </w:pPr>
          </w:p>
        </w:tc>
      </w:tr>
      <w:tr w14:paraId="77C5A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68"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11960E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37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F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B6C6">
            <w:pPr>
              <w:jc w:val="center"/>
              <w:rPr>
                <w:rFonts w:hint="default" w:ascii="Arial" w:hAnsi="Arial" w:cs="Arial"/>
                <w:i w:val="0"/>
                <w:iCs w:val="0"/>
                <w:color w:val="000000"/>
                <w:sz w:val="24"/>
                <w:szCs w:val="24"/>
                <w:u w:val="none"/>
              </w:rPr>
            </w:pPr>
          </w:p>
        </w:tc>
        <w:tc>
          <w:tcPr>
            <w:tcW w:w="5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BA19">
            <w:pPr>
              <w:jc w:val="center"/>
              <w:rPr>
                <w:rFonts w:hint="default" w:ascii="Arial" w:hAnsi="Arial" w:cs="Arial"/>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688">
            <w:pPr>
              <w:jc w:val="center"/>
              <w:rPr>
                <w:rFonts w:hint="eastAsia" w:ascii="宋体" w:hAnsi="宋体" w:eastAsia="宋体" w:cs="宋体"/>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1805">
            <w:pPr>
              <w:jc w:val="center"/>
              <w:rPr>
                <w:rFonts w:hint="eastAsia" w:ascii="宋体" w:hAnsi="宋体" w:eastAsia="宋体" w:cs="宋体"/>
                <w:i w:val="0"/>
                <w:iCs w:val="0"/>
                <w:color w:val="000000"/>
                <w:sz w:val="24"/>
                <w:szCs w:val="24"/>
                <w:u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E90">
            <w:pPr>
              <w:jc w:val="center"/>
              <w:rPr>
                <w:rFonts w:hint="eastAsia" w:ascii="宋体" w:hAnsi="宋体" w:eastAsia="宋体" w:cs="宋体"/>
                <w:i w:val="0"/>
                <w:iCs w:val="0"/>
                <w:color w:val="000000"/>
                <w:sz w:val="24"/>
                <w:szCs w:val="24"/>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40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 </w:t>
            </w:r>
          </w:p>
        </w:tc>
        <w:tc>
          <w:tcPr>
            <w:tcW w:w="702"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16C6773">
            <w:pPr>
              <w:jc w:val="center"/>
              <w:rPr>
                <w:rFonts w:hint="eastAsia" w:ascii="宋体" w:hAnsi="宋体" w:eastAsia="宋体" w:cs="宋体"/>
                <w:i w:val="0"/>
                <w:iCs w:val="0"/>
                <w:color w:val="000000"/>
                <w:sz w:val="24"/>
                <w:szCs w:val="24"/>
                <w:u w:val="none"/>
              </w:rPr>
            </w:pPr>
          </w:p>
        </w:tc>
      </w:tr>
      <w:tr w14:paraId="2655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935" w:type="dxa"/>
            <w:gridSpan w:val="9"/>
            <w:tcBorders>
              <w:top w:val="single" w:color="000000" w:sz="4" w:space="0"/>
              <w:left w:val="single" w:color="000000" w:sz="8" w:space="0"/>
              <w:bottom w:val="single" w:color="000000" w:sz="4" w:space="0"/>
              <w:right w:val="single" w:color="000000" w:sz="8" w:space="0"/>
            </w:tcBorders>
            <w:shd w:val="clear" w:color="auto" w:fill="auto"/>
            <w:vAlign w:val="center"/>
          </w:tcPr>
          <w:p w14:paraId="6C79FD4D">
            <w:pPr>
              <w:jc w:val="left"/>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 xml:space="preserve">注：【以上报价按图纸含安装、含运费、含税金】 各投标人的投标报价必须包含招标人初步设计图中满足所有功能需求而产生的全部费用(凡为实现初设文件所述工程目的所必需的，或根据规范常规做法应包含的工作，即使图纸和清单未明示，也视为已包含在合同价中)。各投标人报标报价时首先须包含招标人提供的工程量清单进行报价，不得缺项，漏项。投标人需自行充分踏勘现场，复核图纸与清单内容，对清单的完整性和准确性负责，漏项，缺项，工程量偏差均视为已含在各单项中。 </w:t>
            </w:r>
          </w:p>
        </w:tc>
      </w:tr>
    </w:tbl>
    <w:p w14:paraId="67192C0B">
      <w:pPr>
        <w:numPr>
          <w:ilvl w:val="0"/>
          <w:numId w:val="0"/>
        </w:numPr>
        <w:rPr>
          <w:rFonts w:hint="default"/>
          <w:color w:val="000000" w:themeColor="text1"/>
          <w:lang w:val="en-US" w:eastAsia="zh-CN"/>
          <w14:textFill>
            <w14:solidFill>
              <w14:schemeClr w14:val="tx1"/>
            </w14:solidFill>
          </w14:textFill>
        </w:rPr>
        <w:sectPr>
          <w:footerReference r:id="rId6" w:type="default"/>
          <w:pgSz w:w="16838" w:h="11906" w:orient="landscape"/>
          <w:pgMar w:top="1800" w:right="1440" w:bottom="1800" w:left="1440" w:header="0" w:footer="0" w:gutter="0"/>
          <w:pgNumType w:fmt="decimal"/>
          <w:cols w:space="720" w:num="1"/>
        </w:sectPr>
      </w:pPr>
    </w:p>
    <w:p w14:paraId="73320A73">
      <w:pPr>
        <w:pStyle w:val="22"/>
        <w:pageBreakBefore w:val="0"/>
        <w:kinsoku/>
        <w:wordWrap/>
        <w:overflowPunct/>
        <w:topLinePunct w:val="0"/>
        <w:bidi w:val="0"/>
        <w:spacing w:beforeAutospacing="0" w:after="0" w:afterAutospacing="0" w:line="400" w:lineRule="exact"/>
        <w:ind w:left="0" w:leftChars="0" w:firstLine="0" w:firstLineChars="0"/>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第六章 评标方法及评标标准</w:t>
      </w:r>
    </w:p>
    <w:p w14:paraId="5AE167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p>
    <w:p w14:paraId="3F018BF5">
      <w:pPr>
        <w:pStyle w:val="34"/>
        <w:pageBreakBefore w:val="0"/>
        <w:kinsoku/>
        <w:wordWrap/>
        <w:overflowPunct/>
        <w:topLinePunct w:val="0"/>
        <w:bidi w:val="0"/>
        <w:spacing w:beforeAutospacing="0" w:afterAutospacing="0" w:line="400" w:lineRule="exact"/>
        <w:ind w:firstLine="482" w:firstLineChars="200"/>
        <w:rPr>
          <w:rFonts w:hint="eastAsia" w:ascii="宋体" w:hAnsi="宋体" w:eastAsia="宋体" w:cs="宋体"/>
          <w:b/>
          <w:color w:val="000000"/>
          <w:kern w:val="2"/>
          <w:sz w:val="24"/>
          <w:szCs w:val="24"/>
          <w:highlight w:val="none"/>
        </w:rPr>
      </w:pPr>
      <w:r>
        <w:rPr>
          <w:rFonts w:hint="eastAsia" w:ascii="宋体" w:hAnsi="宋体" w:eastAsia="宋体" w:cs="宋体"/>
          <w:b/>
          <w:color w:val="000000"/>
          <w:kern w:val="2"/>
          <w:sz w:val="24"/>
          <w:szCs w:val="24"/>
          <w:highlight w:val="none"/>
          <w:lang w:val="en-US" w:eastAsia="zh-CN"/>
        </w:rPr>
        <w:t>一</w:t>
      </w:r>
      <w:r>
        <w:rPr>
          <w:rFonts w:hint="eastAsia" w:ascii="宋体" w:hAnsi="宋体" w:eastAsia="宋体" w:cs="宋体"/>
          <w:b/>
          <w:color w:val="000000"/>
          <w:kern w:val="2"/>
          <w:sz w:val="24"/>
          <w:szCs w:val="24"/>
          <w:highlight w:val="none"/>
        </w:rPr>
        <w:t>、评标办法</w:t>
      </w:r>
    </w:p>
    <w:p w14:paraId="01B7655C">
      <w:pPr>
        <w:pageBreakBefore w:val="0"/>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招标评标标准——综合评分法</w:t>
      </w:r>
    </w:p>
    <w:p w14:paraId="28CCDC7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本项目采用综合评分法（是指投标文件满足招标文件全部实质性要求，且按照评审因素的量化指标评审得分最高的投标人为中标候选人的评标方法），总分100分，其中商务技术部分占</w:t>
      </w:r>
      <w:r>
        <w:rPr>
          <w:rFonts w:hint="eastAsia" w:ascii="宋体" w:hAnsi="宋体" w:cs="宋体"/>
          <w:sz w:val="24"/>
          <w:szCs w:val="24"/>
          <w:lang w:val="en-US" w:eastAsia="zh-CN"/>
        </w:rPr>
        <w:t>7</w:t>
      </w:r>
      <w:r>
        <w:rPr>
          <w:rFonts w:hint="eastAsia" w:ascii="宋体" w:hAnsi="宋体" w:eastAsia="宋体" w:cs="宋体"/>
          <w:sz w:val="24"/>
          <w:szCs w:val="24"/>
        </w:rPr>
        <w:t>0分</w:t>
      </w:r>
      <w:r>
        <w:rPr>
          <w:rFonts w:hint="eastAsia" w:ascii="宋体" w:hAnsi="宋体" w:eastAsia="宋体" w:cs="宋体"/>
          <w:sz w:val="24"/>
          <w:szCs w:val="24"/>
          <w:lang w:eastAsia="zh-CN"/>
        </w:rPr>
        <w:t>、</w:t>
      </w:r>
      <w:r>
        <w:rPr>
          <w:rFonts w:hint="eastAsia" w:ascii="宋体" w:hAnsi="宋体" w:eastAsia="宋体" w:cs="宋体"/>
          <w:sz w:val="24"/>
          <w:szCs w:val="24"/>
        </w:rPr>
        <w:t>价格占</w:t>
      </w:r>
      <w:r>
        <w:rPr>
          <w:rFonts w:hint="eastAsia" w:ascii="宋体" w:hAnsi="宋体" w:cs="宋体"/>
          <w:sz w:val="24"/>
          <w:szCs w:val="24"/>
          <w:lang w:val="en-US" w:eastAsia="zh-CN"/>
        </w:rPr>
        <w:t>3</w:t>
      </w:r>
      <w:r>
        <w:rPr>
          <w:rFonts w:hint="eastAsia" w:ascii="宋体" w:hAnsi="宋体" w:eastAsia="宋体" w:cs="宋体"/>
          <w:sz w:val="24"/>
          <w:szCs w:val="24"/>
        </w:rPr>
        <w:t>0分。</w:t>
      </w:r>
    </w:p>
    <w:p w14:paraId="6DC71112">
      <w:pPr>
        <w:pageBreakBefore w:val="0"/>
        <w:numPr>
          <w:ilvl w:val="0"/>
          <w:numId w:val="4"/>
        </w:numPr>
        <w:kinsoku/>
        <w:wordWrap/>
        <w:overflowPunct/>
        <w:topLinePunct w:val="0"/>
        <w:bidi w:val="0"/>
        <w:spacing w:beforeAutospacing="0" w:afterAutospacing="0" w:line="400" w:lineRule="exact"/>
        <w:ind w:firstLine="482" w:firstLineChars="200"/>
        <w:rPr>
          <w:rFonts w:hint="eastAsia" w:ascii="宋体" w:hAnsi="宋体" w:eastAsia="宋体" w:cs="宋体"/>
          <w:kern w:val="2"/>
          <w:sz w:val="24"/>
          <w:szCs w:val="24"/>
          <w:lang w:val="en-US" w:eastAsia="zh-CN" w:bidi="ar-SA"/>
        </w:rPr>
      </w:pPr>
      <w:r>
        <w:rPr>
          <w:rFonts w:hint="eastAsia" w:ascii="宋体" w:hAnsi="宋体" w:eastAsia="宋体" w:cs="宋体"/>
          <w:b/>
          <w:bCs/>
          <w:sz w:val="24"/>
          <w:szCs w:val="24"/>
          <w:lang w:val="en-US" w:eastAsia="zh-CN"/>
        </w:rPr>
        <w:t>资格性审查</w:t>
      </w:r>
    </w:p>
    <w:p w14:paraId="607FC99A">
      <w:pPr>
        <w:pageBreakBefore w:val="0"/>
        <w:numPr>
          <w:ilvl w:val="0"/>
          <w:numId w:val="0"/>
        </w:numPr>
        <w:kinsoku/>
        <w:wordWrap/>
        <w:overflowPunct/>
        <w:topLinePunct w:val="0"/>
        <w:bidi w:val="0"/>
        <w:spacing w:beforeAutospacing="0" w:afterAutospacing="0" w:line="40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开标结束后，采购人按照以下内容对各供应商的投标文件进行资格审查。资格审查不合格的，其投标无效。</w:t>
      </w:r>
    </w:p>
    <w:p w14:paraId="4AF39D38">
      <w:pPr>
        <w:keepNext w:val="0"/>
        <w:keepLines w:val="0"/>
        <w:pageBreakBefore w:val="0"/>
        <w:widowControl w:val="0"/>
        <w:kinsoku/>
        <w:wordWrap/>
        <w:overflowPunct/>
        <w:topLinePunct w:val="0"/>
        <w:autoSpaceDE w:val="0"/>
        <w:autoSpaceDN w:val="0"/>
        <w:bidi w:val="0"/>
        <w:adjustRightInd/>
        <w:snapToGrid/>
        <w:spacing w:line="440" w:lineRule="exact"/>
        <w:ind w:firstLine="602"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资格</w:t>
      </w:r>
      <w:r>
        <w:rPr>
          <w:rFonts w:hint="eastAsia" w:cs="宋体"/>
          <w:b/>
          <w:bCs/>
          <w:color w:val="auto"/>
          <w:sz w:val="30"/>
          <w:szCs w:val="30"/>
          <w:highlight w:val="none"/>
          <w:lang w:val="en-US" w:eastAsia="zh-CN"/>
        </w:rPr>
        <w:t>性</w:t>
      </w:r>
      <w:r>
        <w:rPr>
          <w:rFonts w:hint="eastAsia" w:ascii="宋体" w:hAnsi="宋体" w:eastAsia="宋体" w:cs="宋体"/>
          <w:b/>
          <w:bCs/>
          <w:color w:val="auto"/>
          <w:sz w:val="30"/>
          <w:szCs w:val="30"/>
          <w:highlight w:val="none"/>
        </w:rPr>
        <w:t xml:space="preserve">审查表 </w:t>
      </w:r>
    </w:p>
    <w:tbl>
      <w:tblPr>
        <w:tblStyle w:val="24"/>
        <w:tblpPr w:leftFromText="180" w:rightFromText="180" w:vertAnchor="text" w:horzAnchor="page" w:tblpXSpec="center" w:tblpY="286"/>
        <w:tblOverlap w:val="never"/>
        <w:tblW w:w="54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75" w:type="dxa"/>
          <w:left w:w="75" w:type="dxa"/>
          <w:bottom w:w="75" w:type="dxa"/>
          <w:right w:w="75" w:type="dxa"/>
        </w:tblCellMar>
      </w:tblPr>
      <w:tblGrid>
        <w:gridCol w:w="916"/>
        <w:gridCol w:w="3749"/>
        <w:gridCol w:w="3846"/>
        <w:gridCol w:w="592"/>
        <w:gridCol w:w="586"/>
      </w:tblGrid>
      <w:tr w14:paraId="59F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2D3420D5">
            <w:pPr>
              <w:pStyle w:val="84"/>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类型</w:t>
            </w:r>
          </w:p>
        </w:tc>
        <w:tc>
          <w:tcPr>
            <w:tcW w:w="1934" w:type="pct"/>
            <w:vMerge w:val="restart"/>
            <w:shd w:val="clear" w:color="auto" w:fill="FFFFFF"/>
            <w:noWrap w:val="0"/>
            <w:vAlign w:val="center"/>
          </w:tcPr>
          <w:p w14:paraId="6A69E7E7">
            <w:pPr>
              <w:pStyle w:val="84"/>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审查要求</w:t>
            </w:r>
          </w:p>
        </w:tc>
        <w:tc>
          <w:tcPr>
            <w:tcW w:w="1984" w:type="pct"/>
            <w:vMerge w:val="restart"/>
            <w:shd w:val="clear" w:color="auto" w:fill="FFFFFF"/>
            <w:noWrap w:val="0"/>
            <w:vAlign w:val="center"/>
          </w:tcPr>
          <w:p w14:paraId="1E0C1146">
            <w:pPr>
              <w:pStyle w:val="84"/>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要求说明</w:t>
            </w:r>
          </w:p>
        </w:tc>
        <w:tc>
          <w:tcPr>
            <w:tcW w:w="608" w:type="pct"/>
            <w:gridSpan w:val="2"/>
            <w:shd w:val="clear" w:color="auto" w:fill="FFFFFF"/>
            <w:noWrap w:val="0"/>
            <w:vAlign w:val="center"/>
          </w:tcPr>
          <w:p w14:paraId="70E5AE95">
            <w:pPr>
              <w:pStyle w:val="84"/>
              <w:keepNext w:val="0"/>
              <w:keepLines w:val="0"/>
              <w:pageBreakBefore w:val="0"/>
              <w:kinsoku/>
              <w:wordWrap/>
              <w:overflowPunct/>
              <w:topLinePunct w:val="0"/>
              <w:autoSpaceDE/>
              <w:autoSpaceDN/>
              <w:bidi w:val="0"/>
              <w:snapToGrid/>
              <w:spacing w:line="240" w:lineRule="auto"/>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评审意见</w:t>
            </w:r>
          </w:p>
        </w:tc>
      </w:tr>
      <w:tr w14:paraId="51F2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vMerge w:val="continue"/>
            <w:shd w:val="clear" w:color="auto" w:fill="FFFDFA"/>
            <w:noWrap w:val="0"/>
            <w:vAlign w:val="center"/>
          </w:tcPr>
          <w:p w14:paraId="1D825071">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1934" w:type="pct"/>
            <w:vMerge w:val="continue"/>
            <w:shd w:val="clear" w:color="auto" w:fill="FFFDFA"/>
            <w:noWrap w:val="0"/>
            <w:vAlign w:val="center"/>
          </w:tcPr>
          <w:p w14:paraId="34662A58">
            <w:pPr>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1984" w:type="pct"/>
            <w:vMerge w:val="continue"/>
            <w:shd w:val="clear" w:color="auto" w:fill="FFFDFA"/>
            <w:noWrap w:val="0"/>
            <w:vAlign w:val="center"/>
          </w:tcPr>
          <w:p w14:paraId="3498941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lang w:val="en-US" w:eastAsia="zh-CN" w:bidi="ar-SA"/>
              </w:rPr>
            </w:pPr>
          </w:p>
        </w:tc>
        <w:tc>
          <w:tcPr>
            <w:tcW w:w="305" w:type="pct"/>
            <w:shd w:val="clear" w:color="auto" w:fill="FFFDFA"/>
            <w:noWrap w:val="0"/>
            <w:vAlign w:val="center"/>
          </w:tcPr>
          <w:p w14:paraId="0375E83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符合</w:t>
            </w:r>
          </w:p>
        </w:tc>
        <w:tc>
          <w:tcPr>
            <w:tcW w:w="302" w:type="pct"/>
            <w:shd w:val="clear" w:color="auto" w:fill="FFFDFA"/>
            <w:noWrap w:val="0"/>
            <w:vAlign w:val="center"/>
          </w:tcPr>
          <w:p w14:paraId="456103D2">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不符合</w:t>
            </w:r>
          </w:p>
        </w:tc>
      </w:tr>
      <w:tr w14:paraId="2FE1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restart"/>
            <w:shd w:val="clear" w:color="auto" w:fill="FFFFFF"/>
            <w:noWrap w:val="0"/>
            <w:vAlign w:val="center"/>
          </w:tcPr>
          <w:p w14:paraId="505CCBDC">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基本资质</w:t>
            </w:r>
          </w:p>
        </w:tc>
        <w:tc>
          <w:tcPr>
            <w:tcW w:w="1934" w:type="pct"/>
            <w:vMerge w:val="restart"/>
            <w:shd w:val="clear" w:color="auto" w:fill="FFFFFF"/>
            <w:noWrap w:val="0"/>
            <w:vAlign w:val="center"/>
          </w:tcPr>
          <w:p w14:paraId="35651D4D">
            <w:pPr>
              <w:pStyle w:val="66"/>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spacing w:val="-2"/>
                <w:sz w:val="24"/>
                <w:szCs w:val="24"/>
                <w:highlight w:val="yellow"/>
                <w:lang w:val="en-US" w:eastAsia="zh-CN" w:bidi="ar-SA"/>
              </w:rPr>
            </w:pPr>
            <w:r>
              <w:rPr>
                <w:rFonts w:hint="eastAsia" w:ascii="宋体" w:hAnsi="宋体" w:eastAsia="宋体" w:cs="宋体"/>
                <w:spacing w:val="-2"/>
                <w:sz w:val="24"/>
                <w:szCs w:val="24"/>
                <w:lang w:val="en-US" w:eastAsia="zh-CN" w:bidi="ar-SA"/>
              </w:rPr>
              <w:t>符合中华人民共和国政府采购法第二十二条规定</w:t>
            </w:r>
          </w:p>
        </w:tc>
        <w:tc>
          <w:tcPr>
            <w:tcW w:w="1984" w:type="pct"/>
            <w:shd w:val="clear" w:color="auto" w:fill="FFFFFF"/>
            <w:noWrap w:val="0"/>
            <w:vAlign w:val="center"/>
          </w:tcPr>
          <w:p w14:paraId="033DAC31">
            <w:pPr>
              <w:spacing w:line="240" w:lineRule="auto"/>
              <w:ind w:left="0" w:leftChars="0" w:right="0" w:rightChars="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具有独立承担民事责任的能力，须提供相关证明材料，详见响应文件格式。</w:t>
            </w:r>
          </w:p>
        </w:tc>
        <w:tc>
          <w:tcPr>
            <w:tcW w:w="305" w:type="pct"/>
            <w:shd w:val="clear" w:color="auto" w:fill="FFFFFF"/>
            <w:noWrap w:val="0"/>
            <w:vAlign w:val="center"/>
          </w:tcPr>
          <w:p w14:paraId="417C0247">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34D136F">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3D3A0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04F9D98B">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p>
        </w:tc>
        <w:tc>
          <w:tcPr>
            <w:tcW w:w="1934" w:type="pct"/>
            <w:vMerge w:val="continue"/>
            <w:shd w:val="clear" w:color="auto" w:fill="FFFFFF"/>
            <w:noWrap w:val="0"/>
            <w:vAlign w:val="center"/>
          </w:tcPr>
          <w:p w14:paraId="7F0BCF26">
            <w:pPr>
              <w:pStyle w:val="66"/>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kern w:val="0"/>
                <w:sz w:val="24"/>
                <w:szCs w:val="24"/>
                <w:lang w:val="en-US" w:eastAsia="zh-CN" w:bidi="ar-SA"/>
              </w:rPr>
            </w:pPr>
          </w:p>
        </w:tc>
        <w:tc>
          <w:tcPr>
            <w:tcW w:w="1984" w:type="pct"/>
            <w:shd w:val="clear" w:color="auto" w:fill="FFFFFF"/>
            <w:noWrap w:val="0"/>
            <w:vAlign w:val="center"/>
          </w:tcPr>
          <w:p w14:paraId="15A21375">
            <w:pPr>
              <w:spacing w:line="240" w:lineRule="auto"/>
              <w:ind w:left="0" w:leftChars="0" w:right="0" w:rightChars="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具有良好的商业信誉和健全的财务会计制度，须提供相关证明材料，详见响应文件格式。</w:t>
            </w:r>
          </w:p>
        </w:tc>
        <w:tc>
          <w:tcPr>
            <w:tcW w:w="305" w:type="pct"/>
            <w:shd w:val="clear" w:color="auto" w:fill="FFFFFF"/>
            <w:noWrap w:val="0"/>
            <w:vAlign w:val="center"/>
          </w:tcPr>
          <w:p w14:paraId="638123B0">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5E0C61E">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62C5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488" w:hRule="atLeast"/>
        </w:trPr>
        <w:tc>
          <w:tcPr>
            <w:tcW w:w="472" w:type="pct"/>
            <w:vMerge w:val="continue"/>
            <w:shd w:val="clear" w:color="auto" w:fill="FFFFFF"/>
            <w:noWrap w:val="0"/>
            <w:vAlign w:val="center"/>
          </w:tcPr>
          <w:p w14:paraId="4AD3EDD3">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p>
        </w:tc>
        <w:tc>
          <w:tcPr>
            <w:tcW w:w="1934" w:type="pct"/>
            <w:vMerge w:val="continue"/>
            <w:shd w:val="clear" w:color="auto" w:fill="FFFFFF"/>
            <w:noWrap w:val="0"/>
            <w:vAlign w:val="center"/>
          </w:tcPr>
          <w:p w14:paraId="793738E9">
            <w:pPr>
              <w:pStyle w:val="66"/>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kern w:val="0"/>
                <w:sz w:val="24"/>
                <w:szCs w:val="24"/>
                <w:lang w:val="en-US" w:eastAsia="zh-CN" w:bidi="ar-SA"/>
              </w:rPr>
            </w:pPr>
          </w:p>
        </w:tc>
        <w:tc>
          <w:tcPr>
            <w:tcW w:w="1984" w:type="pct"/>
            <w:shd w:val="clear" w:color="auto" w:fill="FFFFFF"/>
            <w:noWrap w:val="0"/>
            <w:vAlign w:val="center"/>
          </w:tcPr>
          <w:p w14:paraId="054342DC">
            <w:pPr>
              <w:spacing w:line="240" w:lineRule="auto"/>
              <w:ind w:left="0" w:leftChars="0" w:right="0" w:rightChars="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zh-CN" w:eastAsia="zh-CN" w:bidi="ar-SA"/>
              </w:rPr>
              <w:t>具有履行合同所必须的设备和专业技术能力，</w:t>
            </w:r>
            <w:r>
              <w:rPr>
                <w:rFonts w:hint="eastAsia" w:ascii="宋体" w:hAnsi="宋体" w:eastAsia="宋体" w:cs="宋体"/>
                <w:spacing w:val="-2"/>
                <w:sz w:val="24"/>
                <w:szCs w:val="24"/>
                <w:lang w:val="en-US" w:eastAsia="zh-CN" w:bidi="ar-SA"/>
              </w:rPr>
              <w:t>须提供相关证明材料，详见响应文件格式。</w:t>
            </w:r>
          </w:p>
        </w:tc>
        <w:tc>
          <w:tcPr>
            <w:tcW w:w="305" w:type="pct"/>
            <w:shd w:val="clear" w:color="auto" w:fill="FFFFFF"/>
            <w:noWrap w:val="0"/>
            <w:vAlign w:val="center"/>
          </w:tcPr>
          <w:p w14:paraId="199D8FDD">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F941350">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1449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670" w:hRule="atLeast"/>
        </w:trPr>
        <w:tc>
          <w:tcPr>
            <w:tcW w:w="472" w:type="pct"/>
            <w:vMerge w:val="continue"/>
            <w:shd w:val="clear" w:color="auto" w:fill="FFFFFF"/>
            <w:noWrap w:val="0"/>
            <w:vAlign w:val="center"/>
          </w:tcPr>
          <w:p w14:paraId="32E681A7">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p>
        </w:tc>
        <w:tc>
          <w:tcPr>
            <w:tcW w:w="1934" w:type="pct"/>
            <w:vMerge w:val="continue"/>
            <w:shd w:val="clear" w:color="auto" w:fill="FFFFFF"/>
            <w:noWrap w:val="0"/>
            <w:vAlign w:val="center"/>
          </w:tcPr>
          <w:p w14:paraId="53293740">
            <w:pPr>
              <w:pStyle w:val="66"/>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kern w:val="0"/>
                <w:sz w:val="24"/>
                <w:szCs w:val="24"/>
                <w:lang w:val="en-US" w:eastAsia="zh-CN" w:bidi="ar-SA"/>
              </w:rPr>
            </w:pPr>
          </w:p>
        </w:tc>
        <w:tc>
          <w:tcPr>
            <w:tcW w:w="1984" w:type="pct"/>
            <w:shd w:val="clear" w:color="auto" w:fill="FFFFFF"/>
            <w:noWrap w:val="0"/>
            <w:vAlign w:val="center"/>
          </w:tcPr>
          <w:p w14:paraId="76C27FE4">
            <w:pPr>
              <w:spacing w:line="240" w:lineRule="auto"/>
              <w:ind w:left="0" w:leftChars="0" w:right="0" w:rightChars="0"/>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zh-CN" w:eastAsia="zh-CN" w:bidi="ar-SA"/>
              </w:rPr>
              <w:t>有依法缴纳税收和社会保障金的良好记录，</w:t>
            </w:r>
            <w:r>
              <w:rPr>
                <w:rFonts w:hint="eastAsia" w:ascii="宋体" w:hAnsi="宋体" w:eastAsia="宋体" w:cs="宋体"/>
                <w:spacing w:val="-2"/>
                <w:sz w:val="24"/>
                <w:szCs w:val="24"/>
                <w:lang w:val="en-US" w:eastAsia="zh-CN" w:bidi="ar-SA"/>
              </w:rPr>
              <w:t>须提供相关证明材料，详见响应文件格式。</w:t>
            </w:r>
          </w:p>
        </w:tc>
        <w:tc>
          <w:tcPr>
            <w:tcW w:w="305" w:type="pct"/>
            <w:shd w:val="clear" w:color="auto" w:fill="FFFFFF"/>
            <w:noWrap w:val="0"/>
            <w:vAlign w:val="center"/>
          </w:tcPr>
          <w:p w14:paraId="4AA2523A">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7201C0E8">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6A93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293" w:hRule="atLeast"/>
        </w:trPr>
        <w:tc>
          <w:tcPr>
            <w:tcW w:w="472" w:type="pct"/>
            <w:vMerge w:val="continue"/>
            <w:shd w:val="clear" w:color="auto" w:fill="FFFFFF"/>
            <w:noWrap w:val="0"/>
            <w:vAlign w:val="center"/>
          </w:tcPr>
          <w:p w14:paraId="55E8E69A">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p>
        </w:tc>
        <w:tc>
          <w:tcPr>
            <w:tcW w:w="1934" w:type="pct"/>
            <w:vMerge w:val="continue"/>
            <w:shd w:val="clear" w:color="auto" w:fill="FFFFFF"/>
            <w:noWrap w:val="0"/>
            <w:vAlign w:val="center"/>
          </w:tcPr>
          <w:p w14:paraId="69DAEF44">
            <w:pPr>
              <w:pStyle w:val="66"/>
              <w:keepNext w:val="0"/>
              <w:keepLines w:val="0"/>
              <w:pageBreakBefore w:val="0"/>
              <w:widowControl/>
              <w:kinsoku/>
              <w:wordWrap/>
              <w:overflowPunct/>
              <w:topLinePunct w:val="0"/>
              <w:autoSpaceDE/>
              <w:autoSpaceDN/>
              <w:bidi w:val="0"/>
              <w:snapToGrid/>
              <w:spacing w:line="240" w:lineRule="auto"/>
              <w:jc w:val="left"/>
              <w:rPr>
                <w:rFonts w:hint="eastAsia" w:ascii="宋体" w:hAnsi="宋体" w:eastAsia="宋体" w:cs="宋体"/>
                <w:spacing w:val="-2"/>
                <w:sz w:val="24"/>
                <w:szCs w:val="24"/>
                <w:highlight w:val="yellow"/>
                <w:lang w:val="en-US" w:eastAsia="zh-CN" w:bidi="ar-SA"/>
              </w:rPr>
            </w:pPr>
          </w:p>
        </w:tc>
        <w:tc>
          <w:tcPr>
            <w:tcW w:w="1984" w:type="pct"/>
            <w:shd w:val="clear" w:color="auto" w:fill="FFFFFF"/>
            <w:noWrap w:val="0"/>
            <w:vAlign w:val="center"/>
          </w:tcPr>
          <w:p w14:paraId="3FB2E686">
            <w:pPr>
              <w:spacing w:line="240" w:lineRule="auto"/>
              <w:ind w:left="0" w:leftChars="0" w:right="0" w:rightChars="0"/>
              <w:jc w:val="left"/>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zh-CN" w:eastAsia="zh-CN" w:bidi="ar-SA"/>
              </w:rPr>
              <w:t>参加政府采购活动近3年内，在经营活动中没有重大违法记录，</w:t>
            </w:r>
            <w:r>
              <w:rPr>
                <w:rFonts w:hint="eastAsia" w:ascii="宋体" w:hAnsi="宋体" w:eastAsia="宋体" w:cs="宋体"/>
                <w:spacing w:val="-2"/>
                <w:sz w:val="24"/>
                <w:szCs w:val="24"/>
                <w:lang w:val="en-US" w:eastAsia="zh-CN" w:bidi="ar-SA"/>
              </w:rPr>
              <w:t>须提供相关证明材料，详见响应文件格式。</w:t>
            </w:r>
          </w:p>
        </w:tc>
        <w:tc>
          <w:tcPr>
            <w:tcW w:w="305" w:type="pct"/>
            <w:shd w:val="clear" w:color="auto" w:fill="FFFFFF"/>
            <w:noWrap w:val="0"/>
            <w:vAlign w:val="center"/>
          </w:tcPr>
          <w:p w14:paraId="4061F53D">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3036A227">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3CC9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948" w:hRule="atLeast"/>
        </w:trPr>
        <w:tc>
          <w:tcPr>
            <w:tcW w:w="472" w:type="pct"/>
            <w:shd w:val="clear" w:color="auto" w:fill="FFFDFA"/>
            <w:noWrap w:val="0"/>
            <w:vAlign w:val="center"/>
          </w:tcPr>
          <w:p w14:paraId="6A699847">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采购政策</w:t>
            </w:r>
          </w:p>
        </w:tc>
        <w:tc>
          <w:tcPr>
            <w:tcW w:w="1934" w:type="pct"/>
            <w:shd w:val="clear" w:color="auto" w:fill="FFFDFA"/>
            <w:noWrap w:val="0"/>
            <w:vAlign w:val="center"/>
          </w:tcPr>
          <w:p w14:paraId="367DCE93">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本项目专门面向为中小企业</w:t>
            </w:r>
          </w:p>
        </w:tc>
        <w:tc>
          <w:tcPr>
            <w:tcW w:w="1984" w:type="pct"/>
            <w:shd w:val="clear" w:color="auto" w:fill="FFFDFA"/>
            <w:noWrap w:val="0"/>
            <w:vAlign w:val="center"/>
          </w:tcPr>
          <w:p w14:paraId="6D30C055">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请根据要求单独上传《中小企业声明函》。格式以采购文件要求为准。否则按不符合处理。</w:t>
            </w:r>
          </w:p>
        </w:tc>
        <w:tc>
          <w:tcPr>
            <w:tcW w:w="305" w:type="pct"/>
            <w:shd w:val="clear" w:color="auto" w:fill="FFFDFA"/>
            <w:noWrap w:val="0"/>
            <w:vAlign w:val="center"/>
          </w:tcPr>
          <w:p w14:paraId="6E8818C7">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5E0223C4">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4E93A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362" w:hRule="atLeast"/>
        </w:trPr>
        <w:tc>
          <w:tcPr>
            <w:tcW w:w="472" w:type="pct"/>
            <w:shd w:val="clear" w:color="auto" w:fill="FFFDFA"/>
            <w:noWrap w:val="0"/>
            <w:vAlign w:val="center"/>
          </w:tcPr>
          <w:p w14:paraId="6B7B58E8">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特定资质</w:t>
            </w:r>
          </w:p>
        </w:tc>
        <w:tc>
          <w:tcPr>
            <w:tcW w:w="1934" w:type="pct"/>
            <w:shd w:val="clear" w:color="auto" w:fill="FFFDFA"/>
            <w:noWrap w:val="0"/>
            <w:vAlign w:val="center"/>
          </w:tcPr>
          <w:p w14:paraId="573AAF2E">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供应商须具备有效的建筑工程施工总承包三级及以上资质或钢结构工程专业承包一级资质。</w:t>
            </w:r>
          </w:p>
        </w:tc>
        <w:tc>
          <w:tcPr>
            <w:tcW w:w="1984" w:type="pct"/>
            <w:shd w:val="clear" w:color="auto" w:fill="FFFDFA"/>
            <w:noWrap w:val="0"/>
            <w:vAlign w:val="center"/>
          </w:tcPr>
          <w:p w14:paraId="14F0854A">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供应商须具备有效的建筑工程施工总承包三级及以上资质或钢结构工程专业承包一级资质，提供加盖公章的资质证书扫描件。</w:t>
            </w:r>
          </w:p>
        </w:tc>
        <w:tc>
          <w:tcPr>
            <w:tcW w:w="305" w:type="pct"/>
            <w:shd w:val="clear" w:color="auto" w:fill="FFFDFA"/>
            <w:noWrap w:val="0"/>
            <w:vAlign w:val="center"/>
          </w:tcPr>
          <w:p w14:paraId="2BE43237">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1C31EC15">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4358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1667" w:hRule="atLeast"/>
        </w:trPr>
        <w:tc>
          <w:tcPr>
            <w:tcW w:w="472" w:type="pct"/>
            <w:shd w:val="clear" w:color="auto" w:fill="FFFDFA"/>
            <w:noWrap w:val="0"/>
            <w:vAlign w:val="center"/>
          </w:tcPr>
          <w:p w14:paraId="661D10E1">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其他</w:t>
            </w:r>
          </w:p>
        </w:tc>
        <w:tc>
          <w:tcPr>
            <w:tcW w:w="1934" w:type="pct"/>
            <w:shd w:val="clear" w:color="auto" w:fill="FFFDFA"/>
            <w:noWrap w:val="0"/>
            <w:vAlign w:val="center"/>
          </w:tcPr>
          <w:p w14:paraId="31F842C3">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法定代表人身份证明或法定代表人身份证明及授权书、被授权人身份证</w:t>
            </w:r>
          </w:p>
        </w:tc>
        <w:tc>
          <w:tcPr>
            <w:tcW w:w="1984" w:type="pct"/>
            <w:shd w:val="clear" w:color="auto" w:fill="FFFDFA"/>
            <w:noWrap w:val="0"/>
            <w:vAlign w:val="center"/>
          </w:tcPr>
          <w:p w14:paraId="4479DA07">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法定代表人投标的，提供法定代表人身份证明；授权人投标的，提供法定代表人身份证明及授权书、被授权人</w:t>
            </w:r>
          </w:p>
          <w:p w14:paraId="3C8DF226">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身份证；(法定代表人投标需提供法定代表人身份证及法定代表人资格证明书)。</w:t>
            </w:r>
          </w:p>
        </w:tc>
        <w:tc>
          <w:tcPr>
            <w:tcW w:w="305" w:type="pct"/>
            <w:shd w:val="clear" w:color="auto" w:fill="FFFDFA"/>
            <w:noWrap w:val="0"/>
            <w:vAlign w:val="center"/>
          </w:tcPr>
          <w:p w14:paraId="1C7A88D1">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DFA"/>
            <w:noWrap w:val="0"/>
            <w:vAlign w:val="center"/>
          </w:tcPr>
          <w:p w14:paraId="3CFC7507">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r w14:paraId="6D82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PrEx>
        <w:trPr>
          <w:trHeight w:val="825" w:hRule="atLeast"/>
        </w:trPr>
        <w:tc>
          <w:tcPr>
            <w:tcW w:w="472" w:type="pct"/>
            <w:shd w:val="clear" w:color="auto" w:fill="FFFFFF"/>
            <w:noWrap w:val="0"/>
            <w:vAlign w:val="center"/>
          </w:tcPr>
          <w:p w14:paraId="43D6CB5B">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其他</w:t>
            </w:r>
          </w:p>
        </w:tc>
        <w:tc>
          <w:tcPr>
            <w:tcW w:w="1934" w:type="pct"/>
            <w:shd w:val="clear" w:color="auto" w:fill="FFFFFF"/>
            <w:noWrap w:val="0"/>
            <w:vAlign w:val="center"/>
          </w:tcPr>
          <w:p w14:paraId="0C44D786">
            <w:pPr>
              <w:pStyle w:val="66"/>
              <w:keepNext w:val="0"/>
              <w:keepLines w:val="0"/>
              <w:pageBreakBefore w:val="0"/>
              <w:widowControl/>
              <w:kinsoku/>
              <w:wordWrap/>
              <w:overflowPunct/>
              <w:topLinePunct w:val="0"/>
              <w:autoSpaceDE/>
              <w:autoSpaceDN/>
              <w:bidi w:val="0"/>
              <w:snapToGrid/>
              <w:spacing w:line="240" w:lineRule="auto"/>
              <w:jc w:val="center"/>
              <w:rPr>
                <w:rFonts w:hint="eastAsia"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投标保证金：按规定提交投标保证金</w:t>
            </w:r>
            <w:bookmarkStart w:id="24" w:name="_GoBack"/>
            <w:bookmarkEnd w:id="24"/>
            <w:r>
              <w:rPr>
                <w:rFonts w:hint="eastAsia" w:ascii="宋体" w:hAnsi="宋体" w:eastAsia="宋体" w:cs="宋体"/>
                <w:spacing w:val="-2"/>
                <w:sz w:val="24"/>
                <w:szCs w:val="24"/>
                <w:lang w:val="en-US" w:eastAsia="zh-CN" w:bidi="ar-SA"/>
              </w:rPr>
              <w:t>或保函</w:t>
            </w:r>
          </w:p>
        </w:tc>
        <w:tc>
          <w:tcPr>
            <w:tcW w:w="1984" w:type="pct"/>
            <w:shd w:val="clear" w:color="auto" w:fill="FFFFFF"/>
            <w:noWrap w:val="0"/>
            <w:vAlign w:val="center"/>
          </w:tcPr>
          <w:p w14:paraId="3107A782">
            <w:pPr>
              <w:pStyle w:val="66"/>
              <w:keepNext w:val="0"/>
              <w:keepLines w:val="0"/>
              <w:pageBreakBefore w:val="0"/>
              <w:widowControl/>
              <w:kinsoku/>
              <w:wordWrap/>
              <w:overflowPunct/>
              <w:topLinePunct w:val="0"/>
              <w:autoSpaceDE/>
              <w:autoSpaceDN/>
              <w:bidi w:val="0"/>
              <w:snapToGrid/>
              <w:spacing w:line="240" w:lineRule="auto"/>
              <w:jc w:val="center"/>
              <w:rPr>
                <w:rFonts w:hint="default" w:ascii="宋体" w:hAnsi="宋体" w:eastAsia="宋体" w:cs="宋体"/>
                <w:spacing w:val="-2"/>
                <w:sz w:val="24"/>
                <w:szCs w:val="24"/>
                <w:lang w:val="en-US" w:eastAsia="zh-CN" w:bidi="ar-SA"/>
              </w:rPr>
            </w:pPr>
            <w:r>
              <w:rPr>
                <w:rFonts w:hint="eastAsia" w:ascii="宋体" w:hAnsi="宋体" w:eastAsia="宋体" w:cs="宋体"/>
                <w:spacing w:val="-2"/>
                <w:sz w:val="24"/>
                <w:szCs w:val="24"/>
                <w:lang w:val="en-US" w:eastAsia="zh-CN" w:bidi="ar-SA"/>
              </w:rPr>
              <w:t>提供保证金汇款凭证或保函并加盖企业公章。</w:t>
            </w:r>
          </w:p>
        </w:tc>
        <w:tc>
          <w:tcPr>
            <w:tcW w:w="305" w:type="pct"/>
            <w:shd w:val="clear" w:color="auto" w:fill="FFFFFF"/>
            <w:noWrap w:val="0"/>
            <w:vAlign w:val="center"/>
          </w:tcPr>
          <w:p w14:paraId="75D2504C">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c>
          <w:tcPr>
            <w:tcW w:w="302" w:type="pct"/>
            <w:shd w:val="clear" w:color="auto" w:fill="FFFFFF"/>
            <w:noWrap w:val="0"/>
            <w:vAlign w:val="center"/>
          </w:tcPr>
          <w:p w14:paraId="028833F1">
            <w:pPr>
              <w:pStyle w:val="84"/>
              <w:keepNext w:val="0"/>
              <w:keepLines w:val="0"/>
              <w:pageBreakBefore w:val="0"/>
              <w:kinsoku/>
              <w:wordWrap/>
              <w:overflowPunct/>
              <w:topLinePunct w:val="0"/>
              <w:autoSpaceDE/>
              <w:autoSpaceDN/>
              <w:bidi w:val="0"/>
              <w:snapToGrid/>
              <w:spacing w:line="240" w:lineRule="auto"/>
              <w:rPr>
                <w:rFonts w:hint="eastAsia" w:ascii="宋体" w:hAnsi="宋体" w:eastAsia="宋体" w:cs="宋体"/>
                <w:color w:val="000000"/>
                <w:kern w:val="0"/>
                <w:sz w:val="24"/>
                <w:szCs w:val="24"/>
                <w:lang w:val="en-US" w:eastAsia="zh-CN" w:bidi="ar-SA"/>
              </w:rPr>
            </w:pPr>
          </w:p>
        </w:tc>
      </w:tr>
    </w:tbl>
    <w:p w14:paraId="4E57DDA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注：投标人有一项未通过不得参与下阶段评审，视为废标。</w:t>
      </w:r>
    </w:p>
    <w:p w14:paraId="3946BD52">
      <w:pPr>
        <w:pageBreakBefore w:val="0"/>
        <w:numPr>
          <w:ilvl w:val="0"/>
          <w:numId w:val="4"/>
        </w:numPr>
        <w:kinsoku/>
        <w:wordWrap/>
        <w:overflowPunct/>
        <w:topLinePunct w:val="0"/>
        <w:bidi w:val="0"/>
        <w:spacing w:beforeAutospacing="0" w:afterAutospacing="0"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符合性审查</w:t>
      </w:r>
    </w:p>
    <w:p w14:paraId="20AF722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评标委员会对符合资格的供应商的投标文件进行符合性审查，以确定其是 否满足招标文件的实质性要求，是否存在重大偏离。重大偏离系指投标文件的 有效性、真实性、合同的供货范围、质量、性能和规格等内容在实质上与招标 文件形成了重大的不一致，而这种不一致可能限制了买方的权力和供应商的义 务，纠正或承认这些偏离将会对该供应商和其它供应商合理的竞争地位产生不 公正的影响。与招标文件有重大偏离的投标文件将被拒绝，投标无效。具体评审内容系指：</w:t>
      </w:r>
    </w:p>
    <w:p w14:paraId="529260E7">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 投标文件组成不完整，主要内容未能按招标文件规定的内容、格式填写、装订；</w:t>
      </w:r>
    </w:p>
    <w:p w14:paraId="0E9788A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 投标文件的有效期不满足招标文件的规定；</w:t>
      </w:r>
    </w:p>
    <w:p w14:paraId="200916C0">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2.3 投标代表授权书未能由法定代表人签署并加盖公章；</w:t>
      </w:r>
    </w:p>
    <w:p w14:paraId="10B885E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2.4 投标文件没有按照规定在应由企业法人或法人授权代表在所有规定签章处逐一签署及加盖</w:t>
      </w:r>
      <w:r>
        <w:rPr>
          <w:rFonts w:hint="eastAsia" w:ascii="宋体" w:hAnsi="宋体" w:cs="宋体"/>
          <w:sz w:val="24"/>
          <w:szCs w:val="24"/>
          <w:lang w:eastAsia="zh-CN"/>
        </w:rPr>
        <w:t>供应商公章</w:t>
      </w:r>
      <w:r>
        <w:rPr>
          <w:rFonts w:hint="eastAsia" w:ascii="宋体" w:hAnsi="宋体" w:eastAsia="宋体" w:cs="宋体"/>
          <w:sz w:val="24"/>
          <w:szCs w:val="24"/>
        </w:rPr>
        <w:t>的；</w:t>
      </w:r>
    </w:p>
    <w:p w14:paraId="1AE9EBB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2.5 投标文件出现了两个或两个以上的报价；</w:t>
      </w:r>
    </w:p>
    <w:p w14:paraId="7CFE530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2.6 明显不符合招标文件关于对招标货物技术规格和标准的要求；</w:t>
      </w:r>
    </w:p>
    <w:p w14:paraId="10736D25">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2.7 投标文件载明的招标项目交货期限超过招标文件规定的期限；</w:t>
      </w:r>
    </w:p>
    <w:p w14:paraId="4572AE5F">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2.8 投标文件含有采购人不能接受的附加条件；</w:t>
      </w:r>
    </w:p>
    <w:p w14:paraId="5FF1C74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2.9 不符合法律、法规和招标文件中规定的其他实质性要求。</w:t>
      </w:r>
    </w:p>
    <w:p w14:paraId="79AFFFC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w:t>
      </w:r>
      <w:r>
        <w:rPr>
          <w:rFonts w:hint="eastAsia" w:ascii="宋体" w:hAnsi="宋体" w:eastAsia="宋体" w:cs="宋体"/>
          <w:sz w:val="24"/>
          <w:szCs w:val="24"/>
        </w:rPr>
        <w:t>对通过符合性审查的投标文件，评标委员会将对其进行算术性修正。 算术性修正是指对投标文件报价出现前后不一致的进行校核，并对其算术上和运算上的差错给予修正。修正的原则如下：</w:t>
      </w:r>
    </w:p>
    <w:p w14:paraId="2A53517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2.10.1</w:t>
      </w:r>
      <w:r>
        <w:rPr>
          <w:rFonts w:hint="eastAsia" w:ascii="宋体" w:hAnsi="宋体" w:eastAsia="宋体" w:cs="宋体"/>
          <w:sz w:val="24"/>
          <w:szCs w:val="24"/>
        </w:rPr>
        <w:t xml:space="preserve"> 投标文件中开标一览表内容与投标文件中相应内容不一致的，以开标一览表为准；</w:t>
      </w:r>
    </w:p>
    <w:p w14:paraId="2C29EA5D">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2.10.2</w:t>
      </w:r>
      <w:r>
        <w:rPr>
          <w:rFonts w:hint="eastAsia" w:ascii="宋体" w:hAnsi="宋体" w:eastAsia="宋体" w:cs="宋体"/>
          <w:sz w:val="24"/>
          <w:szCs w:val="24"/>
        </w:rPr>
        <w:t>投标文件的大写金额和小写金额不一致的，以大写金额为准；</w:t>
      </w:r>
    </w:p>
    <w:p w14:paraId="718A60B2">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cs="宋体"/>
          <w:sz w:val="24"/>
          <w:szCs w:val="24"/>
          <w:lang w:val="en-US" w:eastAsia="zh-CN"/>
        </w:rPr>
        <w:t>2.10.3</w:t>
      </w:r>
      <w:r>
        <w:rPr>
          <w:rFonts w:hint="eastAsia" w:ascii="宋体" w:hAnsi="宋体" w:eastAsia="宋体" w:cs="宋体"/>
          <w:sz w:val="24"/>
          <w:szCs w:val="24"/>
        </w:rPr>
        <w:t xml:space="preserve"> 单价金额小数点或者百分比有明显错位的，以开标一览表的总价为准，并修改单价；</w:t>
      </w:r>
    </w:p>
    <w:p w14:paraId="16CF46D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.4 总价金额与按单价汇总金额不一致的，以单价金额计算结果为准。</w:t>
      </w:r>
    </w:p>
    <w:p w14:paraId="2C2C841E">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.5 同时出现两种以上不一致的，按照上述规定的顺序修正。修正后的报价须供应商确认，如果供应商拒绝确认，其投标无效。</w:t>
      </w:r>
    </w:p>
    <w:p w14:paraId="72370073">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.6 对不同文字文本投标文件的解释发生异议的，以中文文本为准。</w:t>
      </w:r>
    </w:p>
    <w:p w14:paraId="5328C9BB">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.7 评标委员会将拒绝被定为实质上非响应性的投标，供应商不能通过修正或撤销不符之处而使其投标成为响应性投标。</w:t>
      </w:r>
    </w:p>
    <w:p w14:paraId="2A06A73C">
      <w:pPr>
        <w:pageBreakBefore w:val="0"/>
        <w:kinsoku/>
        <w:wordWrap/>
        <w:overflowPunct/>
        <w:topLinePunct w:val="0"/>
        <w:bidi w:val="0"/>
        <w:spacing w:beforeAutospacing="0" w:afterAutospacing="0" w:line="4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.10</w:t>
      </w:r>
      <w:r>
        <w:rPr>
          <w:rFonts w:hint="eastAsia" w:ascii="宋体" w:hAnsi="宋体" w:eastAsia="宋体" w:cs="宋体"/>
          <w:sz w:val="24"/>
          <w:szCs w:val="24"/>
        </w:rPr>
        <w:t>.8 评标委员会将允许投标中有微小的不正规、不一致或不规则，而该微小之处不构成重大偏离。</w:t>
      </w:r>
    </w:p>
    <w:p w14:paraId="6717E17E">
      <w:pPr>
        <w:pStyle w:val="4"/>
        <w:pageBreakBefore w:val="0"/>
        <w:kinsoku/>
        <w:wordWrap/>
        <w:overflowPunct/>
        <w:topLinePunct w:val="0"/>
        <w:bidi w:val="0"/>
        <w:spacing w:beforeAutospacing="0" w:afterAutospacing="0" w:line="400" w:lineRule="exact"/>
        <w:jc w:val="center"/>
        <w:outlineLvl w:val="9"/>
        <w:rPr>
          <w:rFonts w:hint="eastAsia" w:ascii="宋体" w:hAnsi="宋体" w:eastAsia="宋体" w:cs="宋体"/>
          <w:bCs w:val="0"/>
          <w:sz w:val="24"/>
          <w:szCs w:val="24"/>
          <w:highlight w:val="none"/>
        </w:rPr>
      </w:pPr>
    </w:p>
    <w:p w14:paraId="0772056A">
      <w:pPr>
        <w:pStyle w:val="4"/>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bCs w:val="0"/>
          <w:sz w:val="24"/>
          <w:szCs w:val="24"/>
          <w:highlight w:val="none"/>
        </w:rPr>
        <w:t>符合性审查表</w:t>
      </w:r>
    </w:p>
    <w:tbl>
      <w:tblPr>
        <w:tblStyle w:val="24"/>
        <w:tblW w:w="8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5190"/>
        <w:gridCol w:w="964"/>
        <w:gridCol w:w="930"/>
        <w:gridCol w:w="1020"/>
      </w:tblGrid>
      <w:tr w14:paraId="16CD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3BC489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190" w:type="dxa"/>
            <w:tcBorders>
              <w:top w:val="single" w:color="000000" w:sz="4" w:space="0"/>
              <w:left w:val="single" w:color="000000" w:sz="4" w:space="0"/>
              <w:bottom w:val="single" w:color="000000" w:sz="4" w:space="0"/>
              <w:right w:val="single" w:color="000000" w:sz="4" w:space="0"/>
            </w:tcBorders>
            <w:noWrap/>
            <w:vAlign w:val="center"/>
          </w:tcPr>
          <w:p w14:paraId="7DCAF4A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评审内容</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4EF7106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供应商...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9DCB197">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2B0307FF">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w:t>
            </w:r>
          </w:p>
        </w:tc>
      </w:tr>
      <w:tr w14:paraId="0DCF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0FBA15E">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61AD851">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报价唯一或报价未高于设定的采购限价；</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28CB64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2F4EC01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3CB8F8B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B7E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AB721C0">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4FD5A65D">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投标文件均按招标文件要求签署、签章的；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3260A2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4473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FDA47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7532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AEA5F25">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78474080">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投标有效期满足招标文件要求的；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C3A8DA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D37BD1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EC36FE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17EE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694B30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69FC1B79">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投标文件内容符合招标文件要求的;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5FD3C60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061887F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18E72E">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A132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19A8686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A2AE2C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投标文件中不含采购人不能接受的附加条件的；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383370C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5C4E452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70D0C68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62BF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6977E6FD">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91A454E">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投标声明书有法定代表人签名，或委托人提供法定代表人授权委托书、填写项目齐全；</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17334EF8">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F540BD3">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2071B68">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3377B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5769E2E6">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8ACE087">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投标文件格式不规范、提供资料不齐全或者内容虚假的；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4EBFF78B">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C3ED919">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F5854C0">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59C4E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CAE78D8">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0B45301A">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投标文件的实质性内容使用中文表述、表述明确、无前后矛盾或者使用计量单位不符合招标文件要求的（经评标委员会认定并允许其当场更正的笔误除外）；</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691C6D42">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9199D5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5AFD87AC">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F9F7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3"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29F919FA">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52D253C7">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投标文件的关键内容没有字迹模糊、无法辨认的，或者投标文件中经修正的内容字迹模糊难以辩认或者修改处未按规定签署、盖章的；</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025DC7A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44F9DE1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47127CF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AD55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79" w:type="dxa"/>
            <w:tcBorders>
              <w:top w:val="single" w:color="000000" w:sz="4" w:space="0"/>
              <w:left w:val="single" w:color="000000" w:sz="4" w:space="0"/>
              <w:bottom w:val="single" w:color="000000" w:sz="4" w:space="0"/>
              <w:right w:val="single" w:color="000000" w:sz="4" w:space="0"/>
            </w:tcBorders>
            <w:noWrap/>
            <w:vAlign w:val="center"/>
          </w:tcPr>
          <w:p w14:paraId="4F283A23">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10</w:t>
            </w:r>
          </w:p>
        </w:tc>
        <w:tc>
          <w:tcPr>
            <w:tcW w:w="5190" w:type="dxa"/>
            <w:tcBorders>
              <w:top w:val="single" w:color="000000" w:sz="4" w:space="0"/>
              <w:left w:val="single" w:color="000000" w:sz="4" w:space="0"/>
              <w:bottom w:val="single" w:color="000000" w:sz="4" w:space="0"/>
              <w:right w:val="single" w:color="000000" w:sz="4" w:space="0"/>
            </w:tcBorders>
            <w:noWrap w:val="0"/>
            <w:vAlign w:val="center"/>
          </w:tcPr>
          <w:p w14:paraId="1E2B8644">
            <w:pPr>
              <w:keepNext w:val="0"/>
              <w:keepLines w:val="0"/>
              <w:pageBreakBefore w:val="0"/>
              <w:widowControl/>
              <w:suppressLineNumbers w:val="0"/>
              <w:kinsoku/>
              <w:wordWrap/>
              <w:overflowPunct/>
              <w:topLinePunct w:val="0"/>
              <w:bidi w:val="0"/>
              <w:spacing w:beforeAutospacing="0" w:afterAutospacing="0" w:line="400" w:lineRule="exact"/>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没有法律、法规和招标文件规定的其他无效情形；</w:t>
            </w:r>
          </w:p>
        </w:tc>
        <w:tc>
          <w:tcPr>
            <w:tcW w:w="964" w:type="dxa"/>
            <w:tcBorders>
              <w:top w:val="single" w:color="000000" w:sz="4" w:space="0"/>
              <w:left w:val="single" w:color="000000" w:sz="4" w:space="0"/>
              <w:bottom w:val="single" w:color="000000" w:sz="4" w:space="0"/>
              <w:right w:val="single" w:color="000000" w:sz="4" w:space="0"/>
            </w:tcBorders>
            <w:noWrap/>
            <w:vAlign w:val="center"/>
          </w:tcPr>
          <w:p w14:paraId="27348CF5">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ign w:val="center"/>
          </w:tcPr>
          <w:p w14:paraId="372D303D">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67A63B91">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0E6B1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969" w:type="dxa"/>
            <w:gridSpan w:val="2"/>
            <w:tcBorders>
              <w:top w:val="single" w:color="000000" w:sz="4" w:space="0"/>
              <w:left w:val="single" w:color="000000" w:sz="4" w:space="0"/>
              <w:bottom w:val="single" w:color="000000" w:sz="4" w:space="0"/>
              <w:right w:val="single" w:color="000000" w:sz="4" w:space="0"/>
            </w:tcBorders>
            <w:noWrap w:val="0"/>
            <w:vAlign w:val="center"/>
          </w:tcPr>
          <w:p w14:paraId="0DC24DC1">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评审结果</w:t>
            </w:r>
          </w:p>
        </w:tc>
        <w:tc>
          <w:tcPr>
            <w:tcW w:w="964" w:type="dxa"/>
            <w:tcBorders>
              <w:top w:val="single" w:color="000000" w:sz="4" w:space="0"/>
              <w:left w:val="single" w:color="000000" w:sz="4" w:space="0"/>
              <w:bottom w:val="single" w:color="000000" w:sz="4" w:space="0"/>
              <w:right w:val="single" w:color="000000" w:sz="4" w:space="0"/>
            </w:tcBorders>
            <w:noWrap w:val="0"/>
            <w:vAlign w:val="center"/>
          </w:tcPr>
          <w:p w14:paraId="2178BACA">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A061D76">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c>
          <w:tcPr>
            <w:tcW w:w="1020" w:type="dxa"/>
            <w:tcBorders>
              <w:top w:val="single" w:color="000000" w:sz="4" w:space="0"/>
              <w:left w:val="single" w:color="000000" w:sz="4" w:space="0"/>
              <w:bottom w:val="single" w:color="000000" w:sz="4" w:space="0"/>
              <w:right w:val="single" w:color="000000" w:sz="4" w:space="0"/>
            </w:tcBorders>
            <w:noWrap/>
            <w:vAlign w:val="center"/>
          </w:tcPr>
          <w:p w14:paraId="120AADF4">
            <w:pPr>
              <w:pageBreakBefore w:val="0"/>
              <w:kinsoku/>
              <w:wordWrap/>
              <w:overflowPunct/>
              <w:topLinePunct w:val="0"/>
              <w:bidi w:val="0"/>
              <w:spacing w:beforeAutospacing="0" w:afterAutospacing="0" w:line="400" w:lineRule="exact"/>
              <w:jc w:val="center"/>
              <w:rPr>
                <w:rFonts w:hint="eastAsia" w:ascii="宋体" w:hAnsi="宋体" w:eastAsia="宋体" w:cs="宋体"/>
                <w:i w:val="0"/>
                <w:iCs w:val="0"/>
                <w:color w:val="000000"/>
                <w:sz w:val="24"/>
                <w:szCs w:val="24"/>
                <w:u w:val="none"/>
              </w:rPr>
            </w:pPr>
          </w:p>
        </w:tc>
      </w:tr>
      <w:tr w14:paraId="2254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8883" w:type="dxa"/>
            <w:gridSpan w:val="5"/>
            <w:tcBorders>
              <w:top w:val="single" w:color="000000" w:sz="4" w:space="0"/>
              <w:left w:val="single" w:color="000000" w:sz="4" w:space="0"/>
              <w:bottom w:val="single" w:color="000000" w:sz="4" w:space="0"/>
              <w:right w:val="single" w:color="000000" w:sz="4" w:space="0"/>
            </w:tcBorders>
            <w:noWrap w:val="0"/>
            <w:vAlign w:val="center"/>
          </w:tcPr>
          <w:p w14:paraId="79CED332">
            <w:pPr>
              <w:keepNext w:val="0"/>
              <w:keepLines w:val="0"/>
              <w:pageBreakBefore w:val="0"/>
              <w:widowControl/>
              <w:suppressLineNumbers w:val="0"/>
              <w:kinsoku/>
              <w:wordWrap/>
              <w:overflowPunct/>
              <w:topLinePunct w:val="0"/>
              <w:bidi w:val="0"/>
              <w:spacing w:beforeAutospacing="0" w:afterAutospacing="0" w:line="40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注：符合性评审内容只有“通过”与“不通过”，“通过”打“√”，“不通过”打“╳”，只要有一项为“不通过”， 符合性评审结果为“不通过”，“不通过”的供货商将无资格进行后续</w:t>
            </w:r>
            <w:r>
              <w:rPr>
                <w:rFonts w:hint="eastAsia" w:ascii="宋体" w:hAnsi="宋体" w:cs="宋体"/>
                <w:i w:val="0"/>
                <w:iCs w:val="0"/>
                <w:color w:val="000000"/>
                <w:kern w:val="0"/>
                <w:sz w:val="24"/>
                <w:szCs w:val="24"/>
                <w:u w:val="none"/>
                <w:lang w:val="en-US" w:eastAsia="zh-CN" w:bidi="ar"/>
              </w:rPr>
              <w:t>评审</w:t>
            </w:r>
            <w:r>
              <w:rPr>
                <w:rFonts w:hint="eastAsia" w:ascii="宋体" w:hAnsi="宋体" w:eastAsia="宋体" w:cs="宋体"/>
                <w:i w:val="0"/>
                <w:iCs w:val="0"/>
                <w:color w:val="000000"/>
                <w:kern w:val="0"/>
                <w:sz w:val="24"/>
                <w:szCs w:val="24"/>
                <w:u w:val="none"/>
                <w:lang w:val="en-US" w:eastAsia="zh-CN" w:bidi="ar"/>
              </w:rPr>
              <w:t>。</w:t>
            </w:r>
          </w:p>
        </w:tc>
      </w:tr>
    </w:tbl>
    <w:p w14:paraId="28946320">
      <w:pPr>
        <w:pageBreakBefore w:val="0"/>
        <w:widowControl/>
        <w:kinsoku/>
        <w:wordWrap/>
        <w:overflowPunct/>
        <w:topLinePunct w:val="0"/>
        <w:bidi w:val="0"/>
        <w:spacing w:beforeAutospacing="0" w:afterAutospacing="0" w:line="400" w:lineRule="exact"/>
        <w:jc w:val="left"/>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rPr>
        <w:t xml:space="preserve"> 注：投标人有一项未通过不得参与下阶段评审，视为废标。</w:t>
      </w:r>
    </w:p>
    <w:p w14:paraId="4BFFEDD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070EA3D1">
      <w:pPr>
        <w:pageBreakBefore w:val="0"/>
        <w:kinsoku/>
        <w:wordWrap/>
        <w:overflowPunct/>
        <w:topLinePunct w:val="0"/>
        <w:bidi w:val="0"/>
        <w:spacing w:beforeAutospacing="0" w:afterAutospacing="0" w:line="400" w:lineRule="exact"/>
        <w:ind w:firstLine="480"/>
        <w:rPr>
          <w:rFonts w:hint="eastAsia" w:ascii="宋体" w:hAnsi="宋体" w:eastAsia="宋体" w:cs="宋体"/>
          <w:b/>
          <w:bCs/>
          <w:sz w:val="24"/>
          <w:szCs w:val="24"/>
        </w:rPr>
      </w:pPr>
      <w:r>
        <w:rPr>
          <w:rFonts w:hint="eastAsia" w:ascii="宋体" w:hAnsi="宋体" w:cs="宋体"/>
          <w:b/>
          <w:bCs/>
          <w:sz w:val="24"/>
          <w:szCs w:val="24"/>
          <w:lang w:val="en-US" w:eastAsia="zh-CN"/>
        </w:rPr>
        <w:t>3、</w:t>
      </w:r>
      <w:r>
        <w:rPr>
          <w:rFonts w:hint="eastAsia" w:ascii="宋体" w:hAnsi="宋体" w:eastAsia="宋体" w:cs="宋体"/>
          <w:b/>
          <w:bCs/>
          <w:sz w:val="24"/>
          <w:szCs w:val="24"/>
        </w:rPr>
        <w:t xml:space="preserve"> 详细评审</w:t>
      </w:r>
    </w:p>
    <w:p w14:paraId="48CEAA0F">
      <w:pPr>
        <w:pageBreakBefore w:val="0"/>
        <w:kinsoku/>
        <w:wordWrap/>
        <w:overflowPunct/>
        <w:topLinePunct w:val="0"/>
        <w:bidi w:val="0"/>
        <w:spacing w:beforeAutospacing="0" w:afterAutospacing="0" w:line="400" w:lineRule="exact"/>
        <w:ind w:firstLine="480"/>
        <w:rPr>
          <w:rFonts w:hint="eastAsia" w:ascii="宋体" w:hAnsi="宋体" w:cs="宋体"/>
          <w:sz w:val="24"/>
          <w:szCs w:val="24"/>
          <w:lang w:eastAsia="zh-CN"/>
        </w:rPr>
      </w:pPr>
      <w:r>
        <w:rPr>
          <w:rFonts w:hint="eastAsia" w:ascii="宋体" w:hAnsi="宋体" w:eastAsia="宋体" w:cs="宋体"/>
          <w:sz w:val="24"/>
          <w:szCs w:val="24"/>
        </w:rPr>
        <w:t>评标委员会对符合性审查合格的投标文件进行商务和技术评审，综合比较与评价。以投标文件能最大限度地满足招标文件中规定的各项评价标准为依据，独立地对各投标文件进行评审和打分</w:t>
      </w:r>
      <w:r>
        <w:rPr>
          <w:rFonts w:hint="eastAsia" w:ascii="宋体" w:hAnsi="宋体" w:cs="宋体"/>
          <w:sz w:val="24"/>
          <w:szCs w:val="24"/>
          <w:lang w:eastAsia="zh-CN"/>
        </w:rPr>
        <w:t>。</w:t>
      </w:r>
    </w:p>
    <w:p w14:paraId="564B3EDC">
      <w:pPr>
        <w:pStyle w:val="10"/>
        <w:spacing w:before="204" w:line="356" w:lineRule="auto"/>
        <w:ind w:left="41" w:right="187" w:firstLine="554"/>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3.1评标委员会将对下述评审因素进行量化，并根据评委会每个成员 对投标文件的评审和理解进行打分，满分为100 分。</w:t>
      </w:r>
      <w:r>
        <w:rPr>
          <w:rFonts w:hint="eastAsia" w:ascii="宋体" w:hAnsi="宋体" w:cs="宋体"/>
          <w:kern w:val="2"/>
          <w:sz w:val="24"/>
          <w:szCs w:val="24"/>
          <w:lang w:val="en-US" w:eastAsia="zh-CN" w:bidi="ar-SA"/>
        </w:rPr>
        <w:t>经济</w:t>
      </w:r>
      <w:r>
        <w:rPr>
          <w:rFonts w:hint="eastAsia" w:ascii="宋体" w:hAnsi="宋体" w:eastAsia="宋体" w:cs="宋体"/>
          <w:kern w:val="2"/>
          <w:sz w:val="24"/>
          <w:szCs w:val="24"/>
          <w:lang w:val="en-US" w:eastAsia="zh-CN" w:bidi="ar-SA"/>
        </w:rPr>
        <w:t>部分权重占 3</w:t>
      </w:r>
      <w:r>
        <w:rPr>
          <w:rFonts w:hint="eastAsia" w:ascii="宋体" w:hAnsi="宋体" w:cs="宋体"/>
          <w:kern w:val="2"/>
          <w:sz w:val="24"/>
          <w:szCs w:val="24"/>
          <w:lang w:val="en-US" w:eastAsia="zh-CN" w:bidi="ar-SA"/>
        </w:rPr>
        <w:t>0</w:t>
      </w:r>
      <w:r>
        <w:rPr>
          <w:rFonts w:hint="eastAsia" w:ascii="宋体" w:hAnsi="宋体" w:eastAsia="宋体" w:cs="宋体"/>
          <w:kern w:val="2"/>
          <w:sz w:val="24"/>
          <w:szCs w:val="24"/>
          <w:lang w:val="en-US" w:eastAsia="zh-CN" w:bidi="ar-SA"/>
        </w:rPr>
        <w:t>%；满分为</w:t>
      </w:r>
      <w:r>
        <w:rPr>
          <w:rFonts w:hint="eastAsia" w:ascii="宋体" w:hAnsi="宋体" w:cs="宋体"/>
          <w:kern w:val="2"/>
          <w:sz w:val="24"/>
          <w:szCs w:val="24"/>
          <w:lang w:val="en-US" w:eastAsia="zh-CN" w:bidi="ar-SA"/>
        </w:rPr>
        <w:t>30</w:t>
      </w:r>
      <w:r>
        <w:rPr>
          <w:rFonts w:hint="eastAsia" w:ascii="宋体" w:hAnsi="宋体" w:eastAsia="宋体" w:cs="宋体"/>
          <w:kern w:val="2"/>
          <w:sz w:val="24"/>
          <w:szCs w:val="24"/>
          <w:lang w:val="en-US" w:eastAsia="zh-CN" w:bidi="ar-SA"/>
        </w:rPr>
        <w:t>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商务技术部分权重占</w:t>
      </w:r>
      <w:r>
        <w:rPr>
          <w:rFonts w:hint="eastAsia" w:ascii="宋体" w:hAnsi="宋体" w:cs="宋体"/>
          <w:kern w:val="2"/>
          <w:sz w:val="24"/>
          <w:szCs w:val="24"/>
          <w:lang w:val="en-US" w:eastAsia="zh-CN" w:bidi="ar-SA"/>
        </w:rPr>
        <w:t>70</w:t>
      </w:r>
      <w:r>
        <w:rPr>
          <w:rFonts w:hint="eastAsia" w:ascii="宋体" w:hAnsi="宋体" w:eastAsia="宋体" w:cs="宋体"/>
          <w:kern w:val="2"/>
          <w:sz w:val="24"/>
          <w:szCs w:val="24"/>
          <w:lang w:val="en-US" w:eastAsia="zh-CN" w:bidi="ar-SA"/>
        </w:rPr>
        <w:t>%，满分为</w:t>
      </w:r>
      <w:r>
        <w:rPr>
          <w:rFonts w:hint="eastAsia" w:ascii="宋体" w:hAnsi="宋体" w:cs="宋体"/>
          <w:kern w:val="2"/>
          <w:sz w:val="24"/>
          <w:szCs w:val="24"/>
          <w:lang w:val="en-US" w:eastAsia="zh-CN" w:bidi="ar-SA"/>
        </w:rPr>
        <w:t>70</w:t>
      </w:r>
      <w:r>
        <w:rPr>
          <w:rFonts w:hint="eastAsia" w:ascii="宋体" w:hAnsi="宋体" w:eastAsia="宋体" w:cs="宋体"/>
          <w:kern w:val="2"/>
          <w:sz w:val="24"/>
          <w:szCs w:val="24"/>
          <w:lang w:val="en-US" w:eastAsia="zh-CN" w:bidi="ar-SA"/>
        </w:rPr>
        <w:t>分。供应商两部分的分值相加，即为该供应商的综合评估分。</w:t>
      </w:r>
    </w:p>
    <w:p w14:paraId="160DD38A">
      <w:pPr>
        <w:pStyle w:val="10"/>
        <w:spacing w:before="205" w:line="223" w:lineRule="auto"/>
        <w:ind w:left="4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具体分值见下表：</w:t>
      </w:r>
    </w:p>
    <w:p w14:paraId="7E9C9536">
      <w:pPr>
        <w:pStyle w:val="10"/>
        <w:spacing w:before="205" w:line="223" w:lineRule="auto"/>
        <w:ind w:left="42"/>
        <w:rPr>
          <w:rFonts w:hint="eastAsia" w:ascii="宋体" w:hAnsi="宋体" w:eastAsia="宋体" w:cs="宋体"/>
          <w:kern w:val="2"/>
          <w:sz w:val="24"/>
          <w:szCs w:val="24"/>
          <w:lang w:val="en-US" w:eastAsia="zh-CN" w:bidi="ar-SA"/>
        </w:rPr>
      </w:pPr>
    </w:p>
    <w:p w14:paraId="561DE3C7">
      <w:pPr>
        <w:pStyle w:val="10"/>
        <w:spacing w:before="205" w:line="223" w:lineRule="auto"/>
        <w:ind w:left="42"/>
        <w:rPr>
          <w:rFonts w:hint="eastAsia" w:ascii="宋体" w:hAnsi="宋体" w:eastAsia="宋体" w:cs="宋体"/>
          <w:kern w:val="2"/>
          <w:sz w:val="24"/>
          <w:szCs w:val="24"/>
          <w:lang w:val="en-US" w:eastAsia="zh-CN" w:bidi="ar-SA"/>
        </w:rPr>
      </w:pPr>
    </w:p>
    <w:p w14:paraId="0BA40CEE">
      <w:pPr>
        <w:pStyle w:val="10"/>
        <w:spacing w:before="205" w:line="223" w:lineRule="auto"/>
        <w:ind w:left="42"/>
        <w:rPr>
          <w:rFonts w:hint="eastAsia" w:ascii="宋体" w:hAnsi="宋体" w:eastAsia="宋体" w:cs="宋体"/>
          <w:kern w:val="2"/>
          <w:sz w:val="24"/>
          <w:szCs w:val="24"/>
          <w:lang w:val="en-US" w:eastAsia="zh-CN" w:bidi="ar-SA"/>
        </w:rPr>
      </w:pPr>
    </w:p>
    <w:tbl>
      <w:tblPr>
        <w:tblStyle w:val="61"/>
        <w:tblpPr w:leftFromText="180" w:rightFromText="180" w:vertAnchor="text" w:horzAnchor="page" w:tblpX="1561" w:tblpY="391"/>
        <w:tblOverlap w:val="never"/>
        <w:tblW w:w="90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5"/>
        <w:gridCol w:w="1323"/>
        <w:gridCol w:w="5920"/>
        <w:gridCol w:w="680"/>
      </w:tblGrid>
      <w:tr w14:paraId="2893C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1115" w:type="dxa"/>
            <w:vAlign w:val="top"/>
          </w:tcPr>
          <w:p w14:paraId="3B2697BA">
            <w:pPr>
              <w:spacing w:before="261" w:line="184" w:lineRule="auto"/>
              <w:ind w:left="172" w:leftChars="0"/>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pacing w:val="-1"/>
                <w:sz w:val="22"/>
                <w:szCs w:val="22"/>
                <w14:textFill>
                  <w14:solidFill>
                    <w14:schemeClr w14:val="tx1"/>
                  </w14:solidFill>
                </w14:textFill>
              </w:rPr>
              <w:t>评分项目</w:t>
            </w:r>
          </w:p>
        </w:tc>
        <w:tc>
          <w:tcPr>
            <w:tcW w:w="1323" w:type="dxa"/>
            <w:vAlign w:val="top"/>
          </w:tcPr>
          <w:p w14:paraId="004E00AA">
            <w:pPr>
              <w:spacing w:before="261" w:line="184" w:lineRule="auto"/>
              <w:ind w:left="287" w:leftChars="0"/>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pacing w:val="-1"/>
                <w:sz w:val="22"/>
                <w:szCs w:val="22"/>
                <w14:textFill>
                  <w14:solidFill>
                    <w14:schemeClr w14:val="tx1"/>
                  </w14:solidFill>
                </w14:textFill>
              </w:rPr>
              <w:t>评分因素</w:t>
            </w:r>
          </w:p>
        </w:tc>
        <w:tc>
          <w:tcPr>
            <w:tcW w:w="5920" w:type="dxa"/>
            <w:vAlign w:val="top"/>
          </w:tcPr>
          <w:p w14:paraId="2070D0D3">
            <w:pPr>
              <w:spacing w:before="259" w:line="185" w:lineRule="auto"/>
              <w:ind w:left="2812" w:leftChars="0"/>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pacing w:val="-1"/>
                <w:sz w:val="22"/>
                <w:szCs w:val="22"/>
                <w14:textFill>
                  <w14:solidFill>
                    <w14:schemeClr w14:val="tx1"/>
                  </w14:solidFill>
                </w14:textFill>
              </w:rPr>
              <w:t>评审内容</w:t>
            </w:r>
          </w:p>
        </w:tc>
        <w:tc>
          <w:tcPr>
            <w:tcW w:w="680" w:type="dxa"/>
            <w:vAlign w:val="top"/>
          </w:tcPr>
          <w:p w14:paraId="1D403564">
            <w:pPr>
              <w:spacing w:before="261" w:line="184" w:lineRule="auto"/>
              <w:ind w:left="152" w:leftChars="0"/>
              <w:rPr>
                <w:rFonts w:ascii="微软雅黑" w:hAnsi="微软雅黑" w:eastAsia="微软雅黑" w:cs="微软雅黑"/>
                <w:color w:val="000000" w:themeColor="text1"/>
                <w:sz w:val="22"/>
                <w:szCs w:val="22"/>
                <w14:textFill>
                  <w14:solidFill>
                    <w14:schemeClr w14:val="tx1"/>
                  </w14:solidFill>
                </w14:textFill>
              </w:rPr>
            </w:pPr>
            <w:r>
              <w:rPr>
                <w:rFonts w:ascii="微软雅黑" w:hAnsi="微软雅黑" w:eastAsia="微软雅黑" w:cs="微软雅黑"/>
                <w:color w:val="000000" w:themeColor="text1"/>
                <w:sz w:val="22"/>
                <w:szCs w:val="22"/>
                <w14:textFill>
                  <w14:solidFill>
                    <w14:schemeClr w14:val="tx1"/>
                  </w14:solidFill>
                </w14:textFill>
              </w:rPr>
              <w:t>分值</w:t>
            </w:r>
          </w:p>
        </w:tc>
      </w:tr>
      <w:tr w14:paraId="6F93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1115" w:type="dxa"/>
            <w:vAlign w:val="top"/>
          </w:tcPr>
          <w:p w14:paraId="53C2C72A">
            <w:pPr>
              <w:spacing w:line="266" w:lineRule="auto"/>
              <w:rPr>
                <w:rFonts w:hint="eastAsia" w:ascii="宋体" w:hAnsi="宋体" w:eastAsia="宋体" w:cs="宋体"/>
                <w:color w:val="000000" w:themeColor="text1"/>
                <w:sz w:val="21"/>
                <w:szCs w:val="21"/>
                <w14:textFill>
                  <w14:solidFill>
                    <w14:schemeClr w14:val="tx1"/>
                  </w14:solidFill>
                </w14:textFill>
              </w:rPr>
            </w:pPr>
          </w:p>
          <w:p w14:paraId="23E5BCCE">
            <w:pPr>
              <w:spacing w:line="266" w:lineRule="auto"/>
              <w:rPr>
                <w:rFonts w:hint="eastAsia" w:ascii="宋体" w:hAnsi="宋体" w:eastAsia="宋体" w:cs="宋体"/>
                <w:color w:val="000000" w:themeColor="text1"/>
                <w:sz w:val="21"/>
                <w:szCs w:val="21"/>
                <w14:textFill>
                  <w14:solidFill>
                    <w14:schemeClr w14:val="tx1"/>
                  </w14:solidFill>
                </w14:textFill>
              </w:rPr>
            </w:pPr>
          </w:p>
          <w:p w14:paraId="1182EA3B">
            <w:pPr>
              <w:pStyle w:val="62"/>
              <w:spacing w:before="71" w:line="231" w:lineRule="auto"/>
              <w:ind w:left="183" w:leftChars="0" w:right="169" w:rightChars="0" w:hanging="5" w:firstLine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价格部分</w:t>
            </w:r>
            <w:r>
              <w:rPr>
                <w:rFonts w:hint="eastAsia" w:ascii="宋体" w:hAnsi="宋体" w:eastAsia="宋体" w:cs="宋体"/>
                <w:color w:val="000000" w:themeColor="text1"/>
                <w:spacing w:val="2"/>
                <w:sz w:val="21"/>
                <w:szCs w:val="21"/>
                <w14:textFill>
                  <w14:solidFill>
                    <w14:schemeClr w14:val="tx1"/>
                  </w14:solidFill>
                </w14:textFill>
              </w:rPr>
              <w:t xml:space="preserve"> </w:t>
            </w:r>
            <w:r>
              <w:rPr>
                <w:rFonts w:hint="eastAsia" w:ascii="宋体" w:hAnsi="宋体" w:eastAsia="宋体" w:cs="宋体"/>
                <w:color w:val="000000" w:themeColor="text1"/>
                <w:spacing w:val="-3"/>
                <w:sz w:val="21"/>
                <w:szCs w:val="21"/>
                <w14:textFill>
                  <w14:solidFill>
                    <w14:schemeClr w14:val="tx1"/>
                  </w14:solidFill>
                </w14:textFill>
              </w:rPr>
              <w:t>（30分）</w:t>
            </w:r>
          </w:p>
        </w:tc>
        <w:tc>
          <w:tcPr>
            <w:tcW w:w="1323" w:type="dxa"/>
            <w:vAlign w:val="top"/>
          </w:tcPr>
          <w:p w14:paraId="3BA6E74D">
            <w:pPr>
              <w:spacing w:line="313" w:lineRule="auto"/>
              <w:jc w:val="center"/>
              <w:rPr>
                <w:rFonts w:hint="eastAsia" w:ascii="宋体" w:hAnsi="宋体" w:eastAsia="宋体" w:cs="宋体"/>
                <w:color w:val="000000" w:themeColor="text1"/>
                <w:sz w:val="21"/>
                <w:szCs w:val="21"/>
                <w14:textFill>
                  <w14:solidFill>
                    <w14:schemeClr w14:val="tx1"/>
                  </w14:solidFill>
                </w14:textFill>
              </w:rPr>
            </w:pPr>
          </w:p>
          <w:p w14:paraId="0EFC2E4F">
            <w:pPr>
              <w:spacing w:line="314" w:lineRule="auto"/>
              <w:jc w:val="center"/>
              <w:rPr>
                <w:rFonts w:hint="eastAsia" w:ascii="宋体" w:hAnsi="宋体" w:eastAsia="宋体" w:cs="宋体"/>
                <w:color w:val="000000" w:themeColor="text1"/>
                <w:sz w:val="21"/>
                <w:szCs w:val="21"/>
                <w14:textFill>
                  <w14:solidFill>
                    <w14:schemeClr w14:val="tx1"/>
                  </w14:solidFill>
                </w14:textFill>
              </w:rPr>
            </w:pPr>
          </w:p>
          <w:p w14:paraId="3270A55F">
            <w:pPr>
              <w:pStyle w:val="62"/>
              <w:spacing w:before="71" w:line="219" w:lineRule="auto"/>
              <w:ind w:left="291" w:leftChars="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投标</w:t>
            </w:r>
            <w:r>
              <w:rPr>
                <w:rFonts w:hint="eastAsia" w:ascii="宋体" w:hAnsi="宋体" w:eastAsia="宋体" w:cs="宋体"/>
                <w:color w:val="000000" w:themeColor="text1"/>
                <w:spacing w:val="-2"/>
                <w:sz w:val="21"/>
                <w:szCs w:val="21"/>
                <w14:textFill>
                  <w14:solidFill>
                    <w14:schemeClr w14:val="tx1"/>
                  </w14:solidFill>
                </w14:textFill>
              </w:rPr>
              <w:t>报价</w:t>
            </w:r>
          </w:p>
        </w:tc>
        <w:tc>
          <w:tcPr>
            <w:tcW w:w="5920" w:type="dxa"/>
            <w:vAlign w:val="top"/>
          </w:tcPr>
          <w:p w14:paraId="4C9283A6">
            <w:pPr>
              <w:pStyle w:val="62"/>
              <w:spacing w:before="31" w:line="229" w:lineRule="auto"/>
              <w:ind w:left="10" w:right="115" w:firstLine="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1"/>
                <w:sz w:val="21"/>
                <w:szCs w:val="21"/>
                <w14:textFill>
                  <w14:solidFill>
                    <w14:schemeClr w14:val="tx1"/>
                  </w14:solidFill>
                </w14:textFill>
              </w:rPr>
              <w:t>综合评分法中的价格分统一采用低价优先法计算，即满足</w:t>
            </w:r>
            <w:r>
              <w:rPr>
                <w:rFonts w:hint="eastAsia" w:ascii="宋体" w:hAnsi="宋体" w:eastAsia="宋体" w:cs="宋体"/>
                <w:color w:val="000000" w:themeColor="text1"/>
                <w:spacing w:val="-1"/>
                <w:sz w:val="21"/>
                <w:szCs w:val="21"/>
                <w:lang w:val="en-US" w:eastAsia="zh-CN"/>
                <w14:textFill>
                  <w14:solidFill>
                    <w14:schemeClr w14:val="tx1"/>
                  </w14:solidFill>
                </w14:textFill>
              </w:rPr>
              <w:t>招标</w:t>
            </w:r>
            <w:r>
              <w:rPr>
                <w:rFonts w:hint="eastAsia" w:ascii="宋体" w:hAnsi="宋体" w:eastAsia="宋体" w:cs="宋体"/>
                <w:color w:val="000000" w:themeColor="text1"/>
                <w:spacing w:val="-1"/>
                <w:sz w:val="21"/>
                <w:szCs w:val="21"/>
                <w14:textFill>
                  <w14:solidFill>
                    <w14:schemeClr w14:val="tx1"/>
                  </w14:solidFill>
                </w14:textFill>
              </w:rPr>
              <w:t>文件</w:t>
            </w:r>
            <w:r>
              <w:rPr>
                <w:rFonts w:hint="eastAsia" w:ascii="宋体" w:hAnsi="宋体" w:eastAsia="宋体" w:cs="宋体"/>
                <w:color w:val="000000" w:themeColor="text1"/>
                <w:spacing w:val="18"/>
                <w:sz w:val="21"/>
                <w:szCs w:val="21"/>
                <w14:textFill>
                  <w14:solidFill>
                    <w14:schemeClr w14:val="tx1"/>
                  </w14:solidFill>
                </w14:textFill>
              </w:rPr>
              <w:t xml:space="preserve"> </w:t>
            </w:r>
            <w:r>
              <w:rPr>
                <w:rFonts w:hint="eastAsia" w:ascii="宋体" w:hAnsi="宋体" w:eastAsia="宋体" w:cs="宋体"/>
                <w:color w:val="000000" w:themeColor="text1"/>
                <w:spacing w:val="-1"/>
                <w:sz w:val="21"/>
                <w:szCs w:val="21"/>
                <w14:textFill>
                  <w14:solidFill>
                    <w14:schemeClr w14:val="tx1"/>
                  </w14:solidFill>
                </w14:textFill>
              </w:rPr>
              <w:t>要求（通过资格、符合性审查）且最后报价最低的供应商的价格（指价格核准后的价格，下同）为</w:t>
            </w:r>
            <w:r>
              <w:rPr>
                <w:rFonts w:hint="eastAsia" w:ascii="宋体" w:hAnsi="宋体" w:eastAsia="宋体" w:cs="宋体"/>
                <w:color w:val="000000" w:themeColor="text1"/>
                <w:spacing w:val="-1"/>
                <w:sz w:val="21"/>
                <w:szCs w:val="21"/>
                <w:lang w:val="en-US" w:eastAsia="zh-CN"/>
                <w14:textFill>
                  <w14:solidFill>
                    <w14:schemeClr w14:val="tx1"/>
                  </w14:solidFill>
                </w14:textFill>
              </w:rPr>
              <w:t>投标</w:t>
            </w:r>
            <w:r>
              <w:rPr>
                <w:rFonts w:hint="eastAsia" w:ascii="宋体" w:hAnsi="宋体" w:eastAsia="宋体" w:cs="宋体"/>
                <w:color w:val="000000" w:themeColor="text1"/>
                <w:spacing w:val="-1"/>
                <w:sz w:val="21"/>
                <w:szCs w:val="21"/>
                <w14:textFill>
                  <w14:solidFill>
                    <w14:schemeClr w14:val="tx1"/>
                  </w14:solidFill>
                </w14:textFill>
              </w:rPr>
              <w:t>基准价，其价格得分为满分。其他供应商的价格得分统一按照下列公式计算：</w:t>
            </w:r>
            <w:r>
              <w:rPr>
                <w:rFonts w:hint="eastAsia" w:ascii="宋体" w:hAnsi="宋体" w:eastAsia="宋体" w:cs="宋体"/>
                <w:color w:val="000000" w:themeColor="text1"/>
                <w:sz w:val="21"/>
                <w:szCs w:val="21"/>
                <w:lang w:val="en-US" w:eastAsia="zh-CN"/>
                <w14:textFill>
                  <w14:solidFill>
                    <w14:schemeClr w14:val="tx1"/>
                  </w14:solidFill>
                </w14:textFill>
              </w:rPr>
              <w:t>投标</w:t>
            </w:r>
            <w:r>
              <w:rPr>
                <w:rFonts w:hint="eastAsia" w:ascii="宋体" w:hAnsi="宋体" w:eastAsia="宋体" w:cs="宋体"/>
                <w:color w:val="000000" w:themeColor="text1"/>
                <w:sz w:val="21"/>
                <w:szCs w:val="21"/>
                <w14:textFill>
                  <w14:solidFill>
                    <w14:schemeClr w14:val="tx1"/>
                  </w14:solidFill>
                </w14:textFill>
              </w:rPr>
              <w:t>基准价=满足</w:t>
            </w:r>
            <w:r>
              <w:rPr>
                <w:rFonts w:hint="eastAsia" w:ascii="宋体" w:hAnsi="宋体" w:eastAsia="宋体" w:cs="宋体"/>
                <w:color w:val="000000" w:themeColor="text1"/>
                <w:sz w:val="21"/>
                <w:szCs w:val="21"/>
                <w:lang w:val="en-US" w:eastAsia="zh-CN"/>
                <w14:textFill>
                  <w14:solidFill>
                    <w14:schemeClr w14:val="tx1"/>
                  </w14:solidFill>
                </w14:textFill>
              </w:rPr>
              <w:t>招标</w:t>
            </w:r>
            <w:r>
              <w:rPr>
                <w:rFonts w:hint="eastAsia" w:ascii="宋体" w:hAnsi="宋体" w:eastAsia="宋体" w:cs="宋体"/>
                <w:color w:val="000000" w:themeColor="text1"/>
                <w:sz w:val="21"/>
                <w:szCs w:val="21"/>
                <w14:textFill>
                  <w14:solidFill>
                    <w14:schemeClr w14:val="tx1"/>
                  </w14:solidFill>
                </w14:textFill>
              </w:rPr>
              <w:t>文件要求（通过资格、符合性</w:t>
            </w:r>
            <w:r>
              <w:rPr>
                <w:rFonts w:hint="eastAsia" w:ascii="宋体" w:hAnsi="宋体" w:eastAsia="宋体" w:cs="宋体"/>
                <w:color w:val="000000" w:themeColor="text1"/>
                <w:spacing w:val="-1"/>
                <w:sz w:val="21"/>
                <w:szCs w:val="21"/>
                <w14:textFill>
                  <w14:solidFill>
                    <w14:schemeClr w14:val="tx1"/>
                  </w14:solidFill>
                </w14:textFill>
              </w:rPr>
              <w:t>审查）且最后报价最低的供应商的价格（指价格核准后的价格，下同）</w:t>
            </w:r>
          </w:p>
          <w:p w14:paraId="2EE5ABE9">
            <w:pPr>
              <w:pStyle w:val="62"/>
              <w:spacing w:before="24" w:line="219" w:lineRule="auto"/>
              <w:ind w:left="8" w:leftChars="0"/>
              <w:rPr>
                <w:rFonts w:hint="eastAsia" w:ascii="宋体" w:hAnsi="宋体" w:eastAsia="宋体" w:cs="宋体"/>
                <w:color w:val="000000" w:themeColor="text1"/>
                <w:spacing w:val="-2"/>
                <w:sz w:val="21"/>
                <w:szCs w:val="21"/>
                <w14:textFill>
                  <w14:solidFill>
                    <w14:schemeClr w14:val="tx1"/>
                  </w14:solidFill>
                </w14:textFill>
              </w:rPr>
            </w:pPr>
            <w:r>
              <w:rPr>
                <w:rFonts w:hint="eastAsia" w:ascii="宋体" w:hAnsi="宋体" w:eastAsia="宋体" w:cs="宋体"/>
                <w:color w:val="000000" w:themeColor="text1"/>
                <w:spacing w:val="-2"/>
                <w:sz w:val="21"/>
                <w:szCs w:val="21"/>
                <w:lang w:val="en-US" w:eastAsia="zh-CN"/>
                <w14:textFill>
                  <w14:solidFill>
                    <w14:schemeClr w14:val="tx1"/>
                  </w14:solidFill>
                </w14:textFill>
              </w:rPr>
              <w:t>投标</w:t>
            </w:r>
            <w:r>
              <w:rPr>
                <w:rFonts w:hint="eastAsia" w:ascii="宋体" w:hAnsi="宋体" w:eastAsia="宋体" w:cs="宋体"/>
                <w:color w:val="000000" w:themeColor="text1"/>
                <w:spacing w:val="-2"/>
                <w:sz w:val="21"/>
                <w:szCs w:val="21"/>
                <w14:textFill>
                  <w14:solidFill>
                    <w14:schemeClr w14:val="tx1"/>
                  </w14:solidFill>
                </w14:textFill>
              </w:rPr>
              <w:t>报价得分=</w:t>
            </w:r>
            <w:r>
              <w:rPr>
                <w:rFonts w:hint="eastAsia" w:ascii="宋体" w:hAnsi="宋体" w:eastAsia="宋体" w:cs="宋体"/>
                <w:color w:val="000000" w:themeColor="text1"/>
                <w:spacing w:val="-57"/>
                <w:sz w:val="21"/>
                <w:szCs w:val="21"/>
                <w14:textFill>
                  <w14:solidFill>
                    <w14:schemeClr w14:val="tx1"/>
                  </w14:solidFill>
                </w14:textFill>
              </w:rPr>
              <w:t xml:space="preserve"> </w:t>
            </w:r>
            <w:r>
              <w:rPr>
                <w:rFonts w:hint="eastAsia" w:ascii="宋体" w:hAnsi="宋体" w:eastAsia="宋体" w:cs="宋体"/>
                <w:color w:val="000000" w:themeColor="text1"/>
                <w:spacing w:val="-2"/>
                <w:sz w:val="21"/>
                <w:szCs w:val="21"/>
                <w14:textFill>
                  <w14:solidFill>
                    <w14:schemeClr w14:val="tx1"/>
                  </w14:solidFill>
                </w14:textFill>
              </w:rPr>
              <w:t>(</w:t>
            </w:r>
            <w:r>
              <w:rPr>
                <w:rFonts w:hint="eastAsia" w:ascii="宋体" w:hAnsi="宋体" w:eastAsia="宋体" w:cs="宋体"/>
                <w:color w:val="000000" w:themeColor="text1"/>
                <w:spacing w:val="-2"/>
                <w:sz w:val="21"/>
                <w:szCs w:val="21"/>
                <w:lang w:val="en-US" w:eastAsia="zh-CN"/>
                <w14:textFill>
                  <w14:solidFill>
                    <w14:schemeClr w14:val="tx1"/>
                  </w14:solidFill>
                </w14:textFill>
              </w:rPr>
              <w:t>投标</w:t>
            </w:r>
            <w:r>
              <w:rPr>
                <w:rFonts w:hint="eastAsia" w:ascii="宋体" w:hAnsi="宋体" w:eastAsia="宋体" w:cs="宋体"/>
                <w:color w:val="000000" w:themeColor="text1"/>
                <w:spacing w:val="-2"/>
                <w:sz w:val="21"/>
                <w:szCs w:val="21"/>
                <w14:textFill>
                  <w14:solidFill>
                    <w14:schemeClr w14:val="tx1"/>
                  </w14:solidFill>
                </w14:textFill>
              </w:rPr>
              <w:t>基准价/最后</w:t>
            </w:r>
            <w:r>
              <w:rPr>
                <w:rFonts w:hint="eastAsia" w:ascii="宋体" w:hAnsi="宋体" w:eastAsia="宋体" w:cs="宋体"/>
                <w:color w:val="000000" w:themeColor="text1"/>
                <w:spacing w:val="-2"/>
                <w:sz w:val="21"/>
                <w:szCs w:val="21"/>
                <w:lang w:val="en-US" w:eastAsia="zh-CN"/>
                <w14:textFill>
                  <w14:solidFill>
                    <w14:schemeClr w14:val="tx1"/>
                  </w14:solidFill>
                </w14:textFill>
              </w:rPr>
              <w:t>投标</w:t>
            </w:r>
            <w:r>
              <w:rPr>
                <w:rFonts w:hint="eastAsia" w:ascii="宋体" w:hAnsi="宋体" w:eastAsia="宋体" w:cs="宋体"/>
                <w:color w:val="000000" w:themeColor="text1"/>
                <w:spacing w:val="-2"/>
                <w:sz w:val="21"/>
                <w:szCs w:val="21"/>
                <w14:textFill>
                  <w14:solidFill>
                    <w14:schemeClr w14:val="tx1"/>
                  </w14:solidFill>
                </w14:textFill>
              </w:rPr>
              <w:t>报价)×价格权重×100</w:t>
            </w:r>
          </w:p>
        </w:tc>
        <w:tc>
          <w:tcPr>
            <w:tcW w:w="680" w:type="dxa"/>
            <w:vAlign w:val="top"/>
          </w:tcPr>
          <w:p w14:paraId="1AA2639A">
            <w:pPr>
              <w:spacing w:line="281" w:lineRule="auto"/>
              <w:rPr>
                <w:rFonts w:hint="eastAsia" w:ascii="宋体" w:hAnsi="宋体" w:eastAsia="宋体" w:cs="宋体"/>
                <w:color w:val="000000" w:themeColor="text1"/>
                <w:sz w:val="21"/>
                <w:szCs w:val="21"/>
                <w14:textFill>
                  <w14:solidFill>
                    <w14:schemeClr w14:val="tx1"/>
                  </w14:solidFill>
                </w14:textFill>
              </w:rPr>
            </w:pPr>
          </w:p>
          <w:p w14:paraId="01CDB676">
            <w:pPr>
              <w:spacing w:line="282" w:lineRule="auto"/>
              <w:rPr>
                <w:rFonts w:hint="eastAsia" w:ascii="宋体" w:hAnsi="宋体" w:eastAsia="宋体" w:cs="宋体"/>
                <w:color w:val="000000" w:themeColor="text1"/>
                <w:sz w:val="21"/>
                <w:szCs w:val="21"/>
                <w14:textFill>
                  <w14:solidFill>
                    <w14:schemeClr w14:val="tx1"/>
                  </w14:solidFill>
                </w14:textFill>
              </w:rPr>
            </w:pPr>
          </w:p>
          <w:p w14:paraId="0587825E">
            <w:pPr>
              <w:spacing w:line="282" w:lineRule="auto"/>
              <w:rPr>
                <w:rFonts w:hint="eastAsia" w:ascii="宋体" w:hAnsi="宋体" w:eastAsia="宋体" w:cs="宋体"/>
                <w:color w:val="000000" w:themeColor="text1"/>
                <w:sz w:val="21"/>
                <w:szCs w:val="21"/>
                <w14:textFill>
                  <w14:solidFill>
                    <w14:schemeClr w14:val="tx1"/>
                  </w14:solidFill>
                </w14:textFill>
              </w:rPr>
            </w:pPr>
          </w:p>
          <w:p w14:paraId="260E18FF">
            <w:pPr>
              <w:pStyle w:val="62"/>
              <w:spacing w:before="71" w:line="184" w:lineRule="auto"/>
              <w:ind w:left="274" w:lef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7"/>
                <w:sz w:val="21"/>
                <w:szCs w:val="21"/>
                <w14:textFill>
                  <w14:solidFill>
                    <w14:schemeClr w14:val="tx1"/>
                  </w14:solidFill>
                </w14:textFill>
              </w:rPr>
              <w:t>30</w:t>
            </w:r>
          </w:p>
        </w:tc>
      </w:tr>
      <w:tr w14:paraId="23BC1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1115" w:type="dxa"/>
            <w:vMerge w:val="restart"/>
            <w:tcBorders>
              <w:bottom w:val="nil"/>
            </w:tcBorders>
            <w:vAlign w:val="top"/>
          </w:tcPr>
          <w:p w14:paraId="3F5D7FB8">
            <w:pPr>
              <w:spacing w:line="263" w:lineRule="auto"/>
              <w:rPr>
                <w:rFonts w:hint="eastAsia" w:ascii="宋体" w:hAnsi="宋体" w:eastAsia="宋体" w:cs="宋体"/>
                <w:color w:val="000000" w:themeColor="text1"/>
                <w:sz w:val="21"/>
                <w:szCs w:val="21"/>
                <w14:textFill>
                  <w14:solidFill>
                    <w14:schemeClr w14:val="tx1"/>
                  </w14:solidFill>
                </w14:textFill>
              </w:rPr>
            </w:pPr>
          </w:p>
          <w:p w14:paraId="258FDA50">
            <w:pPr>
              <w:spacing w:line="263" w:lineRule="auto"/>
              <w:rPr>
                <w:rFonts w:hint="eastAsia" w:ascii="宋体" w:hAnsi="宋体" w:eastAsia="宋体" w:cs="宋体"/>
                <w:color w:val="000000" w:themeColor="text1"/>
                <w:sz w:val="21"/>
                <w:szCs w:val="21"/>
                <w14:textFill>
                  <w14:solidFill>
                    <w14:schemeClr w14:val="tx1"/>
                  </w14:solidFill>
                </w14:textFill>
              </w:rPr>
            </w:pPr>
          </w:p>
          <w:p w14:paraId="11496F34">
            <w:pPr>
              <w:spacing w:line="264" w:lineRule="auto"/>
              <w:rPr>
                <w:rFonts w:hint="eastAsia" w:ascii="宋体" w:hAnsi="宋体" w:eastAsia="宋体" w:cs="宋体"/>
                <w:color w:val="000000" w:themeColor="text1"/>
                <w:sz w:val="21"/>
                <w:szCs w:val="21"/>
                <w14:textFill>
                  <w14:solidFill>
                    <w14:schemeClr w14:val="tx1"/>
                  </w14:solidFill>
                </w14:textFill>
              </w:rPr>
            </w:pPr>
          </w:p>
          <w:p w14:paraId="5232C73D">
            <w:pPr>
              <w:pStyle w:val="62"/>
              <w:spacing w:before="71" w:line="231" w:lineRule="auto"/>
              <w:ind w:right="169" w:rightChars="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4"/>
                <w:sz w:val="21"/>
                <w:szCs w:val="21"/>
                <w14:textFill>
                  <w14:solidFill>
                    <w14:schemeClr w14:val="tx1"/>
                  </w14:solidFill>
                </w14:textFill>
              </w:rPr>
              <w:t>商务部分</w:t>
            </w:r>
            <w:r>
              <w:rPr>
                <w:rFonts w:hint="eastAsia" w:ascii="宋体" w:hAnsi="宋体" w:eastAsia="宋体" w:cs="宋体"/>
                <w:color w:val="000000" w:themeColor="text1"/>
                <w:spacing w:val="2"/>
                <w:sz w:val="21"/>
                <w:szCs w:val="21"/>
                <w14:textFill>
                  <w14:solidFill>
                    <w14:schemeClr w14:val="tx1"/>
                  </w14:solidFill>
                </w14:textFill>
              </w:rPr>
              <w:t xml:space="preserve"> </w:t>
            </w:r>
            <w:r>
              <w:rPr>
                <w:rFonts w:hint="eastAsia" w:ascii="宋体" w:hAnsi="宋体" w:eastAsia="宋体" w:cs="宋体"/>
                <w:color w:val="000000" w:themeColor="text1"/>
                <w:spacing w:val="-3"/>
                <w:sz w:val="21"/>
                <w:szCs w:val="21"/>
                <w14:textFill>
                  <w14:solidFill>
                    <w14:schemeClr w14:val="tx1"/>
                  </w14:solidFill>
                </w14:textFill>
              </w:rPr>
              <w:t>（</w:t>
            </w:r>
            <w:r>
              <w:rPr>
                <w:rFonts w:hint="eastAsia" w:ascii="宋体" w:hAnsi="宋体" w:eastAsia="宋体" w:cs="宋体"/>
                <w:color w:val="000000" w:themeColor="text1"/>
                <w:spacing w:val="-3"/>
                <w:sz w:val="21"/>
                <w:szCs w:val="21"/>
                <w:lang w:val="en-US" w:eastAsia="zh-CN"/>
                <w14:textFill>
                  <w14:solidFill>
                    <w14:schemeClr w14:val="tx1"/>
                  </w14:solidFill>
                </w14:textFill>
              </w:rPr>
              <w:t>5</w:t>
            </w:r>
            <w:r>
              <w:rPr>
                <w:rFonts w:hint="eastAsia" w:ascii="宋体" w:hAnsi="宋体" w:eastAsia="宋体" w:cs="宋体"/>
                <w:color w:val="000000" w:themeColor="text1"/>
                <w:spacing w:val="-3"/>
                <w:sz w:val="21"/>
                <w:szCs w:val="21"/>
                <w14:textFill>
                  <w14:solidFill>
                    <w14:schemeClr w14:val="tx1"/>
                  </w14:solidFill>
                </w14:textFill>
              </w:rPr>
              <w:t>分）</w:t>
            </w:r>
          </w:p>
        </w:tc>
        <w:tc>
          <w:tcPr>
            <w:tcW w:w="1323" w:type="dxa"/>
            <w:vAlign w:val="top"/>
          </w:tcPr>
          <w:p w14:paraId="0BFA4DF3">
            <w:pPr>
              <w:spacing w:line="313" w:lineRule="auto"/>
              <w:jc w:val="center"/>
              <w:rPr>
                <w:rFonts w:hint="eastAsia" w:ascii="宋体" w:hAnsi="宋体" w:eastAsia="宋体" w:cs="宋体"/>
                <w:color w:val="000000" w:themeColor="text1"/>
                <w:sz w:val="21"/>
                <w:szCs w:val="21"/>
                <w14:textFill>
                  <w14:solidFill>
                    <w14:schemeClr w14:val="tx1"/>
                  </w14:solidFill>
                </w14:textFill>
              </w:rPr>
            </w:pPr>
          </w:p>
          <w:p w14:paraId="3576F556">
            <w:pPr>
              <w:spacing w:line="31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类似</w:t>
            </w:r>
            <w:r>
              <w:rPr>
                <w:rFonts w:hint="eastAsia" w:ascii="宋体" w:hAnsi="宋体" w:eastAsia="宋体" w:cs="宋体"/>
                <w:color w:val="000000" w:themeColor="text1"/>
                <w:sz w:val="21"/>
                <w:szCs w:val="21"/>
                <w14:textFill>
                  <w14:solidFill>
                    <w14:schemeClr w14:val="tx1"/>
                  </w14:solidFill>
                </w14:textFill>
              </w:rPr>
              <w:t>业绩</w:t>
            </w:r>
          </w:p>
        </w:tc>
        <w:tc>
          <w:tcPr>
            <w:tcW w:w="5920" w:type="dxa"/>
            <w:vAlign w:val="top"/>
          </w:tcPr>
          <w:p w14:paraId="176CF8DA">
            <w:pPr>
              <w:spacing w:line="313"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投标人或产品制造商 202</w:t>
            </w: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sz w:val="21"/>
                <w:szCs w:val="21"/>
                <w:lang w:val="en-US" w:eastAsia="zh-CN"/>
                <w14:textFill>
                  <w14:solidFill>
                    <w14:schemeClr w14:val="tx1"/>
                  </w14:solidFill>
                </w14:textFill>
              </w:rPr>
              <w:t>01</w:t>
            </w:r>
            <w:r>
              <w:rPr>
                <w:rFonts w:hint="eastAsia" w:ascii="宋体" w:hAnsi="宋体" w:eastAsia="宋体" w:cs="宋体"/>
                <w:color w:val="000000" w:themeColor="text1"/>
                <w:sz w:val="21"/>
                <w:szCs w:val="21"/>
                <w14:textFill>
                  <w14:solidFill>
                    <w14:schemeClr w14:val="tx1"/>
                  </w14:solidFill>
                </w14:textFill>
              </w:rPr>
              <w:t xml:space="preserve">月 </w:t>
            </w:r>
            <w:r>
              <w:rPr>
                <w:rFonts w:hint="eastAsia" w:ascii="宋体" w:hAnsi="宋体" w:eastAsia="宋体" w:cs="宋体"/>
                <w:color w:val="000000" w:themeColor="text1"/>
                <w:sz w:val="21"/>
                <w:szCs w:val="21"/>
                <w:lang w:val="en-US" w:eastAsia="zh-CN"/>
                <w14:textFill>
                  <w14:solidFill>
                    <w14:schemeClr w14:val="tx1"/>
                  </w14:solidFill>
                </w14:textFill>
              </w:rPr>
              <w:t>0</w:t>
            </w:r>
            <w:r>
              <w:rPr>
                <w:rFonts w:hint="eastAsia" w:ascii="宋体" w:hAnsi="宋体" w:eastAsia="宋体" w:cs="宋体"/>
                <w:color w:val="000000" w:themeColor="text1"/>
                <w:sz w:val="21"/>
                <w:szCs w:val="21"/>
                <w14:textFill>
                  <w14:solidFill>
                    <w14:schemeClr w14:val="tx1"/>
                  </w14:solidFill>
                </w14:textFill>
              </w:rPr>
              <w:t>1日至今（以合同签订日期为准），提供</w:t>
            </w:r>
            <w:r>
              <w:rPr>
                <w:rFonts w:hint="eastAsia" w:ascii="宋体" w:hAnsi="宋体" w:cs="宋体"/>
                <w:color w:val="000000" w:themeColor="text1"/>
                <w:sz w:val="21"/>
                <w:szCs w:val="21"/>
                <w:lang w:val="en-US" w:eastAsia="zh-CN"/>
                <w14:textFill>
                  <w14:solidFill>
                    <w14:schemeClr w14:val="tx1"/>
                  </w14:solidFill>
                </w14:textFill>
              </w:rPr>
              <w:t>类似</w:t>
            </w:r>
            <w:r>
              <w:rPr>
                <w:rFonts w:hint="eastAsia" w:ascii="宋体" w:hAnsi="宋体" w:eastAsia="宋体" w:cs="宋体"/>
                <w:color w:val="000000" w:themeColor="text1"/>
                <w:sz w:val="21"/>
                <w:szCs w:val="21"/>
                <w14:textFill>
                  <w14:solidFill>
                    <w14:schemeClr w14:val="tx1"/>
                  </w14:solidFill>
                </w14:textFill>
              </w:rPr>
              <w:t>产品的业绩，每提供1个销售业绩得</w:t>
            </w: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 xml:space="preserve"> 分，最高得</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分。 注：须提供中标（成交）通知书</w:t>
            </w:r>
            <w:r>
              <w:rPr>
                <w:rFonts w:hint="eastAsia" w:ascii="宋体" w:hAnsi="宋体" w:eastAsia="宋体" w:cs="宋体"/>
                <w:color w:val="000000" w:themeColor="text1"/>
                <w:sz w:val="21"/>
                <w:szCs w:val="21"/>
                <w:lang w:val="en-US" w:eastAsia="zh-CN"/>
                <w14:textFill>
                  <w14:solidFill>
                    <w14:schemeClr w14:val="tx1"/>
                  </w14:solidFill>
                </w14:textFill>
              </w:rPr>
              <w:t>或采购</w:t>
            </w:r>
            <w:r>
              <w:rPr>
                <w:rFonts w:hint="eastAsia" w:ascii="宋体" w:hAnsi="宋体" w:eastAsia="宋体" w:cs="宋体"/>
                <w:color w:val="000000" w:themeColor="text1"/>
                <w:sz w:val="21"/>
                <w:szCs w:val="21"/>
                <w14:textFill>
                  <w14:solidFill>
                    <w14:schemeClr w14:val="tx1"/>
                  </w14:solidFill>
                </w14:textFill>
              </w:rPr>
              <w:t>合同。</w:t>
            </w:r>
            <w:r>
              <w:rPr>
                <w:rFonts w:hint="eastAsia" w:ascii="宋体" w:hAnsi="宋体" w:eastAsia="宋体" w:cs="宋体"/>
                <w:color w:val="000000" w:themeColor="text1"/>
                <w:sz w:val="21"/>
                <w:szCs w:val="21"/>
                <w:lang w:val="en-US" w:eastAsia="zh-CN"/>
                <w14:textFill>
                  <w14:solidFill>
                    <w14:schemeClr w14:val="tx1"/>
                  </w14:solidFill>
                </w14:textFill>
              </w:rPr>
              <w:t>未</w:t>
            </w:r>
            <w:r>
              <w:rPr>
                <w:rFonts w:hint="eastAsia" w:ascii="宋体" w:hAnsi="宋体" w:eastAsia="宋体" w:cs="宋体"/>
                <w:color w:val="000000" w:themeColor="text1"/>
                <w:sz w:val="21"/>
                <w:szCs w:val="21"/>
                <w14:textFill>
                  <w14:solidFill>
                    <w14:schemeClr w14:val="tx1"/>
                  </w14:solidFill>
                </w14:textFill>
              </w:rPr>
              <w:t>提供不得分。</w:t>
            </w:r>
          </w:p>
        </w:tc>
        <w:tc>
          <w:tcPr>
            <w:tcW w:w="680" w:type="dxa"/>
            <w:vAlign w:val="top"/>
          </w:tcPr>
          <w:p w14:paraId="201E4A7F">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5270AB93">
            <w:pPr>
              <w:pStyle w:val="62"/>
              <w:keepNext w:val="0"/>
              <w:keepLines w:val="0"/>
              <w:pageBreakBefore w:val="0"/>
              <w:kinsoku/>
              <w:wordWrap/>
              <w:overflowPunct/>
              <w:topLinePunct w:val="0"/>
              <w:autoSpaceDE/>
              <w:autoSpaceDN/>
              <w:bidi w:val="0"/>
              <w:snapToGrid/>
              <w:spacing w:before="71" w:line="300" w:lineRule="exact"/>
              <w:ind w:left="326" w:leftChars="0"/>
              <w:textAlignment w:val="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p>
        </w:tc>
      </w:tr>
      <w:tr w14:paraId="522D5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115" w:type="dxa"/>
            <w:vMerge w:val="continue"/>
            <w:tcBorders>
              <w:top w:val="nil"/>
            </w:tcBorders>
            <w:vAlign w:val="top"/>
          </w:tcPr>
          <w:p w14:paraId="2CC6590E">
            <w:pPr>
              <w:rPr>
                <w:rFonts w:hint="eastAsia" w:ascii="宋体" w:hAnsi="宋体" w:eastAsia="宋体" w:cs="宋体"/>
                <w:color w:val="000000" w:themeColor="text1"/>
                <w:sz w:val="21"/>
                <w:szCs w:val="21"/>
                <w14:textFill>
                  <w14:solidFill>
                    <w14:schemeClr w14:val="tx1"/>
                  </w14:solidFill>
                </w14:textFill>
              </w:rPr>
            </w:pPr>
          </w:p>
        </w:tc>
        <w:tc>
          <w:tcPr>
            <w:tcW w:w="1323" w:type="dxa"/>
            <w:vAlign w:val="top"/>
          </w:tcPr>
          <w:p w14:paraId="46A8BA8D">
            <w:pPr>
              <w:spacing w:line="313" w:lineRule="auto"/>
              <w:jc w:val="center"/>
              <w:rPr>
                <w:rFonts w:hint="eastAsia" w:ascii="宋体" w:hAnsi="宋体" w:eastAsia="宋体" w:cs="宋体"/>
                <w:color w:val="000000" w:themeColor="text1"/>
                <w:sz w:val="21"/>
                <w:szCs w:val="21"/>
                <w14:textFill>
                  <w14:solidFill>
                    <w14:schemeClr w14:val="tx1"/>
                  </w14:solidFill>
                </w14:textFill>
              </w:rPr>
            </w:pPr>
          </w:p>
          <w:p w14:paraId="083D5D7F">
            <w:pPr>
              <w:spacing w:line="313" w:lineRule="auto"/>
              <w:jc w:val="center"/>
              <w:rPr>
                <w:rFonts w:hint="eastAsia" w:ascii="宋体" w:hAnsi="宋体" w:eastAsia="宋体" w:cs="宋体"/>
                <w:color w:val="000000" w:themeColor="text1"/>
                <w:sz w:val="21"/>
                <w:szCs w:val="21"/>
                <w14:textFill>
                  <w14:solidFill>
                    <w14:schemeClr w14:val="tx1"/>
                  </w14:solidFill>
                </w14:textFill>
              </w:rPr>
            </w:pPr>
          </w:p>
          <w:p w14:paraId="7BA9A75D">
            <w:pPr>
              <w:spacing w:line="313"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项目团队</w:t>
            </w:r>
          </w:p>
          <w:p w14:paraId="61C4106E">
            <w:pPr>
              <w:spacing w:line="313" w:lineRule="auto"/>
              <w:jc w:val="center"/>
              <w:rPr>
                <w:rFonts w:hint="eastAsia" w:ascii="宋体" w:hAnsi="宋体" w:eastAsia="宋体" w:cs="宋体"/>
                <w:color w:val="000000" w:themeColor="text1"/>
                <w:sz w:val="21"/>
                <w:szCs w:val="21"/>
                <w14:textFill>
                  <w14:solidFill>
                    <w14:schemeClr w14:val="tx1"/>
                  </w14:solidFill>
                </w14:textFill>
              </w:rPr>
            </w:pPr>
          </w:p>
        </w:tc>
        <w:tc>
          <w:tcPr>
            <w:tcW w:w="5920" w:type="dxa"/>
            <w:vAlign w:val="top"/>
          </w:tcPr>
          <w:p w14:paraId="1B2E6A2A">
            <w:pPr>
              <w:spacing w:line="313"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具备完整的服务团队人员，包括但不限于项目负责人、运输保障组、售后服务</w:t>
            </w:r>
            <w:r>
              <w:rPr>
                <w:rFonts w:hint="eastAsia" w:ascii="宋体" w:hAnsi="宋体" w:cs="宋体"/>
                <w:color w:val="000000" w:themeColor="text1"/>
                <w:sz w:val="21"/>
                <w:szCs w:val="21"/>
                <w:lang w:val="en-US" w:eastAsia="zh-CN"/>
                <w14:textFill>
                  <w14:solidFill>
                    <w14:schemeClr w14:val="tx1"/>
                  </w14:solidFill>
                </w14:textFill>
              </w:rPr>
              <w:t>安装</w:t>
            </w:r>
            <w:r>
              <w:rPr>
                <w:rFonts w:hint="eastAsia" w:ascii="宋体" w:hAnsi="宋体" w:eastAsia="宋体" w:cs="宋体"/>
                <w:color w:val="000000" w:themeColor="text1"/>
                <w:sz w:val="21"/>
                <w:szCs w:val="21"/>
                <w:lang w:val="en-US" w:eastAsia="zh-CN"/>
                <w14:textFill>
                  <w14:solidFill>
                    <w14:schemeClr w14:val="tx1"/>
                  </w14:solidFill>
                </w14:textFill>
              </w:rPr>
              <w:t>人员，所有岗位人员配备齐全得</w:t>
            </w:r>
            <w:r>
              <w:rPr>
                <w:rFonts w:hint="eastAsia" w:ascii="宋体" w:hAnsi="宋体" w:cs="宋体"/>
                <w:color w:val="000000" w:themeColor="text1"/>
                <w:sz w:val="21"/>
                <w:szCs w:val="21"/>
                <w:lang w:val="en-US" w:eastAsia="zh-CN"/>
                <w14:textFill>
                  <w14:solidFill>
                    <w14:schemeClr w14:val="tx1"/>
                  </w14:solidFill>
                </w14:textFill>
              </w:rPr>
              <w:t>3</w:t>
            </w:r>
            <w:r>
              <w:rPr>
                <w:rFonts w:hint="eastAsia" w:ascii="宋体" w:hAnsi="宋体" w:eastAsia="宋体" w:cs="宋体"/>
                <w:color w:val="000000" w:themeColor="text1"/>
                <w:sz w:val="21"/>
                <w:szCs w:val="21"/>
                <w:lang w:val="en-US" w:eastAsia="zh-CN"/>
                <w14:textFill>
                  <w14:solidFill>
                    <w14:schemeClr w14:val="tx1"/>
                  </w14:solidFill>
                </w14:textFill>
              </w:rPr>
              <w:t xml:space="preserve">分，每有一项缺项或漏项扣1分。  </w:t>
            </w:r>
          </w:p>
          <w:p w14:paraId="23C9DEF0">
            <w:pPr>
              <w:spacing w:line="313"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注:提供以上人员身份证及劳动（或聘用）合同(或者近一个月供应商为其缴纳社保证明材料)加盖公章复印件，未提供不得分。</w:t>
            </w:r>
          </w:p>
        </w:tc>
        <w:tc>
          <w:tcPr>
            <w:tcW w:w="680" w:type="dxa"/>
            <w:vAlign w:val="top"/>
          </w:tcPr>
          <w:p w14:paraId="5535859F">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62E54F58">
            <w:pPr>
              <w:pStyle w:val="62"/>
              <w:keepNext w:val="0"/>
              <w:keepLines w:val="0"/>
              <w:pageBreakBefore w:val="0"/>
              <w:kinsoku/>
              <w:wordWrap/>
              <w:overflowPunct/>
              <w:topLinePunct w:val="0"/>
              <w:autoSpaceDE/>
              <w:autoSpaceDN/>
              <w:bidi w:val="0"/>
              <w:snapToGrid/>
              <w:spacing w:before="71" w:line="300" w:lineRule="exact"/>
              <w:textAlignment w:val="auto"/>
              <w:rPr>
                <w:rFonts w:hint="eastAsia" w:ascii="宋体" w:hAnsi="宋体" w:eastAsia="宋体" w:cs="宋体"/>
                <w:color w:val="000000" w:themeColor="text1"/>
                <w:sz w:val="21"/>
                <w:szCs w:val="21"/>
                <w:lang w:val="en-US" w:eastAsia="zh-CN"/>
                <w14:textFill>
                  <w14:solidFill>
                    <w14:schemeClr w14:val="tx1"/>
                  </w14:solidFill>
                </w14:textFill>
              </w:rPr>
            </w:pPr>
          </w:p>
          <w:p w14:paraId="4CF256FD">
            <w:pPr>
              <w:pStyle w:val="62"/>
              <w:keepNext w:val="0"/>
              <w:keepLines w:val="0"/>
              <w:pageBreakBefore w:val="0"/>
              <w:kinsoku/>
              <w:wordWrap/>
              <w:overflowPunct/>
              <w:topLinePunct w:val="0"/>
              <w:autoSpaceDE/>
              <w:autoSpaceDN/>
              <w:bidi w:val="0"/>
              <w:snapToGrid/>
              <w:spacing w:before="71" w:line="300" w:lineRule="exact"/>
              <w:ind w:firstLine="210" w:firstLineChars="100"/>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r>
      <w:tr w14:paraId="22A7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1115" w:type="dxa"/>
            <w:vMerge w:val="restart"/>
            <w:vAlign w:val="top"/>
          </w:tcPr>
          <w:p w14:paraId="0BD69DDD">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7F4E6322">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652D446A">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66379886">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4800B96D">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05AA41B6">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0062AF24">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p w14:paraId="5FF11F5E">
            <w:pPr>
              <w:pStyle w:val="62"/>
              <w:keepNext w:val="0"/>
              <w:keepLines w:val="0"/>
              <w:pageBreakBefore w:val="0"/>
              <w:kinsoku/>
              <w:wordWrap/>
              <w:overflowPunct/>
              <w:topLinePunct w:val="0"/>
              <w:autoSpaceDE/>
              <w:autoSpaceDN/>
              <w:bidi w:val="0"/>
              <w:snapToGrid/>
              <w:spacing w:before="71" w:line="300" w:lineRule="exact"/>
              <w:ind w:left="183" w:leftChars="0" w:right="169" w:rightChars="0" w:hanging="5" w:firstLineChars="0"/>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14:textFill>
                  <w14:solidFill>
                    <w14:schemeClr w14:val="tx1"/>
                  </w14:solidFill>
                </w14:textFill>
              </w:rPr>
              <w:t>技术部分</w:t>
            </w:r>
            <w:r>
              <w:rPr>
                <w:rFonts w:hint="eastAsia" w:ascii="宋体" w:hAnsi="宋体" w:eastAsia="宋体" w:cs="宋体"/>
                <w:color w:val="000000" w:themeColor="text1"/>
                <w:spacing w:val="2"/>
                <w:sz w:val="21"/>
                <w:szCs w:val="21"/>
                <w14:textFill>
                  <w14:solidFill>
                    <w14:schemeClr w14:val="tx1"/>
                  </w14:solidFill>
                </w14:textFill>
              </w:rPr>
              <w:t xml:space="preserve"> </w:t>
            </w:r>
            <w:r>
              <w:rPr>
                <w:rFonts w:hint="eastAsia" w:ascii="宋体" w:hAnsi="宋体" w:eastAsia="宋体" w:cs="宋体"/>
                <w:color w:val="000000" w:themeColor="text1"/>
                <w:spacing w:val="-3"/>
                <w:sz w:val="21"/>
                <w:szCs w:val="21"/>
                <w14:textFill>
                  <w14:solidFill>
                    <w14:schemeClr w14:val="tx1"/>
                  </w14:solidFill>
                </w14:textFill>
              </w:rPr>
              <w:t>（</w:t>
            </w:r>
            <w:r>
              <w:rPr>
                <w:rFonts w:hint="eastAsia" w:ascii="宋体" w:hAnsi="宋体" w:eastAsia="宋体" w:cs="宋体"/>
                <w:color w:val="000000" w:themeColor="text1"/>
                <w:spacing w:val="-3"/>
                <w:sz w:val="21"/>
                <w:szCs w:val="21"/>
                <w:lang w:val="en-US" w:eastAsia="zh-CN"/>
                <w14:textFill>
                  <w14:solidFill>
                    <w14:schemeClr w14:val="tx1"/>
                  </w14:solidFill>
                </w14:textFill>
              </w:rPr>
              <w:t>65</w:t>
            </w:r>
            <w:r>
              <w:rPr>
                <w:rFonts w:hint="eastAsia" w:ascii="宋体" w:hAnsi="宋体" w:eastAsia="宋体" w:cs="宋体"/>
                <w:color w:val="000000" w:themeColor="text1"/>
                <w:spacing w:val="-3"/>
                <w:sz w:val="21"/>
                <w:szCs w:val="21"/>
                <w14:textFill>
                  <w14:solidFill>
                    <w14:schemeClr w14:val="tx1"/>
                  </w14:solidFill>
                </w14:textFill>
              </w:rPr>
              <w:t>分）</w:t>
            </w:r>
          </w:p>
        </w:tc>
        <w:tc>
          <w:tcPr>
            <w:tcW w:w="1323" w:type="dxa"/>
            <w:vAlign w:val="top"/>
          </w:tcPr>
          <w:p w14:paraId="4F8BEA76">
            <w:pPr>
              <w:spacing w:line="313" w:lineRule="auto"/>
              <w:jc w:val="center"/>
              <w:rPr>
                <w:rFonts w:hint="eastAsia" w:ascii="宋体" w:hAnsi="宋体" w:eastAsia="宋体" w:cs="宋体"/>
                <w:color w:val="000000" w:themeColor="text1"/>
                <w:sz w:val="21"/>
                <w:szCs w:val="21"/>
                <w14:textFill>
                  <w14:solidFill>
                    <w14:schemeClr w14:val="tx1"/>
                  </w14:solidFill>
                </w14:textFill>
              </w:rPr>
            </w:pPr>
          </w:p>
          <w:p w14:paraId="5F91C07E">
            <w:pPr>
              <w:spacing w:line="313" w:lineRule="auto"/>
              <w:jc w:val="center"/>
              <w:rPr>
                <w:rFonts w:hint="eastAsia" w:ascii="宋体" w:hAnsi="宋体" w:eastAsia="宋体" w:cs="宋体"/>
                <w:color w:val="000000" w:themeColor="text1"/>
                <w:sz w:val="21"/>
                <w:szCs w:val="21"/>
                <w14:textFill>
                  <w14:solidFill>
                    <w14:schemeClr w14:val="tx1"/>
                  </w14:solidFill>
                </w14:textFill>
              </w:rPr>
            </w:pPr>
          </w:p>
          <w:p w14:paraId="7F1B2F52">
            <w:pPr>
              <w:spacing w:line="313"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75DE7D0A">
            <w:pPr>
              <w:spacing w:line="313"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50DED4D3">
            <w:pPr>
              <w:spacing w:line="313"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实施方案</w:t>
            </w:r>
          </w:p>
        </w:tc>
        <w:tc>
          <w:tcPr>
            <w:tcW w:w="5920" w:type="dxa"/>
            <w:vAlign w:val="top"/>
          </w:tcPr>
          <w:p w14:paraId="6965CB5F">
            <w:pPr>
              <w:spacing w:line="313"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供应商提供针对本项目的实施方案，方案包括但不限于①人员配置方案、②材料使用及机械配备、③安装调试方案、④安全文明施工措施； </w:t>
            </w:r>
          </w:p>
          <w:p w14:paraId="6E41683C">
            <w:pPr>
              <w:spacing w:line="313"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整体项目实施方案完全满足项目需求且进行详细说明的得满分</w:t>
            </w:r>
            <w:r>
              <w:rPr>
                <w:rFonts w:hint="eastAsia" w:ascii="宋体" w:hAnsi="宋体" w:cs="宋体"/>
                <w:color w:val="000000" w:themeColor="text1"/>
                <w:sz w:val="21"/>
                <w:szCs w:val="21"/>
                <w:lang w:val="en-US" w:eastAsia="zh-CN"/>
                <w14:textFill>
                  <w14:solidFill>
                    <w14:schemeClr w14:val="tx1"/>
                  </w14:solidFill>
                </w14:textFill>
              </w:rPr>
              <w:t>20</w:t>
            </w:r>
            <w:r>
              <w:rPr>
                <w:rFonts w:hint="eastAsia" w:ascii="宋体" w:hAnsi="宋体" w:eastAsia="宋体" w:cs="宋体"/>
                <w:color w:val="000000" w:themeColor="text1"/>
                <w:sz w:val="21"/>
                <w:szCs w:val="21"/>
                <w:lang w:val="en-US" w:eastAsia="zh-CN"/>
                <w14:textFill>
                  <w14:solidFill>
                    <w14:schemeClr w14:val="tx1"/>
                  </w14:solidFill>
                </w14:textFill>
              </w:rPr>
              <w:t xml:space="preserve"> 分，每有一项缺项或漏项扣 </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分，每有一处缺陷扣 1 分，扣完为止。</w:t>
            </w:r>
          </w:p>
          <w:p w14:paraId="3303D683">
            <w:pPr>
              <w:spacing w:line="313"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0" w:type="dxa"/>
            <w:vAlign w:val="top"/>
          </w:tcPr>
          <w:p w14:paraId="6317AB55">
            <w:pPr>
              <w:pStyle w:val="62"/>
              <w:keepNext w:val="0"/>
              <w:keepLines w:val="0"/>
              <w:pageBreakBefore w:val="0"/>
              <w:kinsoku/>
              <w:wordWrap/>
              <w:overflowPunct/>
              <w:topLinePunct w:val="0"/>
              <w:autoSpaceDE/>
              <w:autoSpaceDN/>
              <w:bidi w:val="0"/>
              <w:snapToGrid/>
              <w:spacing w:before="71" w:line="300" w:lineRule="exact"/>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p w14:paraId="27A29DD3">
            <w:pPr>
              <w:pStyle w:val="62"/>
              <w:keepNext w:val="0"/>
              <w:keepLines w:val="0"/>
              <w:pageBreakBefore w:val="0"/>
              <w:kinsoku/>
              <w:wordWrap/>
              <w:overflowPunct/>
              <w:topLinePunct w:val="0"/>
              <w:autoSpaceDE/>
              <w:autoSpaceDN/>
              <w:bidi w:val="0"/>
              <w:snapToGrid/>
              <w:spacing w:before="71" w:line="300" w:lineRule="exact"/>
              <w:ind w:left="272"/>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p w14:paraId="59415C73">
            <w:pPr>
              <w:pStyle w:val="62"/>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p w14:paraId="2882A635">
            <w:pPr>
              <w:pStyle w:val="62"/>
              <w:keepNext w:val="0"/>
              <w:keepLines w:val="0"/>
              <w:pageBreakBefore w:val="0"/>
              <w:kinsoku/>
              <w:wordWrap/>
              <w:overflowPunct/>
              <w:topLinePunct w:val="0"/>
              <w:autoSpaceDE/>
              <w:autoSpaceDN/>
              <w:bidi w:val="0"/>
              <w:snapToGrid/>
              <w:spacing w:before="71" w:line="300" w:lineRule="exact"/>
              <w:ind w:left="272" w:leftChars="0"/>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p w14:paraId="54E81E9B">
            <w:pPr>
              <w:pStyle w:val="62"/>
              <w:keepNext w:val="0"/>
              <w:keepLines w:val="0"/>
              <w:pageBreakBefore w:val="0"/>
              <w:kinsoku/>
              <w:wordWrap/>
              <w:overflowPunct/>
              <w:topLinePunct w:val="0"/>
              <w:autoSpaceDE/>
              <w:autoSpaceDN/>
              <w:bidi w:val="0"/>
              <w:snapToGrid/>
              <w:spacing w:before="71" w:line="300" w:lineRule="exact"/>
              <w:ind w:left="272" w:leftChars="0"/>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w:t>
            </w:r>
          </w:p>
        </w:tc>
      </w:tr>
      <w:tr w14:paraId="0C7CB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1115" w:type="dxa"/>
            <w:vMerge w:val="continue"/>
            <w:vAlign w:val="top"/>
          </w:tcPr>
          <w:p w14:paraId="5147467D">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FF0000"/>
                <w:sz w:val="21"/>
                <w:szCs w:val="21"/>
              </w:rPr>
            </w:pPr>
          </w:p>
        </w:tc>
        <w:tc>
          <w:tcPr>
            <w:tcW w:w="1323" w:type="dxa"/>
            <w:vAlign w:val="top"/>
          </w:tcPr>
          <w:p w14:paraId="159B34AC">
            <w:pPr>
              <w:pStyle w:val="62"/>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auto"/>
                <w:sz w:val="21"/>
                <w:szCs w:val="21"/>
              </w:rPr>
            </w:pPr>
          </w:p>
          <w:p w14:paraId="48E92C3B">
            <w:pPr>
              <w:pStyle w:val="62"/>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auto"/>
                <w:sz w:val="21"/>
                <w:szCs w:val="21"/>
              </w:rPr>
            </w:pPr>
          </w:p>
          <w:p w14:paraId="296E9C5E">
            <w:pPr>
              <w:pStyle w:val="62"/>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auto"/>
                <w:sz w:val="21"/>
                <w:szCs w:val="21"/>
              </w:rPr>
            </w:pPr>
          </w:p>
          <w:p w14:paraId="5864EEA2">
            <w:pPr>
              <w:pStyle w:val="62"/>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cs="宋体"/>
                <w:color w:val="auto"/>
                <w:sz w:val="21"/>
                <w:szCs w:val="21"/>
              </w:rPr>
            </w:pPr>
          </w:p>
          <w:p w14:paraId="1F36A451">
            <w:pPr>
              <w:pStyle w:val="62"/>
              <w:keepNext w:val="0"/>
              <w:keepLines w:val="0"/>
              <w:pageBreakBefore w:val="0"/>
              <w:kinsoku/>
              <w:wordWrap/>
              <w:overflowPunct/>
              <w:topLinePunct w:val="0"/>
              <w:autoSpaceDE/>
              <w:autoSpaceDN/>
              <w:bidi w:val="0"/>
              <w:snapToGrid/>
              <w:spacing w:before="72" w:line="300" w:lineRule="exact"/>
              <w:jc w:val="center"/>
              <w:textAlignment w:val="auto"/>
              <w:rPr>
                <w:rFonts w:hint="eastAsia" w:ascii="宋体" w:hAnsi="宋体" w:eastAsia="宋体" w:cs="宋体"/>
                <w:color w:val="auto"/>
                <w:sz w:val="21"/>
                <w:szCs w:val="21"/>
              </w:rPr>
            </w:pPr>
            <w:r>
              <w:rPr>
                <w:rFonts w:hint="eastAsia" w:ascii="宋体" w:hAnsi="宋体" w:cs="宋体"/>
                <w:color w:val="auto"/>
                <w:sz w:val="21"/>
                <w:szCs w:val="21"/>
                <w:highlight w:val="none"/>
              </w:rPr>
              <w:t>配置及性能指标</w:t>
            </w:r>
          </w:p>
        </w:tc>
        <w:tc>
          <w:tcPr>
            <w:tcW w:w="5920" w:type="dxa"/>
            <w:vAlign w:val="top"/>
          </w:tcPr>
          <w:p w14:paraId="729A6A2D">
            <w:pPr>
              <w:pStyle w:val="62"/>
              <w:keepNext w:val="0"/>
              <w:keepLines w:val="0"/>
              <w:pageBreakBefore w:val="0"/>
              <w:kinsoku/>
              <w:wordWrap/>
              <w:overflowPunct/>
              <w:topLinePunct w:val="0"/>
              <w:autoSpaceDE/>
              <w:autoSpaceDN/>
              <w:bidi w:val="0"/>
              <w:snapToGrid/>
              <w:spacing w:before="21" w:line="300" w:lineRule="exact"/>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根据供应商提供的详细技术参数</w:t>
            </w:r>
            <w:r>
              <w:rPr>
                <w:rFonts w:hint="eastAsia" w:ascii="宋体" w:hAnsi="宋体" w:cs="宋体"/>
                <w:color w:val="auto"/>
                <w:sz w:val="21"/>
                <w:szCs w:val="21"/>
              </w:rPr>
              <w:t>，</w:t>
            </w:r>
            <w:r>
              <w:rPr>
                <w:rFonts w:hint="eastAsia" w:ascii="宋体" w:hAnsi="宋体" w:eastAsia="宋体" w:cs="宋体"/>
                <w:color w:val="auto"/>
                <w:sz w:val="21"/>
                <w:szCs w:val="21"/>
                <w:lang w:val="en-US" w:eastAsia="zh-CN"/>
              </w:rPr>
              <w:t>优于采购需求或完全符合采购需求要求的得18分。</w:t>
            </w:r>
            <w:r>
              <w:rPr>
                <w:rFonts w:hint="eastAsia" w:ascii="宋体" w:hAnsi="宋体" w:cs="宋体"/>
                <w:color w:val="auto"/>
                <w:sz w:val="21"/>
                <w:szCs w:val="21"/>
              </w:rPr>
              <w:t>每有一项不满足</w:t>
            </w:r>
            <w:r>
              <w:rPr>
                <w:rFonts w:hint="eastAsia" w:ascii="宋体" w:hAnsi="宋体" w:eastAsia="宋体" w:cs="宋体"/>
                <w:color w:val="auto"/>
                <w:sz w:val="21"/>
                <w:szCs w:val="21"/>
                <w:lang w:val="en-US" w:eastAsia="zh-CN"/>
              </w:rPr>
              <w:t>则视为负偏离</w:t>
            </w:r>
            <w:r>
              <w:rPr>
                <w:rFonts w:hint="eastAsia" w:ascii="宋体" w:hAnsi="宋体" w:cs="宋体"/>
                <w:color w:val="auto"/>
                <w:sz w:val="21"/>
                <w:szCs w:val="21"/>
              </w:rPr>
              <w:t xml:space="preserve">扣 </w:t>
            </w:r>
            <w:r>
              <w:rPr>
                <w:rFonts w:hint="eastAsia" w:ascii="宋体" w:hAnsi="宋体" w:eastAsia="宋体" w:cs="宋体"/>
                <w:color w:val="auto"/>
                <w:sz w:val="21"/>
                <w:szCs w:val="21"/>
                <w:lang w:val="en-US" w:eastAsia="zh-CN"/>
              </w:rPr>
              <w:t>1</w:t>
            </w:r>
            <w:r>
              <w:rPr>
                <w:rFonts w:hint="eastAsia" w:ascii="宋体" w:hAnsi="宋体" w:cs="宋体"/>
                <w:color w:val="auto"/>
                <w:sz w:val="21"/>
                <w:szCs w:val="21"/>
              </w:rPr>
              <w:t>分，扣完为止。</w:t>
            </w:r>
          </w:p>
          <w:p w14:paraId="0475D912">
            <w:pPr>
              <w:pStyle w:val="62"/>
              <w:keepNext w:val="0"/>
              <w:keepLines w:val="0"/>
              <w:pageBreakBefore w:val="0"/>
              <w:kinsoku/>
              <w:wordWrap/>
              <w:overflowPunct/>
              <w:topLinePunct w:val="0"/>
              <w:autoSpaceDE/>
              <w:autoSpaceDN/>
              <w:bidi w:val="0"/>
              <w:snapToGrid/>
              <w:spacing w:before="21" w:line="300" w:lineRule="exact"/>
              <w:textAlignment w:val="auto"/>
              <w:rPr>
                <w:rFonts w:hint="eastAsia" w:ascii="宋体" w:hAnsi="宋体" w:cs="宋体"/>
                <w:color w:val="auto"/>
                <w:sz w:val="21"/>
                <w:szCs w:val="21"/>
              </w:rPr>
            </w:pPr>
            <w:r>
              <w:rPr>
                <w:rFonts w:hint="eastAsia" w:ascii="宋体" w:hAnsi="宋体" w:cs="宋体"/>
                <w:color w:val="auto"/>
                <w:sz w:val="21"/>
                <w:szCs w:val="21"/>
              </w:rPr>
              <w:t>注：负偏离评审依据： ①所提供产品技术参数要求低于招标文件</w:t>
            </w:r>
            <w:r>
              <w:rPr>
                <w:rFonts w:hint="eastAsia" w:ascii="宋体" w:hAnsi="宋体" w:eastAsia="宋体" w:cs="宋体"/>
                <w:color w:val="auto"/>
                <w:sz w:val="21"/>
                <w:szCs w:val="21"/>
                <w:lang w:val="en-US" w:eastAsia="zh-CN"/>
              </w:rPr>
              <w:t>采购需求</w:t>
            </w:r>
            <w:r>
              <w:rPr>
                <w:rFonts w:hint="eastAsia" w:ascii="宋体" w:hAnsi="宋体" w:cs="宋体"/>
                <w:color w:val="auto"/>
                <w:sz w:val="21"/>
                <w:szCs w:val="21"/>
              </w:rPr>
              <w:t>的，视为负偏离；</w:t>
            </w:r>
          </w:p>
          <w:p w14:paraId="686E9267">
            <w:pPr>
              <w:pStyle w:val="62"/>
              <w:keepNext w:val="0"/>
              <w:keepLines w:val="0"/>
              <w:pageBreakBefore w:val="0"/>
              <w:kinsoku/>
              <w:wordWrap/>
              <w:overflowPunct/>
              <w:topLinePunct w:val="0"/>
              <w:autoSpaceDE/>
              <w:autoSpaceDN/>
              <w:bidi w:val="0"/>
              <w:snapToGrid/>
              <w:spacing w:before="21" w:line="300" w:lineRule="exact"/>
              <w:ind w:left="8" w:leftChars="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rPr>
              <w:t>②技术参数响应条款（以投标文件内技术偏离表为准）与招标文件对比有缺项、漏项的，视为负偏离；③投标人提供的投标文件中产品技术偏离表、产品技术规格书、产品检测报告（包括不限于产品彩页、厂家官方网站公布的截图、产品说明书、技术白皮书等任意一种资料）描述的同一产品技术参数响应值不一致的，视为负偏离；</w:t>
            </w:r>
          </w:p>
        </w:tc>
        <w:tc>
          <w:tcPr>
            <w:tcW w:w="680" w:type="dxa"/>
            <w:vAlign w:val="top"/>
          </w:tcPr>
          <w:p w14:paraId="5233F1C2">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FF0000"/>
                <w:sz w:val="21"/>
                <w:szCs w:val="21"/>
              </w:rPr>
            </w:pPr>
          </w:p>
          <w:p w14:paraId="3B3E1791">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FF0000"/>
                <w:sz w:val="21"/>
                <w:szCs w:val="21"/>
              </w:rPr>
            </w:pPr>
          </w:p>
          <w:p w14:paraId="0D1EDE16">
            <w:pPr>
              <w:pStyle w:val="62"/>
              <w:keepNext w:val="0"/>
              <w:keepLines w:val="0"/>
              <w:pageBreakBefore w:val="0"/>
              <w:kinsoku/>
              <w:wordWrap/>
              <w:overflowPunct/>
              <w:topLinePunct w:val="0"/>
              <w:autoSpaceDE/>
              <w:autoSpaceDN/>
              <w:bidi w:val="0"/>
              <w:snapToGrid/>
              <w:spacing w:before="71" w:line="300" w:lineRule="exact"/>
              <w:ind w:left="285" w:leftChars="0"/>
              <w:textAlignment w:val="auto"/>
              <w:rPr>
                <w:rFonts w:hint="eastAsia" w:ascii="宋体" w:hAnsi="宋体" w:eastAsia="宋体" w:cs="宋体"/>
                <w:color w:val="FF0000"/>
                <w:spacing w:val="-13"/>
                <w:sz w:val="21"/>
                <w:szCs w:val="21"/>
                <w:lang w:val="en-US" w:eastAsia="zh-CN"/>
              </w:rPr>
            </w:pPr>
            <w:r>
              <w:rPr>
                <w:rFonts w:hint="eastAsia" w:ascii="宋体" w:hAnsi="宋体" w:eastAsia="宋体" w:cs="宋体"/>
                <w:color w:val="auto"/>
                <w:spacing w:val="-13"/>
                <w:sz w:val="21"/>
                <w:szCs w:val="21"/>
                <w:lang w:val="en-US" w:eastAsia="zh-CN"/>
              </w:rPr>
              <w:t>18</w:t>
            </w:r>
          </w:p>
        </w:tc>
      </w:tr>
      <w:tr w14:paraId="19F69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115" w:type="dxa"/>
            <w:vMerge w:val="continue"/>
            <w:vAlign w:val="top"/>
          </w:tcPr>
          <w:p w14:paraId="71316FAC">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1323" w:type="dxa"/>
            <w:vAlign w:val="top"/>
          </w:tcPr>
          <w:p w14:paraId="00A6640A">
            <w:pPr>
              <w:spacing w:line="313"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265C70B6">
            <w:pPr>
              <w:spacing w:line="313"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03767D08">
            <w:pPr>
              <w:spacing w:line="313"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p>
          <w:p w14:paraId="584032B1">
            <w:pPr>
              <w:spacing w:line="313" w:lineRule="auto"/>
              <w:jc w:val="center"/>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质量保障措施</w:t>
            </w:r>
          </w:p>
        </w:tc>
        <w:tc>
          <w:tcPr>
            <w:tcW w:w="5920" w:type="dxa"/>
            <w:vAlign w:val="top"/>
          </w:tcPr>
          <w:p w14:paraId="426DE4AE">
            <w:pPr>
              <w:spacing w:line="313" w:lineRule="auto"/>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供应商提供针对本项目的质量保障措施方案，包括但不限于制作、运输装卸、安装等。 </w:t>
            </w:r>
          </w:p>
          <w:p w14:paraId="514D4F4D">
            <w:pPr>
              <w:spacing w:line="313"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提供以上满足采购需求的质量控制措施得 15 分，每有一项缺项或漏项扣 5分，每有一处缺陷扣 1 分，扣完为止。</w:t>
            </w:r>
          </w:p>
          <w:p w14:paraId="20A98D4B">
            <w:pPr>
              <w:spacing w:line="313"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0" w:type="dxa"/>
            <w:vAlign w:val="top"/>
          </w:tcPr>
          <w:p w14:paraId="03A6B872">
            <w:pPr>
              <w:pStyle w:val="62"/>
              <w:keepNext w:val="0"/>
              <w:keepLines w:val="0"/>
              <w:pageBreakBefore w:val="0"/>
              <w:kinsoku/>
              <w:wordWrap/>
              <w:overflowPunct/>
              <w:topLinePunct w:val="0"/>
              <w:autoSpaceDE/>
              <w:autoSpaceDN/>
              <w:bidi w:val="0"/>
              <w:snapToGrid/>
              <w:spacing w:before="71" w:line="300" w:lineRule="exact"/>
              <w:ind w:firstLine="184" w:firstLineChars="100"/>
              <w:textAlignment w:val="auto"/>
              <w:rPr>
                <w:rFonts w:hint="eastAsia" w:ascii="宋体" w:hAnsi="宋体" w:eastAsia="宋体" w:cs="宋体"/>
                <w:color w:val="000000" w:themeColor="text1"/>
                <w:spacing w:val="-13"/>
                <w:sz w:val="21"/>
                <w:szCs w:val="21"/>
                <w:lang w:val="en-US" w:eastAsia="zh-CN"/>
                <w14:textFill>
                  <w14:solidFill>
                    <w14:schemeClr w14:val="tx1"/>
                  </w14:solidFill>
                </w14:textFill>
              </w:rPr>
            </w:pPr>
          </w:p>
          <w:p w14:paraId="6C078D3F">
            <w:pPr>
              <w:pStyle w:val="62"/>
              <w:keepNext w:val="0"/>
              <w:keepLines w:val="0"/>
              <w:pageBreakBefore w:val="0"/>
              <w:kinsoku/>
              <w:wordWrap/>
              <w:overflowPunct/>
              <w:topLinePunct w:val="0"/>
              <w:autoSpaceDE/>
              <w:autoSpaceDN/>
              <w:bidi w:val="0"/>
              <w:snapToGrid/>
              <w:spacing w:before="71" w:line="300" w:lineRule="exact"/>
              <w:ind w:firstLine="184" w:firstLineChars="100"/>
              <w:textAlignment w:val="auto"/>
              <w:rPr>
                <w:rFonts w:hint="eastAsia" w:ascii="宋体" w:hAnsi="宋体" w:eastAsia="宋体" w:cs="宋体"/>
                <w:color w:val="000000" w:themeColor="text1"/>
                <w:spacing w:val="-13"/>
                <w:sz w:val="21"/>
                <w:szCs w:val="21"/>
                <w:lang w:val="en-US" w:eastAsia="zh-CN"/>
                <w14:textFill>
                  <w14:solidFill>
                    <w14:schemeClr w14:val="tx1"/>
                  </w14:solidFill>
                </w14:textFill>
              </w:rPr>
            </w:pPr>
          </w:p>
          <w:p w14:paraId="7B102696">
            <w:pPr>
              <w:pStyle w:val="62"/>
              <w:keepNext w:val="0"/>
              <w:keepLines w:val="0"/>
              <w:pageBreakBefore w:val="0"/>
              <w:kinsoku/>
              <w:wordWrap/>
              <w:overflowPunct/>
              <w:topLinePunct w:val="0"/>
              <w:autoSpaceDE/>
              <w:autoSpaceDN/>
              <w:bidi w:val="0"/>
              <w:snapToGrid/>
              <w:spacing w:before="71" w:line="300" w:lineRule="exact"/>
              <w:ind w:firstLine="184" w:firstLineChars="100"/>
              <w:textAlignment w:val="auto"/>
              <w:rPr>
                <w:rFonts w:hint="eastAsia" w:ascii="宋体" w:hAnsi="宋体" w:eastAsia="宋体" w:cs="宋体"/>
                <w:color w:val="000000" w:themeColor="text1"/>
                <w:spacing w:val="-13"/>
                <w:sz w:val="21"/>
                <w:szCs w:val="21"/>
                <w:lang w:val="en-US" w:eastAsia="zh-CN"/>
                <w14:textFill>
                  <w14:solidFill>
                    <w14:schemeClr w14:val="tx1"/>
                  </w14:solidFill>
                </w14:textFill>
              </w:rPr>
            </w:pPr>
          </w:p>
          <w:p w14:paraId="50253555">
            <w:pPr>
              <w:pStyle w:val="62"/>
              <w:keepNext w:val="0"/>
              <w:keepLines w:val="0"/>
              <w:pageBreakBefore w:val="0"/>
              <w:kinsoku/>
              <w:wordWrap/>
              <w:overflowPunct/>
              <w:topLinePunct w:val="0"/>
              <w:autoSpaceDE/>
              <w:autoSpaceDN/>
              <w:bidi w:val="0"/>
              <w:snapToGrid/>
              <w:spacing w:before="71" w:line="300" w:lineRule="exact"/>
              <w:ind w:firstLine="184" w:firstLineChars="100"/>
              <w:textAlignment w:val="auto"/>
              <w:rPr>
                <w:rFonts w:hint="eastAsia" w:ascii="宋体" w:hAnsi="宋体" w:eastAsia="宋体" w:cs="宋体"/>
                <w:color w:val="000000" w:themeColor="text1"/>
                <w:spacing w:val="-13"/>
                <w:sz w:val="21"/>
                <w:szCs w:val="21"/>
                <w:lang w:val="en-US" w:eastAsia="zh-CN"/>
                <w14:textFill>
                  <w14:solidFill>
                    <w14:schemeClr w14:val="tx1"/>
                  </w14:solidFill>
                </w14:textFill>
              </w:rPr>
            </w:pPr>
            <w:r>
              <w:rPr>
                <w:rFonts w:hint="eastAsia" w:ascii="宋体" w:hAnsi="宋体" w:eastAsia="宋体" w:cs="宋体"/>
                <w:color w:val="000000" w:themeColor="text1"/>
                <w:spacing w:val="-13"/>
                <w:sz w:val="21"/>
                <w:szCs w:val="21"/>
                <w:lang w:val="en-US" w:eastAsia="zh-CN"/>
                <w14:textFill>
                  <w14:solidFill>
                    <w14:schemeClr w14:val="tx1"/>
                  </w14:solidFill>
                </w14:textFill>
              </w:rPr>
              <w:t>15</w:t>
            </w:r>
          </w:p>
        </w:tc>
      </w:tr>
      <w:tr w14:paraId="565F9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115" w:type="dxa"/>
            <w:vMerge w:val="continue"/>
            <w:vAlign w:val="top"/>
          </w:tcPr>
          <w:p w14:paraId="224464D0">
            <w:pPr>
              <w:keepNext w:val="0"/>
              <w:keepLines w:val="0"/>
              <w:pageBreakBefore w:val="0"/>
              <w:kinsoku/>
              <w:wordWrap/>
              <w:overflowPunct/>
              <w:topLinePunct w:val="0"/>
              <w:autoSpaceDE/>
              <w:autoSpaceDN/>
              <w:bidi w:val="0"/>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p>
        </w:tc>
        <w:tc>
          <w:tcPr>
            <w:tcW w:w="1323" w:type="dxa"/>
            <w:vAlign w:val="center"/>
          </w:tcPr>
          <w:p w14:paraId="6BB0B2AE">
            <w:pPr>
              <w:spacing w:line="313"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售后服务</w:t>
            </w:r>
          </w:p>
        </w:tc>
        <w:tc>
          <w:tcPr>
            <w:tcW w:w="5920" w:type="dxa"/>
            <w:vAlign w:val="center"/>
          </w:tcPr>
          <w:p w14:paraId="63C0FA3D">
            <w:pPr>
              <w:spacing w:line="313"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 xml:space="preserve">供应商提供针对本项目的售后服务方案，包括但不限于售后服务人员、免费维保承诺、维保响应时间等。 </w:t>
            </w:r>
          </w:p>
          <w:p w14:paraId="31663516">
            <w:pPr>
              <w:spacing w:line="313"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提供以上满足采购需求的售后服务方案得 1</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 xml:space="preserve"> 分，每有一项缺项或漏项扣 </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 xml:space="preserve"> 分，每有一处缺陷扣 1 分，扣完为止。</w:t>
            </w:r>
          </w:p>
          <w:p w14:paraId="23C8112C">
            <w:pPr>
              <w:spacing w:line="313" w:lineRule="auto"/>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注：内容存在缺陷是指：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c>
          <w:tcPr>
            <w:tcW w:w="680" w:type="dxa"/>
            <w:vAlign w:val="top"/>
          </w:tcPr>
          <w:p w14:paraId="492FF20F">
            <w:pPr>
              <w:pStyle w:val="62"/>
              <w:keepNext w:val="0"/>
              <w:keepLines w:val="0"/>
              <w:pageBreakBefore w:val="0"/>
              <w:kinsoku/>
              <w:wordWrap/>
              <w:overflowPunct/>
              <w:topLinePunct w:val="0"/>
              <w:autoSpaceDE/>
              <w:autoSpaceDN/>
              <w:bidi w:val="0"/>
              <w:snapToGrid/>
              <w:spacing w:before="71" w:line="300" w:lineRule="exact"/>
              <w:textAlignment w:val="auto"/>
              <w:rPr>
                <w:rFonts w:hint="eastAsia" w:ascii="宋体" w:hAnsi="宋体" w:eastAsia="宋体" w:cs="宋体"/>
                <w:color w:val="000000" w:themeColor="text1"/>
                <w:spacing w:val="-13"/>
                <w:sz w:val="21"/>
                <w:szCs w:val="21"/>
                <w:lang w:val="en-US" w:eastAsia="zh-CN"/>
                <w14:textFill>
                  <w14:solidFill>
                    <w14:schemeClr w14:val="tx1"/>
                  </w14:solidFill>
                </w14:textFill>
              </w:rPr>
            </w:pPr>
          </w:p>
          <w:p w14:paraId="4B025611">
            <w:pPr>
              <w:pStyle w:val="62"/>
              <w:keepNext w:val="0"/>
              <w:keepLines w:val="0"/>
              <w:pageBreakBefore w:val="0"/>
              <w:kinsoku/>
              <w:wordWrap/>
              <w:overflowPunct/>
              <w:topLinePunct w:val="0"/>
              <w:autoSpaceDE/>
              <w:autoSpaceDN/>
              <w:bidi w:val="0"/>
              <w:snapToGrid/>
              <w:spacing w:before="71" w:line="300" w:lineRule="exact"/>
              <w:ind w:firstLine="184" w:firstLineChars="100"/>
              <w:textAlignment w:val="auto"/>
              <w:rPr>
                <w:rFonts w:hint="eastAsia" w:ascii="宋体" w:hAnsi="宋体" w:eastAsia="宋体" w:cs="宋体"/>
                <w:color w:val="000000" w:themeColor="text1"/>
                <w:spacing w:val="-13"/>
                <w:sz w:val="21"/>
                <w:szCs w:val="21"/>
                <w:lang w:val="en-US" w:eastAsia="zh-CN"/>
                <w14:textFill>
                  <w14:solidFill>
                    <w14:schemeClr w14:val="tx1"/>
                  </w14:solidFill>
                </w14:textFill>
              </w:rPr>
            </w:pPr>
            <w:r>
              <w:rPr>
                <w:rFonts w:hint="eastAsia" w:ascii="宋体" w:hAnsi="宋体" w:eastAsia="宋体" w:cs="宋体"/>
                <w:color w:val="000000" w:themeColor="text1"/>
                <w:spacing w:val="-13"/>
                <w:sz w:val="21"/>
                <w:szCs w:val="21"/>
                <w:lang w:val="en-US" w:eastAsia="zh-CN"/>
                <w14:textFill>
                  <w14:solidFill>
                    <w14:schemeClr w14:val="tx1"/>
                  </w14:solidFill>
                </w14:textFill>
              </w:rPr>
              <w:t>12</w:t>
            </w:r>
          </w:p>
        </w:tc>
      </w:tr>
    </w:tbl>
    <w:p w14:paraId="686226C6">
      <w:pPr>
        <w:pageBreakBefore w:val="0"/>
        <w:kinsoku/>
        <w:wordWrap/>
        <w:overflowPunct/>
        <w:topLinePunct w:val="0"/>
        <w:bidi w:val="0"/>
        <w:spacing w:beforeAutospacing="0" w:afterAutospacing="0" w:line="400" w:lineRule="exact"/>
        <w:jc w:val="left"/>
        <w:rPr>
          <w:rFonts w:hint="eastAsia" w:ascii="宋体" w:hAnsi="宋体" w:eastAsia="宋体" w:cs="宋体"/>
          <w:color w:val="000000"/>
          <w:kern w:val="0"/>
          <w:sz w:val="21"/>
          <w:szCs w:val="21"/>
          <w:highlight w:val="none"/>
        </w:rPr>
      </w:pPr>
      <w:r>
        <w:rPr>
          <w:rStyle w:val="60"/>
          <w:rFonts w:hint="eastAsia" w:ascii="宋体" w:hAnsi="宋体" w:eastAsia="宋体" w:cs="宋体"/>
          <w:b w:val="0"/>
          <w:i w:val="0"/>
          <w:caps w:val="0"/>
          <w:spacing w:val="0"/>
          <w:w w:val="100"/>
          <w:kern w:val="2"/>
          <w:sz w:val="21"/>
          <w:szCs w:val="21"/>
          <w:lang w:val="en-US" w:eastAsia="zh-CN" w:bidi="ar-SA"/>
        </w:rPr>
        <w:t>注:评委对各投标人同一评分内容量化打分时，对畸高、畸低重大差异，如评审得分与截尾平均值偏差大于25%(含25%)以上时，应做出合理的书面说明。</w:t>
      </w:r>
    </w:p>
    <w:p w14:paraId="4FFC065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cs="宋体"/>
          <w:b/>
          <w:bCs/>
          <w:color w:val="000000"/>
          <w:kern w:val="0"/>
          <w:sz w:val="24"/>
          <w:szCs w:val="24"/>
          <w:highlight w:val="none"/>
          <w:lang w:val="en-US" w:eastAsia="zh-CN"/>
        </w:rPr>
        <w:t>一、</w:t>
      </w:r>
      <w:r>
        <w:rPr>
          <w:rFonts w:hint="eastAsia" w:ascii="宋体" w:hAnsi="宋体" w:eastAsia="宋体" w:cs="宋体"/>
          <w:b/>
          <w:bCs/>
          <w:color w:val="000000"/>
          <w:kern w:val="0"/>
          <w:sz w:val="24"/>
          <w:szCs w:val="24"/>
          <w:highlight w:val="none"/>
          <w:lang w:val="en-US" w:eastAsia="zh-CN"/>
        </w:rPr>
        <w:t>根据《关于推动解决政府采购异常低价问题的通知》财库〔2026〕2号</w:t>
      </w:r>
    </w:p>
    <w:p w14:paraId="77FD9C3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w:t>
      </w:r>
    </w:p>
    <w:p w14:paraId="10A46456">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177A7F8F">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3.投标（响应）报价低于采购项目最高限价45%的，即投标（响应）报价&lt;采购项目最高限价×45%；</w:t>
      </w:r>
    </w:p>
    <w:p w14:paraId="44D8F3B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4.评审委员会基于专业判断，认为供应商报价过低，有可能影响产品质量或者不能诚信履约的其他情形。</w:t>
      </w:r>
    </w:p>
    <w:p w14:paraId="61174C3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 价格部分（</w:t>
      </w:r>
      <w:r>
        <w:rPr>
          <w:rFonts w:hint="eastAsia" w:ascii="宋体" w:hAnsi="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rPr>
        <w:t>0分）</w:t>
      </w:r>
    </w:p>
    <w:p w14:paraId="6466DB9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价格得分的评分方法：采用低价优先法计算，即满足招标文件要求且投标价格最低的投标报价为评标基准价，其价格得分为满分。其他投标人的价格得分统一按照下列公式计算：价格得分=（评标基准价/投标报价）×30%×100，如此类推，算出所有投标供应商的价格得分。</w:t>
      </w:r>
    </w:p>
    <w:p w14:paraId="55291DA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评审优惠内容及价格扣除：</w:t>
      </w:r>
    </w:p>
    <w:p w14:paraId="33AD4EE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（一）小型和微型企业产品价格扣除</w:t>
      </w:r>
    </w:p>
    <w:p w14:paraId="0E35D3A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印发的《政府采购促进中小企业发展管理办法》（财库[2020]46号）和《关于进一步加大政府采购支持中小企业力度的通知》（财库[2022]19号）的规定，对小型和微型企业产品给予10%-20%的价格扣除优惠，用扣除后的价格参与评审。</w:t>
      </w:r>
    </w:p>
    <w:p w14:paraId="6D6F396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《政府采购促进中小企业发展管理办法》（财库[2020]46号）所称中小企业（含中型、小型、微型企业，下同）应当同时符合以下条件：</w:t>
      </w:r>
    </w:p>
    <w:p w14:paraId="354265C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符合中小企业划分标准；</w:t>
      </w:r>
    </w:p>
    <w:p w14:paraId="716BB8A9">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提供本企业制造的货物、承担的工程或者服务，或者提供其他中小企业制造的货物。本项所称货物不包括使用大型企业注册商标的货物。</w:t>
      </w:r>
    </w:p>
    <w:p w14:paraId="27F0FB3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中小企业划分标准以《工业和信息化部、国家统计局、国家发展和改革委员会、财政部关于印发中小企业划型标准规定的通知》（工信部联企业[2011]300号）规定的划分标准为准（详见附件）。小型、微型企业提供中型企业制造的货物的，视同为中型企业。参加政府采购活动的中小企业应当提供《中小企业声明函》。凡是参与小微企业价格评审扣除的供应商应当提供《中小企业声明函》，不提供者不得享受小微企业价格扣除的优惠政策，提供虚假证明的按照无效投标处理。</w:t>
      </w:r>
    </w:p>
    <w:p w14:paraId="1FDCE1B3">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（二）监狱企业产品价格扣除</w:t>
      </w:r>
    </w:p>
    <w:p w14:paraId="33FE8D6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监狱企业视同小型、微型企业，按上述条款享受评审中价格扣除。</w:t>
      </w:r>
    </w:p>
    <w:p w14:paraId="71C9D40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DA37050">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监狱企业参加政府采购活动时，应当提供由省级以上监狱管理局、戒毒管理局（含新疆生产建设兵团）出具的属于监狱企业的证明文件，否则不予认可。</w:t>
      </w:r>
    </w:p>
    <w:p w14:paraId="1FF5CF4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（三）残疾人福利性单位产品价格扣除</w:t>
      </w:r>
    </w:p>
    <w:p w14:paraId="4497271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残疾人福利性单位视同小型、微型企业，按上述条款享受评审中价格扣除。</w:t>
      </w:r>
    </w:p>
    <w:p w14:paraId="5F16A4C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14:paraId="752E98EA">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投标人同时为小型、微型企业、监狱企业、残疾人福利性单位任两种或以上情况的，评审中只享受一次价格扣除，不重复进行价格扣除。</w:t>
      </w:r>
    </w:p>
    <w:p w14:paraId="63E6FF1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（四）节能产品、环境标志产品价格扣除</w:t>
      </w:r>
    </w:p>
    <w:p w14:paraId="7834DBF8">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14:paraId="736FDC3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14:paraId="3AA8ADB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（五）本国产品和进口产品</w:t>
      </w:r>
    </w:p>
    <w:p w14:paraId="4ABF13A1">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1.本国产品标准及支持政策</w:t>
      </w:r>
    </w:p>
    <w:p w14:paraId="6D515E2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126AECD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4EA3EAC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（3）对国家相关部门后续发布的特定产品清单内的产品，除满足上述条件外，还需同时满足关键组件境内生产、关键工序境内完成等特定要求。</w:t>
      </w:r>
    </w:p>
    <w:p w14:paraId="6C6B967D">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41E302">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（5）供应商对其提供的产品出具《关于符合本国产品标准的声明函》（以下简称《声明函》）或财政部会同有关部门规定的有关证明文件。出具符合要求的《声明函》或有关证明文件的，该产品视为本国产品。</w:t>
      </w:r>
    </w:p>
    <w:p w14:paraId="54109252">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3CEC5B6E">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7）采购标的中含有多种产品，供应商为该采购项目或者采购包提供的符合本国产品标准的产品成本之和占该供应商提供的全部产品成本之和的比例达到80%以上时，且供应商在投标（响应）文件中对此作出承诺，出具《本国产品成本占比承诺函》（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24054B6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w:t>
      </w:r>
    </w:p>
    <w:p w14:paraId="68685604">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w:t>
      </w:r>
      <w:r>
        <w:rPr>
          <w:rFonts w:hint="eastAsia" w:ascii="宋体" w:hAnsi="宋体" w:cs="宋体"/>
          <w:color w:val="000000" w:themeColor="text1"/>
          <w:kern w:val="0"/>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章 采购需求”。</w:t>
      </w:r>
    </w:p>
    <w:p w14:paraId="7C4EE636">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（2）进口产品指通过中国海关报关验放进入中国境内且产自关境外的产品，包括已经进入中国境内的进口产品。</w:t>
      </w:r>
    </w:p>
    <w:p w14:paraId="223DB5AC">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（3）若采购需求中写明允许采购进口产品，投标人应保证所投产品可履行合法报通关手续进入中国关境内。</w:t>
      </w:r>
    </w:p>
    <w:p w14:paraId="48B1823F">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color w:val="000000" w:themeColor="text1"/>
          <w:kern w:val="0"/>
          <w:sz w:val="24"/>
          <w:szCs w:val="24"/>
          <w:highlight w:val="none"/>
          <w:lang w:val="zh-CN"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zh-CN" w:eastAsia="zh-CN"/>
          <w14:textFill>
            <w14:solidFill>
              <w14:schemeClr w14:val="tx1"/>
            </w14:solidFill>
          </w14:textFill>
        </w:rPr>
        <w:t>（4）若采购需求中未写明允许采购进口产品，如投标人所投产品为进口产品，其投标将被认定为投标无效。</w:t>
      </w:r>
    </w:p>
    <w:p w14:paraId="12CC9795">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14:paraId="3FC5C117">
      <w:pPr>
        <w:pStyle w:val="39"/>
        <w:pageBreakBefore w:val="0"/>
        <w:kinsoku/>
        <w:wordWrap/>
        <w:overflowPunct/>
        <w:topLinePunct w:val="0"/>
        <w:bidi w:val="0"/>
        <w:spacing w:beforeAutospacing="0" w:afterAutospacing="0" w:line="400" w:lineRule="exact"/>
        <w:jc w:val="both"/>
        <w:outlineLvl w:val="0"/>
        <w:rPr>
          <w:rFonts w:hint="eastAsia" w:ascii="宋体" w:hAnsi="宋体" w:eastAsia="宋体" w:cs="宋体"/>
          <w:b/>
          <w:sz w:val="24"/>
          <w:szCs w:val="24"/>
          <w:highlight w:val="none"/>
        </w:rPr>
      </w:pPr>
    </w:p>
    <w:p w14:paraId="7E2AEDCB">
      <w:pPr>
        <w:pStyle w:val="22"/>
        <w:pageBreakBefore w:val="0"/>
        <w:kinsoku/>
        <w:wordWrap/>
        <w:overflowPunct/>
        <w:topLinePunct w:val="0"/>
        <w:bidi w:val="0"/>
        <w:spacing w:beforeAutospacing="0" w:after="0" w:afterAutospacing="0" w:line="400" w:lineRule="exact"/>
        <w:jc w:val="center"/>
        <w:rPr>
          <w:rStyle w:val="30"/>
          <w:rFonts w:hint="eastAsia" w:ascii="宋体" w:hAnsi="宋体" w:eastAsia="宋体" w:cs="宋体"/>
          <w:b/>
          <w:bCs/>
          <w:color w:val="auto"/>
          <w:w w:val="90"/>
          <w:sz w:val="36"/>
          <w:szCs w:val="36"/>
          <w:u w:val="none"/>
          <w:lang w:val="en-US" w:eastAsia="zh-CN"/>
        </w:rPr>
      </w:pPr>
      <w:r>
        <w:rPr>
          <w:rStyle w:val="30"/>
          <w:rFonts w:hint="eastAsia" w:ascii="宋体" w:hAnsi="宋体" w:eastAsia="宋体" w:cs="宋体"/>
          <w:b/>
          <w:bCs/>
          <w:color w:val="auto"/>
          <w:w w:val="90"/>
          <w:sz w:val="36"/>
          <w:szCs w:val="36"/>
          <w:u w:val="none"/>
          <w:lang w:val="en-US" w:eastAsia="zh-CN"/>
        </w:rPr>
        <w:t>第七章   投标文件格式</w:t>
      </w:r>
    </w:p>
    <w:p w14:paraId="7D92ECC4">
      <w:pPr>
        <w:pStyle w:val="39"/>
        <w:pageBreakBefore w:val="0"/>
        <w:kinsoku/>
        <w:wordWrap/>
        <w:overflowPunct/>
        <w:topLinePunct w:val="0"/>
        <w:bidi w:val="0"/>
        <w:spacing w:beforeAutospacing="0" w:afterAutospacing="0" w:line="400" w:lineRule="exact"/>
        <w:jc w:val="center"/>
        <w:rPr>
          <w:rFonts w:hint="eastAsia" w:ascii="宋体" w:hAnsi="宋体" w:eastAsia="宋体" w:cs="宋体"/>
          <w:b/>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6" name="文本框 6"/>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14:paraId="12836BD1">
                            <w:pPr>
                              <w:jc w:val="center"/>
                              <w:rPr>
                                <w:sz w:val="36"/>
                                <w:szCs w:val="36"/>
                              </w:rPr>
                            </w:pPr>
                            <w:r>
                              <w:rPr>
                                <w:rFonts w:hint="eastAsia"/>
                                <w:sz w:val="36"/>
                                <w:szCs w:val="36"/>
                              </w:rPr>
                              <w:t>正本</w:t>
                            </w:r>
                          </w:p>
                        </w:txbxContent>
                      </wps:txbx>
                      <wps:bodyPr lIns="91439" tIns="45720" rIns="91439" bIns="45720" upright="1"/>
                    </wps:wsp>
                  </a:graphicData>
                </a:graphic>
              </wp:anchor>
            </w:drawing>
          </mc:Choice>
          <mc:Fallback>
            <w:pict>
              <v:shape id="_x0000_s1026" o:spid="_x0000_s1026" o:spt="202" type="#_x0000_t202" style="position:absolute;left:0pt;margin-left:352.95pt;margin-top:10.8pt;height:31.85pt;width:65pt;z-index:251660288;mso-width-relative:page;mso-height-relative:page;" filled="f" stroked="t" coordsize="21600,21600" o:gfxdata="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S6pL1gAAAAkB&#10;AAAPAAAAAAAAAAEAIAAAACIAAABkcnMvZG93bnJldi54bWxQSwECFAAUAAAACACHTuJAMh9XcR0C&#10;AABABAAADgAAAAAAAAABACAAAAAlAQAAZHJzL2Uyb0RvYy54bWxQSwUGAAAAAAYABgBZAQAAtAUA&#10;AAAA&#10;">
                <v:fill on="f" focussize="0,0"/>
                <v:stroke color="#000000" joinstyle="miter"/>
                <v:imagedata o:title=""/>
                <o:lock v:ext="edit" aspectratio="f"/>
                <v:textbox inset="7.19992125984252pt,1.27mm,7.19992125984252pt,1.27mm">
                  <w:txbxContent>
                    <w:p w14:paraId="12836BD1">
                      <w:pPr>
                        <w:jc w:val="center"/>
                        <w:rPr>
                          <w:sz w:val="36"/>
                          <w:szCs w:val="36"/>
                        </w:rPr>
                      </w:pPr>
                      <w:r>
                        <w:rPr>
                          <w:rFonts w:hint="eastAsia"/>
                          <w:sz w:val="36"/>
                          <w:szCs w:val="36"/>
                        </w:rPr>
                        <w:t>正本</w:t>
                      </w:r>
                    </w:p>
                  </w:txbxContent>
                </v:textbox>
              </v:shape>
            </w:pict>
          </mc:Fallback>
        </mc:AlternateContent>
      </w:r>
    </w:p>
    <w:p w14:paraId="381FE687">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bdr w:val="single" w:color="auto" w:sz="4" w:space="0"/>
        </w:rPr>
      </w:pPr>
    </w:p>
    <w:p w14:paraId="47714AD8">
      <w:pPr>
        <w:pStyle w:val="39"/>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p w14:paraId="2E9411FB">
      <w:pPr>
        <w:pageBreakBefore w:val="0"/>
        <w:kinsoku/>
        <w:wordWrap/>
        <w:overflowPunct/>
        <w:topLinePunct w:val="0"/>
        <w:bidi w:val="0"/>
        <w:spacing w:beforeAutospacing="0" w:afterAutospacing="0" w:line="400" w:lineRule="exact"/>
        <w:ind w:right="980" w:firstLine="720" w:firstLineChars="3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p w14:paraId="0C517695">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0FC76416">
      <w:pPr>
        <w:pageBreakBefore w:val="0"/>
        <w:kinsoku/>
        <w:wordWrap/>
        <w:overflowPunct/>
        <w:topLinePunct w:val="0"/>
        <w:bidi w:val="0"/>
        <w:spacing w:beforeAutospacing="0" w:afterAutospacing="0" w:line="400" w:lineRule="exact"/>
        <w:ind w:firstLine="840" w:firstLineChars="35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 xml:space="preserve">项目编号： </w:t>
      </w:r>
    </w:p>
    <w:p w14:paraId="70B8835B">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2B74B7CC">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694EA0E">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FAE8812">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5" w:name="_Toc10629"/>
      <w:bookmarkStart w:id="6" w:name="_Toc11015"/>
      <w:bookmarkStart w:id="7" w:name="_Toc29518"/>
      <w:bookmarkStart w:id="8" w:name="_Toc7996"/>
      <w:r>
        <w:rPr>
          <w:rFonts w:hint="eastAsia" w:ascii="宋体" w:hAnsi="宋体" w:eastAsia="宋体" w:cs="宋体"/>
          <w:b/>
          <w:bCs/>
          <w:color w:val="000000"/>
          <w:sz w:val="24"/>
          <w:szCs w:val="24"/>
          <w:highlight w:val="none"/>
        </w:rPr>
        <w:t>投  标  文  件</w:t>
      </w:r>
      <w:bookmarkEnd w:id="5"/>
      <w:bookmarkEnd w:id="6"/>
      <w:bookmarkEnd w:id="7"/>
      <w:bookmarkEnd w:id="8"/>
    </w:p>
    <w:p w14:paraId="13B07688">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299E62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553A52B8">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3973981F">
      <w:pPr>
        <w:pageBreakBefore w:val="0"/>
        <w:kinsoku/>
        <w:wordWrap/>
        <w:overflowPunct/>
        <w:topLinePunct w:val="0"/>
        <w:bidi w:val="0"/>
        <w:spacing w:beforeAutospacing="0" w:afterAutospacing="0" w:line="400" w:lineRule="exact"/>
        <w:rPr>
          <w:rFonts w:hint="eastAsia" w:ascii="宋体" w:hAnsi="宋体" w:eastAsia="宋体" w:cs="宋体"/>
          <w:bCs/>
          <w:color w:val="000000"/>
          <w:sz w:val="24"/>
          <w:szCs w:val="24"/>
          <w:highlight w:val="none"/>
        </w:rPr>
      </w:pPr>
    </w:p>
    <w:p w14:paraId="5576C674">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投标人</w:t>
      </w:r>
      <w:r>
        <w:rPr>
          <w:rFonts w:hint="eastAsia" w:ascii="宋体" w:hAnsi="宋体" w:eastAsia="宋体" w:cs="宋体"/>
          <w:color w:val="000000"/>
          <w:sz w:val="24"/>
          <w:szCs w:val="24"/>
          <w:highlight w:val="none"/>
          <w:lang w:eastAsia="zh-CN"/>
        </w:rPr>
        <w:t>名称</w:t>
      </w:r>
      <w:r>
        <w:rPr>
          <w:rFonts w:hint="eastAsia" w:ascii="宋体" w:hAnsi="宋体" w:eastAsia="宋体" w:cs="宋体"/>
          <w:color w:val="000000"/>
          <w:sz w:val="24"/>
          <w:szCs w:val="24"/>
          <w:highlight w:val="none"/>
        </w:rPr>
        <w:t>：（盖单位章）</w:t>
      </w:r>
    </w:p>
    <w:p w14:paraId="1B9BE626">
      <w:pPr>
        <w:pStyle w:val="17"/>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投标人地址：</w:t>
      </w:r>
    </w:p>
    <w:p w14:paraId="7760908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DB4E9FD">
      <w:pPr>
        <w:pageBreakBefore w:val="0"/>
        <w:kinsoku/>
        <w:wordWrap/>
        <w:overflowPunct/>
        <w:topLinePunct w:val="0"/>
        <w:bidi w:val="0"/>
        <w:spacing w:beforeAutospacing="0" w:afterAutospacing="0" w:line="4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法定代表人：（签字或盖章）</w:t>
      </w:r>
    </w:p>
    <w:p w14:paraId="27EDC1C8">
      <w:pPr>
        <w:pStyle w:val="17"/>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授权委托人：</w:t>
      </w:r>
    </w:p>
    <w:p w14:paraId="1C7ADB24">
      <w:pPr>
        <w:pageBreakBefore w:val="0"/>
        <w:kinsoku/>
        <w:wordWrap/>
        <w:overflowPunct/>
        <w:topLinePunct w:val="0"/>
        <w:bidi w:val="0"/>
        <w:spacing w:beforeAutospacing="0" w:afterAutospacing="0" w:line="400" w:lineRule="exac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 xml:space="preserve">      联系电话：</w:t>
      </w:r>
    </w:p>
    <w:p w14:paraId="45BF616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1752BEE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p w14:paraId="2246EC8B">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bookmarkStart w:id="9" w:name="_Toc7073"/>
      <w:bookmarkStart w:id="10" w:name="_Toc22228"/>
      <w:bookmarkStart w:id="11" w:name="_Toc10107"/>
      <w:bookmarkStart w:id="12" w:name="_Toc11239"/>
      <w:r>
        <w:rPr>
          <w:rFonts w:hint="eastAsia" w:ascii="宋体" w:hAnsi="宋体" w:eastAsia="宋体" w:cs="宋体"/>
          <w:color w:val="000000"/>
          <w:sz w:val="24"/>
          <w:szCs w:val="24"/>
          <w:highlight w:val="none"/>
        </w:rPr>
        <w:t>年        月        日</w:t>
      </w:r>
      <w:bookmarkEnd w:id="9"/>
      <w:bookmarkEnd w:id="10"/>
      <w:bookmarkEnd w:id="11"/>
      <w:bookmarkEnd w:id="12"/>
    </w:p>
    <w:p w14:paraId="48FBEC60">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5FB2359B">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37F9CC8">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36B7D5C">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sectPr>
          <w:headerReference r:id="rId7" w:type="default"/>
          <w:footerReference r:id="rId8" w:type="default"/>
          <w:pgSz w:w="11906" w:h="16838"/>
          <w:pgMar w:top="1440" w:right="1800" w:bottom="1440" w:left="1380" w:header="851" w:footer="992" w:gutter="0"/>
          <w:pgNumType w:fmt="decimal"/>
          <w:cols w:space="720" w:num="1"/>
          <w:docGrid w:type="lines" w:linePitch="312" w:charSpace="0"/>
        </w:sectPr>
      </w:pPr>
    </w:p>
    <w:p w14:paraId="7AC5AE6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、资格审查资料</w:t>
      </w:r>
    </w:p>
    <w:p w14:paraId="6C14CC2F">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1.符合</w:t>
      </w:r>
      <w:r>
        <w:rPr>
          <w:rFonts w:hint="eastAsia" w:asciiTheme="minorEastAsia" w:hAnsiTheme="minorEastAsia" w:eastAsiaTheme="minorEastAsia" w:cstheme="minorEastAsia"/>
          <w:color w:val="auto"/>
          <w:sz w:val="24"/>
          <w:szCs w:val="24"/>
          <w:highlight w:val="none"/>
        </w:rPr>
        <w:t>中华人民共和国政府采购法第二十二条规定</w:t>
      </w:r>
    </w:p>
    <w:p w14:paraId="177F8DAF">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①具有独立承担民事责任的能力；</w:t>
      </w:r>
    </w:p>
    <w:p w14:paraId="4E1956AB">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②具有良好的商业信誉和健全的财务会计制度；</w:t>
      </w:r>
    </w:p>
    <w:p w14:paraId="098D62F6">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③具有履行合同所必需的设备和专业技术能力；</w:t>
      </w:r>
    </w:p>
    <w:p w14:paraId="2F6A5C77">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④有依法缴纳税收和社会保障资金的良好记录；</w:t>
      </w:r>
    </w:p>
    <w:p w14:paraId="7E0CB963">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⑤参加政府采购活动前三年内，在经营活动中没有重大违法记录；</w:t>
      </w:r>
    </w:p>
    <w:p w14:paraId="797365D8">
      <w:pPr>
        <w:pStyle w:val="6"/>
        <w:adjustRightInd w:val="0"/>
        <w:snapToGrid w:val="0"/>
        <w:spacing w:line="360" w:lineRule="auto"/>
        <w:ind w:firstLine="484" w:firstLineChars="202"/>
        <w:jc w:val="left"/>
        <w:rPr>
          <w:rFonts w:hint="eastAsia" w:ascii="宋体" w:hAnsi="宋体" w:eastAsia="宋体" w:cs="宋体"/>
          <w:color w:val="auto"/>
          <w:sz w:val="24"/>
          <w:szCs w:val="24"/>
          <w:lang w:val="en-US" w:eastAsia="zh-CN"/>
        </w:rPr>
      </w:pPr>
      <w:r>
        <w:rPr>
          <w:rFonts w:hint="eastAsia" w:asciiTheme="minorEastAsia" w:hAnsiTheme="minorEastAsia" w:eastAsiaTheme="minorEastAsia" w:cstheme="minorEastAsia"/>
          <w:color w:val="auto"/>
          <w:kern w:val="0"/>
          <w:sz w:val="24"/>
          <w:szCs w:val="24"/>
          <w:highlight w:val="none"/>
        </w:rPr>
        <w:t>⑥法律、行政法规规定的其他条件;</w:t>
      </w:r>
    </w:p>
    <w:p w14:paraId="26B61527">
      <w:pPr>
        <w:pStyle w:val="6"/>
        <w:adjustRightInd w:val="0"/>
        <w:snapToGrid w:val="0"/>
        <w:spacing w:line="360" w:lineRule="auto"/>
        <w:ind w:firstLine="484" w:firstLineChars="202"/>
        <w:jc w:val="left"/>
        <w:rPr>
          <w:rFonts w:hint="eastAsia" w:ascii="宋体" w:hAnsi="宋体" w:eastAsia="宋体" w:cs="宋体"/>
          <w:i w:val="0"/>
          <w:iCs w:val="0"/>
          <w:caps w:val="0"/>
          <w:color w:val="auto"/>
          <w:spacing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具有有效的</w:t>
      </w:r>
      <w:r>
        <w:rPr>
          <w:rFonts w:hint="eastAsia" w:ascii="宋体" w:hAnsi="宋体" w:cs="宋体"/>
          <w:i w:val="0"/>
          <w:iCs w:val="0"/>
          <w:caps w:val="0"/>
          <w:color w:val="auto"/>
          <w:spacing w:val="0"/>
          <w:sz w:val="24"/>
          <w:szCs w:val="24"/>
          <w:highlight w:val="none"/>
          <w:lang w:val="en-US" w:eastAsia="zh-CN"/>
        </w:rPr>
        <w:t>资质证书</w:t>
      </w:r>
      <w:r>
        <w:rPr>
          <w:rFonts w:hint="eastAsia" w:ascii="宋体" w:hAnsi="宋体" w:eastAsia="宋体" w:cs="宋体"/>
          <w:i w:val="0"/>
          <w:iCs w:val="0"/>
          <w:caps w:val="0"/>
          <w:color w:val="auto"/>
          <w:spacing w:val="0"/>
          <w:sz w:val="24"/>
          <w:szCs w:val="24"/>
          <w:highlight w:val="none"/>
        </w:rPr>
        <w:t>；</w:t>
      </w:r>
    </w:p>
    <w:p w14:paraId="3C6BE96C">
      <w:pPr>
        <w:pStyle w:val="6"/>
        <w:adjustRightInd w:val="0"/>
        <w:snapToGrid w:val="0"/>
        <w:spacing w:line="360" w:lineRule="auto"/>
        <w:ind w:firstLine="484" w:firstLineChars="202"/>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w:t>
      </w:r>
      <w:r>
        <w:rPr>
          <w:rFonts w:hint="eastAsia" w:ascii="宋体" w:hAnsi="宋体" w:eastAsia="宋体" w:cs="宋体"/>
          <w:color w:val="000000"/>
          <w:sz w:val="24"/>
          <w:szCs w:val="24"/>
          <w:highlight w:val="none"/>
        </w:rPr>
        <w:t>法定代表人证明书</w:t>
      </w:r>
      <w:r>
        <w:rPr>
          <w:rFonts w:hint="eastAsia" w:ascii="宋体" w:hAnsi="宋体" w:eastAsia="宋体" w:cs="宋体"/>
          <w:color w:val="000000"/>
          <w:sz w:val="24"/>
          <w:szCs w:val="24"/>
          <w:highlight w:val="none"/>
          <w:lang w:val="en-US" w:eastAsia="zh-CN"/>
        </w:rPr>
        <w:t>或法定代表人授权委托书</w:t>
      </w:r>
    </w:p>
    <w:p w14:paraId="69A74945">
      <w:pPr>
        <w:spacing w:line="360" w:lineRule="auto"/>
        <w:ind w:firstLine="480" w:firstLineChars="200"/>
        <w:rPr>
          <w:rFonts w:hint="default" w:ascii="宋体" w:hAnsi="宋体" w:eastAsia="宋体" w:cs="宋体"/>
          <w:sz w:val="24"/>
          <w:szCs w:val="24"/>
          <w:lang w:val="en-US" w:eastAsia="zh-CN"/>
        </w:rPr>
      </w:pPr>
      <w:r>
        <w:rPr>
          <w:rFonts w:hint="eastAsia" w:asciiTheme="minorEastAsia" w:hAnsiTheme="minorEastAsia" w:eastAsiaTheme="minorEastAsia" w:cstheme="minorEastAsia"/>
          <w:color w:val="auto"/>
          <w:kern w:val="0"/>
          <w:sz w:val="24"/>
          <w:szCs w:val="24"/>
          <w:highlight w:val="none"/>
          <w:lang w:val="en-US" w:eastAsia="zh-CN"/>
        </w:rPr>
        <w:t>4.投标保证金汇款凭证或保函</w:t>
      </w:r>
    </w:p>
    <w:p w14:paraId="73B762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5.中小企业申明函</w:t>
      </w:r>
    </w:p>
    <w:p w14:paraId="61704C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投标人认为需要提交的其他资料</w:t>
      </w:r>
    </w:p>
    <w:p w14:paraId="11386BC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w:t>
      </w:r>
      <w:r>
        <w:rPr>
          <w:rFonts w:hint="eastAsia" w:ascii="宋体" w:hAnsi="宋体" w:eastAsia="宋体" w:cs="宋体"/>
          <w:b/>
          <w:bCs/>
          <w:color w:val="000000"/>
          <w:sz w:val="24"/>
          <w:szCs w:val="24"/>
          <w:highlight w:val="none"/>
        </w:rPr>
        <w:t>经济报价部</w:t>
      </w:r>
      <w:r>
        <w:rPr>
          <w:rFonts w:hint="eastAsia" w:ascii="宋体" w:hAnsi="宋体" w:cs="宋体"/>
          <w:b/>
          <w:bCs/>
          <w:color w:val="000000"/>
          <w:sz w:val="24"/>
          <w:szCs w:val="24"/>
          <w:highlight w:val="none"/>
          <w:lang w:val="en-US" w:eastAsia="zh-CN"/>
        </w:rPr>
        <w:t>分</w:t>
      </w:r>
    </w:p>
    <w:p w14:paraId="0F665A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1.投标书</w:t>
      </w:r>
    </w:p>
    <w:p w14:paraId="6E6CCF4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2.开标一览表</w:t>
      </w:r>
    </w:p>
    <w:p w14:paraId="3DD27F3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3.报价明细表</w:t>
      </w:r>
    </w:p>
    <w:p w14:paraId="32D11E1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、商务技术文件</w:t>
      </w:r>
    </w:p>
    <w:p w14:paraId="278B42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1、投标承诺书</w:t>
      </w:r>
    </w:p>
    <w:p w14:paraId="5C844B2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2、类似业绩</w:t>
      </w:r>
    </w:p>
    <w:p w14:paraId="2B3E7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3、项目团队</w:t>
      </w:r>
    </w:p>
    <w:p w14:paraId="18C489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4、商务条款偏离表</w:t>
      </w:r>
    </w:p>
    <w:p w14:paraId="46E3E5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5、实施方案</w:t>
      </w:r>
    </w:p>
    <w:p w14:paraId="622DC40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6、配置及性能指标</w:t>
      </w:r>
    </w:p>
    <w:p w14:paraId="31C27A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7、质量保障措施</w:t>
      </w:r>
    </w:p>
    <w:p w14:paraId="3F1946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8、售后服务</w:t>
      </w:r>
    </w:p>
    <w:p w14:paraId="24F7F44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9、企业的承诺及优惠条件</w:t>
      </w:r>
    </w:p>
    <w:p w14:paraId="6DBA58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10、技术条款偏离表</w:t>
      </w:r>
    </w:p>
    <w:p w14:paraId="3CC839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bCs/>
          <w:sz w:val="24"/>
          <w:szCs w:val="24"/>
          <w:lang w:val="en-US" w:eastAsia="zh-CN"/>
        </w:rPr>
      </w:pPr>
      <w:r>
        <w:rPr>
          <w:rFonts w:hint="eastAsia" w:ascii="宋体" w:hAnsi="宋体" w:eastAsia="宋体" w:cs="宋体"/>
          <w:sz w:val="24"/>
          <w:szCs w:val="24"/>
          <w:lang w:val="en-US" w:eastAsia="zh-CN"/>
        </w:rPr>
        <w:t>11、投标人认为需要提供的其他资料</w:t>
      </w:r>
    </w:p>
    <w:p w14:paraId="70B600EA">
      <w:pPr>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sz w:val="24"/>
          <w:szCs w:val="24"/>
          <w:highlight w:val="none"/>
        </w:rPr>
        <w:sectPr>
          <w:pgSz w:w="11906" w:h="16838"/>
          <w:pgMar w:top="1440" w:right="1800" w:bottom="1440" w:left="1380" w:header="851" w:footer="992" w:gutter="0"/>
          <w:pgNumType w:fmt="decimal"/>
          <w:cols w:space="720" w:num="1"/>
          <w:docGrid w:type="lines" w:linePitch="312" w:charSpace="0"/>
        </w:sectPr>
      </w:pPr>
    </w:p>
    <w:p w14:paraId="3BD62A4B">
      <w:pPr>
        <w:pStyle w:val="23"/>
        <w:ind w:left="0" w:leftChars="0" w:firstLine="0" w:firstLineChars="0"/>
        <w:rPr>
          <w:rFonts w:hint="default" w:ascii="宋体" w:hAnsi="宋体" w:eastAsia="宋体" w:cs="宋体"/>
          <w:sz w:val="24"/>
          <w:szCs w:val="24"/>
          <w:lang w:val="en-US"/>
        </w:rPr>
      </w:pPr>
      <w:bookmarkStart w:id="13" w:name="_Toc7184"/>
      <w:bookmarkStart w:id="14" w:name="_Toc23088"/>
      <w:r>
        <w:rPr>
          <w:rFonts w:hint="eastAsia" w:ascii="宋体" w:hAnsi="宋体" w:eastAsia="宋体" w:cs="宋体"/>
          <w:b/>
          <w:bCs/>
          <w:sz w:val="24"/>
          <w:szCs w:val="24"/>
          <w:lang w:val="en-US" w:eastAsia="zh-CN"/>
        </w:rPr>
        <w:t>一、资格</w:t>
      </w:r>
      <w:r>
        <w:rPr>
          <w:rFonts w:hint="eastAsia" w:ascii="宋体" w:hAnsi="宋体" w:cs="宋体"/>
          <w:b/>
          <w:bCs/>
          <w:sz w:val="24"/>
          <w:szCs w:val="24"/>
          <w:lang w:val="en-US" w:eastAsia="zh-CN"/>
        </w:rPr>
        <w:t>响应文件</w:t>
      </w:r>
    </w:p>
    <w:p w14:paraId="5E93E3F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1、《中华人民共和国政府采购法》第二十二条应当具备的条件；</w:t>
      </w:r>
    </w:p>
    <w:p w14:paraId="349228DD">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①具有独立承担民事责任的能力；</w:t>
      </w:r>
    </w:p>
    <w:p w14:paraId="2CAB01D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②具有良好的商业信誉和健全的财务会计制度；</w:t>
      </w:r>
    </w:p>
    <w:p w14:paraId="2419661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③具有履行合同所必需的设备和专业技术能力；</w:t>
      </w:r>
    </w:p>
    <w:p w14:paraId="1911044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④有依法缴纳税收和社会保障资金的良好记录；</w:t>
      </w:r>
    </w:p>
    <w:p w14:paraId="5B7DCD4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⑤参加政府采购活动前三年内，在经营活动中没有重大违法记录；</w:t>
      </w:r>
    </w:p>
    <w:p w14:paraId="3AA6638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⑥法律、行政法规规定的其他条件;</w:t>
      </w:r>
    </w:p>
    <w:p w14:paraId="4BE74F80">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须提供以下资料：</w:t>
      </w:r>
    </w:p>
    <w:p w14:paraId="48960438">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1.1具有独立承担民事责任的能力；须提供相关证明材料，其中：</w:t>
      </w:r>
    </w:p>
    <w:p w14:paraId="5FB7CDD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供应商是企业（包括合伙企业）的，须提供其在工商部门注册的有效“营业执照”的复印件；</w:t>
      </w:r>
    </w:p>
    <w:p w14:paraId="0C3ECBB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供应商是事业单位的，须提供其有效的“事业单位法人证书”复印件；</w:t>
      </w:r>
    </w:p>
    <w:p w14:paraId="2C277B5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供应商是非企业专业服务机构的，须提供其有效的执业许可证复印件；</w:t>
      </w:r>
    </w:p>
    <w:p w14:paraId="5C8FEDB3">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供应商是个体工商户的，须提供其有效的“个体工商户营业执照” 复印件；</w:t>
      </w:r>
    </w:p>
    <w:p w14:paraId="656BB80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以上复印件须加盖供应商公章。</w:t>
      </w:r>
    </w:p>
    <w:p w14:paraId="0F88CCF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供应商是自然人的，应提供其有效的自然人身份证明；</w:t>
      </w:r>
    </w:p>
    <w:p w14:paraId="23C2A8B4">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1.2具有良好的商业信誉和健全的财务会计制度；须提供相关证明材料，其中：</w:t>
      </w:r>
    </w:p>
    <w:p w14:paraId="3A1C968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供应商是法人的，须提供（</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）经审计的财务审计报告复印件（报告中须包括资产负债表、利润表、现金流量表）或财务报表</w:t>
      </w:r>
      <w:r>
        <w:rPr>
          <w:rFonts w:hint="eastAsia" w:ascii="宋体" w:hAnsi="宋体" w:cs="宋体"/>
          <w:b w:val="0"/>
          <w:bCs/>
          <w:color w:val="000000"/>
          <w:sz w:val="24"/>
          <w:szCs w:val="24"/>
          <w:highlight w:val="none"/>
          <w:lang w:val="en-US" w:eastAsia="zh-CN"/>
        </w:rPr>
        <w:t>（2025年）</w:t>
      </w:r>
      <w:r>
        <w:rPr>
          <w:rFonts w:hint="eastAsia" w:ascii="宋体" w:hAnsi="宋体" w:eastAsia="宋体" w:cs="宋体"/>
          <w:b w:val="0"/>
          <w:bCs/>
          <w:color w:val="000000"/>
          <w:sz w:val="24"/>
          <w:szCs w:val="24"/>
          <w:highlight w:val="none"/>
          <w:lang w:val="en-US" w:eastAsia="zh-CN"/>
        </w:rPr>
        <w:t>资产负债表、利润表、现金流量表，或其基本银行在开标日期前三个月内开具的资信证明；</w:t>
      </w:r>
    </w:p>
    <w:p w14:paraId="1A8B4FC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供应商是其他组织或自然人的，须提供银行出具的资信证明原件</w:t>
      </w:r>
      <w:r>
        <w:rPr>
          <w:rFonts w:hint="eastAsia" w:ascii="宋体" w:hAnsi="宋体" w:cs="宋体"/>
          <w:b w:val="0"/>
          <w:bCs/>
          <w:color w:val="000000"/>
          <w:sz w:val="24"/>
          <w:szCs w:val="24"/>
          <w:highlight w:val="none"/>
          <w:lang w:val="en-US" w:eastAsia="zh-CN"/>
        </w:rPr>
        <w:t>扫描件</w:t>
      </w:r>
      <w:r>
        <w:rPr>
          <w:rFonts w:hint="eastAsia" w:ascii="宋体" w:hAnsi="宋体" w:eastAsia="宋体" w:cs="宋体"/>
          <w:b w:val="0"/>
          <w:bCs/>
          <w:color w:val="000000"/>
          <w:sz w:val="24"/>
          <w:szCs w:val="24"/>
          <w:highlight w:val="none"/>
          <w:lang w:val="en-US" w:eastAsia="zh-CN"/>
        </w:rPr>
        <w:t>；</w:t>
      </w:r>
    </w:p>
    <w:p w14:paraId="289240A5">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银行资信证明无收受人和项目的限制，银行资信证明可以是复印件，评标委员会保留审核原件的权利。</w:t>
      </w:r>
    </w:p>
    <w:p w14:paraId="414FF7EB">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1.3具有履行合同所必需的设备和专业技术能力；须附相关证明材料或书面声明</w:t>
      </w:r>
    </w:p>
    <w:p w14:paraId="23E8A4E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4AFE790A">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书面声明格式：</w:t>
      </w:r>
    </w:p>
    <w:p w14:paraId="3E9AAD0A">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0181F26F">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本供应商郑重声明：</w:t>
      </w:r>
    </w:p>
    <w:p w14:paraId="25404B12">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本公司（或单位）具备本项目履行合同所必需的设备和专业技术能力，特此声明。</w:t>
      </w:r>
    </w:p>
    <w:p w14:paraId="795448D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5971C569">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1C97752E">
      <w:pPr>
        <w:pageBreakBefore w:val="0"/>
        <w:numPr>
          <w:ilvl w:val="0"/>
          <w:numId w:val="0"/>
        </w:numPr>
        <w:kinsoku/>
        <w:wordWrap/>
        <w:overflowPunct/>
        <w:topLinePunct w:val="0"/>
        <w:bidi w:val="0"/>
        <w:spacing w:beforeAutospacing="0" w:afterAutospacing="0" w:line="400" w:lineRule="exact"/>
        <w:jc w:val="righ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0E91107F">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7006D089">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1.4有依法缴纳税收和社会保障资金的良好记录；须提供依法缴纳税收和社会保障资金的证明材料，须提供开标前三个月内任意一个月的依法缴税凭据</w:t>
      </w:r>
      <w:r>
        <w:rPr>
          <w:rFonts w:hint="eastAsia" w:ascii="宋体" w:hAnsi="宋体" w:cs="宋体"/>
          <w:b w:val="0"/>
          <w:bCs/>
          <w:color w:val="000000"/>
          <w:sz w:val="24"/>
          <w:szCs w:val="24"/>
          <w:highlight w:val="none"/>
          <w:lang w:val="en-US" w:eastAsia="zh-CN"/>
        </w:rPr>
        <w:t>或增值税纳税申报表</w:t>
      </w:r>
      <w:r>
        <w:rPr>
          <w:rFonts w:hint="eastAsia" w:ascii="宋体" w:hAnsi="宋体" w:eastAsia="宋体" w:cs="宋体"/>
          <w:b w:val="0"/>
          <w:bCs/>
          <w:color w:val="000000"/>
          <w:sz w:val="24"/>
          <w:szCs w:val="24"/>
          <w:highlight w:val="none"/>
          <w:lang w:val="en-US" w:eastAsia="zh-CN"/>
        </w:rPr>
        <w:t>和缴纳社会保险的凭据复印件（依法免税的应提供相应文件说明）；</w:t>
      </w:r>
    </w:p>
    <w:p w14:paraId="5340214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7BF5601A">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lang w:val="en-US" w:eastAsia="zh-CN"/>
        </w:rPr>
      </w:pPr>
      <w:r>
        <w:rPr>
          <w:rFonts w:hint="eastAsia" w:ascii="宋体" w:hAnsi="宋体" w:eastAsia="宋体" w:cs="宋体"/>
          <w:b/>
          <w:color w:val="000000"/>
          <w:sz w:val="24"/>
          <w:szCs w:val="24"/>
          <w:highlight w:val="none"/>
          <w:lang w:val="en-US" w:eastAsia="zh-CN"/>
        </w:rPr>
        <w:t xml:space="preserve"> </w:t>
      </w:r>
    </w:p>
    <w:p w14:paraId="677286FC">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1.5参加政府采购活动前三年内，在经营活动中没有重大违法记录；须提供书面声明</w:t>
      </w:r>
    </w:p>
    <w:p w14:paraId="7A4D9B04">
      <w:pPr>
        <w:pageBreakBefore w:val="0"/>
        <w:numPr>
          <w:ilvl w:val="0"/>
          <w:numId w:val="0"/>
        </w:numPr>
        <w:kinsoku/>
        <w:wordWrap/>
        <w:overflowPunct/>
        <w:topLinePunct w:val="0"/>
        <w:bidi w:val="0"/>
        <w:spacing w:beforeAutospacing="0" w:afterAutospacing="0" w:line="400" w:lineRule="exact"/>
        <w:jc w:val="center"/>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声明</w:t>
      </w:r>
      <w:r>
        <w:rPr>
          <w:rFonts w:hint="eastAsia" w:ascii="宋体" w:hAnsi="宋体" w:cs="宋体"/>
          <w:b w:val="0"/>
          <w:bCs/>
          <w:color w:val="000000"/>
          <w:sz w:val="24"/>
          <w:szCs w:val="24"/>
          <w:highlight w:val="none"/>
          <w:lang w:val="en-US" w:eastAsia="zh-CN"/>
        </w:rPr>
        <w:t>函</w:t>
      </w:r>
    </w:p>
    <w:p w14:paraId="63F84D13">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我单位郑重声明： </w:t>
      </w:r>
    </w:p>
    <w:p w14:paraId="73DDD3EB">
      <w:pPr>
        <w:pageBreakBefore w:val="0"/>
        <w:numPr>
          <w:ilvl w:val="0"/>
          <w:numId w:val="0"/>
        </w:numPr>
        <w:kinsoku/>
        <w:wordWrap/>
        <w:overflowPunct/>
        <w:topLinePunct w:val="0"/>
        <w:bidi w:val="0"/>
        <w:spacing w:beforeAutospacing="0" w:afterAutospacing="0" w:line="400" w:lineRule="exact"/>
        <w:ind w:firstLine="480" w:firstLineChars="200"/>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6B634DE1">
      <w:pPr>
        <w:pageBreakBefore w:val="0"/>
        <w:numPr>
          <w:ilvl w:val="0"/>
          <w:numId w:val="0"/>
        </w:numPr>
        <w:kinsoku/>
        <w:wordWrap/>
        <w:overflowPunct/>
        <w:topLinePunct w:val="0"/>
        <w:bidi w:val="0"/>
        <w:spacing w:beforeAutospacing="0" w:afterAutospacing="0" w:line="400" w:lineRule="exact"/>
        <w:jc w:val="left"/>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如我公司声明与实际不符，我公司将承担因此引起的一切后果。 </w:t>
      </w:r>
    </w:p>
    <w:p w14:paraId="61FE46F7">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50925AF5">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7DD04C2F">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供应商法定代表人（或法定代表人授权代表）签字或盖章：</w:t>
      </w:r>
    </w:p>
    <w:p w14:paraId="50BDD001">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供应商名称（加盖公章）：</w:t>
      </w:r>
    </w:p>
    <w:p w14:paraId="7721481D">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日期：   年   月   日</w:t>
      </w:r>
    </w:p>
    <w:p w14:paraId="7B8A90E6">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val="0"/>
          <w:bCs/>
          <w:color w:val="000000"/>
          <w:sz w:val="24"/>
          <w:szCs w:val="24"/>
          <w:highlight w:val="none"/>
          <w:lang w:val="en-US" w:eastAsia="zh-CN"/>
        </w:rPr>
      </w:pPr>
    </w:p>
    <w:p w14:paraId="15E5DE1D">
      <w:pPr>
        <w:pageBreakBefore w:val="0"/>
        <w:widowControl/>
        <w:kinsoku/>
        <w:wordWrap/>
        <w:overflowPunct/>
        <w:topLinePunct w:val="0"/>
        <w:bidi w:val="0"/>
        <w:adjustRightInd w:val="0"/>
        <w:snapToGrid w:val="0"/>
        <w:spacing w:beforeAutospacing="0" w:afterAutospacing="0" w:line="400" w:lineRule="exact"/>
        <w:ind w:firstLine="463" w:firstLineChars="192"/>
        <w:jc w:val="center"/>
        <w:rPr>
          <w:rFonts w:hint="eastAsia" w:ascii="宋体" w:hAnsi="宋体" w:eastAsia="宋体" w:cs="宋体"/>
          <w:b/>
          <w:bCs/>
          <w:color w:val="000000"/>
          <w:sz w:val="24"/>
          <w:szCs w:val="24"/>
          <w:highlight w:val="none"/>
        </w:rPr>
      </w:pPr>
    </w:p>
    <w:p w14:paraId="53AD601D">
      <w:pPr>
        <w:pStyle w:val="11"/>
        <w:pageBreakBefore w:val="0"/>
        <w:kinsoku/>
        <w:wordWrap/>
        <w:overflowPunct/>
        <w:topLinePunct w:val="0"/>
        <w:bidi w:val="0"/>
        <w:spacing w:beforeAutospacing="0" w:afterAutospacing="0" w:line="400" w:lineRule="exact"/>
        <w:ind w:firstLine="643"/>
        <w:jc w:val="left"/>
        <w:rPr>
          <w:rFonts w:hint="eastAsia" w:ascii="宋体" w:hAnsi="宋体" w:eastAsia="宋体" w:cs="宋体"/>
          <w:b/>
          <w:bCs/>
          <w:spacing w:val="-2"/>
          <w:kern w:val="2"/>
          <w:sz w:val="24"/>
          <w:szCs w:val="24"/>
          <w:lang w:val="en-US" w:eastAsia="zh-CN" w:bidi="ar-SA"/>
        </w:rPr>
      </w:pPr>
      <w:r>
        <w:rPr>
          <w:rFonts w:hint="eastAsia" w:ascii="宋体" w:hAnsi="宋体" w:eastAsia="宋体" w:cs="宋体"/>
          <w:b/>
          <w:bCs/>
          <w:spacing w:val="-2"/>
          <w:kern w:val="2"/>
          <w:sz w:val="24"/>
          <w:szCs w:val="24"/>
          <w:lang w:val="en-US" w:eastAsia="zh-CN" w:bidi="ar-SA"/>
        </w:rPr>
        <w:t>2、具有有效的资质证书</w:t>
      </w:r>
    </w:p>
    <w:p w14:paraId="2FB5F23E">
      <w:pPr>
        <w:rPr>
          <w:rFonts w:hint="eastAsia" w:ascii="宋体" w:hAnsi="宋体" w:eastAsia="宋体" w:cs="宋体"/>
          <w:color w:val="000000"/>
          <w:sz w:val="24"/>
          <w:szCs w:val="24"/>
          <w:highlight w:val="none"/>
          <w:lang w:val="en-US" w:eastAsia="zh-CN"/>
        </w:rPr>
      </w:pPr>
      <w:r>
        <w:rPr>
          <w:rFonts w:hint="eastAsia" w:ascii="宋体" w:hAnsi="宋体" w:eastAsia="宋体" w:cs="宋体"/>
          <w:spacing w:val="-2"/>
          <w:sz w:val="24"/>
          <w:szCs w:val="24"/>
          <w:lang w:val="en-US" w:eastAsia="zh-CN" w:bidi="ar-SA"/>
        </w:rPr>
        <w:t>供应商须具备有效的建筑工程施工总承包三级及以上资质或钢结构工程专业承包一级资质。</w:t>
      </w:r>
      <w:r>
        <w:rPr>
          <w:rFonts w:hint="eastAsia" w:ascii="宋体" w:hAnsi="宋体" w:eastAsia="宋体" w:cs="宋体"/>
          <w:color w:val="000000"/>
          <w:sz w:val="24"/>
          <w:szCs w:val="24"/>
          <w:highlight w:val="none"/>
          <w:lang w:val="en-US" w:eastAsia="zh-CN"/>
        </w:rPr>
        <w:br w:type="page"/>
      </w:r>
    </w:p>
    <w:p w14:paraId="2B852ACE">
      <w:pPr>
        <w:pStyle w:val="3"/>
        <w:pageBreakBefore w:val="0"/>
        <w:kinsoku/>
        <w:wordWrap/>
        <w:overflowPunct/>
        <w:topLinePunct w:val="0"/>
        <w:bidi w:val="0"/>
        <w:spacing w:before="0" w:beforeAutospacing="0" w:after="0" w:afterAutospacing="0" w:line="400" w:lineRule="exact"/>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法定代表人证明书</w:t>
      </w:r>
      <w:r>
        <w:rPr>
          <w:rFonts w:hint="eastAsia" w:ascii="宋体" w:hAnsi="宋体" w:eastAsia="宋体" w:cs="宋体"/>
          <w:color w:val="000000"/>
          <w:sz w:val="24"/>
          <w:szCs w:val="24"/>
          <w:highlight w:val="none"/>
          <w:lang w:val="en-US" w:eastAsia="zh-CN"/>
        </w:rPr>
        <w:t>或法定代表人授权委托书</w:t>
      </w:r>
    </w:p>
    <w:p w14:paraId="71A8C9B6">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法定代表人证明书</w:t>
      </w:r>
    </w:p>
    <w:p w14:paraId="77942084">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34EAE42B">
      <w:pPr>
        <w:pageBreakBefore w:val="0"/>
        <w:tabs>
          <w:tab w:val="left" w:pos="900"/>
        </w:tabs>
        <w:kinsoku/>
        <w:wordWrap/>
        <w:overflowPunct/>
        <w:topLinePunct w:val="0"/>
        <w:bidi w:val="0"/>
        <w:spacing w:beforeAutospacing="0" w:afterAutospacing="0" w:line="400" w:lineRule="exact"/>
        <w:ind w:firstLine="840" w:firstLineChars="350"/>
        <w:rPr>
          <w:rFonts w:hint="eastAsia" w:ascii="宋体" w:hAnsi="宋体" w:eastAsia="宋体" w:cs="宋体"/>
          <w:sz w:val="24"/>
          <w:szCs w:val="24"/>
          <w:highlight w:val="none"/>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0371939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bl>
      <w:tblPr>
        <w:tblStyle w:val="24"/>
        <w:tblW w:w="8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8"/>
        <w:gridCol w:w="3152"/>
      </w:tblGrid>
      <w:tr w14:paraId="006F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88" w:type="dxa"/>
          </w:tcPr>
          <w:p w14:paraId="4BBC887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3152" w:type="dxa"/>
          </w:tcPr>
          <w:p w14:paraId="689B8C0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A7C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37A9F82A">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225C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0" w:type="dxa"/>
            <w:gridSpan w:val="2"/>
          </w:tcPr>
          <w:p w14:paraId="115A82A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3780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8" w:type="dxa"/>
          </w:tcPr>
          <w:p w14:paraId="5D279F6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3152" w:type="dxa"/>
          </w:tcPr>
          <w:p w14:paraId="4C65D07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2D2A4C3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cs="宋体"/>
          <w:color w:val="000000"/>
          <w:sz w:val="24"/>
          <w:szCs w:val="24"/>
          <w:highlight w:val="none"/>
          <w:lang w:eastAsia="zh-CN"/>
        </w:rPr>
        <w:t>供应商公章</w:t>
      </w:r>
      <w:r>
        <w:rPr>
          <w:rFonts w:hint="eastAsia" w:ascii="宋体" w:hAnsi="宋体" w:eastAsia="宋体" w:cs="宋体"/>
          <w:sz w:val="24"/>
          <w:szCs w:val="24"/>
          <w:highlight w:val="none"/>
        </w:rPr>
        <w:t>）</w:t>
      </w:r>
    </w:p>
    <w:p w14:paraId="6EF48EA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有效日期：</w:t>
      </w:r>
    </w:p>
    <w:p w14:paraId="300BDDF7">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6177F7AD">
      <w:pPr>
        <w:rPr>
          <w:rFonts w:hint="eastAsia" w:hAnsi="宋体" w:cs="宋体"/>
          <w:b/>
          <w:bCs/>
          <w:color w:val="000000"/>
          <w:kern w:val="2"/>
          <w:sz w:val="24"/>
          <w:szCs w:val="24"/>
          <w:highlight w:val="none"/>
          <w:lang w:val="en-US" w:eastAsia="zh-CN"/>
        </w:rPr>
      </w:pPr>
      <w:r>
        <w:rPr>
          <w:rFonts w:hint="eastAsia" w:hAnsi="宋体" w:cs="宋体"/>
          <w:b/>
          <w:bCs/>
          <w:color w:val="000000"/>
          <w:kern w:val="2"/>
          <w:sz w:val="24"/>
          <w:szCs w:val="24"/>
          <w:highlight w:val="none"/>
          <w:lang w:val="en-US" w:eastAsia="zh-CN"/>
        </w:rPr>
        <w:br w:type="page"/>
      </w:r>
    </w:p>
    <w:p w14:paraId="0B9282A8">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r>
        <w:rPr>
          <w:rFonts w:hint="eastAsia" w:hAnsi="宋体" w:cs="宋体"/>
          <w:b/>
          <w:bCs/>
          <w:color w:val="000000"/>
          <w:kern w:val="2"/>
          <w:sz w:val="24"/>
          <w:szCs w:val="24"/>
          <w:highlight w:val="none"/>
          <w:lang w:val="en-US" w:eastAsia="zh-CN"/>
        </w:rPr>
        <w:t>3.2</w:t>
      </w:r>
      <w:r>
        <w:rPr>
          <w:rFonts w:hint="eastAsia" w:ascii="宋体" w:hAnsi="宋体" w:eastAsia="宋体" w:cs="宋体"/>
          <w:b/>
          <w:bCs/>
          <w:color w:val="000000"/>
          <w:kern w:val="2"/>
          <w:sz w:val="24"/>
          <w:szCs w:val="24"/>
          <w:highlight w:val="none"/>
        </w:rPr>
        <w:t>法定代表人授权委托书</w:t>
      </w:r>
    </w:p>
    <w:p w14:paraId="77CF0630">
      <w:pPr>
        <w:pStyle w:val="34"/>
        <w:pageBreakBefore w:val="0"/>
        <w:kinsoku/>
        <w:wordWrap/>
        <w:overflowPunct/>
        <w:topLinePunct w:val="0"/>
        <w:bidi w:val="0"/>
        <w:spacing w:beforeAutospacing="0" w:afterAutospacing="0" w:line="400" w:lineRule="exact"/>
        <w:jc w:val="center"/>
        <w:rPr>
          <w:rFonts w:hint="eastAsia" w:ascii="宋体" w:hAnsi="宋体" w:eastAsia="宋体" w:cs="宋体"/>
          <w:b/>
          <w:bCs/>
          <w:color w:val="000000"/>
          <w:kern w:val="2"/>
          <w:sz w:val="24"/>
          <w:szCs w:val="24"/>
          <w:highlight w:val="none"/>
        </w:rPr>
      </w:pPr>
    </w:p>
    <w:tbl>
      <w:tblPr>
        <w:tblStyle w:val="24"/>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4"/>
        <w:gridCol w:w="2781"/>
        <w:gridCol w:w="2385"/>
        <w:gridCol w:w="1215"/>
      </w:tblGrid>
      <w:tr w14:paraId="7296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79D4E0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6381" w:type="dxa"/>
            <w:gridSpan w:val="3"/>
            <w:vAlign w:val="center"/>
          </w:tcPr>
          <w:p w14:paraId="676777B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B7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7329305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6381" w:type="dxa"/>
            <w:gridSpan w:val="3"/>
            <w:vAlign w:val="center"/>
          </w:tcPr>
          <w:p w14:paraId="0DA0D8D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2A30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4F4EF00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2781" w:type="dxa"/>
            <w:vAlign w:val="center"/>
          </w:tcPr>
          <w:p w14:paraId="43EB1A3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4B5F0FF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1215" w:type="dxa"/>
            <w:vAlign w:val="center"/>
          </w:tcPr>
          <w:p w14:paraId="5988DC1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2DCF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109A957E">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2781" w:type="dxa"/>
            <w:vAlign w:val="center"/>
          </w:tcPr>
          <w:p w14:paraId="18EEB90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57A9F79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1215" w:type="dxa"/>
            <w:vAlign w:val="center"/>
          </w:tcPr>
          <w:p w14:paraId="50F13C3B">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32C9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08A287F9">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2781" w:type="dxa"/>
            <w:vAlign w:val="center"/>
          </w:tcPr>
          <w:p w14:paraId="6E25DF95">
            <w:pPr>
              <w:pageBreakBefore w:val="0"/>
              <w:kinsoku/>
              <w:wordWrap/>
              <w:overflowPunct/>
              <w:topLinePunct w:val="0"/>
              <w:bidi w:val="0"/>
              <w:spacing w:beforeAutospacing="0" w:afterAutospacing="0" w:line="400" w:lineRule="exact"/>
              <w:ind w:right="105"/>
              <w:rPr>
                <w:rFonts w:hint="eastAsia" w:ascii="宋体" w:hAnsi="宋体" w:eastAsia="宋体" w:cs="宋体"/>
                <w:sz w:val="24"/>
                <w:szCs w:val="24"/>
                <w:highlight w:val="none"/>
              </w:rPr>
            </w:pPr>
          </w:p>
        </w:tc>
        <w:tc>
          <w:tcPr>
            <w:tcW w:w="2385" w:type="dxa"/>
            <w:vAlign w:val="center"/>
          </w:tcPr>
          <w:p w14:paraId="3538472C">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1215" w:type="dxa"/>
            <w:vAlign w:val="center"/>
          </w:tcPr>
          <w:p w14:paraId="1BA649E1">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r w14:paraId="08CF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474" w:type="dxa"/>
            <w:vAlign w:val="center"/>
          </w:tcPr>
          <w:p w14:paraId="57A5FBC2">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2781" w:type="dxa"/>
            <w:vAlign w:val="center"/>
          </w:tcPr>
          <w:p w14:paraId="420A1C8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c>
          <w:tcPr>
            <w:tcW w:w="2385" w:type="dxa"/>
            <w:vAlign w:val="center"/>
          </w:tcPr>
          <w:p w14:paraId="0BF4E46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1215" w:type="dxa"/>
            <w:vAlign w:val="center"/>
          </w:tcPr>
          <w:p w14:paraId="353DC196">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tc>
      </w:tr>
    </w:tbl>
    <w:p w14:paraId="245C6105">
      <w:pPr>
        <w:pageBreakBefore w:val="0"/>
        <w:kinsoku/>
        <w:wordWrap/>
        <w:overflowPunct/>
        <w:topLinePunct w:val="0"/>
        <w:bidi w:val="0"/>
        <w:spacing w:beforeAutospacing="0" w:afterAutospacing="0" w:line="400" w:lineRule="exact"/>
        <w:ind w:left="2" w:firstLine="460" w:firstLineChars="192"/>
        <w:rPr>
          <w:rFonts w:hint="eastAsia" w:ascii="宋体" w:hAnsi="宋体" w:eastAsia="宋体" w:cs="宋体"/>
          <w:color w:val="000000"/>
          <w:sz w:val="24"/>
          <w:szCs w:val="24"/>
          <w:highlight w:val="none"/>
        </w:rPr>
      </w:pPr>
    </w:p>
    <w:p w14:paraId="2CB4AE47">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3BE34A8C">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FDFBB92">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10DCCC3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799CB78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cs="宋体"/>
          <w:color w:val="000000"/>
          <w:sz w:val="24"/>
          <w:szCs w:val="24"/>
          <w:highlight w:val="none"/>
          <w:lang w:eastAsia="zh-CN"/>
        </w:rPr>
        <w:t>供应商公章</w:t>
      </w:r>
      <w:r>
        <w:rPr>
          <w:rFonts w:hint="eastAsia" w:ascii="宋体" w:hAnsi="宋体" w:eastAsia="宋体" w:cs="宋体"/>
          <w:sz w:val="24"/>
          <w:szCs w:val="24"/>
          <w:highlight w:val="none"/>
        </w:rPr>
        <w:t>）：</w:t>
      </w:r>
    </w:p>
    <w:p w14:paraId="7977073D">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2439035</wp:posOffset>
                </wp:positionH>
                <wp:positionV relativeFrom="paragraph">
                  <wp:posOffset>70485</wp:posOffset>
                </wp:positionV>
                <wp:extent cx="3485515" cy="1588135"/>
                <wp:effectExtent l="4445" t="4445" r="15240" b="7620"/>
                <wp:wrapNone/>
                <wp:docPr id="1" name="矩形 1"/>
                <wp:cNvGraphicFramePr/>
                <a:graphic xmlns:a="http://schemas.openxmlformats.org/drawingml/2006/main">
                  <a:graphicData uri="http://schemas.microsoft.com/office/word/2010/wordprocessingShape">
                    <wps:wsp>
                      <wps:cNvSpPr/>
                      <wps:spPr>
                        <a:xfrm>
                          <a:off x="0" y="0"/>
                          <a:ext cx="3485515" cy="1588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BAC265">
                            <w:pPr>
                              <w:rPr>
                                <w:rFonts w:eastAsia="黑体"/>
                                <w:b/>
                                <w:sz w:val="30"/>
                              </w:rPr>
                            </w:pPr>
                          </w:p>
                          <w:p w14:paraId="75B8265E">
                            <w:pPr>
                              <w:rPr>
                                <w:rFonts w:eastAsia="黑体"/>
                                <w:b/>
                                <w:sz w:val="30"/>
                              </w:rPr>
                            </w:pPr>
                          </w:p>
                          <w:p w14:paraId="6BB6AE5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wps:txbx>
                      <wps:bodyPr upright="1"/>
                    </wps:wsp>
                  </a:graphicData>
                </a:graphic>
              </wp:anchor>
            </w:drawing>
          </mc:Choice>
          <mc:Fallback>
            <w:pict>
              <v:rect id="_x0000_s1026" o:spid="_x0000_s1026" o:spt="1" style="position:absolute;left:0pt;margin-left:192.05pt;margin-top:5.55pt;height:125.05pt;width:274.45pt;z-index:251662336;mso-width-relative:page;mso-height-relative:page;" fillcolor="#FFFFFF" filled="t" stroked="t" coordsize="21600,21600" o:gfxdata="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JPSu2AAAAAoBAAAPAAAAAAAAAAEAIAAAACIAAABkcnMvZG93&#10;bnJldi54bWxQSwECFAAUAAAACACHTuJAOPR5CQACAAAqBAAADgAAAAAAAAABACAAAAAnAQAAZHJz&#10;L2Uyb0RvYy54bWxQSwUGAAAAAAYABgBZAQAAmQUAAAAA&#10;">
                <v:fill on="t" focussize="0,0"/>
                <v:stroke color="#000000" joinstyle="miter"/>
                <v:imagedata o:title=""/>
                <o:lock v:ext="edit" aspectratio="f"/>
                <v:textbox>
                  <w:txbxContent>
                    <w:p w14:paraId="3EBAC265">
                      <w:pPr>
                        <w:rPr>
                          <w:rFonts w:eastAsia="黑体"/>
                          <w:b/>
                          <w:sz w:val="30"/>
                        </w:rPr>
                      </w:pPr>
                    </w:p>
                    <w:p w14:paraId="75B8265E">
                      <w:pPr>
                        <w:rPr>
                          <w:rFonts w:eastAsia="黑体"/>
                          <w:b/>
                          <w:sz w:val="30"/>
                        </w:rPr>
                      </w:pPr>
                    </w:p>
                    <w:p w14:paraId="6BB6AE5A">
                      <w:pPr>
                        <w:jc w:val="center"/>
                        <w:rPr>
                          <w:rFonts w:ascii="宋体"/>
                          <w:b/>
                          <w:bCs/>
                          <w:szCs w:val="21"/>
                        </w:rPr>
                      </w:pPr>
                      <w:r>
                        <w:rPr>
                          <w:rFonts w:hint="eastAsia" w:ascii="宋体"/>
                          <w:b/>
                          <w:color w:val="000000"/>
                        </w:rPr>
                        <w:t>法人及授权代表</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复印件粘贴处</w:t>
                      </w:r>
                    </w:p>
                  </w:txbxContent>
                </v:textbox>
              </v:rect>
            </w:pict>
          </mc:Fallback>
        </mc:AlternateContent>
      </w:r>
    </w:p>
    <w:p w14:paraId="205AB4E7">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法定代表人签字：</w:t>
      </w:r>
    </w:p>
    <w:p w14:paraId="28FD07A3">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00CAC65F">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w:t>
      </w:r>
    </w:p>
    <w:p w14:paraId="4F1C18A4">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2553E990">
      <w:pPr>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p>
    <w:p w14:paraId="348E8861">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6FBB7EEC">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258C6EF4">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5A7FD49E">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color w:val="000000"/>
          <w:sz w:val="24"/>
          <w:szCs w:val="24"/>
          <w:highlight w:val="none"/>
          <w:lang w:val="en-US" w:eastAsia="zh-CN"/>
        </w:rPr>
      </w:pPr>
    </w:p>
    <w:p w14:paraId="4166B259">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208658AE">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6CB1C3B9">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263D6665">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4AEE57A1">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73EE2A7B">
      <w:pPr>
        <w:pStyle w:val="11"/>
        <w:pageBreakBefore w:val="0"/>
        <w:kinsoku/>
        <w:wordWrap/>
        <w:overflowPunct/>
        <w:topLinePunct w:val="0"/>
        <w:bidi w:val="0"/>
        <w:spacing w:beforeAutospacing="0" w:afterAutospacing="0" w:line="400" w:lineRule="exact"/>
        <w:ind w:firstLine="643"/>
        <w:jc w:val="center"/>
        <w:rPr>
          <w:rFonts w:hint="eastAsia" w:ascii="宋体" w:hAnsi="宋体" w:cs="宋体"/>
          <w:b/>
          <w:bCs w:val="0"/>
          <w:color w:val="000000"/>
          <w:sz w:val="24"/>
          <w:szCs w:val="24"/>
          <w:highlight w:val="none"/>
          <w:lang w:val="en-US" w:eastAsia="zh-CN"/>
        </w:rPr>
      </w:pPr>
    </w:p>
    <w:p w14:paraId="565A81CD">
      <w:pPr>
        <w:pageBreakBefore w:val="0"/>
        <w:kinsoku/>
        <w:wordWrap/>
        <w:overflowPunct/>
        <w:topLinePunct w:val="0"/>
        <w:bidi w:val="0"/>
        <w:spacing w:beforeAutospacing="0" w:afterAutospacing="0" w:line="400" w:lineRule="exact"/>
        <w:rPr>
          <w:rFonts w:hint="default" w:ascii="宋体" w:hAnsi="宋体" w:eastAsia="宋体" w:cs="宋体"/>
          <w:color w:val="000000"/>
          <w:sz w:val="24"/>
          <w:szCs w:val="24"/>
          <w:highlight w:val="none"/>
          <w:lang w:val="en-US"/>
        </w:rPr>
      </w:pP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、投标保证金</w:t>
      </w:r>
      <w:r>
        <w:rPr>
          <w:rFonts w:hint="eastAsia" w:ascii="宋体" w:hAnsi="宋体" w:cs="宋体"/>
          <w:b/>
          <w:bCs/>
          <w:sz w:val="24"/>
          <w:szCs w:val="24"/>
          <w:lang w:val="en-US" w:eastAsia="zh-CN"/>
        </w:rPr>
        <w:t>汇款凭证</w:t>
      </w:r>
      <w:r>
        <w:rPr>
          <w:rFonts w:hint="eastAsia" w:ascii="宋体" w:hAnsi="宋体" w:eastAsia="宋体" w:cs="宋体"/>
          <w:b/>
          <w:bCs/>
          <w:sz w:val="24"/>
          <w:szCs w:val="24"/>
          <w:lang w:val="en-US" w:eastAsia="zh-CN"/>
        </w:rPr>
        <w:t>或保函</w:t>
      </w:r>
    </w:p>
    <w:p w14:paraId="75D7204F">
      <w:pPr>
        <w:pageBreakBefore w:val="0"/>
        <w:kinsoku/>
        <w:wordWrap/>
        <w:overflowPunct/>
        <w:topLinePunct w:val="0"/>
        <w:bidi w:val="0"/>
        <w:spacing w:beforeAutospacing="0" w:afterAutospacing="0" w:line="400" w:lineRule="exact"/>
        <w:jc w:val="center"/>
        <w:rPr>
          <w:rFonts w:hint="eastAsia" w:ascii="宋体" w:hAnsi="宋体" w:eastAsia="宋体" w:cs="宋体"/>
          <w:b/>
          <w:bCs/>
          <w:sz w:val="24"/>
          <w:szCs w:val="24"/>
          <w:lang w:val="en-US" w:eastAsia="zh-CN"/>
        </w:rPr>
      </w:pPr>
    </w:p>
    <w:p w14:paraId="6C2BA284">
      <w:pPr>
        <w:pageBreakBefore w:val="0"/>
        <w:kinsoku/>
        <w:wordWrap/>
        <w:overflowPunct/>
        <w:topLinePunct w:val="0"/>
        <w:bidi w:val="0"/>
        <w:spacing w:beforeAutospacing="0" w:afterAutospacing="0" w:line="400" w:lineRule="exact"/>
        <w:jc w:val="center"/>
        <w:rPr>
          <w:rFonts w:hint="eastAsia" w:ascii="宋体" w:hAnsi="宋体" w:eastAsia="宋体" w:cs="宋体"/>
          <w:b/>
          <w:bCs/>
          <w:sz w:val="24"/>
          <w:szCs w:val="24"/>
          <w:lang w:val="en-US" w:eastAsia="zh-CN"/>
        </w:rPr>
      </w:pPr>
    </w:p>
    <w:p w14:paraId="50A56208">
      <w:pPr>
        <w:pageBreakBefore w:val="0"/>
        <w:numPr>
          <w:ilvl w:val="0"/>
          <w:numId w:val="0"/>
        </w:numPr>
        <w:kinsoku/>
        <w:wordWrap/>
        <w:overflowPunct/>
        <w:topLinePunct w:val="0"/>
        <w:bidi w:val="0"/>
        <w:spacing w:beforeAutospacing="0" w:afterAutospacing="0" w:line="400" w:lineRule="exact"/>
        <w:jc w:val="left"/>
        <w:outlineLvl w:val="0"/>
        <w:rPr>
          <w:rFonts w:hint="default"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5、中小企业声明函</w:t>
      </w:r>
    </w:p>
    <w:p w14:paraId="4696B65E">
      <w:pPr>
        <w:pStyle w:val="10"/>
        <w:pageBreakBefore w:val="0"/>
        <w:kinsoku/>
        <w:wordWrap/>
        <w:overflowPunct/>
        <w:topLinePunct w:val="0"/>
        <w:bidi w:val="0"/>
        <w:spacing w:beforeAutospacing="0" w:after="0" w:afterAutospacing="0" w:line="400" w:lineRule="exact"/>
        <w:ind w:right="714"/>
        <w:jc w:val="both"/>
        <w:rPr>
          <w:rFonts w:hint="eastAsia" w:ascii="宋体" w:hAnsi="宋体" w:eastAsia="宋体" w:cs="宋体"/>
          <w:color w:val="000000"/>
          <w:sz w:val="24"/>
          <w:szCs w:val="24"/>
          <w:highlight w:val="none"/>
        </w:rPr>
      </w:pPr>
    </w:p>
    <w:p w14:paraId="29809D77">
      <w:pPr>
        <w:pStyle w:val="10"/>
        <w:pageBreakBefore w:val="0"/>
        <w:kinsoku/>
        <w:wordWrap/>
        <w:overflowPunct/>
        <w:topLinePunct w:val="0"/>
        <w:bidi w:val="0"/>
        <w:spacing w:beforeAutospacing="0" w:after="0" w:afterAutospacing="0" w:line="400" w:lineRule="exact"/>
        <w:ind w:right="714"/>
        <w:jc w:val="center"/>
        <w:outlineLvl w:val="0"/>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5.1</w:t>
      </w:r>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中小企业声明函（</w:t>
      </w:r>
      <w:r>
        <w:rPr>
          <w:rFonts w:hint="eastAsia" w:ascii="宋体" w:hAnsi="宋体" w:eastAsia="宋体" w:cs="宋体"/>
          <w:bCs w:val="0"/>
          <w:color w:val="000000" w:themeColor="text1"/>
          <w:kern w:val="0"/>
          <w:sz w:val="24"/>
          <w:szCs w:val="24"/>
          <w:highlight w:val="none"/>
          <w:lang w:val="en-US" w:eastAsia="zh-CN"/>
          <w14:textFill>
            <w14:solidFill>
              <w14:schemeClr w14:val="tx1"/>
            </w14:solidFill>
          </w14:textFill>
        </w:rPr>
        <w:t xml:space="preserve">货物 </w:t>
      </w:r>
      <w:r>
        <w:rPr>
          <w:rFonts w:hint="eastAsia" w:ascii="宋体" w:hAnsi="宋体" w:eastAsia="宋体" w:cs="宋体"/>
          <w:bCs w:val="0"/>
          <w:color w:val="000000" w:themeColor="text1"/>
          <w:kern w:val="0"/>
          <w:sz w:val="24"/>
          <w:szCs w:val="24"/>
          <w:highlight w:val="none"/>
          <w:lang w:val="zh-CN"/>
          <w14:textFill>
            <w14:solidFill>
              <w14:schemeClr w14:val="tx1"/>
            </w14:solidFill>
          </w14:textFill>
        </w:rPr>
        <w:t>）</w:t>
      </w:r>
    </w:p>
    <w:p w14:paraId="071827BF">
      <w:pPr>
        <w:pStyle w:val="10"/>
        <w:pageBreakBefore w:val="0"/>
        <w:kinsoku/>
        <w:wordWrap/>
        <w:overflowPunct/>
        <w:topLinePunct w:val="0"/>
        <w:bidi w:val="0"/>
        <w:spacing w:beforeAutospacing="0" w:after="0" w:afterAutospacing="0" w:line="400" w:lineRule="exact"/>
        <w:ind w:left="210" w:leftChars="100" w:right="210" w:rightChars="100" w:firstLine="199" w:firstLineChars="83"/>
        <w:rPr>
          <w:rFonts w:hint="eastAsia" w:ascii="宋体" w:hAnsi="宋体" w:eastAsia="宋体" w:cs="宋体"/>
          <w:color w:val="000000"/>
          <w:kern w:val="0"/>
          <w:sz w:val="24"/>
          <w:szCs w:val="24"/>
          <w:highlight w:val="none"/>
          <w:lang w:val="zh-CN"/>
        </w:rPr>
      </w:pPr>
    </w:p>
    <w:p w14:paraId="0D37A0A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Style w:val="29"/>
          <w:rFonts w:hint="eastAsia" w:ascii="宋体" w:hAnsi="宋体" w:eastAsia="宋体" w:cs="宋体"/>
          <w:sz w:val="24"/>
          <w:szCs w:val="24"/>
          <w:u w:val="single"/>
        </w:rPr>
        <w:t>（单位名称）</w:t>
      </w:r>
      <w:r>
        <w:rPr>
          <w:rFonts w:hint="eastAsia" w:ascii="宋体" w:hAnsi="宋体" w:eastAsia="宋体" w:cs="宋体"/>
          <w:sz w:val="24"/>
          <w:szCs w:val="24"/>
        </w:rPr>
        <w:t>的</w:t>
      </w:r>
      <w:r>
        <w:rPr>
          <w:rStyle w:val="29"/>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6587D64F">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1.</w:t>
      </w:r>
      <w:r>
        <w:rPr>
          <w:rStyle w:val="29"/>
          <w:rFonts w:hint="eastAsia" w:ascii="宋体" w:hAnsi="宋体" w:eastAsia="宋体" w:cs="宋体"/>
          <w:sz w:val="24"/>
          <w:szCs w:val="24"/>
          <w:u w:val="single"/>
        </w:rPr>
        <w:t>（标的名称）</w:t>
      </w:r>
      <w:r>
        <w:rPr>
          <w:rFonts w:hint="eastAsia" w:ascii="宋体" w:hAnsi="宋体" w:eastAsia="宋体" w:cs="宋体"/>
          <w:sz w:val="24"/>
          <w:szCs w:val="24"/>
        </w:rPr>
        <w:t>，属于</w:t>
      </w:r>
      <w:r>
        <w:rPr>
          <w:rStyle w:val="29"/>
          <w:rFonts w:hint="eastAsia" w:ascii="宋体" w:hAnsi="宋体" w:eastAsia="宋体" w:cs="宋体"/>
          <w:sz w:val="24"/>
          <w:szCs w:val="24"/>
          <w:u w:val="single"/>
        </w:rPr>
        <w:t>（工业）</w:t>
      </w:r>
      <w:r>
        <w:rPr>
          <w:rFonts w:hint="eastAsia" w:ascii="宋体" w:hAnsi="宋体" w:eastAsia="宋体" w:cs="宋体"/>
          <w:sz w:val="24"/>
          <w:szCs w:val="24"/>
        </w:rPr>
        <w:t>；制造商为</w:t>
      </w:r>
      <w:r>
        <w:rPr>
          <w:rStyle w:val="29"/>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Style w:val="29"/>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3A7C3E53">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2. </w:t>
      </w:r>
      <w:r>
        <w:rPr>
          <w:rStyle w:val="29"/>
          <w:rFonts w:hint="eastAsia" w:ascii="宋体" w:hAnsi="宋体" w:eastAsia="宋体" w:cs="宋体"/>
          <w:sz w:val="24"/>
          <w:szCs w:val="24"/>
          <w:u w:val="single"/>
        </w:rPr>
        <w:t>（标的名称）</w:t>
      </w:r>
      <w:r>
        <w:rPr>
          <w:rFonts w:hint="eastAsia" w:ascii="宋体" w:hAnsi="宋体" w:eastAsia="宋体" w:cs="宋体"/>
          <w:sz w:val="24"/>
          <w:szCs w:val="24"/>
        </w:rPr>
        <w:t>，属于</w:t>
      </w:r>
      <w:r>
        <w:rPr>
          <w:rStyle w:val="29"/>
          <w:rFonts w:hint="eastAsia" w:ascii="宋体" w:hAnsi="宋体" w:eastAsia="宋体" w:cs="宋体"/>
          <w:sz w:val="24"/>
          <w:szCs w:val="24"/>
          <w:u w:val="single"/>
        </w:rPr>
        <w:t>（工业）</w:t>
      </w:r>
      <w:r>
        <w:rPr>
          <w:rFonts w:hint="eastAsia" w:ascii="宋体" w:hAnsi="宋体" w:eastAsia="宋体" w:cs="宋体"/>
          <w:sz w:val="24"/>
          <w:szCs w:val="24"/>
        </w:rPr>
        <w:t>；制造商为</w:t>
      </w:r>
      <w:r>
        <w:rPr>
          <w:rStyle w:val="29"/>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Style w:val="29"/>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2DA9A3DC">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w:t>
      </w:r>
    </w:p>
    <w:p w14:paraId="22C3EA5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0BB98F19">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6DDD4FA">
      <w:pPr>
        <w:pStyle w:val="21"/>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645"/>
        <w:textAlignment w:val="auto"/>
        <w:rPr>
          <w:rFonts w:hint="eastAsia" w:ascii="宋体" w:hAnsi="宋体" w:eastAsia="宋体" w:cs="宋体"/>
          <w:sz w:val="24"/>
          <w:szCs w:val="24"/>
        </w:rPr>
      </w:pPr>
      <w:r>
        <w:rPr>
          <w:rFonts w:hint="eastAsia" w:ascii="宋体" w:hAnsi="宋体" w:eastAsia="宋体" w:cs="宋体"/>
          <w:sz w:val="24"/>
          <w:szCs w:val="24"/>
        </w:rPr>
        <w:t>                      企业名称（盖章）：</w:t>
      </w:r>
    </w:p>
    <w:p w14:paraId="024FA9B4">
      <w:pPr>
        <w:pStyle w:val="10"/>
        <w:spacing w:before="75" w:line="232" w:lineRule="auto"/>
        <w:ind w:left="23"/>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日期：</w:t>
      </w:r>
    </w:p>
    <w:p w14:paraId="3487E1CC">
      <w:pPr>
        <w:pStyle w:val="10"/>
        <w:spacing w:before="75" w:line="232" w:lineRule="auto"/>
        <w:ind w:left="23"/>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en-US" w:bidi="ar-SA"/>
        </w:rPr>
        <w:t>注：1、从业人员、营业收入，资产总额填报上一年度数据，无上一年数据的新成立企业可不填报。</w:t>
      </w:r>
    </w:p>
    <w:p w14:paraId="77D286FF">
      <w:pPr>
        <w:pageBreakBefore w:val="0"/>
        <w:numPr>
          <w:ilvl w:val="0"/>
          <w:numId w:val="0"/>
        </w:numPr>
        <w:kinsoku/>
        <w:wordWrap/>
        <w:overflowPunct/>
        <w:topLinePunct w:val="0"/>
        <w:bidi w:val="0"/>
        <w:spacing w:beforeAutospacing="0" w:afterAutospacing="0" w:line="400" w:lineRule="exact"/>
        <w:ind w:firstLine="480" w:firstLineChars="200"/>
        <w:jc w:val="left"/>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2、供应商填写中小企业声明函应根据标的物逐一填写，制造商具体信息投标人应根据实际情况据实填写，投标人自行承担因填写信息不真实、内容不齐全等原因造成的不利后果。 </w:t>
      </w:r>
    </w:p>
    <w:p w14:paraId="67ECD72F">
      <w:pPr>
        <w:pageBreakBefore w:val="0"/>
        <w:numPr>
          <w:ilvl w:val="0"/>
          <w:numId w:val="0"/>
        </w:numPr>
        <w:kinsoku/>
        <w:wordWrap/>
        <w:overflowPunct/>
        <w:topLinePunct w:val="0"/>
        <w:bidi w:val="0"/>
        <w:spacing w:beforeAutospacing="0" w:afterAutospacing="0" w:line="400" w:lineRule="exact"/>
        <w:ind w:firstLine="480" w:firstLineChars="200"/>
        <w:jc w:val="left"/>
        <w:outlineLvl w:val="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3、供应商按照本办法规定提供声明函内容不实的，属于提供虚假材料谋取中标、成交，依照《中华人民共和国政府采购法》等国家有关规定追究相应责任。</w:t>
      </w:r>
    </w:p>
    <w:p w14:paraId="2137A463">
      <w:pPr>
        <w:pageBreakBefore w:val="0"/>
        <w:numPr>
          <w:ilvl w:val="0"/>
          <w:numId w:val="0"/>
        </w:numPr>
        <w:kinsoku/>
        <w:wordWrap/>
        <w:overflowPunct/>
        <w:topLinePunct w:val="0"/>
        <w:bidi w:val="0"/>
        <w:spacing w:beforeAutospacing="0" w:afterAutospacing="0" w:line="400" w:lineRule="exact"/>
        <w:jc w:val="left"/>
        <w:outlineLvl w:val="0"/>
        <w:rPr>
          <w:rFonts w:hint="eastAsia" w:ascii="宋体" w:hAnsi="宋体" w:cs="宋体"/>
          <w:b/>
          <w:bCs/>
          <w:color w:val="000000"/>
          <w:sz w:val="24"/>
          <w:szCs w:val="24"/>
          <w:highlight w:val="none"/>
          <w:lang w:val="en-US" w:eastAsia="zh-CN"/>
        </w:rPr>
        <w:sectPr>
          <w:pgSz w:w="11906" w:h="16838"/>
          <w:pgMar w:top="1440" w:right="1800" w:bottom="1440" w:left="1380" w:header="851" w:footer="992" w:gutter="0"/>
          <w:pgNumType w:fmt="decimal"/>
          <w:cols w:space="720" w:num="1"/>
          <w:docGrid w:type="lines" w:linePitch="312" w:charSpace="0"/>
        </w:sectPr>
      </w:pPr>
    </w:p>
    <w:p w14:paraId="34E319E7">
      <w:pPr>
        <w:pageBreakBefore w:val="0"/>
        <w:tabs>
          <w:tab w:val="left" w:pos="2880"/>
        </w:tabs>
        <w:kinsoku/>
        <w:wordWrap/>
        <w:overflowPunct/>
        <w:topLinePunct w:val="0"/>
        <w:bidi w:val="0"/>
        <w:spacing w:beforeAutospacing="0" w:afterAutospacing="0" w:line="400" w:lineRule="exact"/>
        <w:jc w:val="center"/>
        <w:rPr>
          <w:rFonts w:hint="eastAsia" w:ascii="宋体" w:hAnsi="宋体" w:eastAsia="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w:t>
      </w:r>
      <w:r>
        <w:rPr>
          <w:rFonts w:hint="eastAsia" w:ascii="宋体" w:hAnsi="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rPr>
        <w:t>监狱企业声明函</w:t>
      </w:r>
    </w:p>
    <w:p w14:paraId="761A0534">
      <w:pPr>
        <w:pageBreakBefore w:val="0"/>
        <w:kinsoku/>
        <w:wordWrap/>
        <w:overflowPunct/>
        <w:topLinePunct w:val="0"/>
        <w:bidi w:val="0"/>
        <w:spacing w:beforeAutospacing="0" w:afterAutospacing="0"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（监狱企业适用）</w:t>
      </w:r>
    </w:p>
    <w:p w14:paraId="11DA5BEB">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本公司郑重声明，根据《关于政府采购支持监狱企业发展有关问题的通知》（财库[2014]68号）的规定，本公司为监狱企业。</w:t>
      </w:r>
    </w:p>
    <w:p w14:paraId="416EEE49">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本公司参加______单位的______项目采购活动，采购活动提供本企业（</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填写制造的货物，由本企业承担工程、提供服务）。</w:t>
      </w:r>
    </w:p>
    <w:p w14:paraId="14405204">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本条所称货物不包括使用大型企业注册商标的货物和服务。</w:t>
      </w:r>
    </w:p>
    <w:p w14:paraId="206D88D0">
      <w:pPr>
        <w:pageBreakBefore w:val="0"/>
        <w:kinsoku/>
        <w:wordWrap/>
        <w:overflowPunct/>
        <w:topLinePunct w:val="0"/>
        <w:bidi w:val="0"/>
        <w:spacing w:beforeAutospacing="0" w:afterAutospacing="0" w:line="400" w:lineRule="exact"/>
        <w:ind w:firstLine="540" w:firstLineChars="2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本公司对上述声明的真实性负责。如有虚假，将依法承担相应责任。</w:t>
      </w:r>
    </w:p>
    <w:p w14:paraId="46D23CBC">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373AD327">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688642E4">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p>
    <w:p w14:paraId="37BC1FF7">
      <w:pPr>
        <w:pageBreakBefore w:val="0"/>
        <w:kinsoku/>
        <w:wordWrap/>
        <w:overflowPunct/>
        <w:topLinePunct w:val="0"/>
        <w:bidi w:val="0"/>
        <w:spacing w:beforeAutospacing="0" w:afterAutospacing="0" w:line="400" w:lineRule="exact"/>
        <w:ind w:firstLine="4860" w:firstLineChars="2025"/>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企业名称（盖公章）：</w:t>
      </w:r>
    </w:p>
    <w:p w14:paraId="02E51A36">
      <w:pPr>
        <w:pageBreakBefore w:val="0"/>
        <w:kinsoku/>
        <w:wordWrap/>
        <w:overflowPunct/>
        <w:topLinePunct w:val="0"/>
        <w:bidi w:val="0"/>
        <w:spacing w:beforeAutospacing="0" w:afterAutospacing="0" w:line="400" w:lineRule="exact"/>
        <w:ind w:firstLine="2880" w:firstLineChars="1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法定代表人</w:t>
      </w:r>
      <w:r>
        <w:rPr>
          <w:rFonts w:hint="eastAsia" w:ascii="宋体" w:hAnsi="宋体" w:eastAsia="宋体" w:cs="宋体"/>
          <w:color w:val="auto"/>
          <w:kern w:val="0"/>
          <w:sz w:val="24"/>
          <w:szCs w:val="24"/>
          <w:highlight w:val="none"/>
        </w:rPr>
        <w:t>（负责人）或其授权代表(签字)：</w:t>
      </w:r>
    </w:p>
    <w:p w14:paraId="522D5789">
      <w:pPr>
        <w:pageBreakBefore w:val="0"/>
        <w:tabs>
          <w:tab w:val="left" w:pos="2880"/>
        </w:tabs>
        <w:kinsoku/>
        <w:wordWrap/>
        <w:overflowPunct/>
        <w:topLinePunct w:val="0"/>
        <w:bidi w:val="0"/>
        <w:spacing w:beforeAutospacing="0" w:afterAutospacing="0" w:line="400" w:lineRule="exact"/>
        <w:ind w:firstLine="4800" w:firstLineChars="20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日期：</w:t>
      </w:r>
    </w:p>
    <w:p w14:paraId="355B3095">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4C221F4F">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b w:val="0"/>
          <w:bCs/>
          <w:color w:val="000000"/>
          <w:kern w:val="0"/>
          <w:sz w:val="24"/>
          <w:szCs w:val="24"/>
          <w:highlight w:val="none"/>
          <w:lang w:val="zh-CN"/>
        </w:rPr>
      </w:pPr>
      <w:r>
        <w:rPr>
          <w:rFonts w:hint="eastAsia" w:ascii="宋体" w:hAnsi="宋体" w:eastAsia="宋体" w:cs="宋体"/>
          <w:b w:val="0"/>
          <w:bCs/>
          <w:color w:val="000000"/>
          <w:kern w:val="0"/>
          <w:sz w:val="24"/>
          <w:szCs w:val="24"/>
          <w:highlight w:val="none"/>
          <w:lang w:val="en-US" w:eastAsia="zh-CN"/>
        </w:rPr>
        <w:t>5.3</w:t>
      </w:r>
      <w:r>
        <w:rPr>
          <w:rFonts w:hint="eastAsia" w:ascii="宋体" w:hAnsi="宋体" w:eastAsia="宋体" w:cs="宋体"/>
          <w:b w:val="0"/>
          <w:bCs/>
          <w:color w:val="000000"/>
          <w:kern w:val="0"/>
          <w:sz w:val="24"/>
          <w:szCs w:val="24"/>
          <w:highlight w:val="none"/>
          <w:lang w:val="zh-CN"/>
        </w:rPr>
        <w:t>残疾人福利性单位声明函</w:t>
      </w:r>
    </w:p>
    <w:p w14:paraId="62C6CC02">
      <w:pPr>
        <w:pStyle w:val="10"/>
        <w:pageBreakBefore w:val="0"/>
        <w:kinsoku/>
        <w:wordWrap/>
        <w:overflowPunct/>
        <w:topLinePunct w:val="0"/>
        <w:bidi w:val="0"/>
        <w:spacing w:beforeAutospacing="0" w:after="0" w:afterAutospacing="0" w:line="400" w:lineRule="exact"/>
        <w:rPr>
          <w:rFonts w:hint="eastAsia" w:ascii="宋体" w:hAnsi="宋体" w:eastAsia="宋体" w:cs="宋体"/>
          <w:color w:val="000000"/>
          <w:sz w:val="24"/>
          <w:szCs w:val="24"/>
          <w:highlight w:val="none"/>
        </w:rPr>
      </w:pPr>
    </w:p>
    <w:p w14:paraId="77EE5917">
      <w:pPr>
        <w:pStyle w:val="10"/>
        <w:pageBreakBefore w:val="0"/>
        <w:kinsoku/>
        <w:wordWrap/>
        <w:overflowPunct/>
        <w:topLinePunct w:val="0"/>
        <w:bidi w:val="0"/>
        <w:spacing w:beforeAutospacing="0" w:after="0" w:afterAutospacing="0" w:line="400" w:lineRule="exact"/>
        <w:ind w:left="567" w:right="567" w:firstLine="1512" w:firstLineChars="630"/>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（非残疾人福利性单位投标，不需此件）</w:t>
      </w:r>
    </w:p>
    <w:p w14:paraId="655A6B3D">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本单位郑重声明，根据《财政部 民政部 中国残疾人联合会关于促进残疾人就业政府采购政策的通知》（财库〔2017〕 141 号）的规定，本单位为□符合□不符合（对应勾选）条件的残疾人福利性单位，且本单位参加本项目采购活动由本单位提供服务。 </w:t>
      </w:r>
    </w:p>
    <w:p w14:paraId="2AEEC9D3">
      <w:pPr>
        <w:pStyle w:val="10"/>
        <w:pageBreakBefore w:val="0"/>
        <w:kinsoku/>
        <w:wordWrap/>
        <w:overflowPunct/>
        <w:topLinePunct w:val="0"/>
        <w:bidi w:val="0"/>
        <w:spacing w:beforeAutospacing="0" w:after="0" w:afterAutospacing="0" w:line="400" w:lineRule="exact"/>
        <w:ind w:left="567" w:right="567" w:firstLine="559" w:firstLineChars="233"/>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 xml:space="preserve">本单位对上述声明的真实性负责。如有虚假，将依法承担相应责任。 </w:t>
      </w:r>
    </w:p>
    <w:p w14:paraId="10F36768">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1245A151">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6505D13C">
      <w:pPr>
        <w:pageBreakBefore w:val="0"/>
        <w:kinsoku/>
        <w:wordWrap/>
        <w:overflowPunct/>
        <w:topLinePunct w:val="0"/>
        <w:bidi w:val="0"/>
        <w:spacing w:beforeAutospacing="0" w:afterAutospacing="0" w:line="400" w:lineRule="exact"/>
        <w:jc w:val="left"/>
        <w:rPr>
          <w:rFonts w:hint="eastAsia" w:ascii="宋体" w:hAnsi="宋体" w:eastAsia="宋体" w:cs="宋体"/>
          <w:color w:val="000000"/>
          <w:sz w:val="24"/>
          <w:szCs w:val="24"/>
          <w:highlight w:val="none"/>
        </w:rPr>
      </w:pPr>
    </w:p>
    <w:p w14:paraId="2133AF86">
      <w:pPr>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cs="宋体"/>
          <w:color w:val="000000"/>
          <w:sz w:val="24"/>
          <w:szCs w:val="24"/>
          <w:highlight w:val="none"/>
          <w:lang w:eastAsia="zh-CN"/>
        </w:rPr>
        <w:t>供应商公章</w:t>
      </w:r>
      <w:r>
        <w:rPr>
          <w:rFonts w:hint="eastAsia" w:ascii="宋体" w:hAnsi="宋体" w:eastAsia="宋体" w:cs="宋体"/>
          <w:color w:val="000000"/>
          <w:sz w:val="24"/>
          <w:szCs w:val="24"/>
          <w:highlight w:val="none"/>
        </w:rPr>
        <w:t>）</w:t>
      </w:r>
    </w:p>
    <w:p w14:paraId="2D832EBC">
      <w:pPr>
        <w:pageBreakBefore w:val="0"/>
        <w:kinsoku/>
        <w:wordWrap/>
        <w:overflowPunct/>
        <w:topLinePunct w:val="0"/>
        <w:bidi w:val="0"/>
        <w:spacing w:beforeAutospacing="0" w:afterAutospacing="0" w:line="400" w:lineRule="exact"/>
        <w:ind w:firstLine="240" w:firstLineChars="1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 xml:space="preserve">  法定代表人或授权代表人：（签字或盖章）</w:t>
      </w:r>
    </w:p>
    <w:p w14:paraId="1784C412">
      <w:pPr>
        <w:pStyle w:val="10"/>
        <w:pageBreakBefore w:val="0"/>
        <w:tabs>
          <w:tab w:val="left" w:pos="5765"/>
          <w:tab w:val="left" w:pos="8831"/>
          <w:tab w:val="left" w:pos="8927"/>
        </w:tabs>
        <w:kinsoku/>
        <w:wordWrap/>
        <w:overflowPunct/>
        <w:topLinePunct w:val="0"/>
        <w:bidi w:val="0"/>
        <w:spacing w:beforeAutospacing="0" w:after="0" w:afterAutospacing="0" w:line="400" w:lineRule="exact"/>
        <w:ind w:left="4798" w:right="2257" w:hanging="24"/>
        <w:jc w:val="left"/>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ab/>
      </w:r>
      <w:r>
        <w:rPr>
          <w:rFonts w:hint="eastAsia" w:ascii="宋体" w:hAnsi="宋体" w:eastAsia="宋体" w:cs="宋体"/>
          <w:color w:val="000000"/>
          <w:kern w:val="0"/>
          <w:sz w:val="24"/>
          <w:szCs w:val="24"/>
          <w:highlight w:val="none"/>
          <w:lang w:val="zh-CN"/>
        </w:rPr>
        <w:tab/>
      </w:r>
    </w:p>
    <w:p w14:paraId="54556AA2">
      <w:pPr>
        <w:pStyle w:val="34"/>
        <w:pageBreakBefore w:val="0"/>
        <w:kinsoku/>
        <w:wordWrap/>
        <w:overflowPunct/>
        <w:topLinePunct w:val="0"/>
        <w:bidi w:val="0"/>
        <w:spacing w:beforeAutospacing="0" w:afterAutospacing="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zh-CN"/>
        </w:rPr>
        <w:t>日</w:t>
      </w:r>
      <w:r>
        <w:rPr>
          <w:rFonts w:hint="eastAsia" w:ascii="宋体" w:hAnsi="宋体" w:eastAsia="宋体" w:cs="宋体"/>
          <w:color w:val="000000"/>
          <w:sz w:val="24"/>
          <w:szCs w:val="24"/>
          <w:highlight w:val="none"/>
          <w:lang w:val="zh-CN"/>
        </w:rPr>
        <w:tab/>
      </w:r>
      <w:r>
        <w:rPr>
          <w:rFonts w:hint="eastAsia" w:ascii="宋体" w:hAnsi="宋体" w:eastAsia="宋体" w:cs="宋体"/>
          <w:color w:val="000000"/>
          <w:sz w:val="24"/>
          <w:szCs w:val="24"/>
          <w:highlight w:val="none"/>
          <w:lang w:val="zh-CN"/>
        </w:rPr>
        <w:t>期：</w:t>
      </w:r>
    </w:p>
    <w:p w14:paraId="2588E35B">
      <w:pPr>
        <w:pageBreakBefore w:val="0"/>
        <w:numPr>
          <w:ilvl w:val="0"/>
          <w:numId w:val="0"/>
        </w:numPr>
        <w:kinsoku/>
        <w:wordWrap/>
        <w:overflowPunct/>
        <w:topLinePunct w:val="0"/>
        <w:bidi w:val="0"/>
        <w:spacing w:beforeAutospacing="0" w:afterAutospacing="0" w:line="400" w:lineRule="exact"/>
        <w:jc w:val="left"/>
        <w:outlineLvl w:val="0"/>
        <w:rPr>
          <w:rFonts w:hint="eastAsia" w:ascii="宋体" w:hAnsi="宋体" w:cs="宋体"/>
          <w:b/>
          <w:bCs/>
          <w:color w:val="000000"/>
          <w:sz w:val="24"/>
          <w:szCs w:val="24"/>
          <w:highlight w:val="none"/>
          <w:lang w:val="en-US" w:eastAsia="zh-CN"/>
        </w:rPr>
      </w:pPr>
    </w:p>
    <w:p w14:paraId="7AB710D9">
      <w:pPr>
        <w:pageBreakBefore w:val="0"/>
        <w:numPr>
          <w:ilvl w:val="0"/>
          <w:numId w:val="0"/>
        </w:numPr>
        <w:kinsoku/>
        <w:wordWrap/>
        <w:overflowPunct/>
        <w:topLinePunct w:val="0"/>
        <w:bidi w:val="0"/>
        <w:spacing w:beforeAutospacing="0" w:afterAutospacing="0" w:line="400" w:lineRule="exact"/>
        <w:jc w:val="left"/>
        <w:outlineLvl w:val="0"/>
        <w:rPr>
          <w:rFonts w:hint="eastAsia" w:ascii="宋体" w:hAnsi="宋体" w:eastAsia="宋体" w:cs="宋体"/>
          <w:b/>
          <w:bCs/>
          <w:color w:val="000000"/>
          <w:sz w:val="24"/>
          <w:szCs w:val="24"/>
          <w:highlight w:val="none"/>
        </w:rPr>
      </w:pP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投标人认为有必要提供的声明及文件资料。</w:t>
      </w:r>
    </w:p>
    <w:p w14:paraId="1F137197">
      <w:pPr>
        <w:pageBreakBefore w:val="0"/>
        <w:numPr>
          <w:ilvl w:val="0"/>
          <w:numId w:val="0"/>
        </w:numPr>
        <w:kinsoku/>
        <w:wordWrap/>
        <w:overflowPunct/>
        <w:topLinePunct w:val="0"/>
        <w:bidi w:val="0"/>
        <w:spacing w:beforeAutospacing="0" w:afterAutospacing="0" w:line="400" w:lineRule="exact"/>
        <w:jc w:val="left"/>
        <w:outlineLvl w:val="0"/>
        <w:rPr>
          <w:rFonts w:hint="eastAsia" w:ascii="宋体" w:hAnsi="宋体" w:cs="宋体"/>
          <w:b/>
          <w:bCs/>
          <w:color w:val="000000"/>
          <w:sz w:val="24"/>
          <w:szCs w:val="24"/>
          <w:highlight w:val="none"/>
          <w:lang w:val="en-US" w:eastAsia="zh-CN"/>
        </w:rPr>
        <w:sectPr>
          <w:pgSz w:w="11906" w:h="16838"/>
          <w:pgMar w:top="1440" w:right="1800" w:bottom="1440" w:left="1380" w:header="851" w:footer="992" w:gutter="0"/>
          <w:pgNumType w:fmt="decimal"/>
          <w:cols w:space="720" w:num="1"/>
          <w:docGrid w:type="lines" w:linePitch="312" w:charSpace="0"/>
        </w:sectPr>
      </w:pP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格式自拟</w:t>
      </w:r>
      <w:r>
        <w:rPr>
          <w:rFonts w:hint="eastAsia" w:ascii="宋体" w:hAnsi="宋体" w:eastAsia="宋体" w:cs="宋体"/>
          <w:b w:val="0"/>
          <w:bCs w:val="0"/>
          <w:color w:val="000000"/>
          <w:sz w:val="24"/>
          <w:szCs w:val="24"/>
          <w:highlight w:val="none"/>
          <w:lang w:eastAsia="zh-CN"/>
        </w:rPr>
        <w:t>）</w:t>
      </w:r>
    </w:p>
    <w:p w14:paraId="3E7D56B4">
      <w:pPr>
        <w:pageBreakBefore w:val="0"/>
        <w:numPr>
          <w:ilvl w:val="0"/>
          <w:numId w:val="0"/>
        </w:numPr>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cs="宋体"/>
          <w:b/>
          <w:bCs/>
          <w:color w:val="000000"/>
          <w:kern w:val="2"/>
          <w:sz w:val="24"/>
          <w:szCs w:val="24"/>
          <w:lang w:val="en-US" w:eastAsia="zh-CN" w:bidi="ar-SA"/>
        </w:rPr>
        <w:t>二、</w:t>
      </w:r>
      <w:r>
        <w:rPr>
          <w:rFonts w:hint="eastAsia" w:ascii="宋体" w:hAnsi="宋体" w:eastAsia="宋体" w:cs="宋体"/>
          <w:b/>
          <w:bCs/>
          <w:color w:val="000000"/>
          <w:sz w:val="24"/>
          <w:szCs w:val="24"/>
          <w:highlight w:val="none"/>
        </w:rPr>
        <w:t xml:space="preserve"> </w:t>
      </w:r>
      <w:bookmarkStart w:id="15" w:name="_Toc2645"/>
      <w:bookmarkStart w:id="16" w:name="_Toc10635"/>
      <w:r>
        <w:rPr>
          <w:rFonts w:hint="eastAsia" w:ascii="宋体" w:hAnsi="宋体" w:eastAsia="宋体" w:cs="宋体"/>
          <w:b/>
          <w:bCs/>
          <w:color w:val="000000"/>
          <w:sz w:val="24"/>
          <w:szCs w:val="24"/>
          <w:highlight w:val="none"/>
        </w:rPr>
        <w:t>经济报价部</w:t>
      </w:r>
      <w:bookmarkEnd w:id="13"/>
      <w:bookmarkEnd w:id="14"/>
      <w:bookmarkEnd w:id="15"/>
      <w:bookmarkEnd w:id="16"/>
      <w:r>
        <w:rPr>
          <w:rFonts w:hint="eastAsia" w:ascii="宋体" w:hAnsi="宋体" w:cs="宋体"/>
          <w:b/>
          <w:bCs/>
          <w:color w:val="000000"/>
          <w:sz w:val="24"/>
          <w:szCs w:val="24"/>
          <w:highlight w:val="none"/>
          <w:lang w:val="en-US" w:eastAsia="zh-CN"/>
        </w:rPr>
        <w:t>分</w:t>
      </w:r>
    </w:p>
    <w:p w14:paraId="519B593F">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3D19F63E">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sz w:val="24"/>
          <w:szCs w:val="24"/>
        </w:rPr>
      </w:pPr>
      <w:r>
        <w:rPr>
          <w:rFonts w:hint="eastAsia" w:ascii="宋体" w:hAnsi="宋体" w:eastAsia="宋体" w:cs="宋体"/>
          <w:b/>
          <w:color w:val="000000"/>
          <w:sz w:val="24"/>
          <w:szCs w:val="24"/>
          <w:highlight w:val="none"/>
          <w:lang w:val="en-US" w:eastAsia="zh-CN"/>
        </w:rPr>
        <w:t>1、</w:t>
      </w:r>
      <w:r>
        <w:rPr>
          <w:rFonts w:hint="eastAsia" w:ascii="宋体" w:hAnsi="宋体" w:eastAsia="宋体" w:cs="宋体"/>
          <w:b/>
          <w:color w:val="000000"/>
          <w:sz w:val="24"/>
          <w:szCs w:val="24"/>
          <w:highlight w:val="none"/>
        </w:rPr>
        <w:t>投   标   书</w:t>
      </w:r>
    </w:p>
    <w:p w14:paraId="34B1157B">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6C15D9A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w:t>
      </w:r>
    </w:p>
    <w:p w14:paraId="392CCD08">
      <w:pPr>
        <w:pStyle w:val="4"/>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72E648C7">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我们收到你们的</w:t>
      </w:r>
      <w:r>
        <w:rPr>
          <w:rFonts w:hint="eastAsia" w:ascii="宋体" w:hAnsi="宋体" w:eastAsia="宋体" w:cs="宋体"/>
          <w:color w:val="000000"/>
          <w:sz w:val="24"/>
          <w:szCs w:val="24"/>
          <w:highlight w:val="none"/>
          <w:u w:val="single"/>
        </w:rPr>
        <w:t xml:space="preserve">     （项目名称）     （项目编号：  ）</w:t>
      </w:r>
      <w:r>
        <w:rPr>
          <w:rFonts w:hint="eastAsia" w:ascii="宋体" w:hAnsi="宋体" w:eastAsia="宋体" w:cs="宋体"/>
          <w:color w:val="000000"/>
          <w:sz w:val="24"/>
          <w:szCs w:val="24"/>
          <w:highlight w:val="none"/>
        </w:rPr>
        <w:t>招标文件，经认真研究，我们决定参加本次招标活动。</w:t>
      </w:r>
    </w:p>
    <w:p w14:paraId="7B229CC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1、按照招标文件中的一切要求，提供招标相关服务。人民币</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rPr>
        <w:t>元（用阿拉伯数字书写），大写：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明细见投标报价表。</w:t>
      </w:r>
    </w:p>
    <w:p w14:paraId="14F664E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2、如果我们的投标文件被接受，我们将履行招标文件中规定的每一项义务和要求，按期、按质、按量完成交货。</w:t>
      </w:r>
    </w:p>
    <w:p w14:paraId="4C8C6A0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3、我们同意按招标文件的规定，本投标文件的有效期为开标后</w:t>
      </w:r>
      <w:r>
        <w:rPr>
          <w:rFonts w:hint="eastAsia" w:ascii="宋体" w:hAnsi="宋体" w:eastAsia="宋体" w:cs="宋体"/>
          <w:color w:val="000000"/>
          <w:sz w:val="24"/>
          <w:szCs w:val="24"/>
          <w:highlight w:val="none"/>
          <w:u w:val="single"/>
        </w:rPr>
        <w:t>60</w:t>
      </w:r>
      <w:r>
        <w:rPr>
          <w:rFonts w:hint="eastAsia" w:ascii="宋体" w:hAnsi="宋体" w:eastAsia="宋体" w:cs="宋体"/>
          <w:color w:val="000000"/>
          <w:sz w:val="24"/>
          <w:szCs w:val="24"/>
          <w:highlight w:val="none"/>
        </w:rPr>
        <w:t>天。</w:t>
      </w:r>
    </w:p>
    <w:p w14:paraId="2CD1355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4、我们愿意提供</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在招标文件中要求的所有资料。</w:t>
      </w:r>
    </w:p>
    <w:p w14:paraId="6F262C3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5、我们认为你们有选择或拒绝任何投标者中标的权力。我们理解，最低报价不是中标的唯一条件。</w:t>
      </w:r>
    </w:p>
    <w:p w14:paraId="286CB58B">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6、我们愿按合同法履行自己的全部责任。</w:t>
      </w:r>
    </w:p>
    <w:p w14:paraId="15EF4CD4">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7、我们愿意遵守国家有关规定和招标文件中规定的收费标准，承付中标服务费。</w:t>
      </w:r>
    </w:p>
    <w:p w14:paraId="65B25B2C">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8、该项投标在开标后的全过程中保持有效，不作任何更改和变动。</w:t>
      </w:r>
    </w:p>
    <w:p w14:paraId="1C13927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9、我们同意按招标文件规定，交纳投标保证金。</w:t>
      </w:r>
    </w:p>
    <w:p w14:paraId="7A76DDFE">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10、其它说明。</w:t>
      </w:r>
    </w:p>
    <w:p w14:paraId="3FE24D4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11、所有有关本标书的函电，请按下列地址联系：</w:t>
      </w:r>
    </w:p>
    <w:p w14:paraId="79DB9AA5">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cs="宋体"/>
          <w:color w:val="000000"/>
          <w:sz w:val="24"/>
          <w:szCs w:val="24"/>
          <w:highlight w:val="none"/>
          <w:lang w:eastAsia="zh-CN"/>
        </w:rPr>
        <w:t>供应商公章</w:t>
      </w:r>
      <w:r>
        <w:rPr>
          <w:rFonts w:hint="eastAsia" w:ascii="宋体" w:hAnsi="宋体" w:eastAsia="宋体" w:cs="宋体"/>
          <w:color w:val="000000"/>
          <w:sz w:val="24"/>
          <w:szCs w:val="24"/>
          <w:highlight w:val="none"/>
        </w:rPr>
        <w:t>）</w:t>
      </w:r>
    </w:p>
    <w:p w14:paraId="4A26675A">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法定代表人或授权代表人（签字或盖章）：</w:t>
      </w:r>
    </w:p>
    <w:p w14:paraId="32D17AA0">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p>
    <w:p w14:paraId="1FB19303">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电话：           联系人：</w:t>
      </w:r>
    </w:p>
    <w:p w14:paraId="70ACAB28">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right"/>
        <w:textAlignment w:val="auto"/>
        <w:rPr>
          <w:rFonts w:hint="eastAsia" w:ascii="宋体" w:hAnsi="宋体" w:eastAsia="宋体" w:cs="宋体"/>
          <w:color w:val="000000"/>
          <w:sz w:val="24"/>
          <w:szCs w:val="24"/>
          <w:highlight w:val="none"/>
        </w:rPr>
      </w:pPr>
    </w:p>
    <w:p w14:paraId="5CE72F02">
      <w:pPr>
        <w:keepNext w:val="0"/>
        <w:keepLines w:val="0"/>
        <w:pageBreakBefore w:val="0"/>
        <w:widowControl w:val="0"/>
        <w:kinsoku/>
        <w:wordWrap/>
        <w:overflowPunct/>
        <w:topLinePunct w:val="0"/>
        <w:autoSpaceDE/>
        <w:autoSpaceDN/>
        <w:bidi w:val="0"/>
        <w:adjustRightInd w:val="0"/>
        <w:snapToGrid w:val="0"/>
        <w:spacing w:beforeAutospacing="0" w:afterAutospacing="0" w:line="400" w:lineRule="exact"/>
        <w:jc w:val="right"/>
        <w:textAlignment w:val="auto"/>
        <w:rPr>
          <w:rFonts w:hint="eastAsia" w:ascii="宋体" w:hAnsi="宋体" w:eastAsia="宋体" w:cs="宋体"/>
          <w:sz w:val="24"/>
          <w:szCs w:val="24"/>
          <w:lang w:eastAsia="zh-CN"/>
        </w:rPr>
        <w:sectPr>
          <w:pgSz w:w="11906" w:h="16838"/>
          <w:pgMar w:top="1440" w:right="1800" w:bottom="1440" w:left="1380" w:header="851" w:footer="992" w:gutter="0"/>
          <w:pgNumType w:fmt="decimal"/>
          <w:cols w:space="720" w:num="1"/>
          <w:docGrid w:type="lines" w:linePitch="312" w:charSpace="0"/>
        </w:sectPr>
      </w:pPr>
      <w:r>
        <w:rPr>
          <w:rFonts w:hint="eastAsia" w:ascii="宋体" w:hAnsi="宋体" w:eastAsia="宋体" w:cs="宋体"/>
          <w:color w:val="000000"/>
          <w:sz w:val="24"/>
          <w:szCs w:val="24"/>
          <w:highlight w:val="none"/>
        </w:rPr>
        <w:t>年  月  日</w:t>
      </w:r>
    </w:p>
    <w:p w14:paraId="657C2A08">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C260204">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2、开标一览表</w:t>
      </w:r>
    </w:p>
    <w:p w14:paraId="3A70BEA3">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p w14:paraId="2A452B90">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tbl>
      <w:tblPr>
        <w:tblStyle w:val="24"/>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23"/>
        <w:gridCol w:w="1830"/>
        <w:gridCol w:w="1734"/>
        <w:gridCol w:w="1512"/>
        <w:gridCol w:w="948"/>
      </w:tblGrid>
      <w:tr w14:paraId="38C01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vAlign w:val="center"/>
          </w:tcPr>
          <w:p w14:paraId="5DCC7EA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3023" w:type="dxa"/>
            <w:vAlign w:val="center"/>
          </w:tcPr>
          <w:p w14:paraId="5E17CAC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项目名称</w:t>
            </w:r>
          </w:p>
        </w:tc>
        <w:tc>
          <w:tcPr>
            <w:tcW w:w="1830" w:type="dxa"/>
            <w:vAlign w:val="center"/>
          </w:tcPr>
          <w:p w14:paraId="526AED7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投标报价（元）</w:t>
            </w:r>
          </w:p>
        </w:tc>
        <w:tc>
          <w:tcPr>
            <w:tcW w:w="1734" w:type="dxa"/>
            <w:vAlign w:val="center"/>
          </w:tcPr>
          <w:p w14:paraId="5776071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合同</w:t>
            </w:r>
            <w:r>
              <w:rPr>
                <w:rFonts w:hint="eastAsia" w:ascii="宋体" w:hAnsi="宋体" w:eastAsia="宋体" w:cs="宋体"/>
                <w:color w:val="000000"/>
                <w:sz w:val="24"/>
                <w:szCs w:val="24"/>
                <w:highlight w:val="none"/>
                <w:lang w:eastAsia="zh-CN"/>
              </w:rPr>
              <w:t>履约期限</w:t>
            </w:r>
          </w:p>
        </w:tc>
        <w:tc>
          <w:tcPr>
            <w:tcW w:w="1512" w:type="dxa"/>
            <w:vAlign w:val="center"/>
          </w:tcPr>
          <w:p w14:paraId="299CBC2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lang w:val="en-US" w:eastAsia="zh-CN"/>
              </w:rPr>
              <w:t>质保期</w:t>
            </w:r>
          </w:p>
        </w:tc>
        <w:tc>
          <w:tcPr>
            <w:tcW w:w="948" w:type="dxa"/>
            <w:vAlign w:val="center"/>
          </w:tcPr>
          <w:p w14:paraId="65ADF2DB">
            <w:pPr>
              <w:pageBreakBefore w:val="0"/>
              <w:kinsoku/>
              <w:wordWrap/>
              <w:overflowPunct/>
              <w:topLinePunct w:val="0"/>
              <w:bidi w:val="0"/>
              <w:adjustRightInd w:val="0"/>
              <w:snapToGrid w:val="0"/>
              <w:spacing w:beforeAutospacing="0" w:afterAutospacing="0" w:line="40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备注</w:t>
            </w:r>
          </w:p>
        </w:tc>
      </w:tr>
      <w:tr w14:paraId="1765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jc w:val="center"/>
        </w:trPr>
        <w:tc>
          <w:tcPr>
            <w:tcW w:w="710" w:type="dxa"/>
            <w:vAlign w:val="center"/>
          </w:tcPr>
          <w:p w14:paraId="007EAF3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3023" w:type="dxa"/>
            <w:vAlign w:val="center"/>
          </w:tcPr>
          <w:p w14:paraId="1E91A31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830" w:type="dxa"/>
            <w:vAlign w:val="center"/>
          </w:tcPr>
          <w:p w14:paraId="376362C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734" w:type="dxa"/>
            <w:vAlign w:val="center"/>
          </w:tcPr>
          <w:p w14:paraId="7762006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512" w:type="dxa"/>
            <w:vAlign w:val="center"/>
          </w:tcPr>
          <w:p w14:paraId="77BAF8B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48" w:type="dxa"/>
            <w:vAlign w:val="center"/>
          </w:tcPr>
          <w:p w14:paraId="2250E94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2730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710" w:type="dxa"/>
            <w:vAlign w:val="center"/>
          </w:tcPr>
          <w:p w14:paraId="76988D2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3023" w:type="dxa"/>
            <w:vAlign w:val="center"/>
          </w:tcPr>
          <w:p w14:paraId="02016B1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总计：（人民币小写）：</w:t>
            </w:r>
          </w:p>
        </w:tc>
        <w:tc>
          <w:tcPr>
            <w:tcW w:w="6024" w:type="dxa"/>
            <w:gridSpan w:val="4"/>
            <w:vAlign w:val="center"/>
          </w:tcPr>
          <w:p w14:paraId="777D508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r>
      <w:tr w14:paraId="0AA9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10" w:type="dxa"/>
            <w:vAlign w:val="center"/>
          </w:tcPr>
          <w:p w14:paraId="2896732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3023" w:type="dxa"/>
            <w:vAlign w:val="center"/>
          </w:tcPr>
          <w:p w14:paraId="5B3BF65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总计</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（人民币大写）：</w:t>
            </w:r>
          </w:p>
        </w:tc>
        <w:tc>
          <w:tcPr>
            <w:tcW w:w="6024" w:type="dxa"/>
            <w:gridSpan w:val="4"/>
            <w:vAlign w:val="center"/>
          </w:tcPr>
          <w:p w14:paraId="3640A67B">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tc>
      </w:tr>
    </w:tbl>
    <w:p w14:paraId="19A1E2DA">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color w:val="auto"/>
          <w:sz w:val="24"/>
          <w:szCs w:val="24"/>
          <w:highlight w:val="none"/>
        </w:rPr>
      </w:pPr>
      <w:bookmarkStart w:id="17" w:name="_Toc20945"/>
      <w:r>
        <w:rPr>
          <w:rFonts w:hint="eastAsia" w:ascii="宋体" w:hAnsi="宋体" w:eastAsia="宋体" w:cs="宋体"/>
          <w:color w:val="auto"/>
          <w:sz w:val="24"/>
          <w:szCs w:val="24"/>
          <w:highlight w:val="none"/>
        </w:rPr>
        <w:t>注：</w:t>
      </w:r>
    </w:p>
    <w:p w14:paraId="3B97A71E">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1、此表</w:t>
      </w:r>
      <w:r>
        <w:rPr>
          <w:rFonts w:hint="eastAsia" w:cs="宋体"/>
          <w:color w:val="auto"/>
          <w:sz w:val="24"/>
          <w:szCs w:val="24"/>
          <w:highlight w:val="none"/>
          <w:lang w:val="en-US" w:eastAsia="zh-CN"/>
        </w:rPr>
        <w:t>须包含在</w:t>
      </w:r>
      <w:r>
        <w:rPr>
          <w:rFonts w:hint="eastAsia" w:ascii="宋体" w:hAnsi="宋体" w:eastAsia="宋体" w:cs="宋体"/>
          <w:color w:val="auto"/>
          <w:sz w:val="24"/>
          <w:szCs w:val="24"/>
          <w:highlight w:val="none"/>
          <w:lang w:eastAsia="zh-CN"/>
        </w:rPr>
        <w:t>投标文件中</w:t>
      </w:r>
      <w:r>
        <w:rPr>
          <w:rFonts w:hint="eastAsia" w:ascii="宋体" w:hAnsi="宋体" w:eastAsia="宋体" w:cs="宋体"/>
          <w:color w:val="auto"/>
          <w:sz w:val="24"/>
          <w:szCs w:val="24"/>
          <w:highlight w:val="none"/>
        </w:rPr>
        <w:t>。</w:t>
      </w:r>
      <w:bookmarkEnd w:id="17"/>
      <w:r>
        <w:rPr>
          <w:rFonts w:hint="eastAsia" w:cs="宋体"/>
          <w:color w:val="auto"/>
          <w:sz w:val="24"/>
          <w:szCs w:val="24"/>
          <w:highlight w:val="none"/>
          <w:lang w:eastAsia="zh-CN"/>
        </w:rPr>
        <w:t>（</w:t>
      </w:r>
      <w:r>
        <w:rPr>
          <w:rFonts w:hint="eastAsia" w:cs="宋体"/>
          <w:color w:val="auto"/>
          <w:sz w:val="24"/>
          <w:szCs w:val="24"/>
          <w:highlight w:val="none"/>
          <w:lang w:val="en-US" w:eastAsia="zh-CN"/>
        </w:rPr>
        <w:t>填报内容必须与政采云系统填报一致）</w:t>
      </w:r>
    </w:p>
    <w:p w14:paraId="57118D56">
      <w:pPr>
        <w:pStyle w:val="39"/>
        <w:pageBreakBefore w:val="0"/>
        <w:numPr>
          <w:ilvl w:val="0"/>
          <w:numId w:val="0"/>
        </w:numPr>
        <w:kinsoku/>
        <w:wordWrap/>
        <w:overflowPunct/>
        <w:topLinePunct w:val="0"/>
        <w:bidi w:val="0"/>
        <w:spacing w:beforeAutospacing="0" w:afterAutospacing="0" w:line="400" w:lineRule="exact"/>
        <w:ind w:leftChars="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2、</w:t>
      </w:r>
      <w:r>
        <w:rPr>
          <w:rFonts w:hint="eastAsia" w:ascii="宋体" w:hAnsi="宋体" w:eastAsia="宋体" w:cs="宋体"/>
          <w:b/>
          <w:bCs/>
          <w:color w:val="auto"/>
          <w:kern w:val="2"/>
          <w:sz w:val="24"/>
          <w:szCs w:val="24"/>
          <w:highlight w:val="none"/>
        </w:rPr>
        <w:t>本表格式</w:t>
      </w:r>
      <w:r>
        <w:rPr>
          <w:rFonts w:hint="eastAsia" w:ascii="宋体" w:hAnsi="宋体" w:eastAsia="宋体" w:cs="宋体"/>
          <w:b/>
          <w:bCs/>
          <w:color w:val="auto"/>
          <w:kern w:val="2"/>
          <w:sz w:val="24"/>
          <w:szCs w:val="24"/>
          <w:highlight w:val="none"/>
          <w:lang w:val="en-US" w:eastAsia="zh-CN"/>
        </w:rPr>
        <w:t>及内容</w:t>
      </w:r>
      <w:r>
        <w:rPr>
          <w:rFonts w:hint="eastAsia" w:ascii="宋体" w:hAnsi="宋体" w:eastAsia="宋体" w:cs="宋体"/>
          <w:b/>
          <w:bCs/>
          <w:color w:val="auto"/>
          <w:kern w:val="2"/>
          <w:sz w:val="24"/>
          <w:szCs w:val="24"/>
          <w:highlight w:val="none"/>
        </w:rPr>
        <w:t>不得更改，投标人只能按要求填报，否则将被视为无效投标。</w:t>
      </w:r>
    </w:p>
    <w:p w14:paraId="7C4933A8">
      <w:pPr>
        <w:pageBreakBefore w:val="0"/>
        <w:kinsoku/>
        <w:wordWrap/>
        <w:overflowPunct/>
        <w:topLinePunct w:val="0"/>
        <w:bidi w:val="0"/>
        <w:spacing w:beforeAutospacing="0" w:afterAutospacing="0" w:line="400" w:lineRule="exact"/>
        <w:rPr>
          <w:rFonts w:hint="eastAsia" w:ascii="宋体" w:hAnsi="宋体" w:eastAsia="宋体" w:cs="宋体"/>
          <w:color w:val="auto"/>
          <w:kern w:val="0"/>
          <w:sz w:val="24"/>
          <w:szCs w:val="24"/>
          <w:lang w:val="zh-CN" w:eastAsia="zh-CN" w:bidi="ar-SA"/>
        </w:rPr>
      </w:pPr>
      <w:r>
        <w:rPr>
          <w:rFonts w:hint="eastAsia" w:ascii="宋体" w:hAnsi="宋体" w:eastAsia="宋体" w:cs="宋体"/>
          <w:color w:val="auto"/>
          <w:kern w:val="0"/>
          <w:sz w:val="24"/>
          <w:szCs w:val="24"/>
          <w:lang w:val="zh-CN" w:eastAsia="zh-CN" w:bidi="ar-SA"/>
        </w:rPr>
        <w:t>（基准价/投标报价）×价格权值×100</w:t>
      </w:r>
    </w:p>
    <w:p w14:paraId="1F07009C">
      <w:pPr>
        <w:keepNext w:val="0"/>
        <w:keepLines w:val="0"/>
        <w:pageBreakBefore w:val="0"/>
        <w:widowControl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投标基准价为通过初步审查且价格最</w:t>
      </w:r>
      <w:r>
        <w:rPr>
          <w:rFonts w:hint="eastAsia" w:ascii="宋体" w:hAnsi="宋体" w:eastAsia="宋体" w:cs="宋体"/>
          <w:color w:val="auto"/>
          <w:sz w:val="24"/>
          <w:szCs w:val="24"/>
          <w:lang w:eastAsia="zh-CN"/>
        </w:rPr>
        <w:t>低</w:t>
      </w:r>
      <w:r>
        <w:rPr>
          <w:rFonts w:hint="eastAsia" w:ascii="宋体" w:hAnsi="宋体" w:eastAsia="宋体" w:cs="宋体"/>
          <w:color w:val="auto"/>
          <w:sz w:val="24"/>
          <w:szCs w:val="24"/>
        </w:rPr>
        <w:t>的投标报价，价格权值为</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p>
    <w:p w14:paraId="44331A7D">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报价得分为负数的按零分计</w:t>
      </w:r>
      <w:r>
        <w:rPr>
          <w:rFonts w:hint="eastAsia" w:ascii="宋体" w:hAnsi="宋体" w:eastAsia="宋体" w:cs="宋体"/>
          <w:color w:val="auto"/>
          <w:sz w:val="24"/>
          <w:szCs w:val="24"/>
        </w:rPr>
        <w:t>。</w:t>
      </w:r>
    </w:p>
    <w:p w14:paraId="2B6BCBBD">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、投标总价应为各分项报价之和，投标文件差异修正准则参见投标报价说明。</w:t>
      </w:r>
    </w:p>
    <w:p w14:paraId="68DE1050">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、报价中必须包含</w:t>
      </w:r>
      <w:r>
        <w:rPr>
          <w:rFonts w:hint="eastAsia" w:ascii="宋体" w:hAnsi="宋体" w:cs="宋体"/>
          <w:color w:val="auto"/>
          <w:sz w:val="24"/>
          <w:szCs w:val="24"/>
          <w:lang w:val="en-US" w:eastAsia="zh-CN"/>
        </w:rPr>
        <w:t>货物</w:t>
      </w:r>
      <w:r>
        <w:rPr>
          <w:rFonts w:hint="eastAsia" w:ascii="宋体" w:hAnsi="宋体" w:eastAsia="宋体" w:cs="宋体"/>
          <w:color w:val="auto"/>
          <w:sz w:val="24"/>
          <w:szCs w:val="24"/>
          <w:lang w:val="zh-CN"/>
        </w:rPr>
        <w:t>安装</w:t>
      </w:r>
      <w:r>
        <w:rPr>
          <w:rFonts w:hint="eastAsia" w:ascii="宋体" w:hAnsi="宋体" w:cs="宋体"/>
          <w:color w:val="auto"/>
          <w:sz w:val="24"/>
          <w:szCs w:val="24"/>
          <w:lang w:val="en-US" w:eastAsia="zh-CN"/>
        </w:rPr>
        <w:t>费</w:t>
      </w:r>
      <w:r>
        <w:rPr>
          <w:rFonts w:hint="eastAsia" w:ascii="宋体" w:hAnsi="宋体" w:cs="宋体"/>
          <w:color w:val="auto"/>
          <w:sz w:val="24"/>
          <w:szCs w:val="24"/>
          <w:lang w:val="zh-CN"/>
        </w:rPr>
        <w:t>、运</w:t>
      </w:r>
      <w:r>
        <w:rPr>
          <w:rFonts w:hint="eastAsia" w:ascii="宋体" w:hAnsi="宋体" w:cs="宋体"/>
          <w:color w:val="auto"/>
          <w:sz w:val="24"/>
          <w:szCs w:val="24"/>
          <w:lang w:val="en-US" w:eastAsia="zh-CN"/>
        </w:rPr>
        <w:t>输</w:t>
      </w:r>
      <w:r>
        <w:rPr>
          <w:rFonts w:hint="eastAsia" w:ascii="宋体" w:hAnsi="宋体" w:cs="宋体"/>
          <w:color w:val="auto"/>
          <w:sz w:val="24"/>
          <w:szCs w:val="24"/>
          <w:lang w:val="zh-CN"/>
        </w:rPr>
        <w:t>费、</w:t>
      </w:r>
      <w:r>
        <w:rPr>
          <w:rFonts w:hint="eastAsia" w:ascii="宋体" w:hAnsi="宋体" w:eastAsia="宋体" w:cs="宋体"/>
          <w:color w:val="auto"/>
          <w:sz w:val="24"/>
          <w:szCs w:val="24"/>
          <w:lang w:val="zh-CN"/>
        </w:rPr>
        <w:t>前期调研、技术咨询、资料收集、报告编制、协调服务、交通差旅费、文档和图档的打印、装订及寄送费用、成果初审、专家评审（含专家评审费、交通费、餐费、场地费、住宿费等）等所产生的费用、全额含税发票、雇员费用、合同实施过程中的应预见和不可预见费用等完成合同规定责任和义务、达到合同目的的一切费用及企业利润。并应包含应由中标人缴纳的本次招标代理服务费。</w:t>
      </w:r>
    </w:p>
    <w:p w14:paraId="5448FF0B">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、投标人必须自行考虑本项目在实施期间的一切可能产生的费用。在合同执行过程中，招标人将不再另行支付与本项目相关的任何费用（非本项目要求的其它内容除外）。</w:t>
      </w:r>
    </w:p>
    <w:p w14:paraId="0297828F">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、报价表述限于中文大写或阿拉伯数字小写，均已核定准确无误，若投标报价大小写不一致，以大写金额为准。</w:t>
      </w:r>
    </w:p>
    <w:p w14:paraId="7CA3B73C">
      <w:pPr>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14:paraId="66FFE465">
      <w:pPr>
        <w:pStyle w:val="39"/>
        <w:pageBreakBefore w:val="0"/>
        <w:kinsoku/>
        <w:wordWrap/>
        <w:overflowPunct/>
        <w:topLinePunct w:val="0"/>
        <w:bidi w:val="0"/>
        <w:spacing w:beforeAutospacing="0" w:afterAutospacing="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14:paraId="5795366B">
      <w:pPr>
        <w:pageBreakBefore w:val="0"/>
        <w:kinsoku/>
        <w:wordWrap/>
        <w:overflowPunct/>
        <w:topLinePunct w:val="0"/>
        <w:bidi w:val="0"/>
        <w:spacing w:beforeAutospacing="0" w:afterAutospacing="0" w:line="40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14:paraId="5AB4CE5B">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val="0"/>
          <w:color w:val="auto"/>
          <w:kern w:val="2"/>
          <w:sz w:val="24"/>
          <w:szCs w:val="24"/>
          <w:highlight w:val="none"/>
        </w:rPr>
      </w:pPr>
      <w:bookmarkStart w:id="18" w:name="_Toc19201"/>
      <w:r>
        <w:rPr>
          <w:rFonts w:hint="eastAsia" w:ascii="宋体" w:hAnsi="宋体" w:eastAsia="宋体" w:cs="宋体"/>
          <w:b w:val="0"/>
          <w:color w:val="auto"/>
          <w:sz w:val="24"/>
          <w:szCs w:val="24"/>
          <w:highlight w:val="none"/>
        </w:rPr>
        <w:t>代理（被授权人）签字：</w:t>
      </w:r>
      <w:bookmarkEnd w:id="18"/>
      <w:r>
        <w:rPr>
          <w:rFonts w:hint="eastAsia" w:ascii="宋体" w:hAnsi="宋体" w:eastAsia="宋体" w:cs="宋体"/>
          <w:b w:val="0"/>
          <w:color w:val="auto"/>
          <w:sz w:val="24"/>
          <w:szCs w:val="24"/>
          <w:highlight w:val="none"/>
          <w:u w:val="single"/>
        </w:rPr>
        <w:t xml:space="preserve">                  </w:t>
      </w:r>
    </w:p>
    <w:p w14:paraId="36A301EE">
      <w:pPr>
        <w:pStyle w:val="49"/>
        <w:keepNext w:val="0"/>
        <w:keepLines w:val="0"/>
        <w:pageBreakBefore w:val="0"/>
        <w:kinsoku/>
        <w:wordWrap/>
        <w:overflowPunct/>
        <w:topLinePunct w:val="0"/>
        <w:bidi w:val="0"/>
        <w:adjustRightInd/>
        <w:spacing w:before="0" w:beforeAutospacing="0" w:afterAutospacing="0" w:line="400" w:lineRule="exact"/>
        <w:textAlignment w:val="auto"/>
        <w:outlineLvl w:val="9"/>
        <w:rPr>
          <w:rFonts w:hint="eastAsia" w:ascii="宋体" w:hAnsi="宋体" w:eastAsia="宋体" w:cs="宋体"/>
          <w:b/>
          <w:color w:val="000000"/>
          <w:sz w:val="24"/>
          <w:szCs w:val="24"/>
          <w:highlight w:val="none"/>
        </w:rPr>
      </w:pPr>
      <w:bookmarkStart w:id="19" w:name="_Toc10411"/>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bookmarkEnd w:id="19"/>
    </w:p>
    <w:p w14:paraId="221C2EC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2ADE9DCE">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b/>
          <w:color w:val="000000"/>
          <w:sz w:val="24"/>
          <w:szCs w:val="24"/>
          <w:highlight w:val="none"/>
        </w:rPr>
      </w:pPr>
    </w:p>
    <w:p w14:paraId="6DAE52A1">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3、报价明细表</w:t>
      </w:r>
    </w:p>
    <w:p w14:paraId="5BE16A15">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项目名称：</w:t>
      </w:r>
    </w:p>
    <w:tbl>
      <w:tblPr>
        <w:tblStyle w:val="24"/>
        <w:tblpPr w:leftFromText="180" w:rightFromText="180" w:vertAnchor="text" w:horzAnchor="page" w:tblpX="958" w:tblpY="762"/>
        <w:tblOverlap w:val="never"/>
        <w:tblW w:w="9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200"/>
        <w:gridCol w:w="1042"/>
        <w:gridCol w:w="1156"/>
        <w:gridCol w:w="1106"/>
        <w:gridCol w:w="934"/>
        <w:gridCol w:w="866"/>
        <w:gridCol w:w="1017"/>
        <w:gridCol w:w="1098"/>
        <w:gridCol w:w="810"/>
      </w:tblGrid>
      <w:tr w14:paraId="34BC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595" w:type="dxa"/>
            <w:vAlign w:val="center"/>
          </w:tcPr>
          <w:p w14:paraId="5E5FE7B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1200" w:type="dxa"/>
            <w:vAlign w:val="center"/>
          </w:tcPr>
          <w:p w14:paraId="137B158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标的</w:t>
            </w:r>
            <w:r>
              <w:rPr>
                <w:rFonts w:hint="eastAsia" w:ascii="宋体" w:hAnsi="宋体" w:eastAsia="宋体" w:cs="宋体"/>
                <w:color w:val="000000"/>
                <w:sz w:val="24"/>
                <w:szCs w:val="24"/>
                <w:highlight w:val="none"/>
              </w:rPr>
              <w:t>名称</w:t>
            </w:r>
          </w:p>
        </w:tc>
        <w:tc>
          <w:tcPr>
            <w:tcW w:w="1042" w:type="dxa"/>
            <w:vAlign w:val="center"/>
          </w:tcPr>
          <w:p w14:paraId="7AFB219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规格</w:t>
            </w:r>
          </w:p>
        </w:tc>
        <w:tc>
          <w:tcPr>
            <w:tcW w:w="1156" w:type="dxa"/>
            <w:vAlign w:val="center"/>
          </w:tcPr>
          <w:p w14:paraId="4469000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w:t>
            </w:r>
          </w:p>
        </w:tc>
        <w:tc>
          <w:tcPr>
            <w:tcW w:w="1106" w:type="dxa"/>
            <w:vAlign w:val="center"/>
          </w:tcPr>
          <w:p w14:paraId="16AE1F0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单价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lang w:eastAsia="zh-CN"/>
              </w:rPr>
              <w:t>）</w:t>
            </w:r>
          </w:p>
        </w:tc>
        <w:tc>
          <w:tcPr>
            <w:tcW w:w="934" w:type="dxa"/>
            <w:vAlign w:val="center"/>
          </w:tcPr>
          <w:p w14:paraId="3DB772F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数量</w:t>
            </w:r>
          </w:p>
        </w:tc>
        <w:tc>
          <w:tcPr>
            <w:tcW w:w="866" w:type="dxa"/>
            <w:vAlign w:val="center"/>
          </w:tcPr>
          <w:p w14:paraId="18F6BB5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总价</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元</w:t>
            </w:r>
            <w:r>
              <w:rPr>
                <w:rFonts w:hint="eastAsia" w:ascii="宋体" w:hAnsi="宋体" w:eastAsia="宋体" w:cs="宋体"/>
                <w:color w:val="000000"/>
                <w:sz w:val="24"/>
                <w:szCs w:val="24"/>
                <w:highlight w:val="none"/>
                <w:lang w:eastAsia="zh-CN"/>
              </w:rPr>
              <w:t>）</w:t>
            </w:r>
          </w:p>
        </w:tc>
        <w:tc>
          <w:tcPr>
            <w:tcW w:w="1017" w:type="dxa"/>
            <w:vAlign w:val="center"/>
          </w:tcPr>
          <w:p w14:paraId="794BB71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生产制造商</w:t>
            </w:r>
          </w:p>
        </w:tc>
        <w:tc>
          <w:tcPr>
            <w:tcW w:w="1098" w:type="dxa"/>
            <w:vAlign w:val="center"/>
          </w:tcPr>
          <w:p w14:paraId="671D36A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制造商类型（中、小、微型）</w:t>
            </w:r>
          </w:p>
        </w:tc>
        <w:tc>
          <w:tcPr>
            <w:tcW w:w="810" w:type="dxa"/>
            <w:vAlign w:val="center"/>
          </w:tcPr>
          <w:p w14:paraId="3E50F75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备注</w:t>
            </w:r>
          </w:p>
        </w:tc>
      </w:tr>
      <w:tr w14:paraId="5381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483B046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3113715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2833769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2F6136B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02C8640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7A51BB1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2193C6D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4443B7F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2CCAECF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53F5EA0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23F6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78859DA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3D3108E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4C1A016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5D0F20B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7276221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021E94F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6A8D86D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2812C05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7FB5FA0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31FCAB8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1972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1A0B0F4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38A9211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38A4C65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447DB31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6CEE5AF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1798ECD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145D895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76F988D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3A489A3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16C2213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0BC1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23FF59B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6CD60E6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50CFD09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393E54A5">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66348B9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4765FE3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63F722E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6CF3FC1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6AABF34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1908FF7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2782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305898A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0600A3A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30ED85A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6C07CED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00E55E2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05FE7657">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242C847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4D1ADD8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211067A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6505C14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4B47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660C49C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39C1BEA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5A64113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28FD5FB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516D2B1A">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219A94F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69F8E64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0CB3B66B">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032FE7B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70E8E63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64790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591A7D6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05A7569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086774E0">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02843F5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79FD34A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0CBAAD98">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354CF4B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7F4992D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5E064A1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7CF4F282">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227E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595" w:type="dxa"/>
            <w:vAlign w:val="center"/>
          </w:tcPr>
          <w:p w14:paraId="148C5BE4">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200" w:type="dxa"/>
            <w:vAlign w:val="center"/>
          </w:tcPr>
          <w:p w14:paraId="564DE2D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42" w:type="dxa"/>
            <w:vAlign w:val="center"/>
          </w:tcPr>
          <w:p w14:paraId="663EF5FD">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56" w:type="dxa"/>
            <w:vAlign w:val="center"/>
          </w:tcPr>
          <w:p w14:paraId="77C8B0FE">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106" w:type="dxa"/>
            <w:vAlign w:val="center"/>
          </w:tcPr>
          <w:p w14:paraId="244CE4B6">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934" w:type="dxa"/>
            <w:vAlign w:val="center"/>
          </w:tcPr>
          <w:p w14:paraId="6A7B9D59">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66" w:type="dxa"/>
            <w:vAlign w:val="center"/>
          </w:tcPr>
          <w:p w14:paraId="01BF6691">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17" w:type="dxa"/>
            <w:vAlign w:val="center"/>
          </w:tcPr>
          <w:p w14:paraId="540A34DC">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1098" w:type="dxa"/>
            <w:vAlign w:val="center"/>
          </w:tcPr>
          <w:p w14:paraId="291391CF">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c>
          <w:tcPr>
            <w:tcW w:w="810" w:type="dxa"/>
            <w:vAlign w:val="center"/>
          </w:tcPr>
          <w:p w14:paraId="2B9A66E3">
            <w:pPr>
              <w:pageBreakBefore w:val="0"/>
              <w:kinsoku/>
              <w:wordWrap/>
              <w:overflowPunct/>
              <w:topLinePunct w:val="0"/>
              <w:bidi w:val="0"/>
              <w:spacing w:beforeAutospacing="0" w:afterAutospacing="0" w:line="400" w:lineRule="exact"/>
              <w:jc w:val="center"/>
              <w:rPr>
                <w:rFonts w:hint="eastAsia" w:ascii="宋体" w:hAnsi="宋体" w:eastAsia="宋体" w:cs="宋体"/>
                <w:color w:val="000000"/>
                <w:sz w:val="24"/>
                <w:szCs w:val="24"/>
                <w:highlight w:val="none"/>
              </w:rPr>
            </w:pPr>
          </w:p>
        </w:tc>
      </w:tr>
      <w:tr w14:paraId="7FDF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824" w:type="dxa"/>
            <w:gridSpan w:val="10"/>
            <w:vAlign w:val="center"/>
          </w:tcPr>
          <w:p w14:paraId="0CC854B5">
            <w:pPr>
              <w:pageBreakBefore w:val="0"/>
              <w:kinsoku/>
              <w:wordWrap/>
              <w:overflowPunct/>
              <w:topLinePunct w:val="0"/>
              <w:bidi w:val="0"/>
              <w:spacing w:beforeAutospacing="0" w:afterAutospacing="0" w:line="400" w:lineRule="exact"/>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合计总价：</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lang w:val="en-US" w:eastAsia="zh-CN"/>
              </w:rPr>
              <w:t>元</w:t>
            </w:r>
          </w:p>
        </w:tc>
      </w:tr>
    </w:tbl>
    <w:p w14:paraId="72FCEC59">
      <w:pPr>
        <w:pageBreakBefore w:val="0"/>
        <w:kinsoku/>
        <w:wordWrap/>
        <w:overflowPunct/>
        <w:topLinePunct w:val="0"/>
        <w:bidi w:val="0"/>
        <w:spacing w:beforeAutospacing="0" w:afterAutospacing="0" w:line="400" w:lineRule="exact"/>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项目编号：</w:t>
      </w:r>
    </w:p>
    <w:p w14:paraId="7884DA30">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注：本表具体内容参照本招标文件</w:t>
      </w:r>
      <w:r>
        <w:rPr>
          <w:rFonts w:hint="eastAsia" w:ascii="宋体" w:hAnsi="宋体" w:cs="宋体"/>
          <w:color w:val="000000"/>
          <w:sz w:val="24"/>
          <w:szCs w:val="24"/>
          <w:highlight w:val="none"/>
          <w:lang w:val="en-US" w:eastAsia="zh-CN"/>
        </w:rPr>
        <w:t>第五章采购需求</w:t>
      </w:r>
      <w:r>
        <w:rPr>
          <w:rFonts w:hint="eastAsia" w:ascii="宋体" w:hAnsi="宋体" w:eastAsia="宋体" w:cs="宋体"/>
          <w:color w:val="000000"/>
          <w:sz w:val="24"/>
          <w:szCs w:val="24"/>
          <w:highlight w:val="none"/>
        </w:rPr>
        <w:t>所列全部内容，此表可由投标投标人根据内容自行延长。</w:t>
      </w:r>
    </w:p>
    <w:p w14:paraId="658B0521">
      <w:pPr>
        <w:pageBreakBefore w:val="0"/>
        <w:kinsoku/>
        <w:wordWrap/>
        <w:overflowPunct/>
        <w:topLinePunct w:val="0"/>
        <w:bidi w:val="0"/>
        <w:spacing w:beforeAutospacing="0" w:afterAutospacing="0" w:line="400" w:lineRule="exact"/>
        <w:rPr>
          <w:rFonts w:hint="eastAsia" w:ascii="宋体" w:hAnsi="宋体" w:eastAsia="宋体" w:cs="宋体"/>
          <w:b/>
          <w:bCs/>
          <w:color w:val="000000"/>
          <w:sz w:val="24"/>
          <w:szCs w:val="24"/>
          <w:highlight w:val="none"/>
        </w:rPr>
      </w:pPr>
    </w:p>
    <w:p w14:paraId="1ECDDDC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w:t>
      </w:r>
      <w:r>
        <w:rPr>
          <w:rFonts w:hint="eastAsia" w:ascii="宋体" w:hAnsi="宋体" w:cs="宋体"/>
          <w:color w:val="000000"/>
          <w:sz w:val="24"/>
          <w:szCs w:val="24"/>
          <w:highlight w:val="none"/>
          <w:lang w:eastAsia="zh-CN"/>
        </w:rPr>
        <w:t>供应商公章</w:t>
      </w:r>
      <w:r>
        <w:rPr>
          <w:rFonts w:hint="eastAsia" w:ascii="宋体" w:hAnsi="宋体" w:eastAsia="宋体" w:cs="宋体"/>
          <w:color w:val="000000"/>
          <w:sz w:val="24"/>
          <w:szCs w:val="24"/>
          <w:highlight w:val="none"/>
        </w:rPr>
        <w:t>）</w:t>
      </w:r>
    </w:p>
    <w:p w14:paraId="72A8F89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64906AB3">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44E8386E">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7BC41A23">
      <w:pPr>
        <w:pStyle w:val="6"/>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p>
    <w:p w14:paraId="686A77D4">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DEC8A01">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34E32D7F">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sectPr>
          <w:footerReference r:id="rId10" w:type="first"/>
          <w:footerReference r:id="rId9" w:type="default"/>
          <w:pgSz w:w="11906" w:h="16838"/>
          <w:pgMar w:top="1134" w:right="1814" w:bottom="1134" w:left="1814" w:header="851" w:footer="992" w:gutter="0"/>
          <w:pgNumType w:fmt="decimal"/>
          <w:cols w:space="720" w:num="1"/>
          <w:titlePg/>
          <w:docGrid w:type="lines" w:linePitch="312" w:charSpace="0"/>
        </w:sectPr>
      </w:pPr>
    </w:p>
    <w:p w14:paraId="388B2120">
      <w:pPr>
        <w:pageBreakBefore w:val="0"/>
        <w:numPr>
          <w:ilvl w:val="0"/>
          <w:numId w:val="0"/>
        </w:numPr>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关于符合本国产品标准的声明函或财政部规定的其他证明文件</w:t>
      </w:r>
    </w:p>
    <w:p w14:paraId="08F6F951">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中国境内生产的组件成本核算基本规则</w:t>
      </w:r>
    </w:p>
    <w:p w14:paraId="6B299C1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26B086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一、产品的一级组件是指直接组成产品的组件。产品的二级组件是指直接组成产品一级组件的组件。一级组件不可分解的，视同二级组件。</w:t>
      </w:r>
    </w:p>
    <w:p w14:paraId="7AFA1D8D">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二、二级组件在中国境内生产的，其全部成本计入中国境内生产的组件成本；二级组件不在中国境内生产的，其成本不计入中国境内生产的组件成本。</w:t>
      </w:r>
    </w:p>
    <w:p w14:paraId="6E56D5E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三、产品总成本和组件成本以相关会计核算数据、采购合同、进货记录等为基础进行计算。</w:t>
      </w:r>
    </w:p>
    <w:p w14:paraId="5FAFB13F">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四、需要对成本核算规则予以进一步明确的其他有关事项，由财政部会同有关部门另行规定。</w:t>
      </w:r>
    </w:p>
    <w:p w14:paraId="18ACE45D">
      <w:pPr>
        <w:pageBreakBefore w:val="0"/>
        <w:kinsoku/>
        <w:wordWrap/>
        <w:overflowPunct/>
        <w:topLinePunct w:val="0"/>
        <w:bidi w:val="0"/>
        <w:spacing w:beforeAutospacing="0" w:afterAutospacing="0" w:line="400" w:lineRule="exact"/>
        <w:jc w:val="both"/>
        <w:outlineLvl w:val="0"/>
        <w:rPr>
          <w:rFonts w:hint="eastAsia" w:ascii="宋体" w:hAnsi="宋体" w:eastAsia="宋体" w:cs="宋体"/>
          <w:b/>
          <w:bCs/>
          <w:color w:val="000000"/>
          <w:sz w:val="24"/>
          <w:szCs w:val="24"/>
          <w:highlight w:val="none"/>
        </w:rPr>
      </w:pPr>
    </w:p>
    <w:p w14:paraId="53C8C24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关于符合本国产品标准的声明函</w:t>
      </w:r>
    </w:p>
    <w:p w14:paraId="764BCAF7">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14:paraId="0B8377E4">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产品名称1）1，生产厂为（厂名）2，厂址为（生产厂址）。（产品名称1）的中国境内生产的组件成本占比≥（规定比例）3。（产品名称1）的（关键组件）4在中国境内生产。（产品名称1）的（关键工序）5在中国境内完成。</w:t>
      </w:r>
    </w:p>
    <w:p w14:paraId="182EBCD1">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产品名称2），生产厂为（厂名），厂址为（生产厂址）。（产品名称2）的中国境内生产的组件成本占比≥（规定比例）。（产品名称2）的（关键组件）在中国境内生产。（产品名称2）的（关键工序）在中国境内完成。</w:t>
      </w:r>
    </w:p>
    <w:p w14:paraId="7A7FA1D0">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p w14:paraId="62B29B79">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本公司（单位）对上述声明内容的真实性负责。如有虚假，愿承担相应法律责任。</w:t>
      </w:r>
    </w:p>
    <w:p w14:paraId="48948D56">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公司（单位）名称（盖章）：      </w:t>
      </w:r>
    </w:p>
    <w:p w14:paraId="52DF791B">
      <w:pPr>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right"/>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日期：　　　　　年　　月　日    </w:t>
      </w:r>
    </w:p>
    <w:p w14:paraId="66A378EE">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1.产品如有型号，请在“产品名称”栏一并填写。</w:t>
      </w:r>
    </w:p>
    <w:p w14:paraId="70EC64D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2.生产厂名与厂址应与生产厂营业执照载明的相关信息保持一致。</w:t>
      </w:r>
    </w:p>
    <w:p w14:paraId="7AB48E64">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3.该产品的中国境内生产的组件成本占比相关要求实施前，“规定比例”栏可不填，下同。</w:t>
      </w:r>
    </w:p>
    <w:p w14:paraId="26D2CE39">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4.该产品的关键组件要求实施前，“关键组件”栏可不填，下同。</w:t>
      </w:r>
    </w:p>
    <w:p w14:paraId="59032C1A">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20"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color w:val="000000"/>
          <w:sz w:val="21"/>
          <w:szCs w:val="21"/>
          <w:highlight w:val="none"/>
        </w:rPr>
        <w:t>5.该产品的关键工序要求实施前，“关键工序”栏可不填，下同。</w:t>
      </w:r>
    </w:p>
    <w:p w14:paraId="111E0D9A">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p>
    <w:p w14:paraId="7B6C77D7">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本国产品成本占比承诺函</w:t>
      </w:r>
    </w:p>
    <w:p w14:paraId="3DCC5E8E">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致：[采购人]</w:t>
      </w:r>
    </w:p>
    <w:p w14:paraId="0D2AFA0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本单位就参与[项目名称、编号]政府采购项目，郑重承诺如下:</w:t>
      </w:r>
    </w:p>
    <w:p w14:paraId="73D5FE5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本单位为该项目(或采购包)提供的符合本国产品标准的产品成本之和，占所提供全部产品成本之和的比例为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。本承诺内容真实有效，若存在虚假承诺，愿意承担相应法律责任，放弃中标(成交)资格，并接受政府采购监管部门处罚。</w:t>
      </w:r>
    </w:p>
    <w:p w14:paraId="65FC3284">
      <w:pPr>
        <w:keepNext w:val="0"/>
        <w:keepLines w:val="0"/>
        <w:pageBreakBefore w:val="0"/>
        <w:widowControl/>
        <w:kinsoku/>
        <w:wordWrap/>
        <w:overflowPunct/>
        <w:topLinePunct w:val="0"/>
        <w:autoSpaceDE/>
        <w:autoSpaceDN/>
        <w:bidi w:val="0"/>
        <w:adjustRightInd/>
        <w:snapToGrid/>
        <w:spacing w:beforeAutospacing="0" w:afterAutospacing="0" w:line="600" w:lineRule="exact"/>
        <w:jc w:val="left"/>
        <w:textAlignment w:val="auto"/>
        <w:rPr>
          <w:rFonts w:hint="eastAsia" w:ascii="宋体" w:hAnsi="宋体" w:eastAsia="宋体" w:cs="宋体"/>
          <w:color w:val="000000"/>
          <w:sz w:val="24"/>
          <w:szCs w:val="24"/>
          <w:highlight w:val="none"/>
        </w:rPr>
      </w:pPr>
    </w:p>
    <w:p w14:paraId="4365BFA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15412FF9">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p>
    <w:p w14:paraId="605E512F">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承诺人（供应商公章）：        </w:t>
      </w:r>
    </w:p>
    <w:p w14:paraId="6ACFBEF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法定代表人或授权代表签字：        </w:t>
      </w:r>
    </w:p>
    <w:p w14:paraId="292E96E3">
      <w:pPr>
        <w:keepNext w:val="0"/>
        <w:keepLines w:val="0"/>
        <w:pageBreakBefore w:val="0"/>
        <w:widowControl/>
        <w:kinsoku/>
        <w:wordWrap/>
        <w:overflowPunct/>
        <w:topLinePunct w:val="0"/>
        <w:autoSpaceDE/>
        <w:autoSpaceDN/>
        <w:bidi w:val="0"/>
        <w:adjustRightInd/>
        <w:snapToGrid/>
        <w:spacing w:beforeAutospacing="0" w:afterAutospacing="0" w:line="600" w:lineRule="exact"/>
        <w:jc w:val="righ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528E1674">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sectPr>
          <w:pgSz w:w="11906" w:h="16838"/>
          <w:pgMar w:top="1134" w:right="1814" w:bottom="1134" w:left="1814" w:header="851" w:footer="992" w:gutter="0"/>
          <w:pgNumType w:fmt="decimal"/>
          <w:cols w:space="720" w:num="1"/>
          <w:titlePg/>
          <w:docGrid w:type="lines" w:linePitch="312" w:charSpace="0"/>
        </w:sectPr>
      </w:pPr>
    </w:p>
    <w:p w14:paraId="1AEF48DC">
      <w:pPr>
        <w:pageBreakBefore w:val="0"/>
        <w:kinsoku/>
        <w:wordWrap/>
        <w:overflowPunct/>
        <w:topLinePunct w:val="0"/>
        <w:bidi w:val="0"/>
        <w:spacing w:beforeAutospacing="0" w:afterAutospacing="0" w:line="400" w:lineRule="exact"/>
        <w:jc w:val="center"/>
        <w:outlineLvl w:val="0"/>
        <w:rPr>
          <w:rFonts w:hint="eastAsia" w:ascii="宋体" w:hAnsi="宋体" w:eastAsia="宋体" w:cs="宋体"/>
          <w:b/>
          <w:bCs/>
          <w:color w:val="000000"/>
          <w:sz w:val="24"/>
          <w:szCs w:val="24"/>
          <w:highlight w:val="none"/>
        </w:rPr>
      </w:pPr>
      <w:bookmarkStart w:id="20" w:name="_Toc31526"/>
      <w:bookmarkStart w:id="21" w:name="_Toc14389"/>
      <w:bookmarkStart w:id="22" w:name="_Toc14281"/>
      <w:bookmarkStart w:id="23" w:name="_Toc13823"/>
      <w:r>
        <w:rPr>
          <w:rFonts w:hint="eastAsia" w:ascii="宋体" w:hAnsi="宋体" w:eastAsia="宋体" w:cs="宋体"/>
          <w:b/>
          <w:bCs/>
          <w:color w:val="000000"/>
          <w:sz w:val="24"/>
          <w:szCs w:val="24"/>
          <w:highlight w:val="none"/>
        </w:rPr>
        <w:t>第</w:t>
      </w:r>
      <w:r>
        <w:rPr>
          <w:rFonts w:hint="eastAsia" w:ascii="宋体" w:hAnsi="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 xml:space="preserve">部分 </w:t>
      </w:r>
      <w:bookmarkEnd w:id="20"/>
      <w:bookmarkEnd w:id="21"/>
      <w:bookmarkEnd w:id="22"/>
      <w:bookmarkEnd w:id="23"/>
      <w:r>
        <w:rPr>
          <w:rFonts w:hint="eastAsia" w:ascii="宋体" w:hAnsi="宋体" w:eastAsia="宋体" w:cs="宋体"/>
          <w:b/>
          <w:bCs/>
          <w:color w:val="000000"/>
          <w:sz w:val="24"/>
          <w:szCs w:val="24"/>
          <w:highlight w:val="none"/>
          <w:lang w:val="en-US" w:eastAsia="zh-CN"/>
        </w:rPr>
        <w:t>商务技术文件</w:t>
      </w:r>
    </w:p>
    <w:p w14:paraId="586105B4">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5E80E99A">
      <w:pPr>
        <w:shd w:val="clear" w:color="auto" w:fill="FFFFFF"/>
        <w:spacing w:line="440" w:lineRule="exact"/>
        <w:jc w:val="center"/>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b/>
          <w:bCs/>
          <w:color w:val="000000"/>
          <w:sz w:val="24"/>
          <w:szCs w:val="24"/>
          <w:highlight w:val="none"/>
        </w:rPr>
        <w:t>1、</w:t>
      </w:r>
      <w:r>
        <w:rPr>
          <w:rFonts w:hint="eastAsia" w:asciiTheme="minorEastAsia" w:hAnsiTheme="minorEastAsia" w:eastAsiaTheme="minorEastAsia" w:cstheme="minorEastAsia"/>
          <w:b/>
          <w:bCs/>
          <w:snapToGrid w:val="0"/>
          <w:kern w:val="0"/>
          <w:sz w:val="24"/>
          <w:szCs w:val="24"/>
        </w:rPr>
        <w:t>投标承诺书</w:t>
      </w:r>
    </w:p>
    <w:p w14:paraId="300BCF78">
      <w:pPr>
        <w:pStyle w:val="85"/>
        <w:widowControl/>
        <w:spacing w:line="420" w:lineRule="exact"/>
        <w:ind w:left="0" w:leftChars="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lang w:eastAsia="zh-CN"/>
        </w:rPr>
        <w:t>（采购人）</w:t>
      </w:r>
      <w:r>
        <w:rPr>
          <w:rFonts w:hint="eastAsia" w:asciiTheme="minorEastAsia" w:hAnsiTheme="minorEastAsia" w:eastAsiaTheme="minorEastAsia" w:cstheme="minorEastAsia"/>
          <w:snapToGrid w:val="0"/>
          <w:sz w:val="24"/>
          <w:szCs w:val="24"/>
        </w:rPr>
        <w:t>：</w:t>
      </w:r>
    </w:p>
    <w:p w14:paraId="74243A37">
      <w:pPr>
        <w:pStyle w:val="85"/>
        <w:widowControl/>
        <w:spacing w:line="420" w:lineRule="exact"/>
        <w:ind w:left="0" w:leftChars="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 xml:space="preserve"> </w:t>
      </w:r>
      <w:r>
        <w:rPr>
          <w:rFonts w:hint="eastAsia" w:asciiTheme="minorEastAsia" w:hAnsiTheme="minorEastAsia" w:eastAsiaTheme="minorEastAsia" w:cstheme="minorEastAsia"/>
          <w:snapToGrid w:val="0"/>
          <w:sz w:val="24"/>
          <w:szCs w:val="24"/>
          <w:lang w:val="en-US" w:eastAsia="zh-CN"/>
        </w:rPr>
        <w:t xml:space="preserve">  </w:t>
      </w:r>
      <w:r>
        <w:rPr>
          <w:rFonts w:hint="eastAsia" w:asciiTheme="minorEastAsia" w:hAnsiTheme="minorEastAsia" w:eastAsiaTheme="minorEastAsia" w:cstheme="minorEastAsia"/>
          <w:snapToGrid w:val="0"/>
          <w:sz w:val="24"/>
          <w:szCs w:val="24"/>
          <w:u w:val="single"/>
          <w:lang w:val="en-US" w:eastAsia="zh-CN"/>
        </w:rPr>
        <w:t xml:space="preserve">          </w:t>
      </w:r>
      <w:r>
        <w:rPr>
          <w:rFonts w:hint="eastAsia" w:asciiTheme="minorEastAsia" w:hAnsiTheme="minorEastAsia" w:eastAsiaTheme="minorEastAsia" w:cstheme="minorEastAsia"/>
          <w:snapToGrid w:val="0"/>
          <w:sz w:val="24"/>
          <w:szCs w:val="24"/>
          <w:lang w:val="en-US" w:eastAsia="zh-CN"/>
        </w:rPr>
        <w:t xml:space="preserve"> </w:t>
      </w:r>
      <w:r>
        <w:rPr>
          <w:rFonts w:hint="eastAsia" w:asciiTheme="minorEastAsia" w:hAnsiTheme="minorEastAsia" w:eastAsiaTheme="minorEastAsia" w:cstheme="minorEastAsia"/>
          <w:snapToGrid w:val="0"/>
          <w:sz w:val="24"/>
          <w:szCs w:val="24"/>
        </w:rPr>
        <w:t>(投标供应商名称)授权</w:t>
      </w:r>
      <w:r>
        <w:rPr>
          <w:rFonts w:hint="eastAsia" w:asciiTheme="minorEastAsia" w:hAnsiTheme="minorEastAsia" w:eastAsiaTheme="minorEastAsia" w:cstheme="minorEastAsia"/>
          <w:snapToGrid w:val="0"/>
          <w:sz w:val="24"/>
          <w:szCs w:val="24"/>
          <w:u w:val="single"/>
          <w:lang w:val="en-US" w:eastAsia="zh-CN"/>
        </w:rPr>
        <w:t xml:space="preserve">         </w:t>
      </w:r>
      <w:r>
        <w:rPr>
          <w:rFonts w:hint="eastAsia" w:asciiTheme="minorEastAsia" w:hAnsiTheme="minorEastAsia" w:eastAsiaTheme="minorEastAsia" w:cstheme="minorEastAsia"/>
          <w:snapToGrid w:val="0"/>
          <w:sz w:val="24"/>
          <w:szCs w:val="24"/>
        </w:rPr>
        <w:t>(投标供应商授权代理人姓名)</w:t>
      </w:r>
      <w:r>
        <w:rPr>
          <w:rFonts w:hint="eastAsia" w:asciiTheme="minorEastAsia" w:hAnsiTheme="minorEastAsia" w:eastAsiaTheme="minorEastAsia" w:cstheme="minorEastAsia"/>
          <w:snapToGrid w:val="0"/>
          <w:sz w:val="24"/>
          <w:szCs w:val="24"/>
          <w:u w:val="single"/>
          <w:lang w:val="en-US" w:eastAsia="zh-CN"/>
        </w:rPr>
        <w:t xml:space="preserve">        </w:t>
      </w:r>
      <w:r>
        <w:rPr>
          <w:rFonts w:hint="eastAsia" w:asciiTheme="minorEastAsia" w:hAnsiTheme="minorEastAsia" w:eastAsiaTheme="minorEastAsia" w:cstheme="minorEastAsia"/>
          <w:snapToGrid w:val="0"/>
          <w:sz w:val="24"/>
          <w:szCs w:val="24"/>
        </w:rPr>
        <w:t>(职务、职称)为我方代表，参加贵方组织的</w:t>
      </w:r>
      <w:r>
        <w:rPr>
          <w:rFonts w:hint="eastAsia" w:asciiTheme="minorEastAsia" w:hAnsiTheme="minorEastAsia" w:eastAsiaTheme="minorEastAsia" w:cstheme="minorEastAsia"/>
          <w:snapToGrid w:val="0"/>
          <w:sz w:val="24"/>
          <w:szCs w:val="24"/>
          <w:u w:val="single"/>
          <w:lang w:val="en-US" w:eastAsia="zh-CN"/>
        </w:rPr>
        <w:t xml:space="preserve">          </w:t>
      </w:r>
      <w:r>
        <w:rPr>
          <w:rFonts w:hint="eastAsia" w:asciiTheme="minorEastAsia" w:hAnsiTheme="minorEastAsia" w:eastAsiaTheme="minorEastAsia" w:cstheme="minorEastAsia"/>
          <w:snapToGrid w:val="0"/>
          <w:sz w:val="24"/>
          <w:szCs w:val="24"/>
        </w:rPr>
        <w:t>(项目名称、项目编号)招标的有关活动，并对此项目进行投标。为此：</w:t>
      </w:r>
    </w:p>
    <w:p w14:paraId="37B381FB">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1、我方同意在本项目招标文件中规定的投标有效期</w:t>
      </w:r>
      <w:r>
        <w:rPr>
          <w:rFonts w:hint="eastAsia" w:asciiTheme="minorEastAsia" w:hAnsiTheme="minorEastAsia" w:eastAsiaTheme="minorEastAsia" w:cstheme="minorEastAsia"/>
          <w:snapToGrid w:val="0"/>
          <w:sz w:val="24"/>
          <w:szCs w:val="24"/>
          <w:u w:val="single"/>
          <w:lang w:val="en-US" w:eastAsia="zh-CN"/>
        </w:rPr>
        <w:t xml:space="preserve"> 60</w:t>
      </w:r>
      <w:r>
        <w:rPr>
          <w:rFonts w:hint="eastAsia" w:asciiTheme="minorEastAsia" w:hAnsiTheme="minorEastAsia" w:eastAsiaTheme="minorEastAsia" w:cstheme="minorEastAsia"/>
          <w:snapToGrid w:val="0"/>
          <w:sz w:val="24"/>
          <w:szCs w:val="24"/>
        </w:rPr>
        <w:t>日历天遵守本投标文件中的承诺且在此期限期满之前均具有约束力。</w:t>
      </w:r>
    </w:p>
    <w:p w14:paraId="3A471E24">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2、我方承诺已经具备《中华人民共和国政府采购法》中规定的参加政府采购活动的供应商应当具备的条件：</w:t>
      </w:r>
    </w:p>
    <w:p w14:paraId="7B1F3946">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1）具有独立承担民事责任的能力；</w:t>
      </w:r>
    </w:p>
    <w:p w14:paraId="27C0356B">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2）具有良好的商业信誉和健全的财务会计制度；</w:t>
      </w:r>
    </w:p>
    <w:p w14:paraId="5F7C8A1B">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3）具有履行合同所必需的设备和专业技术能力；</w:t>
      </w:r>
    </w:p>
    <w:p w14:paraId="1FBE636F">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4）有依法缴纳税收和社会保障资金的良好记录；</w:t>
      </w:r>
    </w:p>
    <w:p w14:paraId="69981028">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5）参加此项采购活动前三年内，在经营活动中没有重大违法记录；</w:t>
      </w:r>
    </w:p>
    <w:p w14:paraId="0F5972F9">
      <w:pPr>
        <w:pStyle w:val="86"/>
        <w:spacing w:line="42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6）法律、行政法规规定的其他条件。</w:t>
      </w:r>
    </w:p>
    <w:p w14:paraId="294903D5">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3、提供投标供应商须知规定的全部投标文件。</w:t>
      </w:r>
    </w:p>
    <w:p w14:paraId="05ED079A">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4、按招标文件要求提供和交付的货物及相关服务的投标报价详见开标一览表。</w:t>
      </w:r>
    </w:p>
    <w:p w14:paraId="2EBEE7A7">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5、保证忠实地执行双方所签订的合同，并承担合同规定的责任和义务。</w:t>
      </w:r>
    </w:p>
    <w:p w14:paraId="7C6F4C84">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6、我方承诺完全满足和响应招标文件中的各项技术和服务要求，若有偏差，已在投标文件偏离表中予以明确特别说明。</w:t>
      </w:r>
    </w:p>
    <w:p w14:paraId="737C95A5">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7、我方承诺：完全理解投标报价若超过项目预算时，投标将被拒绝。</w:t>
      </w:r>
    </w:p>
    <w:p w14:paraId="40C54DDB">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8、我方承诺：与在本项目中设计编制技术规格的机构及其附属机构无任何直接隶属关系和利益关联。</w:t>
      </w:r>
    </w:p>
    <w:p w14:paraId="5CA7A154">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9、如果在开标后规定的投标有效期内撤回投标，我方的投标保证金可被贵方没收。</w:t>
      </w:r>
    </w:p>
    <w:p w14:paraId="25F8D0BC">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10、我方完全理解贵方不一定接受最低价的投标或收到的任何投标。</w:t>
      </w:r>
    </w:p>
    <w:p w14:paraId="099508C1">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54F28599">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12、我方已详细审核全部投标文件，包括投标文件修改书（如有的话）、参考资料及有关附件，确认无误。</w:t>
      </w:r>
    </w:p>
    <w:p w14:paraId="21FD45FC">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13、我方承诺：采购人若需追加采购本项目招标文件所列货物及相关服务的，在不改变合同其他实质性条款的前提下，按相同或更优惠的折扣率保证供货。</w:t>
      </w:r>
    </w:p>
    <w:p w14:paraId="1A399152">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14、我方承诺：如所报货物属国家强制认证产品的，均已通过认证且在有效期内，否则，由此产生的一切法律责任由我方承担。</w:t>
      </w:r>
    </w:p>
    <w:p w14:paraId="752C2E28">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15、我方承诺：接受招标文件中的全部条款且无任何异议，保证遵守招标文件的规定。</w:t>
      </w:r>
    </w:p>
    <w:p w14:paraId="2B048EDD">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1D9DA7B">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1）提供虚假材料谋取中标、成交的；</w:t>
      </w:r>
    </w:p>
    <w:p w14:paraId="3DFBB418">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2）采取不正当手段诋毁、排挤其他供应商的；</w:t>
      </w:r>
    </w:p>
    <w:p w14:paraId="516E2D19">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3）与采购人、其他供应商或者采购代理机构工作人员恶意串通的；</w:t>
      </w:r>
    </w:p>
    <w:p w14:paraId="0FA4DCE3">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4）向采购人、采购代理机构工作人员行贿或者提供其他不正当利益的；</w:t>
      </w:r>
    </w:p>
    <w:p w14:paraId="6B7D6864">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5）在采购过程中与采购人进行协商谈判的；</w:t>
      </w:r>
    </w:p>
    <w:p w14:paraId="09D6D274">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sz w:val="24"/>
          <w:szCs w:val="24"/>
        </w:rPr>
        <w:t>6）拒绝有关部门监督检查或提供虚假情况的。</w:t>
      </w:r>
    </w:p>
    <w:p w14:paraId="07D2011A">
      <w:pPr>
        <w:pStyle w:val="85"/>
        <w:widowControl/>
        <w:spacing w:line="420" w:lineRule="exact"/>
        <w:ind w:left="0" w:leftChars="0" w:firstLine="480" w:firstLineChars="200"/>
        <w:rPr>
          <w:rFonts w:hint="eastAsia" w:asciiTheme="minorEastAsia" w:hAnsiTheme="minorEastAsia" w:eastAsiaTheme="minorEastAsia" w:cstheme="minorEastAsia"/>
          <w:snapToGrid w:val="0"/>
          <w:sz w:val="24"/>
          <w:szCs w:val="24"/>
        </w:rPr>
      </w:pPr>
      <w:r>
        <w:rPr>
          <w:rFonts w:hint="eastAsia" w:asciiTheme="minorEastAsia" w:hAnsiTheme="minorEastAsia" w:eastAsiaTheme="minorEastAsia" w:cstheme="minorEastAsia"/>
          <w:snapToGrid w:val="0"/>
          <w:kern w:val="0"/>
          <w:sz w:val="24"/>
          <w:szCs w:val="24"/>
        </w:rPr>
        <w:t xml:space="preserve">   </w:t>
      </w:r>
    </w:p>
    <w:p w14:paraId="4FFC74AB">
      <w:pPr>
        <w:pStyle w:val="87"/>
        <w:spacing w:line="420" w:lineRule="exact"/>
        <w:ind w:firstLine="480" w:firstLineChars="200"/>
        <w:rPr>
          <w:rFonts w:hint="eastAsia" w:asciiTheme="minorEastAsia" w:hAnsiTheme="minorEastAsia" w:eastAsiaTheme="minorEastAsia" w:cstheme="minorEastAsia"/>
          <w:snapToGrid w:val="0"/>
          <w:kern w:val="0"/>
          <w:sz w:val="24"/>
          <w:szCs w:val="24"/>
        </w:rPr>
      </w:pPr>
    </w:p>
    <w:p w14:paraId="0B76DC0B">
      <w:pPr>
        <w:pStyle w:val="87"/>
        <w:spacing w:line="420" w:lineRule="exact"/>
        <w:ind w:firstLine="480" w:firstLineChars="200"/>
        <w:rPr>
          <w:rFonts w:hint="eastAsia" w:asciiTheme="minorEastAsia" w:hAnsiTheme="minorEastAsia" w:eastAsiaTheme="minorEastAsia" w:cstheme="minorEastAsia"/>
          <w:snapToGrid w:val="0"/>
          <w:kern w:val="0"/>
          <w:sz w:val="24"/>
          <w:szCs w:val="24"/>
        </w:rPr>
      </w:pPr>
    </w:p>
    <w:p w14:paraId="59FF9EC0">
      <w:pPr>
        <w:pStyle w:val="87"/>
        <w:spacing w:line="42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供应商名称（</w:t>
      </w:r>
      <w:r>
        <w:rPr>
          <w:rFonts w:hint="eastAsia" w:asciiTheme="minorEastAsia" w:hAnsiTheme="minorEastAsia" w:eastAsiaTheme="minorEastAsia" w:cstheme="minorEastAsia"/>
          <w:snapToGrid w:val="0"/>
          <w:kern w:val="0"/>
          <w:sz w:val="24"/>
          <w:szCs w:val="24"/>
          <w:lang w:val="en-US" w:eastAsia="zh-CN"/>
        </w:rPr>
        <w:t>盖</w:t>
      </w:r>
      <w:r>
        <w:rPr>
          <w:rFonts w:hint="eastAsia" w:asciiTheme="minorEastAsia" w:hAnsiTheme="minorEastAsia" w:eastAsiaTheme="minorEastAsia" w:cstheme="minorEastAsia"/>
          <w:snapToGrid w:val="0"/>
          <w:kern w:val="0"/>
          <w:sz w:val="24"/>
          <w:szCs w:val="24"/>
        </w:rPr>
        <w:t>公章）：</w:t>
      </w:r>
    </w:p>
    <w:p w14:paraId="788833E5">
      <w:pPr>
        <w:pStyle w:val="88"/>
        <w:adjustRightInd w:val="0"/>
        <w:snapToGrid w:val="0"/>
        <w:spacing w:line="420" w:lineRule="exact"/>
        <w:ind w:firstLine="480" w:firstLineChars="200"/>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rPr>
        <w:t>法定代表人或委托代理人（签字或盖章）：</w:t>
      </w:r>
    </w:p>
    <w:p w14:paraId="4315C97C">
      <w:pPr>
        <w:pStyle w:val="88"/>
        <w:adjustRightInd w:val="0"/>
        <w:snapToGrid w:val="0"/>
        <w:spacing w:line="420" w:lineRule="exact"/>
        <w:ind w:firstLine="480" w:firstLineChars="200"/>
        <w:rPr>
          <w:rFonts w:hint="eastAsia" w:asciiTheme="minorEastAsia" w:hAnsiTheme="minorEastAsia" w:eastAsiaTheme="minorEastAsia" w:cstheme="minorEastAsia"/>
          <w:snapToGrid w:val="0"/>
          <w:kern w:val="0"/>
          <w:sz w:val="24"/>
          <w:szCs w:val="24"/>
          <w:u w:val="single"/>
        </w:rPr>
      </w:pPr>
      <w:r>
        <w:rPr>
          <w:rFonts w:hint="eastAsia" w:asciiTheme="minorEastAsia" w:hAnsiTheme="minorEastAsia" w:eastAsiaTheme="minorEastAsia" w:cstheme="minorEastAsia"/>
          <w:snapToGrid w:val="0"/>
          <w:kern w:val="0"/>
          <w:sz w:val="24"/>
          <w:szCs w:val="24"/>
        </w:rPr>
        <w:t>日期：年 月 日</w:t>
      </w:r>
    </w:p>
    <w:p w14:paraId="1ACDFB5F">
      <w:pPr>
        <w:keepNext w:val="0"/>
        <w:keepLines w:val="0"/>
        <w:pageBreakBefore w:val="0"/>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宋体" w:hAnsi="宋体" w:eastAsia="宋体" w:cs="宋体"/>
          <w:color w:val="000000"/>
          <w:sz w:val="24"/>
          <w:szCs w:val="24"/>
          <w:highlight w:val="none"/>
        </w:rPr>
      </w:pPr>
    </w:p>
    <w:p w14:paraId="6FB2F11B">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F1F8438">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8759F09">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2C9E3555">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4881AF7">
      <w:pPr>
        <w:pageBreakBefore w:val="0"/>
        <w:kinsoku/>
        <w:wordWrap/>
        <w:overflowPunct/>
        <w:topLinePunct w:val="0"/>
        <w:bidi w:val="0"/>
        <w:spacing w:beforeAutospacing="0" w:afterAutospacing="0" w:line="400" w:lineRule="exact"/>
        <w:jc w:val="center"/>
        <w:rPr>
          <w:rFonts w:hint="eastAsia" w:ascii="宋体" w:hAnsi="宋体" w:eastAsia="宋体" w:cs="宋体"/>
          <w:b/>
          <w:color w:val="000000"/>
          <w:sz w:val="24"/>
          <w:szCs w:val="24"/>
          <w:highlight w:val="none"/>
        </w:rPr>
      </w:pPr>
    </w:p>
    <w:p w14:paraId="0E839028">
      <w:pPr>
        <w:pStyle w:val="6"/>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p>
    <w:p w14:paraId="3B5F80D5">
      <w:pPr>
        <w:pStyle w:val="7"/>
        <w:pageBreakBefore w:val="0"/>
        <w:kinsoku/>
        <w:wordWrap/>
        <w:overflowPunct/>
        <w:topLinePunct w:val="0"/>
        <w:bidi w:val="0"/>
        <w:spacing w:before="0" w:beforeAutospacing="0" w:afterAutospacing="0" w:line="400" w:lineRule="exact"/>
        <w:rPr>
          <w:rFonts w:hint="eastAsia" w:ascii="宋体" w:hAnsi="宋体" w:eastAsia="宋体" w:cs="宋体"/>
          <w:sz w:val="24"/>
          <w:szCs w:val="24"/>
        </w:rPr>
      </w:pPr>
    </w:p>
    <w:p w14:paraId="2855394B">
      <w:pPr>
        <w:rPr>
          <w:rFonts w:hint="eastAsia" w:ascii="宋体" w:hAnsi="宋体" w:eastAsia="宋体" w:cs="宋体"/>
          <w:sz w:val="24"/>
          <w:szCs w:val="24"/>
        </w:rPr>
      </w:pPr>
    </w:p>
    <w:p w14:paraId="27CE523A">
      <w:pPr>
        <w:pageBreakBefore w:val="0"/>
        <w:kinsoku/>
        <w:wordWrap/>
        <w:overflowPunct/>
        <w:topLinePunct w:val="0"/>
        <w:bidi w:val="0"/>
        <w:spacing w:beforeAutospacing="0" w:afterAutospacing="0" w:line="400" w:lineRule="exac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w:t>
      </w:r>
      <w:r>
        <w:rPr>
          <w:rFonts w:hint="eastAsia" w:ascii="宋体" w:hAnsi="宋体" w:eastAsia="宋体" w:cs="宋体"/>
          <w:b/>
          <w:bCs/>
          <w:color w:val="000000"/>
          <w:kern w:val="2"/>
          <w:sz w:val="24"/>
          <w:szCs w:val="24"/>
          <w:highlight w:val="none"/>
          <w:lang w:val="en-US" w:eastAsia="zh-CN" w:bidi="ar-SA"/>
        </w:rPr>
        <w:t>类似业绩</w:t>
      </w:r>
    </w:p>
    <w:p w14:paraId="70C27B77">
      <w:pPr>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479E1E45">
      <w:pPr>
        <w:pStyle w:val="3"/>
        <w:pageBreakBefore w:val="0"/>
        <w:kinsoku/>
        <w:wordWrap/>
        <w:overflowPunct/>
        <w:topLinePunct w:val="0"/>
        <w:bidi w:val="0"/>
        <w:spacing w:before="0" w:beforeAutospacing="0" w:after="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近三年的业绩表及相关证明</w:t>
      </w:r>
    </w:p>
    <w:p w14:paraId="209E4947">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  </w:t>
      </w:r>
    </w:p>
    <w:p w14:paraId="241A3D35">
      <w:pPr>
        <w:pStyle w:val="39"/>
        <w:pageBreakBefore w:val="0"/>
        <w:kinsoku/>
        <w:wordWrap/>
        <w:overflowPunct/>
        <w:topLinePunct w:val="0"/>
        <w:bidi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编</w:t>
      </w:r>
      <w:r>
        <w:rPr>
          <w:rFonts w:hint="eastAsia" w:ascii="宋体" w:hAnsi="宋体" w:eastAsia="宋体" w:cs="宋体"/>
          <w:sz w:val="24"/>
          <w:szCs w:val="24"/>
          <w:highlight w:val="none"/>
        </w:rPr>
        <w:t xml:space="preserve">号 ：                      </w:t>
      </w:r>
    </w:p>
    <w:tbl>
      <w:tblPr>
        <w:tblStyle w:val="24"/>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14:paraId="0AE3BE81">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34A9961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地点</w:t>
            </w:r>
          </w:p>
        </w:tc>
        <w:tc>
          <w:tcPr>
            <w:tcW w:w="1456" w:type="dxa"/>
            <w:tcBorders>
              <w:top w:val="single" w:color="auto" w:sz="6" w:space="0"/>
              <w:left w:val="single" w:color="auto" w:sz="6" w:space="0"/>
              <w:bottom w:val="single" w:color="auto" w:sz="6" w:space="0"/>
              <w:right w:val="single" w:color="auto" w:sz="6" w:space="0"/>
            </w:tcBorders>
            <w:vAlign w:val="center"/>
          </w:tcPr>
          <w:p w14:paraId="0DDF1E9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1719" w:type="dxa"/>
            <w:tcBorders>
              <w:top w:val="single" w:color="auto" w:sz="6" w:space="0"/>
              <w:left w:val="single" w:color="auto" w:sz="6" w:space="0"/>
              <w:bottom w:val="single" w:color="auto" w:sz="6" w:space="0"/>
              <w:right w:val="single" w:color="auto" w:sz="6" w:space="0"/>
            </w:tcBorders>
            <w:vAlign w:val="center"/>
          </w:tcPr>
          <w:p w14:paraId="70486EC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tc>
        <w:tc>
          <w:tcPr>
            <w:tcW w:w="1712" w:type="dxa"/>
            <w:tcBorders>
              <w:top w:val="single" w:color="auto" w:sz="6" w:space="0"/>
              <w:left w:val="single" w:color="auto" w:sz="6" w:space="0"/>
              <w:bottom w:val="single" w:color="auto" w:sz="6" w:space="0"/>
              <w:right w:val="single" w:color="auto" w:sz="6" w:space="0"/>
            </w:tcBorders>
            <w:vAlign w:val="center"/>
          </w:tcPr>
          <w:p w14:paraId="5BDC959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合同金额</w:t>
            </w:r>
          </w:p>
        </w:tc>
        <w:tc>
          <w:tcPr>
            <w:tcW w:w="1858" w:type="dxa"/>
            <w:tcBorders>
              <w:top w:val="single" w:color="auto" w:sz="6" w:space="0"/>
              <w:left w:val="single" w:color="auto" w:sz="6" w:space="0"/>
              <w:bottom w:val="single" w:color="auto" w:sz="6" w:space="0"/>
              <w:right w:val="single" w:color="auto" w:sz="6" w:space="0"/>
            </w:tcBorders>
            <w:vAlign w:val="center"/>
          </w:tcPr>
          <w:p w14:paraId="6A62E74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vAlign w:val="center"/>
          </w:tcPr>
          <w:p w14:paraId="70B2B84E">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  注</w:t>
            </w:r>
          </w:p>
        </w:tc>
      </w:tr>
      <w:tr w14:paraId="52CCBA14">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5113E56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38BC19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5F069B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061FC6C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131B50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F65EC1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5499A33">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53EEF268">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E236D8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1743292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197EDAA9">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7681C2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11E4F8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6DB2671C">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1577363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6033F84">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60FC65E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6A94CBF6">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51225C8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16EB7D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53FBE124">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008F461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676715B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E02D2E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4EF862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1B7BEAA4">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0E419B7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0806BE78">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16C5C4B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164C00F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2760C4E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1699E263">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0751C7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0F0B29E3">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085F3417">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75AC09D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51F30AEA">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5F2BC98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5D36286C">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0073439">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50F5A9C6">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1EB47300">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4C2E4C44">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3C92A84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776D4B78">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2A259D1">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4F9B5927">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2FF78D3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913C8FA">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3400D40F">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45BE288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1F61F203">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334086EB">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646F718E">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CDC255D">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r w14:paraId="768C7470">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vAlign w:val="center"/>
          </w:tcPr>
          <w:p w14:paraId="03522DB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456" w:type="dxa"/>
            <w:tcBorders>
              <w:top w:val="single" w:color="auto" w:sz="6" w:space="0"/>
              <w:left w:val="single" w:color="auto" w:sz="6" w:space="0"/>
              <w:bottom w:val="single" w:color="auto" w:sz="6" w:space="0"/>
              <w:right w:val="single" w:color="auto" w:sz="6" w:space="0"/>
            </w:tcBorders>
            <w:vAlign w:val="center"/>
          </w:tcPr>
          <w:p w14:paraId="5CCBA945">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9" w:type="dxa"/>
            <w:tcBorders>
              <w:top w:val="single" w:color="auto" w:sz="6" w:space="0"/>
              <w:left w:val="single" w:color="auto" w:sz="6" w:space="0"/>
              <w:bottom w:val="single" w:color="auto" w:sz="6" w:space="0"/>
              <w:right w:val="single" w:color="auto" w:sz="6" w:space="0"/>
            </w:tcBorders>
            <w:vAlign w:val="center"/>
          </w:tcPr>
          <w:p w14:paraId="2FD885B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712" w:type="dxa"/>
            <w:tcBorders>
              <w:top w:val="single" w:color="auto" w:sz="6" w:space="0"/>
              <w:left w:val="single" w:color="auto" w:sz="6" w:space="0"/>
              <w:bottom w:val="single" w:color="auto" w:sz="6" w:space="0"/>
              <w:right w:val="single" w:color="auto" w:sz="6" w:space="0"/>
            </w:tcBorders>
            <w:vAlign w:val="center"/>
          </w:tcPr>
          <w:p w14:paraId="653268A2">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603303E9">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c>
          <w:tcPr>
            <w:tcW w:w="1858" w:type="dxa"/>
            <w:tcBorders>
              <w:top w:val="single" w:color="auto" w:sz="6" w:space="0"/>
              <w:left w:val="single" w:color="auto" w:sz="6" w:space="0"/>
              <w:bottom w:val="single" w:color="auto" w:sz="6" w:space="0"/>
              <w:right w:val="single" w:color="auto" w:sz="6" w:space="0"/>
            </w:tcBorders>
            <w:vAlign w:val="center"/>
          </w:tcPr>
          <w:p w14:paraId="7B4D5D70">
            <w:pPr>
              <w:pStyle w:val="41"/>
              <w:pageBreakBefore w:val="0"/>
              <w:kinsoku/>
              <w:wordWrap/>
              <w:overflowPunct/>
              <w:topLinePunct w:val="0"/>
              <w:bidi w:val="0"/>
              <w:spacing w:beforeAutospacing="0" w:afterAutospacing="0" w:line="400" w:lineRule="exact"/>
              <w:jc w:val="center"/>
              <w:rPr>
                <w:rFonts w:hint="eastAsia" w:ascii="宋体" w:hAnsi="宋体" w:eastAsia="宋体" w:cs="宋体"/>
                <w:sz w:val="24"/>
                <w:szCs w:val="24"/>
                <w:highlight w:val="none"/>
              </w:rPr>
            </w:pPr>
          </w:p>
        </w:tc>
      </w:tr>
    </w:tbl>
    <w:p w14:paraId="1C1D1DC1">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3D29FEB">
      <w:pPr>
        <w:pageBreakBefore w:val="0"/>
        <w:kinsoku/>
        <w:wordWrap/>
        <w:overflowPunct/>
        <w:topLinePunct w:val="0"/>
        <w:bidi w:val="0"/>
        <w:spacing w:beforeAutospacing="0" w:afterAutospacing="0" w:line="400" w:lineRule="exact"/>
        <w:rPr>
          <w:rFonts w:hint="eastAsia" w:ascii="宋体" w:hAnsi="宋体" w:eastAsia="宋体" w:cs="宋体"/>
          <w:kern w:val="0"/>
          <w:sz w:val="24"/>
          <w:szCs w:val="24"/>
          <w:lang w:val="en-US" w:eastAsia="zh-CN"/>
        </w:rPr>
      </w:pPr>
      <w:r>
        <w:rPr>
          <w:rFonts w:hint="eastAsia" w:ascii="宋体" w:hAnsi="宋体" w:eastAsia="宋体" w:cs="宋体"/>
          <w:color w:val="auto"/>
          <w:sz w:val="24"/>
          <w:szCs w:val="24"/>
          <w:highlight w:val="none"/>
        </w:rPr>
        <w:t>附</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投标人或产品制造商近三年（</w:t>
      </w:r>
      <w:r>
        <w:rPr>
          <w:rFonts w:hint="eastAsia" w:ascii="宋体" w:hAnsi="宋体" w:cs="宋体"/>
          <w:kern w:val="0"/>
          <w:sz w:val="24"/>
          <w:szCs w:val="24"/>
          <w:lang w:val="en-US" w:eastAsia="zh-CN"/>
        </w:rPr>
        <w:t>2023年01月01日至今</w:t>
      </w:r>
      <w:r>
        <w:rPr>
          <w:rFonts w:hint="eastAsia" w:ascii="宋体" w:hAnsi="宋体" w:eastAsia="宋体" w:cs="宋体"/>
          <w:color w:val="auto"/>
          <w:sz w:val="24"/>
          <w:szCs w:val="24"/>
          <w:highlight w:val="none"/>
        </w:rPr>
        <w:t>）以合同签订日期为准</w:t>
      </w:r>
      <w:r>
        <w:rPr>
          <w:rFonts w:hint="eastAsia" w:ascii="宋体" w:hAnsi="宋体" w:cs="宋体"/>
          <w:color w:val="auto"/>
          <w:sz w:val="24"/>
          <w:szCs w:val="24"/>
          <w:highlight w:val="none"/>
          <w:lang w:eastAsia="zh-CN"/>
        </w:rPr>
        <w:t>，提供产品的销售业绩</w:t>
      </w:r>
      <w:r>
        <w:rPr>
          <w:rFonts w:hint="eastAsia" w:ascii="宋体" w:hAnsi="宋体" w:eastAsia="宋体" w:cs="宋体"/>
          <w:color w:val="auto"/>
          <w:sz w:val="24"/>
          <w:szCs w:val="24"/>
          <w:highlight w:val="none"/>
        </w:rPr>
        <w:t>及相</w:t>
      </w:r>
      <w:r>
        <w:rPr>
          <w:rFonts w:hint="eastAsia" w:ascii="宋体" w:hAnsi="宋体" w:eastAsia="宋体" w:cs="宋体"/>
          <w:kern w:val="0"/>
          <w:sz w:val="24"/>
          <w:szCs w:val="24"/>
          <w:lang w:val="en-US" w:eastAsia="zh-CN"/>
        </w:rPr>
        <w:t>关证明（</w:t>
      </w:r>
      <w:r>
        <w:rPr>
          <w:rFonts w:hint="eastAsia" w:ascii="宋体" w:hAnsi="宋体" w:cs="宋体"/>
          <w:kern w:val="0"/>
          <w:sz w:val="24"/>
          <w:szCs w:val="24"/>
          <w:lang w:val="en-US" w:eastAsia="zh-CN"/>
        </w:rPr>
        <w:t>提供</w:t>
      </w:r>
      <w:r>
        <w:rPr>
          <w:rFonts w:hint="eastAsia" w:ascii="宋体" w:hAnsi="宋体" w:eastAsia="宋体" w:cs="宋体"/>
          <w:kern w:val="0"/>
          <w:sz w:val="24"/>
          <w:szCs w:val="24"/>
          <w:lang w:val="en-US" w:eastAsia="zh-CN"/>
        </w:rPr>
        <w:t>中标（成交）通知书或采购合同</w:t>
      </w:r>
      <w:r>
        <w:rPr>
          <w:rFonts w:hint="eastAsia" w:ascii="宋体" w:hAnsi="宋体" w:cs="宋体"/>
          <w:kern w:val="0"/>
          <w:sz w:val="24"/>
          <w:szCs w:val="24"/>
          <w:lang w:val="en-US" w:eastAsia="zh-CN"/>
        </w:rPr>
        <w:t>并加盖公章</w:t>
      </w:r>
      <w:r>
        <w:rPr>
          <w:rFonts w:hint="eastAsia" w:ascii="宋体" w:hAnsi="宋体" w:eastAsia="宋体" w:cs="宋体"/>
          <w:kern w:val="0"/>
          <w:sz w:val="24"/>
          <w:szCs w:val="24"/>
          <w:lang w:val="en-US" w:eastAsia="zh-CN"/>
        </w:rPr>
        <w:t>），如未提供或提供不全</w:t>
      </w:r>
      <w:r>
        <w:rPr>
          <w:rFonts w:hint="eastAsia" w:ascii="宋体" w:hAnsi="宋体" w:cs="宋体"/>
          <w:kern w:val="0"/>
          <w:sz w:val="24"/>
          <w:szCs w:val="24"/>
          <w:lang w:val="en-US" w:eastAsia="zh-CN"/>
        </w:rPr>
        <w:t>则</w:t>
      </w:r>
      <w:r>
        <w:rPr>
          <w:rFonts w:hint="eastAsia" w:ascii="宋体" w:hAnsi="宋体" w:eastAsia="宋体" w:cs="宋体"/>
          <w:kern w:val="0"/>
          <w:sz w:val="24"/>
          <w:szCs w:val="24"/>
          <w:lang w:val="en-US" w:eastAsia="zh-CN"/>
        </w:rPr>
        <w:t>视为无效业绩。</w:t>
      </w:r>
    </w:p>
    <w:p w14:paraId="3415D200">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DE69E9C">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投标单位：</w:t>
      </w:r>
      <w:r>
        <w:rPr>
          <w:rFonts w:hint="eastAsia" w:ascii="宋体" w:hAnsi="宋体" w:eastAsia="宋体" w:cs="宋体"/>
          <w:color w:val="000000"/>
          <w:sz w:val="24"/>
          <w:szCs w:val="24"/>
          <w:highlight w:val="none"/>
          <w:u w:val="none"/>
        </w:rPr>
        <w:t>（</w:t>
      </w:r>
      <w:r>
        <w:rPr>
          <w:rFonts w:hint="eastAsia" w:ascii="宋体" w:hAnsi="宋体" w:cs="宋体"/>
          <w:color w:val="000000"/>
          <w:sz w:val="24"/>
          <w:szCs w:val="24"/>
          <w:highlight w:val="none"/>
          <w:u w:val="none"/>
          <w:lang w:eastAsia="zh-CN"/>
        </w:rPr>
        <w:t>供应商公章</w:t>
      </w:r>
      <w:r>
        <w:rPr>
          <w:rFonts w:hint="eastAsia" w:ascii="宋体" w:hAnsi="宋体" w:eastAsia="宋体" w:cs="宋体"/>
          <w:color w:val="000000"/>
          <w:sz w:val="24"/>
          <w:szCs w:val="24"/>
          <w:highlight w:val="none"/>
          <w:u w:val="none"/>
        </w:rPr>
        <w:t>）</w:t>
      </w:r>
    </w:p>
    <w:p w14:paraId="0A240597">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29A949D7">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06D73A21">
      <w:pPr>
        <w:pStyle w:val="39"/>
        <w:pageBreakBefore w:val="0"/>
        <w:tabs>
          <w:tab w:val="left" w:pos="540"/>
          <w:tab w:val="left" w:pos="1080"/>
        </w:tabs>
        <w:kinsoku/>
        <w:wordWrap/>
        <w:overflowPunct/>
        <w:topLinePunct w:val="0"/>
        <w:bidi w:val="0"/>
        <w:spacing w:beforeAutospacing="0" w:afterAutospacing="0" w:line="400" w:lineRule="exact"/>
        <w:ind w:firstLine="236" w:firstLineChars="98"/>
        <w:jc w:val="center"/>
        <w:rPr>
          <w:rFonts w:hint="eastAsia" w:ascii="宋体" w:hAnsi="宋体" w:eastAsia="宋体" w:cs="宋体"/>
          <w:b/>
          <w:sz w:val="24"/>
          <w:szCs w:val="24"/>
          <w:highlight w:val="none"/>
        </w:rPr>
        <w:sectPr>
          <w:pgSz w:w="11906" w:h="16838"/>
          <w:pgMar w:top="1134" w:right="1814" w:bottom="1134" w:left="1814" w:header="851" w:footer="992" w:gutter="0"/>
          <w:pgNumType w:fmt="decimal"/>
          <w:cols w:space="720" w:num="1"/>
          <w:titlePg/>
          <w:docGrid w:type="lines" w:linePitch="312" w:charSpace="0"/>
        </w:sectPr>
      </w:pPr>
    </w:p>
    <w:p w14:paraId="49C19629">
      <w:pPr>
        <w:pageBreakBefore w:val="0"/>
        <w:widowControl/>
        <w:kinsoku/>
        <w:wordWrap/>
        <w:overflowPunct/>
        <w:topLinePunct w:val="0"/>
        <w:bidi w:val="0"/>
        <w:adjustRightInd w:val="0"/>
        <w:snapToGrid w:val="0"/>
        <w:spacing w:beforeAutospacing="0" w:afterAutospacing="0" w:line="400" w:lineRule="exact"/>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3、项目团队</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；（根据评标办法格式自拟）</w:t>
      </w:r>
    </w:p>
    <w:p w14:paraId="1AA88EA0">
      <w:pPr>
        <w:pageBreakBefore w:val="0"/>
        <w:kinsoku/>
        <w:wordWrap/>
        <w:overflowPunct/>
        <w:topLinePunct w:val="0"/>
        <w:bidi w:val="0"/>
        <w:spacing w:beforeAutospacing="0" w:afterAutospacing="0" w:line="400" w:lineRule="exact"/>
        <w:ind w:firstLine="482" w:firstLineChars="200"/>
        <w:jc w:val="both"/>
        <w:rPr>
          <w:rFonts w:hint="eastAsia" w:ascii="宋体" w:hAnsi="宋体" w:cs="宋体"/>
          <w:b/>
          <w:color w:val="000000" w:themeColor="text1"/>
          <w:sz w:val="24"/>
          <w:szCs w:val="24"/>
          <w:highlight w:val="none"/>
          <w:lang w:val="en-US" w:eastAsia="zh-CN"/>
          <w14:textFill>
            <w14:solidFill>
              <w14:schemeClr w14:val="tx1"/>
            </w14:solidFill>
          </w14:textFill>
        </w:rPr>
      </w:pPr>
    </w:p>
    <w:p w14:paraId="05331E43">
      <w:pPr>
        <w:pageBreakBefore w:val="0"/>
        <w:kinsoku/>
        <w:wordWrap/>
        <w:overflowPunct/>
        <w:topLinePunct w:val="0"/>
        <w:bidi w:val="0"/>
        <w:spacing w:beforeAutospacing="0" w:afterAutospacing="0" w:line="400" w:lineRule="exact"/>
        <w:ind w:firstLine="482" w:firstLineChars="200"/>
        <w:jc w:val="both"/>
        <w:rPr>
          <w:rFonts w:hint="eastAsia" w:ascii="宋体" w:hAnsi="宋体" w:cs="宋体"/>
          <w:b/>
          <w:color w:val="000000" w:themeColor="text1"/>
          <w:sz w:val="24"/>
          <w:szCs w:val="24"/>
          <w:highlight w:val="none"/>
          <w:lang w:val="en-US" w:eastAsia="zh-CN"/>
          <w14:textFill>
            <w14:solidFill>
              <w14:schemeClr w14:val="tx1"/>
            </w14:solidFill>
          </w14:textFill>
        </w:rPr>
      </w:pPr>
    </w:p>
    <w:p w14:paraId="4587C9A6">
      <w:pPr>
        <w:shd w:val="clear" w:color="auto" w:fill="FFFFFF"/>
        <w:spacing w:line="440" w:lineRule="exact"/>
        <w:jc w:val="center"/>
        <w:rPr>
          <w:rFonts w:hint="eastAsia" w:asciiTheme="minorEastAsia" w:hAnsiTheme="minorEastAsia" w:eastAsiaTheme="minorEastAsia" w:cstheme="minorEastAsia"/>
          <w:b/>
          <w:bCs/>
          <w:snapToGrid w:val="0"/>
          <w:kern w:val="0"/>
          <w:sz w:val="24"/>
          <w:szCs w:val="24"/>
        </w:rPr>
      </w:pPr>
      <w:r>
        <w:rPr>
          <w:rFonts w:hint="eastAsia" w:ascii="宋体" w:hAnsi="宋体" w:cs="宋体"/>
          <w:b/>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snapToGrid w:val="0"/>
          <w:kern w:val="0"/>
          <w:sz w:val="24"/>
          <w:szCs w:val="24"/>
        </w:rPr>
        <w:t>商务条款偏离表</w:t>
      </w:r>
    </w:p>
    <w:p w14:paraId="46658609">
      <w:pPr>
        <w:spacing w:line="360" w:lineRule="atLeast"/>
        <w:ind w:right="352" w:firstLine="56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w:t>
      </w:r>
    </w:p>
    <w:p w14:paraId="55AF02BC">
      <w:pPr>
        <w:spacing w:line="360" w:lineRule="atLeast"/>
        <w:ind w:right="352"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项目编号：                                                    </w:t>
      </w:r>
    </w:p>
    <w:tbl>
      <w:tblPr>
        <w:tblStyle w:val="24"/>
        <w:tblW w:w="8578" w:type="dxa"/>
        <w:jc w:val="center"/>
        <w:tblLayout w:type="fixed"/>
        <w:tblCellMar>
          <w:top w:w="0" w:type="dxa"/>
          <w:left w:w="108" w:type="dxa"/>
          <w:bottom w:w="0" w:type="dxa"/>
          <w:right w:w="108" w:type="dxa"/>
        </w:tblCellMar>
      </w:tblPr>
      <w:tblGrid>
        <w:gridCol w:w="1041"/>
        <w:gridCol w:w="2354"/>
        <w:gridCol w:w="2190"/>
        <w:gridCol w:w="1440"/>
        <w:gridCol w:w="1553"/>
      </w:tblGrid>
      <w:tr w14:paraId="171D89BA">
        <w:tblPrEx>
          <w:tblCellMar>
            <w:top w:w="0" w:type="dxa"/>
            <w:left w:w="108" w:type="dxa"/>
            <w:bottom w:w="0" w:type="dxa"/>
            <w:right w:w="108" w:type="dxa"/>
          </w:tblCellMar>
        </w:tblPrEx>
        <w:trPr>
          <w:trHeight w:val="999"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706D84C">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2354" w:type="dxa"/>
            <w:tcBorders>
              <w:top w:val="single" w:color="auto" w:sz="6" w:space="0"/>
              <w:left w:val="single" w:color="auto" w:sz="6" w:space="0"/>
              <w:bottom w:val="single" w:color="auto" w:sz="6" w:space="0"/>
              <w:right w:val="single" w:color="auto" w:sz="6" w:space="0"/>
            </w:tcBorders>
            <w:vAlign w:val="center"/>
          </w:tcPr>
          <w:p w14:paraId="09745E10">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招标文件的商务条款 </w:t>
            </w:r>
          </w:p>
        </w:tc>
        <w:tc>
          <w:tcPr>
            <w:tcW w:w="2190" w:type="dxa"/>
            <w:tcBorders>
              <w:top w:val="single" w:color="auto" w:sz="6" w:space="0"/>
              <w:left w:val="single" w:color="auto" w:sz="6" w:space="0"/>
              <w:bottom w:val="single" w:color="auto" w:sz="6" w:space="0"/>
              <w:right w:val="single" w:color="auto" w:sz="6" w:space="0"/>
            </w:tcBorders>
            <w:vAlign w:val="center"/>
          </w:tcPr>
          <w:p w14:paraId="44BDF1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投标文件的商务条款</w:t>
            </w:r>
          </w:p>
        </w:tc>
        <w:tc>
          <w:tcPr>
            <w:tcW w:w="1440" w:type="dxa"/>
            <w:tcBorders>
              <w:top w:val="single" w:color="auto" w:sz="6" w:space="0"/>
              <w:left w:val="single" w:color="auto" w:sz="6" w:space="0"/>
              <w:bottom w:val="single" w:color="auto" w:sz="6" w:space="0"/>
              <w:right w:val="single" w:color="auto" w:sz="6" w:space="0"/>
            </w:tcBorders>
            <w:vAlign w:val="center"/>
          </w:tcPr>
          <w:p w14:paraId="033CE315">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响应情况</w:t>
            </w:r>
          </w:p>
        </w:tc>
        <w:tc>
          <w:tcPr>
            <w:tcW w:w="1553" w:type="dxa"/>
            <w:tcBorders>
              <w:top w:val="single" w:color="auto" w:sz="6" w:space="0"/>
              <w:left w:val="single" w:color="auto" w:sz="6" w:space="0"/>
              <w:bottom w:val="single" w:color="auto" w:sz="6" w:space="0"/>
              <w:right w:val="single" w:color="auto" w:sz="6" w:space="0"/>
            </w:tcBorders>
            <w:vAlign w:val="center"/>
          </w:tcPr>
          <w:p w14:paraId="581791C9">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FE9481F">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4C16C94F">
            <w:pPr>
              <w:jc w:val="center"/>
              <w:rPr>
                <w:rFonts w:hint="eastAsia" w:asciiTheme="minorEastAsia" w:hAnsiTheme="minorEastAsia" w:eastAsiaTheme="minorEastAsia" w:cstheme="minorEastAsia"/>
                <w:sz w:val="24"/>
                <w:szCs w:val="24"/>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4CBE8C22">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4CF0B027">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9BF2CD1">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27894C51">
            <w:pPr>
              <w:ind w:firstLine="420"/>
              <w:jc w:val="center"/>
              <w:rPr>
                <w:rFonts w:hint="eastAsia" w:asciiTheme="minorEastAsia" w:hAnsiTheme="minorEastAsia" w:eastAsiaTheme="minorEastAsia" w:cstheme="minorEastAsia"/>
                <w:sz w:val="24"/>
                <w:szCs w:val="24"/>
              </w:rPr>
            </w:pPr>
          </w:p>
        </w:tc>
      </w:tr>
      <w:tr w14:paraId="023A19CC">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B4A38EE">
            <w:pPr>
              <w:jc w:val="center"/>
              <w:rPr>
                <w:rFonts w:hint="eastAsia" w:asciiTheme="minorEastAsia" w:hAnsiTheme="minorEastAsia" w:eastAsiaTheme="minorEastAsia" w:cstheme="minorEastAsia"/>
                <w:sz w:val="24"/>
                <w:szCs w:val="24"/>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02A97D55">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424965B4">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78E8F46">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3B10A6D7">
            <w:pPr>
              <w:ind w:firstLine="420"/>
              <w:jc w:val="center"/>
              <w:rPr>
                <w:rFonts w:hint="eastAsia" w:asciiTheme="minorEastAsia" w:hAnsiTheme="minorEastAsia" w:eastAsiaTheme="minorEastAsia" w:cstheme="minorEastAsia"/>
                <w:sz w:val="24"/>
                <w:szCs w:val="24"/>
              </w:rPr>
            </w:pPr>
          </w:p>
        </w:tc>
      </w:tr>
      <w:tr w14:paraId="3271BFA1">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59E4220A">
            <w:pPr>
              <w:jc w:val="center"/>
              <w:rPr>
                <w:rFonts w:hint="eastAsia" w:asciiTheme="minorEastAsia" w:hAnsiTheme="minorEastAsia" w:eastAsiaTheme="minorEastAsia" w:cstheme="minorEastAsia"/>
                <w:sz w:val="24"/>
                <w:szCs w:val="24"/>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2D5F2F39">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36FF5292">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7DE4E511">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6315100E">
            <w:pPr>
              <w:ind w:firstLine="420"/>
              <w:jc w:val="center"/>
              <w:rPr>
                <w:rFonts w:hint="eastAsia" w:asciiTheme="minorEastAsia" w:hAnsiTheme="minorEastAsia" w:eastAsiaTheme="minorEastAsia" w:cstheme="minorEastAsia"/>
                <w:sz w:val="24"/>
                <w:szCs w:val="24"/>
              </w:rPr>
            </w:pPr>
          </w:p>
        </w:tc>
      </w:tr>
      <w:tr w14:paraId="48AF60FC">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6AF6F993">
            <w:pPr>
              <w:jc w:val="center"/>
              <w:rPr>
                <w:rFonts w:hint="eastAsia" w:asciiTheme="minorEastAsia" w:hAnsiTheme="minorEastAsia" w:eastAsiaTheme="minorEastAsia" w:cstheme="minorEastAsia"/>
                <w:sz w:val="24"/>
                <w:szCs w:val="24"/>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7F5CE0A0">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12F7FA4B">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2C7F8DE0">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5A78AEB7">
            <w:pPr>
              <w:ind w:firstLine="420"/>
              <w:jc w:val="center"/>
              <w:rPr>
                <w:rFonts w:hint="eastAsia" w:asciiTheme="minorEastAsia" w:hAnsiTheme="minorEastAsia" w:eastAsiaTheme="minorEastAsia" w:cstheme="minorEastAsia"/>
                <w:sz w:val="24"/>
                <w:szCs w:val="24"/>
              </w:rPr>
            </w:pPr>
          </w:p>
        </w:tc>
      </w:tr>
      <w:tr w14:paraId="0627A3CF">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3BFE51AA">
            <w:pPr>
              <w:jc w:val="center"/>
              <w:rPr>
                <w:rFonts w:hint="eastAsia" w:asciiTheme="minorEastAsia" w:hAnsiTheme="minorEastAsia" w:eastAsiaTheme="minorEastAsia" w:cstheme="minorEastAsia"/>
                <w:sz w:val="24"/>
                <w:szCs w:val="24"/>
                <w:lang w:val="en-US" w:eastAsia="zh-CN"/>
              </w:rPr>
            </w:pPr>
          </w:p>
        </w:tc>
        <w:tc>
          <w:tcPr>
            <w:tcW w:w="2354" w:type="dxa"/>
            <w:tcBorders>
              <w:top w:val="single" w:color="auto" w:sz="6" w:space="0"/>
              <w:left w:val="single" w:color="auto" w:sz="6" w:space="0"/>
              <w:bottom w:val="single" w:color="auto" w:sz="6" w:space="0"/>
              <w:right w:val="single" w:color="auto" w:sz="6" w:space="0"/>
            </w:tcBorders>
            <w:vAlign w:val="center"/>
          </w:tcPr>
          <w:p w14:paraId="6BF896CD">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7657E470">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6AD4A5E4">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2AE20703">
            <w:pPr>
              <w:ind w:firstLine="420"/>
              <w:jc w:val="center"/>
              <w:rPr>
                <w:rFonts w:hint="eastAsia" w:asciiTheme="minorEastAsia" w:hAnsiTheme="minorEastAsia" w:eastAsiaTheme="minorEastAsia" w:cstheme="minorEastAsia"/>
                <w:sz w:val="24"/>
                <w:szCs w:val="24"/>
              </w:rPr>
            </w:pPr>
          </w:p>
        </w:tc>
      </w:tr>
      <w:tr w14:paraId="41E4830F">
        <w:tblPrEx>
          <w:tblCellMar>
            <w:top w:w="0" w:type="dxa"/>
            <w:left w:w="108" w:type="dxa"/>
            <w:bottom w:w="0" w:type="dxa"/>
            <w:right w:w="108" w:type="dxa"/>
          </w:tblCellMar>
        </w:tblPrEx>
        <w:trPr>
          <w:trHeight w:val="525"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00B98E0">
            <w:pPr>
              <w:shd w:val="clear" w:color="auto" w:fill="FFFFFF"/>
              <w:spacing w:line="500" w:lineRule="exact"/>
              <w:ind w:firstLine="99"/>
              <w:rPr>
                <w:rFonts w:hint="eastAsia" w:asciiTheme="minorEastAsia" w:hAnsiTheme="minorEastAsia" w:eastAsiaTheme="minorEastAsia" w:cstheme="minorEastAsia"/>
                <w:sz w:val="24"/>
                <w:szCs w:val="24"/>
              </w:rPr>
            </w:pPr>
          </w:p>
        </w:tc>
        <w:tc>
          <w:tcPr>
            <w:tcW w:w="2354" w:type="dxa"/>
            <w:tcBorders>
              <w:top w:val="single" w:color="auto" w:sz="6" w:space="0"/>
              <w:left w:val="single" w:color="auto" w:sz="6" w:space="0"/>
              <w:bottom w:val="single" w:color="auto" w:sz="6" w:space="0"/>
              <w:right w:val="single" w:color="auto" w:sz="6" w:space="0"/>
            </w:tcBorders>
            <w:vAlign w:val="center"/>
          </w:tcPr>
          <w:p w14:paraId="1F31737E">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3BCACCFC">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3D5759BD">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3D3C959B">
            <w:pPr>
              <w:ind w:firstLine="420"/>
              <w:jc w:val="center"/>
              <w:rPr>
                <w:rFonts w:hint="eastAsia" w:asciiTheme="minorEastAsia" w:hAnsiTheme="minorEastAsia" w:eastAsiaTheme="minorEastAsia" w:cstheme="minorEastAsia"/>
                <w:sz w:val="24"/>
                <w:szCs w:val="24"/>
              </w:rPr>
            </w:pPr>
          </w:p>
        </w:tc>
      </w:tr>
      <w:tr w14:paraId="78C013D4">
        <w:tblPrEx>
          <w:tblCellMar>
            <w:top w:w="0" w:type="dxa"/>
            <w:left w:w="108" w:type="dxa"/>
            <w:bottom w:w="0" w:type="dxa"/>
            <w:right w:w="108" w:type="dxa"/>
          </w:tblCellMar>
        </w:tblPrEx>
        <w:trPr>
          <w:trHeight w:val="564" w:hRule="atLeast"/>
          <w:jc w:val="center"/>
        </w:trPr>
        <w:tc>
          <w:tcPr>
            <w:tcW w:w="1041" w:type="dxa"/>
            <w:tcBorders>
              <w:top w:val="single" w:color="auto" w:sz="6" w:space="0"/>
              <w:left w:val="single" w:color="auto" w:sz="6" w:space="0"/>
              <w:bottom w:val="single" w:color="auto" w:sz="6" w:space="0"/>
              <w:right w:val="single" w:color="auto" w:sz="6" w:space="0"/>
            </w:tcBorders>
            <w:vAlign w:val="center"/>
          </w:tcPr>
          <w:p w14:paraId="1F1503E9">
            <w:pPr>
              <w:ind w:firstLine="420"/>
              <w:jc w:val="center"/>
              <w:rPr>
                <w:rFonts w:hint="eastAsia" w:asciiTheme="minorEastAsia" w:hAnsiTheme="minorEastAsia" w:eastAsiaTheme="minorEastAsia" w:cstheme="minorEastAsia"/>
                <w:sz w:val="24"/>
                <w:szCs w:val="24"/>
              </w:rPr>
            </w:pPr>
          </w:p>
        </w:tc>
        <w:tc>
          <w:tcPr>
            <w:tcW w:w="2354" w:type="dxa"/>
            <w:tcBorders>
              <w:top w:val="single" w:color="auto" w:sz="6" w:space="0"/>
              <w:left w:val="single" w:color="auto" w:sz="6" w:space="0"/>
              <w:bottom w:val="single" w:color="auto" w:sz="6" w:space="0"/>
              <w:right w:val="single" w:color="auto" w:sz="6" w:space="0"/>
            </w:tcBorders>
            <w:vAlign w:val="center"/>
          </w:tcPr>
          <w:p w14:paraId="7C35E0CE">
            <w:pPr>
              <w:ind w:firstLine="420"/>
              <w:jc w:val="center"/>
              <w:rPr>
                <w:rFonts w:hint="eastAsia" w:asciiTheme="minorEastAsia" w:hAnsiTheme="minorEastAsia" w:eastAsiaTheme="minorEastAsia" w:cstheme="minorEastAsia"/>
                <w:sz w:val="24"/>
                <w:szCs w:val="24"/>
              </w:rPr>
            </w:pPr>
          </w:p>
        </w:tc>
        <w:tc>
          <w:tcPr>
            <w:tcW w:w="2190" w:type="dxa"/>
            <w:tcBorders>
              <w:top w:val="single" w:color="auto" w:sz="6" w:space="0"/>
              <w:left w:val="single" w:color="auto" w:sz="6" w:space="0"/>
              <w:bottom w:val="single" w:color="auto" w:sz="6" w:space="0"/>
              <w:right w:val="single" w:color="auto" w:sz="6" w:space="0"/>
            </w:tcBorders>
            <w:vAlign w:val="center"/>
          </w:tcPr>
          <w:p w14:paraId="248E780D">
            <w:pPr>
              <w:ind w:firstLine="420"/>
              <w:jc w:val="center"/>
              <w:rPr>
                <w:rFonts w:hint="eastAsia" w:asciiTheme="minorEastAsia" w:hAnsiTheme="minorEastAsia" w:eastAsiaTheme="minorEastAsia" w:cstheme="minorEastAsia"/>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14:paraId="31282C80">
            <w:pPr>
              <w:ind w:firstLine="420"/>
              <w:jc w:val="center"/>
              <w:rPr>
                <w:rFonts w:hint="eastAsia" w:asciiTheme="minorEastAsia" w:hAnsiTheme="minorEastAsia" w:eastAsiaTheme="minorEastAsia" w:cstheme="minorEastAsia"/>
                <w:sz w:val="24"/>
                <w:szCs w:val="24"/>
              </w:rPr>
            </w:pPr>
          </w:p>
        </w:tc>
        <w:tc>
          <w:tcPr>
            <w:tcW w:w="1553" w:type="dxa"/>
            <w:tcBorders>
              <w:top w:val="single" w:color="auto" w:sz="6" w:space="0"/>
              <w:left w:val="single" w:color="auto" w:sz="6" w:space="0"/>
              <w:bottom w:val="single" w:color="auto" w:sz="6" w:space="0"/>
              <w:right w:val="single" w:color="auto" w:sz="6" w:space="0"/>
            </w:tcBorders>
            <w:vAlign w:val="center"/>
          </w:tcPr>
          <w:p w14:paraId="3002D0BD">
            <w:pPr>
              <w:ind w:firstLine="420"/>
              <w:jc w:val="center"/>
              <w:rPr>
                <w:rFonts w:hint="eastAsia" w:asciiTheme="minorEastAsia" w:hAnsiTheme="minorEastAsia" w:eastAsiaTheme="minorEastAsia" w:cstheme="minorEastAsia"/>
                <w:sz w:val="24"/>
                <w:szCs w:val="24"/>
              </w:rPr>
            </w:pPr>
          </w:p>
        </w:tc>
      </w:tr>
    </w:tbl>
    <w:p w14:paraId="35904BDB">
      <w:pPr>
        <w:pageBreakBefore w:val="0"/>
        <w:kinsoku/>
        <w:wordWrap/>
        <w:overflowPunct/>
        <w:topLinePunct w:val="0"/>
        <w:bidi w:val="0"/>
        <w:adjustRightInd w:val="0"/>
        <w:snapToGrid w:val="0"/>
        <w:spacing w:beforeAutospacing="0" w:afterAutospacing="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p w14:paraId="2DBA10DF">
      <w:pPr>
        <w:pageBreakBefore w:val="0"/>
        <w:numPr>
          <w:ilvl w:val="0"/>
          <w:numId w:val="5"/>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本项目商务条款至少包括：</w:t>
      </w:r>
      <w:r>
        <w:rPr>
          <w:rFonts w:hint="eastAsia" w:ascii="宋体" w:hAnsi="宋体" w:eastAsia="宋体" w:cs="宋体"/>
          <w:sz w:val="24"/>
          <w:szCs w:val="24"/>
          <w:highlight w:val="none"/>
          <w:lang w:eastAsia="zh-CN"/>
        </w:rPr>
        <w:t>履约期限</w:t>
      </w:r>
      <w:r>
        <w:rPr>
          <w:rFonts w:hint="eastAsia" w:ascii="宋体" w:hAnsi="宋体" w:eastAsia="宋体" w:cs="宋体"/>
          <w:sz w:val="24"/>
          <w:szCs w:val="24"/>
          <w:highlight w:val="none"/>
        </w:rPr>
        <w:t>、招标内容、投标保证金响应、投标文件有效期等，投标人须按招标文件给定的条款填写</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响应情况应</w:t>
      </w:r>
      <w:r>
        <w:rPr>
          <w:rFonts w:hint="eastAsia" w:asciiTheme="minorEastAsia" w:hAnsiTheme="minorEastAsia" w:eastAsiaTheme="minorEastAsia" w:cstheme="minorEastAsia"/>
          <w:b w:val="0"/>
          <w:bCs w:val="0"/>
          <w:sz w:val="24"/>
          <w:szCs w:val="24"/>
          <w:lang w:val="en-US" w:eastAsia="zh-CN"/>
        </w:rPr>
        <w:t>填写正偏离或者响应或无偏离</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val="en-US" w:eastAsia="zh-CN"/>
        </w:rPr>
        <w:t>只注明符合、满足等无具体内容表述的，将视为未实质性满足招标文件要求，投标无效。</w:t>
      </w:r>
    </w:p>
    <w:p w14:paraId="1D6F287C">
      <w:pPr>
        <w:pageBreakBefore w:val="0"/>
        <w:numPr>
          <w:ilvl w:val="0"/>
          <w:numId w:val="5"/>
        </w:numPr>
        <w:kinsoku/>
        <w:wordWrap/>
        <w:overflowPunct/>
        <w:topLinePunct w:val="0"/>
        <w:bidi w:val="0"/>
        <w:adjustRightInd w:val="0"/>
        <w:snapToGrid w:val="0"/>
        <w:spacing w:beforeAutospacing="0" w:afterAutospacing="0"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表格内容全空视为商务条款完全响应招标文件要求</w:t>
      </w:r>
      <w:r>
        <w:rPr>
          <w:rFonts w:hint="eastAsia" w:ascii="宋体" w:hAnsi="宋体" w:eastAsia="宋体" w:cs="宋体"/>
          <w:sz w:val="24"/>
          <w:szCs w:val="24"/>
          <w:highlight w:val="none"/>
          <w:lang w:eastAsia="zh-CN"/>
        </w:rPr>
        <w:t>。</w:t>
      </w:r>
    </w:p>
    <w:p w14:paraId="3FC39292">
      <w:pPr>
        <w:pStyle w:val="89"/>
        <w:keepNext w:val="0"/>
        <w:keepLines w:val="0"/>
        <w:pageBreakBefore w:val="0"/>
        <w:widowControl w:val="0"/>
        <w:kinsoku/>
        <w:wordWrap/>
        <w:overflowPunct/>
        <w:topLinePunct w:val="0"/>
        <w:autoSpaceDE/>
        <w:autoSpaceDN/>
        <w:bidi w:val="0"/>
        <w:adjustRightInd/>
        <w:snapToGrid/>
        <w:spacing w:before="313" w:beforeLines="100"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val="en-US" w:eastAsia="zh-CN"/>
        </w:rPr>
        <w:t>名称</w:t>
      </w:r>
      <w:r>
        <w:rPr>
          <w:rFonts w:hint="eastAsia" w:asciiTheme="minorEastAsia" w:hAnsiTheme="minorEastAsia" w:eastAsiaTheme="minorEastAsia" w:cstheme="minorEastAsia"/>
          <w:sz w:val="24"/>
          <w:szCs w:val="24"/>
        </w:rPr>
        <w:t>（盖公章）：</w:t>
      </w:r>
    </w:p>
    <w:p w14:paraId="20D8B9D3">
      <w:pPr>
        <w:spacing w:line="460" w:lineRule="exact"/>
        <w:ind w:firstLine="480" w:firstLineChars="200"/>
        <w:rPr>
          <w:rFonts w:hint="eastAsia" w:asciiTheme="minorEastAsia" w:hAnsiTheme="minorEastAsia" w:eastAsiaTheme="minorEastAsia" w:cstheme="minorEastAsia"/>
          <w:snapToGrid w:val="0"/>
          <w:kern w:val="0"/>
          <w:sz w:val="24"/>
          <w:szCs w:val="24"/>
          <w:lang w:val="en-US" w:eastAsia="zh-CN" w:bidi="ar-SA"/>
        </w:rPr>
      </w:pPr>
      <w:r>
        <w:rPr>
          <w:rFonts w:hint="eastAsia" w:asciiTheme="minorEastAsia" w:hAnsiTheme="minorEastAsia" w:eastAsiaTheme="minorEastAsia" w:cstheme="minorEastAsia"/>
          <w:snapToGrid w:val="0"/>
          <w:kern w:val="0"/>
          <w:sz w:val="24"/>
          <w:szCs w:val="24"/>
          <w:lang w:val="en-US" w:eastAsia="zh-CN" w:bidi="ar-SA"/>
        </w:rPr>
        <w:t>法定代表人或委托代理人（签字或盖章）：</w:t>
      </w:r>
    </w:p>
    <w:p w14:paraId="6FBEF8A8">
      <w:pPr>
        <w:spacing w:line="460" w:lineRule="exact"/>
        <w:ind w:firstLine="480" w:firstLineChars="200"/>
        <w:rPr>
          <w:rFonts w:hint="eastAsia" w:asciiTheme="minorEastAsia" w:hAnsiTheme="minorEastAsia" w:eastAsiaTheme="minorEastAsia" w:cstheme="minorEastAsia"/>
          <w:snapToGrid w:val="0"/>
          <w:kern w:val="0"/>
          <w:sz w:val="24"/>
          <w:szCs w:val="24"/>
        </w:rPr>
      </w:pPr>
      <w:r>
        <w:rPr>
          <w:rFonts w:hint="eastAsia" w:asciiTheme="minorEastAsia" w:hAnsiTheme="minorEastAsia" w:eastAsiaTheme="minorEastAsia" w:cstheme="minorEastAsia"/>
          <w:snapToGrid w:val="0"/>
          <w:kern w:val="0"/>
          <w:sz w:val="24"/>
          <w:szCs w:val="24"/>
        </w:rPr>
        <w:t>日期：</w:t>
      </w:r>
      <w:r>
        <w:rPr>
          <w:rFonts w:hint="eastAsia" w:asciiTheme="minorEastAsia" w:hAnsiTheme="minorEastAsia" w:eastAsiaTheme="minorEastAsia" w:cstheme="minorEastAsia"/>
          <w:snapToGrid w:val="0"/>
          <w:kern w:val="0"/>
          <w:sz w:val="24"/>
          <w:szCs w:val="24"/>
          <w:lang w:val="en-US" w:eastAsia="zh-CN"/>
        </w:rPr>
        <w:t xml:space="preserve">  </w:t>
      </w:r>
      <w:r>
        <w:rPr>
          <w:rFonts w:hint="eastAsia" w:asciiTheme="minorEastAsia" w:hAnsiTheme="minorEastAsia" w:eastAsiaTheme="minorEastAsia" w:cstheme="minorEastAsia"/>
          <w:snapToGrid w:val="0"/>
          <w:kern w:val="0"/>
          <w:sz w:val="24"/>
          <w:szCs w:val="24"/>
        </w:rPr>
        <w:t>年</w:t>
      </w:r>
      <w:r>
        <w:rPr>
          <w:rFonts w:hint="eastAsia" w:asciiTheme="minorEastAsia" w:hAnsiTheme="minorEastAsia" w:eastAsiaTheme="minorEastAsia" w:cstheme="minorEastAsia"/>
          <w:snapToGrid w:val="0"/>
          <w:kern w:val="0"/>
          <w:sz w:val="24"/>
          <w:szCs w:val="24"/>
          <w:lang w:val="en-US" w:eastAsia="zh-CN"/>
        </w:rPr>
        <w:t xml:space="preserve">  </w:t>
      </w:r>
      <w:r>
        <w:rPr>
          <w:rFonts w:hint="eastAsia" w:asciiTheme="minorEastAsia" w:hAnsiTheme="minorEastAsia" w:eastAsiaTheme="minorEastAsia" w:cstheme="minorEastAsia"/>
          <w:snapToGrid w:val="0"/>
          <w:kern w:val="0"/>
          <w:sz w:val="24"/>
          <w:szCs w:val="24"/>
        </w:rPr>
        <w:t>月</w:t>
      </w:r>
      <w:r>
        <w:rPr>
          <w:rFonts w:hint="eastAsia" w:asciiTheme="minorEastAsia" w:hAnsiTheme="minorEastAsia" w:eastAsiaTheme="minorEastAsia" w:cstheme="minorEastAsia"/>
          <w:snapToGrid w:val="0"/>
          <w:kern w:val="0"/>
          <w:sz w:val="24"/>
          <w:szCs w:val="24"/>
          <w:lang w:val="en-US" w:eastAsia="zh-CN"/>
        </w:rPr>
        <w:t xml:space="preserve">  </w:t>
      </w:r>
      <w:r>
        <w:rPr>
          <w:rFonts w:hint="eastAsia" w:asciiTheme="minorEastAsia" w:hAnsiTheme="minorEastAsia" w:eastAsiaTheme="minorEastAsia" w:cstheme="minorEastAsia"/>
          <w:snapToGrid w:val="0"/>
          <w:kern w:val="0"/>
          <w:sz w:val="24"/>
          <w:szCs w:val="24"/>
        </w:rPr>
        <w:t>日</w:t>
      </w:r>
    </w:p>
    <w:p w14:paraId="79798777">
      <w:pPr>
        <w:pageBreakBefore w:val="0"/>
        <w:kinsoku/>
        <w:wordWrap/>
        <w:overflowPunct/>
        <w:topLinePunct w:val="0"/>
        <w:bidi w:val="0"/>
        <w:adjustRightInd w:val="0"/>
        <w:snapToGrid w:val="0"/>
        <w:spacing w:beforeAutospacing="0" w:afterAutospacing="0" w:line="400" w:lineRule="exact"/>
        <w:jc w:val="left"/>
        <w:rPr>
          <w:rFonts w:hint="eastAsia" w:ascii="宋体" w:hAnsi="宋体" w:cs="宋体"/>
          <w:b/>
          <w:color w:val="000000" w:themeColor="text1"/>
          <w:sz w:val="24"/>
          <w:szCs w:val="24"/>
          <w:highlight w:val="none"/>
          <w:lang w:val="en-US" w:eastAsia="zh-CN"/>
          <w14:textFill>
            <w14:solidFill>
              <w14:schemeClr w14:val="tx1"/>
            </w14:solidFill>
          </w14:textFill>
        </w:rPr>
      </w:pPr>
    </w:p>
    <w:p w14:paraId="24528BBA">
      <w:pPr>
        <w:pageBreakBefore w:val="0"/>
        <w:kinsoku/>
        <w:wordWrap/>
        <w:overflowPunct/>
        <w:topLinePunct w:val="0"/>
        <w:bidi w:val="0"/>
        <w:adjustRightInd w:val="0"/>
        <w:snapToGrid w:val="0"/>
        <w:spacing w:beforeAutospacing="0" w:afterAutospacing="0" w:line="400" w:lineRule="exact"/>
        <w:jc w:val="left"/>
        <w:rPr>
          <w:rFonts w:hint="eastAsia" w:ascii="宋体" w:hAnsi="宋体" w:cs="宋体"/>
          <w:b/>
          <w:color w:val="000000" w:themeColor="text1"/>
          <w:sz w:val="24"/>
          <w:szCs w:val="24"/>
          <w:highlight w:val="none"/>
          <w:lang w:val="en-US" w:eastAsia="zh-CN"/>
          <w14:textFill>
            <w14:solidFill>
              <w14:schemeClr w14:val="tx1"/>
            </w14:solidFill>
          </w14:textFill>
        </w:rPr>
      </w:pPr>
    </w:p>
    <w:p w14:paraId="1AC07664">
      <w:pPr>
        <w:pageBreakBefore w:val="0"/>
        <w:kinsoku/>
        <w:wordWrap/>
        <w:overflowPunct/>
        <w:topLinePunct w:val="0"/>
        <w:bidi w:val="0"/>
        <w:adjustRightInd w:val="0"/>
        <w:snapToGrid w:val="0"/>
        <w:spacing w:beforeAutospacing="0" w:afterAutospacing="0" w:line="400" w:lineRule="exact"/>
        <w:jc w:val="left"/>
        <w:rPr>
          <w:rFonts w:hint="eastAsia" w:ascii="宋体" w:hAnsi="宋体" w:eastAsia="宋体" w:cs="宋体"/>
          <w:color w:val="000000"/>
          <w:sz w:val="24"/>
          <w:szCs w:val="24"/>
          <w:highlight w:val="none"/>
        </w:rPr>
      </w:pPr>
      <w:r>
        <w:rPr>
          <w:rFonts w:hint="eastAsia" w:ascii="宋体" w:hAnsi="宋体" w:cs="宋体"/>
          <w:b/>
          <w:color w:val="000000" w:themeColor="text1"/>
          <w:sz w:val="24"/>
          <w:szCs w:val="24"/>
          <w:highlight w:val="non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lang w:val="en-US" w:eastAsia="zh-CN"/>
          <w14:textFill>
            <w14:solidFill>
              <w14:schemeClr w14:val="tx1"/>
            </w14:solidFill>
          </w14:textFill>
        </w:rPr>
        <w:t>实施方案</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（根据评标办法提供）</w:t>
      </w:r>
    </w:p>
    <w:p w14:paraId="162B4ECC">
      <w:pPr>
        <w:pageBreakBefore w:val="0"/>
        <w:widowControl/>
        <w:kinsoku/>
        <w:wordWrap/>
        <w:overflowPunct/>
        <w:topLinePunct w:val="0"/>
        <w:bidi w:val="0"/>
        <w:adjustRightInd w:val="0"/>
        <w:snapToGrid w:val="0"/>
        <w:spacing w:beforeAutospacing="0" w:afterAutospacing="0" w:line="400" w:lineRule="exact"/>
        <w:rPr>
          <w:rFonts w:hint="eastAsia" w:ascii="宋体" w:hAnsi="宋体" w:cs="宋体"/>
          <w:b/>
          <w:bCs/>
          <w:color w:val="000000"/>
          <w:sz w:val="24"/>
          <w:szCs w:val="24"/>
          <w:highlight w:val="none"/>
          <w:lang w:val="en-US" w:eastAsia="zh-CN"/>
        </w:rPr>
      </w:pPr>
    </w:p>
    <w:p w14:paraId="4E60B091">
      <w:pPr>
        <w:pageBreakBefore w:val="0"/>
        <w:widowControl/>
        <w:kinsoku/>
        <w:wordWrap/>
        <w:overflowPunct/>
        <w:topLinePunct w:val="0"/>
        <w:bidi w:val="0"/>
        <w:adjustRightInd w:val="0"/>
        <w:snapToGrid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cs="宋体"/>
          <w:b/>
          <w:bCs/>
          <w:color w:val="000000"/>
          <w:sz w:val="24"/>
          <w:szCs w:val="24"/>
          <w:highlight w:val="none"/>
          <w:lang w:val="en-US" w:eastAsia="zh-CN"/>
        </w:rPr>
        <w:t>6、配置及性能指标</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（根据评标办法提供）</w:t>
      </w:r>
    </w:p>
    <w:p w14:paraId="426D5415">
      <w:pPr>
        <w:pStyle w:val="34"/>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469CF1F0">
      <w:pPr>
        <w:pageBreakBefore w:val="0"/>
        <w:widowControl/>
        <w:kinsoku/>
        <w:wordWrap/>
        <w:overflowPunct/>
        <w:topLinePunct w:val="0"/>
        <w:bidi w:val="0"/>
        <w:adjustRightInd w:val="0"/>
        <w:snapToGrid w:val="0"/>
        <w:spacing w:beforeAutospacing="0" w:afterAutospacing="0" w:line="400" w:lineRule="exact"/>
        <w:ind w:firstLine="460" w:firstLineChars="192"/>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7838C056">
      <w:pPr>
        <w:pStyle w:val="23"/>
        <w:ind w:left="0" w:leftChars="0" w:firstLine="0" w:firstLineChars="0"/>
        <w:jc w:val="left"/>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7、质量保障措施</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（根据评标办法提供）</w:t>
      </w:r>
    </w:p>
    <w:p w14:paraId="2ADA8686">
      <w:pPr>
        <w:pStyle w:val="23"/>
        <w:rPr>
          <w:rFonts w:hint="eastAsia" w:ascii="宋体" w:hAnsi="宋体" w:cs="宋体"/>
          <w:b/>
          <w:bCs/>
          <w:color w:val="000000"/>
          <w:sz w:val="24"/>
          <w:szCs w:val="24"/>
          <w:highlight w:val="none"/>
          <w:lang w:val="en-US" w:eastAsia="zh-CN"/>
        </w:rPr>
      </w:pPr>
    </w:p>
    <w:p w14:paraId="4561010F">
      <w:pPr>
        <w:pStyle w:val="23"/>
        <w:ind w:left="0" w:leftChars="0" w:firstLine="0" w:firstLineChars="0"/>
        <w:rPr>
          <w:rFonts w:hint="eastAsia" w:ascii="宋体" w:hAnsi="宋体" w:eastAsia="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lang w:val="en-US" w:eastAsia="zh-CN"/>
        </w:rPr>
        <w:t>售后服务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（根据评标办法提供）</w:t>
      </w:r>
    </w:p>
    <w:p w14:paraId="5B2D0ACF">
      <w:pPr>
        <w:pStyle w:val="23"/>
        <w:rPr>
          <w:rFonts w:hint="eastAsia" w:ascii="宋体" w:hAnsi="宋体" w:cs="宋体"/>
          <w:b/>
          <w:bCs/>
          <w:color w:val="000000"/>
          <w:sz w:val="24"/>
          <w:szCs w:val="24"/>
          <w:highlight w:val="none"/>
          <w:lang w:val="en-US" w:eastAsia="zh-CN"/>
        </w:rPr>
      </w:pPr>
    </w:p>
    <w:p w14:paraId="14D45D00">
      <w:pPr>
        <w:pStyle w:val="23"/>
        <w:ind w:left="0" w:leftChars="0" w:firstLine="0" w:firstLineChars="0"/>
        <w:rPr>
          <w:rFonts w:hint="default" w:ascii="宋体" w:hAnsi="宋体" w:eastAsia="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9、企业的承诺及优惠条件</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（根据评标办法提供）</w:t>
      </w:r>
    </w:p>
    <w:p w14:paraId="1E1462EF">
      <w:pPr>
        <w:pStyle w:val="23"/>
        <w:rPr>
          <w:rFonts w:hint="eastAsia" w:ascii="宋体" w:hAnsi="宋体" w:eastAsia="宋体" w:cs="宋体"/>
          <w:color w:val="000000"/>
          <w:sz w:val="24"/>
          <w:szCs w:val="24"/>
          <w:highlight w:val="none"/>
        </w:rPr>
      </w:pPr>
    </w:p>
    <w:p w14:paraId="014E15C9">
      <w:pPr>
        <w:pStyle w:val="37"/>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both"/>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w:t>
      </w:r>
      <w:r>
        <w:rPr>
          <w:rFonts w:hint="eastAsia" w:ascii="宋体" w:hAnsi="宋体" w:cs="宋体"/>
          <w:b/>
          <w:color w:val="000000"/>
          <w:sz w:val="24"/>
          <w:szCs w:val="24"/>
          <w:highlight w:val="none"/>
          <w:lang w:val="en-US" w:eastAsia="zh-CN"/>
        </w:rPr>
        <w:t>0</w:t>
      </w:r>
      <w:r>
        <w:rPr>
          <w:rFonts w:hint="eastAsia" w:ascii="宋体" w:hAnsi="宋体" w:eastAsia="宋体" w:cs="宋体"/>
          <w:b/>
          <w:color w:val="000000"/>
          <w:sz w:val="24"/>
          <w:szCs w:val="24"/>
          <w:highlight w:val="none"/>
        </w:rPr>
        <w:t>、</w:t>
      </w:r>
      <w:r>
        <w:rPr>
          <w:rFonts w:hint="eastAsia" w:ascii="Arial Black" w:hAnsi="Arial Black" w:eastAsia="宋体" w:cs="Times New Roman"/>
          <w:b/>
          <w:bCs/>
          <w:color w:val="auto"/>
          <w:spacing w:val="-3"/>
          <w:kern w:val="2"/>
          <w:sz w:val="22"/>
          <w:szCs w:val="22"/>
          <w:lang w:val="en-US" w:eastAsia="zh-CN" w:bidi="ar-SA"/>
        </w:rPr>
        <w:t>技术条款偏离表</w:t>
      </w:r>
    </w:p>
    <w:p w14:paraId="1F5639B9">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项目名称：</w:t>
      </w:r>
    </w:p>
    <w:p w14:paraId="1A8B33C7">
      <w:pPr>
        <w:pageBreakBefore w:val="0"/>
        <w:kinsoku/>
        <w:wordWrap/>
        <w:overflowPunct/>
        <w:topLinePunct w:val="0"/>
        <w:bidi w:val="0"/>
        <w:spacing w:beforeAutospacing="0" w:afterAutospacing="0" w:line="400" w:lineRule="exact"/>
        <w:ind w:left="2880" w:leftChars="200" w:hanging="2460" w:hangingChars="1025"/>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招标编号：</w:t>
      </w:r>
    </w:p>
    <w:p w14:paraId="0403550B">
      <w:pPr>
        <w:pStyle w:val="23"/>
        <w:rPr>
          <w:rFonts w:hint="eastAsia" w:ascii="宋体" w:hAnsi="宋体" w:eastAsia="宋体" w:cs="宋体"/>
          <w:lang w:val="en-US"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093"/>
        <w:gridCol w:w="2227"/>
        <w:gridCol w:w="1600"/>
        <w:gridCol w:w="1134"/>
      </w:tblGrid>
      <w:tr w14:paraId="5632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vAlign w:val="center"/>
          </w:tcPr>
          <w:p w14:paraId="6E61CB5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序号</w:t>
            </w:r>
          </w:p>
        </w:tc>
        <w:tc>
          <w:tcPr>
            <w:tcW w:w="2093" w:type="dxa"/>
            <w:vAlign w:val="center"/>
          </w:tcPr>
          <w:p w14:paraId="7FB2940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招标规格</w:t>
            </w:r>
          </w:p>
        </w:tc>
        <w:tc>
          <w:tcPr>
            <w:tcW w:w="2227" w:type="dxa"/>
            <w:vAlign w:val="center"/>
          </w:tcPr>
          <w:p w14:paraId="54BF1E72">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投标规格</w:t>
            </w:r>
          </w:p>
        </w:tc>
        <w:tc>
          <w:tcPr>
            <w:tcW w:w="1600" w:type="dxa"/>
            <w:vAlign w:val="center"/>
          </w:tcPr>
          <w:p w14:paraId="08D2C61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Theme="minorEastAsia" w:hAnsiTheme="minorEastAsia" w:eastAsiaTheme="minorEastAsia" w:cstheme="minorEastAsia"/>
                <w:sz w:val="24"/>
                <w:szCs w:val="24"/>
                <w:lang w:val="en-US" w:eastAsia="zh-CN"/>
              </w:rPr>
              <w:t>响应情况</w:t>
            </w:r>
          </w:p>
        </w:tc>
        <w:tc>
          <w:tcPr>
            <w:tcW w:w="1134" w:type="dxa"/>
            <w:vAlign w:val="center"/>
          </w:tcPr>
          <w:p w14:paraId="69B9F6DF">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tc>
      </w:tr>
      <w:tr w14:paraId="32ADB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820" w:type="dxa"/>
            <w:vAlign w:val="center"/>
          </w:tcPr>
          <w:p w14:paraId="6BC9908C">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2093" w:type="dxa"/>
            <w:vAlign w:val="center"/>
          </w:tcPr>
          <w:p w14:paraId="362C222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2A72889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6E7E20E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4926761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0139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20" w:type="dxa"/>
            <w:vAlign w:val="center"/>
          </w:tcPr>
          <w:p w14:paraId="02B5214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p>
        </w:tc>
        <w:tc>
          <w:tcPr>
            <w:tcW w:w="2093" w:type="dxa"/>
            <w:vAlign w:val="center"/>
          </w:tcPr>
          <w:p w14:paraId="7DBDF92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0695B99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7BB8C86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5D6E23F4">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0B5F3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820" w:type="dxa"/>
            <w:vAlign w:val="center"/>
          </w:tcPr>
          <w:p w14:paraId="42720AC8">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p>
        </w:tc>
        <w:tc>
          <w:tcPr>
            <w:tcW w:w="2093" w:type="dxa"/>
            <w:vAlign w:val="center"/>
          </w:tcPr>
          <w:p w14:paraId="0713E16E">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63F9D8CD">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302B0210">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05BAA7F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r w14:paraId="5EA9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820" w:type="dxa"/>
            <w:vAlign w:val="center"/>
          </w:tcPr>
          <w:p w14:paraId="3E34B115">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p>
        </w:tc>
        <w:tc>
          <w:tcPr>
            <w:tcW w:w="2093" w:type="dxa"/>
            <w:vAlign w:val="center"/>
          </w:tcPr>
          <w:p w14:paraId="6B73C88A">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2227" w:type="dxa"/>
            <w:vAlign w:val="center"/>
          </w:tcPr>
          <w:p w14:paraId="04F64C59">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600" w:type="dxa"/>
            <w:vAlign w:val="center"/>
          </w:tcPr>
          <w:p w14:paraId="2A2B1A6B">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c>
          <w:tcPr>
            <w:tcW w:w="1134" w:type="dxa"/>
            <w:vAlign w:val="center"/>
          </w:tcPr>
          <w:p w14:paraId="4F5A5173">
            <w:pPr>
              <w:pageBreakBefore w:val="0"/>
              <w:kinsoku/>
              <w:wordWrap/>
              <w:overflowPunct/>
              <w:topLinePunct w:val="0"/>
              <w:bidi w:val="0"/>
              <w:adjustRightInd w:val="0"/>
              <w:snapToGrid w:val="0"/>
              <w:spacing w:beforeAutospacing="0" w:afterAutospacing="0" w:line="400" w:lineRule="exact"/>
              <w:jc w:val="center"/>
              <w:rPr>
                <w:rFonts w:hint="eastAsia" w:ascii="宋体" w:hAnsi="宋体" w:eastAsia="宋体" w:cs="宋体"/>
                <w:color w:val="000000"/>
                <w:sz w:val="24"/>
                <w:szCs w:val="24"/>
                <w:highlight w:val="none"/>
              </w:rPr>
            </w:pPr>
          </w:p>
        </w:tc>
      </w:tr>
    </w:tbl>
    <w:p w14:paraId="614C6636">
      <w:pPr>
        <w:pageBreakBefore w:val="0"/>
        <w:kinsoku/>
        <w:wordWrap/>
        <w:overflowPunct/>
        <w:topLinePunct w:val="0"/>
        <w:bidi w:val="0"/>
        <w:spacing w:beforeAutospacing="0" w:afterAutospacing="0" w:line="400" w:lineRule="exact"/>
        <w:ind w:left="525" w:right="292" w:rightChars="139" w:hanging="630"/>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 xml:space="preserve"> </w:t>
      </w:r>
    </w:p>
    <w:p w14:paraId="356A7552">
      <w:pPr>
        <w:pageBreakBefore w:val="0"/>
        <w:kinsoku/>
        <w:wordWrap/>
        <w:overflowPunct/>
        <w:topLinePunct w:val="0"/>
        <w:bidi w:val="0"/>
        <w:spacing w:beforeAutospacing="0" w:afterAutospacing="0" w:line="400" w:lineRule="exact"/>
        <w:ind w:left="525" w:right="292" w:rightChars="139" w:hanging="63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注：投标人必须对应招标文件的第</w:t>
      </w:r>
      <w:r>
        <w:rPr>
          <w:rFonts w:hint="eastAsia" w:ascii="宋体" w:hAnsi="宋体" w:eastAsia="宋体" w:cs="宋体"/>
          <w:color w:val="000000"/>
          <w:sz w:val="24"/>
          <w:szCs w:val="24"/>
          <w:highlight w:val="none"/>
          <w:lang w:val="en-US" w:eastAsia="zh-CN"/>
        </w:rPr>
        <w:t>五</w:t>
      </w:r>
      <w:r>
        <w:rPr>
          <w:rFonts w:hint="eastAsia" w:ascii="宋体" w:hAnsi="宋体" w:eastAsia="宋体" w:cs="宋体"/>
          <w:color w:val="000000"/>
          <w:sz w:val="24"/>
          <w:szCs w:val="24"/>
          <w:highlight w:val="none"/>
        </w:rPr>
        <w:t>章“</w:t>
      </w:r>
      <w:r>
        <w:rPr>
          <w:rFonts w:hint="eastAsia" w:ascii="宋体" w:hAnsi="宋体" w:cs="宋体"/>
          <w:color w:val="000000"/>
          <w:sz w:val="24"/>
          <w:szCs w:val="24"/>
          <w:highlight w:val="none"/>
          <w:lang w:val="en-US" w:eastAsia="zh-CN"/>
        </w:rPr>
        <w:t>采购</w:t>
      </w:r>
      <w:r>
        <w:rPr>
          <w:rFonts w:hint="eastAsia" w:ascii="宋体" w:hAnsi="宋体" w:eastAsia="宋体" w:cs="宋体"/>
          <w:color w:val="000000"/>
          <w:sz w:val="24"/>
          <w:szCs w:val="24"/>
          <w:highlight w:val="none"/>
        </w:rPr>
        <w:t>需求”的内容逐条响应。如有缺漏，缺漏项视同不符合招标要求。投标人响应采购需求应具体、明确，含糊不清、不确切或伪造、变造证明材料的，按照不完全响应或者完全不响应处理。构成提供虚假材料的，移送监管部门查处。</w:t>
      </w:r>
    </w:p>
    <w:p w14:paraId="61FA8826">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0745B1B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投标单位：（</w:t>
      </w:r>
      <w:r>
        <w:rPr>
          <w:rFonts w:hint="eastAsia" w:ascii="宋体" w:hAnsi="宋体" w:cs="宋体"/>
          <w:color w:val="000000"/>
          <w:sz w:val="24"/>
          <w:szCs w:val="24"/>
          <w:highlight w:val="none"/>
          <w:lang w:eastAsia="zh-CN"/>
        </w:rPr>
        <w:t>供应商公章</w:t>
      </w:r>
      <w:r>
        <w:rPr>
          <w:rFonts w:hint="eastAsia" w:ascii="宋体" w:hAnsi="宋体" w:eastAsia="宋体" w:cs="宋体"/>
          <w:color w:val="000000"/>
          <w:sz w:val="24"/>
          <w:szCs w:val="24"/>
          <w:highlight w:val="none"/>
        </w:rPr>
        <w:t>）</w:t>
      </w:r>
    </w:p>
    <w:p w14:paraId="79DF38AB">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法定代表人或授权代表人：（签字或盖章）</w:t>
      </w:r>
    </w:p>
    <w:p w14:paraId="0A90D9E9">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09075AF8">
      <w:pPr>
        <w:pageBreakBefore w:val="0"/>
        <w:kinsoku/>
        <w:wordWrap/>
        <w:overflowPunct/>
        <w:topLinePunct w:val="0"/>
        <w:bidi w:val="0"/>
        <w:spacing w:beforeAutospacing="0" w:afterAutospacing="0" w:line="400" w:lineRule="exact"/>
        <w:rPr>
          <w:rFonts w:hint="eastAsia" w:ascii="宋体" w:hAnsi="宋体" w:eastAsia="宋体" w:cs="宋体"/>
          <w:color w:val="000000"/>
          <w:sz w:val="24"/>
          <w:szCs w:val="24"/>
          <w:highlight w:val="none"/>
        </w:rPr>
      </w:pPr>
    </w:p>
    <w:p w14:paraId="34381080">
      <w:pPr>
        <w:pageBreakBefore w:val="0"/>
        <w:kinsoku/>
        <w:wordWrap/>
        <w:overflowPunct/>
        <w:topLinePunct w:val="0"/>
        <w:bidi w:val="0"/>
        <w:spacing w:beforeAutospacing="0" w:afterAutospacing="0" w:line="400" w:lineRule="exact"/>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日期：   年   月   日</w:t>
      </w:r>
    </w:p>
    <w:p w14:paraId="1AFE0D0B">
      <w:pPr>
        <w:pStyle w:val="6"/>
        <w:ind w:left="0" w:leftChars="0" w:firstLine="0" w:firstLineChars="0"/>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pPr>
    </w:p>
    <w:p w14:paraId="3DF1005B">
      <w:pPr>
        <w:pStyle w:val="6"/>
        <w:ind w:left="0" w:leftChars="0" w:firstLine="0" w:firstLineChars="0"/>
        <w:rPr>
          <w:rFonts w:hint="default"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11、</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投标人认为需要提供的其他资料（如有则自行拟定）</w:t>
      </w:r>
    </w:p>
    <w:p w14:paraId="6BCD1788">
      <w:pPr>
        <w:pStyle w:val="6"/>
        <w:pageBreakBefore w:val="0"/>
        <w:kinsoku/>
        <w:wordWrap/>
        <w:overflowPunct/>
        <w:topLinePunct w:val="0"/>
        <w:bidi w:val="0"/>
        <w:spacing w:beforeAutospacing="0" w:afterAutospacing="0" w:line="400" w:lineRule="exact"/>
        <w:rPr>
          <w:rFonts w:hint="eastAsia" w:ascii="宋体" w:hAnsi="宋体" w:eastAsia="宋体" w:cs="宋体"/>
          <w:sz w:val="24"/>
          <w:szCs w:val="24"/>
        </w:rPr>
      </w:pPr>
    </w:p>
    <w:p w14:paraId="47AC6F16">
      <w:pPr>
        <w:pStyle w:val="39"/>
        <w:pageBreakBefore w:val="0"/>
        <w:tabs>
          <w:tab w:val="left" w:pos="540"/>
          <w:tab w:val="left" w:pos="1080"/>
        </w:tabs>
        <w:kinsoku/>
        <w:wordWrap/>
        <w:overflowPunct/>
        <w:topLinePunct w:val="0"/>
        <w:bidi w:val="0"/>
        <w:spacing w:beforeAutospacing="0" w:afterAutospacing="0" w:line="400" w:lineRule="exact"/>
        <w:rPr>
          <w:rFonts w:hint="eastAsia" w:ascii="宋体" w:hAnsi="宋体" w:eastAsia="宋体" w:cs="宋体"/>
          <w:b/>
          <w:sz w:val="24"/>
          <w:szCs w:val="24"/>
          <w:highlight w:val="none"/>
        </w:rPr>
        <w:sectPr>
          <w:footerReference r:id="rId12" w:type="first"/>
          <w:footerReference r:id="rId11" w:type="default"/>
          <w:pgSz w:w="11906" w:h="16838"/>
          <w:pgMar w:top="1134" w:right="1814" w:bottom="1134" w:left="1814" w:header="851" w:footer="992" w:gutter="0"/>
          <w:pgNumType w:fmt="decimal"/>
          <w:cols w:space="720" w:num="1"/>
          <w:titlePg/>
          <w:docGrid w:type="lines" w:linePitch="312" w:charSpace="0"/>
        </w:sectPr>
      </w:pPr>
    </w:p>
    <w:p w14:paraId="41F66979">
      <w:pPr>
        <w:widowControl/>
        <w:spacing w:line="330" w:lineRule="atLeast"/>
        <w:jc w:val="center"/>
        <w:rPr>
          <w:rFonts w:hint="eastAsia" w:ascii="宋体" w:hAnsi="宋体" w:cs="宋体"/>
          <w:b/>
          <w:bCs/>
          <w:color w:val="000000"/>
          <w:kern w:val="0"/>
          <w:sz w:val="28"/>
          <w:szCs w:val="24"/>
        </w:rPr>
      </w:pPr>
      <w:r>
        <w:rPr>
          <w:rFonts w:hint="eastAsia" w:ascii="宋体" w:hAnsi="宋体" w:cs="宋体"/>
          <w:b/>
          <w:bCs/>
          <w:color w:val="000000"/>
          <w:kern w:val="0"/>
          <w:sz w:val="28"/>
          <w:szCs w:val="24"/>
        </w:rPr>
        <w:t>统计上大</w:t>
      </w:r>
      <w:r>
        <w:rPr>
          <w:rFonts w:hint="eastAsia" w:ascii="宋体" w:hAnsi="宋体" w:cs="宋体"/>
          <w:b/>
          <w:bCs/>
          <w:color w:val="000000"/>
          <w:kern w:val="0"/>
          <w:sz w:val="28"/>
          <w:szCs w:val="24"/>
          <w:lang w:eastAsia="zh-CN"/>
        </w:rPr>
        <w:t>小微</w:t>
      </w:r>
      <w:r>
        <w:rPr>
          <w:rFonts w:hint="eastAsia" w:ascii="宋体" w:hAnsi="宋体" w:cs="宋体"/>
          <w:b/>
          <w:bCs/>
          <w:color w:val="000000"/>
          <w:kern w:val="0"/>
          <w:sz w:val="28"/>
          <w:szCs w:val="24"/>
        </w:rPr>
        <w:t>微型企业划分标准</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C32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1163D9FB">
            <w:pPr>
              <w:widowControl/>
              <w:spacing w:line="240" w:lineRule="exact"/>
              <w:jc w:val="center"/>
              <w:rPr>
                <w:rFonts w:hint="eastAsia"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vAlign w:val="center"/>
          </w:tcPr>
          <w:p w14:paraId="27E680D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vAlign w:val="center"/>
          </w:tcPr>
          <w:p w14:paraId="2AAE132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计量</w:t>
            </w:r>
          </w:p>
          <w:p w14:paraId="31079155">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单位</w:t>
            </w:r>
          </w:p>
        </w:tc>
        <w:tc>
          <w:tcPr>
            <w:tcW w:w="1125" w:type="dxa"/>
            <w:vAlign w:val="center"/>
          </w:tcPr>
          <w:p w14:paraId="603219E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vAlign w:val="center"/>
          </w:tcPr>
          <w:p w14:paraId="1CDEDEE9">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vAlign w:val="center"/>
          </w:tcPr>
          <w:p w14:paraId="4951F06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vAlign w:val="center"/>
          </w:tcPr>
          <w:p w14:paraId="75DD437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1F50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1D852A5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vAlign w:val="center"/>
          </w:tcPr>
          <w:p w14:paraId="40A418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5EF2F0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E9C64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vAlign w:val="center"/>
          </w:tcPr>
          <w:p w14:paraId="572D272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vAlign w:val="center"/>
          </w:tcPr>
          <w:p w14:paraId="4073BDB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vAlign w:val="center"/>
          </w:tcPr>
          <w:p w14:paraId="2FF15B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4AAEE883">
        <w:tblPrEx>
          <w:tblCellMar>
            <w:top w:w="0" w:type="dxa"/>
            <w:left w:w="108" w:type="dxa"/>
            <w:bottom w:w="0" w:type="dxa"/>
            <w:right w:w="108" w:type="dxa"/>
          </w:tblCellMar>
        </w:tblPrEx>
        <w:trPr>
          <w:trHeight w:val="397" w:hRule="exact"/>
          <w:jc w:val="center"/>
        </w:trPr>
        <w:tc>
          <w:tcPr>
            <w:tcW w:w="2113" w:type="dxa"/>
            <w:vMerge w:val="restart"/>
            <w:vAlign w:val="center"/>
          </w:tcPr>
          <w:p w14:paraId="401AED0A">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vAlign w:val="center"/>
          </w:tcPr>
          <w:p w14:paraId="13C76C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4CD790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66BEA3C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3BB1E9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15534F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788716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4B55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49A6E82">
            <w:pPr>
              <w:widowControl/>
              <w:jc w:val="left"/>
              <w:rPr>
                <w:rFonts w:hint="eastAsia" w:ascii="宋体" w:hAnsi="宋体" w:cs="宋体"/>
                <w:color w:val="000000"/>
                <w:kern w:val="0"/>
                <w:sz w:val="18"/>
                <w:szCs w:val="18"/>
              </w:rPr>
            </w:pPr>
          </w:p>
        </w:tc>
        <w:tc>
          <w:tcPr>
            <w:tcW w:w="1369" w:type="dxa"/>
            <w:vAlign w:val="center"/>
          </w:tcPr>
          <w:p w14:paraId="0BA0D438">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495778F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8F1C3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vAlign w:val="center"/>
          </w:tcPr>
          <w:p w14:paraId="4CB3C6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vAlign w:val="center"/>
          </w:tcPr>
          <w:p w14:paraId="63CC44B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vAlign w:val="center"/>
          </w:tcPr>
          <w:p w14:paraId="08C5257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584C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1303400">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vAlign w:val="center"/>
          </w:tcPr>
          <w:p w14:paraId="215659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791E64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F094F2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Y≥80000</w:t>
            </w:r>
          </w:p>
        </w:tc>
        <w:tc>
          <w:tcPr>
            <w:tcW w:w="1701" w:type="dxa"/>
            <w:vAlign w:val="center"/>
          </w:tcPr>
          <w:p w14:paraId="595DE3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vAlign w:val="center"/>
          </w:tcPr>
          <w:p w14:paraId="7C1132D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vAlign w:val="center"/>
          </w:tcPr>
          <w:p w14:paraId="130C08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w:t>
            </w:r>
          </w:p>
        </w:tc>
      </w:tr>
      <w:tr w14:paraId="62E3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078B685">
            <w:pPr>
              <w:widowControl/>
              <w:jc w:val="left"/>
              <w:rPr>
                <w:rFonts w:hint="eastAsia" w:ascii="宋体" w:hAnsi="宋体" w:cs="宋体"/>
                <w:color w:val="000000"/>
                <w:kern w:val="0"/>
                <w:sz w:val="18"/>
                <w:szCs w:val="18"/>
              </w:rPr>
            </w:pPr>
          </w:p>
        </w:tc>
        <w:tc>
          <w:tcPr>
            <w:tcW w:w="1369" w:type="dxa"/>
            <w:vAlign w:val="center"/>
          </w:tcPr>
          <w:p w14:paraId="22946B8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198E9F6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6C348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Z≥80000</w:t>
            </w:r>
          </w:p>
        </w:tc>
        <w:tc>
          <w:tcPr>
            <w:tcW w:w="1701" w:type="dxa"/>
            <w:vAlign w:val="center"/>
          </w:tcPr>
          <w:p w14:paraId="207F899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vAlign w:val="center"/>
          </w:tcPr>
          <w:p w14:paraId="6116467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vAlign w:val="center"/>
          </w:tcPr>
          <w:p w14:paraId="18D3BA9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Z＜300</w:t>
            </w:r>
          </w:p>
        </w:tc>
      </w:tr>
      <w:tr w14:paraId="605D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F0C1E9">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vAlign w:val="center"/>
          </w:tcPr>
          <w:p w14:paraId="285F769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207A451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E4210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vAlign w:val="center"/>
          </w:tcPr>
          <w:p w14:paraId="707D83E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20≤X＜200</w:t>
            </w:r>
          </w:p>
        </w:tc>
        <w:tc>
          <w:tcPr>
            <w:tcW w:w="1426" w:type="dxa"/>
            <w:vAlign w:val="center"/>
          </w:tcPr>
          <w:p w14:paraId="70D6DB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vAlign w:val="center"/>
          </w:tcPr>
          <w:p w14:paraId="7D0A22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X＜5</w:t>
            </w:r>
          </w:p>
        </w:tc>
      </w:tr>
      <w:tr w14:paraId="4144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D15710">
            <w:pPr>
              <w:widowControl/>
              <w:jc w:val="left"/>
              <w:rPr>
                <w:rFonts w:hint="eastAsia" w:ascii="宋体" w:hAnsi="宋体" w:cs="宋体"/>
                <w:color w:val="000000"/>
                <w:kern w:val="0"/>
                <w:sz w:val="18"/>
                <w:szCs w:val="18"/>
              </w:rPr>
            </w:pPr>
          </w:p>
        </w:tc>
        <w:tc>
          <w:tcPr>
            <w:tcW w:w="1369" w:type="dxa"/>
            <w:vAlign w:val="center"/>
          </w:tcPr>
          <w:p w14:paraId="079B3D7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67F80E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DB8C1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Y≥40000</w:t>
            </w:r>
          </w:p>
        </w:tc>
        <w:tc>
          <w:tcPr>
            <w:tcW w:w="1701" w:type="dxa"/>
            <w:vAlign w:val="center"/>
          </w:tcPr>
          <w:p w14:paraId="57A0EC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vAlign w:val="center"/>
          </w:tcPr>
          <w:p w14:paraId="0B2F8D48">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vAlign w:val="center"/>
          </w:tcPr>
          <w:p w14:paraId="39D30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w:t>
            </w:r>
          </w:p>
        </w:tc>
      </w:tr>
      <w:tr w14:paraId="3193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5005BB">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vAlign w:val="center"/>
          </w:tcPr>
          <w:p w14:paraId="721358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EA26A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E3B0F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049EEFA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50≤X＜300</w:t>
            </w:r>
          </w:p>
        </w:tc>
        <w:tc>
          <w:tcPr>
            <w:tcW w:w="1426" w:type="dxa"/>
            <w:vAlign w:val="center"/>
          </w:tcPr>
          <w:p w14:paraId="1130872E">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vAlign w:val="center"/>
          </w:tcPr>
          <w:p w14:paraId="778DA19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27E0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068F22">
            <w:pPr>
              <w:widowControl/>
              <w:jc w:val="left"/>
              <w:rPr>
                <w:rFonts w:hint="eastAsia" w:ascii="宋体" w:hAnsi="宋体" w:cs="宋体"/>
                <w:color w:val="000000"/>
                <w:kern w:val="0"/>
                <w:sz w:val="18"/>
                <w:szCs w:val="18"/>
              </w:rPr>
            </w:pPr>
          </w:p>
        </w:tc>
        <w:tc>
          <w:tcPr>
            <w:tcW w:w="1369" w:type="dxa"/>
            <w:vAlign w:val="center"/>
          </w:tcPr>
          <w:p w14:paraId="6BBDD62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7C1586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2A31AF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w:t>
            </w:r>
          </w:p>
        </w:tc>
        <w:tc>
          <w:tcPr>
            <w:tcW w:w="1701" w:type="dxa"/>
            <w:vAlign w:val="center"/>
          </w:tcPr>
          <w:p w14:paraId="576FEA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vAlign w:val="center"/>
          </w:tcPr>
          <w:p w14:paraId="4FB28115">
            <w:pPr>
              <w:widowControl/>
              <w:ind w:left="-1" w:leftChars="-1" w:hanging="1"/>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vAlign w:val="center"/>
          </w:tcPr>
          <w:p w14:paraId="438B88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4A3D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A2A02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vAlign w:val="center"/>
          </w:tcPr>
          <w:p w14:paraId="646EC6D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02831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25D23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2453DE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6604811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6C92D4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26A7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64D7D3">
            <w:pPr>
              <w:widowControl/>
              <w:jc w:val="left"/>
              <w:rPr>
                <w:rFonts w:hint="eastAsia" w:ascii="宋体" w:hAnsi="宋体" w:cs="宋体"/>
                <w:color w:val="000000"/>
                <w:kern w:val="0"/>
                <w:sz w:val="18"/>
                <w:szCs w:val="18"/>
              </w:rPr>
            </w:pPr>
          </w:p>
        </w:tc>
        <w:tc>
          <w:tcPr>
            <w:tcW w:w="1369" w:type="dxa"/>
            <w:vAlign w:val="center"/>
          </w:tcPr>
          <w:p w14:paraId="64BF8EF9">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335401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4C02442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09FAC5C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vAlign w:val="center"/>
          </w:tcPr>
          <w:p w14:paraId="0B1353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vAlign w:val="center"/>
          </w:tcPr>
          <w:p w14:paraId="12BC71F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w:t>
            </w:r>
          </w:p>
        </w:tc>
      </w:tr>
      <w:tr w14:paraId="5332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CF1D444">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vAlign w:val="center"/>
          </w:tcPr>
          <w:p w14:paraId="0EA657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FB61D6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219BE06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w:t>
            </w:r>
          </w:p>
        </w:tc>
        <w:tc>
          <w:tcPr>
            <w:tcW w:w="1701" w:type="dxa"/>
            <w:vAlign w:val="center"/>
          </w:tcPr>
          <w:p w14:paraId="3CA2AFCE">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vAlign w:val="center"/>
          </w:tcPr>
          <w:p w14:paraId="676E56D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vAlign w:val="center"/>
          </w:tcPr>
          <w:p w14:paraId="582FD2C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1C37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729974D">
            <w:pPr>
              <w:widowControl/>
              <w:jc w:val="left"/>
              <w:rPr>
                <w:rFonts w:hint="eastAsia" w:ascii="宋体" w:hAnsi="宋体" w:cs="宋体"/>
                <w:color w:val="000000"/>
                <w:kern w:val="0"/>
                <w:sz w:val="18"/>
                <w:szCs w:val="18"/>
              </w:rPr>
            </w:pPr>
          </w:p>
        </w:tc>
        <w:tc>
          <w:tcPr>
            <w:tcW w:w="1369" w:type="dxa"/>
            <w:vAlign w:val="center"/>
          </w:tcPr>
          <w:p w14:paraId="4E02D0AC">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3877D1F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0D0ED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4D2AFB5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vAlign w:val="center"/>
          </w:tcPr>
          <w:p w14:paraId="6CA7751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7968C59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77360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705EFA">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vAlign w:val="center"/>
          </w:tcPr>
          <w:p w14:paraId="4C712E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608424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33B5E3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60D561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6CCAE1A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vAlign w:val="center"/>
          </w:tcPr>
          <w:p w14:paraId="44A4BA4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w:t>
            </w:r>
          </w:p>
        </w:tc>
      </w:tr>
      <w:tr w14:paraId="2F56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D44DB7F">
            <w:pPr>
              <w:widowControl/>
              <w:jc w:val="left"/>
              <w:rPr>
                <w:rFonts w:hint="eastAsia" w:ascii="宋体" w:hAnsi="宋体" w:cs="宋体"/>
                <w:color w:val="000000"/>
                <w:kern w:val="0"/>
                <w:sz w:val="18"/>
                <w:szCs w:val="18"/>
              </w:rPr>
            </w:pPr>
          </w:p>
        </w:tc>
        <w:tc>
          <w:tcPr>
            <w:tcW w:w="1369" w:type="dxa"/>
            <w:vAlign w:val="center"/>
          </w:tcPr>
          <w:p w14:paraId="219F11F2">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75C592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FB3FC8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Y≥30000</w:t>
            </w:r>
          </w:p>
        </w:tc>
        <w:tc>
          <w:tcPr>
            <w:tcW w:w="1701" w:type="dxa"/>
            <w:vAlign w:val="center"/>
          </w:tcPr>
          <w:p w14:paraId="3A11407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vAlign w:val="center"/>
          </w:tcPr>
          <w:p w14:paraId="7A17335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43E4C0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22D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654C15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vAlign w:val="center"/>
          </w:tcPr>
          <w:p w14:paraId="7C4DA40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2FD0CD5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F12CF6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7E9FA12A">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71B157D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215EA4A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35AD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B24D36">
            <w:pPr>
              <w:widowControl/>
              <w:jc w:val="left"/>
              <w:rPr>
                <w:rFonts w:hint="eastAsia" w:ascii="宋体" w:hAnsi="宋体" w:cs="宋体"/>
                <w:color w:val="000000"/>
                <w:kern w:val="0"/>
                <w:sz w:val="18"/>
                <w:szCs w:val="18"/>
              </w:rPr>
            </w:pPr>
          </w:p>
        </w:tc>
        <w:tc>
          <w:tcPr>
            <w:tcW w:w="1369" w:type="dxa"/>
            <w:vAlign w:val="center"/>
          </w:tcPr>
          <w:p w14:paraId="59F6BC1D">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6E8B571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6ECF24B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6CADE1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vAlign w:val="center"/>
          </w:tcPr>
          <w:p w14:paraId="4BADD19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41B7F65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58F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91556D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vAlign w:val="center"/>
          </w:tcPr>
          <w:p w14:paraId="476A360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C3DCB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D1128A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3BD83DC9">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627E25D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25CDF3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0B78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5E4E00E">
            <w:pPr>
              <w:widowControl/>
              <w:jc w:val="left"/>
              <w:rPr>
                <w:rFonts w:hint="eastAsia" w:ascii="宋体" w:hAnsi="宋体" w:cs="宋体"/>
                <w:color w:val="000000"/>
                <w:kern w:val="0"/>
                <w:sz w:val="18"/>
                <w:szCs w:val="18"/>
              </w:rPr>
            </w:pPr>
          </w:p>
        </w:tc>
        <w:tc>
          <w:tcPr>
            <w:tcW w:w="1369" w:type="dxa"/>
            <w:vAlign w:val="center"/>
          </w:tcPr>
          <w:p w14:paraId="5392004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65757BD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85150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5CEB1C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vAlign w:val="center"/>
          </w:tcPr>
          <w:p w14:paraId="14557CB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vAlign w:val="center"/>
          </w:tcPr>
          <w:p w14:paraId="0738705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3753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D4AB24D">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vAlign w:val="center"/>
          </w:tcPr>
          <w:p w14:paraId="6A3826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1D05C7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5B04D0B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X≥2000</w:t>
            </w:r>
          </w:p>
        </w:tc>
        <w:tc>
          <w:tcPr>
            <w:tcW w:w="1701" w:type="dxa"/>
            <w:vAlign w:val="center"/>
          </w:tcPr>
          <w:p w14:paraId="69E31E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vAlign w:val="center"/>
          </w:tcPr>
          <w:p w14:paraId="79FC4A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3247ED4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40AAC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6B67346">
            <w:pPr>
              <w:widowControl/>
              <w:jc w:val="left"/>
              <w:rPr>
                <w:rFonts w:hint="eastAsia" w:ascii="宋体" w:hAnsi="宋体" w:cs="宋体"/>
                <w:color w:val="000000"/>
                <w:kern w:val="0"/>
                <w:sz w:val="18"/>
                <w:szCs w:val="18"/>
              </w:rPr>
            </w:pPr>
          </w:p>
        </w:tc>
        <w:tc>
          <w:tcPr>
            <w:tcW w:w="1369" w:type="dxa"/>
            <w:vAlign w:val="center"/>
          </w:tcPr>
          <w:p w14:paraId="7601F47E">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44C80FA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19B8689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vAlign w:val="center"/>
          </w:tcPr>
          <w:p w14:paraId="218A61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vAlign w:val="center"/>
          </w:tcPr>
          <w:p w14:paraId="0BF67F9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65D3D4C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5EF9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4722103">
            <w:pPr>
              <w:widowControl/>
              <w:spacing w:line="240" w:lineRule="exact"/>
              <w:jc w:val="left"/>
              <w:rPr>
                <w:rFonts w:hint="eastAsia"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vAlign w:val="center"/>
          </w:tcPr>
          <w:p w14:paraId="7CDA08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153A77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C11916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1F108734">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14DEFCF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5E20A22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5D76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7DC053D">
            <w:pPr>
              <w:widowControl/>
              <w:jc w:val="left"/>
              <w:rPr>
                <w:rFonts w:hint="eastAsia" w:ascii="宋体" w:hAnsi="宋体" w:cs="宋体"/>
                <w:color w:val="000000"/>
                <w:spacing w:val="-12"/>
                <w:kern w:val="0"/>
                <w:sz w:val="18"/>
                <w:szCs w:val="18"/>
              </w:rPr>
            </w:pPr>
          </w:p>
        </w:tc>
        <w:tc>
          <w:tcPr>
            <w:tcW w:w="1369" w:type="dxa"/>
            <w:vAlign w:val="center"/>
          </w:tcPr>
          <w:p w14:paraId="60705D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6717750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7263D13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Y≥10000</w:t>
            </w:r>
          </w:p>
        </w:tc>
        <w:tc>
          <w:tcPr>
            <w:tcW w:w="1701" w:type="dxa"/>
            <w:vAlign w:val="center"/>
          </w:tcPr>
          <w:p w14:paraId="2BA085D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vAlign w:val="center"/>
          </w:tcPr>
          <w:p w14:paraId="4CE87E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vAlign w:val="center"/>
          </w:tcPr>
          <w:p w14:paraId="761B17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w:t>
            </w:r>
          </w:p>
        </w:tc>
      </w:tr>
      <w:tr w14:paraId="04E3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FC8259">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vAlign w:val="center"/>
          </w:tcPr>
          <w:p w14:paraId="34D9DF8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1DCFB4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5EE051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vAlign w:val="center"/>
          </w:tcPr>
          <w:p w14:paraId="5636B3E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vAlign w:val="center"/>
          </w:tcPr>
          <w:p w14:paraId="70445DF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vAlign w:val="center"/>
          </w:tcPr>
          <w:p w14:paraId="04A70BC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Y＜100</w:t>
            </w:r>
          </w:p>
        </w:tc>
      </w:tr>
      <w:tr w14:paraId="6C87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25E3DAC">
            <w:pPr>
              <w:widowControl/>
              <w:jc w:val="left"/>
              <w:rPr>
                <w:rFonts w:hint="eastAsia" w:ascii="宋体" w:hAnsi="宋体" w:cs="宋体"/>
                <w:color w:val="000000"/>
                <w:kern w:val="0"/>
                <w:sz w:val="18"/>
                <w:szCs w:val="18"/>
              </w:rPr>
            </w:pPr>
          </w:p>
        </w:tc>
        <w:tc>
          <w:tcPr>
            <w:tcW w:w="1369" w:type="dxa"/>
            <w:vAlign w:val="center"/>
          </w:tcPr>
          <w:p w14:paraId="1B5B4137">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1EE495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04DEB3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Z≥10000</w:t>
            </w:r>
          </w:p>
        </w:tc>
        <w:tc>
          <w:tcPr>
            <w:tcW w:w="1701" w:type="dxa"/>
            <w:vAlign w:val="center"/>
          </w:tcPr>
          <w:p w14:paraId="18127D4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vAlign w:val="center"/>
          </w:tcPr>
          <w:p w14:paraId="4B4BD6A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vAlign w:val="center"/>
          </w:tcPr>
          <w:p w14:paraId="4543746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Z＜2000</w:t>
            </w:r>
          </w:p>
        </w:tc>
      </w:tr>
      <w:tr w14:paraId="1E2A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3126625">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vAlign w:val="center"/>
          </w:tcPr>
          <w:p w14:paraId="223D793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7121D88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64978CE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X≥1000</w:t>
            </w:r>
          </w:p>
        </w:tc>
        <w:tc>
          <w:tcPr>
            <w:tcW w:w="1701" w:type="dxa"/>
            <w:vAlign w:val="center"/>
          </w:tcPr>
          <w:p w14:paraId="6F73E9F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vAlign w:val="center"/>
          </w:tcPr>
          <w:p w14:paraId="530DB3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vAlign w:val="center"/>
          </w:tcPr>
          <w:p w14:paraId="0E8C4A8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X＜100</w:t>
            </w:r>
          </w:p>
        </w:tc>
      </w:tr>
      <w:tr w14:paraId="6859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ED0CA46">
            <w:pPr>
              <w:widowControl/>
              <w:jc w:val="left"/>
              <w:rPr>
                <w:rFonts w:hint="eastAsia" w:ascii="宋体" w:hAnsi="宋体" w:cs="宋体"/>
                <w:color w:val="000000"/>
                <w:kern w:val="0"/>
                <w:sz w:val="18"/>
                <w:szCs w:val="18"/>
              </w:rPr>
            </w:pPr>
          </w:p>
        </w:tc>
        <w:tc>
          <w:tcPr>
            <w:tcW w:w="1369" w:type="dxa"/>
            <w:vAlign w:val="center"/>
          </w:tcPr>
          <w:p w14:paraId="5861C053">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vAlign w:val="center"/>
          </w:tcPr>
          <w:p w14:paraId="57FBB5E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370E607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Y≥5000</w:t>
            </w:r>
          </w:p>
        </w:tc>
        <w:tc>
          <w:tcPr>
            <w:tcW w:w="1701" w:type="dxa"/>
            <w:vAlign w:val="center"/>
          </w:tcPr>
          <w:p w14:paraId="12455E18">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vAlign w:val="center"/>
          </w:tcPr>
          <w:p w14:paraId="4F4373D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vAlign w:val="center"/>
          </w:tcPr>
          <w:p w14:paraId="4B849F4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Y＜500</w:t>
            </w:r>
          </w:p>
        </w:tc>
      </w:tr>
      <w:tr w14:paraId="1920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6B8C6DF">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vAlign w:val="center"/>
          </w:tcPr>
          <w:p w14:paraId="6F4FE57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45A50A0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07D50E4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73990E05">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002FD96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362CB8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r w14:paraId="4114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3536F52">
            <w:pPr>
              <w:widowControl/>
              <w:jc w:val="left"/>
              <w:rPr>
                <w:rFonts w:hint="eastAsia" w:ascii="宋体" w:hAnsi="宋体" w:cs="宋体"/>
                <w:color w:val="000000"/>
                <w:kern w:val="0"/>
                <w:sz w:val="18"/>
                <w:szCs w:val="18"/>
              </w:rPr>
            </w:pPr>
          </w:p>
        </w:tc>
        <w:tc>
          <w:tcPr>
            <w:tcW w:w="1369" w:type="dxa"/>
            <w:vAlign w:val="center"/>
          </w:tcPr>
          <w:p w14:paraId="71EEE125">
            <w:pPr>
              <w:widowControl/>
              <w:spacing w:line="24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vAlign w:val="center"/>
          </w:tcPr>
          <w:p w14:paraId="6D50D0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万元</w:t>
            </w:r>
          </w:p>
        </w:tc>
        <w:tc>
          <w:tcPr>
            <w:tcW w:w="1125" w:type="dxa"/>
            <w:vAlign w:val="center"/>
          </w:tcPr>
          <w:p w14:paraId="2A42EB4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vAlign w:val="center"/>
          </w:tcPr>
          <w:p w14:paraId="16883EF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vAlign w:val="center"/>
          </w:tcPr>
          <w:p w14:paraId="43C8240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vAlign w:val="center"/>
          </w:tcPr>
          <w:p w14:paraId="29F3020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Z＜100</w:t>
            </w:r>
          </w:p>
        </w:tc>
      </w:tr>
      <w:tr w14:paraId="2987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0146DD2">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vAlign w:val="center"/>
          </w:tcPr>
          <w:p w14:paraId="79A06D2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vAlign w:val="center"/>
          </w:tcPr>
          <w:p w14:paraId="32CF291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人</w:t>
            </w:r>
          </w:p>
        </w:tc>
        <w:tc>
          <w:tcPr>
            <w:tcW w:w="1125" w:type="dxa"/>
            <w:vAlign w:val="center"/>
          </w:tcPr>
          <w:p w14:paraId="71D5F1E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X≥300</w:t>
            </w:r>
          </w:p>
        </w:tc>
        <w:tc>
          <w:tcPr>
            <w:tcW w:w="1701" w:type="dxa"/>
            <w:vAlign w:val="center"/>
          </w:tcPr>
          <w:p w14:paraId="4E1A8EC6">
            <w:pPr>
              <w:widowControl/>
              <w:ind w:left="1" w:leftChars="-51" w:hanging="108" w:hangingChars="60"/>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vAlign w:val="center"/>
          </w:tcPr>
          <w:p w14:paraId="5EDDE4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vAlign w:val="center"/>
          </w:tcPr>
          <w:p w14:paraId="6897DE3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X＜10</w:t>
            </w:r>
          </w:p>
        </w:tc>
      </w:tr>
    </w:tbl>
    <w:p w14:paraId="5F83185C">
      <w:pPr>
        <w:widowControl/>
        <w:spacing w:line="540" w:lineRule="exact"/>
        <w:ind w:firstLine="226" w:firstLineChars="100"/>
        <w:rPr>
          <w:rFonts w:hint="eastAsia" w:ascii="宋体" w:hAnsi="宋体" w:cs="宋体"/>
          <w:color w:val="000000"/>
          <w:spacing w:val="8"/>
          <w:kern w:val="0"/>
          <w:szCs w:val="21"/>
        </w:rPr>
      </w:pPr>
      <w:r>
        <w:rPr>
          <w:rFonts w:hint="eastAsia" w:ascii="宋体" w:hAnsi="宋体" w:cs="宋体"/>
          <w:color w:val="000000"/>
          <w:spacing w:val="8"/>
          <w:kern w:val="0"/>
          <w:szCs w:val="21"/>
        </w:rPr>
        <w:t>说明：</w:t>
      </w:r>
    </w:p>
    <w:p w14:paraId="78B9ABC8">
      <w:pPr>
        <w:spacing w:line="540" w:lineRule="exact"/>
        <w:rPr>
          <w:rFonts w:hint="eastAsia" w:ascii="宋体" w:hAnsi="宋体" w:cs="宋体"/>
          <w:color w:val="000000"/>
          <w:spacing w:val="8"/>
          <w:kern w:val="0"/>
          <w:szCs w:val="21"/>
        </w:rPr>
      </w:pPr>
      <w:r>
        <w:rPr>
          <w:rFonts w:hint="eastAsia" w:ascii="宋体" w:hAnsi="宋体" w:cs="宋体"/>
          <w:color w:val="000000"/>
          <w:spacing w:val="8"/>
          <w:kern w:val="0"/>
          <w:szCs w:val="21"/>
        </w:rPr>
        <w:t>　　1.大型、中型和小型企业须同时满足所列指标的下限，否则下划一档；微型企业只须满足所列指标中的一项即可。</w:t>
      </w:r>
    </w:p>
    <w:p w14:paraId="2D96D82F">
      <w:pPr>
        <w:spacing w:line="540" w:lineRule="exact"/>
        <w:rPr>
          <w:rFonts w:hint="eastAsia" w:ascii="宋体" w:hAnsi="宋体" w:cs="宋体"/>
          <w:color w:val="000000"/>
          <w:spacing w:val="8"/>
          <w:kern w:val="0"/>
          <w:szCs w:val="21"/>
        </w:rPr>
      </w:pPr>
      <w:r>
        <w:rPr>
          <w:rFonts w:hint="eastAsia" w:ascii="宋体" w:hAnsi="宋体" w:cs="宋体"/>
          <w:color w:val="000000"/>
          <w:spacing w:val="8"/>
          <w:kern w:val="0"/>
          <w:szCs w:val="21"/>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3B4EF94">
      <w:pPr>
        <w:spacing w:line="540" w:lineRule="exact"/>
        <w:ind w:firstLine="452" w:firstLineChars="200"/>
        <w:rPr>
          <w:rFonts w:hint="eastAsia" w:ascii="宋体" w:hAnsi="宋体" w:cs="宋体"/>
          <w:color w:val="000000"/>
          <w:spacing w:val="8"/>
          <w:kern w:val="0"/>
          <w:szCs w:val="21"/>
        </w:rPr>
      </w:pPr>
      <w:r>
        <w:rPr>
          <w:rFonts w:hint="eastAsia" w:ascii="宋体" w:hAnsi="宋体" w:cs="宋体"/>
          <w:color w:val="000000"/>
          <w:spacing w:val="8"/>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7EE70F2">
      <w:pPr>
        <w:rPr>
          <w:rFonts w:hint="eastAsia"/>
        </w:rPr>
      </w:pPr>
    </w:p>
    <w:sectPr>
      <w:footerReference r:id="rId13" w:type="default"/>
      <w:pgSz w:w="11906" w:h="16838"/>
      <w:pgMar w:top="1559" w:right="1416" w:bottom="1134" w:left="1560" w:header="851" w:footer="68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5CA1060-3DF8-4D23-A6BF-23C3A5A80E6C}"/>
  </w:font>
  <w:font w:name="黑体">
    <w:panose1 w:val="02010609060101010101"/>
    <w:charset w:val="86"/>
    <w:family w:val="auto"/>
    <w:pitch w:val="default"/>
    <w:sig w:usb0="800002BF" w:usb1="38CF7CFA" w:usb2="00000016" w:usb3="00000000" w:csb0="00040001" w:csb1="00000000"/>
    <w:embedRegular r:id="rId2" w:fontKey="{3E93E424-8A05-41F3-8BE1-AF3BB1AEF5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embedRegular r:id="rId3" w:fontKey="{A5CDBB53-681E-4A7F-A9A8-2E96C256DDC3}"/>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679CF8DF-265D-415C-A649-1CCA60C469A7}"/>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5" w:fontKey="{82F6F65F-2865-4435-839A-BB55D3DE584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B74F">
    <w:pPr>
      <w:pStyle w:val="15"/>
      <w:tabs>
        <w:tab w:val="left" w:pos="5201"/>
        <w:tab w:val="clear" w:pos="4153"/>
      </w:tabs>
      <w:ind w:firstLine="3960" w:firstLineChars="2200"/>
      <w:rPr>
        <w:rFonts w:hint="default" w:eastAsia="宋体"/>
        <w:lang w:val="en-US" w:eastAsia="zh-C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A9BC">
    <w:pPr>
      <w:pStyle w:val="15"/>
      <w:ind w:right="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C428C">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73C428C">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D69F6">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935A9">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2928C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2928C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ECEF2">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4406900</wp:posOffset>
              </wp:positionH>
              <wp:positionV relativeFrom="paragraph">
                <wp:posOffset>-309245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6575E4">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7pt;margin-top:-24.35pt;height:144pt;width:144pt;mso-position-horizontal-relative:margin;mso-wrap-style:none;z-index:251660288;mso-width-relative:page;mso-height-relative:page;" filled="f" stroked="f" coordsize="21600,21600" o:gfxdata="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lUX22QAAAAsBAAAPAAAAAAAAAAEAIAAAACIAAABkcnMvZG93bnJldi54&#10;bWxQSwECFAAUAAAACACHTuJA4YDTjjICAABhBAAADgAAAAAAAAABACAAAAAoAQAAZHJzL2Uyb0Rv&#10;Yy54bWxQSwUGAAAAAAYABgBZAQAAzAUAAAAA&#10;">
              <v:fill on="f" focussize="0,0"/>
              <v:stroke on="f" weight="0.5pt"/>
              <v:imagedata o:title=""/>
              <o:lock v:ext="edit" aspectratio="f"/>
              <v:textbox inset="0mm,0mm,0mm,0mm" style="mso-fit-shape-to-text:t;">
                <w:txbxContent>
                  <w:p w14:paraId="6A6575E4">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1C065">
    <w:pPr>
      <w:pStyle w:val="15"/>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D909B">
                          <w:pPr>
                            <w:pStyle w:val="1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5D909B">
                    <w:pPr>
                      <w:pStyle w:val="1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211A1">
    <w:pPr>
      <w:pStyle w:val="15"/>
      <w:ind w:right="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701FC4">
                          <w:pPr>
                            <w:pStyle w:val="15"/>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701FC4">
                    <w:pPr>
                      <w:pStyle w:val="15"/>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4F7BD">
    <w:pPr>
      <w:pStyle w:val="15"/>
      <w:tabs>
        <w:tab w:val="left" w:pos="5201"/>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24056">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9D24056">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7465F">
    <w:pPr>
      <w:pStyle w:val="15"/>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1D472">
                          <w:pPr>
                            <w:pStyle w:val="15"/>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841D472">
                    <w:pPr>
                      <w:pStyle w:val="15"/>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2CD5B">
    <w:pPr>
      <w:pStyle w:val="15"/>
      <w:tabs>
        <w:tab w:val="left" w:pos="5201"/>
        <w:tab w:val="clear" w:pos="4153"/>
      </w:tabs>
      <w:ind w:firstLine="3960" w:firstLineChars="2200"/>
      <w:rPr>
        <w:rFonts w:hint="default" w:eastAsia="宋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67EE34">
                          <w:pPr>
                            <w:pStyle w:val="15"/>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167EE34">
                    <w:pPr>
                      <w:pStyle w:val="15"/>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E29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6D9629"/>
    <w:multiLevelType w:val="singleLevel"/>
    <w:tmpl w:val="8D6D9629"/>
    <w:lvl w:ilvl="0" w:tentative="0">
      <w:start w:val="1"/>
      <w:numFmt w:val="decimal"/>
      <w:suff w:val="nothing"/>
      <w:lvlText w:val="%1、"/>
      <w:lvlJc w:val="left"/>
    </w:lvl>
  </w:abstractNum>
  <w:abstractNum w:abstractNumId="1">
    <w:nsid w:val="0FCC1C4A"/>
    <w:multiLevelType w:val="singleLevel"/>
    <w:tmpl w:val="0FCC1C4A"/>
    <w:lvl w:ilvl="0" w:tentative="0">
      <w:start w:val="5"/>
      <w:numFmt w:val="chineseCounting"/>
      <w:suff w:val="space"/>
      <w:lvlText w:val="第%1章"/>
      <w:lvlJc w:val="left"/>
      <w:rPr>
        <w:rFonts w:hint="eastAsia"/>
      </w:rPr>
    </w:lvl>
  </w:abstractNum>
  <w:abstractNum w:abstractNumId="2">
    <w:nsid w:val="2F5B17AE"/>
    <w:multiLevelType w:val="singleLevel"/>
    <w:tmpl w:val="2F5B17AE"/>
    <w:lvl w:ilvl="0" w:tentative="0">
      <w:start w:val="1"/>
      <w:numFmt w:val="decimal"/>
      <w:lvlText w:val="%1."/>
      <w:lvlJc w:val="left"/>
      <w:pPr>
        <w:tabs>
          <w:tab w:val="left" w:pos="312"/>
        </w:tabs>
      </w:pPr>
    </w:lvl>
  </w:abstractNum>
  <w:abstractNum w:abstractNumId="3">
    <w:nsid w:val="57A9A282"/>
    <w:multiLevelType w:val="singleLevel"/>
    <w:tmpl w:val="57A9A282"/>
    <w:lvl w:ilvl="0" w:tentative="0">
      <w:start w:val="3"/>
      <w:numFmt w:val="decimal"/>
      <w:suff w:val="nothing"/>
      <w:lvlText w:val="%1、"/>
      <w:lvlJc w:val="left"/>
    </w:lvl>
  </w:abstractNum>
  <w:abstractNum w:abstractNumId="4">
    <w:nsid w:val="7C9C417E"/>
    <w:multiLevelType w:val="singleLevel"/>
    <w:tmpl w:val="7C9C417E"/>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NDIwN2M2ODljYmVjN2ZmM2NiOGFkNDlmMDNhNzQifQ=="/>
  </w:docVars>
  <w:rsids>
    <w:rsidRoot w:val="595C61D5"/>
    <w:rsid w:val="000B44D3"/>
    <w:rsid w:val="000F6A86"/>
    <w:rsid w:val="00101AE9"/>
    <w:rsid w:val="00207A14"/>
    <w:rsid w:val="00264E69"/>
    <w:rsid w:val="002E01C1"/>
    <w:rsid w:val="003550AC"/>
    <w:rsid w:val="003D3F8C"/>
    <w:rsid w:val="0047478A"/>
    <w:rsid w:val="00496DA9"/>
    <w:rsid w:val="004C6C27"/>
    <w:rsid w:val="004E2611"/>
    <w:rsid w:val="005D2854"/>
    <w:rsid w:val="00610597"/>
    <w:rsid w:val="00663916"/>
    <w:rsid w:val="0066795B"/>
    <w:rsid w:val="00703122"/>
    <w:rsid w:val="00846033"/>
    <w:rsid w:val="008B7D2A"/>
    <w:rsid w:val="008C6C96"/>
    <w:rsid w:val="008F10D7"/>
    <w:rsid w:val="00903BBE"/>
    <w:rsid w:val="00930024"/>
    <w:rsid w:val="00942B50"/>
    <w:rsid w:val="009A4CCE"/>
    <w:rsid w:val="009A7605"/>
    <w:rsid w:val="00A364B9"/>
    <w:rsid w:val="00A52A4E"/>
    <w:rsid w:val="00A853AD"/>
    <w:rsid w:val="00AB7A64"/>
    <w:rsid w:val="00B20DF2"/>
    <w:rsid w:val="00B5443F"/>
    <w:rsid w:val="00BF706B"/>
    <w:rsid w:val="00CD79DA"/>
    <w:rsid w:val="00CF2BFF"/>
    <w:rsid w:val="00D47748"/>
    <w:rsid w:val="00D64AE1"/>
    <w:rsid w:val="00DB20F7"/>
    <w:rsid w:val="00E100E8"/>
    <w:rsid w:val="00E32D5A"/>
    <w:rsid w:val="00E46AD2"/>
    <w:rsid w:val="00E52F76"/>
    <w:rsid w:val="00EB60B2"/>
    <w:rsid w:val="00EC00DA"/>
    <w:rsid w:val="00F22F9D"/>
    <w:rsid w:val="0102159D"/>
    <w:rsid w:val="01065BD1"/>
    <w:rsid w:val="010A478A"/>
    <w:rsid w:val="01101675"/>
    <w:rsid w:val="011473B7"/>
    <w:rsid w:val="01176EA7"/>
    <w:rsid w:val="011E3D92"/>
    <w:rsid w:val="01347A59"/>
    <w:rsid w:val="013730A5"/>
    <w:rsid w:val="01395070"/>
    <w:rsid w:val="013C246A"/>
    <w:rsid w:val="01415CD2"/>
    <w:rsid w:val="01453A14"/>
    <w:rsid w:val="014572F8"/>
    <w:rsid w:val="01487061"/>
    <w:rsid w:val="014A102B"/>
    <w:rsid w:val="015123B9"/>
    <w:rsid w:val="01545A05"/>
    <w:rsid w:val="0159126E"/>
    <w:rsid w:val="016054B8"/>
    <w:rsid w:val="016112EA"/>
    <w:rsid w:val="01675739"/>
    <w:rsid w:val="01695955"/>
    <w:rsid w:val="01730582"/>
    <w:rsid w:val="01763F6E"/>
    <w:rsid w:val="017E6677"/>
    <w:rsid w:val="01877B89"/>
    <w:rsid w:val="01995B0E"/>
    <w:rsid w:val="01AA357A"/>
    <w:rsid w:val="01B3097E"/>
    <w:rsid w:val="01B97F5E"/>
    <w:rsid w:val="01BB3CD7"/>
    <w:rsid w:val="01C54B55"/>
    <w:rsid w:val="01CC2BB3"/>
    <w:rsid w:val="01CD25B7"/>
    <w:rsid w:val="01CD4D28"/>
    <w:rsid w:val="01D9415D"/>
    <w:rsid w:val="01DF79C5"/>
    <w:rsid w:val="01E557E7"/>
    <w:rsid w:val="01EA636A"/>
    <w:rsid w:val="01F66ABD"/>
    <w:rsid w:val="01F66C28"/>
    <w:rsid w:val="01FA47FF"/>
    <w:rsid w:val="01FD3617"/>
    <w:rsid w:val="02035593"/>
    <w:rsid w:val="02105DD0"/>
    <w:rsid w:val="0213766F"/>
    <w:rsid w:val="021A0C65"/>
    <w:rsid w:val="021E42F5"/>
    <w:rsid w:val="02315AF4"/>
    <w:rsid w:val="02327E75"/>
    <w:rsid w:val="024B505A"/>
    <w:rsid w:val="024B6E08"/>
    <w:rsid w:val="024E4B4B"/>
    <w:rsid w:val="02514D1B"/>
    <w:rsid w:val="02543B44"/>
    <w:rsid w:val="025D08EA"/>
    <w:rsid w:val="028A501C"/>
    <w:rsid w:val="028D5673"/>
    <w:rsid w:val="029C7664"/>
    <w:rsid w:val="02A1522A"/>
    <w:rsid w:val="02A604E3"/>
    <w:rsid w:val="02B0310F"/>
    <w:rsid w:val="02B53F97"/>
    <w:rsid w:val="02BF068B"/>
    <w:rsid w:val="02BF3353"/>
    <w:rsid w:val="02C00827"/>
    <w:rsid w:val="02C1531D"/>
    <w:rsid w:val="02C31095"/>
    <w:rsid w:val="02D36DFE"/>
    <w:rsid w:val="02D432A2"/>
    <w:rsid w:val="02D50DC8"/>
    <w:rsid w:val="02DA4630"/>
    <w:rsid w:val="02E37041"/>
    <w:rsid w:val="02EB264D"/>
    <w:rsid w:val="02ED7EC0"/>
    <w:rsid w:val="02FA438B"/>
    <w:rsid w:val="03004097"/>
    <w:rsid w:val="03105C95"/>
    <w:rsid w:val="0317318F"/>
    <w:rsid w:val="031E020B"/>
    <w:rsid w:val="031F2043"/>
    <w:rsid w:val="032A4C70"/>
    <w:rsid w:val="03321EFC"/>
    <w:rsid w:val="03324053"/>
    <w:rsid w:val="033B4AE2"/>
    <w:rsid w:val="033B50CF"/>
    <w:rsid w:val="033C54A4"/>
    <w:rsid w:val="033D2D9E"/>
    <w:rsid w:val="033E071B"/>
    <w:rsid w:val="03435D32"/>
    <w:rsid w:val="03443858"/>
    <w:rsid w:val="034E3CB1"/>
    <w:rsid w:val="034F46D6"/>
    <w:rsid w:val="03547F3F"/>
    <w:rsid w:val="03587717"/>
    <w:rsid w:val="035A09FF"/>
    <w:rsid w:val="036068E4"/>
    <w:rsid w:val="0365214C"/>
    <w:rsid w:val="036C2D55"/>
    <w:rsid w:val="03710AF1"/>
    <w:rsid w:val="03722553"/>
    <w:rsid w:val="03766107"/>
    <w:rsid w:val="037C7496"/>
    <w:rsid w:val="038A1272"/>
    <w:rsid w:val="03907D82"/>
    <w:rsid w:val="039B5B6E"/>
    <w:rsid w:val="039B791C"/>
    <w:rsid w:val="039C5442"/>
    <w:rsid w:val="03AA7B5F"/>
    <w:rsid w:val="03AB423B"/>
    <w:rsid w:val="03AD5E0D"/>
    <w:rsid w:val="03AE3AF3"/>
    <w:rsid w:val="03B37E16"/>
    <w:rsid w:val="03B629A7"/>
    <w:rsid w:val="03B76654"/>
    <w:rsid w:val="03C74BB5"/>
    <w:rsid w:val="03D1333D"/>
    <w:rsid w:val="03E80687"/>
    <w:rsid w:val="03EA3FD0"/>
    <w:rsid w:val="03F434D0"/>
    <w:rsid w:val="03F4702C"/>
    <w:rsid w:val="03FD011D"/>
    <w:rsid w:val="03FD05D6"/>
    <w:rsid w:val="03FE7EAB"/>
    <w:rsid w:val="04030F36"/>
    <w:rsid w:val="04035740"/>
    <w:rsid w:val="04253689"/>
    <w:rsid w:val="0430667E"/>
    <w:rsid w:val="0434636C"/>
    <w:rsid w:val="043858E1"/>
    <w:rsid w:val="04390EE3"/>
    <w:rsid w:val="043A35D9"/>
    <w:rsid w:val="043B1F2D"/>
    <w:rsid w:val="043D11AF"/>
    <w:rsid w:val="04441D61"/>
    <w:rsid w:val="04471852"/>
    <w:rsid w:val="04477AA3"/>
    <w:rsid w:val="04483997"/>
    <w:rsid w:val="044E498E"/>
    <w:rsid w:val="0452341B"/>
    <w:rsid w:val="045A1585"/>
    <w:rsid w:val="045D2E23"/>
    <w:rsid w:val="04626F09"/>
    <w:rsid w:val="046879C6"/>
    <w:rsid w:val="047A39D5"/>
    <w:rsid w:val="047C774D"/>
    <w:rsid w:val="04934A97"/>
    <w:rsid w:val="049525BD"/>
    <w:rsid w:val="04956A61"/>
    <w:rsid w:val="049D5915"/>
    <w:rsid w:val="049D615B"/>
    <w:rsid w:val="04A96068"/>
    <w:rsid w:val="04B36EE7"/>
    <w:rsid w:val="04B47759"/>
    <w:rsid w:val="04B54A0D"/>
    <w:rsid w:val="04B65370"/>
    <w:rsid w:val="04B844FD"/>
    <w:rsid w:val="04B9536B"/>
    <w:rsid w:val="04BA2023"/>
    <w:rsid w:val="04BC5D9C"/>
    <w:rsid w:val="04BE01A4"/>
    <w:rsid w:val="04BF763A"/>
    <w:rsid w:val="04C3017D"/>
    <w:rsid w:val="04C609C8"/>
    <w:rsid w:val="04C9495C"/>
    <w:rsid w:val="04CE63E3"/>
    <w:rsid w:val="04D035F5"/>
    <w:rsid w:val="04D3719B"/>
    <w:rsid w:val="04D37589"/>
    <w:rsid w:val="04D806FC"/>
    <w:rsid w:val="04DC643E"/>
    <w:rsid w:val="04DF1A8A"/>
    <w:rsid w:val="04E90B5B"/>
    <w:rsid w:val="04E96190"/>
    <w:rsid w:val="04EA5EED"/>
    <w:rsid w:val="04EA6956"/>
    <w:rsid w:val="04ED41A7"/>
    <w:rsid w:val="04EE6171"/>
    <w:rsid w:val="04F03C97"/>
    <w:rsid w:val="04FF3EDA"/>
    <w:rsid w:val="050C39A8"/>
    <w:rsid w:val="051A712F"/>
    <w:rsid w:val="0520520E"/>
    <w:rsid w:val="05237BC9"/>
    <w:rsid w:val="05243941"/>
    <w:rsid w:val="052676B9"/>
    <w:rsid w:val="052F6180"/>
    <w:rsid w:val="053022E6"/>
    <w:rsid w:val="05340028"/>
    <w:rsid w:val="053D2A70"/>
    <w:rsid w:val="053F3C41"/>
    <w:rsid w:val="054162A1"/>
    <w:rsid w:val="054F6C10"/>
    <w:rsid w:val="05545FD4"/>
    <w:rsid w:val="055C757F"/>
    <w:rsid w:val="056326BB"/>
    <w:rsid w:val="05654685"/>
    <w:rsid w:val="05663F59"/>
    <w:rsid w:val="05696E27"/>
    <w:rsid w:val="056A1C9B"/>
    <w:rsid w:val="056B77C2"/>
    <w:rsid w:val="056F2E0E"/>
    <w:rsid w:val="057448C8"/>
    <w:rsid w:val="057B5C57"/>
    <w:rsid w:val="057E03BB"/>
    <w:rsid w:val="05822D1E"/>
    <w:rsid w:val="05883220"/>
    <w:rsid w:val="058D14E6"/>
    <w:rsid w:val="058D598A"/>
    <w:rsid w:val="058F525E"/>
    <w:rsid w:val="059B00A7"/>
    <w:rsid w:val="059E1E13"/>
    <w:rsid w:val="05A32BC9"/>
    <w:rsid w:val="05AB7BBE"/>
    <w:rsid w:val="05B47256"/>
    <w:rsid w:val="05B64EE1"/>
    <w:rsid w:val="05B9052D"/>
    <w:rsid w:val="05BE3D95"/>
    <w:rsid w:val="05C173E2"/>
    <w:rsid w:val="05C50C80"/>
    <w:rsid w:val="05C759FB"/>
    <w:rsid w:val="05C80770"/>
    <w:rsid w:val="05C84C14"/>
    <w:rsid w:val="05D47115"/>
    <w:rsid w:val="05E93075"/>
    <w:rsid w:val="05F41565"/>
    <w:rsid w:val="0607573C"/>
    <w:rsid w:val="060C4B01"/>
    <w:rsid w:val="06120B6F"/>
    <w:rsid w:val="061340E1"/>
    <w:rsid w:val="0616772D"/>
    <w:rsid w:val="0620235A"/>
    <w:rsid w:val="06255FDE"/>
    <w:rsid w:val="06314567"/>
    <w:rsid w:val="0633208D"/>
    <w:rsid w:val="063B3638"/>
    <w:rsid w:val="063E0A32"/>
    <w:rsid w:val="06456265"/>
    <w:rsid w:val="06484360"/>
    <w:rsid w:val="06497B03"/>
    <w:rsid w:val="065B3392"/>
    <w:rsid w:val="067258E5"/>
    <w:rsid w:val="06740B53"/>
    <w:rsid w:val="067526A6"/>
    <w:rsid w:val="068428E9"/>
    <w:rsid w:val="068505F6"/>
    <w:rsid w:val="068E50FC"/>
    <w:rsid w:val="069625D8"/>
    <w:rsid w:val="069A3EBB"/>
    <w:rsid w:val="069F5975"/>
    <w:rsid w:val="069F7723"/>
    <w:rsid w:val="06AB256C"/>
    <w:rsid w:val="06BA455D"/>
    <w:rsid w:val="06C47189"/>
    <w:rsid w:val="06CC4290"/>
    <w:rsid w:val="06D01FD2"/>
    <w:rsid w:val="06D849E3"/>
    <w:rsid w:val="06DE2BA7"/>
    <w:rsid w:val="06DF5865"/>
    <w:rsid w:val="06E3363B"/>
    <w:rsid w:val="06E3407D"/>
    <w:rsid w:val="06E8731C"/>
    <w:rsid w:val="06F9319A"/>
    <w:rsid w:val="06FF745C"/>
    <w:rsid w:val="07007F1F"/>
    <w:rsid w:val="07035F04"/>
    <w:rsid w:val="07050CA4"/>
    <w:rsid w:val="070677A2"/>
    <w:rsid w:val="070822A2"/>
    <w:rsid w:val="0709241E"/>
    <w:rsid w:val="07101279"/>
    <w:rsid w:val="07222102"/>
    <w:rsid w:val="07294629"/>
    <w:rsid w:val="073F077E"/>
    <w:rsid w:val="07416A2C"/>
    <w:rsid w:val="074862E0"/>
    <w:rsid w:val="07487DBA"/>
    <w:rsid w:val="075049E0"/>
    <w:rsid w:val="0757624F"/>
    <w:rsid w:val="076369A2"/>
    <w:rsid w:val="076646E5"/>
    <w:rsid w:val="0768045D"/>
    <w:rsid w:val="076F4BF7"/>
    <w:rsid w:val="077961C6"/>
    <w:rsid w:val="07797F74"/>
    <w:rsid w:val="077C7A64"/>
    <w:rsid w:val="0781507A"/>
    <w:rsid w:val="0788465B"/>
    <w:rsid w:val="07930A17"/>
    <w:rsid w:val="07950B26"/>
    <w:rsid w:val="07966D78"/>
    <w:rsid w:val="07981637"/>
    <w:rsid w:val="079B25E0"/>
    <w:rsid w:val="07A336E6"/>
    <w:rsid w:val="07B23486"/>
    <w:rsid w:val="07C60E6C"/>
    <w:rsid w:val="07CB33CC"/>
    <w:rsid w:val="07CB4548"/>
    <w:rsid w:val="07D07A84"/>
    <w:rsid w:val="07DA05C2"/>
    <w:rsid w:val="07DE0F2D"/>
    <w:rsid w:val="07E01DA1"/>
    <w:rsid w:val="07EA2C20"/>
    <w:rsid w:val="07EB460E"/>
    <w:rsid w:val="07F41CF0"/>
    <w:rsid w:val="07F817E1"/>
    <w:rsid w:val="07F96F2F"/>
    <w:rsid w:val="07FE491D"/>
    <w:rsid w:val="07FF3A37"/>
    <w:rsid w:val="08145EEF"/>
    <w:rsid w:val="081C4DA3"/>
    <w:rsid w:val="08202AE5"/>
    <w:rsid w:val="082F2D28"/>
    <w:rsid w:val="08397703"/>
    <w:rsid w:val="084220E4"/>
    <w:rsid w:val="08485B98"/>
    <w:rsid w:val="08511C41"/>
    <w:rsid w:val="08536A17"/>
    <w:rsid w:val="085A5FF7"/>
    <w:rsid w:val="08634780"/>
    <w:rsid w:val="08646E76"/>
    <w:rsid w:val="086A485C"/>
    <w:rsid w:val="0878022B"/>
    <w:rsid w:val="087D5842"/>
    <w:rsid w:val="08884D84"/>
    <w:rsid w:val="08920B48"/>
    <w:rsid w:val="08964B56"/>
    <w:rsid w:val="08A8394A"/>
    <w:rsid w:val="08BB280E"/>
    <w:rsid w:val="08BF5E5A"/>
    <w:rsid w:val="08C276F9"/>
    <w:rsid w:val="08C571E9"/>
    <w:rsid w:val="08D21C65"/>
    <w:rsid w:val="08D538D0"/>
    <w:rsid w:val="08D86F1C"/>
    <w:rsid w:val="08DA0EE6"/>
    <w:rsid w:val="08DD4532"/>
    <w:rsid w:val="08DF02AB"/>
    <w:rsid w:val="08E0380F"/>
    <w:rsid w:val="09045F63"/>
    <w:rsid w:val="090D12BC"/>
    <w:rsid w:val="09167A44"/>
    <w:rsid w:val="091A12E3"/>
    <w:rsid w:val="091B505B"/>
    <w:rsid w:val="09287EA3"/>
    <w:rsid w:val="092959CA"/>
    <w:rsid w:val="093700E7"/>
    <w:rsid w:val="094F0649"/>
    <w:rsid w:val="095570B6"/>
    <w:rsid w:val="096133B5"/>
    <w:rsid w:val="09736C45"/>
    <w:rsid w:val="097A4477"/>
    <w:rsid w:val="097F55EA"/>
    <w:rsid w:val="09806C85"/>
    <w:rsid w:val="09840174"/>
    <w:rsid w:val="098F53C5"/>
    <w:rsid w:val="09947FFE"/>
    <w:rsid w:val="099512B1"/>
    <w:rsid w:val="0995305F"/>
    <w:rsid w:val="09992B4F"/>
    <w:rsid w:val="099C43EE"/>
    <w:rsid w:val="099D3652"/>
    <w:rsid w:val="09A45050"/>
    <w:rsid w:val="09AF5ECF"/>
    <w:rsid w:val="09B90AFC"/>
    <w:rsid w:val="09B96D4E"/>
    <w:rsid w:val="09C13E54"/>
    <w:rsid w:val="09C3197A"/>
    <w:rsid w:val="09C6146A"/>
    <w:rsid w:val="09C875A3"/>
    <w:rsid w:val="09CF47C3"/>
    <w:rsid w:val="09D26061"/>
    <w:rsid w:val="09E22C94"/>
    <w:rsid w:val="09E9491B"/>
    <w:rsid w:val="09FC4E8C"/>
    <w:rsid w:val="09FE227D"/>
    <w:rsid w:val="0A03621B"/>
    <w:rsid w:val="0A05700F"/>
    <w:rsid w:val="0A0D0E47"/>
    <w:rsid w:val="0A23066B"/>
    <w:rsid w:val="0A2368BD"/>
    <w:rsid w:val="0A272298"/>
    <w:rsid w:val="0A2F3E81"/>
    <w:rsid w:val="0A36214C"/>
    <w:rsid w:val="0A3665F0"/>
    <w:rsid w:val="0A3960E0"/>
    <w:rsid w:val="0A424F95"/>
    <w:rsid w:val="0A48082B"/>
    <w:rsid w:val="0A4F320E"/>
    <w:rsid w:val="0A56558B"/>
    <w:rsid w:val="0A64315D"/>
    <w:rsid w:val="0A740EC6"/>
    <w:rsid w:val="0A764C3F"/>
    <w:rsid w:val="0A783C8C"/>
    <w:rsid w:val="0A786C09"/>
    <w:rsid w:val="0A7D7D7B"/>
    <w:rsid w:val="0A8A5906"/>
    <w:rsid w:val="0A8E01DA"/>
    <w:rsid w:val="0A911A78"/>
    <w:rsid w:val="0A951569"/>
    <w:rsid w:val="0A960E3D"/>
    <w:rsid w:val="0A981059"/>
    <w:rsid w:val="0A9926DB"/>
    <w:rsid w:val="0AA07F0D"/>
    <w:rsid w:val="0AAC0660"/>
    <w:rsid w:val="0AAC68B2"/>
    <w:rsid w:val="0AB6328D"/>
    <w:rsid w:val="0AB94B2B"/>
    <w:rsid w:val="0AC51722"/>
    <w:rsid w:val="0ACB2AE8"/>
    <w:rsid w:val="0AD62BFC"/>
    <w:rsid w:val="0AF671E5"/>
    <w:rsid w:val="0B0F2A1E"/>
    <w:rsid w:val="0B352404"/>
    <w:rsid w:val="0B381EF4"/>
    <w:rsid w:val="0B3A3EBE"/>
    <w:rsid w:val="0B3F7726"/>
    <w:rsid w:val="0B444D3D"/>
    <w:rsid w:val="0B445C59"/>
    <w:rsid w:val="0B4D3BF1"/>
    <w:rsid w:val="0B4E1717"/>
    <w:rsid w:val="0B4E7969"/>
    <w:rsid w:val="0B522679"/>
    <w:rsid w:val="0B557C00"/>
    <w:rsid w:val="0B5F4350"/>
    <w:rsid w:val="0B682AB4"/>
    <w:rsid w:val="0B6E3B68"/>
    <w:rsid w:val="0B703A4D"/>
    <w:rsid w:val="0B704808"/>
    <w:rsid w:val="0B756CA4"/>
    <w:rsid w:val="0B776EC0"/>
    <w:rsid w:val="0B7F5D75"/>
    <w:rsid w:val="0B867103"/>
    <w:rsid w:val="0B884C29"/>
    <w:rsid w:val="0B8F6344"/>
    <w:rsid w:val="0B910C45"/>
    <w:rsid w:val="0B941752"/>
    <w:rsid w:val="0B98567B"/>
    <w:rsid w:val="0B993DEF"/>
    <w:rsid w:val="0B9B0319"/>
    <w:rsid w:val="0BA15CEB"/>
    <w:rsid w:val="0BB06CD5"/>
    <w:rsid w:val="0BBD42C7"/>
    <w:rsid w:val="0BC35C62"/>
    <w:rsid w:val="0BC67500"/>
    <w:rsid w:val="0BCD4D32"/>
    <w:rsid w:val="0BCF2858"/>
    <w:rsid w:val="0BD240F7"/>
    <w:rsid w:val="0BF503CF"/>
    <w:rsid w:val="0BFF2A12"/>
    <w:rsid w:val="0C0149DC"/>
    <w:rsid w:val="0C022F84"/>
    <w:rsid w:val="0C0A1AE2"/>
    <w:rsid w:val="0C0E42CE"/>
    <w:rsid w:val="0C1110C3"/>
    <w:rsid w:val="0C152235"/>
    <w:rsid w:val="0C160487"/>
    <w:rsid w:val="0C233289"/>
    <w:rsid w:val="0C2506CA"/>
    <w:rsid w:val="0C28640C"/>
    <w:rsid w:val="0C2C1FAA"/>
    <w:rsid w:val="0C346B5F"/>
    <w:rsid w:val="0C393981"/>
    <w:rsid w:val="0C3D11EC"/>
    <w:rsid w:val="0C48260B"/>
    <w:rsid w:val="0C4D5E73"/>
    <w:rsid w:val="0C4E3306"/>
    <w:rsid w:val="0C4F1BEB"/>
    <w:rsid w:val="0C4F5747"/>
    <w:rsid w:val="0C526FE5"/>
    <w:rsid w:val="0C6311F3"/>
    <w:rsid w:val="0C6757DE"/>
    <w:rsid w:val="0C6D3E1F"/>
    <w:rsid w:val="0C7305BB"/>
    <w:rsid w:val="0C78199D"/>
    <w:rsid w:val="0C7852A5"/>
    <w:rsid w:val="0C7B478E"/>
    <w:rsid w:val="0C7D0506"/>
    <w:rsid w:val="0C814A8D"/>
    <w:rsid w:val="0C8A677F"/>
    <w:rsid w:val="0C8D7232"/>
    <w:rsid w:val="0C9670E0"/>
    <w:rsid w:val="0C9D3CB2"/>
    <w:rsid w:val="0CA10943"/>
    <w:rsid w:val="0CA64379"/>
    <w:rsid w:val="0CAA5073"/>
    <w:rsid w:val="0CAD06C0"/>
    <w:rsid w:val="0CAE2E86"/>
    <w:rsid w:val="0CB101B0"/>
    <w:rsid w:val="0CB41A4E"/>
    <w:rsid w:val="0CB63A18"/>
    <w:rsid w:val="0CC223BD"/>
    <w:rsid w:val="0CC2416B"/>
    <w:rsid w:val="0CC7352F"/>
    <w:rsid w:val="0CC954FA"/>
    <w:rsid w:val="0CCC4FEA"/>
    <w:rsid w:val="0CCD28F4"/>
    <w:rsid w:val="0CD45C4C"/>
    <w:rsid w:val="0CE560AB"/>
    <w:rsid w:val="0CFB142B"/>
    <w:rsid w:val="0D0A37DF"/>
    <w:rsid w:val="0D0C4A71"/>
    <w:rsid w:val="0D0E437B"/>
    <w:rsid w:val="0D0E73B0"/>
    <w:rsid w:val="0D0F1F6B"/>
    <w:rsid w:val="0D197B03"/>
    <w:rsid w:val="0D1A3FA7"/>
    <w:rsid w:val="0D1A5D55"/>
    <w:rsid w:val="0D3130BF"/>
    <w:rsid w:val="0D3C216F"/>
    <w:rsid w:val="0D3D37F2"/>
    <w:rsid w:val="0D3D766C"/>
    <w:rsid w:val="0D3F2EDF"/>
    <w:rsid w:val="0D4252F3"/>
    <w:rsid w:val="0D533015"/>
    <w:rsid w:val="0D7116ED"/>
    <w:rsid w:val="0D755681"/>
    <w:rsid w:val="0D8458C4"/>
    <w:rsid w:val="0D847672"/>
    <w:rsid w:val="0D8713A0"/>
    <w:rsid w:val="0D896A37"/>
    <w:rsid w:val="0D8C4B4D"/>
    <w:rsid w:val="0DA11FD2"/>
    <w:rsid w:val="0DA442E1"/>
    <w:rsid w:val="0DBF0BF8"/>
    <w:rsid w:val="0DBF4B4E"/>
    <w:rsid w:val="0DC932D7"/>
    <w:rsid w:val="0DCE08EE"/>
    <w:rsid w:val="0DD52A00"/>
    <w:rsid w:val="0DE819AF"/>
    <w:rsid w:val="0DF57B00"/>
    <w:rsid w:val="0DFA0EFB"/>
    <w:rsid w:val="0DFE4D0E"/>
    <w:rsid w:val="0E0D7668"/>
    <w:rsid w:val="0E172295"/>
    <w:rsid w:val="0E210EF6"/>
    <w:rsid w:val="0E285773"/>
    <w:rsid w:val="0E2A646C"/>
    <w:rsid w:val="0E3177FA"/>
    <w:rsid w:val="0E39045D"/>
    <w:rsid w:val="0E3A7AA7"/>
    <w:rsid w:val="0E411AF2"/>
    <w:rsid w:val="0E4868F2"/>
    <w:rsid w:val="0E4A266A"/>
    <w:rsid w:val="0E4D5CB6"/>
    <w:rsid w:val="0E52151F"/>
    <w:rsid w:val="0E532E33"/>
    <w:rsid w:val="0E552DBD"/>
    <w:rsid w:val="0E56100F"/>
    <w:rsid w:val="0E5C65DD"/>
    <w:rsid w:val="0E6179B4"/>
    <w:rsid w:val="0E63197E"/>
    <w:rsid w:val="0E653000"/>
    <w:rsid w:val="0E6A4ABA"/>
    <w:rsid w:val="0E7771D7"/>
    <w:rsid w:val="0E804F97"/>
    <w:rsid w:val="0E820056"/>
    <w:rsid w:val="0E904057"/>
    <w:rsid w:val="0E963048"/>
    <w:rsid w:val="0E963B01"/>
    <w:rsid w:val="0EAD49A7"/>
    <w:rsid w:val="0EB14497"/>
    <w:rsid w:val="0EBE0962"/>
    <w:rsid w:val="0ECC7523"/>
    <w:rsid w:val="0ED308B1"/>
    <w:rsid w:val="0EE06B2A"/>
    <w:rsid w:val="0EE26D46"/>
    <w:rsid w:val="0EF35889"/>
    <w:rsid w:val="0EF645A0"/>
    <w:rsid w:val="0EF854C5"/>
    <w:rsid w:val="0EFB6BFB"/>
    <w:rsid w:val="0F077513"/>
    <w:rsid w:val="0F087E2F"/>
    <w:rsid w:val="0F0A004B"/>
    <w:rsid w:val="0F130BF4"/>
    <w:rsid w:val="0F1669F0"/>
    <w:rsid w:val="0F29227F"/>
    <w:rsid w:val="0F3155D8"/>
    <w:rsid w:val="0F4075C9"/>
    <w:rsid w:val="0F4470B9"/>
    <w:rsid w:val="0F461C36"/>
    <w:rsid w:val="0F491AF8"/>
    <w:rsid w:val="0F4B669A"/>
    <w:rsid w:val="0F5337A0"/>
    <w:rsid w:val="0F556ADB"/>
    <w:rsid w:val="0F5816C1"/>
    <w:rsid w:val="0F617F00"/>
    <w:rsid w:val="0F706100"/>
    <w:rsid w:val="0F7A2F34"/>
    <w:rsid w:val="0F7C2CF7"/>
    <w:rsid w:val="0F824086"/>
    <w:rsid w:val="0F841BAC"/>
    <w:rsid w:val="0F8D7A59"/>
    <w:rsid w:val="0F8E47D8"/>
    <w:rsid w:val="0F9A1E23"/>
    <w:rsid w:val="0F9B5E73"/>
    <w:rsid w:val="0FC621C4"/>
    <w:rsid w:val="0FC81CD8"/>
    <w:rsid w:val="0FCA42ED"/>
    <w:rsid w:val="0FD146C5"/>
    <w:rsid w:val="0FE31D1E"/>
    <w:rsid w:val="0FE4264A"/>
    <w:rsid w:val="0FE64614"/>
    <w:rsid w:val="0FF52AA9"/>
    <w:rsid w:val="0FF705D0"/>
    <w:rsid w:val="0FFC5BE6"/>
    <w:rsid w:val="10066A65"/>
    <w:rsid w:val="1008458B"/>
    <w:rsid w:val="100920B1"/>
    <w:rsid w:val="100E1475"/>
    <w:rsid w:val="10210D63"/>
    <w:rsid w:val="102F7D69"/>
    <w:rsid w:val="103A0AE7"/>
    <w:rsid w:val="103A3261"/>
    <w:rsid w:val="103C4234"/>
    <w:rsid w:val="105228C0"/>
    <w:rsid w:val="10523A58"/>
    <w:rsid w:val="10545A22"/>
    <w:rsid w:val="105E34A8"/>
    <w:rsid w:val="10607B05"/>
    <w:rsid w:val="10616BA3"/>
    <w:rsid w:val="106D43EE"/>
    <w:rsid w:val="10745648"/>
    <w:rsid w:val="10771710"/>
    <w:rsid w:val="10784C45"/>
    <w:rsid w:val="107E484D"/>
    <w:rsid w:val="10802373"/>
    <w:rsid w:val="10881C14"/>
    <w:rsid w:val="108B0D18"/>
    <w:rsid w:val="108F3EB7"/>
    <w:rsid w:val="10951543"/>
    <w:rsid w:val="109B71AD"/>
    <w:rsid w:val="10A83678"/>
    <w:rsid w:val="10AA3690"/>
    <w:rsid w:val="10BA2700"/>
    <w:rsid w:val="10BB49DC"/>
    <w:rsid w:val="10C3199C"/>
    <w:rsid w:val="10CF1430"/>
    <w:rsid w:val="10D46D32"/>
    <w:rsid w:val="10D66437"/>
    <w:rsid w:val="10DC1574"/>
    <w:rsid w:val="10DD4308"/>
    <w:rsid w:val="10E33BB6"/>
    <w:rsid w:val="10F00FEF"/>
    <w:rsid w:val="10F1501F"/>
    <w:rsid w:val="10FE598E"/>
    <w:rsid w:val="11005262"/>
    <w:rsid w:val="11032FA4"/>
    <w:rsid w:val="11034D52"/>
    <w:rsid w:val="110805BA"/>
    <w:rsid w:val="110A68BF"/>
    <w:rsid w:val="110E3E23"/>
    <w:rsid w:val="110F7B9B"/>
    <w:rsid w:val="11102EB9"/>
    <w:rsid w:val="11157B28"/>
    <w:rsid w:val="112C733E"/>
    <w:rsid w:val="112F21F4"/>
    <w:rsid w:val="11374628"/>
    <w:rsid w:val="113D64B6"/>
    <w:rsid w:val="113E3FDC"/>
    <w:rsid w:val="1142587A"/>
    <w:rsid w:val="114C7480"/>
    <w:rsid w:val="114E06C3"/>
    <w:rsid w:val="114F61E9"/>
    <w:rsid w:val="11512899"/>
    <w:rsid w:val="1154735C"/>
    <w:rsid w:val="11553800"/>
    <w:rsid w:val="115930ED"/>
    <w:rsid w:val="115B693C"/>
    <w:rsid w:val="116F4196"/>
    <w:rsid w:val="11763776"/>
    <w:rsid w:val="11895257"/>
    <w:rsid w:val="1194159F"/>
    <w:rsid w:val="1198193E"/>
    <w:rsid w:val="11997B02"/>
    <w:rsid w:val="119D51A7"/>
    <w:rsid w:val="11A402E3"/>
    <w:rsid w:val="11A53328"/>
    <w:rsid w:val="11A958FA"/>
    <w:rsid w:val="11B322D4"/>
    <w:rsid w:val="11CC15E8"/>
    <w:rsid w:val="11CC3396"/>
    <w:rsid w:val="11D34725"/>
    <w:rsid w:val="11DC7A7D"/>
    <w:rsid w:val="11DD7458"/>
    <w:rsid w:val="11F12DFD"/>
    <w:rsid w:val="11F528ED"/>
    <w:rsid w:val="11F8418B"/>
    <w:rsid w:val="11FE2AA3"/>
    <w:rsid w:val="11FE3E97"/>
    <w:rsid w:val="12002EAA"/>
    <w:rsid w:val="12096398"/>
    <w:rsid w:val="120C7C36"/>
    <w:rsid w:val="121D3BF2"/>
    <w:rsid w:val="12260E20"/>
    <w:rsid w:val="12352A26"/>
    <w:rsid w:val="12374CB3"/>
    <w:rsid w:val="12437AFC"/>
    <w:rsid w:val="12463148"/>
    <w:rsid w:val="12491A73"/>
    <w:rsid w:val="125C296C"/>
    <w:rsid w:val="125D0492"/>
    <w:rsid w:val="12631F4C"/>
    <w:rsid w:val="126A32DB"/>
    <w:rsid w:val="126F08F1"/>
    <w:rsid w:val="127203CB"/>
    <w:rsid w:val="1272218F"/>
    <w:rsid w:val="12766ADB"/>
    <w:rsid w:val="127B1AF0"/>
    <w:rsid w:val="12802AFE"/>
    <w:rsid w:val="12891287"/>
    <w:rsid w:val="128B3251"/>
    <w:rsid w:val="12902616"/>
    <w:rsid w:val="129245E0"/>
    <w:rsid w:val="129640D0"/>
    <w:rsid w:val="12B427A8"/>
    <w:rsid w:val="12B70B53"/>
    <w:rsid w:val="12BB58E4"/>
    <w:rsid w:val="12C37CA8"/>
    <w:rsid w:val="12CD5618"/>
    <w:rsid w:val="12CD7BDC"/>
    <w:rsid w:val="12CF1390"/>
    <w:rsid w:val="12DE7274"/>
    <w:rsid w:val="12EC1F42"/>
    <w:rsid w:val="12EF70B7"/>
    <w:rsid w:val="12F17558"/>
    <w:rsid w:val="12FB3F33"/>
    <w:rsid w:val="13006247"/>
    <w:rsid w:val="13054DB2"/>
    <w:rsid w:val="130D32C4"/>
    <w:rsid w:val="131274CE"/>
    <w:rsid w:val="13135720"/>
    <w:rsid w:val="13280AA0"/>
    <w:rsid w:val="132E255A"/>
    <w:rsid w:val="13367661"/>
    <w:rsid w:val="133833D9"/>
    <w:rsid w:val="133867AF"/>
    <w:rsid w:val="133B4C77"/>
    <w:rsid w:val="133D454B"/>
    <w:rsid w:val="133E2072"/>
    <w:rsid w:val="13500FC7"/>
    <w:rsid w:val="13510A26"/>
    <w:rsid w:val="135B2C24"/>
    <w:rsid w:val="135D2E40"/>
    <w:rsid w:val="136C6BDF"/>
    <w:rsid w:val="13806FF7"/>
    <w:rsid w:val="13855EF2"/>
    <w:rsid w:val="13963C5C"/>
    <w:rsid w:val="1399374C"/>
    <w:rsid w:val="139C59AD"/>
    <w:rsid w:val="13A20852"/>
    <w:rsid w:val="13A91BE1"/>
    <w:rsid w:val="13A97E33"/>
    <w:rsid w:val="13B14F39"/>
    <w:rsid w:val="13B80076"/>
    <w:rsid w:val="13BD2301"/>
    <w:rsid w:val="13C133CE"/>
    <w:rsid w:val="13C7475D"/>
    <w:rsid w:val="13D41AA3"/>
    <w:rsid w:val="13D50C28"/>
    <w:rsid w:val="13E2362F"/>
    <w:rsid w:val="13EB21F9"/>
    <w:rsid w:val="13F05A62"/>
    <w:rsid w:val="13F306E3"/>
    <w:rsid w:val="13F37300"/>
    <w:rsid w:val="13FB7F63"/>
    <w:rsid w:val="14060AFB"/>
    <w:rsid w:val="140E5302"/>
    <w:rsid w:val="140E5EE8"/>
    <w:rsid w:val="141259D8"/>
    <w:rsid w:val="141352AC"/>
    <w:rsid w:val="14164D9C"/>
    <w:rsid w:val="141B014F"/>
    <w:rsid w:val="14432035"/>
    <w:rsid w:val="1444313C"/>
    <w:rsid w:val="144638D4"/>
    <w:rsid w:val="14524026"/>
    <w:rsid w:val="145A1E9B"/>
    <w:rsid w:val="145A5736"/>
    <w:rsid w:val="14634486"/>
    <w:rsid w:val="14773A8D"/>
    <w:rsid w:val="147B3986"/>
    <w:rsid w:val="14903E6E"/>
    <w:rsid w:val="14975EDD"/>
    <w:rsid w:val="14990ECA"/>
    <w:rsid w:val="149F2FE4"/>
    <w:rsid w:val="14A16D5C"/>
    <w:rsid w:val="14A34882"/>
    <w:rsid w:val="14A625C4"/>
    <w:rsid w:val="14A66120"/>
    <w:rsid w:val="14A81E98"/>
    <w:rsid w:val="14B06534"/>
    <w:rsid w:val="14B6441E"/>
    <w:rsid w:val="14C0130D"/>
    <w:rsid w:val="14C31152"/>
    <w:rsid w:val="14CD7B51"/>
    <w:rsid w:val="14D233B9"/>
    <w:rsid w:val="14D40957"/>
    <w:rsid w:val="14EC4CF7"/>
    <w:rsid w:val="14ED3D4F"/>
    <w:rsid w:val="14F7697C"/>
    <w:rsid w:val="150572EB"/>
    <w:rsid w:val="150A2B53"/>
    <w:rsid w:val="151412DC"/>
    <w:rsid w:val="15180BB5"/>
    <w:rsid w:val="151E6A48"/>
    <w:rsid w:val="15204125"/>
    <w:rsid w:val="15284DA2"/>
    <w:rsid w:val="1528554B"/>
    <w:rsid w:val="152A2598"/>
    <w:rsid w:val="153100E0"/>
    <w:rsid w:val="1536087D"/>
    <w:rsid w:val="15363551"/>
    <w:rsid w:val="15371118"/>
    <w:rsid w:val="153D5D57"/>
    <w:rsid w:val="153E27FD"/>
    <w:rsid w:val="1542618C"/>
    <w:rsid w:val="1545020E"/>
    <w:rsid w:val="15521054"/>
    <w:rsid w:val="155E69FB"/>
    <w:rsid w:val="15605210"/>
    <w:rsid w:val="1562473D"/>
    <w:rsid w:val="156C736A"/>
    <w:rsid w:val="157B135B"/>
    <w:rsid w:val="15916DD0"/>
    <w:rsid w:val="1594066F"/>
    <w:rsid w:val="15997A33"/>
    <w:rsid w:val="159E26D3"/>
    <w:rsid w:val="159F14ED"/>
    <w:rsid w:val="159F4E9C"/>
    <w:rsid w:val="15A5228D"/>
    <w:rsid w:val="15A703A2"/>
    <w:rsid w:val="15A969F7"/>
    <w:rsid w:val="15B71C16"/>
    <w:rsid w:val="15B84EEB"/>
    <w:rsid w:val="15BC38F3"/>
    <w:rsid w:val="15BD1974"/>
    <w:rsid w:val="15BF2295"/>
    <w:rsid w:val="15C03212"/>
    <w:rsid w:val="15D171CD"/>
    <w:rsid w:val="15D60C87"/>
    <w:rsid w:val="15E46F61"/>
    <w:rsid w:val="15E92769"/>
    <w:rsid w:val="15F230E6"/>
    <w:rsid w:val="15F31839"/>
    <w:rsid w:val="15F66C34"/>
    <w:rsid w:val="16161084"/>
    <w:rsid w:val="161F6F3A"/>
    <w:rsid w:val="16210154"/>
    <w:rsid w:val="162163A6"/>
    <w:rsid w:val="162419F3"/>
    <w:rsid w:val="16273291"/>
    <w:rsid w:val="162C6AF9"/>
    <w:rsid w:val="1633086D"/>
    <w:rsid w:val="1634734C"/>
    <w:rsid w:val="163C4DDE"/>
    <w:rsid w:val="164476E2"/>
    <w:rsid w:val="1647748F"/>
    <w:rsid w:val="16534086"/>
    <w:rsid w:val="165D1603"/>
    <w:rsid w:val="16677B31"/>
    <w:rsid w:val="168340B4"/>
    <w:rsid w:val="1683496B"/>
    <w:rsid w:val="16834DE7"/>
    <w:rsid w:val="16842491"/>
    <w:rsid w:val="168B1A72"/>
    <w:rsid w:val="168E50BE"/>
    <w:rsid w:val="16911289"/>
    <w:rsid w:val="169C3C7F"/>
    <w:rsid w:val="16A20B69"/>
    <w:rsid w:val="16AD19E8"/>
    <w:rsid w:val="16B94831"/>
    <w:rsid w:val="16CD5BE6"/>
    <w:rsid w:val="16DA6555"/>
    <w:rsid w:val="16E573D4"/>
    <w:rsid w:val="16E91643"/>
    <w:rsid w:val="16EF3DAF"/>
    <w:rsid w:val="16F2564D"/>
    <w:rsid w:val="17005FBC"/>
    <w:rsid w:val="17057572"/>
    <w:rsid w:val="1707127F"/>
    <w:rsid w:val="170B516B"/>
    <w:rsid w:val="170C4DD7"/>
    <w:rsid w:val="170F4451"/>
    <w:rsid w:val="17181F24"/>
    <w:rsid w:val="1726179A"/>
    <w:rsid w:val="17377504"/>
    <w:rsid w:val="1739771E"/>
    <w:rsid w:val="173C0FBE"/>
    <w:rsid w:val="173C4B1A"/>
    <w:rsid w:val="17400AAE"/>
    <w:rsid w:val="1740460A"/>
    <w:rsid w:val="17457E73"/>
    <w:rsid w:val="174B0F64"/>
    <w:rsid w:val="174D04CC"/>
    <w:rsid w:val="174F2A9F"/>
    <w:rsid w:val="175956CC"/>
    <w:rsid w:val="17790F56"/>
    <w:rsid w:val="177B5642"/>
    <w:rsid w:val="17854713"/>
    <w:rsid w:val="178564C1"/>
    <w:rsid w:val="17996410"/>
    <w:rsid w:val="17AC1CA0"/>
    <w:rsid w:val="17AC6144"/>
    <w:rsid w:val="17B27CE1"/>
    <w:rsid w:val="17B34241"/>
    <w:rsid w:val="17C214C3"/>
    <w:rsid w:val="17C55432"/>
    <w:rsid w:val="17C57205"/>
    <w:rsid w:val="17C7104C"/>
    <w:rsid w:val="17CC4C05"/>
    <w:rsid w:val="17D375A5"/>
    <w:rsid w:val="17D82A95"/>
    <w:rsid w:val="17EA0A1A"/>
    <w:rsid w:val="17F453F5"/>
    <w:rsid w:val="17FE0021"/>
    <w:rsid w:val="18041ADC"/>
    <w:rsid w:val="180F222F"/>
    <w:rsid w:val="18121892"/>
    <w:rsid w:val="18176C7A"/>
    <w:rsid w:val="182201B4"/>
    <w:rsid w:val="18382622"/>
    <w:rsid w:val="1844012A"/>
    <w:rsid w:val="18500A76"/>
    <w:rsid w:val="18511AC3"/>
    <w:rsid w:val="18560AD3"/>
    <w:rsid w:val="185B5474"/>
    <w:rsid w:val="185F4129"/>
    <w:rsid w:val="18664544"/>
    <w:rsid w:val="1867217A"/>
    <w:rsid w:val="186E164B"/>
    <w:rsid w:val="187138F5"/>
    <w:rsid w:val="187355C6"/>
    <w:rsid w:val="18736C61"/>
    <w:rsid w:val="187622AE"/>
    <w:rsid w:val="188D06CA"/>
    <w:rsid w:val="188E75F7"/>
    <w:rsid w:val="18920086"/>
    <w:rsid w:val="18953CCD"/>
    <w:rsid w:val="189E7349"/>
    <w:rsid w:val="18A522A1"/>
    <w:rsid w:val="18AB01A9"/>
    <w:rsid w:val="18AD3F21"/>
    <w:rsid w:val="18B0756E"/>
    <w:rsid w:val="18B2778A"/>
    <w:rsid w:val="18B3705E"/>
    <w:rsid w:val="18B54B84"/>
    <w:rsid w:val="18BC23B6"/>
    <w:rsid w:val="18BD1C8B"/>
    <w:rsid w:val="18C80D5B"/>
    <w:rsid w:val="18CD6371"/>
    <w:rsid w:val="18D23988"/>
    <w:rsid w:val="18D314AE"/>
    <w:rsid w:val="18D771F0"/>
    <w:rsid w:val="18DF1DBE"/>
    <w:rsid w:val="18E611E1"/>
    <w:rsid w:val="18E90CD1"/>
    <w:rsid w:val="18EB2C9C"/>
    <w:rsid w:val="18EC3602"/>
    <w:rsid w:val="18F55160"/>
    <w:rsid w:val="191A1185"/>
    <w:rsid w:val="191C2E55"/>
    <w:rsid w:val="191C7400"/>
    <w:rsid w:val="19202945"/>
    <w:rsid w:val="19212219"/>
    <w:rsid w:val="19265A82"/>
    <w:rsid w:val="192A697E"/>
    <w:rsid w:val="192B4E46"/>
    <w:rsid w:val="192D5062"/>
    <w:rsid w:val="193208CA"/>
    <w:rsid w:val="19373188"/>
    <w:rsid w:val="19466124"/>
    <w:rsid w:val="19552A86"/>
    <w:rsid w:val="19597C05"/>
    <w:rsid w:val="19687E48"/>
    <w:rsid w:val="19696E0C"/>
    <w:rsid w:val="19792371"/>
    <w:rsid w:val="198D3D53"/>
    <w:rsid w:val="198D78AF"/>
    <w:rsid w:val="19940776"/>
    <w:rsid w:val="1994787E"/>
    <w:rsid w:val="199E1ABC"/>
    <w:rsid w:val="199E7D0E"/>
    <w:rsid w:val="19AC242B"/>
    <w:rsid w:val="19AF5A77"/>
    <w:rsid w:val="19B23C43"/>
    <w:rsid w:val="19BF28B1"/>
    <w:rsid w:val="19C57049"/>
    <w:rsid w:val="19CA28B1"/>
    <w:rsid w:val="19D465D8"/>
    <w:rsid w:val="19DE1A34"/>
    <w:rsid w:val="19E506D6"/>
    <w:rsid w:val="19EA2F53"/>
    <w:rsid w:val="19EC0A79"/>
    <w:rsid w:val="19EC4FBE"/>
    <w:rsid w:val="19F33BB6"/>
    <w:rsid w:val="19F618F8"/>
    <w:rsid w:val="19FA13E8"/>
    <w:rsid w:val="1A051B3B"/>
    <w:rsid w:val="1A0C111B"/>
    <w:rsid w:val="1A11228E"/>
    <w:rsid w:val="1A192827"/>
    <w:rsid w:val="1A1D0C33"/>
    <w:rsid w:val="1A1D6E85"/>
    <w:rsid w:val="1A1E49AB"/>
    <w:rsid w:val="1A1F0E4F"/>
    <w:rsid w:val="1A1F2BFD"/>
    <w:rsid w:val="1A352D11"/>
    <w:rsid w:val="1A385A6D"/>
    <w:rsid w:val="1A3F504D"/>
    <w:rsid w:val="1A41503C"/>
    <w:rsid w:val="1A472154"/>
    <w:rsid w:val="1A4C1518"/>
    <w:rsid w:val="1A4C68B1"/>
    <w:rsid w:val="1A4E5290"/>
    <w:rsid w:val="1A512FD2"/>
    <w:rsid w:val="1A584361"/>
    <w:rsid w:val="1A5944BB"/>
    <w:rsid w:val="1A5B5BFF"/>
    <w:rsid w:val="1A5F2FF9"/>
    <w:rsid w:val="1A642D06"/>
    <w:rsid w:val="1A750A6F"/>
    <w:rsid w:val="1A772A39"/>
    <w:rsid w:val="1A807414"/>
    <w:rsid w:val="1A8B2040"/>
    <w:rsid w:val="1A8D59CC"/>
    <w:rsid w:val="1A913318"/>
    <w:rsid w:val="1A9703C8"/>
    <w:rsid w:val="1A9F3D3E"/>
    <w:rsid w:val="1AB5530F"/>
    <w:rsid w:val="1AB86BAD"/>
    <w:rsid w:val="1ABA46D4"/>
    <w:rsid w:val="1AC775D5"/>
    <w:rsid w:val="1ACB4722"/>
    <w:rsid w:val="1AD27C6F"/>
    <w:rsid w:val="1AD80FFE"/>
    <w:rsid w:val="1AE45BF4"/>
    <w:rsid w:val="1AE6196C"/>
    <w:rsid w:val="1AEC6857"/>
    <w:rsid w:val="1AEE0821"/>
    <w:rsid w:val="1AF5395E"/>
    <w:rsid w:val="1AF9438C"/>
    <w:rsid w:val="1B010CBE"/>
    <w:rsid w:val="1B03607B"/>
    <w:rsid w:val="1B041DF3"/>
    <w:rsid w:val="1B0E67CD"/>
    <w:rsid w:val="1B1A121B"/>
    <w:rsid w:val="1B1E4ECB"/>
    <w:rsid w:val="1B274CD4"/>
    <w:rsid w:val="1B2C7D7E"/>
    <w:rsid w:val="1B3501FE"/>
    <w:rsid w:val="1B3E3557"/>
    <w:rsid w:val="1B473697"/>
    <w:rsid w:val="1B474E49"/>
    <w:rsid w:val="1B481CDF"/>
    <w:rsid w:val="1B494B83"/>
    <w:rsid w:val="1B4E3C41"/>
    <w:rsid w:val="1B5543FC"/>
    <w:rsid w:val="1B593EEC"/>
    <w:rsid w:val="1B5B7B3E"/>
    <w:rsid w:val="1B5C39DD"/>
    <w:rsid w:val="1B60171F"/>
    <w:rsid w:val="1B632FBD"/>
    <w:rsid w:val="1B636B19"/>
    <w:rsid w:val="1B6771DF"/>
    <w:rsid w:val="1B6B0D73"/>
    <w:rsid w:val="1B7A20B5"/>
    <w:rsid w:val="1B7D50C4"/>
    <w:rsid w:val="1B7F1479"/>
    <w:rsid w:val="1B862808"/>
    <w:rsid w:val="1B8705E3"/>
    <w:rsid w:val="1B8847D2"/>
    <w:rsid w:val="1B952124"/>
    <w:rsid w:val="1B98062B"/>
    <w:rsid w:val="1BA23AE5"/>
    <w:rsid w:val="1BAD248A"/>
    <w:rsid w:val="1BB235FD"/>
    <w:rsid w:val="1BB6133F"/>
    <w:rsid w:val="1BB90E2F"/>
    <w:rsid w:val="1BBE6445"/>
    <w:rsid w:val="1BC3580A"/>
    <w:rsid w:val="1BD01CD5"/>
    <w:rsid w:val="1BD143CB"/>
    <w:rsid w:val="1BD21EF1"/>
    <w:rsid w:val="1BD25A4D"/>
    <w:rsid w:val="1BDB39AC"/>
    <w:rsid w:val="1BDC68CC"/>
    <w:rsid w:val="1BDF20F3"/>
    <w:rsid w:val="1BF400B9"/>
    <w:rsid w:val="1BF704FB"/>
    <w:rsid w:val="1C03286B"/>
    <w:rsid w:val="1C077DEC"/>
    <w:rsid w:val="1C161DDD"/>
    <w:rsid w:val="1C27118C"/>
    <w:rsid w:val="1C36128C"/>
    <w:rsid w:val="1C387FA6"/>
    <w:rsid w:val="1C3D380E"/>
    <w:rsid w:val="1C3F4D1E"/>
    <w:rsid w:val="1C3F79B0"/>
    <w:rsid w:val="1C444B9D"/>
    <w:rsid w:val="1C4E1E20"/>
    <w:rsid w:val="1C531AF6"/>
    <w:rsid w:val="1C531CA1"/>
    <w:rsid w:val="1C5648D0"/>
    <w:rsid w:val="1C6256C4"/>
    <w:rsid w:val="1C6A3ED7"/>
    <w:rsid w:val="1C6F7740"/>
    <w:rsid w:val="1C71170A"/>
    <w:rsid w:val="1C746B04"/>
    <w:rsid w:val="1C766D20"/>
    <w:rsid w:val="1C8925AF"/>
    <w:rsid w:val="1C99656B"/>
    <w:rsid w:val="1CA74430"/>
    <w:rsid w:val="1CAD523D"/>
    <w:rsid w:val="1CB00AFB"/>
    <w:rsid w:val="1CB477B1"/>
    <w:rsid w:val="1CBA17E0"/>
    <w:rsid w:val="1CC61A56"/>
    <w:rsid w:val="1CCE26B8"/>
    <w:rsid w:val="1CD06430"/>
    <w:rsid w:val="1CD145B6"/>
    <w:rsid w:val="1CDC4DD5"/>
    <w:rsid w:val="1CDD0537"/>
    <w:rsid w:val="1CE41EDC"/>
    <w:rsid w:val="1CEB2DB3"/>
    <w:rsid w:val="1CEF491D"/>
    <w:rsid w:val="1CF33ECD"/>
    <w:rsid w:val="1CF5183B"/>
    <w:rsid w:val="1CFB2B21"/>
    <w:rsid w:val="1D0B7468"/>
    <w:rsid w:val="1D181B85"/>
    <w:rsid w:val="1D1A58FD"/>
    <w:rsid w:val="1D1D116C"/>
    <w:rsid w:val="1D1E7DA2"/>
    <w:rsid w:val="1D264AB0"/>
    <w:rsid w:val="1D2B7B0B"/>
    <w:rsid w:val="1D304123"/>
    <w:rsid w:val="1D305121"/>
    <w:rsid w:val="1D320E99"/>
    <w:rsid w:val="1D322C47"/>
    <w:rsid w:val="1D3369BF"/>
    <w:rsid w:val="1D444728"/>
    <w:rsid w:val="1D45701B"/>
    <w:rsid w:val="1D465BD9"/>
    <w:rsid w:val="1D4A4435"/>
    <w:rsid w:val="1D4D4A5F"/>
    <w:rsid w:val="1D4D5CD3"/>
    <w:rsid w:val="1D596426"/>
    <w:rsid w:val="1D607160"/>
    <w:rsid w:val="1D686669"/>
    <w:rsid w:val="1D70551D"/>
    <w:rsid w:val="1D721295"/>
    <w:rsid w:val="1D7B2840"/>
    <w:rsid w:val="1D813BCE"/>
    <w:rsid w:val="1D8F0099"/>
    <w:rsid w:val="1D942EB9"/>
    <w:rsid w:val="1D94745E"/>
    <w:rsid w:val="1D9751A0"/>
    <w:rsid w:val="1D9A07EC"/>
    <w:rsid w:val="1D9C27B6"/>
    <w:rsid w:val="1DA027CC"/>
    <w:rsid w:val="1DAA4ED3"/>
    <w:rsid w:val="1DBB0E8E"/>
    <w:rsid w:val="1DCA3E7C"/>
    <w:rsid w:val="1DCF493A"/>
    <w:rsid w:val="1DD51824"/>
    <w:rsid w:val="1DDC0E05"/>
    <w:rsid w:val="1DE859FC"/>
    <w:rsid w:val="1DEC54EC"/>
    <w:rsid w:val="1DF919B7"/>
    <w:rsid w:val="1DFD22D8"/>
    <w:rsid w:val="1E0B5930"/>
    <w:rsid w:val="1E0F4D36"/>
    <w:rsid w:val="1E2A1B70"/>
    <w:rsid w:val="1E2D5F4A"/>
    <w:rsid w:val="1E2F53D8"/>
    <w:rsid w:val="1E324D9F"/>
    <w:rsid w:val="1E335A32"/>
    <w:rsid w:val="1E380731"/>
    <w:rsid w:val="1E3B1FCF"/>
    <w:rsid w:val="1E430E84"/>
    <w:rsid w:val="1E434545"/>
    <w:rsid w:val="1E4827C0"/>
    <w:rsid w:val="1E4A0464"/>
    <w:rsid w:val="1E58492F"/>
    <w:rsid w:val="1E5866DD"/>
    <w:rsid w:val="1E594C26"/>
    <w:rsid w:val="1E5E66C1"/>
    <w:rsid w:val="1E5E6DE2"/>
    <w:rsid w:val="1E6908EA"/>
    <w:rsid w:val="1E6D7CAF"/>
    <w:rsid w:val="1E6E4153"/>
    <w:rsid w:val="1E7679C4"/>
    <w:rsid w:val="1E7775FF"/>
    <w:rsid w:val="1E7D035A"/>
    <w:rsid w:val="1E7E1ED8"/>
    <w:rsid w:val="1E7E516C"/>
    <w:rsid w:val="1E82232E"/>
    <w:rsid w:val="1E8A6AB3"/>
    <w:rsid w:val="1E984D2C"/>
    <w:rsid w:val="1EA2204E"/>
    <w:rsid w:val="1EA2306C"/>
    <w:rsid w:val="1EA638ED"/>
    <w:rsid w:val="1EA717C5"/>
    <w:rsid w:val="1EAF02C7"/>
    <w:rsid w:val="1EBF675C"/>
    <w:rsid w:val="1EC5773A"/>
    <w:rsid w:val="1EC57AEB"/>
    <w:rsid w:val="1EC91389"/>
    <w:rsid w:val="1ECD294E"/>
    <w:rsid w:val="1ED16490"/>
    <w:rsid w:val="1ED33FB6"/>
    <w:rsid w:val="1EE03162"/>
    <w:rsid w:val="1EE14611"/>
    <w:rsid w:val="1EE40254"/>
    <w:rsid w:val="1EE64774"/>
    <w:rsid w:val="1EE7458B"/>
    <w:rsid w:val="1EF13E7C"/>
    <w:rsid w:val="1F095B9C"/>
    <w:rsid w:val="1F0B3750"/>
    <w:rsid w:val="1F0D396C"/>
    <w:rsid w:val="1F170DBA"/>
    <w:rsid w:val="1F262338"/>
    <w:rsid w:val="1F344FAE"/>
    <w:rsid w:val="1F394761"/>
    <w:rsid w:val="1F42113B"/>
    <w:rsid w:val="1F43738D"/>
    <w:rsid w:val="1F4B4494"/>
    <w:rsid w:val="1F52137F"/>
    <w:rsid w:val="1F5A5233"/>
    <w:rsid w:val="1F5C3FAB"/>
    <w:rsid w:val="1F642E60"/>
    <w:rsid w:val="1F792DAF"/>
    <w:rsid w:val="1F7A6B27"/>
    <w:rsid w:val="1F813A12"/>
    <w:rsid w:val="1F855CC1"/>
    <w:rsid w:val="1F882FF2"/>
    <w:rsid w:val="1F925C1F"/>
    <w:rsid w:val="1F9279CD"/>
    <w:rsid w:val="1F9B4659"/>
    <w:rsid w:val="1F9D4872"/>
    <w:rsid w:val="1FAA740D"/>
    <w:rsid w:val="1FAF67D1"/>
    <w:rsid w:val="1FB262C1"/>
    <w:rsid w:val="1FB5190D"/>
    <w:rsid w:val="1FBA5176"/>
    <w:rsid w:val="1FBA6F24"/>
    <w:rsid w:val="1FC55FF4"/>
    <w:rsid w:val="1FC71331"/>
    <w:rsid w:val="1FCF29CF"/>
    <w:rsid w:val="1FCF7AFB"/>
    <w:rsid w:val="1FD35663"/>
    <w:rsid w:val="1FD53D5E"/>
    <w:rsid w:val="1FEF6BCD"/>
    <w:rsid w:val="1FF16DE9"/>
    <w:rsid w:val="1FF5415A"/>
    <w:rsid w:val="1FF93EF0"/>
    <w:rsid w:val="1FF9543E"/>
    <w:rsid w:val="20014C4D"/>
    <w:rsid w:val="20052895"/>
    <w:rsid w:val="20062169"/>
    <w:rsid w:val="201A79C2"/>
    <w:rsid w:val="20234AC9"/>
    <w:rsid w:val="20297BF0"/>
    <w:rsid w:val="202A5E57"/>
    <w:rsid w:val="202D5948"/>
    <w:rsid w:val="203978EE"/>
    <w:rsid w:val="203B492A"/>
    <w:rsid w:val="203F19EB"/>
    <w:rsid w:val="20476A09"/>
    <w:rsid w:val="20566C4C"/>
    <w:rsid w:val="205B4263"/>
    <w:rsid w:val="205E1FA5"/>
    <w:rsid w:val="20601879"/>
    <w:rsid w:val="206770AC"/>
    <w:rsid w:val="206C6470"/>
    <w:rsid w:val="206F5F60"/>
    <w:rsid w:val="207417C9"/>
    <w:rsid w:val="207E43F5"/>
    <w:rsid w:val="209239FD"/>
    <w:rsid w:val="209766B4"/>
    <w:rsid w:val="20A852BE"/>
    <w:rsid w:val="20AA51EA"/>
    <w:rsid w:val="20AB09C3"/>
    <w:rsid w:val="20AD0837"/>
    <w:rsid w:val="20B13C44"/>
    <w:rsid w:val="20B83463"/>
    <w:rsid w:val="20B9542D"/>
    <w:rsid w:val="20C43317"/>
    <w:rsid w:val="20C462AC"/>
    <w:rsid w:val="20CA3197"/>
    <w:rsid w:val="20D64231"/>
    <w:rsid w:val="20DE6C42"/>
    <w:rsid w:val="20E06E5E"/>
    <w:rsid w:val="20EA3839"/>
    <w:rsid w:val="20EC5803"/>
    <w:rsid w:val="20F6042F"/>
    <w:rsid w:val="20F85819"/>
    <w:rsid w:val="21022930"/>
    <w:rsid w:val="210B2B03"/>
    <w:rsid w:val="210E39CB"/>
    <w:rsid w:val="210E7527"/>
    <w:rsid w:val="21162880"/>
    <w:rsid w:val="21325751"/>
    <w:rsid w:val="21380A48"/>
    <w:rsid w:val="213A47C0"/>
    <w:rsid w:val="2149055F"/>
    <w:rsid w:val="214E3DC8"/>
    <w:rsid w:val="21555156"/>
    <w:rsid w:val="215A6137"/>
    <w:rsid w:val="215A6C10"/>
    <w:rsid w:val="216C735A"/>
    <w:rsid w:val="216D40E2"/>
    <w:rsid w:val="21751354"/>
    <w:rsid w:val="21793170"/>
    <w:rsid w:val="217A696B"/>
    <w:rsid w:val="217C6B87"/>
    <w:rsid w:val="21843C8D"/>
    <w:rsid w:val="21884361"/>
    <w:rsid w:val="21886A3B"/>
    <w:rsid w:val="218D6331"/>
    <w:rsid w:val="219914E7"/>
    <w:rsid w:val="219C14EA"/>
    <w:rsid w:val="219C4B33"/>
    <w:rsid w:val="21AA0945"/>
    <w:rsid w:val="21B46321"/>
    <w:rsid w:val="21BE719F"/>
    <w:rsid w:val="21C10A3D"/>
    <w:rsid w:val="21C81DCC"/>
    <w:rsid w:val="21C85928"/>
    <w:rsid w:val="21CD2F3E"/>
    <w:rsid w:val="21DF2C72"/>
    <w:rsid w:val="21E14C3C"/>
    <w:rsid w:val="21E169EA"/>
    <w:rsid w:val="21E5472C"/>
    <w:rsid w:val="21EF0395"/>
    <w:rsid w:val="21F04E7F"/>
    <w:rsid w:val="21F726B1"/>
    <w:rsid w:val="220213CB"/>
    <w:rsid w:val="22192627"/>
    <w:rsid w:val="22196184"/>
    <w:rsid w:val="221A77A4"/>
    <w:rsid w:val="221C5C74"/>
    <w:rsid w:val="22244B28"/>
    <w:rsid w:val="222F59A7"/>
    <w:rsid w:val="22315FE8"/>
    <w:rsid w:val="22327245"/>
    <w:rsid w:val="223363F5"/>
    <w:rsid w:val="224F6049"/>
    <w:rsid w:val="22543660"/>
    <w:rsid w:val="225B2099"/>
    <w:rsid w:val="225D56AD"/>
    <w:rsid w:val="2268710B"/>
    <w:rsid w:val="226F3FF6"/>
    <w:rsid w:val="22721A61"/>
    <w:rsid w:val="22721D38"/>
    <w:rsid w:val="227C0517"/>
    <w:rsid w:val="227F528A"/>
    <w:rsid w:val="22857CBD"/>
    <w:rsid w:val="22866796"/>
    <w:rsid w:val="228F46A5"/>
    <w:rsid w:val="22907705"/>
    <w:rsid w:val="22943A5C"/>
    <w:rsid w:val="22966B03"/>
    <w:rsid w:val="22AC349C"/>
    <w:rsid w:val="22B12860"/>
    <w:rsid w:val="22B60126"/>
    <w:rsid w:val="22BA0269"/>
    <w:rsid w:val="22BE570A"/>
    <w:rsid w:val="22C11787"/>
    <w:rsid w:val="22C165E8"/>
    <w:rsid w:val="22CA56D0"/>
    <w:rsid w:val="22D447A0"/>
    <w:rsid w:val="22D76E3C"/>
    <w:rsid w:val="22D95913"/>
    <w:rsid w:val="22DE117B"/>
    <w:rsid w:val="22DF73CD"/>
    <w:rsid w:val="22E177D9"/>
    <w:rsid w:val="22E26EBD"/>
    <w:rsid w:val="22E5248F"/>
    <w:rsid w:val="22F10EAE"/>
    <w:rsid w:val="22F4099F"/>
    <w:rsid w:val="2303281C"/>
    <w:rsid w:val="23045086"/>
    <w:rsid w:val="230E1A60"/>
    <w:rsid w:val="230E380E"/>
    <w:rsid w:val="231177A3"/>
    <w:rsid w:val="2318643B"/>
    <w:rsid w:val="23266752"/>
    <w:rsid w:val="23270D74"/>
    <w:rsid w:val="23290736"/>
    <w:rsid w:val="232E02C0"/>
    <w:rsid w:val="233A4603"/>
    <w:rsid w:val="233C481F"/>
    <w:rsid w:val="23403BE4"/>
    <w:rsid w:val="23466363"/>
    <w:rsid w:val="23476D20"/>
    <w:rsid w:val="234C0665"/>
    <w:rsid w:val="235F406A"/>
    <w:rsid w:val="236B2A0F"/>
    <w:rsid w:val="2371150A"/>
    <w:rsid w:val="237308A7"/>
    <w:rsid w:val="23775858"/>
    <w:rsid w:val="237C10C0"/>
    <w:rsid w:val="237D2742"/>
    <w:rsid w:val="237D4E22"/>
    <w:rsid w:val="23922691"/>
    <w:rsid w:val="23957C25"/>
    <w:rsid w:val="23A10C3C"/>
    <w:rsid w:val="23A3664D"/>
    <w:rsid w:val="23A50E90"/>
    <w:rsid w:val="23A63411"/>
    <w:rsid w:val="23A91789"/>
    <w:rsid w:val="23AD5CF5"/>
    <w:rsid w:val="23B5012E"/>
    <w:rsid w:val="23B720F8"/>
    <w:rsid w:val="23BC770E"/>
    <w:rsid w:val="23C14D25"/>
    <w:rsid w:val="23C30DB2"/>
    <w:rsid w:val="23CD191B"/>
    <w:rsid w:val="23CD6900"/>
    <w:rsid w:val="23D21FE8"/>
    <w:rsid w:val="23D34A58"/>
    <w:rsid w:val="23D5432C"/>
    <w:rsid w:val="23DA1943"/>
    <w:rsid w:val="23E17175"/>
    <w:rsid w:val="23E46C65"/>
    <w:rsid w:val="23EB7FF4"/>
    <w:rsid w:val="23ED320B"/>
    <w:rsid w:val="23FB0A5B"/>
    <w:rsid w:val="24003A9F"/>
    <w:rsid w:val="240510B5"/>
    <w:rsid w:val="24062738"/>
    <w:rsid w:val="240D4F24"/>
    <w:rsid w:val="24103ACD"/>
    <w:rsid w:val="24172B97"/>
    <w:rsid w:val="241E3F25"/>
    <w:rsid w:val="241E5CD3"/>
    <w:rsid w:val="24275D38"/>
    <w:rsid w:val="24277FE5"/>
    <w:rsid w:val="242A3FC1"/>
    <w:rsid w:val="242D14B2"/>
    <w:rsid w:val="24344A48"/>
    <w:rsid w:val="2435126F"/>
    <w:rsid w:val="244020ED"/>
    <w:rsid w:val="24455956"/>
    <w:rsid w:val="244905A6"/>
    <w:rsid w:val="244F2209"/>
    <w:rsid w:val="245960DD"/>
    <w:rsid w:val="245D1E94"/>
    <w:rsid w:val="246A53BC"/>
    <w:rsid w:val="247508D3"/>
    <w:rsid w:val="247C1A1B"/>
    <w:rsid w:val="24816262"/>
    <w:rsid w:val="24875A24"/>
    <w:rsid w:val="24885842"/>
    <w:rsid w:val="248E21AF"/>
    <w:rsid w:val="249203D9"/>
    <w:rsid w:val="249661B1"/>
    <w:rsid w:val="24967F5F"/>
    <w:rsid w:val="249E6E14"/>
    <w:rsid w:val="24A0493A"/>
    <w:rsid w:val="24A563F4"/>
    <w:rsid w:val="24AC7783"/>
    <w:rsid w:val="24AD2130"/>
    <w:rsid w:val="24B2466D"/>
    <w:rsid w:val="24B86128"/>
    <w:rsid w:val="24BB5C18"/>
    <w:rsid w:val="24BC729A"/>
    <w:rsid w:val="24BD373E"/>
    <w:rsid w:val="24C3687B"/>
    <w:rsid w:val="24C81666"/>
    <w:rsid w:val="24CA19B7"/>
    <w:rsid w:val="24CE259C"/>
    <w:rsid w:val="24D7664B"/>
    <w:rsid w:val="24DE756E"/>
    <w:rsid w:val="24EA16DC"/>
    <w:rsid w:val="24EF289D"/>
    <w:rsid w:val="24F44C86"/>
    <w:rsid w:val="24F4656C"/>
    <w:rsid w:val="24F5112A"/>
    <w:rsid w:val="24F53B2C"/>
    <w:rsid w:val="24F627AC"/>
    <w:rsid w:val="24F737AC"/>
    <w:rsid w:val="2500362B"/>
    <w:rsid w:val="250273A3"/>
    <w:rsid w:val="2503311B"/>
    <w:rsid w:val="25034EC9"/>
    <w:rsid w:val="250476FB"/>
    <w:rsid w:val="25070E5D"/>
    <w:rsid w:val="250D6DDF"/>
    <w:rsid w:val="25184E18"/>
    <w:rsid w:val="251D242F"/>
    <w:rsid w:val="252259D1"/>
    <w:rsid w:val="25237319"/>
    <w:rsid w:val="25243F0A"/>
    <w:rsid w:val="252E6E8A"/>
    <w:rsid w:val="25315EDA"/>
    <w:rsid w:val="254826D1"/>
    <w:rsid w:val="254C061E"/>
    <w:rsid w:val="254C4AC2"/>
    <w:rsid w:val="25585215"/>
    <w:rsid w:val="256C2A6E"/>
    <w:rsid w:val="256F255E"/>
    <w:rsid w:val="256F7B27"/>
    <w:rsid w:val="257B7155"/>
    <w:rsid w:val="258C5B68"/>
    <w:rsid w:val="2591155E"/>
    <w:rsid w:val="2596422C"/>
    <w:rsid w:val="25984DE2"/>
    <w:rsid w:val="259A6D17"/>
    <w:rsid w:val="259D60D1"/>
    <w:rsid w:val="25AB17E9"/>
    <w:rsid w:val="25AB7A3A"/>
    <w:rsid w:val="25B368EF"/>
    <w:rsid w:val="25B82157"/>
    <w:rsid w:val="25BA5ED0"/>
    <w:rsid w:val="25C64874"/>
    <w:rsid w:val="25D66AED"/>
    <w:rsid w:val="25DC5E46"/>
    <w:rsid w:val="25DD326C"/>
    <w:rsid w:val="25E92311"/>
    <w:rsid w:val="25EA4672"/>
    <w:rsid w:val="25ED0053"/>
    <w:rsid w:val="26021720"/>
    <w:rsid w:val="26025181"/>
    <w:rsid w:val="26040EF9"/>
    <w:rsid w:val="26055EB0"/>
    <w:rsid w:val="2609454D"/>
    <w:rsid w:val="26127ABA"/>
    <w:rsid w:val="261C6242"/>
    <w:rsid w:val="2628108B"/>
    <w:rsid w:val="262B46D7"/>
    <w:rsid w:val="262C38E5"/>
    <w:rsid w:val="26323CB8"/>
    <w:rsid w:val="263537A8"/>
    <w:rsid w:val="263E440B"/>
    <w:rsid w:val="26451C3D"/>
    <w:rsid w:val="2646191E"/>
    <w:rsid w:val="264D1F34"/>
    <w:rsid w:val="2652435A"/>
    <w:rsid w:val="26551754"/>
    <w:rsid w:val="265E685B"/>
    <w:rsid w:val="26655E3B"/>
    <w:rsid w:val="26722306"/>
    <w:rsid w:val="26740622"/>
    <w:rsid w:val="267E514F"/>
    <w:rsid w:val="26837610"/>
    <w:rsid w:val="26862310"/>
    <w:rsid w:val="268907C4"/>
    <w:rsid w:val="26976211"/>
    <w:rsid w:val="26A050C5"/>
    <w:rsid w:val="26A36964"/>
    <w:rsid w:val="26AD2EBB"/>
    <w:rsid w:val="26B11081"/>
    <w:rsid w:val="26B2663E"/>
    <w:rsid w:val="26B27B4D"/>
    <w:rsid w:val="26BB3CAD"/>
    <w:rsid w:val="26C32B62"/>
    <w:rsid w:val="26CF1150"/>
    <w:rsid w:val="26D44D6F"/>
    <w:rsid w:val="26D71E4A"/>
    <w:rsid w:val="26E33204"/>
    <w:rsid w:val="26E516C7"/>
    <w:rsid w:val="26E66850"/>
    <w:rsid w:val="26E86A6C"/>
    <w:rsid w:val="26EE1123"/>
    <w:rsid w:val="26F70A5D"/>
    <w:rsid w:val="26F927DC"/>
    <w:rsid w:val="270C62B7"/>
    <w:rsid w:val="27111B1F"/>
    <w:rsid w:val="27127645"/>
    <w:rsid w:val="271B474C"/>
    <w:rsid w:val="272560F0"/>
    <w:rsid w:val="272E26D1"/>
    <w:rsid w:val="272F6449"/>
    <w:rsid w:val="273121C1"/>
    <w:rsid w:val="27333B64"/>
    <w:rsid w:val="27392E24"/>
    <w:rsid w:val="273B1941"/>
    <w:rsid w:val="273D458E"/>
    <w:rsid w:val="27402404"/>
    <w:rsid w:val="274C2B57"/>
    <w:rsid w:val="274F43F6"/>
    <w:rsid w:val="275245C2"/>
    <w:rsid w:val="27542B39"/>
    <w:rsid w:val="275639D6"/>
    <w:rsid w:val="275B723E"/>
    <w:rsid w:val="275D6B12"/>
    <w:rsid w:val="27602AA7"/>
    <w:rsid w:val="27637EA1"/>
    <w:rsid w:val="27653C19"/>
    <w:rsid w:val="2768302A"/>
    <w:rsid w:val="276A7481"/>
    <w:rsid w:val="276C31F9"/>
    <w:rsid w:val="27750300"/>
    <w:rsid w:val="27814EF7"/>
    <w:rsid w:val="278B7B24"/>
    <w:rsid w:val="278C389C"/>
    <w:rsid w:val="27912C60"/>
    <w:rsid w:val="279A1B15"/>
    <w:rsid w:val="27A75FE0"/>
    <w:rsid w:val="27B32BD6"/>
    <w:rsid w:val="27BB697F"/>
    <w:rsid w:val="27C052F3"/>
    <w:rsid w:val="27C6290A"/>
    <w:rsid w:val="27CC38E8"/>
    <w:rsid w:val="27D25752"/>
    <w:rsid w:val="27D8088F"/>
    <w:rsid w:val="27DA1FA7"/>
    <w:rsid w:val="27DA63B5"/>
    <w:rsid w:val="27DF1C1D"/>
    <w:rsid w:val="27E37B96"/>
    <w:rsid w:val="27FD02F5"/>
    <w:rsid w:val="28021DAF"/>
    <w:rsid w:val="28072F22"/>
    <w:rsid w:val="28094EEC"/>
    <w:rsid w:val="28163BD3"/>
    <w:rsid w:val="281A0EA7"/>
    <w:rsid w:val="281C2391"/>
    <w:rsid w:val="281D62A2"/>
    <w:rsid w:val="28237D5C"/>
    <w:rsid w:val="28377363"/>
    <w:rsid w:val="284063F2"/>
    <w:rsid w:val="28433F5A"/>
    <w:rsid w:val="284615CB"/>
    <w:rsid w:val="28486918"/>
    <w:rsid w:val="28546167"/>
    <w:rsid w:val="285C5D7E"/>
    <w:rsid w:val="28681C13"/>
    <w:rsid w:val="286D0FD7"/>
    <w:rsid w:val="28843D57"/>
    <w:rsid w:val="28885E11"/>
    <w:rsid w:val="28893937"/>
    <w:rsid w:val="288A1B89"/>
    <w:rsid w:val="288D3427"/>
    <w:rsid w:val="288F719F"/>
    <w:rsid w:val="28902F18"/>
    <w:rsid w:val="28A1297A"/>
    <w:rsid w:val="28B07116"/>
    <w:rsid w:val="28B2052F"/>
    <w:rsid w:val="28B74948"/>
    <w:rsid w:val="28BC1F5F"/>
    <w:rsid w:val="28C037FD"/>
    <w:rsid w:val="28C332ED"/>
    <w:rsid w:val="28C42EEC"/>
    <w:rsid w:val="28CB3175"/>
    <w:rsid w:val="28CF3A40"/>
    <w:rsid w:val="28D14107"/>
    <w:rsid w:val="28D472A8"/>
    <w:rsid w:val="28DB23E5"/>
    <w:rsid w:val="28DE3C83"/>
    <w:rsid w:val="28E079FB"/>
    <w:rsid w:val="28E9787B"/>
    <w:rsid w:val="28EC45F2"/>
    <w:rsid w:val="28F337C0"/>
    <w:rsid w:val="28FB1E62"/>
    <w:rsid w:val="29037B8D"/>
    <w:rsid w:val="291E6775"/>
    <w:rsid w:val="292673D8"/>
    <w:rsid w:val="292A6EC8"/>
    <w:rsid w:val="292D69B8"/>
    <w:rsid w:val="293164A9"/>
    <w:rsid w:val="29353D69"/>
    <w:rsid w:val="2936586D"/>
    <w:rsid w:val="293B04AE"/>
    <w:rsid w:val="2940493E"/>
    <w:rsid w:val="29442D1D"/>
    <w:rsid w:val="29452074"/>
    <w:rsid w:val="294C6E3F"/>
    <w:rsid w:val="294E705B"/>
    <w:rsid w:val="29514455"/>
    <w:rsid w:val="29522056"/>
    <w:rsid w:val="29583A35"/>
    <w:rsid w:val="295E4DC4"/>
    <w:rsid w:val="2967011C"/>
    <w:rsid w:val="29693E94"/>
    <w:rsid w:val="296971A8"/>
    <w:rsid w:val="296D6FB3"/>
    <w:rsid w:val="297D16EE"/>
    <w:rsid w:val="29827170"/>
    <w:rsid w:val="299A5F1B"/>
    <w:rsid w:val="299F78B6"/>
    <w:rsid w:val="29A85E27"/>
    <w:rsid w:val="29B669AE"/>
    <w:rsid w:val="29C11732"/>
    <w:rsid w:val="29C15A7E"/>
    <w:rsid w:val="29D01312"/>
    <w:rsid w:val="29D92EB9"/>
    <w:rsid w:val="29E057D9"/>
    <w:rsid w:val="29E249EB"/>
    <w:rsid w:val="29E90B31"/>
    <w:rsid w:val="29E95828"/>
    <w:rsid w:val="29F3375E"/>
    <w:rsid w:val="29F342D4"/>
    <w:rsid w:val="29F80D74"/>
    <w:rsid w:val="29FA2D3E"/>
    <w:rsid w:val="29FB25D1"/>
    <w:rsid w:val="29FF0355"/>
    <w:rsid w:val="2A0E2346"/>
    <w:rsid w:val="2A1536D4"/>
    <w:rsid w:val="2A167548"/>
    <w:rsid w:val="2A1A0CEB"/>
    <w:rsid w:val="2A1F27A5"/>
    <w:rsid w:val="2A22487C"/>
    <w:rsid w:val="2A2614BF"/>
    <w:rsid w:val="2A32072A"/>
    <w:rsid w:val="2A333AC3"/>
    <w:rsid w:val="2A355B25"/>
    <w:rsid w:val="2A390483"/>
    <w:rsid w:val="2A443FBA"/>
    <w:rsid w:val="2A4B5348"/>
    <w:rsid w:val="2A4C1A18"/>
    <w:rsid w:val="2A585B80"/>
    <w:rsid w:val="2A5A1A2F"/>
    <w:rsid w:val="2A5A558B"/>
    <w:rsid w:val="2A5D6CB9"/>
    <w:rsid w:val="2A6308E4"/>
    <w:rsid w:val="2A6601A2"/>
    <w:rsid w:val="2A68414C"/>
    <w:rsid w:val="2A691C72"/>
    <w:rsid w:val="2A693A20"/>
    <w:rsid w:val="2A697EC4"/>
    <w:rsid w:val="2A704DAF"/>
    <w:rsid w:val="2A756869"/>
    <w:rsid w:val="2A760C39"/>
    <w:rsid w:val="2A866380"/>
    <w:rsid w:val="2A9036A3"/>
    <w:rsid w:val="2A9419D0"/>
    <w:rsid w:val="2AA348BC"/>
    <w:rsid w:val="2AA35184"/>
    <w:rsid w:val="2AA416B0"/>
    <w:rsid w:val="2AA607D0"/>
    <w:rsid w:val="2AB36DD8"/>
    <w:rsid w:val="2AB46E66"/>
    <w:rsid w:val="2AB503FD"/>
    <w:rsid w:val="2AB949A8"/>
    <w:rsid w:val="2AC0493A"/>
    <w:rsid w:val="2AC1560A"/>
    <w:rsid w:val="2AC670C5"/>
    <w:rsid w:val="2ACE4132"/>
    <w:rsid w:val="2AE00186"/>
    <w:rsid w:val="2AE15CAC"/>
    <w:rsid w:val="2AE632C3"/>
    <w:rsid w:val="2AE8528D"/>
    <w:rsid w:val="2AEB08D9"/>
    <w:rsid w:val="2AF046A6"/>
    <w:rsid w:val="2AF14141"/>
    <w:rsid w:val="2AF27EBA"/>
    <w:rsid w:val="2AF459E0"/>
    <w:rsid w:val="2AF608D3"/>
    <w:rsid w:val="2AFA0B1C"/>
    <w:rsid w:val="2AFA1A47"/>
    <w:rsid w:val="2AFB4FC0"/>
    <w:rsid w:val="2B011EB4"/>
    <w:rsid w:val="2B053749"/>
    <w:rsid w:val="2B1C6CE5"/>
    <w:rsid w:val="2B204A27"/>
    <w:rsid w:val="2B230073"/>
    <w:rsid w:val="2B366200"/>
    <w:rsid w:val="2B4B28F2"/>
    <w:rsid w:val="2B514BE0"/>
    <w:rsid w:val="2B660607"/>
    <w:rsid w:val="2B6D2330"/>
    <w:rsid w:val="2B797C93"/>
    <w:rsid w:val="2B8F395A"/>
    <w:rsid w:val="2B9D6077"/>
    <w:rsid w:val="2BA016C4"/>
    <w:rsid w:val="2BBA09D7"/>
    <w:rsid w:val="2BBB4515"/>
    <w:rsid w:val="2BC03B14"/>
    <w:rsid w:val="2BC314D4"/>
    <w:rsid w:val="2BC43604"/>
    <w:rsid w:val="2BC7377E"/>
    <w:rsid w:val="2BD1187D"/>
    <w:rsid w:val="2BD82C0B"/>
    <w:rsid w:val="2BDF21EC"/>
    <w:rsid w:val="2BF07F0E"/>
    <w:rsid w:val="2BF14D65"/>
    <w:rsid w:val="2BFC0FF0"/>
    <w:rsid w:val="2BFF463C"/>
    <w:rsid w:val="2C066D4A"/>
    <w:rsid w:val="2C091017"/>
    <w:rsid w:val="2C1300E8"/>
    <w:rsid w:val="2C167BD8"/>
    <w:rsid w:val="2C1E6354"/>
    <w:rsid w:val="2C2422F5"/>
    <w:rsid w:val="2C2D7517"/>
    <w:rsid w:val="2C385DA0"/>
    <w:rsid w:val="2C3A1B18"/>
    <w:rsid w:val="2C3B319A"/>
    <w:rsid w:val="2C4509EF"/>
    <w:rsid w:val="2C493B09"/>
    <w:rsid w:val="2C4D184B"/>
    <w:rsid w:val="2C51190C"/>
    <w:rsid w:val="2C55425C"/>
    <w:rsid w:val="2C574478"/>
    <w:rsid w:val="2C5E6435"/>
    <w:rsid w:val="2C6B3A80"/>
    <w:rsid w:val="2C730B86"/>
    <w:rsid w:val="2C7D37B3"/>
    <w:rsid w:val="2C7F39CF"/>
    <w:rsid w:val="2C7F577D"/>
    <w:rsid w:val="2C800539"/>
    <w:rsid w:val="2C81312E"/>
    <w:rsid w:val="2C822369"/>
    <w:rsid w:val="2C8965FC"/>
    <w:rsid w:val="2C8B42D2"/>
    <w:rsid w:val="2C8E776E"/>
    <w:rsid w:val="2C934D84"/>
    <w:rsid w:val="2C972AC7"/>
    <w:rsid w:val="2C9C1E8B"/>
    <w:rsid w:val="2CA451E4"/>
    <w:rsid w:val="2CA46F92"/>
    <w:rsid w:val="2CAE7E10"/>
    <w:rsid w:val="2CB05936"/>
    <w:rsid w:val="2CBB79FD"/>
    <w:rsid w:val="2CBC42DB"/>
    <w:rsid w:val="2CC338BC"/>
    <w:rsid w:val="2CC66F08"/>
    <w:rsid w:val="2CC777C8"/>
    <w:rsid w:val="2CD930DF"/>
    <w:rsid w:val="2CE451F3"/>
    <w:rsid w:val="2CE657FC"/>
    <w:rsid w:val="2CE8602F"/>
    <w:rsid w:val="2CEF2903"/>
    <w:rsid w:val="2CFE2B46"/>
    <w:rsid w:val="2D0619FA"/>
    <w:rsid w:val="2D09627B"/>
    <w:rsid w:val="2D12214D"/>
    <w:rsid w:val="2D12791F"/>
    <w:rsid w:val="2D23435A"/>
    <w:rsid w:val="2D282599"/>
    <w:rsid w:val="2D2D14AC"/>
    <w:rsid w:val="2D2D6F87"/>
    <w:rsid w:val="2D355E3C"/>
    <w:rsid w:val="2D3622E0"/>
    <w:rsid w:val="2D5409B8"/>
    <w:rsid w:val="2D5E5392"/>
    <w:rsid w:val="2D675E34"/>
    <w:rsid w:val="2D67693D"/>
    <w:rsid w:val="2D6904DB"/>
    <w:rsid w:val="2D6F134E"/>
    <w:rsid w:val="2D76092E"/>
    <w:rsid w:val="2D7F58FA"/>
    <w:rsid w:val="2D872B3B"/>
    <w:rsid w:val="2D8748E9"/>
    <w:rsid w:val="2D8C0151"/>
    <w:rsid w:val="2D8F379E"/>
    <w:rsid w:val="2D942742"/>
    <w:rsid w:val="2D960FD0"/>
    <w:rsid w:val="2D9F5AAB"/>
    <w:rsid w:val="2DA059AB"/>
    <w:rsid w:val="2DA6263C"/>
    <w:rsid w:val="2DAD1E76"/>
    <w:rsid w:val="2DC53663"/>
    <w:rsid w:val="2DC71329"/>
    <w:rsid w:val="2DC9254F"/>
    <w:rsid w:val="2DD240A1"/>
    <w:rsid w:val="2DD35D80"/>
    <w:rsid w:val="2DDE69D2"/>
    <w:rsid w:val="2DE007D6"/>
    <w:rsid w:val="2DE735DA"/>
    <w:rsid w:val="2DEA131C"/>
    <w:rsid w:val="2DF00258"/>
    <w:rsid w:val="2DF002CB"/>
    <w:rsid w:val="2DF87595"/>
    <w:rsid w:val="2DFA7E53"/>
    <w:rsid w:val="2E00644A"/>
    <w:rsid w:val="2E0143CE"/>
    <w:rsid w:val="2E0979F4"/>
    <w:rsid w:val="2E0A551A"/>
    <w:rsid w:val="2E0E0B66"/>
    <w:rsid w:val="2E222864"/>
    <w:rsid w:val="2E241400"/>
    <w:rsid w:val="2E317F48"/>
    <w:rsid w:val="2E3B56D4"/>
    <w:rsid w:val="2E3C1B78"/>
    <w:rsid w:val="2E47051C"/>
    <w:rsid w:val="2E4A0ED6"/>
    <w:rsid w:val="2E4A36A5"/>
    <w:rsid w:val="2E4E3659"/>
    <w:rsid w:val="2E505623"/>
    <w:rsid w:val="2E6E5AA9"/>
    <w:rsid w:val="2E6E7857"/>
    <w:rsid w:val="2E7330BF"/>
    <w:rsid w:val="2E772BB0"/>
    <w:rsid w:val="2E7F7181"/>
    <w:rsid w:val="2E842706"/>
    <w:rsid w:val="2E861045"/>
    <w:rsid w:val="2E8C1DFE"/>
    <w:rsid w:val="2E9574DA"/>
    <w:rsid w:val="2EA63495"/>
    <w:rsid w:val="2EA66FF1"/>
    <w:rsid w:val="2EA8720D"/>
    <w:rsid w:val="2EA96AE1"/>
    <w:rsid w:val="2EB97CA5"/>
    <w:rsid w:val="2EC13E2B"/>
    <w:rsid w:val="2EC23C82"/>
    <w:rsid w:val="2EC42B2F"/>
    <w:rsid w:val="2ED26038"/>
    <w:rsid w:val="2ED61D9E"/>
    <w:rsid w:val="2EE67D35"/>
    <w:rsid w:val="2EF53AD4"/>
    <w:rsid w:val="2F0D0E1E"/>
    <w:rsid w:val="2F0F73DE"/>
    <w:rsid w:val="2F10684B"/>
    <w:rsid w:val="2F106B60"/>
    <w:rsid w:val="2F124686"/>
    <w:rsid w:val="2F2919D0"/>
    <w:rsid w:val="2F2B1BEC"/>
    <w:rsid w:val="2F2D2619"/>
    <w:rsid w:val="2F350375"/>
    <w:rsid w:val="2F3C5BA7"/>
    <w:rsid w:val="2F436268"/>
    <w:rsid w:val="2F4607D4"/>
    <w:rsid w:val="2F4A686A"/>
    <w:rsid w:val="2F4D7D91"/>
    <w:rsid w:val="2F5A5701"/>
    <w:rsid w:val="2F5C1DA5"/>
    <w:rsid w:val="2F601896"/>
    <w:rsid w:val="2F733637"/>
    <w:rsid w:val="2F736A5D"/>
    <w:rsid w:val="2F7B0494"/>
    <w:rsid w:val="2F7E2C59"/>
    <w:rsid w:val="2F837332"/>
    <w:rsid w:val="2F880DEC"/>
    <w:rsid w:val="2F8A06C1"/>
    <w:rsid w:val="2F8F0EBA"/>
    <w:rsid w:val="2F950E14"/>
    <w:rsid w:val="2F967065"/>
    <w:rsid w:val="2F972DDE"/>
    <w:rsid w:val="2F974B8C"/>
    <w:rsid w:val="2FA04132"/>
    <w:rsid w:val="2FA8323D"/>
    <w:rsid w:val="2FAA48BF"/>
    <w:rsid w:val="2FAD43AF"/>
    <w:rsid w:val="2FAF6436"/>
    <w:rsid w:val="2FB621EB"/>
    <w:rsid w:val="2FBD734D"/>
    <w:rsid w:val="2FC31E25"/>
    <w:rsid w:val="2FC70511"/>
    <w:rsid w:val="2FCB45DC"/>
    <w:rsid w:val="2FCC01AB"/>
    <w:rsid w:val="2FD44032"/>
    <w:rsid w:val="2FD8767E"/>
    <w:rsid w:val="2FE210F8"/>
    <w:rsid w:val="2FE37DD1"/>
    <w:rsid w:val="2FF63FA8"/>
    <w:rsid w:val="30000983"/>
    <w:rsid w:val="3002294D"/>
    <w:rsid w:val="300264A9"/>
    <w:rsid w:val="30050B03"/>
    <w:rsid w:val="300C7328"/>
    <w:rsid w:val="300D3E14"/>
    <w:rsid w:val="300F0BC6"/>
    <w:rsid w:val="30185CCC"/>
    <w:rsid w:val="30186CF7"/>
    <w:rsid w:val="30197C97"/>
    <w:rsid w:val="302208F9"/>
    <w:rsid w:val="302E0A63"/>
    <w:rsid w:val="302F3016"/>
    <w:rsid w:val="303D5733"/>
    <w:rsid w:val="3040220C"/>
    <w:rsid w:val="30405223"/>
    <w:rsid w:val="30470360"/>
    <w:rsid w:val="30477E3E"/>
    <w:rsid w:val="3049057C"/>
    <w:rsid w:val="30542A7D"/>
    <w:rsid w:val="30556F21"/>
    <w:rsid w:val="30560FE3"/>
    <w:rsid w:val="30564A47"/>
    <w:rsid w:val="30586A11"/>
    <w:rsid w:val="305B3E0B"/>
    <w:rsid w:val="30703D5A"/>
    <w:rsid w:val="30734F38"/>
    <w:rsid w:val="30736266"/>
    <w:rsid w:val="307849BD"/>
    <w:rsid w:val="30801AC4"/>
    <w:rsid w:val="30915A7F"/>
    <w:rsid w:val="3095731D"/>
    <w:rsid w:val="30980BBB"/>
    <w:rsid w:val="30992B52"/>
    <w:rsid w:val="309E3334"/>
    <w:rsid w:val="30A471F6"/>
    <w:rsid w:val="30B31E99"/>
    <w:rsid w:val="30B84529"/>
    <w:rsid w:val="30B84586"/>
    <w:rsid w:val="30BA56DE"/>
    <w:rsid w:val="30C23E8A"/>
    <w:rsid w:val="30CD2F5B"/>
    <w:rsid w:val="30D065A7"/>
    <w:rsid w:val="30D140CD"/>
    <w:rsid w:val="30D51E0F"/>
    <w:rsid w:val="30D616E4"/>
    <w:rsid w:val="30D836AE"/>
    <w:rsid w:val="30DA7426"/>
    <w:rsid w:val="30E16777"/>
    <w:rsid w:val="30EB518F"/>
    <w:rsid w:val="30F009F7"/>
    <w:rsid w:val="30F74B66"/>
    <w:rsid w:val="30FD3114"/>
    <w:rsid w:val="30FF50DE"/>
    <w:rsid w:val="310B66D2"/>
    <w:rsid w:val="310D2353"/>
    <w:rsid w:val="310D27F3"/>
    <w:rsid w:val="310E70CF"/>
    <w:rsid w:val="312132A7"/>
    <w:rsid w:val="312C26C3"/>
    <w:rsid w:val="312E32CE"/>
    <w:rsid w:val="312F7772"/>
    <w:rsid w:val="31322DBE"/>
    <w:rsid w:val="313B4368"/>
    <w:rsid w:val="313C3C3D"/>
    <w:rsid w:val="313E5C07"/>
    <w:rsid w:val="313E79B5"/>
    <w:rsid w:val="3144245D"/>
    <w:rsid w:val="31491AE3"/>
    <w:rsid w:val="314D5E4A"/>
    <w:rsid w:val="315F792B"/>
    <w:rsid w:val="31615451"/>
    <w:rsid w:val="316A3FC7"/>
    <w:rsid w:val="317C04DD"/>
    <w:rsid w:val="317E4255"/>
    <w:rsid w:val="31800F82"/>
    <w:rsid w:val="318178A1"/>
    <w:rsid w:val="31857392"/>
    <w:rsid w:val="318A0E4C"/>
    <w:rsid w:val="3196159F"/>
    <w:rsid w:val="319A0622"/>
    <w:rsid w:val="319D0194"/>
    <w:rsid w:val="319D3D2B"/>
    <w:rsid w:val="31A41E31"/>
    <w:rsid w:val="31A51E5A"/>
    <w:rsid w:val="31AA07B4"/>
    <w:rsid w:val="31B7169F"/>
    <w:rsid w:val="31BB2DB3"/>
    <w:rsid w:val="31C3610C"/>
    <w:rsid w:val="31C61758"/>
    <w:rsid w:val="31CD2AE7"/>
    <w:rsid w:val="31DE6AA2"/>
    <w:rsid w:val="31E16BB0"/>
    <w:rsid w:val="31ED4F37"/>
    <w:rsid w:val="31F1484C"/>
    <w:rsid w:val="31F369F1"/>
    <w:rsid w:val="31F462C5"/>
    <w:rsid w:val="31FB3AF8"/>
    <w:rsid w:val="31FB3DE2"/>
    <w:rsid w:val="32024E86"/>
    <w:rsid w:val="3207249C"/>
    <w:rsid w:val="320B7BFA"/>
    <w:rsid w:val="3210297E"/>
    <w:rsid w:val="32137850"/>
    <w:rsid w:val="32140715"/>
    <w:rsid w:val="321921D0"/>
    <w:rsid w:val="321F6E11"/>
    <w:rsid w:val="32270449"/>
    <w:rsid w:val="322F72FD"/>
    <w:rsid w:val="32340DB8"/>
    <w:rsid w:val="32342B66"/>
    <w:rsid w:val="3237618E"/>
    <w:rsid w:val="32452FC5"/>
    <w:rsid w:val="324A05DB"/>
    <w:rsid w:val="324D52A1"/>
    <w:rsid w:val="325029E4"/>
    <w:rsid w:val="325925CC"/>
    <w:rsid w:val="32622E39"/>
    <w:rsid w:val="3264344B"/>
    <w:rsid w:val="32674CE9"/>
    <w:rsid w:val="326C67A3"/>
    <w:rsid w:val="326D2149"/>
    <w:rsid w:val="326D2429"/>
    <w:rsid w:val="32701DFC"/>
    <w:rsid w:val="327A2C6E"/>
    <w:rsid w:val="32800850"/>
    <w:rsid w:val="328868C2"/>
    <w:rsid w:val="328C4750"/>
    <w:rsid w:val="32903C4D"/>
    <w:rsid w:val="32911317"/>
    <w:rsid w:val="329456C3"/>
    <w:rsid w:val="32A415AE"/>
    <w:rsid w:val="32A43A33"/>
    <w:rsid w:val="32A83BE9"/>
    <w:rsid w:val="32B36180"/>
    <w:rsid w:val="32B75C71"/>
    <w:rsid w:val="32B803DE"/>
    <w:rsid w:val="32C24615"/>
    <w:rsid w:val="32C37B36"/>
    <w:rsid w:val="32CD77ED"/>
    <w:rsid w:val="32D00AE0"/>
    <w:rsid w:val="32D303D9"/>
    <w:rsid w:val="32D305D1"/>
    <w:rsid w:val="32D84C7B"/>
    <w:rsid w:val="32DB1233"/>
    <w:rsid w:val="32E41DED"/>
    <w:rsid w:val="32EE0F67"/>
    <w:rsid w:val="32F52902"/>
    <w:rsid w:val="32F770E2"/>
    <w:rsid w:val="33010C9A"/>
    <w:rsid w:val="33062754"/>
    <w:rsid w:val="330C763F"/>
    <w:rsid w:val="331F55C4"/>
    <w:rsid w:val="331F7372"/>
    <w:rsid w:val="3321133C"/>
    <w:rsid w:val="33226E62"/>
    <w:rsid w:val="33321433"/>
    <w:rsid w:val="33353039"/>
    <w:rsid w:val="334212B2"/>
    <w:rsid w:val="33490893"/>
    <w:rsid w:val="33492641"/>
    <w:rsid w:val="33525999"/>
    <w:rsid w:val="335334BF"/>
    <w:rsid w:val="335D09BB"/>
    <w:rsid w:val="33641229"/>
    <w:rsid w:val="336A2CE3"/>
    <w:rsid w:val="33705E1F"/>
    <w:rsid w:val="33721B98"/>
    <w:rsid w:val="33745910"/>
    <w:rsid w:val="33746DD8"/>
    <w:rsid w:val="337A6C9E"/>
    <w:rsid w:val="33811DDB"/>
    <w:rsid w:val="3384518C"/>
    <w:rsid w:val="338D69D1"/>
    <w:rsid w:val="339531E1"/>
    <w:rsid w:val="339A10EE"/>
    <w:rsid w:val="339A3DE9"/>
    <w:rsid w:val="339A5589"/>
    <w:rsid w:val="339F728B"/>
    <w:rsid w:val="33A15FD9"/>
    <w:rsid w:val="33AE06F6"/>
    <w:rsid w:val="33AF6948"/>
    <w:rsid w:val="33B158EA"/>
    <w:rsid w:val="33B3712A"/>
    <w:rsid w:val="33B45D0C"/>
    <w:rsid w:val="33BE4DDD"/>
    <w:rsid w:val="33BE685C"/>
    <w:rsid w:val="33C06DA7"/>
    <w:rsid w:val="33C65770"/>
    <w:rsid w:val="33CC574C"/>
    <w:rsid w:val="33D12D62"/>
    <w:rsid w:val="33D41102"/>
    <w:rsid w:val="33D60378"/>
    <w:rsid w:val="33D939C5"/>
    <w:rsid w:val="33F425AD"/>
    <w:rsid w:val="33F7209D"/>
    <w:rsid w:val="33F97BC3"/>
    <w:rsid w:val="34050C5E"/>
    <w:rsid w:val="340541A5"/>
    <w:rsid w:val="34086058"/>
    <w:rsid w:val="340A0D53"/>
    <w:rsid w:val="34117602"/>
    <w:rsid w:val="34125129"/>
    <w:rsid w:val="341D504B"/>
    <w:rsid w:val="34232E92"/>
    <w:rsid w:val="34284AAC"/>
    <w:rsid w:val="34311A53"/>
    <w:rsid w:val="3431735D"/>
    <w:rsid w:val="343D21A6"/>
    <w:rsid w:val="344828F8"/>
    <w:rsid w:val="344A1546"/>
    <w:rsid w:val="345707EA"/>
    <w:rsid w:val="346314E0"/>
    <w:rsid w:val="346D47E3"/>
    <w:rsid w:val="346E05B1"/>
    <w:rsid w:val="34705599"/>
    <w:rsid w:val="34732316"/>
    <w:rsid w:val="347668BE"/>
    <w:rsid w:val="347B083F"/>
    <w:rsid w:val="348C4EDB"/>
    <w:rsid w:val="348E2A01"/>
    <w:rsid w:val="348F22D5"/>
    <w:rsid w:val="34947CAF"/>
    <w:rsid w:val="34952040"/>
    <w:rsid w:val="34980548"/>
    <w:rsid w:val="3498562E"/>
    <w:rsid w:val="34A35D81"/>
    <w:rsid w:val="34AA2C62"/>
    <w:rsid w:val="34AB35B3"/>
    <w:rsid w:val="34AD3BB4"/>
    <w:rsid w:val="34AD4440"/>
    <w:rsid w:val="34B306BA"/>
    <w:rsid w:val="34B72695"/>
    <w:rsid w:val="34B873A0"/>
    <w:rsid w:val="34BD32E6"/>
    <w:rsid w:val="34BD5094"/>
    <w:rsid w:val="34C06933"/>
    <w:rsid w:val="34C72FF5"/>
    <w:rsid w:val="34CC3529"/>
    <w:rsid w:val="34CE54F3"/>
    <w:rsid w:val="34D81ECE"/>
    <w:rsid w:val="34DD3449"/>
    <w:rsid w:val="34DD5737"/>
    <w:rsid w:val="34E06478"/>
    <w:rsid w:val="34E40873"/>
    <w:rsid w:val="34E55AC4"/>
    <w:rsid w:val="34F62036"/>
    <w:rsid w:val="34FB1ADE"/>
    <w:rsid w:val="34FD2CC6"/>
    <w:rsid w:val="350014F0"/>
    <w:rsid w:val="35074561"/>
    <w:rsid w:val="35101668"/>
    <w:rsid w:val="35101E10"/>
    <w:rsid w:val="35141C21"/>
    <w:rsid w:val="35223149"/>
    <w:rsid w:val="35300883"/>
    <w:rsid w:val="35325377"/>
    <w:rsid w:val="353F33FD"/>
    <w:rsid w:val="35415CC5"/>
    <w:rsid w:val="354F3660"/>
    <w:rsid w:val="35507CB7"/>
    <w:rsid w:val="355377A7"/>
    <w:rsid w:val="35577297"/>
    <w:rsid w:val="356D0868"/>
    <w:rsid w:val="3583008C"/>
    <w:rsid w:val="3584486B"/>
    <w:rsid w:val="35847960"/>
    <w:rsid w:val="358B0CEF"/>
    <w:rsid w:val="35971885"/>
    <w:rsid w:val="359A53D6"/>
    <w:rsid w:val="35A3072E"/>
    <w:rsid w:val="35A95619"/>
    <w:rsid w:val="35C0308E"/>
    <w:rsid w:val="35DA1B08"/>
    <w:rsid w:val="35DE1766"/>
    <w:rsid w:val="35E166DA"/>
    <w:rsid w:val="35EB5C31"/>
    <w:rsid w:val="35ED71D4"/>
    <w:rsid w:val="35FE5964"/>
    <w:rsid w:val="3601226B"/>
    <w:rsid w:val="36022C46"/>
    <w:rsid w:val="36112D6D"/>
    <w:rsid w:val="361138EA"/>
    <w:rsid w:val="361433DA"/>
    <w:rsid w:val="361C3EBD"/>
    <w:rsid w:val="362A32DD"/>
    <w:rsid w:val="362C08A6"/>
    <w:rsid w:val="362C1AE2"/>
    <w:rsid w:val="362C24D2"/>
    <w:rsid w:val="36323860"/>
    <w:rsid w:val="363323F5"/>
    <w:rsid w:val="363B2715"/>
    <w:rsid w:val="364315C9"/>
    <w:rsid w:val="364F39A5"/>
    <w:rsid w:val="364F61C0"/>
    <w:rsid w:val="36575075"/>
    <w:rsid w:val="36625EF3"/>
    <w:rsid w:val="366559E4"/>
    <w:rsid w:val="366B28CE"/>
    <w:rsid w:val="366D6646"/>
    <w:rsid w:val="366E4D55"/>
    <w:rsid w:val="36711080"/>
    <w:rsid w:val="36746BAD"/>
    <w:rsid w:val="367E0853"/>
    <w:rsid w:val="368340BC"/>
    <w:rsid w:val="36873BAC"/>
    <w:rsid w:val="3699568D"/>
    <w:rsid w:val="369B7657"/>
    <w:rsid w:val="36A743DD"/>
    <w:rsid w:val="36B51ED3"/>
    <w:rsid w:val="36BB5604"/>
    <w:rsid w:val="36BC355C"/>
    <w:rsid w:val="36BF474E"/>
    <w:rsid w:val="36C11723"/>
    <w:rsid w:val="36C721FA"/>
    <w:rsid w:val="36DD1A1E"/>
    <w:rsid w:val="36E556BA"/>
    <w:rsid w:val="36F11025"/>
    <w:rsid w:val="36F17277"/>
    <w:rsid w:val="36F24934"/>
    <w:rsid w:val="36F6663C"/>
    <w:rsid w:val="37023232"/>
    <w:rsid w:val="370A0339"/>
    <w:rsid w:val="37132821"/>
    <w:rsid w:val="37133692"/>
    <w:rsid w:val="37144D14"/>
    <w:rsid w:val="371766B4"/>
    <w:rsid w:val="3718335F"/>
    <w:rsid w:val="371E6E35"/>
    <w:rsid w:val="37256F21"/>
    <w:rsid w:val="372E5DD5"/>
    <w:rsid w:val="37305FF2"/>
    <w:rsid w:val="37337890"/>
    <w:rsid w:val="37362EDC"/>
    <w:rsid w:val="373F6FEF"/>
    <w:rsid w:val="3748158D"/>
    <w:rsid w:val="374B2E2B"/>
    <w:rsid w:val="374C2700"/>
    <w:rsid w:val="37652B59"/>
    <w:rsid w:val="376C4B50"/>
    <w:rsid w:val="376C7D04"/>
    <w:rsid w:val="376E2676"/>
    <w:rsid w:val="37704A11"/>
    <w:rsid w:val="377834F5"/>
    <w:rsid w:val="378E4AC6"/>
    <w:rsid w:val="37941132"/>
    <w:rsid w:val="37976071"/>
    <w:rsid w:val="379A16BD"/>
    <w:rsid w:val="37BC5AD7"/>
    <w:rsid w:val="37BF7375"/>
    <w:rsid w:val="37D045BF"/>
    <w:rsid w:val="37D4605F"/>
    <w:rsid w:val="37E56DDC"/>
    <w:rsid w:val="37FA7109"/>
    <w:rsid w:val="37FF7772"/>
    <w:rsid w:val="380D1E8F"/>
    <w:rsid w:val="381B0A50"/>
    <w:rsid w:val="381C47C8"/>
    <w:rsid w:val="381C58C4"/>
    <w:rsid w:val="38262F51"/>
    <w:rsid w:val="382A0C93"/>
    <w:rsid w:val="382B67B9"/>
    <w:rsid w:val="382C29C4"/>
    <w:rsid w:val="38325D99"/>
    <w:rsid w:val="383513E6"/>
    <w:rsid w:val="384358B1"/>
    <w:rsid w:val="38437481"/>
    <w:rsid w:val="384C25B1"/>
    <w:rsid w:val="384D5194"/>
    <w:rsid w:val="384D672F"/>
    <w:rsid w:val="38547C0B"/>
    <w:rsid w:val="38576AF0"/>
    <w:rsid w:val="3869495B"/>
    <w:rsid w:val="386A72E1"/>
    <w:rsid w:val="386F66A6"/>
    <w:rsid w:val="38767A34"/>
    <w:rsid w:val="387737AC"/>
    <w:rsid w:val="387D5266"/>
    <w:rsid w:val="388008B3"/>
    <w:rsid w:val="388F0AF6"/>
    <w:rsid w:val="389B22E9"/>
    <w:rsid w:val="389B393F"/>
    <w:rsid w:val="389B749B"/>
    <w:rsid w:val="38A65312"/>
    <w:rsid w:val="38B144A1"/>
    <w:rsid w:val="38B365AD"/>
    <w:rsid w:val="38B44A00"/>
    <w:rsid w:val="38B5603D"/>
    <w:rsid w:val="38BF587F"/>
    <w:rsid w:val="38C24556"/>
    <w:rsid w:val="38D56870"/>
    <w:rsid w:val="38D76175"/>
    <w:rsid w:val="38D806EF"/>
    <w:rsid w:val="38DB01DF"/>
    <w:rsid w:val="38E235CB"/>
    <w:rsid w:val="38E452E6"/>
    <w:rsid w:val="38E726E0"/>
    <w:rsid w:val="38EA6674"/>
    <w:rsid w:val="38EE7F12"/>
    <w:rsid w:val="38F44DFD"/>
    <w:rsid w:val="38F45B4D"/>
    <w:rsid w:val="38FD63A7"/>
    <w:rsid w:val="39007C46"/>
    <w:rsid w:val="39045DEA"/>
    <w:rsid w:val="3914549F"/>
    <w:rsid w:val="39170434"/>
    <w:rsid w:val="39180127"/>
    <w:rsid w:val="391D07F7"/>
    <w:rsid w:val="391E0899"/>
    <w:rsid w:val="39225E0E"/>
    <w:rsid w:val="3929703F"/>
    <w:rsid w:val="392D7775"/>
    <w:rsid w:val="392E0314"/>
    <w:rsid w:val="39355B41"/>
    <w:rsid w:val="39386A66"/>
    <w:rsid w:val="393B0C7E"/>
    <w:rsid w:val="39433B79"/>
    <w:rsid w:val="394538AA"/>
    <w:rsid w:val="39461AFC"/>
    <w:rsid w:val="3946634B"/>
    <w:rsid w:val="394E2B24"/>
    <w:rsid w:val="39513F13"/>
    <w:rsid w:val="39537D75"/>
    <w:rsid w:val="395C1320"/>
    <w:rsid w:val="395F671A"/>
    <w:rsid w:val="39691347"/>
    <w:rsid w:val="39693A3D"/>
    <w:rsid w:val="396B5955"/>
    <w:rsid w:val="396D45FF"/>
    <w:rsid w:val="396D5355"/>
    <w:rsid w:val="396F26D5"/>
    <w:rsid w:val="397228F1"/>
    <w:rsid w:val="39760CD0"/>
    <w:rsid w:val="39777F08"/>
    <w:rsid w:val="39785A2E"/>
    <w:rsid w:val="397F6DBC"/>
    <w:rsid w:val="39803209"/>
    <w:rsid w:val="39893797"/>
    <w:rsid w:val="39924D42"/>
    <w:rsid w:val="399B7293"/>
    <w:rsid w:val="399C171C"/>
    <w:rsid w:val="399C6C8E"/>
    <w:rsid w:val="39A82FD8"/>
    <w:rsid w:val="39B2676F"/>
    <w:rsid w:val="39B747A8"/>
    <w:rsid w:val="39C406C0"/>
    <w:rsid w:val="39D52E80"/>
    <w:rsid w:val="39D8471E"/>
    <w:rsid w:val="39DD3AE3"/>
    <w:rsid w:val="39E403CC"/>
    <w:rsid w:val="39E92488"/>
    <w:rsid w:val="39E9692C"/>
    <w:rsid w:val="39ED7FCB"/>
    <w:rsid w:val="39F63F29"/>
    <w:rsid w:val="39FA6443"/>
    <w:rsid w:val="39FD24D7"/>
    <w:rsid w:val="3A092B2A"/>
    <w:rsid w:val="3A255BB6"/>
    <w:rsid w:val="3A2E433E"/>
    <w:rsid w:val="3A304F3B"/>
    <w:rsid w:val="3A3556CD"/>
    <w:rsid w:val="3A361B71"/>
    <w:rsid w:val="3A3E0A25"/>
    <w:rsid w:val="3A4B3142"/>
    <w:rsid w:val="3A4D1D3F"/>
    <w:rsid w:val="3A5169AB"/>
    <w:rsid w:val="3A571AE7"/>
    <w:rsid w:val="3A575643"/>
    <w:rsid w:val="3A6D30B9"/>
    <w:rsid w:val="3A777A93"/>
    <w:rsid w:val="3A797CAF"/>
    <w:rsid w:val="3A80103E"/>
    <w:rsid w:val="3A86417A"/>
    <w:rsid w:val="3A8A77C7"/>
    <w:rsid w:val="3A8F4314"/>
    <w:rsid w:val="3A9B7C26"/>
    <w:rsid w:val="3A9C574C"/>
    <w:rsid w:val="3A9E14C4"/>
    <w:rsid w:val="3AA0348E"/>
    <w:rsid w:val="3AA36ADA"/>
    <w:rsid w:val="3AA572CA"/>
    <w:rsid w:val="3AA82343"/>
    <w:rsid w:val="3AAC3BE1"/>
    <w:rsid w:val="3AB64A60"/>
    <w:rsid w:val="3ABE3914"/>
    <w:rsid w:val="3AC0768C"/>
    <w:rsid w:val="3AC23405"/>
    <w:rsid w:val="3AD46C94"/>
    <w:rsid w:val="3AED7D56"/>
    <w:rsid w:val="3AEE5216"/>
    <w:rsid w:val="3AF630AE"/>
    <w:rsid w:val="3AFA0DF0"/>
    <w:rsid w:val="3B00217F"/>
    <w:rsid w:val="3B0E18C4"/>
    <w:rsid w:val="3B0E5C90"/>
    <w:rsid w:val="3B0F23C2"/>
    <w:rsid w:val="3B105AF9"/>
    <w:rsid w:val="3B1A3241"/>
    <w:rsid w:val="3B284888"/>
    <w:rsid w:val="3B2B6D8A"/>
    <w:rsid w:val="3B334302"/>
    <w:rsid w:val="3B351833"/>
    <w:rsid w:val="3B4A51A8"/>
    <w:rsid w:val="3B4E4C98"/>
    <w:rsid w:val="3B5330AD"/>
    <w:rsid w:val="3B556027"/>
    <w:rsid w:val="3B6224F2"/>
    <w:rsid w:val="3B634EC9"/>
    <w:rsid w:val="3B64270E"/>
    <w:rsid w:val="3B651FE2"/>
    <w:rsid w:val="3B6B5729"/>
    <w:rsid w:val="3B7E34B1"/>
    <w:rsid w:val="3B837F8F"/>
    <w:rsid w:val="3B8C3E53"/>
    <w:rsid w:val="3B8C57C0"/>
    <w:rsid w:val="3B903503"/>
    <w:rsid w:val="3B9A7EDD"/>
    <w:rsid w:val="3BA174BE"/>
    <w:rsid w:val="3BA90120"/>
    <w:rsid w:val="3BAB6E46"/>
    <w:rsid w:val="3BAE1BDB"/>
    <w:rsid w:val="3BB52F69"/>
    <w:rsid w:val="3BBC60A6"/>
    <w:rsid w:val="3BBD1E1E"/>
    <w:rsid w:val="3BBF5B96"/>
    <w:rsid w:val="3BBF7944"/>
    <w:rsid w:val="3BC34996"/>
    <w:rsid w:val="3BC62A80"/>
    <w:rsid w:val="3BC74A4B"/>
    <w:rsid w:val="3BD50179"/>
    <w:rsid w:val="3BDC6748"/>
    <w:rsid w:val="3BDF7FE6"/>
    <w:rsid w:val="3BE473AB"/>
    <w:rsid w:val="3BEC625F"/>
    <w:rsid w:val="3BF21AC7"/>
    <w:rsid w:val="3BFC5EF5"/>
    <w:rsid w:val="3BFD046C"/>
    <w:rsid w:val="3C0D6901"/>
    <w:rsid w:val="3C1275F2"/>
    <w:rsid w:val="3C221C81"/>
    <w:rsid w:val="3C291261"/>
    <w:rsid w:val="3C2D0D52"/>
    <w:rsid w:val="3C37397E"/>
    <w:rsid w:val="3C4121AF"/>
    <w:rsid w:val="3C447E49"/>
    <w:rsid w:val="3C5F0D24"/>
    <w:rsid w:val="3C6632BA"/>
    <w:rsid w:val="3C6C3297"/>
    <w:rsid w:val="3C700E2B"/>
    <w:rsid w:val="3C771FCD"/>
    <w:rsid w:val="3C7C75E3"/>
    <w:rsid w:val="3C805A5B"/>
    <w:rsid w:val="3C860462"/>
    <w:rsid w:val="3C8D17F0"/>
    <w:rsid w:val="3C8E63DE"/>
    <w:rsid w:val="3C951AAB"/>
    <w:rsid w:val="3C9C7C85"/>
    <w:rsid w:val="3C9D7253"/>
    <w:rsid w:val="3C9E77ED"/>
    <w:rsid w:val="3CA01523"/>
    <w:rsid w:val="3CB26D00"/>
    <w:rsid w:val="3CBF5346"/>
    <w:rsid w:val="3CD1792F"/>
    <w:rsid w:val="3CD2105C"/>
    <w:rsid w:val="3CD70CBD"/>
    <w:rsid w:val="3CDC4526"/>
    <w:rsid w:val="3CDE71C1"/>
    <w:rsid w:val="3CEB0B98"/>
    <w:rsid w:val="3CF578B9"/>
    <w:rsid w:val="3CF90C34"/>
    <w:rsid w:val="3D0C69C3"/>
    <w:rsid w:val="3D0C7F39"/>
    <w:rsid w:val="3D150407"/>
    <w:rsid w:val="3D1D0DC6"/>
    <w:rsid w:val="3D1F4B30"/>
    <w:rsid w:val="3D202664"/>
    <w:rsid w:val="3D285477"/>
    <w:rsid w:val="3D2F0AF9"/>
    <w:rsid w:val="3D3103CE"/>
    <w:rsid w:val="3D314871"/>
    <w:rsid w:val="3D374762"/>
    <w:rsid w:val="3D600CB3"/>
    <w:rsid w:val="3D7604D6"/>
    <w:rsid w:val="3D785FFC"/>
    <w:rsid w:val="3D7B5AED"/>
    <w:rsid w:val="3D826E7B"/>
    <w:rsid w:val="3D827DBA"/>
    <w:rsid w:val="3D8A3F82"/>
    <w:rsid w:val="3D8C7CFA"/>
    <w:rsid w:val="3D93628C"/>
    <w:rsid w:val="3DA45043"/>
    <w:rsid w:val="3DA768E2"/>
    <w:rsid w:val="3DAE01CF"/>
    <w:rsid w:val="3DB81B78"/>
    <w:rsid w:val="3DBF46B8"/>
    <w:rsid w:val="3DC2196D"/>
    <w:rsid w:val="3DC456E6"/>
    <w:rsid w:val="3DD671C7"/>
    <w:rsid w:val="3DF71E8B"/>
    <w:rsid w:val="3E0114E9"/>
    <w:rsid w:val="3E06185A"/>
    <w:rsid w:val="3E10092B"/>
    <w:rsid w:val="3E246184"/>
    <w:rsid w:val="3E2B12C1"/>
    <w:rsid w:val="3E385374"/>
    <w:rsid w:val="3E3E013F"/>
    <w:rsid w:val="3E42660A"/>
    <w:rsid w:val="3E43485C"/>
    <w:rsid w:val="3E4B4A47"/>
    <w:rsid w:val="3E55633E"/>
    <w:rsid w:val="3E5D36C8"/>
    <w:rsid w:val="3E682515"/>
    <w:rsid w:val="3E691DE9"/>
    <w:rsid w:val="3E6B3DB3"/>
    <w:rsid w:val="3E6D18D9"/>
    <w:rsid w:val="3E726EF0"/>
    <w:rsid w:val="3E742C68"/>
    <w:rsid w:val="3E7762B4"/>
    <w:rsid w:val="3E7C1B1C"/>
    <w:rsid w:val="3E886713"/>
    <w:rsid w:val="3E974BA8"/>
    <w:rsid w:val="3E9A366A"/>
    <w:rsid w:val="3EA11583"/>
    <w:rsid w:val="3EA13331"/>
    <w:rsid w:val="3EA6521C"/>
    <w:rsid w:val="3EAB0654"/>
    <w:rsid w:val="3EB70DA6"/>
    <w:rsid w:val="3EBF1A09"/>
    <w:rsid w:val="3EC27CA4"/>
    <w:rsid w:val="3ECB6600"/>
    <w:rsid w:val="3ECD05CA"/>
    <w:rsid w:val="3ECF4342"/>
    <w:rsid w:val="3EED2ADA"/>
    <w:rsid w:val="3EF06066"/>
    <w:rsid w:val="3EF23B8C"/>
    <w:rsid w:val="3EFE4C27"/>
    <w:rsid w:val="3F0264C5"/>
    <w:rsid w:val="3F077381"/>
    <w:rsid w:val="3F0A537A"/>
    <w:rsid w:val="3F12422F"/>
    <w:rsid w:val="3F1261D2"/>
    <w:rsid w:val="3F152DF8"/>
    <w:rsid w:val="3F2350B4"/>
    <w:rsid w:val="3F275F2C"/>
    <w:rsid w:val="3F3146B5"/>
    <w:rsid w:val="3F335631"/>
    <w:rsid w:val="3F381EE7"/>
    <w:rsid w:val="3F3B5533"/>
    <w:rsid w:val="3F406FEE"/>
    <w:rsid w:val="3F450160"/>
    <w:rsid w:val="3F514D57"/>
    <w:rsid w:val="3F5B2825"/>
    <w:rsid w:val="3F5D7BA0"/>
    <w:rsid w:val="3F6031EC"/>
    <w:rsid w:val="3F6902F3"/>
    <w:rsid w:val="3F696545"/>
    <w:rsid w:val="3F6E5AF7"/>
    <w:rsid w:val="3F760C61"/>
    <w:rsid w:val="3F7722E4"/>
    <w:rsid w:val="3F7D5B4C"/>
    <w:rsid w:val="3F823162"/>
    <w:rsid w:val="3F846E42"/>
    <w:rsid w:val="3F877201"/>
    <w:rsid w:val="3F932B54"/>
    <w:rsid w:val="3F9418DA"/>
    <w:rsid w:val="3F982986"/>
    <w:rsid w:val="3F9C32DB"/>
    <w:rsid w:val="3FA255B3"/>
    <w:rsid w:val="3FA44527"/>
    <w:rsid w:val="3FA502BE"/>
    <w:rsid w:val="3FB12ADB"/>
    <w:rsid w:val="3FB157F6"/>
    <w:rsid w:val="3FB3156E"/>
    <w:rsid w:val="3FB34C03"/>
    <w:rsid w:val="3FB377C0"/>
    <w:rsid w:val="3FB928FC"/>
    <w:rsid w:val="3FB96841"/>
    <w:rsid w:val="3FC01EDD"/>
    <w:rsid w:val="3FC1012F"/>
    <w:rsid w:val="3FC25C55"/>
    <w:rsid w:val="3FC46504"/>
    <w:rsid w:val="3FC80D62"/>
    <w:rsid w:val="3FC91A13"/>
    <w:rsid w:val="3FD35C28"/>
    <w:rsid w:val="3FDA3177"/>
    <w:rsid w:val="3FDD3F12"/>
    <w:rsid w:val="3FDD65EB"/>
    <w:rsid w:val="3FE91CB2"/>
    <w:rsid w:val="3FEE25A6"/>
    <w:rsid w:val="3FF04570"/>
    <w:rsid w:val="3FF116D3"/>
    <w:rsid w:val="3FF57DD8"/>
    <w:rsid w:val="3FFD4EDF"/>
    <w:rsid w:val="3FFF2A05"/>
    <w:rsid w:val="40015B6F"/>
    <w:rsid w:val="40226D9C"/>
    <w:rsid w:val="4024421A"/>
    <w:rsid w:val="40251D40"/>
    <w:rsid w:val="402814CD"/>
    <w:rsid w:val="40291830"/>
    <w:rsid w:val="402B1A4C"/>
    <w:rsid w:val="402B55A8"/>
    <w:rsid w:val="402E32EA"/>
    <w:rsid w:val="40316936"/>
    <w:rsid w:val="40356427"/>
    <w:rsid w:val="40363F4D"/>
    <w:rsid w:val="403F2E01"/>
    <w:rsid w:val="404228F2"/>
    <w:rsid w:val="404448BC"/>
    <w:rsid w:val="404B17A6"/>
    <w:rsid w:val="405014B2"/>
    <w:rsid w:val="40532D51"/>
    <w:rsid w:val="405F16F6"/>
    <w:rsid w:val="40640ABA"/>
    <w:rsid w:val="40672358"/>
    <w:rsid w:val="406B16A3"/>
    <w:rsid w:val="406B3BF6"/>
    <w:rsid w:val="406D5BC1"/>
    <w:rsid w:val="40736F4F"/>
    <w:rsid w:val="407D392A"/>
    <w:rsid w:val="40886147"/>
    <w:rsid w:val="408E1DBB"/>
    <w:rsid w:val="408E5B37"/>
    <w:rsid w:val="409C46F8"/>
    <w:rsid w:val="409D3379"/>
    <w:rsid w:val="40B03CFF"/>
    <w:rsid w:val="40B90071"/>
    <w:rsid w:val="40C31BDC"/>
    <w:rsid w:val="40C5633D"/>
    <w:rsid w:val="40C94DC1"/>
    <w:rsid w:val="40CF687B"/>
    <w:rsid w:val="40D0614F"/>
    <w:rsid w:val="40D75730"/>
    <w:rsid w:val="40D774DE"/>
    <w:rsid w:val="40E35E83"/>
    <w:rsid w:val="40F005A0"/>
    <w:rsid w:val="40F167F2"/>
    <w:rsid w:val="40F72D63"/>
    <w:rsid w:val="40FF07E3"/>
    <w:rsid w:val="410022CB"/>
    <w:rsid w:val="410764A6"/>
    <w:rsid w:val="410C362B"/>
    <w:rsid w:val="410D2F00"/>
    <w:rsid w:val="410D516E"/>
    <w:rsid w:val="410F6C78"/>
    <w:rsid w:val="41175B2C"/>
    <w:rsid w:val="41184B8F"/>
    <w:rsid w:val="411918A4"/>
    <w:rsid w:val="412519EF"/>
    <w:rsid w:val="41344930"/>
    <w:rsid w:val="4135788C"/>
    <w:rsid w:val="413C5593"/>
    <w:rsid w:val="41410DFB"/>
    <w:rsid w:val="41504E07"/>
    <w:rsid w:val="41536C1F"/>
    <w:rsid w:val="415B7B1F"/>
    <w:rsid w:val="41614FF9"/>
    <w:rsid w:val="4162149D"/>
    <w:rsid w:val="41656898"/>
    <w:rsid w:val="41662610"/>
    <w:rsid w:val="41717932"/>
    <w:rsid w:val="417752DD"/>
    <w:rsid w:val="417D0085"/>
    <w:rsid w:val="41831414"/>
    <w:rsid w:val="41872CB2"/>
    <w:rsid w:val="418C02C8"/>
    <w:rsid w:val="418E1F84"/>
    <w:rsid w:val="41952BC8"/>
    <w:rsid w:val="41967399"/>
    <w:rsid w:val="41981547"/>
    <w:rsid w:val="41A27AEC"/>
    <w:rsid w:val="41B17D2F"/>
    <w:rsid w:val="41B220EF"/>
    <w:rsid w:val="41B4781F"/>
    <w:rsid w:val="41C31810"/>
    <w:rsid w:val="41C537DA"/>
    <w:rsid w:val="41CA5CC4"/>
    <w:rsid w:val="41CC4B69"/>
    <w:rsid w:val="41CE2E0E"/>
    <w:rsid w:val="41CF6407"/>
    <w:rsid w:val="41D139B0"/>
    <w:rsid w:val="41D81760"/>
    <w:rsid w:val="41E81277"/>
    <w:rsid w:val="41F06AA9"/>
    <w:rsid w:val="42051E29"/>
    <w:rsid w:val="42114C71"/>
    <w:rsid w:val="42293D69"/>
    <w:rsid w:val="423156C3"/>
    <w:rsid w:val="42380450"/>
    <w:rsid w:val="423B584A"/>
    <w:rsid w:val="423D7815"/>
    <w:rsid w:val="42421C59"/>
    <w:rsid w:val="42442951"/>
    <w:rsid w:val="424D087B"/>
    <w:rsid w:val="4251506E"/>
    <w:rsid w:val="42593669"/>
    <w:rsid w:val="425A2175"/>
    <w:rsid w:val="42642FF3"/>
    <w:rsid w:val="42672AE3"/>
    <w:rsid w:val="426D00FA"/>
    <w:rsid w:val="42732AEB"/>
    <w:rsid w:val="427B4245"/>
    <w:rsid w:val="428E0070"/>
    <w:rsid w:val="42925DB2"/>
    <w:rsid w:val="429505D5"/>
    <w:rsid w:val="429A6A15"/>
    <w:rsid w:val="429D6505"/>
    <w:rsid w:val="42A11B51"/>
    <w:rsid w:val="42A81866"/>
    <w:rsid w:val="42B37AD7"/>
    <w:rsid w:val="42B5384F"/>
    <w:rsid w:val="42B90E50"/>
    <w:rsid w:val="42BA2C13"/>
    <w:rsid w:val="42BB3775"/>
    <w:rsid w:val="42BC4BDD"/>
    <w:rsid w:val="42C13A57"/>
    <w:rsid w:val="42C972FA"/>
    <w:rsid w:val="42D02437"/>
    <w:rsid w:val="42DA1507"/>
    <w:rsid w:val="42DC527F"/>
    <w:rsid w:val="42E303BC"/>
    <w:rsid w:val="42E61C5A"/>
    <w:rsid w:val="42EB54C2"/>
    <w:rsid w:val="42ED123B"/>
    <w:rsid w:val="42F0224E"/>
    <w:rsid w:val="42FA5706"/>
    <w:rsid w:val="43030A5E"/>
    <w:rsid w:val="430345BA"/>
    <w:rsid w:val="430622FC"/>
    <w:rsid w:val="43086074"/>
    <w:rsid w:val="43106CD7"/>
    <w:rsid w:val="431E7646"/>
    <w:rsid w:val="43212C92"/>
    <w:rsid w:val="432946E3"/>
    <w:rsid w:val="432D2F63"/>
    <w:rsid w:val="4335673E"/>
    <w:rsid w:val="43362BE2"/>
    <w:rsid w:val="4339622E"/>
    <w:rsid w:val="433D2560"/>
    <w:rsid w:val="4340580E"/>
    <w:rsid w:val="434075BC"/>
    <w:rsid w:val="434F15AD"/>
    <w:rsid w:val="43503578"/>
    <w:rsid w:val="43572B58"/>
    <w:rsid w:val="43635059"/>
    <w:rsid w:val="43683470"/>
    <w:rsid w:val="43686B13"/>
    <w:rsid w:val="436A6DC0"/>
    <w:rsid w:val="43707776"/>
    <w:rsid w:val="438D20D6"/>
    <w:rsid w:val="43A22025"/>
    <w:rsid w:val="43A25593"/>
    <w:rsid w:val="43B24E18"/>
    <w:rsid w:val="43B27D8E"/>
    <w:rsid w:val="43C27FD1"/>
    <w:rsid w:val="43CA02B4"/>
    <w:rsid w:val="43CC6427"/>
    <w:rsid w:val="43D917BF"/>
    <w:rsid w:val="43E05B41"/>
    <w:rsid w:val="43E443EC"/>
    <w:rsid w:val="43FA3C0F"/>
    <w:rsid w:val="440D37AC"/>
    <w:rsid w:val="44185E43"/>
    <w:rsid w:val="441A45C5"/>
    <w:rsid w:val="441A605F"/>
    <w:rsid w:val="441D16AC"/>
    <w:rsid w:val="441D5B50"/>
    <w:rsid w:val="44246EDE"/>
    <w:rsid w:val="442F13DF"/>
    <w:rsid w:val="44307D6F"/>
    <w:rsid w:val="443749C3"/>
    <w:rsid w:val="443A16C8"/>
    <w:rsid w:val="443A225E"/>
    <w:rsid w:val="443C4228"/>
    <w:rsid w:val="44421112"/>
    <w:rsid w:val="44443836"/>
    <w:rsid w:val="444A6219"/>
    <w:rsid w:val="44561F95"/>
    <w:rsid w:val="445A35C0"/>
    <w:rsid w:val="445C4285"/>
    <w:rsid w:val="445D2FB7"/>
    <w:rsid w:val="446077EA"/>
    <w:rsid w:val="4464552C"/>
    <w:rsid w:val="447119F7"/>
    <w:rsid w:val="447514E8"/>
    <w:rsid w:val="4486788D"/>
    <w:rsid w:val="448E151E"/>
    <w:rsid w:val="44916187"/>
    <w:rsid w:val="4492209A"/>
    <w:rsid w:val="44935E12"/>
    <w:rsid w:val="449851D6"/>
    <w:rsid w:val="44A8366B"/>
    <w:rsid w:val="44AB453E"/>
    <w:rsid w:val="44C22253"/>
    <w:rsid w:val="44C46F12"/>
    <w:rsid w:val="44C83FBE"/>
    <w:rsid w:val="44CD30D2"/>
    <w:rsid w:val="44E67CEF"/>
    <w:rsid w:val="44E93C84"/>
    <w:rsid w:val="44F20D8A"/>
    <w:rsid w:val="44F248E6"/>
    <w:rsid w:val="44FA19ED"/>
    <w:rsid w:val="44FE26BB"/>
    <w:rsid w:val="45097E82"/>
    <w:rsid w:val="450A60D4"/>
    <w:rsid w:val="450D34CE"/>
    <w:rsid w:val="45107462"/>
    <w:rsid w:val="45190AAC"/>
    <w:rsid w:val="452426DB"/>
    <w:rsid w:val="453C2C0A"/>
    <w:rsid w:val="453C3DB3"/>
    <w:rsid w:val="4541586E"/>
    <w:rsid w:val="4557299B"/>
    <w:rsid w:val="45597FF0"/>
    <w:rsid w:val="4562430E"/>
    <w:rsid w:val="4565330A"/>
    <w:rsid w:val="456926CF"/>
    <w:rsid w:val="4575533A"/>
    <w:rsid w:val="457E261E"/>
    <w:rsid w:val="457E2FEE"/>
    <w:rsid w:val="458614D2"/>
    <w:rsid w:val="459C0CF6"/>
    <w:rsid w:val="459E681C"/>
    <w:rsid w:val="45A100BA"/>
    <w:rsid w:val="45AC718B"/>
    <w:rsid w:val="45B94000"/>
    <w:rsid w:val="45BE2A1A"/>
    <w:rsid w:val="45BE336B"/>
    <w:rsid w:val="45CC15DB"/>
    <w:rsid w:val="45CF6516"/>
    <w:rsid w:val="45D3296A"/>
    <w:rsid w:val="45D466E2"/>
    <w:rsid w:val="45DB537A"/>
    <w:rsid w:val="45E05087"/>
    <w:rsid w:val="45E32481"/>
    <w:rsid w:val="45E5269D"/>
    <w:rsid w:val="45EF0E26"/>
    <w:rsid w:val="45F20916"/>
    <w:rsid w:val="45FA6330"/>
    <w:rsid w:val="4609638B"/>
    <w:rsid w:val="46132D66"/>
    <w:rsid w:val="461940F5"/>
    <w:rsid w:val="461B7E6D"/>
    <w:rsid w:val="46203326"/>
    <w:rsid w:val="4622744D"/>
    <w:rsid w:val="462C207A"/>
    <w:rsid w:val="462C5BD6"/>
    <w:rsid w:val="462E4075"/>
    <w:rsid w:val="462E61DA"/>
    <w:rsid w:val="46357180"/>
    <w:rsid w:val="463E4D14"/>
    <w:rsid w:val="464463B4"/>
    <w:rsid w:val="46490517"/>
    <w:rsid w:val="465D66D7"/>
    <w:rsid w:val="46767799"/>
    <w:rsid w:val="46781150"/>
    <w:rsid w:val="467B6B5D"/>
    <w:rsid w:val="467C4DAF"/>
    <w:rsid w:val="467D28D5"/>
    <w:rsid w:val="467D3FE1"/>
    <w:rsid w:val="467D4684"/>
    <w:rsid w:val="46845A12"/>
    <w:rsid w:val="468C2B34"/>
    <w:rsid w:val="468E6891"/>
    <w:rsid w:val="46A61E2C"/>
    <w:rsid w:val="46C87FF5"/>
    <w:rsid w:val="46D85D5E"/>
    <w:rsid w:val="46E607F0"/>
    <w:rsid w:val="46E62229"/>
    <w:rsid w:val="46EB783F"/>
    <w:rsid w:val="46EF66E2"/>
    <w:rsid w:val="46F43360"/>
    <w:rsid w:val="46FC7C9E"/>
    <w:rsid w:val="470C786A"/>
    <w:rsid w:val="471054F8"/>
    <w:rsid w:val="47106542"/>
    <w:rsid w:val="471B25DC"/>
    <w:rsid w:val="471C35FB"/>
    <w:rsid w:val="471E6E34"/>
    <w:rsid w:val="47243D6E"/>
    <w:rsid w:val="47264D6A"/>
    <w:rsid w:val="4732546E"/>
    <w:rsid w:val="47330814"/>
    <w:rsid w:val="4734568A"/>
    <w:rsid w:val="473E02B7"/>
    <w:rsid w:val="473F7B8B"/>
    <w:rsid w:val="474156B1"/>
    <w:rsid w:val="47466FB1"/>
    <w:rsid w:val="4748200B"/>
    <w:rsid w:val="47495B1E"/>
    <w:rsid w:val="474D04FA"/>
    <w:rsid w:val="4750714C"/>
    <w:rsid w:val="47523D62"/>
    <w:rsid w:val="47574ED5"/>
    <w:rsid w:val="475C073D"/>
    <w:rsid w:val="475F1FDB"/>
    <w:rsid w:val="475F71FF"/>
    <w:rsid w:val="4760218C"/>
    <w:rsid w:val="476240E5"/>
    <w:rsid w:val="476615BC"/>
    <w:rsid w:val="4768030F"/>
    <w:rsid w:val="476D1EFD"/>
    <w:rsid w:val="477F7D52"/>
    <w:rsid w:val="478963B2"/>
    <w:rsid w:val="47961EA1"/>
    <w:rsid w:val="479A005B"/>
    <w:rsid w:val="479F062A"/>
    <w:rsid w:val="47A143A2"/>
    <w:rsid w:val="47B10A89"/>
    <w:rsid w:val="47B42327"/>
    <w:rsid w:val="47B55F78"/>
    <w:rsid w:val="47B71E17"/>
    <w:rsid w:val="47BD70E3"/>
    <w:rsid w:val="47C95AE7"/>
    <w:rsid w:val="47CB7671"/>
    <w:rsid w:val="47D21B17"/>
    <w:rsid w:val="47D66741"/>
    <w:rsid w:val="47DB78B4"/>
    <w:rsid w:val="47ED5839"/>
    <w:rsid w:val="47F54AA9"/>
    <w:rsid w:val="48000D2C"/>
    <w:rsid w:val="480076EC"/>
    <w:rsid w:val="4814136D"/>
    <w:rsid w:val="48142DC6"/>
    <w:rsid w:val="48166B3E"/>
    <w:rsid w:val="48201EA6"/>
    <w:rsid w:val="48217291"/>
    <w:rsid w:val="4837077E"/>
    <w:rsid w:val="48382F58"/>
    <w:rsid w:val="483C0579"/>
    <w:rsid w:val="483D40CA"/>
    <w:rsid w:val="483E5766"/>
    <w:rsid w:val="4848139A"/>
    <w:rsid w:val="484935B2"/>
    <w:rsid w:val="484E277B"/>
    <w:rsid w:val="4851401A"/>
    <w:rsid w:val="485667D0"/>
    <w:rsid w:val="48592ECE"/>
    <w:rsid w:val="486A6E89"/>
    <w:rsid w:val="487E46E3"/>
    <w:rsid w:val="4880045B"/>
    <w:rsid w:val="488B752C"/>
    <w:rsid w:val="48961A2D"/>
    <w:rsid w:val="48967A43"/>
    <w:rsid w:val="48971DA8"/>
    <w:rsid w:val="489B7FC9"/>
    <w:rsid w:val="48A00AFD"/>
    <w:rsid w:val="48A57EC2"/>
    <w:rsid w:val="48AE6D76"/>
    <w:rsid w:val="48AF715A"/>
    <w:rsid w:val="48B00D40"/>
    <w:rsid w:val="48B87BF5"/>
    <w:rsid w:val="48BC5937"/>
    <w:rsid w:val="48BF1616"/>
    <w:rsid w:val="48C20A74"/>
    <w:rsid w:val="48CB5A3A"/>
    <w:rsid w:val="48D41EFB"/>
    <w:rsid w:val="48D74C0A"/>
    <w:rsid w:val="48D76884"/>
    <w:rsid w:val="48E1539E"/>
    <w:rsid w:val="48E1714C"/>
    <w:rsid w:val="48E36837"/>
    <w:rsid w:val="48E42798"/>
    <w:rsid w:val="48E450EF"/>
    <w:rsid w:val="48F13107"/>
    <w:rsid w:val="48FF75D2"/>
    <w:rsid w:val="4901159C"/>
    <w:rsid w:val="49061130"/>
    <w:rsid w:val="49064E04"/>
    <w:rsid w:val="491C0184"/>
    <w:rsid w:val="49245493"/>
    <w:rsid w:val="49366D6C"/>
    <w:rsid w:val="49396F88"/>
    <w:rsid w:val="493F20C4"/>
    <w:rsid w:val="493F3E72"/>
    <w:rsid w:val="49415F79"/>
    <w:rsid w:val="49437E06"/>
    <w:rsid w:val="49520049"/>
    <w:rsid w:val="49522931"/>
    <w:rsid w:val="495A5150"/>
    <w:rsid w:val="496D6C31"/>
    <w:rsid w:val="497F0713"/>
    <w:rsid w:val="498521CD"/>
    <w:rsid w:val="498A2208"/>
    <w:rsid w:val="498B5309"/>
    <w:rsid w:val="499046CE"/>
    <w:rsid w:val="49940662"/>
    <w:rsid w:val="499441BE"/>
    <w:rsid w:val="499C7517"/>
    <w:rsid w:val="499E6DEB"/>
    <w:rsid w:val="49A41DE2"/>
    <w:rsid w:val="49AD523B"/>
    <w:rsid w:val="49B02FC2"/>
    <w:rsid w:val="49BC4461"/>
    <w:rsid w:val="49BC757A"/>
    <w:rsid w:val="49BE748D"/>
    <w:rsid w:val="49C763A9"/>
    <w:rsid w:val="49C949C2"/>
    <w:rsid w:val="49CD76D0"/>
    <w:rsid w:val="49CF169A"/>
    <w:rsid w:val="49D00F6E"/>
    <w:rsid w:val="49D24CE6"/>
    <w:rsid w:val="49E8450A"/>
    <w:rsid w:val="49EB75CB"/>
    <w:rsid w:val="49F25FBF"/>
    <w:rsid w:val="49F27137"/>
    <w:rsid w:val="49F64E79"/>
    <w:rsid w:val="49F853E5"/>
    <w:rsid w:val="49F867BB"/>
    <w:rsid w:val="49FE1F7F"/>
    <w:rsid w:val="4A035091"/>
    <w:rsid w:val="4A0A26D2"/>
    <w:rsid w:val="4A0B1FA6"/>
    <w:rsid w:val="4A0D4DC1"/>
    <w:rsid w:val="4A0F7CE8"/>
    <w:rsid w:val="4A176B9D"/>
    <w:rsid w:val="4A233794"/>
    <w:rsid w:val="4A235B57"/>
    <w:rsid w:val="4A3069FB"/>
    <w:rsid w:val="4A315EB1"/>
    <w:rsid w:val="4A462381"/>
    <w:rsid w:val="4A4756D4"/>
    <w:rsid w:val="4A477482"/>
    <w:rsid w:val="4A4A0D21"/>
    <w:rsid w:val="4A5412BD"/>
    <w:rsid w:val="4A5575C5"/>
    <w:rsid w:val="4A563B69"/>
    <w:rsid w:val="4A5723F4"/>
    <w:rsid w:val="4A677B24"/>
    <w:rsid w:val="4A69564B"/>
    <w:rsid w:val="4A6A41AB"/>
    <w:rsid w:val="4A6B36E5"/>
    <w:rsid w:val="4A7D10F6"/>
    <w:rsid w:val="4A82670C"/>
    <w:rsid w:val="4A881849"/>
    <w:rsid w:val="4A8F7A4B"/>
    <w:rsid w:val="4A9106FD"/>
    <w:rsid w:val="4AB12CDE"/>
    <w:rsid w:val="4AB777A6"/>
    <w:rsid w:val="4AC10B3A"/>
    <w:rsid w:val="4AF41E4B"/>
    <w:rsid w:val="4AF55130"/>
    <w:rsid w:val="4AFA44F5"/>
    <w:rsid w:val="4B007A08"/>
    <w:rsid w:val="4B101F6A"/>
    <w:rsid w:val="4B137364"/>
    <w:rsid w:val="4B3D0885"/>
    <w:rsid w:val="4B3F5EA6"/>
    <w:rsid w:val="4B447E66"/>
    <w:rsid w:val="4B5160DF"/>
    <w:rsid w:val="4B615D22"/>
    <w:rsid w:val="4B692E0F"/>
    <w:rsid w:val="4B6B53F2"/>
    <w:rsid w:val="4B6C1631"/>
    <w:rsid w:val="4B6C4CC7"/>
    <w:rsid w:val="4B6D116B"/>
    <w:rsid w:val="4B7778F3"/>
    <w:rsid w:val="4B7C5B59"/>
    <w:rsid w:val="4B7F2C4C"/>
    <w:rsid w:val="4B871B00"/>
    <w:rsid w:val="4B8B73A0"/>
    <w:rsid w:val="4B9304A5"/>
    <w:rsid w:val="4B944949"/>
    <w:rsid w:val="4B95421D"/>
    <w:rsid w:val="4B971D44"/>
    <w:rsid w:val="4B99364C"/>
    <w:rsid w:val="4BA04FAA"/>
    <w:rsid w:val="4BA17066"/>
    <w:rsid w:val="4BA24842"/>
    <w:rsid w:val="4BA601D9"/>
    <w:rsid w:val="4BA6467C"/>
    <w:rsid w:val="4BB24502"/>
    <w:rsid w:val="4BBB7216"/>
    <w:rsid w:val="4BBD1C41"/>
    <w:rsid w:val="4BC66ACD"/>
    <w:rsid w:val="4BD411EA"/>
    <w:rsid w:val="4BD765E4"/>
    <w:rsid w:val="4BE96317"/>
    <w:rsid w:val="4BEA14D5"/>
    <w:rsid w:val="4BFC429C"/>
    <w:rsid w:val="4BFE4DCC"/>
    <w:rsid w:val="4C0D64AA"/>
    <w:rsid w:val="4C0F5D7E"/>
    <w:rsid w:val="4C170309"/>
    <w:rsid w:val="4C175738"/>
    <w:rsid w:val="4C177328"/>
    <w:rsid w:val="4C213D03"/>
    <w:rsid w:val="4C2C2DD4"/>
    <w:rsid w:val="4C2F14C2"/>
    <w:rsid w:val="4C383A5C"/>
    <w:rsid w:val="4C3D6D8F"/>
    <w:rsid w:val="4C3E48B5"/>
    <w:rsid w:val="4C410725"/>
    <w:rsid w:val="4C4A5008"/>
    <w:rsid w:val="4C520360"/>
    <w:rsid w:val="4C547C35"/>
    <w:rsid w:val="4C571903"/>
    <w:rsid w:val="4C575977"/>
    <w:rsid w:val="4C5A2C8D"/>
    <w:rsid w:val="4C5E5BE5"/>
    <w:rsid w:val="4C687B84"/>
    <w:rsid w:val="4C793B3F"/>
    <w:rsid w:val="4C8B404E"/>
    <w:rsid w:val="4C994D97"/>
    <w:rsid w:val="4CB32B59"/>
    <w:rsid w:val="4CB4635D"/>
    <w:rsid w:val="4CC34DBA"/>
    <w:rsid w:val="4CC76658"/>
    <w:rsid w:val="4CC90623"/>
    <w:rsid w:val="4CCE5C39"/>
    <w:rsid w:val="4CD945DE"/>
    <w:rsid w:val="4CE6787B"/>
    <w:rsid w:val="4CEC3D70"/>
    <w:rsid w:val="4CF11927"/>
    <w:rsid w:val="4CF60CEC"/>
    <w:rsid w:val="4CF80F08"/>
    <w:rsid w:val="4CFA6A2E"/>
    <w:rsid w:val="4CFB4554"/>
    <w:rsid w:val="4D001B6A"/>
    <w:rsid w:val="4D057181"/>
    <w:rsid w:val="4D090A1F"/>
    <w:rsid w:val="4D0B0C3B"/>
    <w:rsid w:val="4D1221AC"/>
    <w:rsid w:val="4D133278"/>
    <w:rsid w:val="4D151ABA"/>
    <w:rsid w:val="4D2139CF"/>
    <w:rsid w:val="4D2717ED"/>
    <w:rsid w:val="4D2864DA"/>
    <w:rsid w:val="4D2E2B7B"/>
    <w:rsid w:val="4D371A30"/>
    <w:rsid w:val="4D491763"/>
    <w:rsid w:val="4D52686A"/>
    <w:rsid w:val="4D61085B"/>
    <w:rsid w:val="4D64659D"/>
    <w:rsid w:val="4D6C25B0"/>
    <w:rsid w:val="4D7762D0"/>
    <w:rsid w:val="4D782049"/>
    <w:rsid w:val="4D7A36CB"/>
    <w:rsid w:val="4D7D31BB"/>
    <w:rsid w:val="4D7F0CE1"/>
    <w:rsid w:val="4D8712BE"/>
    <w:rsid w:val="4D950505"/>
    <w:rsid w:val="4D9964EA"/>
    <w:rsid w:val="4DB12E65"/>
    <w:rsid w:val="4DC26BB7"/>
    <w:rsid w:val="4DD52FF7"/>
    <w:rsid w:val="4DD94895"/>
    <w:rsid w:val="4DD95D49"/>
    <w:rsid w:val="4DDA685F"/>
    <w:rsid w:val="4DDD3C5A"/>
    <w:rsid w:val="4DE84AD8"/>
    <w:rsid w:val="4DF039FC"/>
    <w:rsid w:val="4DF705E5"/>
    <w:rsid w:val="4DFD2317"/>
    <w:rsid w:val="4E067654"/>
    <w:rsid w:val="4E105DDD"/>
    <w:rsid w:val="4E116CB7"/>
    <w:rsid w:val="4E165AE9"/>
    <w:rsid w:val="4E1F4272"/>
    <w:rsid w:val="4E2310FC"/>
    <w:rsid w:val="4E233D62"/>
    <w:rsid w:val="4E2A0F73"/>
    <w:rsid w:val="4E2E44B5"/>
    <w:rsid w:val="4E320449"/>
    <w:rsid w:val="4E3221F7"/>
    <w:rsid w:val="4E340E42"/>
    <w:rsid w:val="4E347D1E"/>
    <w:rsid w:val="4E44464C"/>
    <w:rsid w:val="4E4837C9"/>
    <w:rsid w:val="4E4A08F5"/>
    <w:rsid w:val="4E4B32B9"/>
    <w:rsid w:val="4E4D0DDF"/>
    <w:rsid w:val="4E4F2DA9"/>
    <w:rsid w:val="4E54216E"/>
    <w:rsid w:val="4E6631BA"/>
    <w:rsid w:val="4E6A7BE3"/>
    <w:rsid w:val="4E6F6FA8"/>
    <w:rsid w:val="4E766588"/>
    <w:rsid w:val="4E7B3B9E"/>
    <w:rsid w:val="4E8A2485"/>
    <w:rsid w:val="4E8A5B90"/>
    <w:rsid w:val="4E925632"/>
    <w:rsid w:val="4E93713A"/>
    <w:rsid w:val="4E9904C8"/>
    <w:rsid w:val="4E995C7A"/>
    <w:rsid w:val="4E9B7D9D"/>
    <w:rsid w:val="4E9D0690"/>
    <w:rsid w:val="4EA03605"/>
    <w:rsid w:val="4EA56E6D"/>
    <w:rsid w:val="4EAC3D58"/>
    <w:rsid w:val="4EB8690F"/>
    <w:rsid w:val="4ECC0B5C"/>
    <w:rsid w:val="4EDE2193"/>
    <w:rsid w:val="4EEC4650"/>
    <w:rsid w:val="4EEC684A"/>
    <w:rsid w:val="4EEF633A"/>
    <w:rsid w:val="4EF37BD9"/>
    <w:rsid w:val="4EF64064"/>
    <w:rsid w:val="4EF7095A"/>
    <w:rsid w:val="4EF72E6F"/>
    <w:rsid w:val="4EF96877"/>
    <w:rsid w:val="4EFA0F67"/>
    <w:rsid w:val="4EFC670B"/>
    <w:rsid w:val="4EFF5B7A"/>
    <w:rsid w:val="4F043B94"/>
    <w:rsid w:val="4F05120B"/>
    <w:rsid w:val="4F0C0C9A"/>
    <w:rsid w:val="4F0C47F7"/>
    <w:rsid w:val="4F165675"/>
    <w:rsid w:val="4F1B22DD"/>
    <w:rsid w:val="4F251D5C"/>
    <w:rsid w:val="4F270144"/>
    <w:rsid w:val="4F3159C1"/>
    <w:rsid w:val="4F474168"/>
    <w:rsid w:val="4F552641"/>
    <w:rsid w:val="4F5C2822"/>
    <w:rsid w:val="4F5D5052"/>
    <w:rsid w:val="4F602D94"/>
    <w:rsid w:val="4F70158F"/>
    <w:rsid w:val="4F71212E"/>
    <w:rsid w:val="4F7370F3"/>
    <w:rsid w:val="4F74239C"/>
    <w:rsid w:val="4F764366"/>
    <w:rsid w:val="4F7725B8"/>
    <w:rsid w:val="4F7B197C"/>
    <w:rsid w:val="4F8366F9"/>
    <w:rsid w:val="4F9254B8"/>
    <w:rsid w:val="4F9273F2"/>
    <w:rsid w:val="4F9366B7"/>
    <w:rsid w:val="4F960564"/>
    <w:rsid w:val="4F9D5CD1"/>
    <w:rsid w:val="4FA345DA"/>
    <w:rsid w:val="4FA67E1D"/>
    <w:rsid w:val="4FAB2261"/>
    <w:rsid w:val="4FBA24A4"/>
    <w:rsid w:val="4FBD3D43"/>
    <w:rsid w:val="4FC21359"/>
    <w:rsid w:val="4FC82E13"/>
    <w:rsid w:val="4FCC3F86"/>
    <w:rsid w:val="4FCD3D37"/>
    <w:rsid w:val="4FCD667C"/>
    <w:rsid w:val="4FD851A1"/>
    <w:rsid w:val="4FD86DCF"/>
    <w:rsid w:val="4FDA48F5"/>
    <w:rsid w:val="4FDB395E"/>
    <w:rsid w:val="4FE030B4"/>
    <w:rsid w:val="4FE15C83"/>
    <w:rsid w:val="4FE93487"/>
    <w:rsid w:val="4FF85861"/>
    <w:rsid w:val="50034F5C"/>
    <w:rsid w:val="50100316"/>
    <w:rsid w:val="50145443"/>
    <w:rsid w:val="501778F7"/>
    <w:rsid w:val="501F49FD"/>
    <w:rsid w:val="50203765"/>
    <w:rsid w:val="502D0EC8"/>
    <w:rsid w:val="50334A8C"/>
    <w:rsid w:val="503A5994"/>
    <w:rsid w:val="503C110B"/>
    <w:rsid w:val="50502E09"/>
    <w:rsid w:val="505A77E4"/>
    <w:rsid w:val="505C4D2B"/>
    <w:rsid w:val="505F3B57"/>
    <w:rsid w:val="506568B4"/>
    <w:rsid w:val="506568C1"/>
    <w:rsid w:val="506955FB"/>
    <w:rsid w:val="50720FD1"/>
    <w:rsid w:val="50746AF7"/>
    <w:rsid w:val="508B3E41"/>
    <w:rsid w:val="50942CF5"/>
    <w:rsid w:val="50962F12"/>
    <w:rsid w:val="50A3118B"/>
    <w:rsid w:val="50B156B3"/>
    <w:rsid w:val="50BB2978"/>
    <w:rsid w:val="50BD049E"/>
    <w:rsid w:val="50C7131D"/>
    <w:rsid w:val="50E31267"/>
    <w:rsid w:val="50E53551"/>
    <w:rsid w:val="50F32112"/>
    <w:rsid w:val="51022209"/>
    <w:rsid w:val="510B18D7"/>
    <w:rsid w:val="51136310"/>
    <w:rsid w:val="51145BE4"/>
    <w:rsid w:val="5116195C"/>
    <w:rsid w:val="511D718F"/>
    <w:rsid w:val="512F31EC"/>
    <w:rsid w:val="51344C2F"/>
    <w:rsid w:val="513D4D08"/>
    <w:rsid w:val="513D6D37"/>
    <w:rsid w:val="514209A3"/>
    <w:rsid w:val="51432A9D"/>
    <w:rsid w:val="514951D3"/>
    <w:rsid w:val="514A7858"/>
    <w:rsid w:val="514C537E"/>
    <w:rsid w:val="514F30C0"/>
    <w:rsid w:val="51713037"/>
    <w:rsid w:val="51750DEA"/>
    <w:rsid w:val="517D19DC"/>
    <w:rsid w:val="51864D34"/>
    <w:rsid w:val="5186516E"/>
    <w:rsid w:val="518A7661"/>
    <w:rsid w:val="519136D9"/>
    <w:rsid w:val="51976F41"/>
    <w:rsid w:val="519D3E2C"/>
    <w:rsid w:val="51A60F32"/>
    <w:rsid w:val="51B178D7"/>
    <w:rsid w:val="51B75533"/>
    <w:rsid w:val="51B90B92"/>
    <w:rsid w:val="51BA2C30"/>
    <w:rsid w:val="51C25640"/>
    <w:rsid w:val="51D05FAF"/>
    <w:rsid w:val="51D610EC"/>
    <w:rsid w:val="51D6733E"/>
    <w:rsid w:val="51DA0BDC"/>
    <w:rsid w:val="51DC0DF8"/>
    <w:rsid w:val="51F10006"/>
    <w:rsid w:val="51F22C7B"/>
    <w:rsid w:val="51F40FEE"/>
    <w:rsid w:val="51FF0DF9"/>
    <w:rsid w:val="521A36CE"/>
    <w:rsid w:val="52262073"/>
    <w:rsid w:val="52287B99"/>
    <w:rsid w:val="52354064"/>
    <w:rsid w:val="5253098E"/>
    <w:rsid w:val="5253273C"/>
    <w:rsid w:val="52556A4B"/>
    <w:rsid w:val="52563347"/>
    <w:rsid w:val="525941F7"/>
    <w:rsid w:val="525A1D1D"/>
    <w:rsid w:val="525A7F6F"/>
    <w:rsid w:val="52635075"/>
    <w:rsid w:val="526606C2"/>
    <w:rsid w:val="526B3F2A"/>
    <w:rsid w:val="527077C5"/>
    <w:rsid w:val="52716848"/>
    <w:rsid w:val="52955DB2"/>
    <w:rsid w:val="529D37F6"/>
    <w:rsid w:val="52A82A88"/>
    <w:rsid w:val="52AC4521"/>
    <w:rsid w:val="52AD62F0"/>
    <w:rsid w:val="52B458D1"/>
    <w:rsid w:val="52B9356C"/>
    <w:rsid w:val="52BA54E2"/>
    <w:rsid w:val="52BB4769"/>
    <w:rsid w:val="52BE405A"/>
    <w:rsid w:val="52CB6E2F"/>
    <w:rsid w:val="52D25D57"/>
    <w:rsid w:val="52D4387D"/>
    <w:rsid w:val="52D63A99"/>
    <w:rsid w:val="52EF4CC1"/>
    <w:rsid w:val="530028C4"/>
    <w:rsid w:val="530161A8"/>
    <w:rsid w:val="53081779"/>
    <w:rsid w:val="53095C1D"/>
    <w:rsid w:val="530F33D5"/>
    <w:rsid w:val="53147604"/>
    <w:rsid w:val="53165C44"/>
    <w:rsid w:val="533407C0"/>
    <w:rsid w:val="5334256E"/>
    <w:rsid w:val="533662E6"/>
    <w:rsid w:val="53472FC7"/>
    <w:rsid w:val="5355711F"/>
    <w:rsid w:val="53650979"/>
    <w:rsid w:val="53684FB5"/>
    <w:rsid w:val="53755060"/>
    <w:rsid w:val="537C0582"/>
    <w:rsid w:val="537D4BBD"/>
    <w:rsid w:val="537F56AD"/>
    <w:rsid w:val="538610B8"/>
    <w:rsid w:val="539B083F"/>
    <w:rsid w:val="539B3EAD"/>
    <w:rsid w:val="539D0113"/>
    <w:rsid w:val="53A4453C"/>
    <w:rsid w:val="53B13BBE"/>
    <w:rsid w:val="53B92A73"/>
    <w:rsid w:val="53C102A5"/>
    <w:rsid w:val="53C9715A"/>
    <w:rsid w:val="53D43F85"/>
    <w:rsid w:val="53D55AFF"/>
    <w:rsid w:val="53D61877"/>
    <w:rsid w:val="53D77AC9"/>
    <w:rsid w:val="53E06252"/>
    <w:rsid w:val="53E35FEF"/>
    <w:rsid w:val="53E6108E"/>
    <w:rsid w:val="53E915AA"/>
    <w:rsid w:val="53EB5322"/>
    <w:rsid w:val="53F266B1"/>
    <w:rsid w:val="53FE2D61"/>
    <w:rsid w:val="541128AF"/>
    <w:rsid w:val="541D4AC7"/>
    <w:rsid w:val="54210D44"/>
    <w:rsid w:val="54224ABC"/>
    <w:rsid w:val="542326EA"/>
    <w:rsid w:val="54262873"/>
    <w:rsid w:val="54330A77"/>
    <w:rsid w:val="543E18F6"/>
    <w:rsid w:val="544113E6"/>
    <w:rsid w:val="54414F42"/>
    <w:rsid w:val="545033D7"/>
    <w:rsid w:val="54574766"/>
    <w:rsid w:val="545A6004"/>
    <w:rsid w:val="54617393"/>
    <w:rsid w:val="54622C48"/>
    <w:rsid w:val="5463310B"/>
    <w:rsid w:val="546B4FF7"/>
    <w:rsid w:val="546E1AAF"/>
    <w:rsid w:val="54770964"/>
    <w:rsid w:val="547A0454"/>
    <w:rsid w:val="5486329D"/>
    <w:rsid w:val="548B2661"/>
    <w:rsid w:val="548D462B"/>
    <w:rsid w:val="548F2152"/>
    <w:rsid w:val="54905ECA"/>
    <w:rsid w:val="549239F0"/>
    <w:rsid w:val="549A0AF6"/>
    <w:rsid w:val="54A2071D"/>
    <w:rsid w:val="54A84FC1"/>
    <w:rsid w:val="54AC551B"/>
    <w:rsid w:val="54B25E40"/>
    <w:rsid w:val="54B5148C"/>
    <w:rsid w:val="54B53E12"/>
    <w:rsid w:val="54B73456"/>
    <w:rsid w:val="54B75204"/>
    <w:rsid w:val="54C673AD"/>
    <w:rsid w:val="54CD4A28"/>
    <w:rsid w:val="54D05BB2"/>
    <w:rsid w:val="54D15E48"/>
    <w:rsid w:val="54D20290"/>
    <w:rsid w:val="54D67D81"/>
    <w:rsid w:val="54DA0EF3"/>
    <w:rsid w:val="54DE09E3"/>
    <w:rsid w:val="54E87AB4"/>
    <w:rsid w:val="54EB1352"/>
    <w:rsid w:val="54F16968"/>
    <w:rsid w:val="550101AA"/>
    <w:rsid w:val="55061CE8"/>
    <w:rsid w:val="550F3292"/>
    <w:rsid w:val="55104775"/>
    <w:rsid w:val="55173EF5"/>
    <w:rsid w:val="55213BF1"/>
    <w:rsid w:val="552542D2"/>
    <w:rsid w:val="55346855"/>
    <w:rsid w:val="553D1BAE"/>
    <w:rsid w:val="553E1482"/>
    <w:rsid w:val="55403826"/>
    <w:rsid w:val="554A7E27"/>
    <w:rsid w:val="55592760"/>
    <w:rsid w:val="555D5DAC"/>
    <w:rsid w:val="55790259"/>
    <w:rsid w:val="55794BB0"/>
    <w:rsid w:val="557F21C6"/>
    <w:rsid w:val="557F3BF8"/>
    <w:rsid w:val="55886BA1"/>
    <w:rsid w:val="5590774E"/>
    <w:rsid w:val="55915A56"/>
    <w:rsid w:val="559A78B2"/>
    <w:rsid w:val="55A734CB"/>
    <w:rsid w:val="55AA6B17"/>
    <w:rsid w:val="55B02A26"/>
    <w:rsid w:val="55BD2CEE"/>
    <w:rsid w:val="55C04C68"/>
    <w:rsid w:val="55C328FA"/>
    <w:rsid w:val="55C776C9"/>
    <w:rsid w:val="55C951EF"/>
    <w:rsid w:val="55CE3D63"/>
    <w:rsid w:val="55D65B5E"/>
    <w:rsid w:val="55DB7EE4"/>
    <w:rsid w:val="55E02539"/>
    <w:rsid w:val="55E069DD"/>
    <w:rsid w:val="55EB785C"/>
    <w:rsid w:val="55EE6D06"/>
    <w:rsid w:val="55F007CD"/>
    <w:rsid w:val="55F10BEA"/>
    <w:rsid w:val="55F83D27"/>
    <w:rsid w:val="56026953"/>
    <w:rsid w:val="560501F2"/>
    <w:rsid w:val="560E354A"/>
    <w:rsid w:val="56150435"/>
    <w:rsid w:val="561B17C3"/>
    <w:rsid w:val="56250D86"/>
    <w:rsid w:val="563325B0"/>
    <w:rsid w:val="56332FB1"/>
    <w:rsid w:val="5639318B"/>
    <w:rsid w:val="563B652C"/>
    <w:rsid w:val="56447AD9"/>
    <w:rsid w:val="565F7902"/>
    <w:rsid w:val="56617B1E"/>
    <w:rsid w:val="56642D65"/>
    <w:rsid w:val="56644961"/>
    <w:rsid w:val="56691886"/>
    <w:rsid w:val="566B4549"/>
    <w:rsid w:val="566C29CD"/>
    <w:rsid w:val="56723AD9"/>
    <w:rsid w:val="5687524E"/>
    <w:rsid w:val="568A7075"/>
    <w:rsid w:val="569021B1"/>
    <w:rsid w:val="56905D0D"/>
    <w:rsid w:val="56921A85"/>
    <w:rsid w:val="56927CD7"/>
    <w:rsid w:val="569A6B8C"/>
    <w:rsid w:val="56A63783"/>
    <w:rsid w:val="56AE4E93"/>
    <w:rsid w:val="56BA722E"/>
    <w:rsid w:val="56BD76C2"/>
    <w:rsid w:val="56C3222C"/>
    <w:rsid w:val="56C65BD3"/>
    <w:rsid w:val="56C82147"/>
    <w:rsid w:val="56C87B9D"/>
    <w:rsid w:val="56CA1A9C"/>
    <w:rsid w:val="56E878F7"/>
    <w:rsid w:val="56EE0C86"/>
    <w:rsid w:val="56F55A83"/>
    <w:rsid w:val="56F664B8"/>
    <w:rsid w:val="56F73FDE"/>
    <w:rsid w:val="56FE536D"/>
    <w:rsid w:val="57122BC6"/>
    <w:rsid w:val="5712700E"/>
    <w:rsid w:val="571719F0"/>
    <w:rsid w:val="571903F8"/>
    <w:rsid w:val="571A43BF"/>
    <w:rsid w:val="57246ADE"/>
    <w:rsid w:val="57276214"/>
    <w:rsid w:val="573A3ECB"/>
    <w:rsid w:val="573C7C43"/>
    <w:rsid w:val="574A6804"/>
    <w:rsid w:val="574B60D8"/>
    <w:rsid w:val="574E3CA7"/>
    <w:rsid w:val="57600894"/>
    <w:rsid w:val="576158FB"/>
    <w:rsid w:val="57711082"/>
    <w:rsid w:val="57770C7B"/>
    <w:rsid w:val="57772B84"/>
    <w:rsid w:val="577B4C0F"/>
    <w:rsid w:val="578453FF"/>
    <w:rsid w:val="5789732C"/>
    <w:rsid w:val="578A4E52"/>
    <w:rsid w:val="578A6C00"/>
    <w:rsid w:val="578F2469"/>
    <w:rsid w:val="57925AB5"/>
    <w:rsid w:val="5794182D"/>
    <w:rsid w:val="579C48DF"/>
    <w:rsid w:val="57A35F14"/>
    <w:rsid w:val="57B277DD"/>
    <w:rsid w:val="57BC3F3F"/>
    <w:rsid w:val="57C87729"/>
    <w:rsid w:val="57C9597B"/>
    <w:rsid w:val="57CF2661"/>
    <w:rsid w:val="57CF2865"/>
    <w:rsid w:val="57D460CD"/>
    <w:rsid w:val="57D701C8"/>
    <w:rsid w:val="57D727E0"/>
    <w:rsid w:val="57E06B2A"/>
    <w:rsid w:val="57E207EA"/>
    <w:rsid w:val="57EA3B43"/>
    <w:rsid w:val="57EC1669"/>
    <w:rsid w:val="57F131B7"/>
    <w:rsid w:val="57F4051E"/>
    <w:rsid w:val="57F549C2"/>
    <w:rsid w:val="57FA3D86"/>
    <w:rsid w:val="57FD3FEF"/>
    <w:rsid w:val="57FD73D2"/>
    <w:rsid w:val="580503C9"/>
    <w:rsid w:val="580C3AB9"/>
    <w:rsid w:val="5814296E"/>
    <w:rsid w:val="5816571C"/>
    <w:rsid w:val="581D5B34"/>
    <w:rsid w:val="581F685D"/>
    <w:rsid w:val="58280A33"/>
    <w:rsid w:val="583152CE"/>
    <w:rsid w:val="58360B36"/>
    <w:rsid w:val="583B7EFB"/>
    <w:rsid w:val="583F5C3D"/>
    <w:rsid w:val="5846521D"/>
    <w:rsid w:val="584E53FC"/>
    <w:rsid w:val="585C56FA"/>
    <w:rsid w:val="5866141B"/>
    <w:rsid w:val="586B4C84"/>
    <w:rsid w:val="5872595D"/>
    <w:rsid w:val="587A0A23"/>
    <w:rsid w:val="587A6C75"/>
    <w:rsid w:val="5886386C"/>
    <w:rsid w:val="588673C8"/>
    <w:rsid w:val="58B101BD"/>
    <w:rsid w:val="58B51F64"/>
    <w:rsid w:val="58BF0B2C"/>
    <w:rsid w:val="58C13E3C"/>
    <w:rsid w:val="58C16652"/>
    <w:rsid w:val="58C817A8"/>
    <w:rsid w:val="58CD4FF7"/>
    <w:rsid w:val="58D2260D"/>
    <w:rsid w:val="58D520FD"/>
    <w:rsid w:val="58D97E3F"/>
    <w:rsid w:val="58DE5456"/>
    <w:rsid w:val="58DF4D2A"/>
    <w:rsid w:val="58E93DFA"/>
    <w:rsid w:val="58EB36CF"/>
    <w:rsid w:val="58F06F08"/>
    <w:rsid w:val="58F248FC"/>
    <w:rsid w:val="58FA6008"/>
    <w:rsid w:val="590E560F"/>
    <w:rsid w:val="591470C9"/>
    <w:rsid w:val="59254D4A"/>
    <w:rsid w:val="59301A29"/>
    <w:rsid w:val="59372DB8"/>
    <w:rsid w:val="593908DE"/>
    <w:rsid w:val="593B4656"/>
    <w:rsid w:val="593E6B46"/>
    <w:rsid w:val="59407EBE"/>
    <w:rsid w:val="595B6AA6"/>
    <w:rsid w:val="595C61D5"/>
    <w:rsid w:val="59617E35"/>
    <w:rsid w:val="596A0289"/>
    <w:rsid w:val="596A4F3B"/>
    <w:rsid w:val="5973258D"/>
    <w:rsid w:val="59741916"/>
    <w:rsid w:val="5975743C"/>
    <w:rsid w:val="59871EFA"/>
    <w:rsid w:val="598D4786"/>
    <w:rsid w:val="59961079"/>
    <w:rsid w:val="599E2E37"/>
    <w:rsid w:val="59A0270B"/>
    <w:rsid w:val="59AA358A"/>
    <w:rsid w:val="59AB3E45"/>
    <w:rsid w:val="59C05885"/>
    <w:rsid w:val="59C3464B"/>
    <w:rsid w:val="59D95C1D"/>
    <w:rsid w:val="59DA32C4"/>
    <w:rsid w:val="59EB5AF2"/>
    <w:rsid w:val="59F70802"/>
    <w:rsid w:val="5A026F22"/>
    <w:rsid w:val="5A096502"/>
    <w:rsid w:val="5A1153B7"/>
    <w:rsid w:val="5A13112F"/>
    <w:rsid w:val="5A1A6CEB"/>
    <w:rsid w:val="5A274BDA"/>
    <w:rsid w:val="5A2C3F9F"/>
    <w:rsid w:val="5A2E7D17"/>
    <w:rsid w:val="5A47527D"/>
    <w:rsid w:val="5A481A6A"/>
    <w:rsid w:val="5A48336E"/>
    <w:rsid w:val="5A49486C"/>
    <w:rsid w:val="5A494B51"/>
    <w:rsid w:val="5A530D01"/>
    <w:rsid w:val="5A537A69"/>
    <w:rsid w:val="5A551247"/>
    <w:rsid w:val="5A5C7481"/>
    <w:rsid w:val="5A6000EC"/>
    <w:rsid w:val="5A663955"/>
    <w:rsid w:val="5A6776CD"/>
    <w:rsid w:val="5A6951F3"/>
    <w:rsid w:val="5A7616BE"/>
    <w:rsid w:val="5A851901"/>
    <w:rsid w:val="5A905CD7"/>
    <w:rsid w:val="5A92474A"/>
    <w:rsid w:val="5A936E30"/>
    <w:rsid w:val="5A953685"/>
    <w:rsid w:val="5A963B0E"/>
    <w:rsid w:val="5A9B1124"/>
    <w:rsid w:val="5A9D5BC5"/>
    <w:rsid w:val="5AA71877"/>
    <w:rsid w:val="5AB02E22"/>
    <w:rsid w:val="5AB32912"/>
    <w:rsid w:val="5ABA133E"/>
    <w:rsid w:val="5ABD72ED"/>
    <w:rsid w:val="5AC24903"/>
    <w:rsid w:val="5AC73CC7"/>
    <w:rsid w:val="5ACD77B4"/>
    <w:rsid w:val="5AD308BE"/>
    <w:rsid w:val="5ADE798F"/>
    <w:rsid w:val="5AE0597A"/>
    <w:rsid w:val="5AEB3E5A"/>
    <w:rsid w:val="5AFB5705"/>
    <w:rsid w:val="5B044F1C"/>
    <w:rsid w:val="5B070568"/>
    <w:rsid w:val="5B092B25"/>
    <w:rsid w:val="5B0A0784"/>
    <w:rsid w:val="5B0B0058"/>
    <w:rsid w:val="5B101B12"/>
    <w:rsid w:val="5B127639"/>
    <w:rsid w:val="5B13515F"/>
    <w:rsid w:val="5B1E7D8B"/>
    <w:rsid w:val="5B1F0E94"/>
    <w:rsid w:val="5B3475AF"/>
    <w:rsid w:val="5B353327"/>
    <w:rsid w:val="5B3B6725"/>
    <w:rsid w:val="5B3B7914"/>
    <w:rsid w:val="5B4041A6"/>
    <w:rsid w:val="5B48305A"/>
    <w:rsid w:val="5B503CBD"/>
    <w:rsid w:val="5B5163B3"/>
    <w:rsid w:val="5B573E29"/>
    <w:rsid w:val="5B5B309C"/>
    <w:rsid w:val="5B5E63DA"/>
    <w:rsid w:val="5B6360E6"/>
    <w:rsid w:val="5B637E94"/>
    <w:rsid w:val="5B641919"/>
    <w:rsid w:val="5B6F4A8B"/>
    <w:rsid w:val="5B742D84"/>
    <w:rsid w:val="5B7A55BF"/>
    <w:rsid w:val="5B871DD5"/>
    <w:rsid w:val="5B8723C2"/>
    <w:rsid w:val="5B876AF2"/>
    <w:rsid w:val="5B9462A0"/>
    <w:rsid w:val="5B9821F0"/>
    <w:rsid w:val="5B9E0ECC"/>
    <w:rsid w:val="5BA74225"/>
    <w:rsid w:val="5BA74D5F"/>
    <w:rsid w:val="5BA87F9D"/>
    <w:rsid w:val="5BAA161F"/>
    <w:rsid w:val="5BBA54B2"/>
    <w:rsid w:val="5BC36B85"/>
    <w:rsid w:val="5BC37254"/>
    <w:rsid w:val="5BC528FD"/>
    <w:rsid w:val="5BC86642"/>
    <w:rsid w:val="5BC97600"/>
    <w:rsid w:val="5BCA2690"/>
    <w:rsid w:val="5BD65D53"/>
    <w:rsid w:val="5BDC37A3"/>
    <w:rsid w:val="5BE03293"/>
    <w:rsid w:val="5BE67F37"/>
    <w:rsid w:val="5BF8281F"/>
    <w:rsid w:val="5BFD2097"/>
    <w:rsid w:val="5BFD32B2"/>
    <w:rsid w:val="5C007491"/>
    <w:rsid w:val="5C073CD7"/>
    <w:rsid w:val="5C163158"/>
    <w:rsid w:val="5C285C93"/>
    <w:rsid w:val="5C2D3FFE"/>
    <w:rsid w:val="5C341831"/>
    <w:rsid w:val="5C361105"/>
    <w:rsid w:val="5C3B671B"/>
    <w:rsid w:val="5C442095"/>
    <w:rsid w:val="5C45759A"/>
    <w:rsid w:val="5C4A4BB0"/>
    <w:rsid w:val="5C4C2853"/>
    <w:rsid w:val="5C4C3183"/>
    <w:rsid w:val="5C4E7CAF"/>
    <w:rsid w:val="5C54212E"/>
    <w:rsid w:val="5C556587"/>
    <w:rsid w:val="5C602626"/>
    <w:rsid w:val="5C675762"/>
    <w:rsid w:val="5C6921D2"/>
    <w:rsid w:val="5C69772C"/>
    <w:rsid w:val="5C7B2FBB"/>
    <w:rsid w:val="5C7D4F86"/>
    <w:rsid w:val="5C8207EE"/>
    <w:rsid w:val="5C82259C"/>
    <w:rsid w:val="5C8E2CEF"/>
    <w:rsid w:val="5C952E62"/>
    <w:rsid w:val="5C98591B"/>
    <w:rsid w:val="5CA40764"/>
    <w:rsid w:val="5CAB38A1"/>
    <w:rsid w:val="5CAE75C8"/>
    <w:rsid w:val="5CBD40C9"/>
    <w:rsid w:val="5CC901CB"/>
    <w:rsid w:val="5CCB7A9F"/>
    <w:rsid w:val="5CCC3817"/>
    <w:rsid w:val="5CD5091E"/>
    <w:rsid w:val="5CD673D2"/>
    <w:rsid w:val="5CDC7EFE"/>
    <w:rsid w:val="5CE40B61"/>
    <w:rsid w:val="5CE442E2"/>
    <w:rsid w:val="5CED5FBE"/>
    <w:rsid w:val="5CF8460C"/>
    <w:rsid w:val="5CFE461E"/>
    <w:rsid w:val="5D080CF3"/>
    <w:rsid w:val="5D0B1753"/>
    <w:rsid w:val="5D1450ED"/>
    <w:rsid w:val="5D215911"/>
    <w:rsid w:val="5D237AA4"/>
    <w:rsid w:val="5D353C21"/>
    <w:rsid w:val="5D3970FE"/>
    <w:rsid w:val="5D3F5F0C"/>
    <w:rsid w:val="5D4C0510"/>
    <w:rsid w:val="5D4E06D0"/>
    <w:rsid w:val="5D584DCA"/>
    <w:rsid w:val="5D5C26AD"/>
    <w:rsid w:val="5D5E32AB"/>
    <w:rsid w:val="5D656145"/>
    <w:rsid w:val="5D6A654E"/>
    <w:rsid w:val="5D6F2B20"/>
    <w:rsid w:val="5D740137"/>
    <w:rsid w:val="5D752101"/>
    <w:rsid w:val="5D7A14C5"/>
    <w:rsid w:val="5D7A3273"/>
    <w:rsid w:val="5D7C34A4"/>
    <w:rsid w:val="5D8D11F8"/>
    <w:rsid w:val="5D8F31C2"/>
    <w:rsid w:val="5D942587"/>
    <w:rsid w:val="5D9702C9"/>
    <w:rsid w:val="5D997B9D"/>
    <w:rsid w:val="5D9C58DF"/>
    <w:rsid w:val="5D9F2CDA"/>
    <w:rsid w:val="5DA23103"/>
    <w:rsid w:val="5DA768D4"/>
    <w:rsid w:val="5DA87DE0"/>
    <w:rsid w:val="5DAA3B58"/>
    <w:rsid w:val="5DAA7FFC"/>
    <w:rsid w:val="5DAD53F7"/>
    <w:rsid w:val="5DB06C95"/>
    <w:rsid w:val="5DB25F7C"/>
    <w:rsid w:val="5DC32E6C"/>
    <w:rsid w:val="5DC50992"/>
    <w:rsid w:val="5DCD5A99"/>
    <w:rsid w:val="5DDA4C36"/>
    <w:rsid w:val="5DDC09E9"/>
    <w:rsid w:val="5DE652CA"/>
    <w:rsid w:val="5DE9492A"/>
    <w:rsid w:val="5DF94AE0"/>
    <w:rsid w:val="5DFC012C"/>
    <w:rsid w:val="5E000678"/>
    <w:rsid w:val="5E064456"/>
    <w:rsid w:val="5E0A0A9B"/>
    <w:rsid w:val="5E0F7E5F"/>
    <w:rsid w:val="5E1611EE"/>
    <w:rsid w:val="5E1C257C"/>
    <w:rsid w:val="5E2002BE"/>
    <w:rsid w:val="5E27164D"/>
    <w:rsid w:val="5E280F21"/>
    <w:rsid w:val="5E2A3E5C"/>
    <w:rsid w:val="5E2C27BF"/>
    <w:rsid w:val="5E2D4789"/>
    <w:rsid w:val="5E323B4E"/>
    <w:rsid w:val="5E451AD3"/>
    <w:rsid w:val="5E483371"/>
    <w:rsid w:val="5E4C4C10"/>
    <w:rsid w:val="5E4E4E2C"/>
    <w:rsid w:val="5E4E6BDA"/>
    <w:rsid w:val="5E5134BA"/>
    <w:rsid w:val="5E555CEB"/>
    <w:rsid w:val="5E5D506F"/>
    <w:rsid w:val="5E6006BB"/>
    <w:rsid w:val="5E6737F7"/>
    <w:rsid w:val="5E785A05"/>
    <w:rsid w:val="5E7B54F5"/>
    <w:rsid w:val="5E7B72A3"/>
    <w:rsid w:val="5E8545C5"/>
    <w:rsid w:val="5E9B7945"/>
    <w:rsid w:val="5EA22A81"/>
    <w:rsid w:val="5EA40C24"/>
    <w:rsid w:val="5EA52572"/>
    <w:rsid w:val="5EA92062"/>
    <w:rsid w:val="5EAA1E65"/>
    <w:rsid w:val="5EB033F0"/>
    <w:rsid w:val="5EB67C4E"/>
    <w:rsid w:val="5EBE2F3E"/>
    <w:rsid w:val="5EBF2243"/>
    <w:rsid w:val="5EC24ED2"/>
    <w:rsid w:val="5ECE1AC8"/>
    <w:rsid w:val="5EDF5A84"/>
    <w:rsid w:val="5EE477F0"/>
    <w:rsid w:val="5EE47F1F"/>
    <w:rsid w:val="5EEE5CC7"/>
    <w:rsid w:val="5EF01A3F"/>
    <w:rsid w:val="5EFC6636"/>
    <w:rsid w:val="5F0279C4"/>
    <w:rsid w:val="5F0F6EA7"/>
    <w:rsid w:val="5F1020E1"/>
    <w:rsid w:val="5F1F2324"/>
    <w:rsid w:val="5F2636B2"/>
    <w:rsid w:val="5F2B0D56"/>
    <w:rsid w:val="5F2D2C93"/>
    <w:rsid w:val="5F2E3272"/>
    <w:rsid w:val="5F3062DF"/>
    <w:rsid w:val="5F38005A"/>
    <w:rsid w:val="5F4D50E3"/>
    <w:rsid w:val="5F610B8F"/>
    <w:rsid w:val="5F6441DB"/>
    <w:rsid w:val="5F675A73"/>
    <w:rsid w:val="5F6E6E08"/>
    <w:rsid w:val="5F7234C0"/>
    <w:rsid w:val="5F797C86"/>
    <w:rsid w:val="5F7A57AC"/>
    <w:rsid w:val="5F8264B2"/>
    <w:rsid w:val="5F85487D"/>
    <w:rsid w:val="5F8605F5"/>
    <w:rsid w:val="5F8E3006"/>
    <w:rsid w:val="5F906D7E"/>
    <w:rsid w:val="5F91655E"/>
    <w:rsid w:val="5F996788"/>
    <w:rsid w:val="5FAA6092"/>
    <w:rsid w:val="5FAB3BB8"/>
    <w:rsid w:val="5FB32A6C"/>
    <w:rsid w:val="5FB76A00"/>
    <w:rsid w:val="5FC829BC"/>
    <w:rsid w:val="5FC8476A"/>
    <w:rsid w:val="5FD2383A"/>
    <w:rsid w:val="5FE1243E"/>
    <w:rsid w:val="5FE33352"/>
    <w:rsid w:val="5FEA46E0"/>
    <w:rsid w:val="5FEF1CF6"/>
    <w:rsid w:val="5FFC4413"/>
    <w:rsid w:val="5FFE018B"/>
    <w:rsid w:val="60082DB8"/>
    <w:rsid w:val="600F4147"/>
    <w:rsid w:val="60193217"/>
    <w:rsid w:val="601C4AB5"/>
    <w:rsid w:val="601C6864"/>
    <w:rsid w:val="6026216E"/>
    <w:rsid w:val="60363DC9"/>
    <w:rsid w:val="603851FF"/>
    <w:rsid w:val="603B14CB"/>
    <w:rsid w:val="60483AFC"/>
    <w:rsid w:val="604A1623"/>
    <w:rsid w:val="60504B25"/>
    <w:rsid w:val="60563B24"/>
    <w:rsid w:val="606A75CF"/>
    <w:rsid w:val="606F6C09"/>
    <w:rsid w:val="607B17DC"/>
    <w:rsid w:val="607E12CC"/>
    <w:rsid w:val="608763D3"/>
    <w:rsid w:val="608C637E"/>
    <w:rsid w:val="608F7035"/>
    <w:rsid w:val="60936B26"/>
    <w:rsid w:val="60BB7E2A"/>
    <w:rsid w:val="60C74A21"/>
    <w:rsid w:val="60D333C6"/>
    <w:rsid w:val="60D94755"/>
    <w:rsid w:val="60DF0DF4"/>
    <w:rsid w:val="60E0467B"/>
    <w:rsid w:val="60E05AE3"/>
    <w:rsid w:val="60E905BC"/>
    <w:rsid w:val="60EA6962"/>
    <w:rsid w:val="60EC4488"/>
    <w:rsid w:val="60F11A9E"/>
    <w:rsid w:val="60F46B68"/>
    <w:rsid w:val="60FB407F"/>
    <w:rsid w:val="60FD0443"/>
    <w:rsid w:val="60FD6695"/>
    <w:rsid w:val="61047A23"/>
    <w:rsid w:val="61082B97"/>
    <w:rsid w:val="610F5B9A"/>
    <w:rsid w:val="61161505"/>
    <w:rsid w:val="611F6F3D"/>
    <w:rsid w:val="612400C6"/>
    <w:rsid w:val="61314591"/>
    <w:rsid w:val="61467F1B"/>
    <w:rsid w:val="614D20BD"/>
    <w:rsid w:val="61504A17"/>
    <w:rsid w:val="615362B5"/>
    <w:rsid w:val="61555EEF"/>
    <w:rsid w:val="615D7134"/>
    <w:rsid w:val="6162299C"/>
    <w:rsid w:val="6166423A"/>
    <w:rsid w:val="616B1343"/>
    <w:rsid w:val="616B35FF"/>
    <w:rsid w:val="616C020C"/>
    <w:rsid w:val="616C5544"/>
    <w:rsid w:val="616D55C9"/>
    <w:rsid w:val="617A1A94"/>
    <w:rsid w:val="617C3A5E"/>
    <w:rsid w:val="61811074"/>
    <w:rsid w:val="61891CD7"/>
    <w:rsid w:val="61941B7F"/>
    <w:rsid w:val="61945FD9"/>
    <w:rsid w:val="61AB4343"/>
    <w:rsid w:val="61AD1E69"/>
    <w:rsid w:val="61BD0EFD"/>
    <w:rsid w:val="61C251E9"/>
    <w:rsid w:val="61D373F6"/>
    <w:rsid w:val="61D90EB0"/>
    <w:rsid w:val="61D967BF"/>
    <w:rsid w:val="61DC44FC"/>
    <w:rsid w:val="61DC6B3A"/>
    <w:rsid w:val="61EB473F"/>
    <w:rsid w:val="61ED495B"/>
    <w:rsid w:val="620C3A89"/>
    <w:rsid w:val="62122F41"/>
    <w:rsid w:val="62195750"/>
    <w:rsid w:val="62214605"/>
    <w:rsid w:val="62225D4A"/>
    <w:rsid w:val="622C5484"/>
    <w:rsid w:val="62404A8B"/>
    <w:rsid w:val="624F1172"/>
    <w:rsid w:val="62514EEA"/>
    <w:rsid w:val="62516C98"/>
    <w:rsid w:val="62540537"/>
    <w:rsid w:val="625948C9"/>
    <w:rsid w:val="62595B4D"/>
    <w:rsid w:val="625D128F"/>
    <w:rsid w:val="625E7607"/>
    <w:rsid w:val="626562A0"/>
    <w:rsid w:val="62675548"/>
    <w:rsid w:val="626A4231"/>
    <w:rsid w:val="62704A45"/>
    <w:rsid w:val="627604AD"/>
    <w:rsid w:val="627666FF"/>
    <w:rsid w:val="627B1F67"/>
    <w:rsid w:val="6280132C"/>
    <w:rsid w:val="628249B5"/>
    <w:rsid w:val="62867444"/>
    <w:rsid w:val="628C2B36"/>
    <w:rsid w:val="628F10F4"/>
    <w:rsid w:val="62913539"/>
    <w:rsid w:val="629B6165"/>
    <w:rsid w:val="62A0377C"/>
    <w:rsid w:val="62AD7C47"/>
    <w:rsid w:val="62BF00A6"/>
    <w:rsid w:val="62C0797A"/>
    <w:rsid w:val="62C84A81"/>
    <w:rsid w:val="62C864AE"/>
    <w:rsid w:val="62CF7BBD"/>
    <w:rsid w:val="62D03B5C"/>
    <w:rsid w:val="62D90A3C"/>
    <w:rsid w:val="62DE6052"/>
    <w:rsid w:val="62E713AB"/>
    <w:rsid w:val="62EA49F7"/>
    <w:rsid w:val="62EC076F"/>
    <w:rsid w:val="62EE3482"/>
    <w:rsid w:val="631B1054"/>
    <w:rsid w:val="63276DF7"/>
    <w:rsid w:val="632B666D"/>
    <w:rsid w:val="632F4942"/>
    <w:rsid w:val="63350368"/>
    <w:rsid w:val="63381C06"/>
    <w:rsid w:val="633B34A5"/>
    <w:rsid w:val="63416D0D"/>
    <w:rsid w:val="63424833"/>
    <w:rsid w:val="634467FD"/>
    <w:rsid w:val="6345292E"/>
    <w:rsid w:val="63475D14"/>
    <w:rsid w:val="63494739"/>
    <w:rsid w:val="63500CFE"/>
    <w:rsid w:val="635065E6"/>
    <w:rsid w:val="635C1273"/>
    <w:rsid w:val="636504FC"/>
    <w:rsid w:val="636A0DA9"/>
    <w:rsid w:val="636B30BC"/>
    <w:rsid w:val="638906B4"/>
    <w:rsid w:val="638915D0"/>
    <w:rsid w:val="63926B24"/>
    <w:rsid w:val="639F1C85"/>
    <w:rsid w:val="63A66B70"/>
    <w:rsid w:val="63A710E9"/>
    <w:rsid w:val="63D731CD"/>
    <w:rsid w:val="63DC07E4"/>
    <w:rsid w:val="63DE1377"/>
    <w:rsid w:val="63E31B72"/>
    <w:rsid w:val="63EC49B5"/>
    <w:rsid w:val="63F024E1"/>
    <w:rsid w:val="63F91396"/>
    <w:rsid w:val="63FA3360"/>
    <w:rsid w:val="640A365A"/>
    <w:rsid w:val="640C3047"/>
    <w:rsid w:val="640F1388"/>
    <w:rsid w:val="64281C7B"/>
    <w:rsid w:val="643248A8"/>
    <w:rsid w:val="64340620"/>
    <w:rsid w:val="64357EF4"/>
    <w:rsid w:val="644206E0"/>
    <w:rsid w:val="644A7E43"/>
    <w:rsid w:val="644F0FB6"/>
    <w:rsid w:val="6459506F"/>
    <w:rsid w:val="645B2050"/>
    <w:rsid w:val="645B3DFE"/>
    <w:rsid w:val="64760C38"/>
    <w:rsid w:val="647F7489"/>
    <w:rsid w:val="6481138B"/>
    <w:rsid w:val="64836EB1"/>
    <w:rsid w:val="649E018F"/>
    <w:rsid w:val="64A01811"/>
    <w:rsid w:val="64A82DBC"/>
    <w:rsid w:val="64AD03D2"/>
    <w:rsid w:val="64B17EC2"/>
    <w:rsid w:val="64B21544"/>
    <w:rsid w:val="64B4350F"/>
    <w:rsid w:val="64B92B61"/>
    <w:rsid w:val="64BB7692"/>
    <w:rsid w:val="64BD0615"/>
    <w:rsid w:val="64CA4AE0"/>
    <w:rsid w:val="64CD176A"/>
    <w:rsid w:val="64CE0433"/>
    <w:rsid w:val="64CE0E0E"/>
    <w:rsid w:val="64D21BE7"/>
    <w:rsid w:val="64D91F3D"/>
    <w:rsid w:val="64DE058B"/>
    <w:rsid w:val="64F14A15"/>
    <w:rsid w:val="64FB113D"/>
    <w:rsid w:val="65006754"/>
    <w:rsid w:val="650730DA"/>
    <w:rsid w:val="650A312E"/>
    <w:rsid w:val="650E3A02"/>
    <w:rsid w:val="651450B4"/>
    <w:rsid w:val="65187685"/>
    <w:rsid w:val="651B358E"/>
    <w:rsid w:val="65270184"/>
    <w:rsid w:val="652A557F"/>
    <w:rsid w:val="652C12F7"/>
    <w:rsid w:val="6535464F"/>
    <w:rsid w:val="653A7E8C"/>
    <w:rsid w:val="65401246"/>
    <w:rsid w:val="65436640"/>
    <w:rsid w:val="65441099"/>
    <w:rsid w:val="654416A1"/>
    <w:rsid w:val="65516FAF"/>
    <w:rsid w:val="655F548E"/>
    <w:rsid w:val="656A52FB"/>
    <w:rsid w:val="656C3548"/>
    <w:rsid w:val="65700669"/>
    <w:rsid w:val="65717652"/>
    <w:rsid w:val="65735178"/>
    <w:rsid w:val="65847385"/>
    <w:rsid w:val="65896749"/>
    <w:rsid w:val="65931376"/>
    <w:rsid w:val="65956E9C"/>
    <w:rsid w:val="65A10768"/>
    <w:rsid w:val="65A73073"/>
    <w:rsid w:val="65AE5912"/>
    <w:rsid w:val="65BC08CD"/>
    <w:rsid w:val="65C504AF"/>
    <w:rsid w:val="65C6799D"/>
    <w:rsid w:val="65C77271"/>
    <w:rsid w:val="65CB4FB4"/>
    <w:rsid w:val="65CE6852"/>
    <w:rsid w:val="65D21007"/>
    <w:rsid w:val="65D521FE"/>
    <w:rsid w:val="65D8322D"/>
    <w:rsid w:val="65DA6FA5"/>
    <w:rsid w:val="65ED7C94"/>
    <w:rsid w:val="65EE0CA2"/>
    <w:rsid w:val="65F04A1A"/>
    <w:rsid w:val="65F93ADC"/>
    <w:rsid w:val="65FE7137"/>
    <w:rsid w:val="65FF3D2A"/>
    <w:rsid w:val="65FF6A0B"/>
    <w:rsid w:val="66065FEC"/>
    <w:rsid w:val="66101A71"/>
    <w:rsid w:val="6612673F"/>
    <w:rsid w:val="66196DE7"/>
    <w:rsid w:val="661F0E5C"/>
    <w:rsid w:val="662E109F"/>
    <w:rsid w:val="663469D1"/>
    <w:rsid w:val="66377F53"/>
    <w:rsid w:val="663A5C95"/>
    <w:rsid w:val="663A7A43"/>
    <w:rsid w:val="66417024"/>
    <w:rsid w:val="66551CC6"/>
    <w:rsid w:val="66560D21"/>
    <w:rsid w:val="665A00E6"/>
    <w:rsid w:val="666130C7"/>
    <w:rsid w:val="666845B1"/>
    <w:rsid w:val="666A0329"/>
    <w:rsid w:val="666B30FC"/>
    <w:rsid w:val="666D7E19"/>
    <w:rsid w:val="6672542F"/>
    <w:rsid w:val="66737BEF"/>
    <w:rsid w:val="66740704"/>
    <w:rsid w:val="667565E0"/>
    <w:rsid w:val="667A42E4"/>
    <w:rsid w:val="667E3DD4"/>
    <w:rsid w:val="667F14F6"/>
    <w:rsid w:val="667F664F"/>
    <w:rsid w:val="668B64F1"/>
    <w:rsid w:val="668C531E"/>
    <w:rsid w:val="668F1B3D"/>
    <w:rsid w:val="669435F8"/>
    <w:rsid w:val="66973195"/>
    <w:rsid w:val="669A294B"/>
    <w:rsid w:val="66A51361"/>
    <w:rsid w:val="66A650D9"/>
    <w:rsid w:val="66A870A3"/>
    <w:rsid w:val="66AB0941"/>
    <w:rsid w:val="66AC2781"/>
    <w:rsid w:val="66B94E0C"/>
    <w:rsid w:val="66BB1946"/>
    <w:rsid w:val="66C0619B"/>
    <w:rsid w:val="66C17142"/>
    <w:rsid w:val="66C2220F"/>
    <w:rsid w:val="66C33EDD"/>
    <w:rsid w:val="66C628B8"/>
    <w:rsid w:val="66D15EF7"/>
    <w:rsid w:val="66D6776C"/>
    <w:rsid w:val="66DD5F97"/>
    <w:rsid w:val="66DE0D17"/>
    <w:rsid w:val="66EC0EE7"/>
    <w:rsid w:val="66EE7AE8"/>
    <w:rsid w:val="66FD17D2"/>
    <w:rsid w:val="6707201B"/>
    <w:rsid w:val="670A1B0C"/>
    <w:rsid w:val="6727446C"/>
    <w:rsid w:val="672F1572"/>
    <w:rsid w:val="67317098"/>
    <w:rsid w:val="67375BBB"/>
    <w:rsid w:val="67397CFB"/>
    <w:rsid w:val="673F17B5"/>
    <w:rsid w:val="67452B44"/>
    <w:rsid w:val="674D0433"/>
    <w:rsid w:val="674D780B"/>
    <w:rsid w:val="674E7C4A"/>
    <w:rsid w:val="675114E9"/>
    <w:rsid w:val="67580AC9"/>
    <w:rsid w:val="675E59B4"/>
    <w:rsid w:val="67650AF0"/>
    <w:rsid w:val="676F7BC1"/>
    <w:rsid w:val="67782D7F"/>
    <w:rsid w:val="6784541A"/>
    <w:rsid w:val="67876CB8"/>
    <w:rsid w:val="678E5BEE"/>
    <w:rsid w:val="679118E5"/>
    <w:rsid w:val="67987117"/>
    <w:rsid w:val="67AB6E4B"/>
    <w:rsid w:val="67B51A77"/>
    <w:rsid w:val="67B72BA3"/>
    <w:rsid w:val="67B80E5B"/>
    <w:rsid w:val="67B81568"/>
    <w:rsid w:val="67BF6452"/>
    <w:rsid w:val="67C1041C"/>
    <w:rsid w:val="67C35CCA"/>
    <w:rsid w:val="67C65A33"/>
    <w:rsid w:val="67E20393"/>
    <w:rsid w:val="67EB086B"/>
    <w:rsid w:val="67F105D6"/>
    <w:rsid w:val="67F51E74"/>
    <w:rsid w:val="680227E3"/>
    <w:rsid w:val="68071BA7"/>
    <w:rsid w:val="68077DF9"/>
    <w:rsid w:val="680B78E9"/>
    <w:rsid w:val="680D7083"/>
    <w:rsid w:val="680F7207"/>
    <w:rsid w:val="681C58F0"/>
    <w:rsid w:val="6827383A"/>
    <w:rsid w:val="6832131A"/>
    <w:rsid w:val="68327203"/>
    <w:rsid w:val="683F63B3"/>
    <w:rsid w:val="68464DC5"/>
    <w:rsid w:val="6852376A"/>
    <w:rsid w:val="68556DB7"/>
    <w:rsid w:val="68582403"/>
    <w:rsid w:val="685968A7"/>
    <w:rsid w:val="685A1F5A"/>
    <w:rsid w:val="68623877"/>
    <w:rsid w:val="686314D3"/>
    <w:rsid w:val="6868570A"/>
    <w:rsid w:val="68692862"/>
    <w:rsid w:val="686D4100"/>
    <w:rsid w:val="68703BF0"/>
    <w:rsid w:val="6873723D"/>
    <w:rsid w:val="68745341"/>
    <w:rsid w:val="68757459"/>
    <w:rsid w:val="68763722"/>
    <w:rsid w:val="68776D2D"/>
    <w:rsid w:val="68906740"/>
    <w:rsid w:val="68916F6D"/>
    <w:rsid w:val="689618A9"/>
    <w:rsid w:val="6897117D"/>
    <w:rsid w:val="68975621"/>
    <w:rsid w:val="689773CF"/>
    <w:rsid w:val="68B47F81"/>
    <w:rsid w:val="68B97345"/>
    <w:rsid w:val="68C36416"/>
    <w:rsid w:val="68C87588"/>
    <w:rsid w:val="68CC52CB"/>
    <w:rsid w:val="68CF048B"/>
    <w:rsid w:val="68D4417F"/>
    <w:rsid w:val="68D91796"/>
    <w:rsid w:val="68E02B24"/>
    <w:rsid w:val="68E162F6"/>
    <w:rsid w:val="68E6198D"/>
    <w:rsid w:val="68EA5751"/>
    <w:rsid w:val="68F6059A"/>
    <w:rsid w:val="68F640F6"/>
    <w:rsid w:val="68F95994"/>
    <w:rsid w:val="6900258E"/>
    <w:rsid w:val="690031C6"/>
    <w:rsid w:val="690E2DE0"/>
    <w:rsid w:val="6911701E"/>
    <w:rsid w:val="69117181"/>
    <w:rsid w:val="69224EEB"/>
    <w:rsid w:val="692D19E3"/>
    <w:rsid w:val="692D1AE1"/>
    <w:rsid w:val="69390486"/>
    <w:rsid w:val="693B41FE"/>
    <w:rsid w:val="694857F0"/>
    <w:rsid w:val="694C01BA"/>
    <w:rsid w:val="694D5CE0"/>
    <w:rsid w:val="695D5F23"/>
    <w:rsid w:val="696A0640"/>
    <w:rsid w:val="696A6892"/>
    <w:rsid w:val="696B6C9C"/>
    <w:rsid w:val="696F3EA8"/>
    <w:rsid w:val="696F5C56"/>
    <w:rsid w:val="69733998"/>
    <w:rsid w:val="69804C34"/>
    <w:rsid w:val="69847593"/>
    <w:rsid w:val="699833FF"/>
    <w:rsid w:val="69A43B52"/>
    <w:rsid w:val="69A449B2"/>
    <w:rsid w:val="69A65340"/>
    <w:rsid w:val="69AE2C22"/>
    <w:rsid w:val="69BA3375"/>
    <w:rsid w:val="69BB0E9B"/>
    <w:rsid w:val="69C02956"/>
    <w:rsid w:val="69C266CE"/>
    <w:rsid w:val="69C42446"/>
    <w:rsid w:val="69C53AC8"/>
    <w:rsid w:val="69CB1149"/>
    <w:rsid w:val="69CB37D4"/>
    <w:rsid w:val="69CC12FA"/>
    <w:rsid w:val="69CC5F83"/>
    <w:rsid w:val="69D106BF"/>
    <w:rsid w:val="69E23671"/>
    <w:rsid w:val="69E71F70"/>
    <w:rsid w:val="69E95A08"/>
    <w:rsid w:val="69E9725A"/>
    <w:rsid w:val="69F04FE9"/>
    <w:rsid w:val="69F47F81"/>
    <w:rsid w:val="69FD14B4"/>
    <w:rsid w:val="69FF2E94"/>
    <w:rsid w:val="6A036897"/>
    <w:rsid w:val="6A0445F0"/>
    <w:rsid w:val="6A06480C"/>
    <w:rsid w:val="6A0C7949"/>
    <w:rsid w:val="6A1832F0"/>
    <w:rsid w:val="6A334ED5"/>
    <w:rsid w:val="6A3950E6"/>
    <w:rsid w:val="6A4814BC"/>
    <w:rsid w:val="6A4B66C3"/>
    <w:rsid w:val="6A4C5F97"/>
    <w:rsid w:val="6A5A06B4"/>
    <w:rsid w:val="6A5D139E"/>
    <w:rsid w:val="6A6257BB"/>
    <w:rsid w:val="6A633A0D"/>
    <w:rsid w:val="6A6B28C1"/>
    <w:rsid w:val="6A6D03E7"/>
    <w:rsid w:val="6A731776"/>
    <w:rsid w:val="6A7B6335"/>
    <w:rsid w:val="6A7F636D"/>
    <w:rsid w:val="6A830498"/>
    <w:rsid w:val="6A8614A9"/>
    <w:rsid w:val="6A863F6D"/>
    <w:rsid w:val="6A8D4668"/>
    <w:rsid w:val="6A8E581F"/>
    <w:rsid w:val="6A94197B"/>
    <w:rsid w:val="6A9701A5"/>
    <w:rsid w:val="6A9736B6"/>
    <w:rsid w:val="6A99742E"/>
    <w:rsid w:val="6AA227D7"/>
    <w:rsid w:val="6AA61B4B"/>
    <w:rsid w:val="6ABF5A82"/>
    <w:rsid w:val="6AC63FF1"/>
    <w:rsid w:val="6AC65D4A"/>
    <w:rsid w:val="6AC736B6"/>
    <w:rsid w:val="6AD246EE"/>
    <w:rsid w:val="6AD70591"/>
    <w:rsid w:val="6ADC556D"/>
    <w:rsid w:val="6ADF2E8D"/>
    <w:rsid w:val="6AE461D0"/>
    <w:rsid w:val="6AE54422"/>
    <w:rsid w:val="6AF262EA"/>
    <w:rsid w:val="6B054AC4"/>
    <w:rsid w:val="6B0D1BCA"/>
    <w:rsid w:val="6B0F76F1"/>
    <w:rsid w:val="6B1116BB"/>
    <w:rsid w:val="6B17268F"/>
    <w:rsid w:val="6B182A49"/>
    <w:rsid w:val="6B207688"/>
    <w:rsid w:val="6B252A70"/>
    <w:rsid w:val="6B272C8C"/>
    <w:rsid w:val="6B286A04"/>
    <w:rsid w:val="6B2A277C"/>
    <w:rsid w:val="6B2A713F"/>
    <w:rsid w:val="6B2D401B"/>
    <w:rsid w:val="6B2D47E7"/>
    <w:rsid w:val="6B362ECF"/>
    <w:rsid w:val="6B3929BF"/>
    <w:rsid w:val="6B3D5CD6"/>
    <w:rsid w:val="6B4207CF"/>
    <w:rsid w:val="6B451364"/>
    <w:rsid w:val="6B4B3B36"/>
    <w:rsid w:val="6B4B624F"/>
    <w:rsid w:val="6B5275DD"/>
    <w:rsid w:val="6B596466"/>
    <w:rsid w:val="6B60619E"/>
    <w:rsid w:val="6B633598"/>
    <w:rsid w:val="6B6932A5"/>
    <w:rsid w:val="6B6939B1"/>
    <w:rsid w:val="6B6F018F"/>
    <w:rsid w:val="6B6F63E1"/>
    <w:rsid w:val="6B736C50"/>
    <w:rsid w:val="6B7834E8"/>
    <w:rsid w:val="6B7E6624"/>
    <w:rsid w:val="6B8359E9"/>
    <w:rsid w:val="6B844E8A"/>
    <w:rsid w:val="6B8D6867"/>
    <w:rsid w:val="6B8F438D"/>
    <w:rsid w:val="6BA77929"/>
    <w:rsid w:val="6BB12556"/>
    <w:rsid w:val="6BBB5183"/>
    <w:rsid w:val="6BBD0EFB"/>
    <w:rsid w:val="6BBF2EC5"/>
    <w:rsid w:val="6BC4672D"/>
    <w:rsid w:val="6BC524A5"/>
    <w:rsid w:val="6BC54253"/>
    <w:rsid w:val="6BCA046F"/>
    <w:rsid w:val="6BCA186A"/>
    <w:rsid w:val="6BCC3834"/>
    <w:rsid w:val="6BDF6A14"/>
    <w:rsid w:val="6BED6C25"/>
    <w:rsid w:val="6BF15048"/>
    <w:rsid w:val="6BFD669F"/>
    <w:rsid w:val="6C022DB1"/>
    <w:rsid w:val="6C07486C"/>
    <w:rsid w:val="6C0B435C"/>
    <w:rsid w:val="6C14738D"/>
    <w:rsid w:val="6C152AE5"/>
    <w:rsid w:val="6C164AAF"/>
    <w:rsid w:val="6C184383"/>
    <w:rsid w:val="6C1B1096"/>
    <w:rsid w:val="6C1D7BEB"/>
    <w:rsid w:val="6C225202"/>
    <w:rsid w:val="6C2A2F12"/>
    <w:rsid w:val="6C316B4C"/>
    <w:rsid w:val="6C353187"/>
    <w:rsid w:val="6C360CAD"/>
    <w:rsid w:val="6C383D9C"/>
    <w:rsid w:val="6C436BF6"/>
    <w:rsid w:val="6C4C04D0"/>
    <w:rsid w:val="6C4E4249"/>
    <w:rsid w:val="6C52747B"/>
    <w:rsid w:val="6C553829"/>
    <w:rsid w:val="6C591D36"/>
    <w:rsid w:val="6C5F6456"/>
    <w:rsid w:val="6C6406FB"/>
    <w:rsid w:val="6C657D25"/>
    <w:rsid w:val="6C7672FB"/>
    <w:rsid w:val="6C77379F"/>
    <w:rsid w:val="6C7C2B64"/>
    <w:rsid w:val="6C7F4402"/>
    <w:rsid w:val="6C847C6A"/>
    <w:rsid w:val="6C850101"/>
    <w:rsid w:val="6C89702F"/>
    <w:rsid w:val="6C8C37A3"/>
    <w:rsid w:val="6C9003BD"/>
    <w:rsid w:val="6C9C6D62"/>
    <w:rsid w:val="6CA420BB"/>
    <w:rsid w:val="6CA8771A"/>
    <w:rsid w:val="6CAD0F6F"/>
    <w:rsid w:val="6CB06CB1"/>
    <w:rsid w:val="6CB322FE"/>
    <w:rsid w:val="6CB369C5"/>
    <w:rsid w:val="6CBF5146"/>
    <w:rsid w:val="6CC87B57"/>
    <w:rsid w:val="6CE03ECA"/>
    <w:rsid w:val="6CEB1A97"/>
    <w:rsid w:val="6CF7043C"/>
    <w:rsid w:val="6CF7668E"/>
    <w:rsid w:val="6D034E21"/>
    <w:rsid w:val="6D071EEA"/>
    <w:rsid w:val="6D087337"/>
    <w:rsid w:val="6D093028"/>
    <w:rsid w:val="6D147240"/>
    <w:rsid w:val="6D2154B9"/>
    <w:rsid w:val="6D275520"/>
    <w:rsid w:val="6D372F2F"/>
    <w:rsid w:val="6D463172"/>
    <w:rsid w:val="6D486EEA"/>
    <w:rsid w:val="6D4D49CF"/>
    <w:rsid w:val="6D51792F"/>
    <w:rsid w:val="6D550B29"/>
    <w:rsid w:val="6D5835D1"/>
    <w:rsid w:val="6D621D77"/>
    <w:rsid w:val="6D627B71"/>
    <w:rsid w:val="6D7D3037"/>
    <w:rsid w:val="6D904A91"/>
    <w:rsid w:val="6DB3116B"/>
    <w:rsid w:val="6DB66549"/>
    <w:rsid w:val="6DB9605E"/>
    <w:rsid w:val="6DC04CD2"/>
    <w:rsid w:val="6DC742B3"/>
    <w:rsid w:val="6DD32C57"/>
    <w:rsid w:val="6DD469CF"/>
    <w:rsid w:val="6DE00E8F"/>
    <w:rsid w:val="6DE309C1"/>
    <w:rsid w:val="6DEF7365"/>
    <w:rsid w:val="6DFC7823"/>
    <w:rsid w:val="6DFD5F26"/>
    <w:rsid w:val="6E027099"/>
    <w:rsid w:val="6E0C0963"/>
    <w:rsid w:val="6E0E0A62"/>
    <w:rsid w:val="6E1E0411"/>
    <w:rsid w:val="6E2371FE"/>
    <w:rsid w:val="6E272FA3"/>
    <w:rsid w:val="6E2C6AC6"/>
    <w:rsid w:val="6E31378E"/>
    <w:rsid w:val="6E34121C"/>
    <w:rsid w:val="6E364F94"/>
    <w:rsid w:val="6E3F209B"/>
    <w:rsid w:val="6E405C45"/>
    <w:rsid w:val="6E5024FA"/>
    <w:rsid w:val="6E5F098F"/>
    <w:rsid w:val="6E711527"/>
    <w:rsid w:val="6E71421E"/>
    <w:rsid w:val="6E731D44"/>
    <w:rsid w:val="6E7B50E1"/>
    <w:rsid w:val="6E7B6E4B"/>
    <w:rsid w:val="6E8421A4"/>
    <w:rsid w:val="6E85656F"/>
    <w:rsid w:val="6E8E6B7E"/>
    <w:rsid w:val="6E906D9A"/>
    <w:rsid w:val="6E971ED7"/>
    <w:rsid w:val="6E9D2C3A"/>
    <w:rsid w:val="6EA2087C"/>
    <w:rsid w:val="6EA939B8"/>
    <w:rsid w:val="6EB1286D"/>
    <w:rsid w:val="6EB14DA4"/>
    <w:rsid w:val="6EB8009F"/>
    <w:rsid w:val="6EBC193D"/>
    <w:rsid w:val="6EBE15CC"/>
    <w:rsid w:val="6EC627BC"/>
    <w:rsid w:val="6ECD58F9"/>
    <w:rsid w:val="6EE3511C"/>
    <w:rsid w:val="6EE635D2"/>
    <w:rsid w:val="6EEC7ACF"/>
    <w:rsid w:val="6EED3736"/>
    <w:rsid w:val="6EEE3AC1"/>
    <w:rsid w:val="6EF47329"/>
    <w:rsid w:val="6F086931"/>
    <w:rsid w:val="6F0D3F9D"/>
    <w:rsid w:val="6F190B3E"/>
    <w:rsid w:val="6F1E2564"/>
    <w:rsid w:val="6F1E43A6"/>
    <w:rsid w:val="6F202238"/>
    <w:rsid w:val="6F2B0871"/>
    <w:rsid w:val="6F3670AA"/>
    <w:rsid w:val="6F3B3C0A"/>
    <w:rsid w:val="6F433254"/>
    <w:rsid w:val="6F433E0D"/>
    <w:rsid w:val="6F571666"/>
    <w:rsid w:val="6F5965F9"/>
    <w:rsid w:val="6F630F46"/>
    <w:rsid w:val="6F653D83"/>
    <w:rsid w:val="6F6618A9"/>
    <w:rsid w:val="6F697C94"/>
    <w:rsid w:val="6F6D294A"/>
    <w:rsid w:val="6F6D6E05"/>
    <w:rsid w:val="6F7264A0"/>
    <w:rsid w:val="6F7447ED"/>
    <w:rsid w:val="6F7C4FD9"/>
    <w:rsid w:val="6F7C731F"/>
    <w:rsid w:val="6F7F4719"/>
    <w:rsid w:val="6F8561D3"/>
    <w:rsid w:val="6F9E1043"/>
    <w:rsid w:val="6FA10B33"/>
    <w:rsid w:val="6FA973ED"/>
    <w:rsid w:val="6FB2689C"/>
    <w:rsid w:val="6FB62CF7"/>
    <w:rsid w:val="6FB865A9"/>
    <w:rsid w:val="6FBB39A3"/>
    <w:rsid w:val="6FC00FB9"/>
    <w:rsid w:val="6FC116B3"/>
    <w:rsid w:val="6FC36CFC"/>
    <w:rsid w:val="6FCD7766"/>
    <w:rsid w:val="6FCE468D"/>
    <w:rsid w:val="6FD11419"/>
    <w:rsid w:val="6FD131C7"/>
    <w:rsid w:val="6FD1766A"/>
    <w:rsid w:val="6FD76303"/>
    <w:rsid w:val="6FE32EFA"/>
    <w:rsid w:val="6FEF189F"/>
    <w:rsid w:val="6FEF4FD6"/>
    <w:rsid w:val="6FF20850"/>
    <w:rsid w:val="6FF36ACE"/>
    <w:rsid w:val="6FF670D1"/>
    <w:rsid w:val="6FFD3FBC"/>
    <w:rsid w:val="6FFF2BCE"/>
    <w:rsid w:val="70001540"/>
    <w:rsid w:val="70057314"/>
    <w:rsid w:val="70253512"/>
    <w:rsid w:val="702D5223"/>
    <w:rsid w:val="702E0619"/>
    <w:rsid w:val="704414CA"/>
    <w:rsid w:val="704D1660"/>
    <w:rsid w:val="70510B30"/>
    <w:rsid w:val="70531E2E"/>
    <w:rsid w:val="705838E8"/>
    <w:rsid w:val="705F07D2"/>
    <w:rsid w:val="706D25DF"/>
    <w:rsid w:val="70710506"/>
    <w:rsid w:val="70775A6D"/>
    <w:rsid w:val="7078380A"/>
    <w:rsid w:val="70785D38"/>
    <w:rsid w:val="70814BED"/>
    <w:rsid w:val="70820965"/>
    <w:rsid w:val="70862203"/>
    <w:rsid w:val="708B7819"/>
    <w:rsid w:val="709A7A5C"/>
    <w:rsid w:val="70B36D70"/>
    <w:rsid w:val="70B86135"/>
    <w:rsid w:val="70BC5C25"/>
    <w:rsid w:val="70BD199D"/>
    <w:rsid w:val="70C920F0"/>
    <w:rsid w:val="70CE6331"/>
    <w:rsid w:val="70D6480D"/>
    <w:rsid w:val="70D72A5F"/>
    <w:rsid w:val="70DE203F"/>
    <w:rsid w:val="70DF1913"/>
    <w:rsid w:val="70E60E46"/>
    <w:rsid w:val="70E909E4"/>
    <w:rsid w:val="70EE7DA8"/>
    <w:rsid w:val="70F51137"/>
    <w:rsid w:val="70FC4273"/>
    <w:rsid w:val="71021EA5"/>
    <w:rsid w:val="710424CA"/>
    <w:rsid w:val="7104661F"/>
    <w:rsid w:val="711315BD"/>
    <w:rsid w:val="71155335"/>
    <w:rsid w:val="711F54AA"/>
    <w:rsid w:val="712B4D20"/>
    <w:rsid w:val="712E63F7"/>
    <w:rsid w:val="7130216F"/>
    <w:rsid w:val="71342BCF"/>
    <w:rsid w:val="7135696F"/>
    <w:rsid w:val="71364BC1"/>
    <w:rsid w:val="713C0B14"/>
    <w:rsid w:val="713C4FB8"/>
    <w:rsid w:val="713C53B2"/>
    <w:rsid w:val="714479C8"/>
    <w:rsid w:val="71453E6C"/>
    <w:rsid w:val="71461992"/>
    <w:rsid w:val="714A1482"/>
    <w:rsid w:val="714E3B41"/>
    <w:rsid w:val="7150636D"/>
    <w:rsid w:val="71566079"/>
    <w:rsid w:val="71695B67"/>
    <w:rsid w:val="716D5171"/>
    <w:rsid w:val="716F2C97"/>
    <w:rsid w:val="71777D9E"/>
    <w:rsid w:val="717C6975"/>
    <w:rsid w:val="717C7162"/>
    <w:rsid w:val="717E2EDA"/>
    <w:rsid w:val="71810C1C"/>
    <w:rsid w:val="71851522"/>
    <w:rsid w:val="718633AD"/>
    <w:rsid w:val="71881FAB"/>
    <w:rsid w:val="718B3849"/>
    <w:rsid w:val="718D66FF"/>
    <w:rsid w:val="71922E29"/>
    <w:rsid w:val="7194265C"/>
    <w:rsid w:val="71A072F4"/>
    <w:rsid w:val="71A62431"/>
    <w:rsid w:val="71A87F57"/>
    <w:rsid w:val="71AA0173"/>
    <w:rsid w:val="71AA1F21"/>
    <w:rsid w:val="71B20DD6"/>
    <w:rsid w:val="71E05943"/>
    <w:rsid w:val="71E35433"/>
    <w:rsid w:val="71EF3DD8"/>
    <w:rsid w:val="71F17B50"/>
    <w:rsid w:val="71F96A05"/>
    <w:rsid w:val="71FE04BF"/>
    <w:rsid w:val="72007D93"/>
    <w:rsid w:val="72030D2C"/>
    <w:rsid w:val="72062ED0"/>
    <w:rsid w:val="72133F6A"/>
    <w:rsid w:val="72181581"/>
    <w:rsid w:val="721B4BCD"/>
    <w:rsid w:val="72324E14"/>
    <w:rsid w:val="7238752D"/>
    <w:rsid w:val="72423634"/>
    <w:rsid w:val="72440DCF"/>
    <w:rsid w:val="724E4FA2"/>
    <w:rsid w:val="72534572"/>
    <w:rsid w:val="725D4114"/>
    <w:rsid w:val="72646574"/>
    <w:rsid w:val="726B5CF3"/>
    <w:rsid w:val="7270316B"/>
    <w:rsid w:val="727162DD"/>
    <w:rsid w:val="72732BC1"/>
    <w:rsid w:val="727F0AC4"/>
    <w:rsid w:val="728409C4"/>
    <w:rsid w:val="72874010"/>
    <w:rsid w:val="729055BB"/>
    <w:rsid w:val="729C77D7"/>
    <w:rsid w:val="72A050D2"/>
    <w:rsid w:val="72AB5F51"/>
    <w:rsid w:val="72B1108D"/>
    <w:rsid w:val="72B56DCF"/>
    <w:rsid w:val="72BB015E"/>
    <w:rsid w:val="72CC4119"/>
    <w:rsid w:val="72E044D5"/>
    <w:rsid w:val="72E256EB"/>
    <w:rsid w:val="72F53670"/>
    <w:rsid w:val="730218E9"/>
    <w:rsid w:val="7308172E"/>
    <w:rsid w:val="7309711B"/>
    <w:rsid w:val="730A7386"/>
    <w:rsid w:val="731F25E1"/>
    <w:rsid w:val="73216213"/>
    <w:rsid w:val="73217FC1"/>
    <w:rsid w:val="732301DD"/>
    <w:rsid w:val="73301B0B"/>
    <w:rsid w:val="733046A8"/>
    <w:rsid w:val="733221CE"/>
    <w:rsid w:val="733A1083"/>
    <w:rsid w:val="734704D0"/>
    <w:rsid w:val="73576F3C"/>
    <w:rsid w:val="736B748E"/>
    <w:rsid w:val="736C0ED5"/>
    <w:rsid w:val="736D3206"/>
    <w:rsid w:val="7371736D"/>
    <w:rsid w:val="7375135A"/>
    <w:rsid w:val="737970D6"/>
    <w:rsid w:val="73816CB2"/>
    <w:rsid w:val="73843981"/>
    <w:rsid w:val="73912EBD"/>
    <w:rsid w:val="739509AF"/>
    <w:rsid w:val="73B01AE0"/>
    <w:rsid w:val="73BB6668"/>
    <w:rsid w:val="73C31078"/>
    <w:rsid w:val="73C372CA"/>
    <w:rsid w:val="73C848E1"/>
    <w:rsid w:val="73C92407"/>
    <w:rsid w:val="73D6524F"/>
    <w:rsid w:val="73DC213A"/>
    <w:rsid w:val="73EB3463"/>
    <w:rsid w:val="73F76F74"/>
    <w:rsid w:val="74024296"/>
    <w:rsid w:val="74031DBD"/>
    <w:rsid w:val="74070859"/>
    <w:rsid w:val="74081181"/>
    <w:rsid w:val="740C16A3"/>
    <w:rsid w:val="740D49E9"/>
    <w:rsid w:val="740F250F"/>
    <w:rsid w:val="741144D9"/>
    <w:rsid w:val="74145D78"/>
    <w:rsid w:val="742A559B"/>
    <w:rsid w:val="742A7ABE"/>
    <w:rsid w:val="74312486"/>
    <w:rsid w:val="743401C8"/>
    <w:rsid w:val="74343D24"/>
    <w:rsid w:val="74343F5B"/>
    <w:rsid w:val="74381A66"/>
    <w:rsid w:val="7439421E"/>
    <w:rsid w:val="74424693"/>
    <w:rsid w:val="744321B9"/>
    <w:rsid w:val="74435076"/>
    <w:rsid w:val="744D4DE6"/>
    <w:rsid w:val="744D7589"/>
    <w:rsid w:val="74575C64"/>
    <w:rsid w:val="7460720F"/>
    <w:rsid w:val="74620891"/>
    <w:rsid w:val="746E5488"/>
    <w:rsid w:val="746F2FAE"/>
    <w:rsid w:val="74715F31"/>
    <w:rsid w:val="747405C4"/>
    <w:rsid w:val="74756912"/>
    <w:rsid w:val="74955EF0"/>
    <w:rsid w:val="749649DF"/>
    <w:rsid w:val="7496678D"/>
    <w:rsid w:val="749B262E"/>
    <w:rsid w:val="749C274C"/>
    <w:rsid w:val="74A1611F"/>
    <w:rsid w:val="74A419DE"/>
    <w:rsid w:val="74AE3AD6"/>
    <w:rsid w:val="74B33326"/>
    <w:rsid w:val="74BB4445"/>
    <w:rsid w:val="74C10F48"/>
    <w:rsid w:val="74C23A26"/>
    <w:rsid w:val="74CF1C9F"/>
    <w:rsid w:val="74D07EF1"/>
    <w:rsid w:val="74D3353D"/>
    <w:rsid w:val="74D774D1"/>
    <w:rsid w:val="74D9476A"/>
    <w:rsid w:val="74DB0C04"/>
    <w:rsid w:val="74E7348C"/>
    <w:rsid w:val="74E86E44"/>
    <w:rsid w:val="74EE1529"/>
    <w:rsid w:val="74EE6765"/>
    <w:rsid w:val="74F17E67"/>
    <w:rsid w:val="74F57957"/>
    <w:rsid w:val="74F8738F"/>
    <w:rsid w:val="75023E22"/>
    <w:rsid w:val="7518696C"/>
    <w:rsid w:val="751D21C1"/>
    <w:rsid w:val="75204A12"/>
    <w:rsid w:val="75220020"/>
    <w:rsid w:val="75247492"/>
    <w:rsid w:val="752913AF"/>
    <w:rsid w:val="752B5127"/>
    <w:rsid w:val="753C7334"/>
    <w:rsid w:val="753F0BD2"/>
    <w:rsid w:val="754C32EF"/>
    <w:rsid w:val="755102BF"/>
    <w:rsid w:val="75510906"/>
    <w:rsid w:val="75524DAA"/>
    <w:rsid w:val="75530DE9"/>
    <w:rsid w:val="75565720"/>
    <w:rsid w:val="755C3532"/>
    <w:rsid w:val="75630D65"/>
    <w:rsid w:val="7573644F"/>
    <w:rsid w:val="75750A98"/>
    <w:rsid w:val="757F36C5"/>
    <w:rsid w:val="7584645D"/>
    <w:rsid w:val="75874327"/>
    <w:rsid w:val="758807CB"/>
    <w:rsid w:val="758962F1"/>
    <w:rsid w:val="758B3E34"/>
    <w:rsid w:val="759063C7"/>
    <w:rsid w:val="7592164A"/>
    <w:rsid w:val="75956A44"/>
    <w:rsid w:val="759F5B15"/>
    <w:rsid w:val="75A21FAA"/>
    <w:rsid w:val="75A373B3"/>
    <w:rsid w:val="75A60C51"/>
    <w:rsid w:val="75AF3FAA"/>
    <w:rsid w:val="75B90985"/>
    <w:rsid w:val="75C94940"/>
    <w:rsid w:val="75D73EB2"/>
    <w:rsid w:val="75D831EF"/>
    <w:rsid w:val="75E11C8A"/>
    <w:rsid w:val="75E672A0"/>
    <w:rsid w:val="75FB0F9D"/>
    <w:rsid w:val="75FD145D"/>
    <w:rsid w:val="75FF0A4C"/>
    <w:rsid w:val="760065B4"/>
    <w:rsid w:val="76133B2A"/>
    <w:rsid w:val="7616632D"/>
    <w:rsid w:val="76200A04"/>
    <w:rsid w:val="76261D92"/>
    <w:rsid w:val="76286F0E"/>
    <w:rsid w:val="76344645"/>
    <w:rsid w:val="76360227"/>
    <w:rsid w:val="76426A7A"/>
    <w:rsid w:val="76432944"/>
    <w:rsid w:val="764364A0"/>
    <w:rsid w:val="764A5A81"/>
    <w:rsid w:val="764B35A7"/>
    <w:rsid w:val="764C7E1E"/>
    <w:rsid w:val="76515061"/>
    <w:rsid w:val="76592168"/>
    <w:rsid w:val="766823AB"/>
    <w:rsid w:val="766905FD"/>
    <w:rsid w:val="76733229"/>
    <w:rsid w:val="767936DC"/>
    <w:rsid w:val="767E397C"/>
    <w:rsid w:val="768216BE"/>
    <w:rsid w:val="76856AB9"/>
    <w:rsid w:val="76903228"/>
    <w:rsid w:val="769E7B7B"/>
    <w:rsid w:val="76A038F3"/>
    <w:rsid w:val="76A07D97"/>
    <w:rsid w:val="76A80185"/>
    <w:rsid w:val="76B37ACA"/>
    <w:rsid w:val="76B850E0"/>
    <w:rsid w:val="76CC46E8"/>
    <w:rsid w:val="76CF41D8"/>
    <w:rsid w:val="76CF5F86"/>
    <w:rsid w:val="76D13197"/>
    <w:rsid w:val="76D33CC8"/>
    <w:rsid w:val="76D35A76"/>
    <w:rsid w:val="76DC7C2A"/>
    <w:rsid w:val="76DE1E2F"/>
    <w:rsid w:val="76E45ED5"/>
    <w:rsid w:val="76E61C4D"/>
    <w:rsid w:val="76F45266"/>
    <w:rsid w:val="76F75961"/>
    <w:rsid w:val="76FB4FCD"/>
    <w:rsid w:val="76FD33E8"/>
    <w:rsid w:val="76FF6781"/>
    <w:rsid w:val="77020109"/>
    <w:rsid w:val="770519A8"/>
    <w:rsid w:val="7713759A"/>
    <w:rsid w:val="77161E07"/>
    <w:rsid w:val="771A18F7"/>
    <w:rsid w:val="771C566F"/>
    <w:rsid w:val="772C33D8"/>
    <w:rsid w:val="77470212"/>
    <w:rsid w:val="77472401"/>
    <w:rsid w:val="77476464"/>
    <w:rsid w:val="774B7D02"/>
    <w:rsid w:val="774E15A1"/>
    <w:rsid w:val="775070C7"/>
    <w:rsid w:val="77513928"/>
    <w:rsid w:val="77514BED"/>
    <w:rsid w:val="77573E97"/>
    <w:rsid w:val="775766A7"/>
    <w:rsid w:val="776072D9"/>
    <w:rsid w:val="77626DFA"/>
    <w:rsid w:val="77640268"/>
    <w:rsid w:val="77664B3C"/>
    <w:rsid w:val="77692D92"/>
    <w:rsid w:val="77731007"/>
    <w:rsid w:val="778154D2"/>
    <w:rsid w:val="77882D05"/>
    <w:rsid w:val="778E5E41"/>
    <w:rsid w:val="77996CC0"/>
    <w:rsid w:val="779C230C"/>
    <w:rsid w:val="779D6084"/>
    <w:rsid w:val="77A45665"/>
    <w:rsid w:val="77A47413"/>
    <w:rsid w:val="77B5517C"/>
    <w:rsid w:val="77BA4E88"/>
    <w:rsid w:val="77C16217"/>
    <w:rsid w:val="77C47AB5"/>
    <w:rsid w:val="77C53C34"/>
    <w:rsid w:val="77CB499F"/>
    <w:rsid w:val="77CE623E"/>
    <w:rsid w:val="77D221D2"/>
    <w:rsid w:val="77E53282"/>
    <w:rsid w:val="77E617D9"/>
    <w:rsid w:val="77F01BC2"/>
    <w:rsid w:val="77F15368"/>
    <w:rsid w:val="78016613"/>
    <w:rsid w:val="780240D6"/>
    <w:rsid w:val="780305DD"/>
    <w:rsid w:val="780600CD"/>
    <w:rsid w:val="780A371A"/>
    <w:rsid w:val="780B3511"/>
    <w:rsid w:val="781F604F"/>
    <w:rsid w:val="782C7B34"/>
    <w:rsid w:val="7840713B"/>
    <w:rsid w:val="784309DA"/>
    <w:rsid w:val="784B4D6A"/>
    <w:rsid w:val="7851759A"/>
    <w:rsid w:val="7855070D"/>
    <w:rsid w:val="7863107C"/>
    <w:rsid w:val="78654D55"/>
    <w:rsid w:val="78673398"/>
    <w:rsid w:val="7872306D"/>
    <w:rsid w:val="7880578A"/>
    <w:rsid w:val="78827754"/>
    <w:rsid w:val="78866ABF"/>
    <w:rsid w:val="78874D6A"/>
    <w:rsid w:val="78982F01"/>
    <w:rsid w:val="789D4B82"/>
    <w:rsid w:val="78A21BA4"/>
    <w:rsid w:val="78AD1B9D"/>
    <w:rsid w:val="78AF42C1"/>
    <w:rsid w:val="78B35B5F"/>
    <w:rsid w:val="78B611AB"/>
    <w:rsid w:val="78BB1DEB"/>
    <w:rsid w:val="78BC253A"/>
    <w:rsid w:val="78BD078C"/>
    <w:rsid w:val="78CC4217"/>
    <w:rsid w:val="78CF4963"/>
    <w:rsid w:val="78D00040"/>
    <w:rsid w:val="78D21D5D"/>
    <w:rsid w:val="78DB6E64"/>
    <w:rsid w:val="78DD0E2E"/>
    <w:rsid w:val="78E24696"/>
    <w:rsid w:val="78F3044A"/>
    <w:rsid w:val="78F320B8"/>
    <w:rsid w:val="78F32400"/>
    <w:rsid w:val="78F46178"/>
    <w:rsid w:val="79030169"/>
    <w:rsid w:val="79102FB2"/>
    <w:rsid w:val="79167E9C"/>
    <w:rsid w:val="791D747D"/>
    <w:rsid w:val="79214B3D"/>
    <w:rsid w:val="79226841"/>
    <w:rsid w:val="79273E57"/>
    <w:rsid w:val="792A1B99"/>
    <w:rsid w:val="792F40B6"/>
    <w:rsid w:val="79393B8B"/>
    <w:rsid w:val="7947274B"/>
    <w:rsid w:val="794B223C"/>
    <w:rsid w:val="794B3FEA"/>
    <w:rsid w:val="79507FD7"/>
    <w:rsid w:val="795135CA"/>
    <w:rsid w:val="79515378"/>
    <w:rsid w:val="79554E68"/>
    <w:rsid w:val="795D5ACB"/>
    <w:rsid w:val="795F5CE7"/>
    <w:rsid w:val="796B643A"/>
    <w:rsid w:val="796C3F60"/>
    <w:rsid w:val="79751047"/>
    <w:rsid w:val="797D43BF"/>
    <w:rsid w:val="79825532"/>
    <w:rsid w:val="79863274"/>
    <w:rsid w:val="79877573"/>
    <w:rsid w:val="798D1689"/>
    <w:rsid w:val="799D05BD"/>
    <w:rsid w:val="79A35019"/>
    <w:rsid w:val="79A951B4"/>
    <w:rsid w:val="79B37DE1"/>
    <w:rsid w:val="79B7342D"/>
    <w:rsid w:val="79CE4C1B"/>
    <w:rsid w:val="79D57D57"/>
    <w:rsid w:val="79E81839"/>
    <w:rsid w:val="79E9735F"/>
    <w:rsid w:val="79F3642F"/>
    <w:rsid w:val="79F77CCE"/>
    <w:rsid w:val="79F91C98"/>
    <w:rsid w:val="7A0E52C9"/>
    <w:rsid w:val="7A13262E"/>
    <w:rsid w:val="7A15284A"/>
    <w:rsid w:val="7A17211E"/>
    <w:rsid w:val="7A1C7BE9"/>
    <w:rsid w:val="7A287E87"/>
    <w:rsid w:val="7A2D36EF"/>
    <w:rsid w:val="7A2F56B9"/>
    <w:rsid w:val="7A2F605F"/>
    <w:rsid w:val="7A342319"/>
    <w:rsid w:val="7A390725"/>
    <w:rsid w:val="7A391673"/>
    <w:rsid w:val="7A3F1458"/>
    <w:rsid w:val="7A480258"/>
    <w:rsid w:val="7A495A8F"/>
    <w:rsid w:val="7A523AF4"/>
    <w:rsid w:val="7A536490"/>
    <w:rsid w:val="7A57269A"/>
    <w:rsid w:val="7A5B64AE"/>
    <w:rsid w:val="7A5C5D83"/>
    <w:rsid w:val="7A5E7D4D"/>
    <w:rsid w:val="7A645345"/>
    <w:rsid w:val="7A65732D"/>
    <w:rsid w:val="7A664E53"/>
    <w:rsid w:val="7A6A5516"/>
    <w:rsid w:val="7A6F1F5A"/>
    <w:rsid w:val="7A725D8C"/>
    <w:rsid w:val="7A745707"/>
    <w:rsid w:val="7A772BBC"/>
    <w:rsid w:val="7A7F77A4"/>
    <w:rsid w:val="7A861051"/>
    <w:rsid w:val="7A8E3857"/>
    <w:rsid w:val="7A911ED0"/>
    <w:rsid w:val="7A922676"/>
    <w:rsid w:val="7A97500D"/>
    <w:rsid w:val="7AA02113"/>
    <w:rsid w:val="7AA15E8B"/>
    <w:rsid w:val="7AAC2004"/>
    <w:rsid w:val="7AB42531"/>
    <w:rsid w:val="7AB94F83"/>
    <w:rsid w:val="7AC878BC"/>
    <w:rsid w:val="7AD46E57"/>
    <w:rsid w:val="7ADC6EC3"/>
    <w:rsid w:val="7ADE297D"/>
    <w:rsid w:val="7AEA5A84"/>
    <w:rsid w:val="7AF631D6"/>
    <w:rsid w:val="7AF91823"/>
    <w:rsid w:val="7AFD7566"/>
    <w:rsid w:val="7B000E04"/>
    <w:rsid w:val="7B006E3F"/>
    <w:rsid w:val="7B007056"/>
    <w:rsid w:val="7B022DCE"/>
    <w:rsid w:val="7B041F22"/>
    <w:rsid w:val="7B18439F"/>
    <w:rsid w:val="7B193C74"/>
    <w:rsid w:val="7B2014A6"/>
    <w:rsid w:val="7B203504"/>
    <w:rsid w:val="7B2B439A"/>
    <w:rsid w:val="7B2C4929"/>
    <w:rsid w:val="7B2D5625"/>
    <w:rsid w:val="7B2F5245"/>
    <w:rsid w:val="7B322A32"/>
    <w:rsid w:val="7B364826"/>
    <w:rsid w:val="7B3665D4"/>
    <w:rsid w:val="7B39121D"/>
    <w:rsid w:val="7B3B1E3C"/>
    <w:rsid w:val="7B446F42"/>
    <w:rsid w:val="7B4A02D1"/>
    <w:rsid w:val="7B4A207F"/>
    <w:rsid w:val="7B4A7231"/>
    <w:rsid w:val="7B555B44"/>
    <w:rsid w:val="7B5F1FCE"/>
    <w:rsid w:val="7B6018A2"/>
    <w:rsid w:val="7B643141"/>
    <w:rsid w:val="7B672C31"/>
    <w:rsid w:val="7B851426"/>
    <w:rsid w:val="7B857D92"/>
    <w:rsid w:val="7B8F3A15"/>
    <w:rsid w:val="7B9D6653"/>
    <w:rsid w:val="7BA36C72"/>
    <w:rsid w:val="7BA45C33"/>
    <w:rsid w:val="7BA619AB"/>
    <w:rsid w:val="7BA67CF4"/>
    <w:rsid w:val="7BA774D1"/>
    <w:rsid w:val="7BA9149B"/>
    <w:rsid w:val="7BAB0D70"/>
    <w:rsid w:val="7BB2194B"/>
    <w:rsid w:val="7BBD6CF5"/>
    <w:rsid w:val="7BCF6BF5"/>
    <w:rsid w:val="7BD302C6"/>
    <w:rsid w:val="7BD44756"/>
    <w:rsid w:val="7BD659DE"/>
    <w:rsid w:val="7BE2675B"/>
    <w:rsid w:val="7BE349AD"/>
    <w:rsid w:val="7BE44282"/>
    <w:rsid w:val="7BE95D3C"/>
    <w:rsid w:val="7BEB3862"/>
    <w:rsid w:val="7BFA7117"/>
    <w:rsid w:val="7C014E34"/>
    <w:rsid w:val="7C0A75AC"/>
    <w:rsid w:val="7C11382C"/>
    <w:rsid w:val="7C272C0F"/>
    <w:rsid w:val="7C27396F"/>
    <w:rsid w:val="7C3074C7"/>
    <w:rsid w:val="7C3245B2"/>
    <w:rsid w:val="7C4371FA"/>
    <w:rsid w:val="7C46731F"/>
    <w:rsid w:val="7C4A4A2C"/>
    <w:rsid w:val="7C4B2553"/>
    <w:rsid w:val="7C52743D"/>
    <w:rsid w:val="7C572CA5"/>
    <w:rsid w:val="7C5C069A"/>
    <w:rsid w:val="7C606BB1"/>
    <w:rsid w:val="7C63164A"/>
    <w:rsid w:val="7C683105"/>
    <w:rsid w:val="7C6C7A6D"/>
    <w:rsid w:val="7C7478B9"/>
    <w:rsid w:val="7C7B27EB"/>
    <w:rsid w:val="7C7C095E"/>
    <w:rsid w:val="7C7D2C09"/>
    <w:rsid w:val="7C833A9B"/>
    <w:rsid w:val="7C8A4E29"/>
    <w:rsid w:val="7C9E6B26"/>
    <w:rsid w:val="7CA659DB"/>
    <w:rsid w:val="7CA70377"/>
    <w:rsid w:val="7CA81753"/>
    <w:rsid w:val="7CAA075C"/>
    <w:rsid w:val="7CAA1027"/>
    <w:rsid w:val="7CAB734F"/>
    <w:rsid w:val="7CB2612E"/>
    <w:rsid w:val="7CB400F8"/>
    <w:rsid w:val="7CB77E6C"/>
    <w:rsid w:val="7CBC6FAC"/>
    <w:rsid w:val="7CC06A9D"/>
    <w:rsid w:val="7CD048AA"/>
    <w:rsid w:val="7CD21CA4"/>
    <w:rsid w:val="7CDD764F"/>
    <w:rsid w:val="7CE539D6"/>
    <w:rsid w:val="7CE7227B"/>
    <w:rsid w:val="7CE81B50"/>
    <w:rsid w:val="7CE86FC3"/>
    <w:rsid w:val="7CF84488"/>
    <w:rsid w:val="7CF9764F"/>
    <w:rsid w:val="7CFC55FB"/>
    <w:rsid w:val="7D00333D"/>
    <w:rsid w:val="7D0821F2"/>
    <w:rsid w:val="7D1646C8"/>
    <w:rsid w:val="7D16490F"/>
    <w:rsid w:val="7D1A2FE3"/>
    <w:rsid w:val="7D1B1F25"/>
    <w:rsid w:val="7D2A660C"/>
    <w:rsid w:val="7D2D3A06"/>
    <w:rsid w:val="7D350383"/>
    <w:rsid w:val="7D376E3C"/>
    <w:rsid w:val="7D407BDD"/>
    <w:rsid w:val="7D440FC1"/>
    <w:rsid w:val="7D470F6C"/>
    <w:rsid w:val="7D496A92"/>
    <w:rsid w:val="7D4C6582"/>
    <w:rsid w:val="7D4E40A8"/>
    <w:rsid w:val="7D523A71"/>
    <w:rsid w:val="7D562F5D"/>
    <w:rsid w:val="7D6733BC"/>
    <w:rsid w:val="7D711B45"/>
    <w:rsid w:val="7D735C9F"/>
    <w:rsid w:val="7D80447E"/>
    <w:rsid w:val="7D80622C"/>
    <w:rsid w:val="7D847ACA"/>
    <w:rsid w:val="7D913F95"/>
    <w:rsid w:val="7D985324"/>
    <w:rsid w:val="7D9A72EE"/>
    <w:rsid w:val="7D9B3066"/>
    <w:rsid w:val="7DA20010"/>
    <w:rsid w:val="7DAC7021"/>
    <w:rsid w:val="7DBB7264"/>
    <w:rsid w:val="7DBF4FA6"/>
    <w:rsid w:val="7DDC7906"/>
    <w:rsid w:val="7DF54524"/>
    <w:rsid w:val="7E02533C"/>
    <w:rsid w:val="7E040C0B"/>
    <w:rsid w:val="7E0522D0"/>
    <w:rsid w:val="7E1C3341"/>
    <w:rsid w:val="7E1D1CCD"/>
    <w:rsid w:val="7E2968C4"/>
    <w:rsid w:val="7E355268"/>
    <w:rsid w:val="7E374B3D"/>
    <w:rsid w:val="7E3D5ECB"/>
    <w:rsid w:val="7E4365D3"/>
    <w:rsid w:val="7E4577B8"/>
    <w:rsid w:val="7E4B4A8C"/>
    <w:rsid w:val="7E5435C9"/>
    <w:rsid w:val="7E5861CC"/>
    <w:rsid w:val="7E68119A"/>
    <w:rsid w:val="7E8A55B4"/>
    <w:rsid w:val="7E90249F"/>
    <w:rsid w:val="7E906943"/>
    <w:rsid w:val="7E96574B"/>
    <w:rsid w:val="7E9E5A62"/>
    <w:rsid w:val="7EA1645A"/>
    <w:rsid w:val="7EAA7A04"/>
    <w:rsid w:val="7EB919F5"/>
    <w:rsid w:val="7EBC3294"/>
    <w:rsid w:val="7ECA3C03"/>
    <w:rsid w:val="7ED0563F"/>
    <w:rsid w:val="7ED72A0A"/>
    <w:rsid w:val="7EF73484"/>
    <w:rsid w:val="7EF84FD8"/>
    <w:rsid w:val="7F0215EE"/>
    <w:rsid w:val="7F0224C6"/>
    <w:rsid w:val="7F0F1615"/>
    <w:rsid w:val="7F2063D5"/>
    <w:rsid w:val="7F25708B"/>
    <w:rsid w:val="7F271055"/>
    <w:rsid w:val="7F3D43D5"/>
    <w:rsid w:val="7F436576"/>
    <w:rsid w:val="7F480FCB"/>
    <w:rsid w:val="7F4F235A"/>
    <w:rsid w:val="7F547970"/>
    <w:rsid w:val="7F5931D8"/>
    <w:rsid w:val="7F5D5059"/>
    <w:rsid w:val="7F5D547A"/>
    <w:rsid w:val="7F635CDA"/>
    <w:rsid w:val="7F6776A3"/>
    <w:rsid w:val="7F6851CA"/>
    <w:rsid w:val="7F6A0F42"/>
    <w:rsid w:val="7F71229F"/>
    <w:rsid w:val="7F7818B1"/>
    <w:rsid w:val="7F800765"/>
    <w:rsid w:val="7F840255"/>
    <w:rsid w:val="7F875650"/>
    <w:rsid w:val="7F8A5140"/>
    <w:rsid w:val="7F930498"/>
    <w:rsid w:val="7F9D1317"/>
    <w:rsid w:val="7FA94E28"/>
    <w:rsid w:val="7FB4040F"/>
    <w:rsid w:val="7FC05006"/>
    <w:rsid w:val="7FC76394"/>
    <w:rsid w:val="7FC801F6"/>
    <w:rsid w:val="7FCB5E84"/>
    <w:rsid w:val="7FD10B7C"/>
    <w:rsid w:val="7FDD34C2"/>
    <w:rsid w:val="7FDD5BB8"/>
    <w:rsid w:val="7FDF723A"/>
    <w:rsid w:val="7FEA5BDF"/>
    <w:rsid w:val="7FF32CE5"/>
    <w:rsid w:val="7FF54CAF"/>
    <w:rsid w:val="7FF627D5"/>
    <w:rsid w:val="7FF64583"/>
    <w:rsid w:val="7FFD18D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iPriority="99"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keepNext/>
      <w:keepLines/>
      <w:tabs>
        <w:tab w:val="left" w:pos="1080"/>
      </w:tabs>
      <w:spacing w:before="260" w:after="260" w:line="416" w:lineRule="auto"/>
      <w:outlineLvl w:val="1"/>
    </w:pPr>
    <w:rPr>
      <w:rFonts w:ascii="Arial Black" w:hAnsi="Arial Black" w:eastAsia="黑体"/>
      <w:b/>
      <w:bCs/>
      <w:sz w:val="32"/>
      <w:szCs w:val="32"/>
    </w:rPr>
  </w:style>
  <w:style w:type="paragraph" w:styleId="4">
    <w:name w:val="heading 3"/>
    <w:basedOn w:val="1"/>
    <w:next w:val="1"/>
    <w:autoRedefine/>
    <w:qFormat/>
    <w:uiPriority w:val="0"/>
    <w:pPr>
      <w:keepNext/>
      <w:keepLines/>
      <w:tabs>
        <w:tab w:val="left" w:pos="720"/>
      </w:tabs>
      <w:spacing w:line="360" w:lineRule="auto"/>
      <w:ind w:left="720" w:hanging="432"/>
      <w:outlineLvl w:val="2"/>
    </w:pPr>
    <w:rPr>
      <w:b/>
      <w:bCs/>
      <w:sz w:val="24"/>
      <w:szCs w:val="32"/>
    </w:rPr>
  </w:style>
  <w:style w:type="paragraph" w:styleId="5">
    <w:name w:val="heading 4"/>
    <w:basedOn w:val="1"/>
    <w:next w:val="1"/>
    <w:autoRedefine/>
    <w:qFormat/>
    <w:uiPriority w:val="0"/>
    <w:pPr>
      <w:keepNext/>
      <w:keepLines/>
      <w:ind w:firstLine="420" w:firstLineChars="150"/>
      <w:outlineLvl w:val="3"/>
    </w:pPr>
    <w:rPr>
      <w:rFonts w:ascii="Arial" w:hAnsi="Arial" w:cs="Arial"/>
      <w:b/>
      <w:sz w:val="28"/>
      <w:szCs w:val="28"/>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toa heading"/>
    <w:basedOn w:val="1"/>
    <w:next w:val="1"/>
    <w:autoRedefine/>
    <w:qFormat/>
    <w:uiPriority w:val="0"/>
    <w:pPr>
      <w:spacing w:before="120"/>
    </w:pPr>
    <w:rPr>
      <w:rFonts w:ascii="Cambria" w:hAnsi="Cambria" w:cs="Times New Roman"/>
      <w:sz w:val="24"/>
      <w:szCs w:val="24"/>
    </w:rPr>
  </w:style>
  <w:style w:type="paragraph" w:styleId="8">
    <w:name w:val="annotation text"/>
    <w:basedOn w:val="1"/>
    <w:autoRedefine/>
    <w:semiHidden/>
    <w:qFormat/>
    <w:uiPriority w:val="0"/>
    <w:pPr>
      <w:jc w:val="left"/>
    </w:pPr>
  </w:style>
  <w:style w:type="paragraph" w:styleId="9">
    <w:name w:val="Body Text 3"/>
    <w:basedOn w:val="1"/>
    <w:autoRedefine/>
    <w:qFormat/>
    <w:uiPriority w:val="99"/>
    <w:pPr>
      <w:spacing w:after="120"/>
    </w:pPr>
    <w:rPr>
      <w:sz w:val="16"/>
      <w:szCs w:val="16"/>
    </w:rPr>
  </w:style>
  <w:style w:type="paragraph" w:styleId="10">
    <w:name w:val="Body Text"/>
    <w:basedOn w:val="1"/>
    <w:autoRedefine/>
    <w:qFormat/>
    <w:uiPriority w:val="0"/>
    <w:pPr>
      <w:spacing w:after="120"/>
    </w:pPr>
  </w:style>
  <w:style w:type="paragraph" w:styleId="11">
    <w:name w:val="Body Text Indent"/>
    <w:basedOn w:val="1"/>
    <w:next w:val="1"/>
    <w:autoRedefine/>
    <w:qFormat/>
    <w:uiPriority w:val="0"/>
    <w:pPr>
      <w:spacing w:line="360" w:lineRule="auto"/>
      <w:ind w:firstLine="560" w:firstLineChars="200"/>
    </w:pPr>
    <w:rPr>
      <w:sz w:val="28"/>
    </w:rPr>
  </w:style>
  <w:style w:type="paragraph" w:styleId="12">
    <w:name w:val="HTML Address"/>
    <w:basedOn w:val="1"/>
    <w:next w:val="10"/>
    <w:autoRedefine/>
    <w:unhideWhenUsed/>
    <w:qFormat/>
    <w:uiPriority w:val="99"/>
    <w:pPr>
      <w:topLinePunct/>
    </w:pPr>
  </w:style>
  <w:style w:type="paragraph" w:styleId="13">
    <w:name w:val="Plain Text"/>
    <w:basedOn w:val="1"/>
    <w:autoRedefine/>
    <w:qFormat/>
    <w:uiPriority w:val="0"/>
    <w:rPr>
      <w:rFonts w:ascii="宋体" w:hAnsi="Courier New"/>
    </w:rPr>
  </w:style>
  <w:style w:type="paragraph" w:styleId="14">
    <w:name w:val="Date"/>
    <w:basedOn w:val="1"/>
    <w:next w:val="1"/>
    <w:qFormat/>
    <w:uiPriority w:val="0"/>
    <w:rPr>
      <w:sz w:val="24"/>
      <w:szCs w:val="20"/>
    </w:rPr>
  </w:style>
  <w:style w:type="paragraph" w:styleId="15">
    <w:name w:val="footer"/>
    <w:basedOn w:val="1"/>
    <w:autoRedefine/>
    <w:qFormat/>
    <w:uiPriority w:val="99"/>
    <w:pPr>
      <w:tabs>
        <w:tab w:val="center" w:pos="4153"/>
        <w:tab w:val="right" w:pos="8306"/>
      </w:tabs>
      <w:snapToGrid w:val="0"/>
      <w:jc w:val="left"/>
    </w:pPr>
    <w:rPr>
      <w:sz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style>
  <w:style w:type="paragraph" w:styleId="18">
    <w:name w:val="footnote text"/>
    <w:basedOn w:val="1"/>
    <w:next w:val="10"/>
    <w:autoRedefine/>
    <w:qFormat/>
    <w:uiPriority w:val="0"/>
    <w:pPr>
      <w:adjustRightInd w:val="0"/>
      <w:snapToGrid w:val="0"/>
      <w:spacing w:line="312" w:lineRule="atLeast"/>
      <w:jc w:val="left"/>
      <w:textAlignment w:val="baseline"/>
    </w:pPr>
    <w:rPr>
      <w:rFonts w:eastAsia="仿宋"/>
      <w:kern w:val="0"/>
      <w:sz w:val="18"/>
      <w:szCs w:val="18"/>
    </w:rPr>
  </w:style>
  <w:style w:type="paragraph" w:styleId="19">
    <w:name w:val="toc 2"/>
    <w:basedOn w:val="1"/>
    <w:next w:val="1"/>
    <w:autoRedefine/>
    <w:qFormat/>
    <w:uiPriority w:val="39"/>
    <w:pPr>
      <w:ind w:left="420" w:leftChars="200"/>
    </w:pPr>
    <w:rPr>
      <w:rFonts w:cs="Angsana New"/>
      <w:lang w:bidi="th-TH"/>
    </w:rPr>
  </w:style>
  <w:style w:type="paragraph" w:styleId="20">
    <w:name w:val="Body Text 2"/>
    <w:basedOn w:val="1"/>
    <w:autoRedefine/>
    <w:unhideWhenUsed/>
    <w:qFormat/>
    <w:uiPriority w:val="99"/>
    <w:pPr>
      <w:spacing w:line="360" w:lineRule="auto"/>
      <w:ind w:firstLine="0" w:firstLineChars="0"/>
    </w:pPr>
  </w:style>
  <w:style w:type="paragraph" w:styleId="21">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w:basedOn w:val="10"/>
    <w:next w:val="1"/>
    <w:autoRedefine/>
    <w:qFormat/>
    <w:uiPriority w:val="0"/>
    <w:pPr>
      <w:widowControl/>
      <w:ind w:firstLine="420"/>
      <w:jc w:val="left"/>
    </w:pPr>
    <w:rPr>
      <w:kern w:val="0"/>
      <w:sz w:val="20"/>
    </w:rPr>
  </w:style>
  <w:style w:type="paragraph" w:styleId="23">
    <w:name w:val="Body Text First Indent 2"/>
    <w:basedOn w:val="11"/>
    <w:autoRedefine/>
    <w:unhideWhenUsed/>
    <w:qFormat/>
    <w:uiPriority w:val="0"/>
    <w:pPr>
      <w:spacing w:after="120" w:line="240" w:lineRule="auto"/>
      <w:ind w:left="420" w:leftChars="200" w:firstLine="420"/>
    </w:pPr>
    <w:rPr>
      <w:sz w:val="21"/>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basedOn w:val="26"/>
    <w:autoRedefine/>
    <w:qFormat/>
    <w:uiPriority w:val="0"/>
  </w:style>
  <w:style w:type="character" w:styleId="29">
    <w:name w:val="Emphasis"/>
    <w:basedOn w:val="26"/>
    <w:qFormat/>
    <w:uiPriority w:val="0"/>
    <w:rPr>
      <w:i/>
    </w:rPr>
  </w:style>
  <w:style w:type="character" w:styleId="30">
    <w:name w:val="Hyperlink"/>
    <w:basedOn w:val="26"/>
    <w:autoRedefine/>
    <w:qFormat/>
    <w:uiPriority w:val="0"/>
    <w:rPr>
      <w:color w:val="0000FF"/>
      <w:u w:val="single"/>
    </w:rPr>
  </w:style>
  <w:style w:type="character" w:styleId="31">
    <w:name w:val="HTML Sample"/>
    <w:basedOn w:val="26"/>
    <w:autoRedefine/>
    <w:qFormat/>
    <w:uiPriority w:val="0"/>
    <w:rPr>
      <w:rFonts w:ascii="Courier New" w:hAnsi="Courier New"/>
    </w:rPr>
  </w:style>
  <w:style w:type="paragraph" w:customStyle="1" w:styleId="32">
    <w:name w:val="正文格式"/>
    <w:basedOn w:val="1"/>
    <w:autoRedefine/>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33">
    <w:name w:val="Default"/>
    <w:autoRedefine/>
    <w:qFormat/>
    <w:uiPriority w:val="0"/>
    <w:pPr>
      <w:widowControl w:val="0"/>
      <w:autoSpaceDE w:val="0"/>
      <w:autoSpaceDN w:val="0"/>
      <w:adjustRightInd w:val="0"/>
    </w:pPr>
    <w:rPr>
      <w:rFonts w:ascii="黑体" w:hAnsi="Calibri" w:eastAsia="黑体" w:cs="Times New Roman"/>
      <w:lang w:val="en-US" w:eastAsia="zh-CN" w:bidi="ar-SA"/>
    </w:rPr>
  </w:style>
  <w:style w:type="paragraph" w:customStyle="1" w:styleId="34">
    <w:name w:val="正文1"/>
    <w:autoRedefine/>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
    <w:name w:val="Char1"/>
    <w:basedOn w:val="1"/>
    <w:autoRedefine/>
    <w:qFormat/>
    <w:uiPriority w:val="0"/>
    <w:rPr>
      <w:szCs w:val="21"/>
    </w:rPr>
  </w:style>
  <w:style w:type="paragraph" w:styleId="36">
    <w:name w:val="List Paragraph"/>
    <w:basedOn w:val="1"/>
    <w:autoRedefine/>
    <w:qFormat/>
    <w:uiPriority w:val="99"/>
    <w:pPr>
      <w:ind w:firstLine="420" w:firstLineChars="200"/>
    </w:pPr>
  </w:style>
  <w:style w:type="paragraph" w:customStyle="1" w:styleId="37">
    <w:name w:val="标书正文"/>
    <w:basedOn w:val="1"/>
    <w:autoRedefine/>
    <w:qFormat/>
    <w:uiPriority w:val="0"/>
    <w:pPr>
      <w:spacing w:line="560" w:lineRule="exact"/>
      <w:ind w:firstLine="723" w:firstLineChars="200"/>
      <w:jc w:val="center"/>
    </w:pPr>
    <w:rPr>
      <w:rFonts w:ascii="仿宋_GB2312" w:eastAsia="仿宋_GB2312"/>
      <w:b/>
      <w:sz w:val="36"/>
      <w:szCs w:val="24"/>
    </w:rPr>
  </w:style>
  <w:style w:type="paragraph" w:customStyle="1" w:styleId="38">
    <w:name w:val="_Style 7"/>
    <w:basedOn w:val="1"/>
    <w:autoRedefine/>
    <w:qFormat/>
    <w:uiPriority w:val="0"/>
    <w:pPr>
      <w:tabs>
        <w:tab w:val="left" w:pos="360"/>
      </w:tabs>
      <w:ind w:firstLine="420" w:firstLineChars="150"/>
    </w:pPr>
    <w:rPr>
      <w:rFonts w:ascii="Arial" w:hAnsi="Arial" w:cs="Arial"/>
      <w:sz w:val="20"/>
    </w:rPr>
  </w:style>
  <w:style w:type="paragraph" w:customStyle="1" w:styleId="39">
    <w:name w:val="缺省文本"/>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0">
    <w:name w:val="font21"/>
    <w:basedOn w:val="26"/>
    <w:autoRedefine/>
    <w:qFormat/>
    <w:uiPriority w:val="0"/>
    <w:rPr>
      <w:rFonts w:hint="eastAsia" w:ascii="宋体" w:hAnsi="宋体" w:eastAsia="宋体" w:cs="宋体"/>
      <w:color w:val="000000"/>
      <w:sz w:val="20"/>
      <w:szCs w:val="20"/>
      <w:u w:val="none"/>
      <w:vertAlign w:val="superscript"/>
    </w:rPr>
  </w:style>
  <w:style w:type="paragraph" w:customStyle="1" w:styleId="41">
    <w:name w:val="Default Text"/>
    <w:basedOn w:val="4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正文_0"/>
    <w:basedOn w:val="43"/>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43">
    <w:name w:val="正文_1"/>
    <w:basedOn w:val="44"/>
    <w:next w:val="45"/>
    <w:autoRedefine/>
    <w:qFormat/>
    <w:uiPriority w:val="0"/>
    <w:rPr>
      <w:szCs w:val="24"/>
    </w:rPr>
  </w:style>
  <w:style w:type="paragraph" w:customStyle="1" w:styleId="44">
    <w:name w:val="正文_2_0"/>
    <w:next w:val="4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文本_0"/>
    <w:basedOn w:val="44"/>
    <w:autoRedefine/>
    <w:qFormat/>
    <w:uiPriority w:val="0"/>
    <w:pPr>
      <w:spacing w:after="120"/>
    </w:pPr>
    <w:rPr>
      <w:kern w:val="0"/>
      <w:sz w:val="20"/>
    </w:rPr>
  </w:style>
  <w:style w:type="paragraph" w:customStyle="1" w:styleId="46">
    <w:name w:val="WPSOffice手动目录 1"/>
    <w:autoRedefine/>
    <w:qFormat/>
    <w:uiPriority w:val="0"/>
    <w:pPr>
      <w:ind w:leftChars="0"/>
    </w:pPr>
    <w:rPr>
      <w:rFonts w:asciiTheme="minorHAnsi" w:hAnsiTheme="minorHAnsi" w:eastAsiaTheme="minorEastAsia" w:cstheme="minorBidi"/>
      <w:sz w:val="20"/>
      <w:szCs w:val="20"/>
    </w:rPr>
  </w:style>
  <w:style w:type="character" w:customStyle="1" w:styleId="47">
    <w:name w:val="font61"/>
    <w:basedOn w:val="26"/>
    <w:autoRedefine/>
    <w:qFormat/>
    <w:uiPriority w:val="0"/>
    <w:rPr>
      <w:rFonts w:hint="eastAsia" w:ascii="宋体" w:hAnsi="宋体" w:eastAsia="宋体" w:cs="宋体"/>
      <w:color w:val="000000"/>
      <w:sz w:val="20"/>
      <w:szCs w:val="20"/>
      <w:u w:val="none"/>
    </w:rPr>
  </w:style>
  <w:style w:type="paragraph" w:customStyle="1" w:styleId="4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9">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szCs w:val="20"/>
    </w:rPr>
  </w:style>
  <w:style w:type="paragraph" w:customStyle="1" w:styleId="50">
    <w:name w:val="样式1"/>
    <w:basedOn w:val="1"/>
    <w:autoRedefine/>
    <w:qFormat/>
    <w:uiPriority w:val="0"/>
    <w:pPr>
      <w:tabs>
        <w:tab w:val="left" w:pos="480"/>
      </w:tabs>
      <w:adjustRightInd w:val="0"/>
      <w:ind w:left="480" w:hanging="480"/>
      <w:textAlignment w:val="baseline"/>
    </w:pPr>
    <w:rPr>
      <w:rFonts w:ascii="宋体" w:hAnsi="宋体"/>
      <w:kern w:val="0"/>
      <w:szCs w:val="21"/>
    </w:rPr>
  </w:style>
  <w:style w:type="character" w:customStyle="1" w:styleId="51">
    <w:name w:val="font01"/>
    <w:basedOn w:val="26"/>
    <w:autoRedefine/>
    <w:qFormat/>
    <w:uiPriority w:val="0"/>
    <w:rPr>
      <w:rFonts w:hint="eastAsia" w:ascii="宋体" w:hAnsi="宋体" w:eastAsia="宋体" w:cs="宋体"/>
      <w:color w:val="000000"/>
      <w:sz w:val="20"/>
      <w:szCs w:val="20"/>
      <w:u w:val="none"/>
    </w:rPr>
  </w:style>
  <w:style w:type="character" w:customStyle="1" w:styleId="52">
    <w:name w:val="font11"/>
    <w:basedOn w:val="26"/>
    <w:autoRedefine/>
    <w:qFormat/>
    <w:uiPriority w:val="0"/>
    <w:rPr>
      <w:rFonts w:hint="eastAsia" w:ascii="宋体" w:hAnsi="宋体" w:eastAsia="宋体" w:cs="宋体"/>
      <w:color w:val="000000"/>
      <w:sz w:val="20"/>
      <w:szCs w:val="20"/>
      <w:u w:val="none"/>
    </w:rPr>
  </w:style>
  <w:style w:type="character" w:customStyle="1" w:styleId="53">
    <w:name w:val="font81"/>
    <w:basedOn w:val="26"/>
    <w:autoRedefine/>
    <w:qFormat/>
    <w:uiPriority w:val="0"/>
    <w:rPr>
      <w:rFonts w:ascii="Calibri" w:hAnsi="Calibri" w:cs="Calibri"/>
      <w:color w:val="000000"/>
      <w:sz w:val="20"/>
      <w:szCs w:val="20"/>
      <w:u w:val="none"/>
    </w:rPr>
  </w:style>
  <w:style w:type="table" w:customStyle="1" w:styleId="54">
    <w:name w:val="网格型1"/>
    <w:basedOn w:val="24"/>
    <w:autoRedefine/>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5">
    <w:name w:val="font91"/>
    <w:basedOn w:val="26"/>
    <w:autoRedefine/>
    <w:qFormat/>
    <w:uiPriority w:val="0"/>
    <w:rPr>
      <w:rFonts w:hint="eastAsia" w:ascii="宋体" w:hAnsi="宋体" w:eastAsia="宋体" w:cs="宋体"/>
      <w:color w:val="000000"/>
      <w:sz w:val="20"/>
      <w:szCs w:val="20"/>
      <w:u w:val="none"/>
    </w:rPr>
  </w:style>
  <w:style w:type="character" w:customStyle="1" w:styleId="56">
    <w:name w:val="font41"/>
    <w:basedOn w:val="26"/>
    <w:autoRedefine/>
    <w:qFormat/>
    <w:uiPriority w:val="0"/>
    <w:rPr>
      <w:rFonts w:hint="eastAsia" w:ascii="宋体" w:hAnsi="宋体" w:eastAsia="宋体" w:cs="宋体"/>
      <w:color w:val="000000"/>
      <w:sz w:val="22"/>
      <w:szCs w:val="22"/>
      <w:u w:val="none"/>
    </w:rPr>
  </w:style>
  <w:style w:type="character" w:customStyle="1" w:styleId="57">
    <w:name w:val="font101"/>
    <w:basedOn w:val="26"/>
    <w:autoRedefine/>
    <w:qFormat/>
    <w:uiPriority w:val="0"/>
    <w:rPr>
      <w:rFonts w:hint="default" w:ascii="Calibri" w:hAnsi="Calibri" w:cs="Calibri"/>
      <w:color w:val="000000"/>
      <w:sz w:val="22"/>
      <w:szCs w:val="22"/>
      <w:u w:val="none"/>
    </w:rPr>
  </w:style>
  <w:style w:type="character" w:customStyle="1" w:styleId="58">
    <w:name w:val="font51"/>
    <w:basedOn w:val="26"/>
    <w:autoRedefine/>
    <w:qFormat/>
    <w:uiPriority w:val="0"/>
    <w:rPr>
      <w:rFonts w:hint="eastAsia" w:ascii="宋体" w:hAnsi="宋体" w:eastAsia="宋体" w:cs="宋体"/>
      <w:color w:val="000000"/>
      <w:sz w:val="22"/>
      <w:szCs w:val="22"/>
      <w:u w:val="none"/>
    </w:rPr>
  </w:style>
  <w:style w:type="character" w:customStyle="1" w:styleId="59">
    <w:name w:val="font71"/>
    <w:basedOn w:val="26"/>
    <w:autoRedefine/>
    <w:qFormat/>
    <w:uiPriority w:val="0"/>
    <w:rPr>
      <w:rFonts w:hint="eastAsia" w:ascii="宋体" w:hAnsi="宋体" w:eastAsia="宋体" w:cs="宋体"/>
      <w:color w:val="000000"/>
      <w:sz w:val="20"/>
      <w:szCs w:val="20"/>
      <w:u w:val="none"/>
    </w:rPr>
  </w:style>
  <w:style w:type="character" w:customStyle="1" w:styleId="60">
    <w:name w:val="NormalCharacter"/>
    <w:autoRedefine/>
    <w:qFormat/>
    <w:uiPriority w:val="0"/>
    <w:rPr>
      <w:kern w:val="2"/>
      <w:sz w:val="21"/>
      <w:szCs w:val="24"/>
      <w:lang w:val="en-US" w:eastAsia="zh-CN" w:bidi="ar-SA"/>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Table Text"/>
    <w:basedOn w:val="1"/>
    <w:autoRedefine/>
    <w:semiHidden/>
    <w:qFormat/>
    <w:uiPriority w:val="0"/>
    <w:rPr>
      <w:rFonts w:ascii="Arial" w:hAnsi="Arial" w:eastAsia="Arial" w:cs="Arial"/>
      <w:sz w:val="21"/>
      <w:szCs w:val="21"/>
      <w:lang w:val="en-US" w:eastAsia="en-US" w:bidi="ar-SA"/>
    </w:rPr>
  </w:style>
  <w:style w:type="paragraph" w:customStyle="1" w:styleId="63">
    <w:name w:val="_Style 2"/>
    <w:basedOn w:val="1"/>
    <w:autoRedefine/>
    <w:qFormat/>
    <w:uiPriority w:val="0"/>
    <w:pPr>
      <w:ind w:firstLine="420" w:firstLineChars="200"/>
    </w:pPr>
    <w:rPr>
      <w:szCs w:val="24"/>
    </w:rPr>
  </w:style>
  <w:style w:type="paragraph" w:customStyle="1" w:styleId="64">
    <w:name w:val="Table Paragraph"/>
    <w:basedOn w:val="1"/>
    <w:autoRedefine/>
    <w:qFormat/>
    <w:uiPriority w:val="1"/>
    <w:pPr>
      <w:jc w:val="left"/>
    </w:pPr>
    <w:rPr>
      <w:rFonts w:ascii="宋体" w:hAnsi="宋体" w:cs="宋体"/>
      <w:kern w:val="0"/>
      <w:sz w:val="22"/>
      <w:szCs w:val="22"/>
      <w:lang w:eastAsia="en-US"/>
    </w:rPr>
  </w:style>
  <w:style w:type="paragraph" w:customStyle="1" w:styleId="65">
    <w:name w:val="?????????????????¡ì?????????????????????????¡ì?????????????????????????¡§????????????????????????¡ì??????????????????????¡ì????????????????????????¡ì????????o????????????????????¡§????????????????????????¡ì??????????????????????¡ì????????"/>
    <w:basedOn w:val="1"/>
    <w:autoRedefine/>
    <w:qFormat/>
    <w:uiPriority w:val="0"/>
    <w:pPr>
      <w:jc w:val="left"/>
    </w:pPr>
    <w:rPr>
      <w:rFonts w:ascii="Times New Roman" w:hAnsi="Times New Roman"/>
      <w:sz w:val="24"/>
    </w:rPr>
  </w:style>
  <w:style w:type="paragraph" w:customStyle="1" w:styleId="66">
    <w:name w:val="Normal"/>
    <w:autoRedefine/>
    <w:qFormat/>
    <w:uiPriority w:val="0"/>
    <w:rPr>
      <w:rFonts w:ascii="Times New Roman" w:hAnsi="Times New Roman" w:eastAsia="Times New Roman" w:cs="Times New Roman"/>
      <w:sz w:val="24"/>
      <w:szCs w:val="24"/>
      <w:lang w:bidi="ar-SA"/>
    </w:rPr>
  </w:style>
  <w:style w:type="character" w:customStyle="1" w:styleId="67">
    <w:name w:val="font31"/>
    <w:basedOn w:val="26"/>
    <w:autoRedefine/>
    <w:qFormat/>
    <w:uiPriority w:val="0"/>
    <w:rPr>
      <w:rFonts w:hint="eastAsia" w:ascii="宋体" w:hAnsi="宋体" w:eastAsia="宋体" w:cs="宋体"/>
      <w:color w:val="FF0000"/>
      <w:sz w:val="18"/>
      <w:szCs w:val="18"/>
      <w:u w:val="none"/>
    </w:rPr>
  </w:style>
  <w:style w:type="paragraph" w:customStyle="1" w:styleId="68">
    <w:name w:val="样式 样式 样式 左侧:  2 字符1 + 首行缩进:  2 字符1 + 首行缩进:  2 字符"/>
    <w:basedOn w:val="1"/>
    <w:autoRedefine/>
    <w:qFormat/>
    <w:uiPriority w:val="0"/>
    <w:pPr>
      <w:widowControl/>
      <w:adjustRightInd w:val="0"/>
      <w:spacing w:before="60" w:after="120" w:line="440" w:lineRule="atLeast"/>
      <w:ind w:firstLine="480"/>
    </w:pPr>
    <w:rPr>
      <w:sz w:val="24"/>
    </w:rPr>
  </w:style>
  <w:style w:type="character" w:customStyle="1" w:styleId="69">
    <w:name w:val="font112"/>
    <w:basedOn w:val="26"/>
    <w:autoRedefine/>
    <w:qFormat/>
    <w:uiPriority w:val="0"/>
    <w:rPr>
      <w:rFonts w:hint="eastAsia" w:ascii="宋体" w:hAnsi="宋体" w:eastAsia="宋体" w:cs="宋体"/>
      <w:color w:val="000000"/>
      <w:sz w:val="15"/>
      <w:szCs w:val="15"/>
      <w:u w:val="none"/>
    </w:rPr>
  </w:style>
  <w:style w:type="character" w:customStyle="1" w:styleId="70">
    <w:name w:val="font121"/>
    <w:basedOn w:val="26"/>
    <w:autoRedefine/>
    <w:qFormat/>
    <w:uiPriority w:val="0"/>
    <w:rPr>
      <w:rFonts w:hint="eastAsia" w:ascii="仿宋_GB2312" w:eastAsia="仿宋_GB2312" w:cs="仿宋_GB2312"/>
      <w:b/>
      <w:bCs/>
      <w:color w:val="000000"/>
      <w:sz w:val="18"/>
      <w:szCs w:val="18"/>
      <w:u w:val="none"/>
    </w:rPr>
  </w:style>
  <w:style w:type="character" w:customStyle="1" w:styleId="71">
    <w:name w:val="font131"/>
    <w:basedOn w:val="26"/>
    <w:autoRedefine/>
    <w:qFormat/>
    <w:uiPriority w:val="0"/>
    <w:rPr>
      <w:rFonts w:ascii="Arial Unicode MS" w:hAnsi="Arial Unicode MS" w:eastAsia="Arial Unicode MS" w:cs="Arial Unicode MS"/>
      <w:color w:val="000000"/>
      <w:sz w:val="20"/>
      <w:szCs w:val="20"/>
      <w:u w:val="none"/>
    </w:rPr>
  </w:style>
  <w:style w:type="paragraph" w:customStyle="1" w:styleId="72">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3">
    <w:name w:val="Normal_1"/>
    <w:autoRedefine/>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74">
    <w:name w:val="正文_1_0"/>
    <w:basedOn w:val="75"/>
    <w:next w:val="8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2_0_0"/>
    <w:basedOn w:val="76"/>
    <w:next w:val="77"/>
    <w:autoRedefine/>
    <w:qFormat/>
    <w:uiPriority w:val="0"/>
    <w:rPr>
      <w:rFonts w:ascii="Calibri" w:hAnsi="Calibri"/>
      <w:szCs w:val="22"/>
    </w:rPr>
  </w:style>
  <w:style w:type="paragraph" w:customStyle="1" w:styleId="76">
    <w:name w:val="正文_3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正文文本_0_1"/>
    <w:basedOn w:val="78"/>
    <w:autoRedefine/>
    <w:qFormat/>
    <w:uiPriority w:val="0"/>
    <w:pPr>
      <w:spacing w:after="120"/>
    </w:pPr>
    <w:rPr>
      <w:rFonts w:ascii="Calibri" w:hAnsi="Calibri"/>
      <w:kern w:val="0"/>
      <w:sz w:val="20"/>
    </w:rPr>
  </w:style>
  <w:style w:type="paragraph" w:customStyle="1" w:styleId="78">
    <w:name w:val="正文_2_2"/>
    <w:next w:val="7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正文首行缩进 2_0"/>
    <w:basedOn w:val="80"/>
    <w:autoRedefine/>
    <w:qFormat/>
    <w:uiPriority w:val="0"/>
    <w:pPr>
      <w:ind w:firstLine="420" w:firstLineChars="200"/>
    </w:pPr>
  </w:style>
  <w:style w:type="paragraph" w:customStyle="1" w:styleId="80">
    <w:name w:val="正文文本缩进_0_1"/>
    <w:basedOn w:val="76"/>
    <w:autoRedefine/>
    <w:qFormat/>
    <w:uiPriority w:val="0"/>
    <w:pPr>
      <w:spacing w:line="500" w:lineRule="exact"/>
      <w:ind w:left="1588" w:leftChars="832" w:firstLine="433" w:firstLineChars="196"/>
    </w:pPr>
    <w:rPr>
      <w:rFonts w:ascii="Calibri" w:hAnsi="Calibri"/>
      <w:sz w:val="24"/>
    </w:rPr>
  </w:style>
  <w:style w:type="paragraph" w:customStyle="1" w:styleId="81">
    <w:name w:val="正文首行缩进1"/>
    <w:basedOn w:val="82"/>
    <w:autoRedefine/>
    <w:unhideWhenUsed/>
    <w:qFormat/>
    <w:uiPriority w:val="99"/>
    <w:pPr>
      <w:ind w:firstLine="201" w:firstLineChars="100"/>
      <w:jc w:val="left"/>
    </w:pPr>
    <w:rPr>
      <w:rFonts w:ascii="仿宋" w:hAnsi="仿宋" w:eastAsia="仿宋"/>
      <w:b/>
      <w:color w:val="0000FF"/>
      <w:szCs w:val="22"/>
    </w:rPr>
  </w:style>
  <w:style w:type="paragraph" w:customStyle="1" w:styleId="82">
    <w:name w:val="正文文本_0_0"/>
    <w:basedOn w:val="83"/>
    <w:autoRedefine/>
    <w:qFormat/>
    <w:uiPriority w:val="0"/>
    <w:pPr>
      <w:spacing w:after="120"/>
    </w:pPr>
    <w:rPr>
      <w:rFonts w:ascii="Calibri" w:hAnsi="Calibri"/>
      <w:kern w:val="0"/>
      <w:sz w:val="20"/>
    </w:rPr>
  </w:style>
  <w:style w:type="paragraph" w:customStyle="1" w:styleId="83">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Normal_0"/>
    <w:qFormat/>
    <w:uiPriority w:val="0"/>
    <w:rPr>
      <w:rFonts w:ascii="Times New Roman" w:hAnsi="Times New Roman" w:eastAsia="Times New Roman" w:cs="Times New Roman"/>
      <w:sz w:val="24"/>
      <w:szCs w:val="24"/>
      <w:lang w:val="en-US" w:eastAsia="zh-CN" w:bidi="ar-SA"/>
    </w:rPr>
  </w:style>
  <w:style w:type="paragraph" w:customStyle="1" w:styleId="85">
    <w:name w:val="日期_0"/>
    <w:basedOn w:val="86"/>
    <w:next w:val="86"/>
    <w:autoRedefine/>
    <w:qFormat/>
    <w:uiPriority w:val="0"/>
    <w:pPr>
      <w:ind w:left="100" w:leftChars="2500"/>
    </w:pPr>
    <w:rPr>
      <w:kern w:val="0"/>
      <w:sz w:val="20"/>
    </w:rPr>
  </w:style>
  <w:style w:type="paragraph" w:customStyle="1" w:styleId="86">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9">
    <w:name w:val="正文_0_0_0"/>
    <w:autoRedefine/>
    <w:qFormat/>
    <w:uiPriority w:val="0"/>
    <w:pPr>
      <w:widowControl w:val="0"/>
      <w:spacing w:line="500" w:lineRule="exact"/>
      <w:jc w:val="both"/>
    </w:pPr>
    <w:rPr>
      <w:rFonts w:ascii="仿宋" w:hAnsi="仿宋" w:eastAsia="仿宋" w:cs="Times New Roman"/>
      <w:snapToGrid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5348</Words>
  <Characters>5988</Characters>
  <Lines>0</Lines>
  <Paragraphs>0</Paragraphs>
  <TotalTime>81</TotalTime>
  <ScaleCrop>false</ScaleCrop>
  <LinksUpToDate>false</LinksUpToDate>
  <CharactersWithSpaces>6118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2021-09-17T03:33:00Z</dcterms:created>
  <dc:creator>86180</dc:creator>
  <cp:lastModifiedBy>Administrator</cp:lastModifiedBy>
  <cp:lastPrinted>2024-05-15T08:52:00Z</cp:lastPrinted>
  <dcterms:modified xsi:type="dcterms:W3CDTF">2026-05-08T11:07:13Z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90B16D84282E4B7D819AFEECB0381DF2_13</vt:lpwstr>
  </property>
  <property fmtid="{D5CDD505-2E9C-101B-9397-08002B2CF9AE}" pid="4" name="commondata">
    <vt:lpwstr>eyJoZGlkIjoiY2VmODU3YmViNzMyMjk1MDIwNjZmNWIwNzc2NzgwZTQifQ==</vt:lpwstr>
  </property>
  <property fmtid="{D5CDD505-2E9C-101B-9397-08002B2CF9AE}" pid="5" name="KSOTemplateDocerSaveRecord">
    <vt:lpwstr>eyJoZGlkIjoiN2E2NWY1ZDc1MjE2MzNiMmU2ZmIzYTMxZTliY2ZiNmUiLCJ1c2VySWQiOiIxNTQ4NTc1Mzk2In0=</vt:lpwstr>
  </property>
</Properties>
</file>