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A9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highlight w:val="none"/>
          <w:lang w:eastAsia="zh-CN"/>
        </w:rPr>
      </w:pPr>
    </w:p>
    <w:p w14:paraId="21DDBA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lang w:eastAsia="zh-CN"/>
        </w:rPr>
        <w:t>自治区水利招标投标监管系统开发服务</w:t>
      </w:r>
    </w:p>
    <w:p w14:paraId="12FF06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510ED4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5AF8E8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1C15D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09DEFE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61AC4A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3CE339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43CFA646">
      <w:pPr>
        <w:pStyle w:val="39"/>
        <w:keepNext w:val="0"/>
        <w:keepLines w:val="0"/>
        <w:pageBreakBefore w:val="0"/>
        <w:widowControl w:val="0"/>
        <w:kinsoku/>
        <w:wordWrap/>
        <w:overflowPunct/>
        <w:topLinePunct w:val="0"/>
        <w:autoSpaceDE/>
        <w:autoSpaceDN/>
        <w:bidi w:val="0"/>
        <w:adjustRightInd/>
        <w:snapToGrid/>
        <w:jc w:val="center"/>
        <w:textAlignment w:val="auto"/>
        <w:rPr>
          <w:rFonts w:hint="eastAsia"/>
        </w:rPr>
      </w:pPr>
    </w:p>
    <w:p w14:paraId="347CBF68">
      <w:pPr>
        <w:pStyle w:val="39"/>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0"/>
          <w:szCs w:val="30"/>
        </w:rPr>
      </w:pPr>
    </w:p>
    <w:p w14:paraId="31BF0283">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采购人</w:t>
      </w:r>
      <w:r>
        <w:rPr>
          <w:rFonts w:hint="eastAsia" w:ascii="宋体" w:hAnsi="宋体" w:eastAsia="宋体" w:cs="宋体"/>
          <w:sz w:val="30"/>
          <w:szCs w:val="30"/>
          <w:lang w:eastAsia="zh-CN"/>
        </w:rPr>
        <w:t>：</w:t>
      </w:r>
      <w:r>
        <w:rPr>
          <w:rFonts w:hint="eastAsia" w:ascii="宋体" w:hAnsi="宋体" w:eastAsia="宋体" w:cs="宋体"/>
          <w:sz w:val="30"/>
          <w:szCs w:val="30"/>
        </w:rPr>
        <w:t>新疆维吾尔自治区水利厅    </w:t>
      </w:r>
    </w:p>
    <w:p w14:paraId="6268D579">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联系人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詹翔 </w:t>
      </w:r>
    </w:p>
    <w:p w14:paraId="7123C594">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联系</w:t>
      </w:r>
      <w:r>
        <w:rPr>
          <w:rFonts w:hint="eastAsia" w:ascii="宋体" w:hAnsi="宋体" w:eastAsia="宋体" w:cs="宋体"/>
          <w:sz w:val="30"/>
          <w:szCs w:val="30"/>
        </w:rPr>
        <w:t>电话</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0991-5850997 </w:t>
      </w:r>
    </w:p>
    <w:p w14:paraId="242B3FF8">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p>
    <w:p w14:paraId="7B7DCA21">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采购代理机构</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新疆新水建设工程造价咨询有限责任公司</w:t>
      </w:r>
    </w:p>
    <w:p w14:paraId="448B3075">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联系人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程茜</w:t>
      </w:r>
    </w:p>
    <w:p w14:paraId="0545B8DB">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联系</w:t>
      </w:r>
      <w:r>
        <w:rPr>
          <w:rFonts w:hint="eastAsia" w:ascii="宋体" w:hAnsi="宋体" w:eastAsia="宋体" w:cs="宋体"/>
          <w:sz w:val="30"/>
          <w:szCs w:val="30"/>
        </w:rPr>
        <w:t>电话</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15999190007</w:t>
      </w:r>
    </w:p>
    <w:p w14:paraId="023DDA29">
      <w:pPr>
        <w:pStyle w:val="39"/>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宋体" w:hAnsi="宋体" w:eastAsia="宋体" w:cs="宋体"/>
          <w:sz w:val="30"/>
          <w:szCs w:val="30"/>
          <w:lang w:val="en-US" w:eastAsia="zh-CN"/>
        </w:rPr>
        <w:t>2026年5月</w:t>
      </w:r>
    </w:p>
    <w:p w14:paraId="2784AE23">
      <w:pPr>
        <w:pStyle w:val="39"/>
        <w:rPr>
          <w:rFonts w:hint="eastAsia"/>
          <w:lang w:val="en-US" w:eastAsia="zh-CN"/>
        </w:rPr>
      </w:pPr>
      <w:r>
        <w:rPr>
          <w:rFonts w:hint="eastAsia"/>
          <w:lang w:val="en-US" w:eastAsia="zh-CN"/>
        </w:rPr>
        <w:br w:type="page"/>
      </w:r>
    </w:p>
    <w:p w14:paraId="09A039A9">
      <w:pPr>
        <w:pStyle w:val="39"/>
        <w:jc w:val="center"/>
        <w:rPr>
          <w:rFonts w:hint="eastAsia"/>
          <w:lang w:val="en-US" w:eastAsia="zh-CN"/>
        </w:rPr>
      </w:pPr>
      <w:r>
        <w:rPr>
          <w:rFonts w:hint="eastAsia"/>
          <w:lang w:val="en-US" w:eastAsia="zh-CN"/>
        </w:rPr>
        <w:t>目录</w:t>
      </w:r>
    </w:p>
    <w:p w14:paraId="386AEFE4">
      <w:pPr>
        <w:pStyle w:val="14"/>
        <w:tabs>
          <w:tab w:val="right" w:leader="dot" w:pos="9746"/>
        </w:tabs>
        <w:spacing w:line="720" w:lineRule="auto"/>
        <w:rPr>
          <w:rFonts w:hint="eastAsia"/>
        </w:rPr>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_Toc30886 </w:instrText>
      </w:r>
      <w:r>
        <w:rPr>
          <w:rFonts w:hint="eastAsia"/>
        </w:rPr>
        <w:fldChar w:fldCharType="separate"/>
      </w:r>
      <w:r>
        <w:rPr>
          <w:rFonts w:hint="eastAsia"/>
          <w:lang w:val="en-US" w:eastAsia="zh-CN"/>
        </w:rPr>
        <w:t>第一章  竞争性磋商公告</w:t>
      </w:r>
      <w:r>
        <w:rPr>
          <w:rFonts w:hint="eastAsia"/>
        </w:rPr>
        <w:tab/>
      </w:r>
      <w:r>
        <w:rPr>
          <w:rFonts w:hint="eastAsia"/>
        </w:rPr>
        <w:fldChar w:fldCharType="begin"/>
      </w:r>
      <w:r>
        <w:rPr>
          <w:rFonts w:hint="eastAsia"/>
        </w:rPr>
        <w:instrText xml:space="preserve"> PAGEREF _Toc30886 \h </w:instrText>
      </w:r>
      <w:r>
        <w:rPr>
          <w:rFonts w:hint="eastAsia"/>
        </w:rPr>
        <w:fldChar w:fldCharType="separate"/>
      </w:r>
      <w:r>
        <w:rPr>
          <w:rFonts w:hint="eastAsia"/>
        </w:rPr>
        <w:t>3</w:t>
      </w:r>
      <w:r>
        <w:rPr>
          <w:rFonts w:hint="eastAsia"/>
        </w:rPr>
        <w:fldChar w:fldCharType="end"/>
      </w:r>
      <w:r>
        <w:rPr>
          <w:rFonts w:hint="eastAsia"/>
        </w:rPr>
        <w:fldChar w:fldCharType="end"/>
      </w:r>
    </w:p>
    <w:p w14:paraId="4EA0D534">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_Toc29804 </w:instrText>
      </w:r>
      <w:r>
        <w:rPr>
          <w:rFonts w:hint="eastAsia"/>
        </w:rPr>
        <w:fldChar w:fldCharType="separate"/>
      </w:r>
      <w:r>
        <w:rPr>
          <w:rFonts w:hint="eastAsia"/>
          <w:lang w:val="en-US" w:eastAsia="zh-CN"/>
        </w:rPr>
        <w:t>第二章  磋商须知</w:t>
      </w:r>
      <w:r>
        <w:rPr>
          <w:rFonts w:hint="eastAsia"/>
        </w:rPr>
        <w:tab/>
      </w:r>
      <w:r>
        <w:rPr>
          <w:rFonts w:hint="eastAsia"/>
        </w:rPr>
        <w:fldChar w:fldCharType="begin"/>
      </w:r>
      <w:r>
        <w:rPr>
          <w:rFonts w:hint="eastAsia"/>
        </w:rPr>
        <w:instrText xml:space="preserve"> PAGEREF _Toc29804 \h </w:instrText>
      </w:r>
      <w:r>
        <w:rPr>
          <w:rFonts w:hint="eastAsia"/>
        </w:rPr>
        <w:fldChar w:fldCharType="separate"/>
      </w:r>
      <w:r>
        <w:rPr>
          <w:rFonts w:hint="eastAsia"/>
        </w:rPr>
        <w:t>7</w:t>
      </w:r>
      <w:r>
        <w:rPr>
          <w:rFonts w:hint="eastAsia"/>
        </w:rPr>
        <w:fldChar w:fldCharType="end"/>
      </w:r>
      <w:r>
        <w:rPr>
          <w:rFonts w:hint="eastAsia"/>
        </w:rPr>
        <w:fldChar w:fldCharType="end"/>
      </w:r>
    </w:p>
    <w:p w14:paraId="45466908">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_Toc28489 </w:instrText>
      </w:r>
      <w:r>
        <w:rPr>
          <w:rFonts w:hint="eastAsia"/>
        </w:rPr>
        <w:fldChar w:fldCharType="separate"/>
      </w:r>
      <w:r>
        <w:rPr>
          <w:rFonts w:hint="eastAsia"/>
          <w:lang w:val="en-US" w:eastAsia="zh-CN"/>
        </w:rPr>
        <w:t>第三章  磋商内容及技术要求</w:t>
      </w:r>
      <w:r>
        <w:rPr>
          <w:rFonts w:hint="eastAsia"/>
        </w:rPr>
        <w:tab/>
      </w:r>
      <w:r>
        <w:rPr>
          <w:rFonts w:hint="eastAsia"/>
        </w:rPr>
        <w:fldChar w:fldCharType="begin"/>
      </w:r>
      <w:r>
        <w:rPr>
          <w:rFonts w:hint="eastAsia"/>
        </w:rPr>
        <w:instrText xml:space="preserve"> PAGEREF _Toc28489 \h </w:instrText>
      </w:r>
      <w:r>
        <w:rPr>
          <w:rFonts w:hint="eastAsia"/>
        </w:rPr>
        <w:fldChar w:fldCharType="separate"/>
      </w:r>
      <w:r>
        <w:rPr>
          <w:rFonts w:hint="eastAsia"/>
        </w:rPr>
        <w:t>34</w:t>
      </w:r>
      <w:r>
        <w:rPr>
          <w:rFonts w:hint="eastAsia"/>
        </w:rPr>
        <w:fldChar w:fldCharType="end"/>
      </w:r>
      <w:r>
        <w:rPr>
          <w:rFonts w:hint="eastAsia"/>
        </w:rPr>
        <w:fldChar w:fldCharType="end"/>
      </w:r>
    </w:p>
    <w:p w14:paraId="5E3089EC">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_Toc31702 </w:instrText>
      </w:r>
      <w:r>
        <w:rPr>
          <w:rFonts w:hint="eastAsia"/>
        </w:rPr>
        <w:fldChar w:fldCharType="separate"/>
      </w:r>
      <w:r>
        <w:rPr>
          <w:rFonts w:hint="eastAsia"/>
          <w:lang w:val="en-US" w:eastAsia="zh-CN"/>
        </w:rPr>
        <w:t>第四章  合同格式</w:t>
      </w:r>
      <w:r>
        <w:rPr>
          <w:rFonts w:hint="eastAsia"/>
        </w:rPr>
        <w:tab/>
      </w:r>
      <w:r>
        <w:rPr>
          <w:rFonts w:hint="eastAsia"/>
        </w:rPr>
        <w:fldChar w:fldCharType="begin"/>
      </w:r>
      <w:r>
        <w:rPr>
          <w:rFonts w:hint="eastAsia"/>
        </w:rPr>
        <w:instrText xml:space="preserve"> PAGEREF _Toc31702 \h </w:instrText>
      </w:r>
      <w:r>
        <w:rPr>
          <w:rFonts w:hint="eastAsia"/>
        </w:rPr>
        <w:fldChar w:fldCharType="separate"/>
      </w:r>
      <w:r>
        <w:rPr>
          <w:rFonts w:hint="eastAsia"/>
        </w:rPr>
        <w:t>34</w:t>
      </w:r>
      <w:r>
        <w:rPr>
          <w:rFonts w:hint="eastAsia"/>
        </w:rPr>
        <w:fldChar w:fldCharType="end"/>
      </w:r>
      <w:r>
        <w:rPr>
          <w:rFonts w:hint="eastAsia"/>
        </w:rPr>
        <w:fldChar w:fldCharType="end"/>
      </w:r>
    </w:p>
    <w:p w14:paraId="57A18CEF">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_Toc18352 </w:instrText>
      </w:r>
      <w:r>
        <w:rPr>
          <w:rFonts w:hint="eastAsia"/>
        </w:rPr>
        <w:fldChar w:fldCharType="separate"/>
      </w:r>
      <w:r>
        <w:rPr>
          <w:rFonts w:hint="eastAsia"/>
          <w:lang w:val="en-US" w:eastAsia="zh-CN"/>
        </w:rPr>
        <w:t>第五章  响应文件格式</w:t>
      </w:r>
      <w:r>
        <w:rPr>
          <w:rFonts w:hint="eastAsia"/>
        </w:rPr>
        <w:tab/>
      </w:r>
      <w:r>
        <w:rPr>
          <w:rFonts w:hint="eastAsia"/>
        </w:rPr>
        <w:fldChar w:fldCharType="begin"/>
      </w:r>
      <w:r>
        <w:rPr>
          <w:rFonts w:hint="eastAsia"/>
        </w:rPr>
        <w:instrText xml:space="preserve"> PAGEREF _Toc18352 \h </w:instrText>
      </w:r>
      <w:r>
        <w:rPr>
          <w:rFonts w:hint="eastAsia"/>
        </w:rPr>
        <w:fldChar w:fldCharType="separate"/>
      </w:r>
      <w:r>
        <w:rPr>
          <w:rFonts w:hint="eastAsia"/>
        </w:rPr>
        <w:t>47</w:t>
      </w:r>
      <w:r>
        <w:rPr>
          <w:rFonts w:hint="eastAsia"/>
        </w:rPr>
        <w:fldChar w:fldCharType="end"/>
      </w:r>
      <w:r>
        <w:rPr>
          <w:rFonts w:hint="eastAsia"/>
        </w:rPr>
        <w:fldChar w:fldCharType="end"/>
      </w:r>
    </w:p>
    <w:p w14:paraId="491AFD5F">
      <w:pPr>
        <w:spacing w:line="720" w:lineRule="auto"/>
      </w:pPr>
      <w:r>
        <w:rPr>
          <w:rFonts w:hint="eastAsia"/>
        </w:rPr>
        <w:fldChar w:fldCharType="end"/>
      </w:r>
    </w:p>
    <w:p w14:paraId="3EEEE227">
      <w:pPr>
        <w:pStyle w:val="3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lang w:val="en-US" w:eastAsia="zh-CN"/>
        </w:rPr>
        <w:sectPr>
          <w:pgSz w:w="11906" w:h="16838"/>
          <w:pgMar w:top="1440" w:right="1080" w:bottom="1440" w:left="1080" w:header="851" w:footer="992" w:gutter="0"/>
          <w:cols w:space="425" w:num="1"/>
          <w:docGrid w:type="lines" w:linePitch="312" w:charSpace="0"/>
        </w:sectPr>
        <w:pPrChange w:id="2" w:author="qzuser" w:date="2026-05-07T10:49:34Z">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pPr>
        </w:pPrChange>
      </w:pPr>
      <w:bookmarkStart w:id="0" w:name="_Toc30886"/>
    </w:p>
    <w:p w14:paraId="76D989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竞争性磋商公告</w:t>
      </w:r>
      <w:bookmarkEnd w:id="0"/>
    </w:p>
    <w:p w14:paraId="331F32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项目概况：自治区水利招标投标监管系统开发服务</w:t>
      </w:r>
      <w:r>
        <w:rPr>
          <w:rFonts w:hint="eastAsia" w:ascii="宋体" w:hAnsi="宋体" w:eastAsia="宋体" w:cs="宋体"/>
          <w:sz w:val="24"/>
          <w:szCs w:val="24"/>
          <w:highlight w:val="none"/>
        </w:rPr>
        <w:t>的</w:t>
      </w:r>
      <w:r>
        <w:rPr>
          <w:rFonts w:hint="eastAsia" w:ascii="宋体" w:hAnsi="宋体" w:eastAsia="宋体" w:cs="宋体"/>
          <w:sz w:val="24"/>
          <w:szCs w:val="24"/>
        </w:rPr>
        <w:t>潜在投标人应在新疆政府采购网政采云平台（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"http://www.zcygov.cn"</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）获取招标文件，并</w:t>
      </w:r>
      <w:r>
        <w:rPr>
          <w:rFonts w:hint="eastAsia" w:ascii="宋体" w:hAnsi="宋体" w:eastAsia="宋体" w:cs="宋体"/>
          <w:color w:val="auto"/>
          <w:sz w:val="24"/>
          <w:szCs w:val="24"/>
        </w:rPr>
        <w:t>于</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05</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rPr>
        <w:t>日11</w:t>
      </w:r>
      <w:r>
        <w:rPr>
          <w:rFonts w:hint="eastAsia" w:ascii="宋体" w:hAnsi="宋体" w:eastAsia="宋体" w:cs="宋体"/>
          <w:bCs/>
          <w:sz w:val="24"/>
          <w:szCs w:val="24"/>
          <w:highlight w:val="none"/>
        </w:rPr>
        <w:t>点00分（北京时间）前提交响应文件</w:t>
      </w:r>
      <w:r>
        <w:rPr>
          <w:rFonts w:hint="eastAsia" w:ascii="宋体" w:hAnsi="宋体" w:eastAsia="宋体" w:cs="宋体"/>
          <w:sz w:val="24"/>
          <w:szCs w:val="24"/>
          <w:highlight w:val="none"/>
        </w:rPr>
        <w:t>。</w:t>
      </w:r>
    </w:p>
    <w:p w14:paraId="29FDA8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429008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项目编号： </w:t>
      </w:r>
    </w:p>
    <w:p w14:paraId="0C9B8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rPr>
        <w:t>自治区水利招标投标监管系统开发服务</w:t>
      </w:r>
    </w:p>
    <w:p w14:paraId="7ACBF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采购方式：竞争性磋商</w:t>
      </w:r>
    </w:p>
    <w:p w14:paraId="7D4DF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预算金额（元）：502500.00</w:t>
      </w:r>
    </w:p>
    <w:p w14:paraId="63A4F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最高限价（元）：502500.00</w:t>
      </w:r>
    </w:p>
    <w:p w14:paraId="797F0D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采购需求：建设水利建设工程电子招投标行政监管平台，具体详见磋商文件</w:t>
      </w:r>
    </w:p>
    <w:p w14:paraId="5679E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14:paraId="35FAD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1.满足《中华人民共和国政府采购法》第二十二条规定；</w:t>
      </w:r>
    </w:p>
    <w:p w14:paraId="770069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政府采购政策需满足的资格要求：本项目为非专门面向中小企业（含中型、小型、微型企业）采购项目，根据《政府采购促进中小企业发展管理办法》（财库[2020]46号）的规定，评标时将给予小型、微型企业进行价格10%的优惠，用优惠后的价格参与评审。</w:t>
      </w:r>
    </w:p>
    <w:p w14:paraId="2D7FCD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3.特殊资质要求：</w:t>
      </w:r>
      <w:r>
        <w:rPr>
          <w:rFonts w:hint="eastAsia" w:ascii="宋体" w:hAnsi="宋体" w:cs="宋体"/>
          <w:color w:val="auto"/>
          <w:sz w:val="24"/>
          <w:szCs w:val="24"/>
          <w:highlight w:val="none"/>
          <w:lang w:val="en-US" w:eastAsia="zh-CN"/>
          <w:woUserID w:val="1"/>
        </w:rPr>
        <w:t>信誉要求</w:t>
      </w:r>
      <w:r>
        <w:rPr>
          <w:rFonts w:hint="eastAsia" w:ascii="宋体" w:hAnsi="宋体" w:eastAsia="宋体" w:cs="宋体"/>
          <w:color w:val="auto"/>
          <w:sz w:val="24"/>
          <w:szCs w:val="24"/>
          <w:highlight w:val="no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4E7E97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②单位负责人为同一人或者存在直接控股、管理关系的不同供应商，不得参加同一合同项下的政府采购活动。</w:t>
      </w:r>
    </w:p>
    <w:p w14:paraId="59BA5F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③与招标人存在利害关系可能影响招标公正性的法人、其他组织或个人，不得参加投标。</w:t>
      </w:r>
    </w:p>
    <w:p w14:paraId="539EB5EA">
      <w:pPr>
        <w:pStyle w:val="15"/>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0D0490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6E17F85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，每天</w:t>
      </w:r>
      <w:r>
        <w:rPr>
          <w:rFonts w:hint="eastAsia" w:ascii="宋体" w:hAnsi="宋体" w:eastAsia="宋体" w:cs="宋体"/>
          <w:sz w:val="24"/>
          <w:szCs w:val="24"/>
          <w:highlight w:val="none"/>
        </w:rPr>
        <w:t>上午</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59</w:t>
      </w:r>
      <w:r>
        <w:rPr>
          <w:rFonts w:hint="eastAsia" w:ascii="宋体" w:hAnsi="宋体" w:eastAsia="宋体" w:cs="宋体"/>
          <w:sz w:val="24"/>
          <w:szCs w:val="24"/>
          <w:highlight w:val="none"/>
        </w:rPr>
        <w:t>（北京时间，法定节假日除外）。</w:t>
      </w:r>
    </w:p>
    <w:p w14:paraId="20D94B33">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地点：政采云平台线上获取</w:t>
      </w:r>
    </w:p>
    <w:p w14:paraId="05EC6E61">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方式：供应商登录政采云平台https://www.zcygov.cn/在线申请获取采购文件（进入“项目采购”应用，在获取采购文件菜单中选择项目，申请获取采购文件）</w:t>
      </w:r>
    </w:p>
    <w:p w14:paraId="3A8A30A7">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rPr>
        <w:t>售价：0元</w:t>
      </w:r>
    </w:p>
    <w:p w14:paraId="527855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四、响应文</w:t>
      </w:r>
      <w:r>
        <w:rPr>
          <w:rFonts w:hint="eastAsia" w:ascii="宋体" w:hAnsi="宋体" w:eastAsia="宋体" w:cs="宋体"/>
          <w:b/>
          <w:bCs/>
          <w:sz w:val="24"/>
          <w:szCs w:val="24"/>
          <w:highlight w:val="none"/>
          <w:lang w:val="en-US" w:eastAsia="zh-CN"/>
        </w:rPr>
        <w:t>件提交</w:t>
      </w:r>
    </w:p>
    <w:p w14:paraId="1A82A0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72F52A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地点：请登录政采云投标客户端投标</w:t>
      </w:r>
    </w:p>
    <w:p w14:paraId="5CFC4E64">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lang w:val="en-US" w:eastAsia="zh-CN"/>
        </w:rPr>
        <w:t>响应</w:t>
      </w:r>
      <w:r>
        <w:rPr>
          <w:rFonts w:hint="eastAsia" w:ascii="宋体" w:hAnsi="宋体" w:eastAsia="宋体" w:cs="宋体"/>
          <w:b/>
          <w:bCs/>
          <w:color w:val="auto"/>
          <w:sz w:val="24"/>
          <w:szCs w:val="24"/>
          <w:highlight w:val="none"/>
          <w:lang w:val="en-US" w:eastAsia="zh-CN"/>
        </w:rPr>
        <w:t>文件开启</w:t>
      </w:r>
    </w:p>
    <w:p w14:paraId="44F2A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3BB81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地点：投标人登录政采云平台https://www.zcygov.cn/，进入“项目采购-开标评标-右边选择对应项目点击“进入项目”进入开标大厅。</w:t>
      </w:r>
    </w:p>
    <w:p w14:paraId="27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6A90C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0137E7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14:paraId="1B68C89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1、本项目实行网上投标，采用电子投标文件。</w:t>
      </w:r>
    </w:p>
    <w:p w14:paraId="01C3AA2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CEAF65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3、供应商将政采云电子交易客户端下载、安装完成后，可通过账号密码或CA登录客户端进行投标文件的制作。在使用政采云投标客户端时，建议使用WIN7及以上操作系统。</w:t>
      </w:r>
    </w:p>
    <w:p w14:paraId="0ED53FB2">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4、其他事项：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财政部发展改革委生态环境部市场监管总局关于调整优化节能产品环境标志产品政府采购执行机制的通知》（财库〔2019〕9号）；《关于促进残疾人就业政府采购政策的通知》(财库〔2017〕141号)；《关于政府</w:t>
      </w:r>
      <w:r>
        <w:rPr>
          <w:rFonts w:hint="eastAsia" w:ascii="宋体" w:hAnsi="宋体" w:eastAsia="宋体" w:cs="宋体"/>
          <w:color w:val="000000"/>
          <w:sz w:val="24"/>
          <w:szCs w:val="24"/>
          <w:highlight w:val="none"/>
        </w:rPr>
        <w:t>采购支持监狱企业发展有关问题的通知》(财库〔2014〕68号)》等政府采购政策。</w:t>
      </w:r>
    </w:p>
    <w:p w14:paraId="511372C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本项目实行全流程电子招投标。</w:t>
      </w:r>
    </w:p>
    <w:p w14:paraId="2339FB3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4122696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1BD4221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6C5CB2C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在投标截止时间前，投标供应商应将生成的“电子加密响应文件”上传递交至“政府采购云平台”，投标截止时间以后上传递交的响应文件将被“政府采购云平台”拒收。</w:t>
      </w:r>
    </w:p>
    <w:p w14:paraId="5B178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投标供应商应在投标截止时间后随时关注该项目开评标进度，保持通讯通畅，在规定时间内完成解密、答疑澄清回复、谈判函回复、报价签章等。</w:t>
      </w:r>
    </w:p>
    <w:p w14:paraId="3E1F0E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14:paraId="7D00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1、采购限额标准以上，200万元以下的货物和服务采购项目、400万元以下的工程采购项目，适宜由中小企业提供的，采购人应当专门面向中小企业采购。</w:t>
      </w:r>
    </w:p>
    <w:p w14:paraId="01A32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2、超过200万元的货物和服务采购项目，预留该部分采购项目预算总额的30%以上专门面向中小企业采购，其中预留给小微企业的比例不低于60%。</w:t>
      </w:r>
    </w:p>
    <w:p w14:paraId="19643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3、超过400万元的工程采购项目中适宜由中小企业提供的，预留该部分采购项目预算总额的40%以上专门面向中小企业采购，其中预留给小微企业的比例不低于60%。</w:t>
      </w:r>
    </w:p>
    <w:p w14:paraId="1C75E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2E5E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2158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E54C5E" w:themeColor="accent6"/>
          <w:sz w:val="24"/>
          <w:szCs w:val="24"/>
          <w:lang w:val="en-US" w:eastAsia="zh-CN"/>
          <w14:textFill>
            <w14:solidFill>
              <w14:schemeClr w14:val="accent6"/>
            </w14:solidFill>
          </w14:textFill>
        </w:rPr>
      </w:pPr>
      <w:r>
        <w:rPr>
          <w:rFonts w:hint="eastAsia" w:ascii="宋体" w:hAnsi="宋体" w:eastAsia="宋体" w:cs="宋体"/>
          <w:b/>
          <w:bCs/>
          <w:sz w:val="24"/>
          <w:szCs w:val="24"/>
          <w:lang w:val="en-US" w:eastAsia="zh-CN"/>
        </w:rPr>
        <w:t>八、凡对本次招标提出询问，请按以下方式联系</w:t>
      </w:r>
    </w:p>
    <w:p w14:paraId="2F1A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09A9F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名称：新疆维吾尔自治区水利厅</w:t>
      </w:r>
      <w:r>
        <w:rPr>
          <w:rFonts w:hint="eastAsia" w:ascii="宋体" w:hAnsi="宋体" w:eastAsia="宋体" w:cs="宋体"/>
          <w:sz w:val="28"/>
          <w:szCs w:val="28"/>
          <w:highlight w:val="none"/>
        </w:rPr>
        <w:t> </w:t>
      </w:r>
      <w:r>
        <w:rPr>
          <w:rFonts w:hint="eastAsia" w:ascii="宋体" w:hAnsi="宋体" w:eastAsia="宋体" w:cs="宋体"/>
          <w:b w:val="0"/>
          <w:bCs w:val="0"/>
          <w:sz w:val="24"/>
          <w:szCs w:val="24"/>
          <w:highlight w:val="none"/>
          <w:lang w:val="en-US" w:eastAsia="zh-CN"/>
        </w:rPr>
        <w:t xml:space="preserve"> </w:t>
      </w:r>
    </w:p>
    <w:p w14:paraId="2FBABB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地址：乌鲁木齐市黑龙江路19号</w:t>
      </w:r>
    </w:p>
    <w:p w14:paraId="23FF5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联系人：詹翔</w:t>
      </w:r>
    </w:p>
    <w:p w14:paraId="666EB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联系电话：0991-5850997</w:t>
      </w:r>
    </w:p>
    <w:p w14:paraId="5F5F3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2DB76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名称：新疆新水建设工程造价咨询有限责任公司</w:t>
      </w:r>
    </w:p>
    <w:p w14:paraId="7851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地址：乌鲁木齐市沙依巴克区公园北街138号工人文化宫图书馆楼四楼</w:t>
      </w:r>
    </w:p>
    <w:p w14:paraId="0A2D9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联系人：程茜</w:t>
      </w:r>
    </w:p>
    <w:p w14:paraId="1993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电话：15999190007</w:t>
      </w:r>
    </w:p>
    <w:p w14:paraId="0B0FAA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1D43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 w:name="_Toc29804"/>
      <w:r>
        <w:rPr>
          <w:rFonts w:hint="eastAsia" w:ascii="宋体" w:hAnsi="宋体" w:eastAsia="宋体" w:cs="宋体"/>
          <w:sz w:val="28"/>
          <w:szCs w:val="28"/>
          <w:lang w:val="en-US" w:eastAsia="zh-CN"/>
        </w:rPr>
        <w:t>第二章  磋商须知</w:t>
      </w:r>
      <w:bookmarkEnd w:id="1"/>
    </w:p>
    <w:p w14:paraId="190AF6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磋商须知前附表</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503"/>
      </w:tblGrid>
      <w:tr w14:paraId="4748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8DA8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503" w:type="dxa"/>
            <w:vAlign w:val="center"/>
          </w:tcPr>
          <w:p w14:paraId="6CF76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w:t>
            </w:r>
          </w:p>
        </w:tc>
      </w:tr>
      <w:tr w14:paraId="6875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C03A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503" w:type="dxa"/>
            <w:vAlign w:val="center"/>
          </w:tcPr>
          <w:p w14:paraId="02856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采购人</w:t>
            </w:r>
            <w:r>
              <w:rPr>
                <w:rFonts w:hint="eastAsia" w:ascii="宋体" w:hAnsi="宋体" w:eastAsia="宋体" w:cs="宋体"/>
                <w:sz w:val="24"/>
                <w:szCs w:val="24"/>
                <w:highlight w:val="none"/>
                <w:vertAlign w:val="baseline"/>
                <w:lang w:val="en-US" w:eastAsia="zh-CN"/>
              </w:rPr>
              <w:t>：新疆维吾尔自治区水利厅 </w:t>
            </w:r>
          </w:p>
          <w:p w14:paraId="383A0C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w:t>
            </w:r>
            <w:r>
              <w:rPr>
                <w:rFonts w:hint="default" w:ascii="宋体" w:hAnsi="宋体" w:eastAsia="宋体" w:cs="宋体"/>
                <w:sz w:val="24"/>
                <w:highlight w:val="none"/>
              </w:rPr>
              <w:t>乌鲁木齐市黑龙江路19号</w:t>
            </w:r>
          </w:p>
          <w:p w14:paraId="70BEDC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w:t>
            </w:r>
            <w:r>
              <w:rPr>
                <w:rFonts w:hint="eastAsia" w:ascii="宋体" w:hAnsi="宋体" w:eastAsia="宋体" w:cs="宋体"/>
                <w:sz w:val="24"/>
                <w:szCs w:val="24"/>
                <w:highlight w:val="none"/>
                <w:vertAlign w:val="baseline"/>
                <w:lang w:val="en-US" w:eastAsia="zh-CN"/>
              </w:rPr>
              <w:t>人</w:t>
            </w:r>
            <w:r>
              <w:rPr>
                <w:rFonts w:hint="default" w:ascii="宋体" w:hAnsi="宋体" w:eastAsia="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詹翔</w:t>
            </w:r>
          </w:p>
          <w:p w14:paraId="704464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电话：0991-5850997</w:t>
            </w:r>
          </w:p>
        </w:tc>
      </w:tr>
      <w:tr w14:paraId="6D5D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B255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9503" w:type="dxa"/>
            <w:vAlign w:val="center"/>
          </w:tcPr>
          <w:p w14:paraId="50583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采购代理机构</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新疆新水建设工程造价咨询有限责任公司</w:t>
            </w:r>
          </w:p>
          <w:p w14:paraId="12BA2B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地址：新疆乌鲁木齐市沙依巴克区公园北街138号工人文化宫图书馆楼4楼</w:t>
            </w:r>
          </w:p>
          <w:p w14:paraId="4D977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联系人：</w:t>
            </w:r>
            <w:r>
              <w:rPr>
                <w:rFonts w:hint="eastAsia" w:ascii="宋体" w:hAnsi="宋体" w:eastAsia="宋体" w:cs="宋体"/>
                <w:sz w:val="24"/>
                <w:szCs w:val="24"/>
                <w:highlight w:val="none"/>
                <w:vertAlign w:val="baseline"/>
                <w:lang w:val="en-US" w:eastAsia="zh-CN"/>
              </w:rPr>
              <w:t>程茜</w:t>
            </w:r>
          </w:p>
          <w:p w14:paraId="5C7E1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电话：</w:t>
            </w:r>
            <w:r>
              <w:rPr>
                <w:rFonts w:hint="eastAsia" w:ascii="宋体" w:hAnsi="宋体" w:eastAsia="宋体" w:cs="宋体"/>
                <w:sz w:val="24"/>
                <w:szCs w:val="24"/>
                <w:highlight w:val="none"/>
                <w:vertAlign w:val="baseline"/>
                <w:lang w:val="en-US" w:eastAsia="zh-CN"/>
              </w:rPr>
              <w:t>15999190007</w:t>
            </w:r>
          </w:p>
        </w:tc>
      </w:tr>
      <w:tr w14:paraId="439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5CA6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503" w:type="dxa"/>
            <w:vAlign w:val="center"/>
          </w:tcPr>
          <w:p w14:paraId="6CF097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项目名称：</w:t>
            </w:r>
            <w:r>
              <w:rPr>
                <w:rFonts w:hint="eastAsia" w:ascii="宋体" w:hAnsi="宋体" w:eastAsia="宋体" w:cs="宋体"/>
                <w:sz w:val="24"/>
                <w:szCs w:val="24"/>
                <w:highlight w:val="none"/>
                <w:lang w:val="en-US" w:eastAsia="zh-CN"/>
              </w:rPr>
              <w:t>自治区水利招标投标监管系统开发服务</w:t>
            </w:r>
          </w:p>
          <w:p w14:paraId="4F3633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项目（合同）编号</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 xml:space="preserve">SLJGPT-2026 </w:t>
            </w:r>
          </w:p>
        </w:tc>
      </w:tr>
      <w:tr w14:paraId="430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697C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503" w:type="dxa"/>
            <w:vAlign w:val="center"/>
          </w:tcPr>
          <w:p w14:paraId="41ABDA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采购需求：建设水利建设工程电子招投标行政监管平台，具体详见采购需求</w:t>
            </w:r>
          </w:p>
        </w:tc>
      </w:tr>
      <w:tr w14:paraId="17C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E7EEC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503" w:type="dxa"/>
            <w:vAlign w:val="center"/>
          </w:tcPr>
          <w:p w14:paraId="49B0AE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项目实施地点：</w:t>
            </w:r>
            <w:r>
              <w:rPr>
                <w:rFonts w:hint="eastAsia" w:ascii="宋体" w:hAnsi="宋体" w:eastAsia="宋体" w:cs="宋体"/>
                <w:sz w:val="24"/>
                <w:szCs w:val="24"/>
                <w:highlight w:val="none"/>
                <w:vertAlign w:val="baseline"/>
                <w:lang w:val="en-US" w:eastAsia="zh-CN"/>
              </w:rPr>
              <w:t>甲方指定地点</w:t>
            </w:r>
          </w:p>
        </w:tc>
      </w:tr>
      <w:tr w14:paraId="473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9B11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503" w:type="dxa"/>
            <w:vAlign w:val="center"/>
          </w:tcPr>
          <w:p w14:paraId="75BA16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服务期限：具体以与甲方签订合同约定</w:t>
            </w:r>
          </w:p>
        </w:tc>
      </w:tr>
      <w:tr w14:paraId="244D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7571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503" w:type="dxa"/>
            <w:vAlign w:val="center"/>
          </w:tcPr>
          <w:p w14:paraId="31BB1C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踏勘现场：</w:t>
            </w:r>
            <w:r>
              <w:rPr>
                <w:rFonts w:hint="eastAsia" w:ascii="宋体" w:hAnsi="宋体" w:eastAsia="宋体" w:cs="宋体"/>
                <w:sz w:val="24"/>
                <w:szCs w:val="24"/>
                <w:highlight w:val="none"/>
                <w:vertAlign w:val="baseline"/>
                <w:lang w:val="en-US" w:eastAsia="zh-CN"/>
              </w:rPr>
              <w:t>不组织</w:t>
            </w:r>
          </w:p>
        </w:tc>
      </w:tr>
      <w:tr w14:paraId="296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vAlign w:val="center"/>
          </w:tcPr>
          <w:p w14:paraId="1A586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503" w:type="dxa"/>
            <w:vAlign w:val="center"/>
          </w:tcPr>
          <w:p w14:paraId="7D9F9B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供应商的资格要求：</w:t>
            </w:r>
          </w:p>
          <w:p w14:paraId="0558A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1.满足《中华人民共和国政府采购法》第二十二条规定；</w:t>
            </w:r>
          </w:p>
          <w:p w14:paraId="52D6E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政府采购政策需满足的资格要求：本项目为非专门面向中小企业（含中型、小型、微型企业）采购项目，根据《政府采购促进中小企业发展管理办法》（财库[2020]46号）的规定，评标时将给予小型、微型企业进行价格10%的优惠，用优惠后的价格参与评审。</w:t>
            </w:r>
          </w:p>
          <w:p w14:paraId="5F704F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3.特殊资质要求：</w:t>
            </w:r>
            <w:r>
              <w:rPr>
                <w:rFonts w:hint="eastAsia" w:ascii="宋体" w:hAnsi="宋体" w:cs="宋体"/>
                <w:color w:val="auto"/>
                <w:sz w:val="24"/>
                <w:szCs w:val="24"/>
                <w:highlight w:val="none"/>
                <w:lang w:val="en-US" w:eastAsia="zh-CN"/>
                <w:woUserID w:val="1"/>
              </w:rPr>
              <w:t>信誉要求</w:t>
            </w:r>
            <w:r>
              <w:rPr>
                <w:rFonts w:hint="eastAsia" w:ascii="宋体" w:hAnsi="宋体" w:eastAsia="宋体" w:cs="宋体"/>
                <w:color w:val="auto"/>
                <w:sz w:val="24"/>
                <w:szCs w:val="24"/>
                <w:highlight w:val="no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36D47D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②单位负责人为同一人或者存在直接控股、管理关系的不同供应商，不得参加同一合同项下的政府采购活动。</w:t>
            </w:r>
          </w:p>
          <w:p w14:paraId="6C6980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③与招标人存在利害关系可能影响招标公正性的法人、其他组织或个人，不得参加投标。</w:t>
            </w:r>
          </w:p>
          <w:p w14:paraId="64DCB17A">
            <w:pPr>
              <w:pStyle w:val="15"/>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color w:val="auto"/>
                <w:sz w:val="24"/>
                <w:szCs w:val="24"/>
                <w:highlight w:val="none"/>
                <w:lang w:val="en-US" w:eastAsia="zh-CN"/>
              </w:rPr>
              <w:t>4、本项目不接受联合体投标。</w:t>
            </w:r>
          </w:p>
        </w:tc>
      </w:tr>
      <w:tr w14:paraId="127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DCF6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503" w:type="dxa"/>
            <w:vAlign w:val="center"/>
          </w:tcPr>
          <w:p w14:paraId="6FA049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是否允许联合体投标：</w:t>
            </w:r>
            <w:r>
              <w:rPr>
                <w:rFonts w:hint="eastAsia" w:ascii="宋体" w:hAnsi="宋体" w:eastAsia="宋体" w:cs="宋体"/>
                <w:sz w:val="24"/>
                <w:szCs w:val="24"/>
                <w:vertAlign w:val="baseline"/>
                <w:lang w:val="en-US" w:eastAsia="zh-CN"/>
              </w:rPr>
              <w:t>否</w:t>
            </w:r>
          </w:p>
        </w:tc>
      </w:tr>
      <w:tr w14:paraId="6473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E22B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503" w:type="dxa"/>
            <w:vAlign w:val="center"/>
          </w:tcPr>
          <w:p w14:paraId="3C2AD4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最高限价：</w:t>
            </w:r>
            <w:r>
              <w:rPr>
                <w:rFonts w:hint="eastAsia" w:ascii="宋体" w:hAnsi="宋体" w:eastAsia="宋体" w:cs="宋体"/>
                <w:sz w:val="24"/>
                <w:szCs w:val="24"/>
                <w:highlight w:val="none"/>
                <w:lang w:val="en-US" w:eastAsia="zh-CN"/>
              </w:rPr>
              <w:t>502500.00元，</w:t>
            </w:r>
            <w:r>
              <w:rPr>
                <w:rFonts w:hint="eastAsia" w:ascii="宋体" w:hAnsi="宋体" w:eastAsia="宋体" w:cs="宋体"/>
                <w:sz w:val="24"/>
                <w:szCs w:val="24"/>
                <w:highlight w:val="none"/>
                <w:vertAlign w:val="baseline"/>
                <w:lang w:val="en-US" w:eastAsia="zh-CN"/>
              </w:rPr>
              <w:t>超过最高限价的报价为无效报价。</w:t>
            </w:r>
          </w:p>
        </w:tc>
      </w:tr>
      <w:tr w14:paraId="779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B818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503" w:type="dxa"/>
            <w:vAlign w:val="center"/>
          </w:tcPr>
          <w:p w14:paraId="73E36F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项目资金来源：</w:t>
            </w:r>
            <w:r>
              <w:rPr>
                <w:rFonts w:hint="eastAsia" w:ascii="宋体" w:hAnsi="宋体" w:eastAsia="宋体" w:cs="宋体"/>
                <w:sz w:val="24"/>
                <w:szCs w:val="24"/>
                <w:highlight w:val="none"/>
                <w:vertAlign w:val="baseline"/>
                <w:lang w:val="en-US" w:eastAsia="zh-CN"/>
              </w:rPr>
              <w:t>财政资金</w:t>
            </w:r>
          </w:p>
        </w:tc>
      </w:tr>
      <w:tr w14:paraId="6BD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3ECB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503" w:type="dxa"/>
            <w:vAlign w:val="center"/>
          </w:tcPr>
          <w:p w14:paraId="5A3A2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评审方法：综合评分法，响应文件满足磋商文件全部实质性要求且按评审因素的量化指标评审得分最高的供应商为</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候选供应商的评审方法。</w:t>
            </w:r>
          </w:p>
          <w:p w14:paraId="25E5F3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成交原则：依据提交最后报价的供应商，由磋商小组采用综合评分法对提交最后报价的供应商的磋商响应文件和最后报价进行综合评分。</w:t>
            </w:r>
          </w:p>
        </w:tc>
      </w:tr>
      <w:tr w14:paraId="089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144BE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503" w:type="dxa"/>
            <w:vAlign w:val="center"/>
          </w:tcPr>
          <w:p w14:paraId="21E346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推荐</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候选供应商的数量：3个</w:t>
            </w:r>
          </w:p>
        </w:tc>
      </w:tr>
      <w:tr w14:paraId="10C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569A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9503" w:type="dxa"/>
            <w:vAlign w:val="center"/>
          </w:tcPr>
          <w:p w14:paraId="1F14C7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保证金金额：</w:t>
            </w:r>
            <w:r>
              <w:rPr>
                <w:rFonts w:hint="eastAsia" w:ascii="宋体" w:hAnsi="宋体" w:eastAsia="宋体" w:cs="宋体"/>
                <w:color w:val="auto"/>
                <w:sz w:val="24"/>
                <w:szCs w:val="24"/>
                <w:highlight w:val="none"/>
                <w:vertAlign w:val="baseline"/>
                <w:lang w:val="en-US" w:eastAsia="zh-CN"/>
              </w:rPr>
              <w:t>10000.00</w:t>
            </w:r>
            <w:r>
              <w:rPr>
                <w:rFonts w:hint="eastAsia" w:ascii="宋体" w:hAnsi="宋体" w:eastAsia="宋体" w:cs="宋体"/>
                <w:color w:val="auto"/>
                <w:sz w:val="24"/>
                <w:szCs w:val="24"/>
                <w:highlight w:val="none"/>
                <w:vertAlign w:val="baseline"/>
                <w:lang w:eastAsia="zh-CN"/>
              </w:rPr>
              <w:t>元（大写：</w:t>
            </w:r>
            <w:r>
              <w:rPr>
                <w:rFonts w:hint="eastAsia" w:ascii="宋体" w:hAnsi="宋体" w:eastAsia="宋体" w:cs="宋体"/>
                <w:color w:val="auto"/>
                <w:sz w:val="24"/>
                <w:szCs w:val="24"/>
                <w:highlight w:val="none"/>
                <w:vertAlign w:val="baseline"/>
                <w:lang w:val="en-US" w:eastAsia="zh-CN"/>
              </w:rPr>
              <w:t>壹万元整</w:t>
            </w:r>
            <w:r>
              <w:rPr>
                <w:rFonts w:hint="eastAsia" w:ascii="宋体" w:hAnsi="宋体" w:eastAsia="宋体" w:cs="宋体"/>
                <w:color w:val="auto"/>
                <w:sz w:val="24"/>
                <w:szCs w:val="24"/>
                <w:highlight w:val="none"/>
                <w:vertAlign w:val="baseline"/>
                <w:lang w:eastAsia="zh-CN"/>
              </w:rPr>
              <w:t>）</w:t>
            </w:r>
          </w:p>
          <w:p w14:paraId="3C4CF1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w:t>
            </w:r>
            <w:r>
              <w:rPr>
                <w:rFonts w:hint="eastAsia" w:ascii="宋体" w:hAnsi="宋体" w:eastAsia="宋体" w:cs="宋体"/>
                <w:sz w:val="24"/>
                <w:szCs w:val="24"/>
                <w:highlight w:val="none"/>
                <w:vertAlign w:val="baseline"/>
                <w:lang w:val="en-US" w:eastAsia="zh-CN"/>
              </w:rPr>
              <w:t>缴纳方式</w:t>
            </w:r>
            <w:r>
              <w:rPr>
                <w:rFonts w:hint="eastAsia" w:ascii="宋体" w:hAnsi="宋体" w:eastAsia="宋体" w:cs="宋体"/>
                <w:sz w:val="24"/>
                <w:szCs w:val="24"/>
                <w:highlight w:val="none"/>
                <w:vertAlign w:val="baseline"/>
                <w:lang w:eastAsia="zh-CN"/>
              </w:rPr>
              <w:t>：电汇、网银转账、保函等非现金形式缴纳（法律法规规定的其他形式）</w:t>
            </w:r>
          </w:p>
          <w:p w14:paraId="293F5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开户名：新疆新水建设工程造价咨询有限责任公司</w:t>
            </w:r>
          </w:p>
          <w:p w14:paraId="3DC576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开户银行：交通银行新疆维吾尔自治区分行营业部</w:t>
            </w:r>
          </w:p>
          <w:p w14:paraId="33A3E7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账号：651651008013000084722</w:t>
            </w:r>
          </w:p>
          <w:p w14:paraId="413379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行号：301881000026</w:t>
            </w:r>
          </w:p>
          <w:p w14:paraId="6AA948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联系电话：杜心园18099116593</w:t>
            </w:r>
          </w:p>
          <w:p w14:paraId="5E3D5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递交时间：响应文件递交截止时间前</w:t>
            </w:r>
          </w:p>
          <w:p w14:paraId="5C83FB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递交</w:t>
            </w:r>
            <w:r>
              <w:rPr>
                <w:rFonts w:hint="eastAsia" w:ascii="宋体" w:hAnsi="宋体" w:eastAsia="宋体" w:cs="宋体"/>
                <w:sz w:val="24"/>
                <w:szCs w:val="24"/>
                <w:highlight w:val="none"/>
                <w:vertAlign w:val="baseline"/>
                <w:lang w:eastAsia="zh-CN"/>
              </w:rPr>
              <w:t>方式：转出账户必须与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名称一致，否则不予受理。须注明所投项目名称或项目编号，递交磋商保证金应充分考虑相关时间。</w:t>
            </w:r>
          </w:p>
          <w:p w14:paraId="62ACA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保证金到账时间以</w:t>
            </w:r>
            <w:r>
              <w:rPr>
                <w:rFonts w:hint="eastAsia" w:ascii="宋体" w:hAnsi="宋体" w:eastAsia="宋体" w:cs="宋体"/>
                <w:sz w:val="24"/>
                <w:szCs w:val="24"/>
                <w:highlight w:val="none"/>
                <w:vertAlign w:val="baseline"/>
                <w:lang w:val="en-US" w:eastAsia="zh-CN"/>
              </w:rPr>
              <w:t>新疆新水建设工程造价咨询有限责任公司</w:t>
            </w:r>
            <w:r>
              <w:rPr>
                <w:rFonts w:hint="eastAsia" w:ascii="宋体" w:hAnsi="宋体" w:eastAsia="宋体" w:cs="宋体"/>
                <w:sz w:val="24"/>
                <w:szCs w:val="24"/>
                <w:highlight w:val="none"/>
                <w:vertAlign w:val="baseline"/>
                <w:lang w:eastAsia="zh-CN"/>
              </w:rPr>
              <w:t>账户实际到账时间为准，如未在磋商文件规定的时间内到账，视为响应文件递交无效，自行承担责任。</w:t>
            </w:r>
          </w:p>
          <w:p w14:paraId="3483D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若采用保函形式：采用保函形式应按以下要求办理：备注：1、保函须在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规定的截止时间前办理完成；2.保函金额不得少于保证金金额；3、保函的有效期不得少于本项目投标有效期；4、保函应是针对本项目开具的；5、保函是投标文件中的组成部分；6.保函按照“一项目一保函”的原则；7.投标单位提供的保函必须是政采云电子保函并且真实有效，否则后果自负。</w:t>
            </w:r>
          </w:p>
        </w:tc>
      </w:tr>
      <w:tr w14:paraId="656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6AE0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9503" w:type="dxa"/>
            <w:vAlign w:val="center"/>
          </w:tcPr>
          <w:p w14:paraId="64B1B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磋商小组的组成：评审专家人数：</w:t>
            </w:r>
            <w:r>
              <w:rPr>
                <w:rFonts w:hint="eastAsia" w:ascii="宋体" w:hAnsi="宋体" w:eastAsia="宋体" w:cs="宋体"/>
                <w:sz w:val="24"/>
                <w:szCs w:val="24"/>
                <w:highlight w:val="none"/>
                <w:u w:val="single"/>
                <w:vertAlign w:val="baseline"/>
                <w:lang w:val="en-US" w:eastAsia="zh-CN"/>
              </w:rPr>
              <w:t>3</w:t>
            </w:r>
            <w:r>
              <w:rPr>
                <w:rFonts w:hint="eastAsia" w:ascii="宋体" w:hAnsi="宋体" w:eastAsia="宋体" w:cs="宋体"/>
                <w:sz w:val="24"/>
                <w:szCs w:val="24"/>
                <w:highlight w:val="none"/>
                <w:vertAlign w:val="baseline"/>
                <w:lang w:eastAsia="zh-CN"/>
              </w:rPr>
              <w:t>人，其中采购</w:t>
            </w:r>
            <w:r>
              <w:rPr>
                <w:rFonts w:hint="eastAsia" w:ascii="宋体" w:hAnsi="宋体" w:eastAsia="宋体" w:cs="宋体"/>
                <w:color w:val="auto"/>
                <w:sz w:val="24"/>
                <w:szCs w:val="24"/>
                <w:highlight w:val="none"/>
                <w:vertAlign w:val="baseline"/>
                <w:lang w:eastAsia="zh-CN"/>
              </w:rPr>
              <w:t>人代表</w:t>
            </w:r>
            <w:r>
              <w:rPr>
                <w:rFonts w:hint="eastAsia" w:ascii="宋体" w:hAnsi="宋体" w:eastAsia="宋体" w:cs="宋体"/>
                <w:color w:val="auto"/>
                <w:sz w:val="24"/>
                <w:szCs w:val="24"/>
                <w:highlight w:val="none"/>
                <w:u w:val="single"/>
                <w:vertAlign w:val="baseline"/>
                <w:lang w:val="en-US" w:eastAsia="zh-CN"/>
              </w:rPr>
              <w:t>0</w:t>
            </w:r>
            <w:r>
              <w:rPr>
                <w:rFonts w:hint="eastAsia" w:ascii="宋体" w:hAnsi="宋体" w:eastAsia="宋体" w:cs="宋体"/>
                <w:color w:val="auto"/>
                <w:sz w:val="24"/>
                <w:szCs w:val="24"/>
                <w:highlight w:val="none"/>
                <w:vertAlign w:val="baseline"/>
                <w:lang w:eastAsia="zh-CN"/>
              </w:rPr>
              <w:t>人，专家</w:t>
            </w:r>
            <w:r>
              <w:rPr>
                <w:rFonts w:hint="eastAsia" w:ascii="宋体" w:hAnsi="宋体" w:eastAsia="宋体" w:cs="宋体"/>
                <w:color w:val="auto"/>
                <w:sz w:val="24"/>
                <w:szCs w:val="24"/>
                <w:highlight w:val="none"/>
                <w:u w:val="single"/>
                <w:vertAlign w:val="baseline"/>
                <w:lang w:val="en-US" w:eastAsia="zh-CN"/>
              </w:rPr>
              <w:t>3</w:t>
            </w:r>
            <w:r>
              <w:rPr>
                <w:rFonts w:hint="eastAsia" w:ascii="宋体" w:hAnsi="宋体" w:eastAsia="宋体" w:cs="宋体"/>
                <w:color w:val="auto"/>
                <w:sz w:val="24"/>
                <w:szCs w:val="24"/>
                <w:highlight w:val="none"/>
                <w:vertAlign w:val="baseline"/>
                <w:lang w:eastAsia="zh-CN"/>
              </w:rPr>
              <w:t>人。</w:t>
            </w:r>
          </w:p>
          <w:p w14:paraId="559E28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评审专家确定方式：评标专家库中随机抽取确定。</w:t>
            </w:r>
          </w:p>
        </w:tc>
      </w:tr>
      <w:tr w14:paraId="78BA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3BA1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9503" w:type="dxa"/>
            <w:vAlign w:val="center"/>
          </w:tcPr>
          <w:p w14:paraId="1C2DAB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磋商</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有效期：供应商同意响应文件在磋商文件规定的</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截止日期届满后立即对供应商产生法律约束力，磋商有效期截至磋商日后90日历天。</w:t>
            </w:r>
          </w:p>
        </w:tc>
      </w:tr>
      <w:tr w14:paraId="41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vAlign w:val="center"/>
          </w:tcPr>
          <w:p w14:paraId="728B2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9503" w:type="dxa"/>
            <w:vAlign w:val="center"/>
          </w:tcPr>
          <w:p w14:paraId="074AC8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报价说明：</w:t>
            </w:r>
          </w:p>
          <w:p w14:paraId="1A3A36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本工程的响应报价采用总价方式进行报价。</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报价（含首次报价或最后报价）超出本项目采购预算金额的为无效报价，其响应文件将被认定为无效响应。供应商多轮报价须在前一次报价的基础上下浮，即供应商根据清单的每一个子项填写新的报价，合计后得出总价进行报价（四舍五入，保留两位小数）。</w:t>
            </w:r>
          </w:p>
        </w:tc>
      </w:tr>
      <w:tr w14:paraId="2C5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C59A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9503" w:type="dxa"/>
            <w:vAlign w:val="center"/>
          </w:tcPr>
          <w:p w14:paraId="69D39D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是否为专门面向中小企业采购：</w:t>
            </w:r>
            <w:r>
              <w:rPr>
                <w:rFonts w:hint="eastAsia" w:ascii="宋体" w:hAnsi="宋体" w:eastAsia="宋体" w:cs="宋体"/>
                <w:color w:val="auto"/>
                <w:sz w:val="24"/>
                <w:szCs w:val="24"/>
                <w:highlight w:val="none"/>
                <w:vertAlign w:val="baseline"/>
                <w:lang w:val="en-US" w:eastAsia="zh-CN"/>
              </w:rPr>
              <w:t>否</w:t>
            </w:r>
            <w:r>
              <w:rPr>
                <w:rFonts w:hint="eastAsia" w:ascii="宋体" w:hAnsi="宋体" w:eastAsia="宋体" w:cs="宋体"/>
                <w:color w:val="auto"/>
                <w:sz w:val="24"/>
                <w:szCs w:val="24"/>
                <w:highlight w:val="none"/>
                <w:vertAlign w:val="baseline"/>
                <w:lang w:eastAsia="zh-CN"/>
              </w:rPr>
              <w:t>。</w:t>
            </w:r>
          </w:p>
          <w:p w14:paraId="383C09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eastAsia="zh-CN"/>
              </w:rPr>
            </w:pPr>
            <w:r>
              <w:rPr>
                <w:rFonts w:hint="eastAsia" w:ascii="宋体" w:hAnsi="宋体" w:eastAsia="宋体" w:cs="宋体"/>
                <w:color w:val="auto"/>
                <w:sz w:val="24"/>
                <w:szCs w:val="24"/>
                <w:highlight w:val="none"/>
                <w:vertAlign w:val="baseline"/>
                <w:lang w:eastAsia="zh-CN"/>
              </w:rPr>
              <w:t>本项目为非专门面向中小企业（含中型、小型、微型企业）采购项目，根据《政府采购促进中小企业发展管理办法》（财库[2020]46号）的规定，评标时将给予小型、微型企业进行价格10%的优惠，用优惠后的价格参与评审。</w:t>
            </w:r>
          </w:p>
        </w:tc>
      </w:tr>
      <w:tr w14:paraId="34F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1E1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9503" w:type="dxa"/>
            <w:vAlign w:val="center"/>
          </w:tcPr>
          <w:p w14:paraId="080371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5.供应商在开标时须使用制作加密电子投标文件所使用的CA锁及电脑，电脑须提前配置好浏览器（建议使用360浏览器或谷歌浏览器），以便开标时解锁。6、投标供应商应当在投标截止时间前，将生成的“JMBS格式电子加密响应文件”上传递交至“政府采购云平台”，投标截止时间以后上传递交的响应文件将被“政府采购云平台”拒收。7、评标结束后，</w:t>
            </w:r>
            <w:r>
              <w:rPr>
                <w:rFonts w:hint="eastAsia" w:ascii="宋体" w:hAnsi="宋体" w:eastAsia="宋体" w:cs="宋体"/>
                <w:sz w:val="24"/>
                <w:szCs w:val="24"/>
                <w:vertAlign w:val="baseline"/>
                <w:lang w:val="en-US" w:eastAsia="zh-CN"/>
              </w:rPr>
              <w:t>成交供应商</w:t>
            </w:r>
            <w:r>
              <w:rPr>
                <w:rFonts w:hint="eastAsia" w:ascii="宋体" w:hAnsi="宋体" w:eastAsia="宋体" w:cs="宋体"/>
                <w:sz w:val="24"/>
                <w:szCs w:val="24"/>
                <w:vertAlign w:val="baseline"/>
                <w:lang w:eastAsia="zh-CN"/>
              </w:rPr>
              <w:t>须在一周内按要求将纸质版响应文件递交至</w:t>
            </w:r>
            <w:r>
              <w:rPr>
                <w:rFonts w:hint="eastAsia" w:ascii="宋体" w:hAnsi="宋体" w:eastAsia="宋体" w:cs="宋体"/>
                <w:sz w:val="24"/>
                <w:szCs w:val="24"/>
                <w:vertAlign w:val="baseline"/>
                <w:lang w:val="en-US" w:eastAsia="zh-CN"/>
              </w:rPr>
              <w:t>采购</w:t>
            </w:r>
            <w:r>
              <w:rPr>
                <w:rFonts w:hint="eastAsia" w:ascii="宋体" w:hAnsi="宋体" w:eastAsia="宋体" w:cs="宋体"/>
                <w:sz w:val="24"/>
                <w:szCs w:val="24"/>
                <w:vertAlign w:val="baseline"/>
                <w:lang w:eastAsia="zh-CN"/>
              </w:rPr>
              <w:t>代理</w:t>
            </w:r>
            <w:r>
              <w:rPr>
                <w:rFonts w:hint="eastAsia" w:ascii="宋体" w:hAnsi="宋体" w:eastAsia="宋体" w:cs="宋体"/>
                <w:sz w:val="24"/>
                <w:szCs w:val="24"/>
                <w:vertAlign w:val="baseline"/>
                <w:lang w:val="en-US" w:eastAsia="zh-CN"/>
              </w:rPr>
              <w:t>机构</w:t>
            </w:r>
            <w:r>
              <w:rPr>
                <w:rFonts w:hint="eastAsia" w:ascii="宋体" w:hAnsi="宋体" w:eastAsia="宋体" w:cs="宋体"/>
                <w:sz w:val="24"/>
                <w:szCs w:val="24"/>
                <w:vertAlign w:val="baseline"/>
                <w:lang w:eastAsia="zh-CN"/>
              </w:rPr>
              <w:t>处（所产生的费用</w:t>
            </w:r>
            <w:r>
              <w:rPr>
                <w:rFonts w:hint="eastAsia" w:ascii="宋体" w:hAnsi="宋体" w:eastAsia="宋体" w:cs="宋体"/>
                <w:sz w:val="24"/>
                <w:szCs w:val="24"/>
                <w:vertAlign w:val="baseline"/>
                <w:lang w:val="en-US" w:eastAsia="zh-CN"/>
              </w:rPr>
              <w:t>由成交供应商</w:t>
            </w:r>
            <w:r>
              <w:rPr>
                <w:rFonts w:hint="eastAsia" w:ascii="宋体" w:hAnsi="宋体" w:eastAsia="宋体" w:cs="宋体"/>
                <w:sz w:val="24"/>
                <w:szCs w:val="24"/>
                <w:vertAlign w:val="baseline"/>
                <w:lang w:eastAsia="zh-CN"/>
              </w:rPr>
              <w:t>自理）。纸质版响应文件可通过加密电子版响应文件打印生成，应当与电子版响应文件一致。【1、份数要求：正本壹份、副本贰份，电子标壹份（U盘）。2、装订要求：响应文件商务技术部分装订成一册，响应文件的装订必须采用死页胶粘本。】</w:t>
            </w:r>
          </w:p>
          <w:p w14:paraId="726D18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137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20C27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503" w:type="dxa"/>
            <w:vAlign w:val="center"/>
          </w:tcPr>
          <w:p w14:paraId="1D3B6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响应文件递交截止时间</w:t>
            </w:r>
            <w:r>
              <w:rPr>
                <w:rFonts w:hint="eastAsia" w:ascii="宋体" w:hAnsi="宋体" w:eastAsia="宋体" w:cs="宋体"/>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地点</w:t>
            </w:r>
            <w:r>
              <w:rPr>
                <w:rFonts w:hint="eastAsia" w:ascii="宋体" w:hAnsi="宋体" w:eastAsia="宋体" w:cs="宋体"/>
                <w:color w:val="auto"/>
                <w:sz w:val="24"/>
                <w:szCs w:val="24"/>
                <w:highlight w:val="none"/>
                <w:vertAlign w:val="baseline"/>
                <w:lang w:eastAsia="zh-CN"/>
              </w:rPr>
              <w:t>：202</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eastAsia="zh-CN"/>
              </w:rPr>
              <w:t>年</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eastAsia="zh-CN"/>
              </w:rPr>
              <w:t>月</w:t>
            </w:r>
            <w:r>
              <w:rPr>
                <w:rFonts w:hint="eastAsia" w:ascii="宋体" w:hAnsi="宋体" w:eastAsia="宋体" w:cs="宋体"/>
                <w:color w:val="auto"/>
                <w:sz w:val="24"/>
                <w:szCs w:val="24"/>
                <w:highlight w:val="none"/>
                <w:vertAlign w:val="baseline"/>
                <w:lang w:val="en-US" w:eastAsia="zh-CN"/>
              </w:rPr>
              <w:t>19</w:t>
            </w:r>
            <w:r>
              <w:rPr>
                <w:rFonts w:hint="eastAsia" w:ascii="宋体" w:hAnsi="宋体" w:eastAsia="宋体" w:cs="宋体"/>
                <w:color w:val="auto"/>
                <w:sz w:val="24"/>
                <w:szCs w:val="24"/>
                <w:highlight w:val="none"/>
                <w:vertAlign w:val="baseline"/>
                <w:lang w:eastAsia="zh-CN"/>
              </w:rPr>
              <w:t>日1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eastAsia="zh-CN"/>
              </w:rPr>
              <w:t>:00（北京时间），</w:t>
            </w:r>
            <w:r>
              <w:rPr>
                <w:rFonts w:hint="eastAsia" w:ascii="宋体" w:hAnsi="宋体" w:eastAsia="宋体" w:cs="宋体"/>
                <w:sz w:val="24"/>
                <w:szCs w:val="24"/>
                <w:highlight w:val="none"/>
                <w:vertAlign w:val="baseline"/>
                <w:lang w:eastAsia="zh-CN"/>
              </w:rPr>
              <w:t>磋商地点：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68C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F211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9503" w:type="dxa"/>
            <w:vAlign w:val="center"/>
          </w:tcPr>
          <w:p w14:paraId="7D45EB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签字或盖章要求：响应文件要求盖单位章和签字的地方，投标人均应使用CA数字证书加盖企业电子章和法定代表人的电子章。</w:t>
            </w:r>
          </w:p>
        </w:tc>
      </w:tr>
      <w:tr w14:paraId="5D8C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B7F9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9503" w:type="dxa"/>
            <w:vAlign w:val="center"/>
          </w:tcPr>
          <w:p w14:paraId="77863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所属</w:t>
            </w:r>
            <w:r>
              <w:rPr>
                <w:rFonts w:hint="eastAsia" w:ascii="宋体" w:hAnsi="宋体" w:eastAsia="宋体" w:cs="宋体"/>
                <w:color w:val="auto"/>
                <w:sz w:val="24"/>
                <w:szCs w:val="24"/>
                <w:highlight w:val="none"/>
                <w:vertAlign w:val="baseline"/>
                <w:lang w:eastAsia="zh-CN"/>
              </w:rPr>
              <w:t>行业：</w:t>
            </w:r>
            <w:r>
              <w:rPr>
                <w:rFonts w:hint="eastAsia" w:ascii="宋体" w:hAnsi="宋体" w:eastAsia="宋体" w:cs="宋体"/>
                <w:color w:val="auto"/>
                <w:sz w:val="24"/>
                <w:highlight w:val="none"/>
              </w:rPr>
              <w:t>软件和信息技术服务业</w:t>
            </w:r>
          </w:p>
        </w:tc>
      </w:tr>
      <w:tr w14:paraId="0C5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128B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9503" w:type="dxa"/>
            <w:vAlign w:val="center"/>
          </w:tcPr>
          <w:p w14:paraId="28053B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（1）本项目不允许负偏离；</w:t>
            </w:r>
          </w:p>
          <w:p w14:paraId="226E4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05B5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9E80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9503" w:type="dxa"/>
            <w:vAlign w:val="center"/>
          </w:tcPr>
          <w:p w14:paraId="49967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中小微型企业有关政策：根据财政部、工业和信息化部发布的关于印发《政府采购促进中小企业发展管理办法》的通知，财库[2020]46号）规定执行；</w:t>
            </w:r>
          </w:p>
        </w:tc>
      </w:tr>
      <w:tr w14:paraId="0D8E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F45A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9503" w:type="dxa"/>
            <w:vAlign w:val="center"/>
          </w:tcPr>
          <w:p w14:paraId="2F861E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18C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AA5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9503" w:type="dxa"/>
            <w:vAlign w:val="center"/>
          </w:tcPr>
          <w:p w14:paraId="2D27B9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解释权：</w:t>
            </w:r>
          </w:p>
          <w:p w14:paraId="12985E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构成磋商文件的各个组成文件应互为解释，互为说明；除磋商文件中有特别规定外，按磋商</w:t>
            </w:r>
            <w:r>
              <w:rPr>
                <w:rFonts w:hint="eastAsia" w:ascii="宋体" w:hAnsi="宋体" w:eastAsia="宋体" w:cs="宋体"/>
                <w:sz w:val="24"/>
                <w:szCs w:val="24"/>
                <w:vertAlign w:val="baseline"/>
                <w:lang w:val="en-US" w:eastAsia="zh-CN"/>
              </w:rPr>
              <w:t>文件</w:t>
            </w:r>
            <w:r>
              <w:rPr>
                <w:rFonts w:hint="eastAsia" w:ascii="宋体" w:hAnsi="宋体" w:eastAsia="宋体" w:cs="宋体"/>
                <w:sz w:val="24"/>
                <w:szCs w:val="24"/>
                <w:vertAlign w:val="baseline"/>
                <w:lang w:eastAsia="zh-CN"/>
              </w:rPr>
              <w:t>的先后顺序解释；同一组成文件中就同一事项的规定或约定不一致的，以编排顺序在后者为准；按本款前述规定仍不能形成结论的，由采购代理机构和采购人负责解释。</w:t>
            </w:r>
          </w:p>
        </w:tc>
      </w:tr>
      <w:tr w14:paraId="24AC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FD18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9503" w:type="dxa"/>
            <w:vAlign w:val="center"/>
          </w:tcPr>
          <w:p w14:paraId="350B12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1、供应商应依照磋商文件要求在响应文件中提供相关材料原件的扫描件</w:t>
            </w:r>
            <w:r>
              <w:rPr>
                <w:rFonts w:hint="eastAsia" w:ascii="宋体" w:hAnsi="宋体" w:eastAsia="宋体" w:cs="宋体"/>
                <w:sz w:val="24"/>
                <w:szCs w:val="24"/>
                <w:vertAlign w:val="baseline"/>
                <w:lang w:val="en-US" w:eastAsia="zh-CN"/>
              </w:rPr>
              <w:t>或网页截图并加盖单位电子章</w:t>
            </w:r>
            <w:r>
              <w:rPr>
                <w:rFonts w:hint="eastAsia" w:ascii="宋体" w:hAnsi="宋体" w:eastAsia="宋体" w:cs="宋体"/>
                <w:sz w:val="24"/>
                <w:szCs w:val="24"/>
                <w:vertAlign w:val="baseline"/>
                <w:lang w:eastAsia="zh-CN"/>
              </w:rPr>
              <w:t>。</w:t>
            </w:r>
          </w:p>
          <w:p w14:paraId="268A9A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2、各供应商在网上及时查询本项目的澄清、修改和补充等内容，如未及时查询相关内容，造成后果自行承担。</w:t>
            </w:r>
          </w:p>
          <w:p w14:paraId="7F34A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7EA27F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、无论何种原因，在磋商文件中未提供相应材料的，评审小组将视同其未提供，如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文件中规定需要提供说明或者承诺等证明材料，</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文件中未给予格式的其格式自拟，并做入</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文件中，未放入视为无效投标。</w:t>
            </w:r>
          </w:p>
          <w:p w14:paraId="539A34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文件出现前后不一致时，以供应商须知</w:t>
            </w:r>
            <w:r>
              <w:rPr>
                <w:rFonts w:hint="eastAsia" w:ascii="宋体" w:hAnsi="宋体" w:eastAsia="宋体" w:cs="宋体"/>
                <w:sz w:val="24"/>
                <w:szCs w:val="24"/>
                <w:vertAlign w:val="baseline"/>
                <w:lang w:val="en-US" w:eastAsia="zh-CN"/>
              </w:rPr>
              <w:t>前附</w:t>
            </w:r>
            <w:r>
              <w:rPr>
                <w:rFonts w:hint="eastAsia" w:ascii="宋体" w:hAnsi="宋体" w:eastAsia="宋体" w:cs="宋体"/>
                <w:sz w:val="24"/>
                <w:szCs w:val="24"/>
                <w:vertAlign w:val="baseline"/>
                <w:lang w:eastAsia="zh-CN"/>
              </w:rPr>
              <w:t>表为准。</w:t>
            </w:r>
          </w:p>
          <w:p w14:paraId="2D3261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如果投标人电子投标文件无法制作或无法导入及导出等问题，可拨打政采云服务热线进行咨询联系。联系人：政采云客户服务热线 联系电话：400-881-7190</w:t>
            </w:r>
          </w:p>
        </w:tc>
      </w:tr>
      <w:tr w14:paraId="58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BD62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9503" w:type="dxa"/>
            <w:vAlign w:val="center"/>
          </w:tcPr>
          <w:p w14:paraId="1BEB9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代理费参考《关于印发招标代理服务收费管理暂行办法的通知》（计价格[2002]1980号）及《关于招标代理服务收费有关问题的通知》（发改办价格[2003]857号）计算。按规定下浮5%后支付。中标服务费由中标人向招标代理机构支付。</w:t>
            </w:r>
          </w:p>
        </w:tc>
      </w:tr>
      <w:tr w14:paraId="5805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7395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9503" w:type="dxa"/>
            <w:vAlign w:val="center"/>
          </w:tcPr>
          <w:p w14:paraId="4ECE52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合同形式：</w:t>
            </w:r>
            <w:r>
              <w:rPr>
                <w:rFonts w:hint="eastAsia" w:ascii="宋体" w:hAnsi="宋体" w:eastAsia="宋体" w:cs="宋体"/>
                <w:sz w:val="24"/>
                <w:szCs w:val="24"/>
                <w:highlight w:val="none"/>
                <w:lang w:val="en-US" w:eastAsia="zh-CN"/>
              </w:rPr>
              <w:t>总价承包合同</w:t>
            </w:r>
          </w:p>
        </w:tc>
      </w:tr>
    </w:tbl>
    <w:p w14:paraId="615545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37DB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一、说明</w:t>
      </w:r>
    </w:p>
    <w:p w14:paraId="385BF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w:t>
      </w:r>
    </w:p>
    <w:p w14:paraId="0C0E0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1.1本文件适用于本竞争性磋商的采购项目。</w:t>
      </w:r>
    </w:p>
    <w:p w14:paraId="4F2F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1.2本项目的采购人、供应商及各方当事人均适用本须知。</w:t>
      </w:r>
    </w:p>
    <w:p w14:paraId="106B3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2定义</w:t>
      </w:r>
    </w:p>
    <w:p w14:paraId="38481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2.1监管部门：指同级或以上人民政府财政部门。</w:t>
      </w:r>
    </w:p>
    <w:p w14:paraId="0BE00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2.2资金来源：是指采购人已拥有一笔财政性资金或资金来源已落实。</w:t>
      </w:r>
    </w:p>
    <w:p w14:paraId="75945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2.3采购人：依法进行政府采购的国家机关、事业单位、团体组织。</w:t>
      </w:r>
    </w:p>
    <w:p w14:paraId="74038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2.4代理采购机构：新疆新水建设工程造价咨询有限责任公司。</w:t>
      </w:r>
    </w:p>
    <w:p w14:paraId="178D3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2.5磋商小组：磋商小组是依法组建的专门负责本次磋商及评审工作的人员。</w:t>
      </w:r>
    </w:p>
    <w:p w14:paraId="509AA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2.6供应商：符合资格要求，响应采购、依法成立的企业法人、其他组织或自然人。</w:t>
      </w:r>
    </w:p>
    <w:p w14:paraId="6A0D8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2.7成交供应商：经合法磋商程序评选出来并经采购人确认的获得本项目成交资格的供应商。</w:t>
      </w:r>
    </w:p>
    <w:p w14:paraId="3C268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2.8日期：指公历日。</w:t>
      </w:r>
    </w:p>
    <w:p w14:paraId="0E530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2.9时间：指北京时间。</w:t>
      </w:r>
    </w:p>
    <w:p w14:paraId="645FF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14:paraId="50A5A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3.1.供应商须符合第一部分“磋商公告”供应商资格要求的全部条款。</w:t>
      </w:r>
    </w:p>
    <w:p w14:paraId="32B20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4合格的货物、服务和工程</w:t>
      </w:r>
    </w:p>
    <w:p w14:paraId="1163E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货物”是指供应商制造或符合磋商文件要求的货物等。供应商的货物必须是其合法生产、合法来源的符合国家有关标准要求的货物，并满足磋商文件规定的规格、参数、质量、价格、有效期、售后服务等要求。</w:t>
      </w:r>
    </w:p>
    <w:p w14:paraId="53869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4.2“服务”是指除货物和工程以外的其他政府采购对象，其中包括供应商须承担的运输、安装、技术支持、培训以及磋商文件规定的其它伴随服务。</w:t>
      </w:r>
    </w:p>
    <w:p w14:paraId="60B6C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4.3“工程”是指建设工程，包括建筑物和构筑物的新建、改建、扩建、装修、拆除、修缮等。</w:t>
      </w:r>
    </w:p>
    <w:p w14:paraId="7944F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4.4政府采购应当采购本国产品，确需采购进口产品的，依据《政府采购进口产品管理办法》执行。</w:t>
      </w:r>
    </w:p>
    <w:p w14:paraId="233A3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4.5本文件所称进口产品是指通过中国海关报关验放进入中国境内且产自关境外的产品。</w:t>
      </w:r>
    </w:p>
    <w:p w14:paraId="3094D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4.6供应商应保证，采购人在中华人民共和国使用货物或服务的任何一部分时，采购人免受第三方提出侵犯其专利权、商标权或其它知识产权的起诉。</w:t>
      </w:r>
    </w:p>
    <w:p w14:paraId="3BCE6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5磋商费用</w:t>
      </w:r>
    </w:p>
    <w:p w14:paraId="192E4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5.1.供应商应承担所有与准备和参加项目磋商有关的费用。不论磋商的结果如何，采购人及招标代理有限公司均无义务和责任承担这些费用。</w:t>
      </w:r>
    </w:p>
    <w:p w14:paraId="690F8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w:t>
      </w:r>
    </w:p>
    <w:p w14:paraId="336A4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6.1.所有时间均为24小时制北京时间，所有货币单位均为人民币元，所使用的计量单位均以《中华人民共和国法定计量单位》为准（特别注明除外）。</w:t>
      </w:r>
    </w:p>
    <w:p w14:paraId="0C652C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二、磋商文件</w:t>
      </w:r>
    </w:p>
    <w:p w14:paraId="6AE11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7磋商文件的编制依据与构成</w:t>
      </w:r>
    </w:p>
    <w:p w14:paraId="7B5B3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7.1本项目磋商文件的编制依据是《中华人民共和国政府采购法》及其实施条例、《政府采购竞争性磋商采购方式管理暂行办法》及其配套的法规、规章政策。</w:t>
      </w:r>
    </w:p>
    <w:p w14:paraId="0579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7.2要求提供的服务、货物、磋商过程和合同条件在磋商文件中均有说明。磋商文件以中文文字编写。由下列文件以及在磋商过程中发出的澄清、修改和补充文件组成，内容包括：</w:t>
      </w:r>
    </w:p>
    <w:p w14:paraId="094A8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●磋商公告；</w:t>
      </w:r>
    </w:p>
    <w:p w14:paraId="18B6D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●磋商须知；</w:t>
      </w:r>
    </w:p>
    <w:p w14:paraId="4F28C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●磋商内容及技术要求；</w:t>
      </w:r>
    </w:p>
    <w:p w14:paraId="43E8F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●合同格式；</w:t>
      </w:r>
    </w:p>
    <w:p w14:paraId="16070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●响应文件格式；</w:t>
      </w:r>
    </w:p>
    <w:p w14:paraId="13BD3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77CA3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8磋商文件的澄清和修改</w:t>
      </w:r>
    </w:p>
    <w:p w14:paraId="6E1F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59C56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8.2磋商文件的澄清或者修改内容作为磋商文件的组成部分，并对供应商具有约束力。当磋商文件、磋商文件的澄清或修改在同一内容的表述上不一致时，以最后发出的文件内容为准。</w:t>
      </w:r>
    </w:p>
    <w:p w14:paraId="20FC2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9答疑会或现场考察</w:t>
      </w:r>
    </w:p>
    <w:p w14:paraId="3F4D2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9.1除磋商须知前附表中另有规定，本项目不举行磋商前答疑会及现场考察。</w:t>
      </w:r>
    </w:p>
    <w:p w14:paraId="18842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13807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9.3已获取磋商文件的供应商如不出席答疑会或现场考察视为对磋商文件所有内容无任何异议。</w:t>
      </w:r>
    </w:p>
    <w:p w14:paraId="2DE37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三、响应文件的编制</w:t>
      </w:r>
    </w:p>
    <w:p w14:paraId="34C2E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10响应文件的构成</w:t>
      </w:r>
    </w:p>
    <w:p w14:paraId="25B1F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10.1.供应商编写的响应文件应包括价格部分、商务部分和技术部分。供应商可以参考磋商文件第五部分响应文件格式顺序编排响应文件。</w:t>
      </w:r>
    </w:p>
    <w:p w14:paraId="79FD4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11响应文件的语言及编写原则</w:t>
      </w:r>
    </w:p>
    <w:p w14:paraId="68DD4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268EB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11.2计量单位：除在磋商文件的技术规格中另有规定外，计量单位应使用中华人民共和国法定计量单位（国际单位制和国家选定的其他计量单位）。</w:t>
      </w:r>
    </w:p>
    <w:p w14:paraId="45D2F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11.3供应商应完整、真实、准确地填写磋商文件中提供的磋商函、报价一览表（首次报价表）、报价明细表（如适用）以及磋商文件中规定的其它所有内容。</w:t>
      </w:r>
    </w:p>
    <w:p w14:paraId="69878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供应商对磋商文件中多个包组进行投标的，其响应文件的编制应当按每个包组的要求分别编制、装订和封装。供应商应对响应文件进行装订，对未经装订的响应文件可能发生的文件散落或缺损，由此造成的后果和责任由供应商承担。</w:t>
      </w:r>
    </w:p>
    <w:p w14:paraId="01C2F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11.5供应商必须对响应文件所提供的全部资料的真实性承担法律责任，并无条件接受采购人、采购代理机构及监管部门等对其中任何资料进行核实的要求。</w:t>
      </w:r>
    </w:p>
    <w:p w14:paraId="17673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11.6如果因为供应商的响应文件只填写和提供了本磋商文件要求的部分内容和附件，或没有提供磋商文件中所要求的全部资料及数据，由此造成的后果和责任由供应商承担。</w:t>
      </w:r>
    </w:p>
    <w:p w14:paraId="69215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12首次报价</w:t>
      </w:r>
    </w:p>
    <w:p w14:paraId="389BF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12.1供应商对所提供的工程均以人民币报价。</w:t>
      </w:r>
    </w:p>
    <w:p w14:paraId="011A2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12.2首次报价超过本项目预算金额的按无效响应处理。</w:t>
      </w:r>
    </w:p>
    <w:p w14:paraId="0599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格包含在总报价中。</w:t>
      </w:r>
    </w:p>
    <w:p w14:paraId="2E558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12.4《标价的工程量清单》内容应包含：具体内容及所需的表格，以磋商文件的“工程量清单”及响应总价单为准。</w:t>
      </w:r>
    </w:p>
    <w:p w14:paraId="32CF1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12.5除磋商须知前附表中另有规定，供应商所报的磋商价在合同执行过程中是固定不变的，不得以任何理由予以变更。任何包含价格调整要求的磋商被认为是非实质性响应而予以拒绝。</w:t>
      </w:r>
    </w:p>
    <w:p w14:paraId="0BF6C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12.6除磋商须知前附表中允许有备选方案外，本次磋商不接受选择性报价，不接受具有附加条件的报价，否则将被视为无效响应。</w:t>
      </w:r>
    </w:p>
    <w:p w14:paraId="71B6C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13联合体投标</w:t>
      </w:r>
    </w:p>
    <w:p w14:paraId="50BCF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13.1磋商文件第一章中拒绝接受联合体投标的，则不接受联合体磋商。如果第一章中允许联合体投标的，则必须满足：</w:t>
      </w:r>
    </w:p>
    <w:p w14:paraId="3AC34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5B503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13.1.2联合体磋商的，必须提供各方签订的共同投标协议，明确约定各方承担的工作和相应的责任。联合体各方签订共同磋商协议后，不得再以自己的名义单独在同一项目（或包组）中磋商，也不得组成新的联合体参加同一项目（或包组）磋商。</w:t>
      </w:r>
    </w:p>
    <w:p w14:paraId="2D1BF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13.1.3联合体磋商的，可以由联合体中的一方或者共同提交磋商保证金，以一方名义提交投磋商保证金的，对联合体各方均具有约束力。</w:t>
      </w:r>
    </w:p>
    <w:p w14:paraId="0EF1F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13.1.4联合体成交的，联合体各方应当共同与采购人签订合同。</w:t>
      </w:r>
    </w:p>
    <w:p w14:paraId="7FF39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13.1.5联合体在报名登记时，提交经联合体各方盖章的联合体磋商协议，以确认联合体的牵头人及成员。</w:t>
      </w:r>
    </w:p>
    <w:p w14:paraId="46DDF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14证明供应商合格的资格文件</w:t>
      </w:r>
    </w:p>
    <w:p w14:paraId="23F9E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52C48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14.2供应商提交的资格证明文件应满足第一章供应商资格要求的全部条款。</w:t>
      </w:r>
    </w:p>
    <w:p w14:paraId="799C4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15证明标的的合格性和符合磋商文件规定的文件</w:t>
      </w:r>
    </w:p>
    <w:p w14:paraId="271C0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15.1供应商应提交证明文件，证明其拟磋商的工程的合格性符合磋商文件规定。该证明文件作为响应文件的一部分。</w:t>
      </w:r>
    </w:p>
    <w:p w14:paraId="6BB3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15.2工程合格性的证明文件应包括标价的工程量清单中对货物和服务原产地的说明。</w:t>
      </w:r>
    </w:p>
    <w:p w14:paraId="4D101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15.3证明工程与磋商文件的要求相一致的文件，可以是文字资料、图纸和数据，它包括：</w:t>
      </w:r>
    </w:p>
    <w:p w14:paraId="632D6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15.3.1工程主要技术指标和性能的详细说明；</w:t>
      </w:r>
    </w:p>
    <w:p w14:paraId="2C419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15.3.2工程正常使用所必须的备件和专用工具清单，包括备件和专用工具的货源及现行价格；</w:t>
      </w:r>
    </w:p>
    <w:p w14:paraId="72446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7835D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16不允许偏离的实质性条款</w:t>
      </w:r>
    </w:p>
    <w:p w14:paraId="78F77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16.1响应文件必须对磋商文件中实质性条款的要求进行响应，不能出现负偏离，否则将导致响应无效。不允许负偏离的实质性条款如下：</w:t>
      </w:r>
    </w:p>
    <w:p w14:paraId="5CC73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16.1.1加注“★部分”条款；</w:t>
      </w:r>
    </w:p>
    <w:p w14:paraId="244B8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16.1.2磋商文件规定的其他必须响应的内容。</w:t>
      </w:r>
    </w:p>
    <w:p w14:paraId="3F12E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16.2响应文件中技术规格、参数或其他内容优于磋商文件的要求视作正偏离，不构成响应无效，供应商对这种优于采购项目需求要求的情况必须单独说明。</w:t>
      </w:r>
    </w:p>
    <w:p w14:paraId="7746C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17磋商保证金</w:t>
      </w:r>
    </w:p>
    <w:p w14:paraId="3B0DB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17.1供应商应按磋商须知前附表中规定的金额、期限缴纳磋商保证金，并作为其响应文件的组成部分。</w:t>
      </w:r>
    </w:p>
    <w:p w14:paraId="5C24F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A11F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17.3有下列情形之一的，磋商保证金不予退还：</w:t>
      </w:r>
    </w:p>
    <w:p w14:paraId="4F220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17.3.1供应商在提交响应文件截止时间后撤回响应文件的；</w:t>
      </w:r>
    </w:p>
    <w:p w14:paraId="24898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17.3.2供应商在响应文件中提供虚假材料的；</w:t>
      </w:r>
    </w:p>
    <w:p w14:paraId="194AE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17.3.3除因不可抗力或磋商文件认可的情形以外，成交供应商不与采购人签订合同的；</w:t>
      </w:r>
    </w:p>
    <w:p w14:paraId="123F9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17.3.4供应商与采购人、其他供应商恶意串通的；</w:t>
      </w:r>
    </w:p>
    <w:p w14:paraId="1E41D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17.3.5磋商文件规定的其他情形。</w:t>
      </w:r>
    </w:p>
    <w:p w14:paraId="11334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18磋商响应有效期</w:t>
      </w:r>
    </w:p>
    <w:p w14:paraId="134F6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18.1响应文件的有效期见磋商须知前附表的规定，响应文件应在此期限内保持有效。磋商响应有效期不足的响应文件将被视为非实质性响应，视为无效响应文件。</w:t>
      </w:r>
    </w:p>
    <w:p w14:paraId="18B7C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08155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19响应文件的式样和签署</w:t>
      </w:r>
    </w:p>
    <w:p w14:paraId="0F3E9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19.1响应文件的式样：在政采云平台上传加密的电子响应文件。</w:t>
      </w:r>
    </w:p>
    <w:p w14:paraId="3CF01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19.2响应文件的签署及盖章：</w:t>
      </w:r>
    </w:p>
    <w:p w14:paraId="46BEF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4B966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19.2.2响应文件要求盖公章的内容（磋商文件第五部分“响应文件格式”中要求盖供应商公章）必须加盖供应商公章。</w:t>
      </w:r>
    </w:p>
    <w:p w14:paraId="2C0AAF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8BC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四、响应文件的递交</w:t>
      </w:r>
    </w:p>
    <w:p w14:paraId="265D5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20加密电子响应文件</w:t>
      </w:r>
    </w:p>
    <w:p w14:paraId="6BDF8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39806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21磋商响应截止</w:t>
      </w:r>
    </w:p>
    <w:p w14:paraId="1CC8D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21.1供应商应在磋商文件第一章中规定的截止日期和时间前将电子响应文件递交上传至新疆政府采购云平台。</w:t>
      </w:r>
    </w:p>
    <w:p w14:paraId="0160B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45A40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21.3采购人和采购代理机构将拒收在磋商文件规定的响应截止时间之后送达的响应文件及未报名获取磋商文件的供应商递交的响应文件。</w:t>
      </w:r>
    </w:p>
    <w:p w14:paraId="16C40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22响应文件的修改和撤回</w:t>
      </w:r>
    </w:p>
    <w:p w14:paraId="32D85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1920A0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五、磋商程序</w:t>
      </w:r>
    </w:p>
    <w:p w14:paraId="65978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23开启</w:t>
      </w:r>
    </w:p>
    <w:p w14:paraId="7032F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23.1开启会议由采购人和采购代理机构主持并在第一章中规定的日期、时间和地点组织公开开启。允许供应商的法定代表人或其授权人参加开启会议。</w:t>
      </w:r>
    </w:p>
    <w:p w14:paraId="05B97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23.2电子响应文件解密，由采购代理机构工作人员开启解密。</w:t>
      </w:r>
    </w:p>
    <w:p w14:paraId="29389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2EE51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★24资格审查</w:t>
      </w:r>
    </w:p>
    <w:p w14:paraId="16AF4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3BAA5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w:t>
      </w:r>
    </w:p>
    <w:p w14:paraId="36DCA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24EB92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64FC3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25.3磋商小组名单在评审结果确定前严格保密。评审专家有下列情形之一的，受到邀请应主动提出回避，采购当事人也可以要求该评审专家回避；</w:t>
      </w:r>
    </w:p>
    <w:p w14:paraId="6DD96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25.3.1参加采购活动前3年内与参加该采购项目的供应商存在劳动关系或担任过供应商的董事、监事或是供应商的控股股东或者实际控制人；</w:t>
      </w:r>
    </w:p>
    <w:p w14:paraId="682E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25.3.2与参加该采购项目的供应商的法定代表人或者负责人有夫妻、直系血亲、三代以内旁系血亲或者近姻亲关系；</w:t>
      </w:r>
    </w:p>
    <w:p w14:paraId="01D02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25.3.3与参加该采购项目的供应商有其他可能影响政府采购活动公平、公正进行的关系。</w:t>
      </w:r>
    </w:p>
    <w:p w14:paraId="77895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25.4磋商小组负责具体评审事务，并独立履行下列职责：</w:t>
      </w:r>
    </w:p>
    <w:p w14:paraId="472A7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25.4.1审查、评审响应文件是否符合磋商文件的商务、技术等实质性要求；</w:t>
      </w:r>
    </w:p>
    <w:p w14:paraId="6B074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25.4.2要求供应商对响应文件有关事项作出澄清或者说明；</w:t>
      </w:r>
    </w:p>
    <w:p w14:paraId="7D44C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25.4.3对响应文件进行比较和评价；</w:t>
      </w:r>
    </w:p>
    <w:p w14:paraId="26FE4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25.4.4确定成交候选供应商名单，以及根据采购人委托直接确定成交供应商；</w:t>
      </w:r>
    </w:p>
    <w:p w14:paraId="21CCA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25.4.5向采购人、财政局采购办和采购代理机构或者有关部门报告磋商中发现的违法行为。</w:t>
      </w:r>
    </w:p>
    <w:p w14:paraId="6C6E9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25.5磋商小组和有关工作人员不得透露对响应文件的评审和比较以及与磋商有关的其他情况。</w:t>
      </w:r>
    </w:p>
    <w:p w14:paraId="64B70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25.6磋商小组将按照磋商文件中确定的评标方法和评标标准进行磋商。</w:t>
      </w:r>
    </w:p>
    <w:p w14:paraId="3F607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25.7磋商小组对磋商文件中描述有歧义或前后不一致的地方，有权进行评判，但对同一条款的评判应适用于每个磋商供应商。</w:t>
      </w:r>
    </w:p>
    <w:p w14:paraId="50348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磋商中因磋商小组成员缺席、回避或者健康等特殊原因导致磋商小组成员不符合相关法律法规规定的，采购人和采购代理机构工作人员应当依法补足后继续磋商。被更换的磋商小组成员所作出的评审意见无效。</w:t>
      </w:r>
    </w:p>
    <w:p w14:paraId="2E39A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25.9无法及时补足磋商小组成员的，采购人或者采购人和采购代理机构工作人员应当停止评标活动，封存所有响应文件和开标、磋商资料，依法重新组建磋商小组进行磋商。</w:t>
      </w:r>
    </w:p>
    <w:p w14:paraId="28460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25.10采购人和采购代理机构工作人员应当将变更、重新组建评磋商小组的情况予以记录，并随采购文件一并存档。</w:t>
      </w:r>
    </w:p>
    <w:p w14:paraId="05FB1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26磋商过程</w:t>
      </w:r>
    </w:p>
    <w:p w14:paraId="23BDE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26.1符合性审查</w:t>
      </w:r>
    </w:p>
    <w:p w14:paraId="4B1AD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388A7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26.2磋商</w:t>
      </w:r>
    </w:p>
    <w:p w14:paraId="78B22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26.2.1磋商小组所有成员集中与单一供应商分别进行线上磋商，并给予所有参加磋商的供应商平等的磋商机会。</w:t>
      </w:r>
    </w:p>
    <w:p w14:paraId="5D621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75F68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26.2.4供应商的报价出现前后不一致的情况，磋商小组将要求供应商根据磋商文件要求修正报价。修正后的报价经供应商确认后具有约束力，供应商不确认的，其响应无效。</w:t>
      </w:r>
    </w:p>
    <w:p w14:paraId="2958D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26.2.5报价按照下列规定修正：</w:t>
      </w:r>
    </w:p>
    <w:p w14:paraId="7C1EC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26.2.5.1响应文件中报价一览表（首次报价表）内容与响应文件中相应内容不一致的，以报价一览表（首次报价表）为准；</w:t>
      </w:r>
    </w:p>
    <w:p w14:paraId="54D2F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26.2.5.2大写金额和小写金额不一致的，以大写金额为准；</w:t>
      </w:r>
    </w:p>
    <w:p w14:paraId="1C0E9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26.2.5.3单价金额小数点或者百分比有明显错位的，以报价一览表的总价为准，并修改单价；</w:t>
      </w:r>
    </w:p>
    <w:p w14:paraId="2D145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26.2.5.4总价金额与按单价汇总金额不一致的，以单价金额计算结果为准。</w:t>
      </w:r>
    </w:p>
    <w:p w14:paraId="24F8C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26.2.5.5同时出现两种以上不一致的，按照前款规定的顺序修正。</w:t>
      </w:r>
    </w:p>
    <w:p w14:paraId="6E9FB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26.2.6在磋商过程中，磋商小组可以根据磋商文件和磋商情况实质性变动采购需求中的技术、服务要求以及合同草案条款，但不得变动磋商文件中的其他内容。实质性变动的内容，须经采购人代表确认。</w:t>
      </w:r>
    </w:p>
    <w:p w14:paraId="79B17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331F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11F74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26.2.9在磋商过程中，供应商提交的澄清文件和最终响应文件，由供应商法定代表人或其授权代表签署后生效，供应商应受其约束。</w:t>
      </w:r>
    </w:p>
    <w:p w14:paraId="39453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26.3已提交响应文件的供应商，在提交最后报价之前，可以根据磋商情况退出磋商。未作最后报价供应商视为自动退出磋商。供应商下轮报价可与上轮报价一致。</w:t>
      </w:r>
    </w:p>
    <w:p w14:paraId="7D3A4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26.4招标代理工作人员对磋商过程和重要磋商内容进行记录。</w:t>
      </w:r>
    </w:p>
    <w:p w14:paraId="26EEA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27最后报价</w:t>
      </w:r>
    </w:p>
    <w:p w14:paraId="70B5B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26.1.磋商结束后，作出实质性响应的供应商应在规定的时间内提交最后报价（最后报价时间视磋商进程由磋商小组决定）。</w:t>
      </w:r>
    </w:p>
    <w:p w14:paraId="0FDCA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28评标方法</w:t>
      </w:r>
    </w:p>
    <w:p w14:paraId="6A99C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682F3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综合得分＝商务得分+技术得分+磋商报价得分</w:t>
      </w:r>
    </w:p>
    <w:p w14:paraId="2085B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28.2商务、技术评分</w:t>
      </w:r>
    </w:p>
    <w:p w14:paraId="342EA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28.2.1磋商小组对供应商的商务、技术状况及响应程度进行评议和比较，并依据评分标准，评出其商务、技术评分。详细评分标准见磋商须知第七部分《评分标准》。</w:t>
      </w:r>
    </w:p>
    <w:p w14:paraId="089E7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28.3磋商报价评分</w:t>
      </w:r>
    </w:p>
    <w:p w14:paraId="29F1D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45455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磋商报价得分=（磋商基准价/最后磋商报价）×价格权重×100</w:t>
      </w:r>
    </w:p>
    <w:p w14:paraId="2E16A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28.4小微企业（监狱企业、残疾人福利性单位视同小微企业）价格扣除（仅非预留份额的采购项目或者采购包适用）</w:t>
      </w:r>
    </w:p>
    <w:p w14:paraId="73304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3119B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28.4.2接受大中型企业与小微企业组成联合体的采购项目，对联合协议约定小微企业的合同份额占到合同总金额30%以上的，对联合体的报价给予1%的扣除，用扣除后的价格参加评审。</w:t>
      </w:r>
    </w:p>
    <w:p w14:paraId="200ED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65CF1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458BD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28.4.5组成联合体或者接受分包的小微企业与联合体内其他企业、分包企业之间存在直接控股、管理关系的，不享受价格扣除优惠政策。</w:t>
      </w:r>
    </w:p>
    <w:p w14:paraId="420BC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28.4.6依据《政府采购促进中小企业发展管理办法》（财库〔2020〕46号）规定享受扶持政策的小微企业，不得将合同分包给大中型企业。</w:t>
      </w:r>
    </w:p>
    <w:p w14:paraId="1F0CB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28.5节能产品、环境标志产品政府采购政策执行</w:t>
      </w:r>
    </w:p>
    <w:p w14:paraId="7F783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C8F6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0CC70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价格项加分：</w:t>
      </w:r>
    </w:p>
    <w:p w14:paraId="440C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1、（节能清单部分产品的价格/投标报价）×3%×价格项满分值</w:t>
      </w:r>
    </w:p>
    <w:p w14:paraId="613A7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2、（环境清单部分产品的价格/投标报价）×3%×价格项满分值</w:t>
      </w:r>
    </w:p>
    <w:p w14:paraId="48055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技术项加分：</w:t>
      </w:r>
    </w:p>
    <w:p w14:paraId="5D6CF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1、（节能清单部分产品的价格/投标报价）×3%×技术项满分值</w:t>
      </w:r>
    </w:p>
    <w:p w14:paraId="3D1CE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2、（环境清单部分产品的价格/投标报价）×3%×技术项满分值</w:t>
      </w:r>
    </w:p>
    <w:p w14:paraId="445E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注：1、供应商须提供最新一期《节能产品政府采购清单》关于投标产品当前页的打印件；</w:t>
      </w:r>
    </w:p>
    <w:p w14:paraId="12964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2、供应商提供最新一期《环境标志产品政府采购清单》关于投标产品当前页的打印件；</w:t>
      </w:r>
    </w:p>
    <w:p w14:paraId="019A6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29授标与定标原则</w:t>
      </w:r>
    </w:p>
    <w:p w14:paraId="110D0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059C9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0AC94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29.3推荐综合得分排名第一的供应商为第一成交候选供应商，排名第二的供应商为第二成交候选供应商，排名第三的供应商为第三成交候选供应商。</w:t>
      </w:r>
    </w:p>
    <w:p w14:paraId="6CA16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29.4根据磋商小组的磋商结果，采购人在评标报告推荐的成交候选供应商中按顺序依法确定1名成交供应商。</w:t>
      </w:r>
    </w:p>
    <w:p w14:paraId="7BB65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采购代理机构在评标结束后2个工作日内将评标报告送达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00324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30成交通知书</w:t>
      </w:r>
    </w:p>
    <w:p w14:paraId="33631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30.1招标代理机构工作人员自成交供应商确定之日起2个工作日内，在磋商文件指定的媒体上发布成交公告，成交结果公告期限为3个工作日。同时向成交供应商发出《成交通知书》。</w:t>
      </w:r>
    </w:p>
    <w:p w14:paraId="33BCE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成交通知书》是合同的一个组成部分，《成交通知书》对采购人和成交供应商均具有同等的法律效力；《成交通知书》发出后，采购人改变成交结果，或者成交供应商放弃成交资格，应当承担相应的法律责任。</w:t>
      </w:r>
    </w:p>
    <w:p w14:paraId="3CE3F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30.3《成交通知书》将作为授予合同资格的合法依据，是合同的一个组成部分。</w:t>
      </w:r>
    </w:p>
    <w:p w14:paraId="5839B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30.4成交供应商为享受中小企业扶持政策的小微企业及视同小微企业的残疾人福利性单位的，采购代理机构工作人员随成交结果同时公告其《中小企业声明函》、《残疾人福利性单位声明函》，接受社会监督。</w:t>
      </w:r>
    </w:p>
    <w:p w14:paraId="05812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31废标</w:t>
      </w:r>
    </w:p>
    <w:p w14:paraId="05610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31.1在采购活动中，出现下列情形之一的，应予废标：</w:t>
      </w:r>
    </w:p>
    <w:p w14:paraId="2DAF5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31.1.1因情况变化，不再符合规定的竞争性磋商采购方式适用情形的；</w:t>
      </w:r>
    </w:p>
    <w:p w14:paraId="46C0A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31.1.2出现影响采购公正的违法、违规行为的；</w:t>
      </w:r>
    </w:p>
    <w:p w14:paraId="766D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31.1.3除本须知25.2.8规定的情形外，在采购过程中符合要求的供应商或者报价未超过采购预算的供应商不足3家的。</w:t>
      </w:r>
    </w:p>
    <w:p w14:paraId="4B7E6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32询问、质疑、投诉</w:t>
      </w:r>
    </w:p>
    <w:p w14:paraId="18245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32.1询问</w:t>
      </w:r>
    </w:p>
    <w:p w14:paraId="6F5E5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32.1.1供应商对政府采购活动事项（磋商文件、采购过程、成交或者成交结果）有疑问的，可以向采购人或者采购代理机构提出询问，询问可以口头方式提出，也可以书面方式提出。</w:t>
      </w:r>
    </w:p>
    <w:p w14:paraId="7688D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32.1.2采购人或者采购代理机构在三个工作日内对供应商依法提出的询问作出答复。</w:t>
      </w:r>
    </w:p>
    <w:p w14:paraId="0918C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w:t>
      </w:r>
    </w:p>
    <w:p w14:paraId="2AFE86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32.2.1提出质疑的供应商应当是参与所质疑项目采购活动的供应商。潜在供应商依法获取其可质疑的采购文件的，可以对采购文件提出质疑。</w:t>
      </w:r>
    </w:p>
    <w:p w14:paraId="418BC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74B8C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32.2.2.1对可以质疑的采购文件提出质疑的，为收到采购文件之日或者采购文件公告期限届满之日；</w:t>
      </w:r>
    </w:p>
    <w:p w14:paraId="29DDB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32.2.2.2对采购过程提出质疑的，为各采购程序环节结束之日；</w:t>
      </w:r>
    </w:p>
    <w:p w14:paraId="10C53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32.2.2.3对中标或者成交结果提出质疑的，为中标或者成交结果公告期限届满之日。</w:t>
      </w:r>
    </w:p>
    <w:p w14:paraId="22A4E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4E429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质疑函必须按照本招标文件中《质疑函范本》要求的格式和内容进行填写。供应商如组成联合体参加投标，则《质疑函范本》中要求签字、盖章、加盖公章之处，联合体各方均须按要求签字、盖章、加盖公章。</w:t>
      </w:r>
    </w:p>
    <w:p w14:paraId="47878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32.4采购人只接收以纸质原件形式送达的质疑。</w:t>
      </w:r>
    </w:p>
    <w:p w14:paraId="0824C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质疑接收人：</w:t>
      </w:r>
      <w:r>
        <w:rPr>
          <w:rFonts w:hint="eastAsia" w:ascii="宋体" w:hAnsi="宋体" w:eastAsia="宋体" w:cs="宋体"/>
          <w:b w:val="0"/>
          <w:bCs w:val="0"/>
          <w:sz w:val="24"/>
          <w:szCs w:val="24"/>
          <w:highlight w:val="none"/>
          <w:lang w:val="en-US" w:eastAsia="zh-CN"/>
        </w:rPr>
        <w:t>新疆维吾尔自治区水利厅</w:t>
      </w:r>
    </w:p>
    <w:p w14:paraId="79BFB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联系地址：新疆乌鲁木齐市</w:t>
      </w:r>
    </w:p>
    <w:p w14:paraId="5D0AC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联系人：詹翔</w:t>
      </w:r>
    </w:p>
    <w:p w14:paraId="210D3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联系电话：0991-5850997</w:t>
      </w:r>
    </w:p>
    <w:p w14:paraId="3F0A5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32.5以下情形的质疑不予受理</w:t>
      </w:r>
    </w:p>
    <w:p w14:paraId="2CB28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32.5.1内容不符合《政府采购质疑和投诉办法》第十二条规定的质疑。</w:t>
      </w:r>
    </w:p>
    <w:p w14:paraId="445B3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32.5.2超出政府采购法定期限的质疑。</w:t>
      </w:r>
    </w:p>
    <w:p w14:paraId="64E29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32.5.3以传真、电子邮件等方式递交的非原件形式的质疑。</w:t>
      </w:r>
    </w:p>
    <w:p w14:paraId="47E74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32.5.4未参加投标活动的供应商或在投标活动中自身权益未受到损害的供应商所提出的质疑。</w:t>
      </w:r>
    </w:p>
    <w:p w14:paraId="11C25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32.5.5供应商组成联合体参加投标，联合体中任何一方或多方未按要求签字、盖章、加盖公章的质疑。</w:t>
      </w:r>
    </w:p>
    <w:p w14:paraId="1CABC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32.5.6无具体质疑事项内容，或未提供有效线索，难以查证的。</w:t>
      </w:r>
    </w:p>
    <w:p w14:paraId="027CD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32.5.7所质疑事项已进行处理，或正在行政复议、仲裁、诉讼、投诉等其他程序的。</w:t>
      </w:r>
    </w:p>
    <w:p w14:paraId="2B230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32.5.8不属于本中心管辖范围的质疑。</w:t>
      </w:r>
    </w:p>
    <w:p w14:paraId="71BA0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66BB7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32.3投诉</w:t>
      </w:r>
    </w:p>
    <w:p w14:paraId="29D84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62ABA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32.3.3.1捏造事实；</w:t>
      </w:r>
    </w:p>
    <w:p w14:paraId="4CC8B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32.3.3.2提供虚假材料；</w:t>
      </w:r>
    </w:p>
    <w:p w14:paraId="718EB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32.3.3.3以非法手段取得证明材料。证据来源的合法性存在明显疑问，投诉人无法证明其取得方式合法的，视为以非法手段取得证明材料。</w:t>
      </w:r>
    </w:p>
    <w:p w14:paraId="15091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33特别说明</w:t>
      </w:r>
    </w:p>
    <w:p w14:paraId="42C8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33.1有下列情形之一的，视为供应商串通投标，其响应无效：</w:t>
      </w:r>
    </w:p>
    <w:p w14:paraId="72EC5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33.1.1不同供应商的响应文件由同一单位或者个人编制；</w:t>
      </w:r>
    </w:p>
    <w:p w14:paraId="0CD7F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33.1.2不同供应商委托同一单位或者个人办理投标事宜；</w:t>
      </w:r>
    </w:p>
    <w:p w14:paraId="4C819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33.1.3不同供应商的响应文件载明的项目管理成员或者联系人员为同一人；</w:t>
      </w:r>
    </w:p>
    <w:p w14:paraId="2FB3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33.1.4不同供应商的响应文件异常一致或者磋商报价呈规律性差异；</w:t>
      </w:r>
    </w:p>
    <w:p w14:paraId="16FF1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33.1.5不同供应商的响应文件相互混装；</w:t>
      </w:r>
    </w:p>
    <w:p w14:paraId="7B716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33.1.6不同供应商的磋商保证金从同一单位或者个人的账户转出。</w:t>
      </w:r>
    </w:p>
    <w:p w14:paraId="6A859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33.2供应商存在下列情况之一的，其响应无效：</w:t>
      </w:r>
    </w:p>
    <w:p w14:paraId="3CD7C7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33.2.1未按照磋商文件的规定提交磋商保证金的；</w:t>
      </w:r>
    </w:p>
    <w:p w14:paraId="3DB8E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33.2.2响应文件未按磋商文件要求签署、盖章及响应文件的份数、编制不符合磋商文件要求的；</w:t>
      </w:r>
    </w:p>
    <w:p w14:paraId="53B2F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33.2.3不具备磋商文件中规定的资格要求的；</w:t>
      </w:r>
    </w:p>
    <w:p w14:paraId="650EF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33.2.4报价超过磋商文件中规定的预算金额或者最高限价的；</w:t>
      </w:r>
    </w:p>
    <w:p w14:paraId="3F78E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33.2.5响应文件含有采购人不能接受的附加条件的；</w:t>
      </w:r>
    </w:p>
    <w:p w14:paraId="70772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33.2.6法律、法规和磋商文件规定的其他无效情形。</w:t>
      </w:r>
    </w:p>
    <w:p w14:paraId="42245E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六、授予合同</w:t>
      </w:r>
    </w:p>
    <w:p w14:paraId="5AF0F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34合同的订立</w:t>
      </w:r>
    </w:p>
    <w:p w14:paraId="38C9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34.1采购人应当自成交通知书发出之日起三十日内，按照磋商文件和成交供应商响应文件的约定，与成交供应商签订书面合同。所签订的合同不得对磋商文件和成交供应商响应文件作实质性修改。</w:t>
      </w:r>
    </w:p>
    <w:p w14:paraId="6FDF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34.2采购人不得向成交供应商提出任何不合理的要求，作为签订合同的条件，不得与成交供应商私下订立背离合同实质性内容的协议。</w:t>
      </w:r>
    </w:p>
    <w:p w14:paraId="2B708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34.3自政府采购合同签订之日起两个工作日内，采购人应将政府采购合同在省级以上人民政府财政部门指定的媒体上公告，但政府采购合同中涉及国家秘密、商业秘密的内容除外。</w:t>
      </w:r>
    </w:p>
    <w:p w14:paraId="63E38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34.4政府采购合同签订之日起七个工作日内，采购人应将政府采购合同副本报同级监管部门备案和有关部门备案。</w:t>
      </w:r>
    </w:p>
    <w:p w14:paraId="0E424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35合同的履行</w:t>
      </w:r>
    </w:p>
    <w:p w14:paraId="1AA36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71109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1537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69D0C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36验收</w:t>
      </w:r>
    </w:p>
    <w:p w14:paraId="7F0EE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36.1采购人应当及时对采购项目进行验收。采购人可以邀请参加本项目的其他供应商或者第三方机构参与验收。参与验收的供应商或者第三方机构的意见作为验收书的参考资料一并存档。</w:t>
      </w:r>
    </w:p>
    <w:p w14:paraId="2A97F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36.2在验收时，供应商应向采购人提供工程的相关资料，按采购人提出的方式验收。</w:t>
      </w:r>
    </w:p>
    <w:p w14:paraId="30859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36.3由采购人对工程的质量、规格和数量及其他进行检验。如发现质量、规格和数量等任何一项与磋商文件要求规定不符，采购人有权拒绝接受。</w:t>
      </w:r>
    </w:p>
    <w:p w14:paraId="0ACAF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36.4采购人应当加强对成交供应商的履约管理，并按照采购合同约定，及时向成交供应商支付采购资金。对于成交供应商违反采购合同约定的行为，采购人应当及时处理，依法追究其违约责任。</w:t>
      </w:r>
    </w:p>
    <w:p w14:paraId="36381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七、评审标准</w:t>
      </w:r>
    </w:p>
    <w:p w14:paraId="37FCD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37资格性审查表</w:t>
      </w:r>
    </w:p>
    <w:tbl>
      <w:tblPr>
        <w:tblStyle w:val="17"/>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816"/>
        <w:gridCol w:w="5998"/>
        <w:gridCol w:w="2503"/>
      </w:tblGrid>
      <w:tr w14:paraId="4DD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noWrap w:val="0"/>
            <w:vAlign w:val="center"/>
          </w:tcPr>
          <w:p w14:paraId="79722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序号</w:t>
            </w:r>
          </w:p>
        </w:tc>
        <w:tc>
          <w:tcPr>
            <w:tcW w:w="417" w:type="pct"/>
            <w:noWrap w:val="0"/>
            <w:vAlign w:val="center"/>
          </w:tcPr>
          <w:p w14:paraId="74770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评审因素</w:t>
            </w:r>
          </w:p>
        </w:tc>
        <w:tc>
          <w:tcPr>
            <w:tcW w:w="3065" w:type="pct"/>
            <w:noWrap w:val="0"/>
            <w:vAlign w:val="center"/>
          </w:tcPr>
          <w:p w14:paraId="6D61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评审标准</w:t>
            </w:r>
          </w:p>
        </w:tc>
        <w:tc>
          <w:tcPr>
            <w:tcW w:w="1279" w:type="pct"/>
            <w:noWrap w:val="0"/>
            <w:vAlign w:val="center"/>
          </w:tcPr>
          <w:p w14:paraId="75CBC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要求说明</w:t>
            </w:r>
          </w:p>
        </w:tc>
      </w:tr>
      <w:tr w14:paraId="70AA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38" w:type="pct"/>
            <w:noWrap w:val="0"/>
            <w:vAlign w:val="center"/>
          </w:tcPr>
          <w:p w14:paraId="1B978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1</w:t>
            </w:r>
          </w:p>
        </w:tc>
        <w:tc>
          <w:tcPr>
            <w:tcW w:w="417" w:type="pct"/>
            <w:noWrap w:val="0"/>
            <w:vAlign w:val="center"/>
          </w:tcPr>
          <w:p w14:paraId="56BB6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基本条件</w:t>
            </w:r>
          </w:p>
        </w:tc>
        <w:tc>
          <w:tcPr>
            <w:tcW w:w="3065" w:type="pct"/>
            <w:noWrap w:val="0"/>
            <w:vAlign w:val="center"/>
          </w:tcPr>
          <w:p w14:paraId="5DDA7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满足《中华人民共和国政府采购法》第二十二条规定。</w:t>
            </w:r>
          </w:p>
          <w:p w14:paraId="40667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(一)具有独立承担民事责任的能力；</w:t>
            </w:r>
          </w:p>
          <w:p w14:paraId="2E69F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(二)具有良好的商业信誉和健全的财务会计制度；</w:t>
            </w:r>
          </w:p>
          <w:p w14:paraId="73D3E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(三)具有履行合同所必需的设备和专业技术能力；</w:t>
            </w:r>
          </w:p>
          <w:p w14:paraId="63A91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(四)有依法缴纳税收和社会保障资金的良好记录；</w:t>
            </w:r>
          </w:p>
          <w:p w14:paraId="699AD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(五)参加政府采购活动近三年内，在经营活动中没有重大违法记录；</w:t>
            </w:r>
          </w:p>
          <w:p w14:paraId="1CF60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(六)法律、行政法规规定的其他条件。</w:t>
            </w:r>
          </w:p>
        </w:tc>
        <w:tc>
          <w:tcPr>
            <w:tcW w:w="1279" w:type="pct"/>
            <w:noWrap w:val="0"/>
            <w:vAlign w:val="center"/>
          </w:tcPr>
          <w:p w14:paraId="0616F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（一）项需提供材料内容：有效的营业执照；</w:t>
            </w:r>
          </w:p>
          <w:p w14:paraId="0E481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（二）项需提供材料内容：提供</w:t>
            </w:r>
            <w:r>
              <w:rPr>
                <w:rFonts w:hint="eastAsia" w:asciiTheme="minorEastAsia" w:hAnsiTheme="minorEastAsia" w:cstheme="minorEastAsia"/>
                <w:b w:val="0"/>
                <w:bCs/>
                <w:color w:val="auto"/>
                <w:kern w:val="0"/>
                <w:sz w:val="24"/>
                <w:szCs w:val="24"/>
                <w:highlight w:val="none"/>
                <w:vertAlign w:val="baseline"/>
                <w:lang w:val="en-US" w:eastAsia="zh-CN"/>
              </w:rPr>
              <w:t>2024年或2025</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年度经第三方审计的财务审计报告复印件，新成立的公司需提供成立至今财务报表或银行出具的资信证明复印件。</w:t>
            </w:r>
          </w:p>
          <w:p w14:paraId="4B5AB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（三）项需提供材料内容：</w:t>
            </w:r>
            <w:r>
              <w:rPr>
                <w:rFonts w:hint="default" w:asciiTheme="minorEastAsia" w:hAnsiTheme="minorEastAsia" w:eastAsiaTheme="minorEastAsia" w:cstheme="minorEastAsia"/>
                <w:b w:val="0"/>
                <w:bCs/>
                <w:color w:val="auto"/>
                <w:kern w:val="0"/>
                <w:sz w:val="24"/>
                <w:szCs w:val="24"/>
                <w:highlight w:val="none"/>
                <w:vertAlign w:val="baseline"/>
                <w:lang w:val="en-US" w:eastAsia="zh-CN"/>
              </w:rPr>
              <w:t>根据项目需求提供履行合同所必需的设备和专业技术能力的证明材料或加盖单位</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电子</w:t>
            </w:r>
            <w:r>
              <w:rPr>
                <w:rFonts w:hint="default" w:asciiTheme="minorEastAsia" w:hAnsiTheme="minorEastAsia" w:eastAsiaTheme="minorEastAsia" w:cstheme="minorEastAsia"/>
                <w:b w:val="0"/>
                <w:bCs/>
                <w:color w:val="auto"/>
                <w:kern w:val="0"/>
                <w:sz w:val="24"/>
                <w:szCs w:val="24"/>
                <w:highlight w:val="none"/>
                <w:vertAlign w:val="baseline"/>
                <w:lang w:val="en-US" w:eastAsia="zh-CN"/>
              </w:rPr>
              <w:t>章的书面承诺函</w:t>
            </w:r>
          </w:p>
          <w:p w14:paraId="6BA33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w:t>
            </w:r>
          </w:p>
          <w:p w14:paraId="5CD64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（四）项需提供材料内容：</w:t>
            </w:r>
            <w:r>
              <w:rPr>
                <w:rFonts w:hint="eastAsia" w:asciiTheme="minorEastAsia" w:hAnsiTheme="minorEastAsia" w:cstheme="minorEastAsia"/>
                <w:b w:val="0"/>
                <w:bCs/>
                <w:color w:val="auto"/>
                <w:kern w:val="0"/>
                <w:sz w:val="24"/>
                <w:szCs w:val="24"/>
                <w:highlight w:val="none"/>
                <w:vertAlign w:val="baseline"/>
                <w:lang w:val="en-US" w:eastAsia="zh-CN"/>
              </w:rPr>
              <w:t>6</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个月内任意一个月纳税凭证或完税证明及近</w:t>
            </w:r>
            <w:r>
              <w:rPr>
                <w:rFonts w:hint="eastAsia" w:asciiTheme="minorEastAsia" w:hAnsiTheme="minorEastAsia" w:cstheme="minorEastAsia"/>
                <w:b w:val="0"/>
                <w:bCs/>
                <w:color w:val="auto"/>
                <w:kern w:val="0"/>
                <w:sz w:val="24"/>
                <w:szCs w:val="24"/>
                <w:highlight w:val="none"/>
                <w:vertAlign w:val="baseline"/>
                <w:lang w:val="en-US" w:eastAsia="zh-CN"/>
              </w:rPr>
              <w:t>6</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个月内任意一个月社会保险缴纳证明材料。</w:t>
            </w:r>
          </w:p>
          <w:p w14:paraId="1CC58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（五）项需提供材料内容：</w:t>
            </w:r>
            <w:r>
              <w:rPr>
                <w:rFonts w:hint="default" w:asciiTheme="minorEastAsia" w:hAnsiTheme="minorEastAsia" w:eastAsiaTheme="minorEastAsia" w:cstheme="minorEastAsia"/>
                <w:b w:val="0"/>
                <w:bCs/>
                <w:color w:val="auto"/>
                <w:kern w:val="0"/>
                <w:sz w:val="24"/>
                <w:szCs w:val="24"/>
                <w:highlight w:val="none"/>
                <w:vertAlign w:val="baseline"/>
                <w:lang w:val="en-US" w:eastAsia="zh-CN"/>
              </w:rPr>
              <w:t>提供参加本次政府采购活动前3年内在经营活动中没有重大违法记录承诺函</w:t>
            </w:r>
          </w:p>
        </w:tc>
      </w:tr>
      <w:tr w14:paraId="30B1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238" w:type="pct"/>
            <w:noWrap w:val="0"/>
            <w:vAlign w:val="center"/>
          </w:tcPr>
          <w:p w14:paraId="7D7AD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2</w:t>
            </w:r>
          </w:p>
        </w:tc>
        <w:tc>
          <w:tcPr>
            <w:tcW w:w="417" w:type="pct"/>
            <w:noWrap w:val="0"/>
            <w:vAlign w:val="center"/>
          </w:tcPr>
          <w:p w14:paraId="53389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落实政府采购政策需满足的资格要求</w:t>
            </w:r>
          </w:p>
        </w:tc>
        <w:tc>
          <w:tcPr>
            <w:tcW w:w="3065" w:type="pct"/>
            <w:noWrap w:val="0"/>
            <w:vAlign w:val="center"/>
          </w:tcPr>
          <w:p w14:paraId="5545D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本项目为非专门面向中小企业（含中型、小型、微型企业）采购项目</w:t>
            </w:r>
          </w:p>
          <w:p w14:paraId="0B03B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p>
        </w:tc>
        <w:tc>
          <w:tcPr>
            <w:tcW w:w="1279" w:type="pct"/>
            <w:noWrap w:val="0"/>
            <w:vAlign w:val="center"/>
          </w:tcPr>
          <w:p w14:paraId="40D6C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请根据要求单独上传《中小企业声明函》。格式以采购文件要求为准。</w:t>
            </w:r>
          </w:p>
        </w:tc>
      </w:tr>
      <w:tr w14:paraId="21E1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38" w:type="pct"/>
            <w:noWrap w:val="0"/>
            <w:vAlign w:val="center"/>
          </w:tcPr>
          <w:p w14:paraId="75E75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cstheme="minorEastAsia"/>
                <w:b w:val="0"/>
                <w:bCs/>
                <w:color w:val="auto"/>
                <w:kern w:val="0"/>
                <w:sz w:val="24"/>
                <w:szCs w:val="24"/>
                <w:highlight w:val="none"/>
                <w:vertAlign w:val="baseline"/>
                <w:lang w:val="en-US" w:eastAsia="zh-CN"/>
              </w:rPr>
              <w:t>3</w:t>
            </w:r>
          </w:p>
        </w:tc>
        <w:tc>
          <w:tcPr>
            <w:tcW w:w="417" w:type="pct"/>
            <w:noWrap w:val="0"/>
            <w:vAlign w:val="center"/>
          </w:tcPr>
          <w:p w14:paraId="59E9C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宋体" w:hAnsi="宋体" w:eastAsia="宋体" w:cs="宋体"/>
                <w:b w:val="0"/>
                <w:bCs w:val="0"/>
                <w:sz w:val="24"/>
                <w:szCs w:val="24"/>
                <w:highlight w:val="none"/>
                <w:lang w:val="en-US" w:eastAsia="zh-CN"/>
              </w:rPr>
              <w:t>特殊资质要求</w:t>
            </w:r>
          </w:p>
        </w:tc>
        <w:tc>
          <w:tcPr>
            <w:tcW w:w="3065" w:type="pct"/>
            <w:noWrap w:val="0"/>
            <w:vAlign w:val="center"/>
          </w:tcPr>
          <w:p w14:paraId="2EB86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5657F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②单位负责人为同一人或者存在直接控股、管理关系的不同供应商，不得参加同一合同项下的政府采购活动。</w:t>
            </w:r>
          </w:p>
          <w:p w14:paraId="0935F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zh-CN"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③与招标人存在利害关系可能影响招标公正性的法人、其他组织或个人，不得参加投标。</w:t>
            </w:r>
          </w:p>
        </w:tc>
        <w:tc>
          <w:tcPr>
            <w:tcW w:w="1279" w:type="pct"/>
            <w:noWrap w:val="0"/>
            <w:vAlign w:val="center"/>
          </w:tcPr>
          <w:p w14:paraId="13F60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提供</w:t>
            </w:r>
            <w:r>
              <w:rPr>
                <w:rFonts w:hint="eastAsia" w:asciiTheme="minorEastAsia" w:hAnsiTheme="minorEastAsia" w:cstheme="minorEastAsia"/>
                <w:bCs/>
                <w:color w:val="auto"/>
                <w:kern w:val="0"/>
                <w:sz w:val="24"/>
                <w:highlight w:val="none"/>
                <w:lang w:val="en-US" w:eastAsia="zh-CN"/>
              </w:rPr>
              <w:t>有</w:t>
            </w:r>
            <w:r>
              <w:rPr>
                <w:rFonts w:hint="eastAsia" w:asciiTheme="minorEastAsia" w:hAnsiTheme="minorEastAsia" w:eastAsiaTheme="minorEastAsia" w:cstheme="minorEastAsia"/>
                <w:b w:val="0"/>
                <w:bCs/>
                <w:color w:val="auto"/>
                <w:kern w:val="0"/>
                <w:sz w:val="24"/>
                <w:szCs w:val="24"/>
                <w:highlight w:val="none"/>
                <w:vertAlign w:val="baseline"/>
                <w:lang w:val="zh-CN" w:eastAsia="zh-CN"/>
              </w:rPr>
              <w:t>关证明材料</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或承诺函（网页截图以现场查询为准）</w:t>
            </w:r>
          </w:p>
        </w:tc>
      </w:tr>
    </w:tbl>
    <w:tbl>
      <w:tblPr>
        <w:tblStyle w:val="18"/>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3"/>
      </w:tblGrid>
      <w:tr w14:paraId="0A0B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18B65C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7684A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38符合性审查表</w:t>
      </w:r>
    </w:p>
    <w:tbl>
      <w:tblPr>
        <w:tblStyle w:val="18"/>
        <w:tblW w:w="10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478"/>
      </w:tblGrid>
      <w:tr w14:paraId="750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68C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9478" w:type="dxa"/>
            <w:vAlign w:val="center"/>
          </w:tcPr>
          <w:p w14:paraId="08A25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标准</w:t>
            </w:r>
          </w:p>
        </w:tc>
      </w:tr>
      <w:tr w14:paraId="23A2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C7B6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478" w:type="dxa"/>
            <w:vAlign w:val="center"/>
          </w:tcPr>
          <w:p w14:paraId="337A97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磋商报价是否按照采购文件格式填写，且未超过采购预算（最高限价），并按要求签署、盖章</w:t>
            </w:r>
          </w:p>
        </w:tc>
      </w:tr>
      <w:tr w14:paraId="426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48C9D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9478" w:type="dxa"/>
            <w:vAlign w:val="center"/>
          </w:tcPr>
          <w:p w14:paraId="686C1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名称是否与营业执照一致</w:t>
            </w:r>
          </w:p>
        </w:tc>
      </w:tr>
      <w:tr w14:paraId="322A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A4C2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9478" w:type="dxa"/>
            <w:vAlign w:val="center"/>
          </w:tcPr>
          <w:p w14:paraId="55890F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eastAsia="zh-CN"/>
              </w:rPr>
              <w:t>响应文件按照采购文件规定要求签署、盖章</w:t>
            </w:r>
          </w:p>
        </w:tc>
      </w:tr>
      <w:tr w14:paraId="421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585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9478" w:type="dxa"/>
            <w:vAlign w:val="center"/>
          </w:tcPr>
          <w:p w14:paraId="70F41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按照采购文件要求</w:t>
            </w:r>
            <w:r>
              <w:rPr>
                <w:rFonts w:hint="eastAsia" w:asciiTheme="minorEastAsia" w:hAnsiTheme="minorEastAsia" w:eastAsiaTheme="minorEastAsia" w:cstheme="minorEastAsia"/>
                <w:color w:val="auto"/>
                <w:kern w:val="0"/>
                <w:sz w:val="24"/>
                <w:szCs w:val="24"/>
                <w:highlight w:val="none"/>
              </w:rPr>
              <w:t>交纳</w:t>
            </w:r>
            <w:r>
              <w:rPr>
                <w:rFonts w:hint="eastAsia" w:asciiTheme="minorEastAsia" w:hAnsiTheme="minorEastAsia" w:eastAsiaTheme="minorEastAsia" w:cstheme="minorEastAsia"/>
                <w:color w:val="auto"/>
                <w:kern w:val="0"/>
                <w:sz w:val="24"/>
                <w:szCs w:val="24"/>
                <w:highlight w:val="none"/>
                <w:lang w:eastAsia="zh-CN"/>
              </w:rPr>
              <w:t>磋商保证金或电子保函</w:t>
            </w:r>
          </w:p>
        </w:tc>
      </w:tr>
      <w:tr w14:paraId="557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161C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9478" w:type="dxa"/>
            <w:vAlign w:val="center"/>
          </w:tcPr>
          <w:p w14:paraId="773815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磋商有效期、合同履约期限满足采购文件要求</w:t>
            </w:r>
          </w:p>
        </w:tc>
      </w:tr>
      <w:tr w14:paraId="6B7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E893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9478" w:type="dxa"/>
            <w:vAlign w:val="center"/>
          </w:tcPr>
          <w:p w14:paraId="478077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的有效性、完整性是否响应</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文件要求，是否响应</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文件的实质性要求</w:t>
            </w:r>
            <w:r>
              <w:rPr>
                <w:rFonts w:hint="eastAsia" w:asciiTheme="minorEastAsia" w:hAnsiTheme="minorEastAsia" w:eastAsiaTheme="minorEastAsia" w:cstheme="minorEastAsia"/>
                <w:color w:val="auto"/>
                <w:kern w:val="0"/>
                <w:sz w:val="24"/>
                <w:szCs w:val="24"/>
                <w:highlight w:val="none"/>
                <w:lang w:eastAsia="zh-CN"/>
              </w:rPr>
              <w:t>和条款</w:t>
            </w:r>
          </w:p>
        </w:tc>
      </w:tr>
      <w:tr w14:paraId="2EE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7" w:type="dxa"/>
            <w:gridSpan w:val="2"/>
            <w:vAlign w:val="center"/>
          </w:tcPr>
          <w:p w14:paraId="71CB23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由磋商小组对符合资格的各供应商响应文件进行符合性审查，如果供应商有一项未通过上述审查标准，磋商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14:paraId="4DAB1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1315B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39评分标准</w:t>
      </w:r>
    </w:p>
    <w:p w14:paraId="7C5A5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满足招磋商文件要求且最后投标价格最低的投标报价为磋商基准价，磋商报价得分=（磋商基准价／最后磋商报价）×价格权值×100，计算分数时四舍五入取小数点后两位。【说明：商务标部分满分25</w:t>
      </w:r>
      <w:bookmarkStart w:id="196" w:name="_GoBack"/>
      <w:bookmarkEnd w:id="196"/>
      <w:r>
        <w:rPr>
          <w:rFonts w:hint="eastAsia" w:ascii="宋体" w:hAnsi="宋体" w:eastAsia="宋体" w:cs="宋体"/>
          <w:sz w:val="24"/>
          <w:szCs w:val="24"/>
          <w:highlight w:val="none"/>
          <w:lang w:val="en-US" w:eastAsia="zh-CN"/>
        </w:rPr>
        <w:t>分，技术标部分满分65分，经济标部分满分10分。】</w:t>
      </w:r>
    </w:p>
    <w:tbl>
      <w:tblPr>
        <w:tblStyle w:val="1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50"/>
        <w:gridCol w:w="512"/>
        <w:gridCol w:w="6311"/>
      </w:tblGrid>
      <w:tr w14:paraId="1BA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7D00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一、经济标（10分）</w:t>
            </w:r>
          </w:p>
        </w:tc>
      </w:tr>
      <w:tr w14:paraId="659C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6C3C40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磋商报价</w:t>
            </w:r>
          </w:p>
        </w:tc>
        <w:tc>
          <w:tcPr>
            <w:tcW w:w="2150" w:type="dxa"/>
            <w:vAlign w:val="center"/>
          </w:tcPr>
          <w:p w14:paraId="09B81B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价格部分（10分）</w:t>
            </w:r>
          </w:p>
        </w:tc>
        <w:tc>
          <w:tcPr>
            <w:tcW w:w="6823" w:type="dxa"/>
            <w:gridSpan w:val="2"/>
          </w:tcPr>
          <w:p w14:paraId="25939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下同）磋商报价得分=（磋商基准价/最后磋商报价）×价格权重×100%</w:t>
            </w:r>
          </w:p>
        </w:tc>
      </w:tr>
      <w:tr w14:paraId="2F95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6512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二、商务标（25分）</w:t>
            </w:r>
          </w:p>
        </w:tc>
      </w:tr>
      <w:tr w14:paraId="11C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11B8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2150" w:type="dxa"/>
            <w:vAlign w:val="center"/>
          </w:tcPr>
          <w:p w14:paraId="638B6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评审项目</w:t>
            </w:r>
          </w:p>
        </w:tc>
        <w:tc>
          <w:tcPr>
            <w:tcW w:w="512" w:type="dxa"/>
            <w:vAlign w:val="center"/>
          </w:tcPr>
          <w:p w14:paraId="5D62C6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分值</w:t>
            </w:r>
          </w:p>
        </w:tc>
        <w:tc>
          <w:tcPr>
            <w:tcW w:w="6311" w:type="dxa"/>
            <w:vAlign w:val="center"/>
          </w:tcPr>
          <w:p w14:paraId="6DCB88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评审内容</w:t>
            </w:r>
          </w:p>
        </w:tc>
      </w:tr>
      <w:tr w14:paraId="39DE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5493C4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50" w:type="dxa"/>
            <w:vAlign w:val="center"/>
          </w:tcPr>
          <w:p w14:paraId="244EA0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业绩</w:t>
            </w:r>
          </w:p>
        </w:tc>
        <w:tc>
          <w:tcPr>
            <w:tcW w:w="512" w:type="dxa"/>
            <w:vAlign w:val="center"/>
          </w:tcPr>
          <w:p w14:paraId="30F96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6311" w:type="dxa"/>
            <w:vAlign w:val="center"/>
          </w:tcPr>
          <w:p w14:paraId="50F0EF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需提供自2021年1月1日起至今所承担过与本项目类似业绩的，提供一项得2分，最多得4分；（须提供中标（成交）通知书或合同扫描件并加盖公章）</w:t>
            </w:r>
          </w:p>
        </w:tc>
      </w:tr>
      <w:tr w14:paraId="3C5C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7A4B60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50" w:type="dxa"/>
            <w:vAlign w:val="center"/>
          </w:tcPr>
          <w:p w14:paraId="7C17E5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人员团队</w:t>
            </w:r>
          </w:p>
        </w:tc>
        <w:tc>
          <w:tcPr>
            <w:tcW w:w="512" w:type="dxa"/>
            <w:vAlign w:val="center"/>
          </w:tcPr>
          <w:p w14:paraId="5E6E6D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6311" w:type="dxa"/>
            <w:vAlign w:val="center"/>
          </w:tcPr>
          <w:p w14:paraId="5CC549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服务团队：在满足磋商文件要求的前提下，根据项目团队人员数量是否充足、项目团队人员配置是否合理、项目参与人员工作经验情况等几方面进行综合评价。 </w:t>
            </w:r>
          </w:p>
          <w:p w14:paraId="3A24E2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1、项目经理具备软件设计师、软件工程师、系统集成项目管理工程师的，每提供一项得1分，最高得3分，未提供不得分；</w:t>
            </w:r>
          </w:p>
          <w:p w14:paraId="6FB2E2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2、技术负责人具备信息系统项目管理师、大数据高级工程师、注册信息安全管理人员证书的，每提供一项得1分，最高得3分，未提供不得分；</w:t>
            </w:r>
          </w:p>
          <w:p w14:paraId="421DCB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3、安全负责人具有软件评测师、信息安全工程师、数据库系统工程师证书的，每提供一项得1分，最高得3分，未提供不得分；</w:t>
            </w:r>
          </w:p>
          <w:p w14:paraId="763A1F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4、运维负责人系统规划与管理师、系统集成项目管理工程师、大数据分析师证书的，每提供一项得1分，最高得3分，未提供不得分；</w:t>
            </w:r>
          </w:p>
          <w:p w14:paraId="17E57C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注：以上人员提供相关有效证书扫描件、身份证和在投标截止日前6个月内任意一个月的在职社保证明材料扫描件，并加盖公章，否则不得分。</w:t>
            </w:r>
          </w:p>
        </w:tc>
      </w:tr>
      <w:tr w14:paraId="108F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F80EC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150" w:type="dxa"/>
            <w:vAlign w:val="center"/>
          </w:tcPr>
          <w:p w14:paraId="314D29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企业实力</w:t>
            </w:r>
          </w:p>
        </w:tc>
        <w:tc>
          <w:tcPr>
            <w:tcW w:w="512" w:type="dxa"/>
            <w:vAlign w:val="center"/>
          </w:tcPr>
          <w:p w14:paraId="585708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6311" w:type="dxa"/>
            <w:vAlign w:val="center"/>
          </w:tcPr>
          <w:p w14:paraId="77C2E851">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投标人具有基础体系认证（3分，按项得分，提供一个得1分），①质量管理体系认证证书得1分；②信息安全管理体系认证证书得1分；③知识产权合规管理体系认证证书得1分。</w:t>
            </w:r>
          </w:p>
          <w:p w14:paraId="03E1E93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投标人能力认证（3分，按项得分），</w:t>
            </w:r>
          </w:p>
          <w:p w14:paraId="61CC71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① 投标人具有信息系统建设和服务能力等级证书(良好级CS3级及以上)得1.5分；CS3级以下得0.5分；②投标人具有信息技术服务标准符合性证书(运行维护二级及以上)得1.5分；二级以下得0.5分；</w:t>
            </w:r>
          </w:p>
          <w:p w14:paraId="491C6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3、投标人具有二级及以上CCRC信息安全服务资质认证证书范围包含（软件安全开发）、二级及以上CCRC信息安全服务资质认证范围包含（信息系统安全运维），每提供1个证书得1分，满分2分。</w:t>
            </w:r>
          </w:p>
          <w:p w14:paraId="3919B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4、投标人具有SDCA软件服务商交付能力证书的得1分</w:t>
            </w:r>
          </w:p>
          <w:p w14:paraId="5AA7B5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注：相应文件中提供以上相关证书复印件或证明文件加盖公章。</w:t>
            </w:r>
          </w:p>
        </w:tc>
      </w:tr>
      <w:tr w14:paraId="26AB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F46A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三、技术标（65分）</w:t>
            </w:r>
          </w:p>
        </w:tc>
      </w:tr>
      <w:tr w14:paraId="049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97" w:type="dxa"/>
            <w:vAlign w:val="center"/>
          </w:tcPr>
          <w:p w14:paraId="631341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2150" w:type="dxa"/>
            <w:vAlign w:val="center"/>
          </w:tcPr>
          <w:p w14:paraId="2F9D1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评审项目</w:t>
            </w:r>
          </w:p>
        </w:tc>
        <w:tc>
          <w:tcPr>
            <w:tcW w:w="512" w:type="dxa"/>
            <w:vAlign w:val="center"/>
          </w:tcPr>
          <w:p w14:paraId="5E1E4D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分值</w:t>
            </w:r>
          </w:p>
        </w:tc>
        <w:tc>
          <w:tcPr>
            <w:tcW w:w="6311" w:type="dxa"/>
            <w:vAlign w:val="center"/>
          </w:tcPr>
          <w:p w14:paraId="6D339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评审内容</w:t>
            </w:r>
          </w:p>
        </w:tc>
      </w:tr>
      <w:tr w14:paraId="7A16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4BA20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w:t>
            </w:r>
          </w:p>
        </w:tc>
        <w:tc>
          <w:tcPr>
            <w:tcW w:w="2150" w:type="dxa"/>
            <w:shd w:val="clear" w:color="auto" w:fill="auto"/>
            <w:vAlign w:val="center"/>
          </w:tcPr>
          <w:p w14:paraId="70FEFD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实施方案</w:t>
            </w:r>
          </w:p>
          <w:p w14:paraId="5EEB5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p>
        </w:tc>
        <w:tc>
          <w:tcPr>
            <w:tcW w:w="512" w:type="dxa"/>
            <w:shd w:val="clear" w:color="auto" w:fill="auto"/>
            <w:vAlign w:val="center"/>
          </w:tcPr>
          <w:p w14:paraId="06692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23</w:t>
            </w:r>
          </w:p>
        </w:tc>
        <w:tc>
          <w:tcPr>
            <w:tcW w:w="6311" w:type="dxa"/>
            <w:shd w:val="clear" w:color="auto" w:fill="auto"/>
            <w:vAlign w:val="center"/>
          </w:tcPr>
          <w:p w14:paraId="77F24E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根据供应商提供针对本项目制定的项目实施方案，供应商应提供详细、可行的实施方案，明确</w:t>
            </w:r>
            <w:r>
              <w:rPr>
                <w:rFonts w:hint="eastAsia" w:ascii="宋体" w:hAnsi="宋体" w:eastAsia="宋体" w:cs="宋体"/>
                <w:sz w:val="24"/>
                <w:highlight w:val="none"/>
              </w:rPr>
              <w:t>水利建设工程电子招投标行政监管平台</w:t>
            </w:r>
            <w:r>
              <w:rPr>
                <w:rFonts w:hint="eastAsia" w:ascii="宋体" w:hAnsi="宋体" w:eastAsia="宋体" w:cs="宋体"/>
                <w:sz w:val="24"/>
                <w:highlight w:val="none"/>
                <w:lang w:val="en-US" w:eastAsia="zh-CN"/>
              </w:rPr>
              <w:t>建设方案</w:t>
            </w:r>
            <w:r>
              <w:rPr>
                <w:rFonts w:hint="eastAsia" w:ascii="宋体" w:hAnsi="宋体" w:eastAsia="宋体" w:cs="宋体"/>
                <w:sz w:val="24"/>
                <w:highlight w:val="none"/>
                <w:lang w:eastAsia="zh-CN"/>
              </w:rPr>
              <w:t>（</w:t>
            </w:r>
            <w:r>
              <w:rPr>
                <w:rFonts w:hint="eastAsia" w:ascii="宋体" w:hAnsi="宋体" w:eastAsia="宋体" w:cs="宋体"/>
                <w:sz w:val="24"/>
                <w:szCs w:val="24"/>
                <w:highlight w:val="none"/>
                <w:vertAlign w:val="baseline"/>
                <w:lang w:val="en-US" w:eastAsia="zh-CN"/>
              </w:rPr>
              <w:t>方案需涵盖技术路线、界面设计、功能设计）、</w:t>
            </w:r>
            <w:r>
              <w:rPr>
                <w:rFonts w:hint="eastAsia" w:ascii="宋体" w:hAnsi="宋体" w:eastAsia="宋体" w:cs="宋体"/>
                <w:sz w:val="24"/>
                <w:highlight w:val="none"/>
                <w:lang w:val="en-US" w:eastAsia="zh-CN"/>
              </w:rPr>
              <w:t>数据资源建设方案</w:t>
            </w:r>
            <w:r>
              <w:rPr>
                <w:rFonts w:hint="eastAsia" w:ascii="宋体" w:hAnsi="宋体" w:eastAsia="宋体" w:cs="宋体"/>
                <w:sz w:val="24"/>
                <w:szCs w:val="24"/>
                <w:highlight w:val="none"/>
                <w:vertAlign w:val="baseline"/>
                <w:lang w:val="en-US" w:eastAsia="zh-CN"/>
              </w:rPr>
              <w:t xml:space="preserve">等。 </w:t>
            </w:r>
          </w:p>
          <w:p w14:paraId="4B9453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①项目实施方案内容完善、清晰，合理、可行程度高的得23分； </w:t>
            </w:r>
          </w:p>
          <w:p w14:paraId="212BAC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②项目实施方案内容较完善、较清晰，较合理、可行程度较高的得17分。 </w:t>
            </w:r>
          </w:p>
          <w:p w14:paraId="58AE93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④项目实施方案可行程度一般的得11分； </w:t>
            </w:r>
          </w:p>
          <w:p w14:paraId="4C10C1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⑤项目实施方案不完整得5分；</w:t>
            </w:r>
          </w:p>
          <w:p w14:paraId="6FF9B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⑥不提供不得分。</w:t>
            </w:r>
          </w:p>
        </w:tc>
      </w:tr>
      <w:tr w14:paraId="68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7" w:type="dxa"/>
            <w:shd w:val="clear" w:color="auto" w:fill="auto"/>
            <w:vAlign w:val="center"/>
          </w:tcPr>
          <w:p w14:paraId="1B93E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50" w:type="dxa"/>
            <w:shd w:val="clear" w:color="auto" w:fill="auto"/>
            <w:vAlign w:val="center"/>
          </w:tcPr>
          <w:p w14:paraId="4BB32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 xml:space="preserve">售后服务方案 </w:t>
            </w:r>
          </w:p>
        </w:tc>
        <w:tc>
          <w:tcPr>
            <w:tcW w:w="512" w:type="dxa"/>
            <w:shd w:val="clear" w:color="auto" w:fill="auto"/>
            <w:vAlign w:val="center"/>
          </w:tcPr>
          <w:p w14:paraId="1C0D8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6311" w:type="dxa"/>
            <w:shd w:val="clear" w:color="auto" w:fill="auto"/>
            <w:vAlign w:val="center"/>
          </w:tcPr>
          <w:p w14:paraId="3753AB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1、供应商应建立完善的售后服务方案，包括服务保障体系、服务内容、故障响应时间等情况。 </w:t>
            </w:r>
          </w:p>
          <w:p w14:paraId="7DA8A5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①方案描述完整全面、理解清晰、切实可行、具备先进性、可扩展性及可靠性得15 分; </w:t>
            </w:r>
          </w:p>
          <w:p w14:paraId="6F801C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②方案描述较全面、理解较清晰、可行性较强得10分 </w:t>
            </w:r>
          </w:p>
          <w:p w14:paraId="0B6B41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③方案描述基本完整，理解基本清晰，基本可行得6分； </w:t>
            </w:r>
          </w:p>
          <w:p w14:paraId="00DB31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④方案内容有欠缺、分析不合理得2分； </w:t>
            </w:r>
          </w:p>
          <w:p w14:paraId="7E615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⑤不提供方案的不得分。</w:t>
            </w:r>
          </w:p>
          <w:p w14:paraId="5BBF9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2.供应商无失信记录、信誉良好，且提供本地驻场服务承诺得2分；未提供得0分。</w:t>
            </w:r>
          </w:p>
        </w:tc>
      </w:tr>
      <w:tr w14:paraId="4201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232C2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150" w:type="dxa"/>
            <w:shd w:val="clear" w:color="auto" w:fill="auto"/>
            <w:vAlign w:val="center"/>
          </w:tcPr>
          <w:p w14:paraId="17553B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应急措施方案</w:t>
            </w:r>
          </w:p>
        </w:tc>
        <w:tc>
          <w:tcPr>
            <w:tcW w:w="512" w:type="dxa"/>
            <w:shd w:val="clear" w:color="auto" w:fill="auto"/>
            <w:vAlign w:val="center"/>
          </w:tcPr>
          <w:p w14:paraId="629CE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6311" w:type="dxa"/>
            <w:shd w:val="clear" w:color="auto" w:fill="auto"/>
            <w:vAlign w:val="center"/>
          </w:tcPr>
          <w:p w14:paraId="2BF7805E">
            <w:pPr>
              <w:keepNext w:val="0"/>
              <w:keepLines w:val="0"/>
              <w:widowControl/>
              <w:suppressLineNumbers w:val="0"/>
              <w:jc w:val="left"/>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投标人提供应急预案，应包括：①应急管理制度；②应急响应及报告 机制；③应急处置流程；④突发事件应急预案。涵盖以上内容且不存在缺陷得 12分，在此基础上，每缺少一项内容扣3分；每项中有一处内容存在缺陷扣1分，直至该项3分扣完为止。</w:t>
            </w:r>
          </w:p>
        </w:tc>
      </w:tr>
      <w:tr w14:paraId="001E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0EB832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150" w:type="dxa"/>
            <w:shd w:val="clear" w:color="auto" w:fill="auto"/>
            <w:vAlign w:val="center"/>
          </w:tcPr>
          <w:p w14:paraId="499E6D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培训服务方案 </w:t>
            </w:r>
          </w:p>
        </w:tc>
        <w:tc>
          <w:tcPr>
            <w:tcW w:w="512" w:type="dxa"/>
            <w:shd w:val="clear" w:color="auto" w:fill="auto"/>
            <w:vAlign w:val="center"/>
          </w:tcPr>
          <w:p w14:paraId="5FD33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6311" w:type="dxa"/>
            <w:shd w:val="clear" w:color="auto" w:fill="auto"/>
            <w:vAlign w:val="center"/>
          </w:tcPr>
          <w:p w14:paraId="61997AC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投标人提供培训服务方案，应包括：①培训计划；②培训内容及方式；③培训人员配置；④培训效果保障</w:t>
            </w:r>
          </w:p>
          <w:p w14:paraId="3348C81E">
            <w:pPr>
              <w:keepNext w:val="0"/>
              <w:keepLines w:val="0"/>
              <w:widowControl/>
              <w:suppressLineNumbers w:val="0"/>
              <w:jc w:val="left"/>
              <w:rPr>
                <w:rFonts w:hint="eastAsia" w:ascii="仿宋" w:hAnsi="仿宋" w:eastAsia="仿宋" w:cs="仿宋"/>
                <w:kern w:val="0"/>
                <w:sz w:val="24"/>
                <w:highlight w:val="none"/>
                <w:lang w:bidi="ar"/>
              </w:rPr>
            </w:pPr>
            <w:r>
              <w:rPr>
                <w:rFonts w:hint="eastAsia" w:ascii="宋体" w:hAnsi="宋体" w:eastAsia="宋体" w:cs="宋体"/>
                <w:color w:val="000000"/>
                <w:kern w:val="0"/>
                <w:sz w:val="24"/>
                <w:szCs w:val="24"/>
                <w:highlight w:val="none"/>
                <w:lang w:val="en-US" w:eastAsia="zh-CN" w:bidi="ar"/>
              </w:rPr>
              <w:t>涵盖以上内容且不存在缺陷得 12分，在此基础上，每缺少一项内容扣 3 分；每项中有一处内容存在缺陷扣1分，直至该项3分扣完为止。</w:t>
            </w:r>
          </w:p>
        </w:tc>
      </w:tr>
      <w:tr w14:paraId="466B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5337C3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150" w:type="dxa"/>
            <w:shd w:val="clear" w:color="auto" w:fill="auto"/>
            <w:vAlign w:val="center"/>
          </w:tcPr>
          <w:p w14:paraId="315D19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技术实力</w:t>
            </w:r>
          </w:p>
        </w:tc>
        <w:tc>
          <w:tcPr>
            <w:tcW w:w="512" w:type="dxa"/>
            <w:shd w:val="clear" w:color="auto" w:fill="auto"/>
            <w:vAlign w:val="center"/>
          </w:tcPr>
          <w:p w14:paraId="30BAD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6311" w:type="dxa"/>
            <w:shd w:val="clear" w:color="auto" w:fill="auto"/>
            <w:vAlign w:val="center"/>
          </w:tcPr>
          <w:p w14:paraId="2BCD1D09">
            <w:pPr>
              <w:pStyle w:val="45"/>
              <w:rPr>
                <w:sz w:val="24"/>
                <w:szCs w:val="32"/>
                <w:highlight w:val="none"/>
              </w:rPr>
            </w:pPr>
            <w:r>
              <w:rPr>
                <w:rFonts w:hint="eastAsia" w:ascii="宋体" w:hAnsi="宋体" w:eastAsia="宋体" w:cs="宋体"/>
                <w:color w:val="000000"/>
                <w:kern w:val="0"/>
                <w:sz w:val="24"/>
                <w:highlight w:val="none"/>
                <w:lang w:bidi="ar"/>
              </w:rPr>
              <w:t>投标人取得国家版权局颁发的计算机软件著作权登记证书且证书名称包含</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工程建设招投标</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电子监管</w:t>
            </w:r>
            <w:r>
              <w:rPr>
                <w:rFonts w:hint="eastAsia" w:ascii="宋体" w:hAnsi="宋体" w:eastAsia="宋体" w:cs="宋体"/>
                <w:color w:val="000000"/>
                <w:kern w:val="0"/>
                <w:sz w:val="24"/>
                <w:highlight w:val="none"/>
                <w:lang w:eastAsia="zh-CN" w:bidi="ar"/>
              </w:rPr>
              <w:t>”、“监督预警”</w:t>
            </w:r>
            <w:r>
              <w:rPr>
                <w:rFonts w:hint="eastAsia"/>
                <w:sz w:val="24"/>
                <w:szCs w:val="32"/>
                <w:highlight w:val="none"/>
              </w:rPr>
              <w:t>关键词，每具备一个材料得1分，最多得</w:t>
            </w:r>
            <w:r>
              <w:rPr>
                <w:rFonts w:hint="eastAsia"/>
                <w:sz w:val="24"/>
                <w:szCs w:val="32"/>
                <w:highlight w:val="none"/>
                <w:lang w:eastAsia="zh-CN"/>
              </w:rPr>
              <w:t>3</w:t>
            </w:r>
            <w:r>
              <w:rPr>
                <w:rFonts w:hint="eastAsia"/>
                <w:sz w:val="24"/>
                <w:szCs w:val="32"/>
                <w:highlight w:val="none"/>
              </w:rPr>
              <w:t>分。同一证明材料只计一次分，不得重复计分。</w:t>
            </w:r>
          </w:p>
          <w:p w14:paraId="45D19C45">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hint="eastAsia"/>
                <w:sz w:val="24"/>
                <w:szCs w:val="32"/>
                <w:highlight w:val="none"/>
              </w:rPr>
              <w:t>注：提供证书</w:t>
            </w:r>
            <w:r>
              <w:rPr>
                <w:rFonts w:hint="eastAsia"/>
                <w:sz w:val="24"/>
                <w:szCs w:val="32"/>
                <w:highlight w:val="none"/>
                <w:lang w:val="en-US" w:eastAsia="zh-CN"/>
              </w:rPr>
              <w:t>扫描件作为作证。</w:t>
            </w:r>
          </w:p>
        </w:tc>
      </w:tr>
    </w:tbl>
    <w:p w14:paraId="1DE56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注：1、磋商小组以供应商总分由高到低排序，得分最高为第一成交候选</w:t>
      </w:r>
      <w:r>
        <w:rPr>
          <w:rFonts w:hint="eastAsia" w:ascii="宋体" w:hAnsi="宋体" w:eastAsia="宋体" w:cs="宋体"/>
          <w:sz w:val="24"/>
          <w:szCs w:val="24"/>
          <w:lang w:val="en-US" w:eastAsia="zh-CN"/>
        </w:rPr>
        <w:t>人，如果出现供应商最终得分相同的情况，磋商报价低者排名顺序优先在前，以此类推，确定出前三名作为成交候选人推荐给采购人，采购人从三名成交候选人中确定出最终的成交人。</w:t>
      </w:r>
    </w:p>
    <w:p w14:paraId="315B8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808B3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63134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2" w:name="_Toc28489"/>
      <w:r>
        <w:rPr>
          <w:rFonts w:hint="eastAsia" w:ascii="宋体" w:hAnsi="宋体" w:eastAsia="宋体" w:cs="宋体"/>
          <w:sz w:val="28"/>
          <w:szCs w:val="28"/>
          <w:lang w:val="en-US" w:eastAsia="zh-CN"/>
        </w:rPr>
        <w:t>第三章  服务要求</w:t>
      </w:r>
      <w:bookmarkEnd w:id="2"/>
    </w:p>
    <w:p w14:paraId="5D96B701">
      <w:pPr>
        <w:pStyle w:val="3"/>
        <w:jc w:val="left"/>
        <w:rPr>
          <w:rFonts w:hint="eastAsia" w:asciiTheme="minorEastAsia" w:hAnsiTheme="minorEastAsia" w:eastAsiaTheme="minorEastAsia" w:cstheme="minorEastAsia"/>
          <w:b w:val="0"/>
          <w:bCs w:val="0"/>
          <w:kern w:val="2"/>
          <w:sz w:val="24"/>
          <w:szCs w:val="24"/>
          <w:highlight w:val="none"/>
          <w:lang w:val="en-US" w:eastAsia="zh-CN" w:bidi="ar-SA"/>
        </w:rPr>
      </w:pPr>
      <w:bookmarkStart w:id="3" w:name="_Toc6219"/>
      <w:bookmarkStart w:id="4" w:name="_Toc12274"/>
      <w:bookmarkStart w:id="5" w:name="_Toc31702"/>
      <w:r>
        <w:rPr>
          <w:rFonts w:hint="eastAsia" w:asciiTheme="minorEastAsia" w:hAnsiTheme="minorEastAsia" w:eastAsiaTheme="minorEastAsia" w:cstheme="minorEastAsia"/>
          <w:b w:val="0"/>
          <w:bCs w:val="0"/>
          <w:kern w:val="2"/>
          <w:sz w:val="24"/>
          <w:szCs w:val="24"/>
          <w:highlight w:val="none"/>
          <w:lang w:val="en-US" w:eastAsia="zh-CN" w:bidi="ar-SA"/>
        </w:rPr>
        <w:t>一、水利建设工程电子招投标行政监管平台</w:t>
      </w:r>
    </w:p>
    <w:p w14:paraId="63BF715D">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统一信息发布与展示</w:t>
      </w:r>
    </w:p>
    <w:p w14:paraId="345CC0F2">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信息发布管理</w:t>
      </w:r>
    </w:p>
    <w:p w14:paraId="6F5946F6">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支持通知公告、新闻动态、行业动态三类内容的全流程管理，包含内容的编辑、审核、发布、修改、下架等操作，实现水利招投标相关资讯的及时更新与维护。</w:t>
      </w:r>
    </w:p>
    <w:p w14:paraId="4EE971E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搭建标准化政策法规库，按国家政策法规、自治区政策法规进行分类存储与管理，支持政策文件的批量上传、检索、更新。</w:t>
      </w:r>
    </w:p>
    <w:p w14:paraId="7F46BF8F">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所有发布内容支持按标题、关键字、发布时间等维度进行筛选，便于后台管理人员快速定位与管理各类信息。</w:t>
      </w:r>
    </w:p>
    <w:p w14:paraId="4C60F4C7">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门户展示</w:t>
      </w:r>
    </w:p>
    <w:p w14:paraId="254BC87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实现全终端适配的信息动态展示，覆盖各地州水利招投标相关信息，保障不同终端均可查看平台发布的全部内容。</w:t>
      </w:r>
    </w:p>
    <w:p w14:paraId="3421BF72">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提供多维度分类信息检索与查询功能，支持按通知公告、政策法规、政策解读、接口规范等信息类型、时间范围、关键字组合检索。</w:t>
      </w:r>
    </w:p>
    <w:p w14:paraId="50A8734F">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门户首页设置核心信息推荐区，展示最新、重要的通知公告、政策法规及行业动态。</w:t>
      </w:r>
    </w:p>
    <w:p w14:paraId="0D70FC5F">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招投标项目全过程备案审核功能</w:t>
      </w:r>
    </w:p>
    <w:p w14:paraId="6CDEE655">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项目备案与校准流程</w:t>
      </w:r>
    </w:p>
    <w:p w14:paraId="13C07DD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代理机构可在线填报招标项目全量信息，包含项目名称、工程类型、所在行政区域、招标人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代理机构信息及联系方式等项目基本信息、招标人及代理机构资质信息、招标人银行账户名称、开户行、账号</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财务信息、项目属性、招标内容与范围、招标方式、组织形式、项目建立时间</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招标核心信息，同时支持标段名称、分类、内容、投标人资格条件、交易系统、合同估算价、最高限价、计划开工日期、工期等标段信息的新增与填报，</w:t>
      </w:r>
      <w:r>
        <w:rPr>
          <w:rFonts w:hint="eastAsia" w:asciiTheme="minorEastAsia" w:hAnsiTheme="minorEastAsia" w:eastAsiaTheme="minorEastAsia" w:cstheme="minorEastAsia"/>
          <w:sz w:val="24"/>
          <w:szCs w:val="24"/>
          <w:highlight w:val="none"/>
          <w:lang w:val="en-US" w:eastAsia="zh-CN"/>
        </w:rPr>
        <w:t>以星号区分是否必填，并配备校验规则</w:t>
      </w:r>
      <w:r>
        <w:rPr>
          <w:rFonts w:hint="eastAsia" w:asciiTheme="minorEastAsia" w:hAnsiTheme="minorEastAsia" w:eastAsiaTheme="minorEastAsia" w:cstheme="minorEastAsia"/>
          <w:sz w:val="24"/>
          <w:szCs w:val="24"/>
          <w:highlight w:val="none"/>
        </w:rPr>
        <w:t>。</w:t>
      </w:r>
    </w:p>
    <w:p w14:paraId="2FC3AAE4">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监督部门可在线查看项目备案信息，完成进场交易的核准审批，实现备案与核准的线上闭环。</w:t>
      </w:r>
    </w:p>
    <w:p w14:paraId="134EA576">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文件与过程管理</w:t>
      </w:r>
    </w:p>
    <w:p w14:paraId="597467DD">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支持招标文件、澄清修改文件的在线上传、备案提交，监督部门在线审核备案，审核通过后完成备案登记，未通过则反馈修改意见，实现文件备案的线上化。</w:t>
      </w:r>
    </w:p>
    <w:p w14:paraId="7FABD1C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招标人/代理机构可在线上传招投标活动中的异议处理相关材料及最终结果，提交监督部门备案，保障异议处理过程可追溯。</w:t>
      </w:r>
    </w:p>
    <w:p w14:paraId="7B69398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招标人可在线填报并上传招标投标书面情况报告，包含招标过程、评标结果、中标候选人等核心内容，监督部门在线审核报告的完整性与合规性，审核通过后完成备案。</w:t>
      </w:r>
    </w:p>
    <w:p w14:paraId="432FEC1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平台自动生成招标项目台账，展示项目编号、项目名称、招标人、代理机构、创建时间、备案状态等信息，支持按招标项目名称、编号、工程类型等维度查询、筛选，便于管理人员快速查看项目进展。</w:t>
      </w:r>
    </w:p>
    <w:p w14:paraId="3FCADA6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支持项目立项或批准文件、招标事项核准意见书、工程建设项目登记表、营业执照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组织机构代码证书等相关材料的在线上传，同时支持材料的预览与下载。</w:t>
      </w:r>
    </w:p>
    <w:p w14:paraId="5CEA19A7">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在线审核与状态跟踪</w:t>
      </w:r>
    </w:p>
    <w:p w14:paraId="79F334E1">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w:t>
      </w:r>
      <w:r>
        <w:rPr>
          <w:rFonts w:hint="eastAsia" w:asciiTheme="minorEastAsia" w:hAnsiTheme="minorEastAsia" w:eastAsiaTheme="minorEastAsia" w:cstheme="minorEastAsia"/>
          <w:sz w:val="24"/>
          <w:szCs w:val="24"/>
          <w:highlight w:val="none"/>
          <w:lang w:val="en-US" w:eastAsia="zh-CN"/>
        </w:rPr>
        <w:t>管</w:t>
      </w:r>
      <w:r>
        <w:rPr>
          <w:rFonts w:hint="eastAsia" w:asciiTheme="minorEastAsia" w:hAnsiTheme="minorEastAsia" w:eastAsiaTheme="minorEastAsia" w:cstheme="minorEastAsia"/>
          <w:sz w:val="24"/>
          <w:szCs w:val="24"/>
          <w:highlight w:val="none"/>
        </w:rPr>
        <w:t>人员可在线签收备案申请、查看项目全量信息及上传材料，支持通过、退回</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审核操作，退回时需填写具体修改意见，实现审核过程的线上化。</w:t>
      </w:r>
    </w:p>
    <w:p w14:paraId="1798104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招标项目备案、招标文件备案、异议处理备案、书面报告备案等各环节设置清晰状态标识，状态随审核操作实时更新，招标人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代理机构与监督部门可同步查看。</w:t>
      </w:r>
    </w:p>
    <w:p w14:paraId="34C37B25">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平台记录项目备案全流程操作信息，包含操作人、操作时间、操作内容、审核意见等，同时支持查看项目提交的所有材料附件及历史修改内容。</w:t>
      </w:r>
    </w:p>
    <w:p w14:paraId="3092DCA8">
      <w:pPr>
        <w:bidi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对各审核环节设置办理时限，平台展示办理剩余时间，对超期未处理的项目进行标识。</w:t>
      </w:r>
    </w:p>
    <w:p w14:paraId="079AD5A0">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在线投诉处理功能</w:t>
      </w:r>
    </w:p>
    <w:p w14:paraId="7CD96F72">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市场主体服务端</w:t>
      </w:r>
    </w:p>
    <w:p w14:paraId="055D8865">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人可通过平台门户进入投诉举报模块，按流程填写投诉信息，包含类型、角色、单位、统一社会信用代码、联系地址、联系人及证件信息、法定代表人信息等投诉人信息、被投诉人信息、投诉具体内容，同时支持上传投诉相关证明材料，平台自动生成标准投诉书。</w:t>
      </w:r>
    </w:p>
    <w:p w14:paraId="77B9C3E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若投诉材料不完整，投诉人可根据监督部门反馈的补正要求，在线补充上传相关材料，完成材料补正后重新提交。</w:t>
      </w:r>
    </w:p>
    <w:p w14:paraId="709AC89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投诉人在投诉处理完成前，可根据实际情况在线提交撤诉申请，平台记录撤诉申请信息并同步至监督部门。</w:t>
      </w:r>
    </w:p>
    <w:p w14:paraId="3015C2C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监督部门发布的投诉受理通知、处理决定等函件，投诉人可在线查看、签收并提交回执，实现函件传递的线上化。</w:t>
      </w:r>
    </w:p>
    <w:p w14:paraId="767F51B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投诉人可通过投诉查询功能，输入相关关键字查看投诉事项的处理状态、办理进度及处理结果。</w:t>
      </w:r>
    </w:p>
    <w:p w14:paraId="60DDE92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平台内置投诉受理条件校验规则，对非项目参与者、投诉事项不具体、未署真实姓名</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加盖公章、超投诉时效等不符合受理条件的投诉进行提示，不予受理并说明原因。</w:t>
      </w:r>
    </w:p>
    <w:p w14:paraId="56D22464">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监管处理端</w:t>
      </w:r>
    </w:p>
    <w:p w14:paraId="21CCBB6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平台接收投诉人提交的投诉信息，生成投诉编号，完成投诉事项的线上登记，记录投诉时间、投诉事项、招标项目名称等核心信息。</w:t>
      </w:r>
    </w:p>
    <w:p w14:paraId="0FC494C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监督部门管理人员可根据投诉事项所属地区、业务类型，将投诉处理任务分派至对应经办人员。</w:t>
      </w:r>
    </w:p>
    <w:p w14:paraId="415FA056">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经办人员在线查看投诉材料，对投诉事项进行合规性审查，作出受理、不予受理、补正材料的处理决定，并将决定及理由同步至投诉人端。</w:t>
      </w:r>
    </w:p>
    <w:p w14:paraId="241095C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支持投诉处理过程中调查、取证、约谈等环节的信息在线记录，可上传调查材料、取证文件等，实现处理过程的标准化、可追溯。</w:t>
      </w:r>
    </w:p>
    <w:p w14:paraId="37C8B3CD">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经办人员根据调查结果在线制作投诉处理决定，明确处理意见及依据，反馈至投诉人端，同时同步被投诉人相关信息。</w:t>
      </w:r>
    </w:p>
    <w:p w14:paraId="2B1F60C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投诉处理完成后，平台将投诉书、证明材料、处理过程记录、处理决定等投诉全流程资料进行归档，形成标准化投诉档案，支持按投诉编号、项目名称、投诉时间等维度检索与查阅。</w:t>
      </w:r>
    </w:p>
    <w:p w14:paraId="4199F96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平台生成投诉处理台账，展示投诉编号、投诉事项、项目名称、投诉时间、处理状态、当前操作人、办理剩余时间等信息，支持超期未处理、投诉人申请撤诉等特殊状态的筛选，同时支持投诉数据的导出。</w:t>
      </w:r>
    </w:p>
    <w:p w14:paraId="445D79FB">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全过程监督预警功能</w:t>
      </w:r>
    </w:p>
    <w:p w14:paraId="1CEF0229">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监督规则库管理</w:t>
      </w:r>
    </w:p>
    <w:p w14:paraId="6263E3B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预警信息发送管理</w:t>
      </w:r>
    </w:p>
    <w:p w14:paraId="1BBE03A2">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站内消息提醒、短信预警两种方式，可单独或组合勾选，满足不同场景下的预警触达需求。提供文本输入框，支持自定义预警内容，可结合项目名称、监督点类型、违规情况等信息，生成针对性预警通知。提供“短信预警”复选框，开启后可同步向接收人发送短信提醒。</w:t>
      </w:r>
    </w:p>
    <w:p w14:paraId="1178D1F5">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站内消息模板管理</w:t>
      </w:r>
    </w:p>
    <w:p w14:paraId="4BC3E436">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提供“模板管理”按钮，支持对常用预警内容进行标准化模板配置，提升预警发送效率。可选择已配置的站内消息模板，自动填充预警内容，减少重复编辑，同时支持对模板内容进行临时修改。</w:t>
      </w:r>
    </w:p>
    <w:p w14:paraId="4B5E26A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接收人管理与项目关联</w:t>
      </w:r>
    </w:p>
    <w:p w14:paraId="57CD9E7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按角色或具体人员选择预警接收人，确保预警精准触达责任主体。可关联具体招标项目，自动带入项目名称、编号等信息，使预警内容更具针对性。支持同时选择多个项目，批量发送预警通知，提升监管工作效率。</w:t>
      </w:r>
    </w:p>
    <w:p w14:paraId="062E5942">
      <w:pPr>
        <w:numPr>
          <w:ilvl w:val="0"/>
          <w:numId w:val="4"/>
        </w:numPr>
        <w:bidi w:val="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监督规则配置管理</w:t>
      </w:r>
    </w:p>
    <w:p w14:paraId="0E9358F0">
      <w:pPr>
        <w:numPr>
          <w:ilvl w:val="-1"/>
          <w:numId w:val="0"/>
        </w:numPr>
        <w:bidi w:val="0"/>
        <w:ind w:firstLine="56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于国家及新疆维吾尔自治区水利招投标法律法规、政策文件，将招投标全流程合规要求转化为平台可识别的监督规则，支持监管部门根据政策调整、监管需求，对现有规则进行修改、启用、停用，同时支持新增监督规则，适配监管工作的动态变化。</w:t>
      </w:r>
    </w:p>
    <w:p w14:paraId="79F75DC0">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智能预警引擎</w:t>
      </w:r>
    </w:p>
    <w:p w14:paraId="1745FF80">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设置红灯、黄灯、绿灯、蓝灯多等级预警标识，红灯代表严重违法违规、黄灯代表轻微异常/时限预警、绿灯代表符合规则、蓝灯代表已人工纠正，各等级预警触发条件与规则库精准关联。</w:t>
      </w:r>
    </w:p>
    <w:p w14:paraId="0352990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平台对接招投标交易系统及项目备案系统，实时采集全流程数据，识别违反监督规则的异常行为，触发对应等级预警，并记录异常时间、预警监督点、所属项目等信息。</w:t>
      </w:r>
    </w:p>
    <w:p w14:paraId="28F715D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采集的数据覆盖项目备案信息、招标文件内容、招投标时限、投标人信息、报价数据、交易系统操作数据等全维度，保障预警的全面性与准确性。</w:t>
      </w:r>
    </w:p>
    <w:p w14:paraId="34C3D89D">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在线监督与处置</w:t>
      </w:r>
    </w:p>
    <w:p w14:paraId="71A8729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监督人员可在平台查看预警信息，支持按监督点名称、项目名称、所在地区、业务类型、预警等级、时间范围等维度筛选、查询，同时可查看预警项目的监督点总数、各等级预警数量统计。</w:t>
      </w:r>
    </w:p>
    <w:p w14:paraId="206C290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监督人员针对预警事项，可在线下达监督指令，明确核查要求、整改期限、责任主体，指令同步至招标人</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代理机构端，实现监管指令的快速传达。</w:t>
      </w:r>
    </w:p>
    <w:p w14:paraId="4DE6C12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监督人员可在线查看预警点详情，开展线上核查；对核查确认的违规事项，督促相关主体在线提交整改材料，完成纠偏处理后，监督人员在线审核整改结果，确认无误后解除预警。</w:t>
      </w:r>
    </w:p>
    <w:p w14:paraId="7215099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所有预警点的核查情况、处理结果、整改材料均在线记录并归档，同时更新预警点状态，实现预警处置的闭环管理。</w:t>
      </w:r>
    </w:p>
    <w:p w14:paraId="02571D6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平台生成监督项目台账，展示项目编号、项目名称、所在地区、监督点总数、各等级预警数量等信息，支持查看项目监督点详情及监督日志。</w:t>
      </w:r>
    </w:p>
    <w:p w14:paraId="4A959AA3">
      <w:pPr>
        <w:bidi w:val="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支持按地区、业务类型、时间范围等维度，对监督点总数、各等级预警数量、监督项目数等数据进行统计</w:t>
      </w:r>
      <w:r>
        <w:rPr>
          <w:rFonts w:hint="eastAsia" w:asciiTheme="minorEastAsia" w:hAnsiTheme="minorEastAsia" w:eastAsiaTheme="minorEastAsia" w:cstheme="minorEastAsia"/>
          <w:sz w:val="24"/>
          <w:szCs w:val="24"/>
          <w:highlight w:val="none"/>
          <w:lang w:eastAsia="zh-CN"/>
        </w:rPr>
        <w:t>。</w:t>
      </w:r>
    </w:p>
    <w:p w14:paraId="0CEEB459">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智能辅助管理</w:t>
      </w:r>
    </w:p>
    <w:p w14:paraId="30CEA21E">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监管指令下达</w:t>
      </w:r>
    </w:p>
    <w:p w14:paraId="3457F6C8">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平台提供监管指令标准化模板，支持监督人员根据监管需求，选择指令类型，填写指令内容、要求、时限，制作标准化监管指令。</w:t>
      </w:r>
    </w:p>
    <w:p w14:paraId="34795B6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监管指令制作完成后，可直接下达至对应招标人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代理机构端。</w:t>
      </w:r>
    </w:p>
    <w:p w14:paraId="7655477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平台记录监管指令的下达时间、接收主体、执行要求，监督人员可在线查看指令执行进度，对超期未执行的指令进行提醒。</w:t>
      </w:r>
    </w:p>
    <w:p w14:paraId="4BC9ACCB">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数据分析与可视化</w:t>
      </w:r>
    </w:p>
    <w:p w14:paraId="46400AC8">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平台采集水利招投标全流程交易数据，包含项目备案数量、招标方式分布、标段数量、交易金额等，支持按时间、地区、工程类型等维度进行多维度统计，自动生成统计报表。</w:t>
      </w:r>
    </w:p>
    <w:p w14:paraId="526932E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基于交易数据及监管数据，对水利建设工程招投标市场运行</w:t>
      </w:r>
      <w:r>
        <w:rPr>
          <w:rFonts w:hint="eastAsia" w:asciiTheme="minorEastAsia" w:hAnsiTheme="minorEastAsia" w:eastAsiaTheme="minorEastAsia" w:cstheme="minorEastAsia"/>
          <w:sz w:val="24"/>
          <w:szCs w:val="24"/>
          <w:highlight w:val="none"/>
          <w:lang w:val="en-US" w:eastAsia="zh-CN"/>
        </w:rPr>
        <w:t>情况</w:t>
      </w:r>
      <w:r>
        <w:rPr>
          <w:rFonts w:hint="eastAsia" w:asciiTheme="minorEastAsia" w:hAnsiTheme="minorEastAsia" w:eastAsiaTheme="minorEastAsia" w:cstheme="minorEastAsia"/>
          <w:sz w:val="24"/>
          <w:szCs w:val="24"/>
          <w:highlight w:val="none"/>
        </w:rPr>
        <w:t>进行分析，包含市场主体参与情况、招投标项目分布特征等。</w:t>
      </w:r>
    </w:p>
    <w:p w14:paraId="73CAB26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通过对招投标数据、预警数据、投诉数据的分析，对高风险行为、高风险主体、高风险地区进行标识。</w:t>
      </w:r>
    </w:p>
    <w:p w14:paraId="23489BF0">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对监管工作相关数据进行统计分析，包含备案审核效率、投诉处理办结率、违法违规行为查处数量等。</w:t>
      </w:r>
    </w:p>
    <w:p w14:paraId="41BC1B19">
      <w:pPr>
        <w:pStyle w:val="3"/>
        <w:keepNext w:val="0"/>
        <w:keepLines w:val="0"/>
        <w:snapToGrid w:val="0"/>
        <w:rPr>
          <w:rFonts w:hint="eastAsia" w:asciiTheme="minorEastAsia" w:hAnsiTheme="minorEastAsia" w:eastAsiaTheme="minorEastAsia" w:cstheme="minorEastAsia"/>
          <w:sz w:val="24"/>
          <w:szCs w:val="24"/>
          <w:highlight w:val="none"/>
        </w:rPr>
      </w:pPr>
      <w:bookmarkStart w:id="6" w:name="_Toc7982"/>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数据资源建设方案</w:t>
      </w:r>
      <w:bookmarkEnd w:id="3"/>
      <w:bookmarkEnd w:id="4"/>
      <w:bookmarkEnd w:id="6"/>
    </w:p>
    <w:p w14:paraId="652E4546">
      <w:pPr>
        <w:pStyle w:val="4"/>
        <w:tabs>
          <w:tab w:val="left" w:pos="420"/>
        </w:tabs>
        <w:rPr>
          <w:rFonts w:hint="eastAsia" w:asciiTheme="minorEastAsia" w:hAnsiTheme="minorEastAsia" w:eastAsiaTheme="minorEastAsia" w:cstheme="minorEastAsia"/>
          <w:sz w:val="24"/>
          <w:szCs w:val="24"/>
          <w:highlight w:val="none"/>
        </w:rPr>
      </w:pPr>
      <w:bookmarkStart w:id="7" w:name="_Toc9061"/>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数据库设计</w:t>
      </w:r>
      <w:bookmarkEnd w:id="7"/>
    </w:p>
    <w:p w14:paraId="77832218">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数据库设计原则</w:t>
      </w:r>
    </w:p>
    <w:p w14:paraId="2CBD0230">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数据库设计遵循以下原则：</w:t>
      </w:r>
    </w:p>
    <w:p w14:paraId="1A89B50A">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（1）实用性原则：首先满足本项目多源、多时、多类型、异构信息整合，以及一体化组织和管理与服务的需要；</w:t>
      </w:r>
    </w:p>
    <w:p w14:paraId="4DA153F4">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（2）先进性原则：考虑技术进步和今后信息库的发展，主要体现在技术规范、技术水平、数据库产品选择、设计方法采用先进技术等几个方面；</w:t>
      </w:r>
    </w:p>
    <w:p w14:paraId="4284BE2C">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（3）一致性原则：对信息进行统一，保证系统数据的一致性和有效性；</w:t>
      </w:r>
    </w:p>
    <w:p w14:paraId="289B5228">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（4）完整性原则：是指数据的正确性和相容性，防止合法用户使用数据库时向数据库加入不合语义的数据，对输入到数据库中的数据要有审核和约束机制；</w:t>
      </w:r>
    </w:p>
    <w:p w14:paraId="71EBB7F7">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（5）规范化原则：数据库的设计应遵循规范化理论，规范化程度过低的关系，可能会存在数据冗余等问题，解决的方法就是对关系模式进行分解或合并（规范化），转换成高级范式；</w:t>
      </w:r>
    </w:p>
    <w:p w14:paraId="52FF5484">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（6）可扩展性原则：数据库结构的设计应充分考虑发展的需要、移植的需要，具有良好的扩展性、伸缩性和适度冗余；</w:t>
      </w:r>
    </w:p>
    <w:p w14:paraId="3FE48C56">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（7）安全性原则：数据库的安全性是指保护数据，防止非法用户使用数据库或合法用户非法使用数据库造成数据泄露、</w:t>
      </w:r>
      <w:r>
        <w:rPr>
          <w:rFonts w:hint="eastAsia" w:asciiTheme="minorEastAsia" w:hAnsiTheme="minorEastAsia" w:eastAsiaTheme="minorEastAsia" w:cstheme="minorEastAsia"/>
          <w:sz w:val="24"/>
          <w:szCs w:val="24"/>
          <w:highlight w:val="none"/>
          <w:lang w:eastAsia="zh-CN"/>
        </w:rPr>
        <w:t>篡改</w:t>
      </w:r>
      <w:r>
        <w:rPr>
          <w:rFonts w:hint="eastAsia" w:asciiTheme="minorEastAsia" w:hAnsiTheme="minorEastAsia" w:eastAsiaTheme="minorEastAsia" w:cstheme="minorEastAsia"/>
          <w:sz w:val="24"/>
          <w:szCs w:val="24"/>
          <w:highlight w:val="none"/>
        </w:rPr>
        <w:t>或破坏。要有认证和授权机制。</w:t>
      </w:r>
    </w:p>
    <w:p w14:paraId="007086C3">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数据库设计方案</w:t>
      </w:r>
    </w:p>
    <w:p w14:paraId="4E398328">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招投标信息数据库</w:t>
      </w:r>
    </w:p>
    <w:p w14:paraId="21ABA22B">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招投标信息数据库</w:t>
      </w:r>
      <w:r>
        <w:rPr>
          <w:rFonts w:hint="eastAsia" w:asciiTheme="minorEastAsia" w:hAnsiTheme="minorEastAsia" w:eastAsiaTheme="minorEastAsia" w:cstheme="minorEastAsia"/>
          <w:sz w:val="24"/>
          <w:szCs w:val="24"/>
          <w:highlight w:val="none"/>
        </w:rPr>
        <w:t>主要存储招投标全流程所涉及的基础数据，涵盖投标人、招标项目、开标记录、合同备案等核心信息</w:t>
      </w:r>
      <w:r>
        <w:rPr>
          <w:rFonts w:hint="eastAsia" w:asciiTheme="minorEastAsia" w:hAnsiTheme="minorEastAsia" w:eastAsiaTheme="minorEastAsia" w:cstheme="minorEastAsia"/>
          <w:sz w:val="24"/>
          <w:szCs w:val="24"/>
          <w:highlight w:val="none"/>
          <w:lang w:eastAsia="zh-CN"/>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947"/>
        <w:gridCol w:w="4351"/>
      </w:tblGrid>
      <w:tr w14:paraId="2B3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07DD017A">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156B86E8">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0F2E901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424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2AB97736">
            <w:pPr>
              <w:widowControl/>
              <w:spacing w:line="240" w:lineRule="auto"/>
              <w:ind w:firstLine="0" w:firstLineChars="0"/>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2947" w:type="dxa"/>
            <w:shd w:val="clear" w:color="auto" w:fill="auto"/>
            <w:vAlign w:val="center"/>
          </w:tcPr>
          <w:p w14:paraId="641F431B">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lang w:val="en-US" w:eastAsia="zh-CN" w:bidi="ar"/>
              </w:rPr>
              <w:t>名单</w:t>
            </w:r>
            <w:r>
              <w:rPr>
                <w:rFonts w:hint="eastAsia" w:asciiTheme="minorEastAsia" w:hAnsiTheme="minorEastAsia" w:eastAsiaTheme="minorEastAsia" w:cstheme="minorEastAsia"/>
                <w:sz w:val="24"/>
                <w:szCs w:val="24"/>
                <w:highlight w:val="none"/>
                <w:lang w:bidi="ar"/>
              </w:rPr>
              <w:t>表</w:t>
            </w:r>
          </w:p>
        </w:tc>
        <w:tc>
          <w:tcPr>
            <w:tcW w:w="4351" w:type="dxa"/>
            <w:shd w:val="clear" w:color="auto" w:fill="auto"/>
            <w:vAlign w:val="center"/>
          </w:tcPr>
          <w:p w14:paraId="2D34A41F">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存储投标人名单信息</w:t>
            </w:r>
          </w:p>
        </w:tc>
      </w:tr>
      <w:tr w14:paraId="50A9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4F987D5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2947" w:type="dxa"/>
            <w:shd w:val="clear" w:color="auto" w:fill="auto"/>
            <w:vAlign w:val="center"/>
          </w:tcPr>
          <w:p w14:paraId="3D96CC1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投标人信用信息表</w:t>
            </w:r>
          </w:p>
        </w:tc>
        <w:tc>
          <w:tcPr>
            <w:tcW w:w="4351" w:type="dxa"/>
            <w:shd w:val="clear" w:color="auto" w:fill="auto"/>
            <w:vAlign w:val="center"/>
          </w:tcPr>
          <w:p w14:paraId="5A1A8D4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存储投标人信用信息</w:t>
            </w:r>
          </w:p>
        </w:tc>
      </w:tr>
      <w:tr w14:paraId="3092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1C5361B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2947" w:type="dxa"/>
            <w:shd w:val="clear" w:color="auto" w:fill="auto"/>
            <w:vAlign w:val="center"/>
          </w:tcPr>
          <w:p w14:paraId="6427E48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投标人资质信息表</w:t>
            </w:r>
          </w:p>
        </w:tc>
        <w:tc>
          <w:tcPr>
            <w:tcW w:w="4351" w:type="dxa"/>
            <w:shd w:val="clear" w:color="auto" w:fill="auto"/>
            <w:vAlign w:val="center"/>
          </w:tcPr>
          <w:p w14:paraId="079F64A8">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存储投标人资质信息</w:t>
            </w:r>
          </w:p>
        </w:tc>
      </w:tr>
      <w:tr w14:paraId="45B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44ECB6F2">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2947" w:type="dxa"/>
            <w:shd w:val="clear" w:color="auto" w:fill="auto"/>
            <w:vAlign w:val="center"/>
          </w:tcPr>
          <w:p w14:paraId="01FBA5E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投标人业绩信息表</w:t>
            </w:r>
          </w:p>
        </w:tc>
        <w:tc>
          <w:tcPr>
            <w:tcW w:w="4351" w:type="dxa"/>
            <w:shd w:val="clear" w:color="auto" w:fill="auto"/>
            <w:vAlign w:val="center"/>
          </w:tcPr>
          <w:p w14:paraId="22A8796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存储投标人业绩信息</w:t>
            </w:r>
          </w:p>
        </w:tc>
      </w:tr>
      <w:tr w14:paraId="1F4A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4F8CF53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p>
        </w:tc>
        <w:tc>
          <w:tcPr>
            <w:tcW w:w="2947" w:type="dxa"/>
            <w:shd w:val="clear" w:color="auto" w:fill="auto"/>
            <w:vAlign w:val="center"/>
          </w:tcPr>
          <w:p w14:paraId="3AF65F91">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开标记录信息表</w:t>
            </w:r>
          </w:p>
        </w:tc>
        <w:tc>
          <w:tcPr>
            <w:tcW w:w="4351" w:type="dxa"/>
            <w:shd w:val="clear" w:color="auto" w:fill="auto"/>
            <w:vAlign w:val="center"/>
          </w:tcPr>
          <w:p w14:paraId="2494BA4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存储开标记录信息</w:t>
            </w:r>
          </w:p>
        </w:tc>
      </w:tr>
      <w:tr w14:paraId="504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B51AC65">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p>
        </w:tc>
        <w:tc>
          <w:tcPr>
            <w:tcW w:w="2947" w:type="dxa"/>
            <w:shd w:val="clear" w:color="auto" w:fill="auto"/>
            <w:vAlign w:val="center"/>
          </w:tcPr>
          <w:p w14:paraId="2BACCFDA">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企业资质信息表</w:t>
            </w:r>
          </w:p>
        </w:tc>
        <w:tc>
          <w:tcPr>
            <w:tcW w:w="4351" w:type="dxa"/>
            <w:shd w:val="clear" w:color="auto" w:fill="auto"/>
            <w:vAlign w:val="center"/>
          </w:tcPr>
          <w:p w14:paraId="638A344C">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存储企业资质信息</w:t>
            </w:r>
          </w:p>
        </w:tc>
      </w:tr>
      <w:tr w14:paraId="26AE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7828023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p>
        </w:tc>
        <w:tc>
          <w:tcPr>
            <w:tcW w:w="2947" w:type="dxa"/>
            <w:shd w:val="clear" w:color="auto" w:fill="auto"/>
            <w:vAlign w:val="center"/>
          </w:tcPr>
          <w:p w14:paraId="3F5380FF">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法人基本信息表</w:t>
            </w:r>
          </w:p>
        </w:tc>
        <w:tc>
          <w:tcPr>
            <w:tcW w:w="4351" w:type="dxa"/>
            <w:shd w:val="clear" w:color="auto" w:fill="auto"/>
            <w:vAlign w:val="center"/>
          </w:tcPr>
          <w:p w14:paraId="3DED0798">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存储法人基本信息</w:t>
            </w:r>
          </w:p>
        </w:tc>
      </w:tr>
      <w:tr w14:paraId="3B6E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1EDFD9A">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656AC93A">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6F9176C9">
            <w:pPr>
              <w:rPr>
                <w:rFonts w:hint="eastAsia" w:asciiTheme="minorEastAsia" w:hAnsiTheme="minorEastAsia" w:eastAsiaTheme="minorEastAsia" w:cstheme="minorEastAsia"/>
                <w:sz w:val="24"/>
                <w:szCs w:val="24"/>
                <w:highlight w:val="none"/>
              </w:rPr>
            </w:pPr>
          </w:p>
        </w:tc>
      </w:tr>
      <w:tr w14:paraId="6372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9862974">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8</w:t>
            </w:r>
          </w:p>
        </w:tc>
        <w:tc>
          <w:tcPr>
            <w:tcW w:w="2947" w:type="dxa"/>
            <w:shd w:val="clear" w:color="auto" w:fill="auto"/>
            <w:vAlign w:val="center"/>
          </w:tcPr>
          <w:p w14:paraId="20CC34F9">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招标项目</w:t>
            </w:r>
            <w:r>
              <w:rPr>
                <w:rFonts w:hint="eastAsia" w:asciiTheme="minorEastAsia" w:hAnsiTheme="minorEastAsia" w:eastAsiaTheme="minorEastAsia" w:cstheme="minorEastAsia"/>
                <w:sz w:val="24"/>
                <w:szCs w:val="24"/>
                <w:highlight w:val="none"/>
                <w:lang w:val="en-US" w:eastAsia="zh-CN"/>
              </w:rPr>
              <w:t>信息表</w:t>
            </w:r>
          </w:p>
        </w:tc>
        <w:tc>
          <w:tcPr>
            <w:tcW w:w="4351" w:type="dxa"/>
            <w:shd w:val="clear" w:color="auto" w:fill="auto"/>
            <w:vAlign w:val="center"/>
          </w:tcPr>
          <w:p w14:paraId="787310BC">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存储招标项目信息</w:t>
            </w:r>
          </w:p>
        </w:tc>
      </w:tr>
      <w:tr w14:paraId="5213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3B56CEA1">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947" w:type="dxa"/>
            <w:shd w:val="clear" w:color="auto" w:fill="auto"/>
            <w:vAlign w:val="center"/>
          </w:tcPr>
          <w:p w14:paraId="270A0713">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合同信息表</w:t>
            </w:r>
          </w:p>
        </w:tc>
        <w:tc>
          <w:tcPr>
            <w:tcW w:w="4351" w:type="dxa"/>
            <w:shd w:val="clear" w:color="auto" w:fill="auto"/>
            <w:vAlign w:val="center"/>
          </w:tcPr>
          <w:p w14:paraId="008E2B7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存储中标后签订的合同内容</w:t>
            </w:r>
          </w:p>
        </w:tc>
      </w:tr>
      <w:tr w14:paraId="0877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13B5CCD0">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2E7EBAA5">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5138B54F">
            <w:pPr>
              <w:rPr>
                <w:rFonts w:hint="eastAsia" w:asciiTheme="minorEastAsia" w:hAnsiTheme="minorEastAsia" w:eastAsiaTheme="minorEastAsia" w:cstheme="minorEastAsia"/>
                <w:sz w:val="24"/>
                <w:szCs w:val="24"/>
                <w:highlight w:val="none"/>
              </w:rPr>
            </w:pPr>
          </w:p>
        </w:tc>
      </w:tr>
      <w:tr w14:paraId="546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D11E959">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304F0B52">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57DF5A07">
            <w:pPr>
              <w:rPr>
                <w:rFonts w:hint="eastAsia" w:asciiTheme="minorEastAsia" w:hAnsiTheme="minorEastAsia" w:eastAsiaTheme="minorEastAsia" w:cstheme="minorEastAsia"/>
                <w:sz w:val="24"/>
                <w:szCs w:val="24"/>
                <w:highlight w:val="none"/>
              </w:rPr>
            </w:pPr>
          </w:p>
        </w:tc>
      </w:tr>
      <w:tr w14:paraId="1C35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396CAEBD">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947" w:type="dxa"/>
            <w:shd w:val="clear" w:color="auto" w:fill="auto"/>
            <w:vAlign w:val="center"/>
          </w:tcPr>
          <w:p w14:paraId="20668E26">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招标公告与资格预审公告</w:t>
            </w:r>
          </w:p>
        </w:tc>
        <w:tc>
          <w:tcPr>
            <w:tcW w:w="4351" w:type="dxa"/>
            <w:shd w:val="clear" w:color="auto" w:fill="auto"/>
            <w:vAlign w:val="center"/>
          </w:tcPr>
          <w:p w14:paraId="739658A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存储招标公告与资格预审信息</w:t>
            </w:r>
          </w:p>
        </w:tc>
      </w:tr>
      <w:tr w14:paraId="6780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14:paraId="0F9D263D">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947" w:type="dxa"/>
            <w:shd w:val="clear" w:color="auto" w:fill="auto"/>
            <w:vAlign w:val="center"/>
          </w:tcPr>
          <w:p w14:paraId="235289E8">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招标文件购买信息</w:t>
            </w:r>
          </w:p>
        </w:tc>
        <w:tc>
          <w:tcPr>
            <w:tcW w:w="4351" w:type="dxa"/>
            <w:shd w:val="clear" w:color="auto" w:fill="auto"/>
            <w:vAlign w:val="center"/>
          </w:tcPr>
          <w:p w14:paraId="574DDABD">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存储招标文件购买信息</w:t>
            </w:r>
          </w:p>
        </w:tc>
      </w:tr>
      <w:tr w14:paraId="148F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86712D0">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947" w:type="dxa"/>
            <w:shd w:val="clear" w:color="auto" w:fill="auto"/>
            <w:vAlign w:val="center"/>
          </w:tcPr>
          <w:p w14:paraId="014BC84A">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评标场地申请记录</w:t>
            </w:r>
          </w:p>
        </w:tc>
        <w:tc>
          <w:tcPr>
            <w:tcW w:w="4351" w:type="dxa"/>
            <w:shd w:val="clear" w:color="auto" w:fill="auto"/>
            <w:vAlign w:val="center"/>
          </w:tcPr>
          <w:p w14:paraId="1AC8084A">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存储评标场地申请记录信息</w:t>
            </w:r>
          </w:p>
        </w:tc>
      </w:tr>
    </w:tbl>
    <w:p w14:paraId="1891B0A1">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监督管理</w:t>
      </w:r>
      <w:r>
        <w:rPr>
          <w:rFonts w:hint="eastAsia" w:asciiTheme="minorEastAsia" w:hAnsiTheme="minorEastAsia" w:eastAsiaTheme="minorEastAsia" w:cstheme="minorEastAsia"/>
          <w:sz w:val="24"/>
          <w:szCs w:val="24"/>
          <w:highlight w:val="none"/>
        </w:rPr>
        <w:t>数据库</w:t>
      </w:r>
    </w:p>
    <w:p w14:paraId="2735FBC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监督管理</w:t>
      </w:r>
      <w:r>
        <w:rPr>
          <w:rFonts w:hint="eastAsia" w:asciiTheme="minorEastAsia" w:hAnsiTheme="minorEastAsia" w:eastAsiaTheme="minorEastAsia" w:cstheme="minorEastAsia"/>
          <w:sz w:val="24"/>
          <w:szCs w:val="24"/>
          <w:highlight w:val="none"/>
        </w:rPr>
        <w:t>数据库集中存放招投标活动中的监督检查数据，包括重点监督对象、监督方案、监察记录与结果等内容，用于保障招投标过程的规范性与合规性。</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947"/>
        <w:gridCol w:w="4351"/>
      </w:tblGrid>
      <w:tr w14:paraId="7C56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6E7C010">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09FBDC2D">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1804D6B1">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0AD3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C87094A">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1</w:t>
            </w:r>
          </w:p>
        </w:tc>
        <w:tc>
          <w:tcPr>
            <w:tcW w:w="2947" w:type="dxa"/>
            <w:shd w:val="clear" w:color="auto" w:fill="auto"/>
            <w:vAlign w:val="bottom"/>
          </w:tcPr>
          <w:p w14:paraId="251E9DA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监管项目附件表</w:t>
            </w:r>
          </w:p>
        </w:tc>
        <w:tc>
          <w:tcPr>
            <w:tcW w:w="4351" w:type="dxa"/>
            <w:shd w:val="clear" w:color="auto" w:fill="auto"/>
            <w:vAlign w:val="center"/>
          </w:tcPr>
          <w:p w14:paraId="59A9BF2D">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存储监管项目附件信息</w:t>
            </w:r>
          </w:p>
        </w:tc>
      </w:tr>
      <w:tr w14:paraId="3387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7D89950">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w:t>
            </w:r>
          </w:p>
        </w:tc>
        <w:tc>
          <w:tcPr>
            <w:tcW w:w="2947" w:type="dxa"/>
            <w:shd w:val="clear" w:color="auto" w:fill="auto"/>
            <w:vAlign w:val="center"/>
          </w:tcPr>
          <w:p w14:paraId="6B092F4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监管项目表</w:t>
            </w:r>
          </w:p>
        </w:tc>
        <w:tc>
          <w:tcPr>
            <w:tcW w:w="4351" w:type="dxa"/>
            <w:shd w:val="clear" w:color="auto" w:fill="auto"/>
            <w:vAlign w:val="center"/>
          </w:tcPr>
          <w:p w14:paraId="103D1D2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存储监管项目对象信息</w:t>
            </w:r>
          </w:p>
        </w:tc>
      </w:tr>
      <w:tr w14:paraId="50AF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A84A1A4">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p>
        </w:tc>
        <w:tc>
          <w:tcPr>
            <w:tcW w:w="2947" w:type="dxa"/>
            <w:shd w:val="clear" w:color="auto" w:fill="auto"/>
            <w:vAlign w:val="center"/>
          </w:tcPr>
          <w:p w14:paraId="72F8480B">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监管备案信息表</w:t>
            </w:r>
          </w:p>
        </w:tc>
        <w:tc>
          <w:tcPr>
            <w:tcW w:w="4351" w:type="dxa"/>
            <w:shd w:val="clear" w:color="auto" w:fill="auto"/>
            <w:vAlign w:val="center"/>
          </w:tcPr>
          <w:p w14:paraId="42499BD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存储对招标项目的备案处理结果情况</w:t>
            </w:r>
          </w:p>
        </w:tc>
      </w:tr>
      <w:tr w14:paraId="199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14" w:type="dxa"/>
            <w:shd w:val="clear" w:color="auto" w:fill="auto"/>
            <w:vAlign w:val="center"/>
          </w:tcPr>
          <w:p w14:paraId="73CB9B60">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4</w:t>
            </w:r>
          </w:p>
        </w:tc>
        <w:tc>
          <w:tcPr>
            <w:tcW w:w="2947" w:type="dxa"/>
            <w:shd w:val="clear" w:color="auto" w:fill="auto"/>
            <w:vAlign w:val="center"/>
          </w:tcPr>
          <w:p w14:paraId="451D79A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监督预警规则表</w:t>
            </w:r>
          </w:p>
        </w:tc>
        <w:tc>
          <w:tcPr>
            <w:tcW w:w="4351" w:type="dxa"/>
            <w:shd w:val="clear" w:color="auto" w:fill="auto"/>
            <w:vAlign w:val="center"/>
          </w:tcPr>
          <w:p w14:paraId="68D4A196">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存储各类监察点及其触发规则和阈值</w:t>
            </w:r>
          </w:p>
        </w:tc>
      </w:tr>
      <w:tr w14:paraId="5D52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6288C2F3">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5</w:t>
            </w:r>
          </w:p>
        </w:tc>
        <w:tc>
          <w:tcPr>
            <w:tcW w:w="2947" w:type="dxa"/>
            <w:shd w:val="clear" w:color="auto" w:fill="auto"/>
            <w:vAlign w:val="center"/>
          </w:tcPr>
          <w:p w14:paraId="447F0185">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监督预警记录表</w:t>
            </w:r>
          </w:p>
        </w:tc>
        <w:tc>
          <w:tcPr>
            <w:tcW w:w="4351" w:type="dxa"/>
            <w:shd w:val="clear" w:color="auto" w:fill="auto"/>
            <w:vAlign w:val="center"/>
          </w:tcPr>
          <w:p w14:paraId="4B935367">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存储系统自动或人工触发的监管预警事件</w:t>
            </w:r>
          </w:p>
        </w:tc>
      </w:tr>
      <w:tr w14:paraId="11DC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EF59F79">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6</w:t>
            </w:r>
          </w:p>
        </w:tc>
        <w:tc>
          <w:tcPr>
            <w:tcW w:w="2947" w:type="dxa"/>
            <w:shd w:val="clear" w:color="auto" w:fill="auto"/>
            <w:vAlign w:val="center"/>
          </w:tcPr>
          <w:p w14:paraId="7EE67E0A">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项目监督点消息模板表</w:t>
            </w:r>
          </w:p>
        </w:tc>
        <w:tc>
          <w:tcPr>
            <w:tcW w:w="4351" w:type="dxa"/>
            <w:shd w:val="clear" w:color="auto" w:fill="auto"/>
            <w:vAlign w:val="center"/>
          </w:tcPr>
          <w:p w14:paraId="3F299AA7">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存储项目监督点消息模板</w:t>
            </w:r>
          </w:p>
        </w:tc>
      </w:tr>
      <w:tr w14:paraId="2DD6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1C7B957">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7</w:t>
            </w:r>
          </w:p>
        </w:tc>
        <w:tc>
          <w:tcPr>
            <w:tcW w:w="2947" w:type="dxa"/>
            <w:shd w:val="clear" w:color="auto" w:fill="auto"/>
            <w:vAlign w:val="center"/>
          </w:tcPr>
          <w:p w14:paraId="7939AEBA">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监督招标项目信息表</w:t>
            </w:r>
          </w:p>
        </w:tc>
        <w:tc>
          <w:tcPr>
            <w:tcW w:w="4351" w:type="dxa"/>
            <w:shd w:val="clear" w:color="auto" w:fill="auto"/>
            <w:vAlign w:val="center"/>
          </w:tcPr>
          <w:p w14:paraId="6671F28E">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存储监督招标项目信息</w:t>
            </w:r>
          </w:p>
        </w:tc>
      </w:tr>
      <w:tr w14:paraId="1D0A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0E41E2B">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8</w:t>
            </w:r>
          </w:p>
        </w:tc>
        <w:tc>
          <w:tcPr>
            <w:tcW w:w="2947" w:type="dxa"/>
            <w:shd w:val="clear" w:color="auto" w:fill="auto"/>
            <w:vAlign w:val="center"/>
          </w:tcPr>
          <w:p w14:paraId="5AC8076B">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招标项目备案记录表</w:t>
            </w:r>
          </w:p>
        </w:tc>
        <w:tc>
          <w:tcPr>
            <w:tcW w:w="4351" w:type="dxa"/>
            <w:shd w:val="clear" w:color="auto" w:fill="auto"/>
            <w:vAlign w:val="center"/>
          </w:tcPr>
          <w:p w14:paraId="12B23363">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存储招标项目备案记录</w:t>
            </w:r>
          </w:p>
        </w:tc>
      </w:tr>
      <w:tr w14:paraId="406B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3B367C4">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9</w:t>
            </w:r>
          </w:p>
        </w:tc>
        <w:tc>
          <w:tcPr>
            <w:tcW w:w="2947" w:type="dxa"/>
            <w:shd w:val="clear" w:color="auto" w:fill="auto"/>
            <w:vAlign w:val="center"/>
          </w:tcPr>
          <w:p w14:paraId="2CF3AD3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招标项目备案表</w:t>
            </w:r>
          </w:p>
        </w:tc>
        <w:tc>
          <w:tcPr>
            <w:tcW w:w="4351" w:type="dxa"/>
            <w:shd w:val="clear" w:color="auto" w:fill="auto"/>
            <w:vAlign w:val="center"/>
          </w:tcPr>
          <w:p w14:paraId="7544958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存储招标项目备案信息</w:t>
            </w:r>
          </w:p>
        </w:tc>
      </w:tr>
    </w:tbl>
    <w:p w14:paraId="3B2A6AC9">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投诉处理</w:t>
      </w:r>
      <w:r>
        <w:rPr>
          <w:rFonts w:hint="eastAsia" w:asciiTheme="minorEastAsia" w:hAnsiTheme="minorEastAsia" w:eastAsiaTheme="minorEastAsia" w:cstheme="minorEastAsia"/>
          <w:sz w:val="24"/>
          <w:szCs w:val="24"/>
          <w:highlight w:val="none"/>
        </w:rPr>
        <w:t>数据库</w:t>
      </w:r>
    </w:p>
    <w:p w14:paraId="603A0B28">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投诉处理</w:t>
      </w:r>
      <w:r>
        <w:rPr>
          <w:rFonts w:hint="eastAsia" w:asciiTheme="minorEastAsia" w:hAnsiTheme="minorEastAsia" w:eastAsiaTheme="minorEastAsia" w:cstheme="minorEastAsia"/>
          <w:sz w:val="24"/>
          <w:szCs w:val="24"/>
          <w:highlight w:val="none"/>
        </w:rPr>
        <w:t>数据库记录投诉处理全生命周期的相关信息，涵盖投诉申请、调查取证、处理结果及反馈等环节。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947"/>
        <w:gridCol w:w="4351"/>
      </w:tblGrid>
      <w:tr w14:paraId="611C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0824CD1">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33C9C905">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664D089B">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1BBC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4AA86FC">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1</w:t>
            </w:r>
          </w:p>
        </w:tc>
        <w:tc>
          <w:tcPr>
            <w:tcW w:w="2947" w:type="dxa"/>
            <w:shd w:val="clear" w:color="auto" w:fill="auto"/>
            <w:vAlign w:val="center"/>
          </w:tcPr>
          <w:p w14:paraId="3979D5AD">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投诉信息表</w:t>
            </w:r>
          </w:p>
        </w:tc>
        <w:tc>
          <w:tcPr>
            <w:tcW w:w="4351" w:type="dxa"/>
            <w:shd w:val="clear" w:color="auto" w:fill="auto"/>
            <w:vAlign w:val="center"/>
          </w:tcPr>
          <w:p w14:paraId="5D1516F3">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存储投诉的基本信息，包括投诉人、被投诉人、投诉事项</w:t>
            </w:r>
          </w:p>
        </w:tc>
      </w:tr>
      <w:tr w14:paraId="185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02A143A">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w:t>
            </w:r>
          </w:p>
        </w:tc>
        <w:tc>
          <w:tcPr>
            <w:tcW w:w="2947" w:type="dxa"/>
            <w:shd w:val="clear" w:color="auto" w:fill="auto"/>
            <w:vAlign w:val="center"/>
          </w:tcPr>
          <w:p w14:paraId="3EAA457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在线投诉申请表</w:t>
            </w:r>
          </w:p>
        </w:tc>
        <w:tc>
          <w:tcPr>
            <w:tcW w:w="4351" w:type="dxa"/>
            <w:shd w:val="clear" w:color="auto" w:fill="auto"/>
            <w:vAlign w:val="center"/>
          </w:tcPr>
          <w:p w14:paraId="4AFFF77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存储在线渠道提交的投诉申请</w:t>
            </w:r>
          </w:p>
        </w:tc>
      </w:tr>
      <w:tr w14:paraId="15F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AA8DA7F">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p>
        </w:tc>
        <w:tc>
          <w:tcPr>
            <w:tcW w:w="2947" w:type="dxa"/>
            <w:shd w:val="clear" w:color="auto" w:fill="auto"/>
            <w:vAlign w:val="center"/>
          </w:tcPr>
          <w:p w14:paraId="3B94765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被投诉人信息表</w:t>
            </w:r>
          </w:p>
        </w:tc>
        <w:tc>
          <w:tcPr>
            <w:tcW w:w="4351" w:type="dxa"/>
            <w:shd w:val="clear" w:color="auto" w:fill="auto"/>
            <w:vAlign w:val="center"/>
          </w:tcPr>
          <w:p w14:paraId="517E647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存储被投诉主体的详细信息</w:t>
            </w:r>
          </w:p>
        </w:tc>
      </w:tr>
      <w:tr w14:paraId="16EA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985D7C1">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4</w:t>
            </w:r>
          </w:p>
        </w:tc>
        <w:tc>
          <w:tcPr>
            <w:tcW w:w="2947" w:type="dxa"/>
            <w:shd w:val="clear" w:color="auto" w:fill="auto"/>
            <w:vAlign w:val="center"/>
          </w:tcPr>
          <w:p w14:paraId="483B83C3">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投诉签收配置表</w:t>
            </w:r>
          </w:p>
        </w:tc>
        <w:tc>
          <w:tcPr>
            <w:tcW w:w="4351" w:type="dxa"/>
            <w:shd w:val="clear" w:color="auto" w:fill="auto"/>
            <w:vAlign w:val="center"/>
          </w:tcPr>
          <w:p w14:paraId="246363D0">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存储投诉接收部门、签收规则</w:t>
            </w:r>
          </w:p>
        </w:tc>
      </w:tr>
      <w:tr w14:paraId="19AF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88901A9">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5</w:t>
            </w:r>
          </w:p>
        </w:tc>
        <w:tc>
          <w:tcPr>
            <w:tcW w:w="2947" w:type="dxa"/>
            <w:shd w:val="clear" w:color="auto" w:fill="auto"/>
            <w:vAlign w:val="center"/>
          </w:tcPr>
          <w:p w14:paraId="306D8A35">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投诉日志表</w:t>
            </w:r>
          </w:p>
        </w:tc>
        <w:tc>
          <w:tcPr>
            <w:tcW w:w="4351" w:type="dxa"/>
            <w:shd w:val="clear" w:color="auto" w:fill="auto"/>
            <w:vAlign w:val="center"/>
          </w:tcPr>
          <w:p w14:paraId="0722C95D">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存储投诉处理过程中的操作日志</w:t>
            </w:r>
          </w:p>
        </w:tc>
      </w:tr>
      <w:tr w14:paraId="227F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A507EEB">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6</w:t>
            </w:r>
          </w:p>
        </w:tc>
        <w:tc>
          <w:tcPr>
            <w:tcW w:w="2947" w:type="dxa"/>
            <w:shd w:val="clear" w:color="auto" w:fill="auto"/>
            <w:vAlign w:val="center"/>
          </w:tcPr>
          <w:p w14:paraId="10D3C29C">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投诉调查取证表</w:t>
            </w:r>
          </w:p>
        </w:tc>
        <w:tc>
          <w:tcPr>
            <w:tcW w:w="4351" w:type="dxa"/>
            <w:shd w:val="clear" w:color="auto" w:fill="auto"/>
            <w:vAlign w:val="center"/>
          </w:tcPr>
          <w:p w14:paraId="59D11481">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存储投诉调查中收集的证据、笔录和调查过程</w:t>
            </w:r>
          </w:p>
        </w:tc>
      </w:tr>
      <w:tr w14:paraId="2EFC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7082D4B1">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7</w:t>
            </w:r>
          </w:p>
        </w:tc>
        <w:tc>
          <w:tcPr>
            <w:tcW w:w="2947" w:type="dxa"/>
            <w:shd w:val="clear" w:color="auto" w:fill="auto"/>
            <w:vAlign w:val="center"/>
          </w:tcPr>
          <w:p w14:paraId="64CA6552">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投诉反馈表</w:t>
            </w:r>
          </w:p>
        </w:tc>
        <w:tc>
          <w:tcPr>
            <w:tcW w:w="4351" w:type="dxa"/>
            <w:shd w:val="clear" w:color="auto" w:fill="auto"/>
            <w:vAlign w:val="center"/>
          </w:tcPr>
          <w:p w14:paraId="5C7CE97C">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存储投诉处理结果向投诉人的反馈内容</w:t>
            </w:r>
          </w:p>
        </w:tc>
      </w:tr>
      <w:tr w14:paraId="375E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DF9046E">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8</w:t>
            </w:r>
          </w:p>
        </w:tc>
        <w:tc>
          <w:tcPr>
            <w:tcW w:w="2947" w:type="dxa"/>
            <w:shd w:val="clear" w:color="auto" w:fill="auto"/>
            <w:vAlign w:val="center"/>
          </w:tcPr>
          <w:p w14:paraId="1A434DF2">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投诉查询记录表</w:t>
            </w:r>
          </w:p>
        </w:tc>
        <w:tc>
          <w:tcPr>
            <w:tcW w:w="4351" w:type="dxa"/>
            <w:shd w:val="clear" w:color="auto" w:fill="auto"/>
            <w:vAlign w:val="center"/>
          </w:tcPr>
          <w:p w14:paraId="72BD1A1A">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存储公众或用户查询投诉的日志</w:t>
            </w:r>
          </w:p>
        </w:tc>
      </w:tr>
      <w:tr w14:paraId="3ECC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EA58587">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9</w:t>
            </w:r>
          </w:p>
        </w:tc>
        <w:tc>
          <w:tcPr>
            <w:tcW w:w="2947" w:type="dxa"/>
            <w:shd w:val="clear" w:color="auto" w:fill="auto"/>
            <w:vAlign w:val="center"/>
          </w:tcPr>
          <w:p w14:paraId="69B362E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投诉撤销申请表</w:t>
            </w:r>
          </w:p>
        </w:tc>
        <w:tc>
          <w:tcPr>
            <w:tcW w:w="4351" w:type="dxa"/>
            <w:shd w:val="clear" w:color="auto" w:fill="auto"/>
            <w:vAlign w:val="center"/>
          </w:tcPr>
          <w:p w14:paraId="73FE45B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存储投诉人申请撤销投诉的信息</w:t>
            </w:r>
          </w:p>
        </w:tc>
      </w:tr>
      <w:tr w14:paraId="5DA3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44BCDCD">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10</w:t>
            </w:r>
          </w:p>
        </w:tc>
        <w:tc>
          <w:tcPr>
            <w:tcW w:w="2947" w:type="dxa"/>
            <w:shd w:val="clear" w:color="auto" w:fill="auto"/>
            <w:vAlign w:val="center"/>
          </w:tcPr>
          <w:p w14:paraId="643D8D1B">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水利行业投诉表</w:t>
            </w:r>
          </w:p>
        </w:tc>
        <w:tc>
          <w:tcPr>
            <w:tcW w:w="4351" w:type="dxa"/>
            <w:shd w:val="clear" w:color="auto" w:fill="auto"/>
            <w:vAlign w:val="center"/>
          </w:tcPr>
          <w:p w14:paraId="0D2880F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存储水利领域投诉信息</w:t>
            </w:r>
          </w:p>
        </w:tc>
      </w:tr>
      <w:tr w14:paraId="2FD7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82913D6">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11</w:t>
            </w:r>
          </w:p>
        </w:tc>
        <w:tc>
          <w:tcPr>
            <w:tcW w:w="2947" w:type="dxa"/>
            <w:shd w:val="clear" w:color="auto" w:fill="auto"/>
            <w:vAlign w:val="center"/>
          </w:tcPr>
          <w:p w14:paraId="757FC35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投诉受理表</w:t>
            </w:r>
          </w:p>
        </w:tc>
        <w:tc>
          <w:tcPr>
            <w:tcW w:w="4351" w:type="dxa"/>
            <w:shd w:val="clear" w:color="auto" w:fill="auto"/>
            <w:vAlign w:val="center"/>
          </w:tcPr>
          <w:p w14:paraId="2712DE7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存储投诉受理的确认信息和受理编号</w:t>
            </w:r>
          </w:p>
        </w:tc>
      </w:tr>
      <w:tr w14:paraId="6610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C15C88B">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12</w:t>
            </w:r>
          </w:p>
        </w:tc>
        <w:tc>
          <w:tcPr>
            <w:tcW w:w="2947" w:type="dxa"/>
            <w:shd w:val="clear" w:color="auto" w:fill="auto"/>
            <w:vAlign w:val="center"/>
          </w:tcPr>
          <w:p w14:paraId="63BB50CA">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投诉调查笔录表</w:t>
            </w:r>
          </w:p>
        </w:tc>
        <w:tc>
          <w:tcPr>
            <w:tcW w:w="4351" w:type="dxa"/>
            <w:shd w:val="clear" w:color="auto" w:fill="auto"/>
            <w:vAlign w:val="center"/>
          </w:tcPr>
          <w:p w14:paraId="5CC19FA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存储投诉调查过程中形成的询问笔录</w:t>
            </w:r>
          </w:p>
        </w:tc>
      </w:tr>
      <w:tr w14:paraId="2089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A9C2958">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13</w:t>
            </w:r>
          </w:p>
        </w:tc>
        <w:tc>
          <w:tcPr>
            <w:tcW w:w="2947" w:type="dxa"/>
            <w:shd w:val="clear" w:color="auto" w:fill="auto"/>
            <w:vAlign w:val="center"/>
          </w:tcPr>
          <w:p w14:paraId="328A0AB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投诉处理结果表</w:t>
            </w:r>
          </w:p>
        </w:tc>
        <w:tc>
          <w:tcPr>
            <w:tcW w:w="4351" w:type="dxa"/>
            <w:shd w:val="clear" w:color="auto" w:fill="auto"/>
            <w:vAlign w:val="center"/>
          </w:tcPr>
          <w:p w14:paraId="21EDACA1">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存储投诉的最终处理决定和整改要求</w:t>
            </w:r>
          </w:p>
        </w:tc>
      </w:tr>
      <w:tr w14:paraId="0DEC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3AD0F4B">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14</w:t>
            </w:r>
          </w:p>
        </w:tc>
        <w:tc>
          <w:tcPr>
            <w:tcW w:w="2947" w:type="dxa"/>
            <w:shd w:val="clear" w:color="auto" w:fill="auto"/>
            <w:vAlign w:val="center"/>
          </w:tcPr>
          <w:p w14:paraId="7EDD6BB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投诉撤诉申请表</w:t>
            </w:r>
          </w:p>
        </w:tc>
        <w:tc>
          <w:tcPr>
            <w:tcW w:w="4351" w:type="dxa"/>
            <w:shd w:val="clear" w:color="auto" w:fill="auto"/>
            <w:vAlign w:val="center"/>
          </w:tcPr>
          <w:p w14:paraId="7358672F">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存储投诉人提交的撤诉申请及处理情况</w:t>
            </w:r>
          </w:p>
        </w:tc>
      </w:tr>
      <w:tr w14:paraId="2CBC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5624BBC">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15</w:t>
            </w:r>
          </w:p>
        </w:tc>
        <w:tc>
          <w:tcPr>
            <w:tcW w:w="2947" w:type="dxa"/>
            <w:shd w:val="clear" w:color="auto" w:fill="auto"/>
            <w:vAlign w:val="center"/>
          </w:tcPr>
          <w:p w14:paraId="1E8BA40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投诉移交表</w:t>
            </w:r>
          </w:p>
        </w:tc>
        <w:tc>
          <w:tcPr>
            <w:tcW w:w="4351" w:type="dxa"/>
            <w:shd w:val="clear" w:color="auto" w:fill="auto"/>
            <w:vAlign w:val="center"/>
          </w:tcPr>
          <w:p w14:paraId="1F7D024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存储投诉跨部门移交的流程和信息</w:t>
            </w:r>
          </w:p>
        </w:tc>
      </w:tr>
    </w:tbl>
    <w:p w14:paraId="676162C6">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操作记录</w:t>
      </w:r>
      <w:r>
        <w:rPr>
          <w:rFonts w:hint="eastAsia" w:asciiTheme="minorEastAsia" w:hAnsiTheme="minorEastAsia" w:eastAsiaTheme="minorEastAsia" w:cstheme="minorEastAsia"/>
          <w:sz w:val="24"/>
          <w:szCs w:val="24"/>
          <w:highlight w:val="none"/>
        </w:rPr>
        <w:t>数据库</w:t>
      </w:r>
    </w:p>
    <w:p w14:paraId="1915F6CB">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操作记录</w:t>
      </w:r>
      <w:r>
        <w:rPr>
          <w:rFonts w:hint="eastAsia" w:asciiTheme="minorEastAsia" w:hAnsiTheme="minorEastAsia" w:eastAsiaTheme="minorEastAsia" w:cstheme="minorEastAsia"/>
          <w:sz w:val="24"/>
          <w:szCs w:val="24"/>
          <w:highlight w:val="none"/>
        </w:rPr>
        <w:t>数据库存储各类业务操作日志及系统运行监控数据，用于操作追溯、行为审计及系统状态监控，确保系统的安全与稳定运行</w:t>
      </w:r>
      <w:r>
        <w:rPr>
          <w:rFonts w:hint="eastAsia" w:asciiTheme="minorEastAsia" w:hAnsiTheme="minorEastAsia" w:eastAsiaTheme="minorEastAsia" w:cstheme="minorEastAsia"/>
          <w:sz w:val="24"/>
          <w:szCs w:val="24"/>
          <w:highlight w:val="none"/>
          <w:lang w:eastAsia="zh-CN"/>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947"/>
        <w:gridCol w:w="4351"/>
      </w:tblGrid>
      <w:tr w14:paraId="364A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25D598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500AFBE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38AE61B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0897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161D4D7">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w:t>
            </w:r>
          </w:p>
        </w:tc>
        <w:tc>
          <w:tcPr>
            <w:tcW w:w="2947" w:type="dxa"/>
            <w:shd w:val="clear" w:color="auto" w:fill="auto"/>
            <w:vAlign w:val="center"/>
          </w:tcPr>
          <w:p w14:paraId="3AD5371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招标项目监督操作日志表</w:t>
            </w:r>
          </w:p>
        </w:tc>
        <w:tc>
          <w:tcPr>
            <w:tcW w:w="4351" w:type="dxa"/>
            <w:shd w:val="clear" w:color="auto" w:fill="auto"/>
            <w:vAlign w:val="center"/>
          </w:tcPr>
          <w:p w14:paraId="520F1EB8">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存储招标项目监督操作日志</w:t>
            </w:r>
          </w:p>
        </w:tc>
      </w:tr>
      <w:tr w14:paraId="4025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0C78F79">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194A45C8">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13076CC9">
            <w:pPr>
              <w:rPr>
                <w:rFonts w:hint="eastAsia" w:asciiTheme="minorEastAsia" w:hAnsiTheme="minorEastAsia" w:eastAsiaTheme="minorEastAsia" w:cstheme="minorEastAsia"/>
                <w:sz w:val="24"/>
                <w:szCs w:val="24"/>
                <w:highlight w:val="none"/>
              </w:rPr>
            </w:pPr>
          </w:p>
        </w:tc>
      </w:tr>
      <w:tr w14:paraId="23BA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194BF62">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2947" w:type="dxa"/>
            <w:shd w:val="clear" w:color="auto" w:fill="auto"/>
            <w:vAlign w:val="center"/>
          </w:tcPr>
          <w:p w14:paraId="73A06B6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合同登记操作记录</w:t>
            </w:r>
          </w:p>
        </w:tc>
        <w:tc>
          <w:tcPr>
            <w:tcW w:w="4351" w:type="dxa"/>
            <w:shd w:val="clear" w:color="auto" w:fill="auto"/>
            <w:vAlign w:val="center"/>
          </w:tcPr>
          <w:p w14:paraId="5A24568E">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存储合同登记操作记录信息</w:t>
            </w:r>
          </w:p>
        </w:tc>
      </w:tr>
      <w:tr w14:paraId="3AD2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683F38AF">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2947" w:type="dxa"/>
            <w:shd w:val="clear" w:color="auto" w:fill="auto"/>
            <w:vAlign w:val="center"/>
          </w:tcPr>
          <w:p w14:paraId="7CF543FF">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系统监控日志表</w:t>
            </w:r>
          </w:p>
        </w:tc>
        <w:tc>
          <w:tcPr>
            <w:tcW w:w="4351" w:type="dxa"/>
            <w:shd w:val="clear" w:color="auto" w:fill="auto"/>
            <w:vAlign w:val="center"/>
          </w:tcPr>
          <w:p w14:paraId="4FE03FC0">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存储系统运行状态、异常和性能监控数据</w:t>
            </w:r>
          </w:p>
        </w:tc>
      </w:tr>
      <w:tr w14:paraId="5438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268E8D4">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2947" w:type="dxa"/>
            <w:shd w:val="clear" w:color="auto" w:fill="auto"/>
            <w:vAlign w:val="center"/>
          </w:tcPr>
          <w:p w14:paraId="4479675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操作记录表</w:t>
            </w:r>
          </w:p>
        </w:tc>
        <w:tc>
          <w:tcPr>
            <w:tcW w:w="4351" w:type="dxa"/>
            <w:shd w:val="clear" w:color="auto" w:fill="auto"/>
            <w:vAlign w:val="center"/>
          </w:tcPr>
          <w:p w14:paraId="260B7FA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存储用户关键操作的行为日志</w:t>
            </w:r>
          </w:p>
        </w:tc>
      </w:tr>
      <w:tr w14:paraId="185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C38401C">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2947" w:type="dxa"/>
            <w:shd w:val="clear" w:color="auto" w:fill="auto"/>
            <w:vAlign w:val="center"/>
          </w:tcPr>
          <w:p w14:paraId="56E8FA9B">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数据操作日志表</w:t>
            </w:r>
          </w:p>
        </w:tc>
        <w:tc>
          <w:tcPr>
            <w:tcW w:w="4351" w:type="dxa"/>
            <w:shd w:val="clear" w:color="auto" w:fill="auto"/>
            <w:vAlign w:val="center"/>
          </w:tcPr>
          <w:p w14:paraId="3C5B8140">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存储对数据表的增删改操作</w:t>
            </w:r>
          </w:p>
        </w:tc>
      </w:tr>
    </w:tbl>
    <w:p w14:paraId="2D390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B0C0E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E75ED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68A9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51151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08801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1EDB2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96ED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7D8C1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F7D8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81876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0B114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42C62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A3EC8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A00B1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113ED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7757F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CAD25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FE185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BBE0D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B998A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F7005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A9237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394A8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36310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884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4586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362B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7C04F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75BE8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AD6E8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A51DF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CA3F5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A48B8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5B29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C2F8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A1A5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D66AF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6D0F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第四章</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合同格式</w:t>
      </w:r>
      <w:bookmarkEnd w:id="5"/>
    </w:p>
    <w:p w14:paraId="700B3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实际以签订的合同为准。</w:t>
      </w:r>
    </w:p>
    <w:p w14:paraId="19E04751">
      <w:pPr>
        <w:widowControl w:val="0"/>
        <w:spacing w:after="0"/>
        <w:jc w:val="center"/>
        <w:rPr>
          <w:rFonts w:ascii="宋体" w:hAnsi="宋体" w:eastAsia="宋体" w:cs="宋体"/>
          <w:b/>
          <w:bCs/>
          <w:spacing w:val="-20"/>
          <w:kern w:val="44"/>
          <w:sz w:val="48"/>
          <w:szCs w:val="48"/>
          <w:lang w:val="en-US" w:eastAsia="zh-CN" w:bidi="ar-SA"/>
        </w:rPr>
      </w:pPr>
    </w:p>
    <w:p w14:paraId="358C3DD8">
      <w:pPr>
        <w:pStyle w:val="2"/>
        <w:tabs>
          <w:tab w:val="left" w:pos="0"/>
        </w:tabs>
        <w:spacing w:before="0" w:after="0" w:line="240" w:lineRule="atLeast"/>
        <w:jc w:val="center"/>
        <w:rPr>
          <w:rFonts w:hint="eastAsia" w:ascii="宋体" w:hAnsi="宋体" w:eastAsia="宋体" w:cs="宋体"/>
          <w:bCs/>
          <w:sz w:val="32"/>
          <w:szCs w:val="32"/>
          <w:highlight w:val="none"/>
        </w:rPr>
      </w:pPr>
      <w:bookmarkStart w:id="8" w:name="_Toc14397"/>
      <w:r>
        <w:rPr>
          <w:rFonts w:hint="eastAsia" w:ascii="宋体" w:hAnsi="宋体" w:eastAsia="宋体" w:cs="宋体"/>
          <w:bCs/>
          <w:sz w:val="32"/>
          <w:szCs w:val="32"/>
          <w:highlight w:val="none"/>
        </w:rPr>
        <w:t>政府采购合同</w:t>
      </w:r>
      <w:bookmarkEnd w:id="8"/>
      <w:bookmarkStart w:id="9" w:name="_Hlt487972895"/>
      <w:bookmarkEnd w:id="9"/>
      <w:bookmarkStart w:id="10" w:name="_Toc487900382"/>
      <w:bookmarkStart w:id="11" w:name="_Toc216513788"/>
    </w:p>
    <w:bookmarkEnd w:id="10"/>
    <w:bookmarkEnd w:id="11"/>
    <w:p w14:paraId="1563FED9">
      <w:pPr>
        <w:spacing w:line="240" w:lineRule="atLeast"/>
        <w:rPr>
          <w:rFonts w:hint="eastAsia" w:ascii="宋体" w:hAnsi="宋体" w:eastAsia="宋体" w:cs="宋体"/>
          <w:b/>
          <w:kern w:val="44"/>
          <w:sz w:val="24"/>
          <w:szCs w:val="24"/>
          <w:highlight w:val="none"/>
        </w:rPr>
      </w:pPr>
    </w:p>
    <w:p w14:paraId="69757393">
      <w:pPr>
        <w:jc w:val="center"/>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lang w:val="en-US" w:eastAsia="zh-CN"/>
        </w:rPr>
        <w:t xml:space="preserve">     </w:t>
      </w:r>
    </w:p>
    <w:p w14:paraId="5A123C3E">
      <w:pPr>
        <w:spacing w:line="480" w:lineRule="auto"/>
        <w:jc w:val="center"/>
        <w:rPr>
          <w:rFonts w:hint="eastAsia" w:ascii="宋体" w:hAnsi="宋体" w:eastAsia="宋体" w:cs="宋体"/>
          <w:b/>
          <w:sz w:val="24"/>
          <w:szCs w:val="24"/>
          <w:highlight w:val="none"/>
        </w:rPr>
      </w:pPr>
    </w:p>
    <w:p w14:paraId="255E7A0E">
      <w:pPr>
        <w:spacing w:line="340" w:lineRule="exact"/>
        <w:jc w:val="center"/>
        <w:rPr>
          <w:rFonts w:hint="eastAsia" w:ascii="宋体" w:hAnsi="宋体" w:eastAsia="宋体" w:cs="宋体"/>
          <w:b/>
          <w:sz w:val="24"/>
          <w:szCs w:val="24"/>
          <w:highlight w:val="none"/>
        </w:rPr>
      </w:pPr>
    </w:p>
    <w:p w14:paraId="127ABE9C">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政府采购合同参考范本</w:t>
      </w:r>
    </w:p>
    <w:p w14:paraId="0A404EC2">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（服务类）</w:t>
      </w:r>
    </w:p>
    <w:p w14:paraId="3C2D53DC">
      <w:pPr>
        <w:pStyle w:val="46"/>
        <w:spacing w:line="340" w:lineRule="exact"/>
        <w:ind w:firstLine="0"/>
        <w:rPr>
          <w:rFonts w:hint="eastAsia" w:ascii="宋体" w:hAnsi="宋体" w:eastAsia="宋体" w:cs="宋体"/>
          <w:sz w:val="24"/>
          <w:szCs w:val="24"/>
          <w:highlight w:val="none"/>
        </w:rPr>
      </w:pPr>
    </w:p>
    <w:p w14:paraId="3700686A">
      <w:pPr>
        <w:pStyle w:val="46"/>
        <w:spacing w:line="340" w:lineRule="exact"/>
        <w:ind w:firstLine="0"/>
        <w:rPr>
          <w:rFonts w:hint="eastAsia" w:ascii="宋体" w:hAnsi="宋体" w:eastAsia="宋体" w:cs="宋体"/>
          <w:sz w:val="24"/>
          <w:szCs w:val="24"/>
          <w:highlight w:val="none"/>
        </w:rPr>
      </w:pPr>
    </w:p>
    <w:p w14:paraId="4F7A8372">
      <w:pPr>
        <w:pStyle w:val="46"/>
        <w:spacing w:line="340" w:lineRule="exact"/>
        <w:ind w:firstLine="0"/>
        <w:rPr>
          <w:rFonts w:hint="eastAsia" w:ascii="宋体" w:hAnsi="宋体" w:eastAsia="宋体" w:cs="宋体"/>
          <w:sz w:val="24"/>
          <w:szCs w:val="24"/>
          <w:highlight w:val="none"/>
        </w:rPr>
      </w:pPr>
    </w:p>
    <w:p w14:paraId="2266908C">
      <w:pPr>
        <w:pStyle w:val="46"/>
        <w:spacing w:line="340" w:lineRule="exact"/>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第一部分 合同书</w:t>
      </w:r>
    </w:p>
    <w:p w14:paraId="2D917E5D">
      <w:pPr>
        <w:pStyle w:val="46"/>
        <w:spacing w:line="340" w:lineRule="exact"/>
        <w:ind w:firstLine="0"/>
        <w:rPr>
          <w:rFonts w:hint="eastAsia" w:ascii="宋体" w:hAnsi="宋体" w:eastAsia="宋体" w:cs="宋体"/>
          <w:sz w:val="24"/>
          <w:szCs w:val="24"/>
          <w:highlight w:val="none"/>
        </w:rPr>
      </w:pPr>
    </w:p>
    <w:p w14:paraId="779836DE">
      <w:pPr>
        <w:pStyle w:val="46"/>
        <w:spacing w:line="340" w:lineRule="exact"/>
        <w:ind w:firstLine="0"/>
        <w:rPr>
          <w:rFonts w:hint="eastAsia" w:ascii="宋体" w:hAnsi="宋体" w:eastAsia="宋体" w:cs="宋体"/>
          <w:sz w:val="24"/>
          <w:szCs w:val="24"/>
          <w:highlight w:val="none"/>
        </w:rPr>
      </w:pPr>
    </w:p>
    <w:p w14:paraId="2079BD98">
      <w:pPr>
        <w:spacing w:before="120" w:line="340" w:lineRule="exact"/>
        <w:rPr>
          <w:rFonts w:hint="eastAsia" w:ascii="宋体" w:hAnsi="宋体" w:eastAsia="宋体" w:cs="宋体"/>
          <w:sz w:val="24"/>
          <w:szCs w:val="24"/>
          <w:highlight w:val="none"/>
        </w:rPr>
      </w:pPr>
    </w:p>
    <w:p w14:paraId="6FEECD34">
      <w:pPr>
        <w:spacing w:before="120" w:line="340" w:lineRule="exact"/>
        <w:ind w:left="96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5B88979C">
      <w:pPr>
        <w:pStyle w:val="47"/>
        <w:spacing w:before="120" w:line="340" w:lineRule="exact"/>
        <w:rPr>
          <w:rFonts w:hint="eastAsia" w:ascii="宋体" w:hAnsi="宋体" w:eastAsia="宋体" w:cs="宋体"/>
          <w:sz w:val="24"/>
          <w:szCs w:val="24"/>
          <w:highlight w:val="none"/>
        </w:rPr>
      </w:pPr>
    </w:p>
    <w:p w14:paraId="73252B23">
      <w:pPr>
        <w:pStyle w:val="47"/>
        <w:spacing w:before="120" w:line="340" w:lineRule="exact"/>
        <w:rPr>
          <w:rFonts w:hint="eastAsia" w:ascii="宋体" w:hAnsi="宋体" w:eastAsia="宋体" w:cs="宋体"/>
          <w:sz w:val="24"/>
          <w:szCs w:val="24"/>
          <w:highlight w:val="none"/>
        </w:rPr>
      </w:pPr>
    </w:p>
    <w:p w14:paraId="4BE4F13A">
      <w:pPr>
        <w:spacing w:line="340" w:lineRule="exact"/>
        <w:rPr>
          <w:rFonts w:hint="eastAsia" w:ascii="宋体" w:hAnsi="宋体" w:eastAsia="宋体" w:cs="宋体"/>
          <w:sz w:val="24"/>
          <w:szCs w:val="24"/>
          <w:highlight w:val="none"/>
        </w:rPr>
      </w:pPr>
    </w:p>
    <w:p w14:paraId="351426C8">
      <w:pPr>
        <w:spacing w:before="120" w:line="340" w:lineRule="exact"/>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p>
    <w:p w14:paraId="03F89283">
      <w:pPr>
        <w:spacing w:before="120" w:line="340" w:lineRule="exact"/>
        <w:rPr>
          <w:rFonts w:hint="eastAsia" w:ascii="宋体" w:hAnsi="宋体" w:eastAsia="宋体" w:cs="宋体"/>
          <w:sz w:val="24"/>
          <w:szCs w:val="24"/>
          <w:highlight w:val="none"/>
        </w:rPr>
      </w:pPr>
    </w:p>
    <w:p w14:paraId="76A6BDC0">
      <w:pPr>
        <w:spacing w:before="120" w:line="340" w:lineRule="exact"/>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15D6C9CC">
      <w:pPr>
        <w:spacing w:before="120" w:line="340" w:lineRule="exact"/>
        <w:rPr>
          <w:rFonts w:hint="eastAsia" w:ascii="宋体" w:hAnsi="宋体" w:eastAsia="宋体" w:cs="宋体"/>
          <w:sz w:val="24"/>
          <w:szCs w:val="24"/>
          <w:highlight w:val="none"/>
        </w:rPr>
      </w:pPr>
    </w:p>
    <w:p w14:paraId="4F71FBCE">
      <w:pPr>
        <w:spacing w:before="120" w:line="34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w:t>
      </w:r>
      <w:r>
        <w:rPr>
          <w:rFonts w:hint="eastAsia" w:ascii="宋体" w:hAnsi="宋体" w:eastAsia="宋体" w:cs="宋体"/>
          <w:sz w:val="24"/>
          <w:szCs w:val="24"/>
          <w:highlight w:val="none"/>
          <w:u w:val="single"/>
        </w:rPr>
        <w:t xml:space="preserve">                                     </w:t>
      </w:r>
    </w:p>
    <w:p w14:paraId="3F6BED0F">
      <w:pPr>
        <w:spacing w:before="120" w:line="340" w:lineRule="exact"/>
        <w:rPr>
          <w:rFonts w:hint="eastAsia" w:ascii="宋体" w:hAnsi="宋体" w:eastAsia="宋体" w:cs="宋体"/>
          <w:sz w:val="24"/>
          <w:szCs w:val="24"/>
          <w:highlight w:val="none"/>
        </w:rPr>
      </w:pPr>
    </w:p>
    <w:p w14:paraId="6462C0EC">
      <w:pPr>
        <w:spacing w:before="120" w:line="34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B51678A">
      <w:pPr>
        <w:autoSpaceDE w:val="0"/>
        <w:autoSpaceDN w:val="0"/>
        <w:adjustRightInd w:val="0"/>
        <w:spacing w:line="340" w:lineRule="exact"/>
        <w:ind w:firstLine="640"/>
        <w:jc w:val="center"/>
        <w:rPr>
          <w:rFonts w:hint="eastAsia" w:ascii="宋体" w:hAnsi="宋体" w:eastAsia="宋体" w:cs="宋体"/>
          <w:sz w:val="24"/>
          <w:szCs w:val="24"/>
          <w:highlight w:val="none"/>
        </w:rPr>
        <w:sectPr>
          <w:headerReference r:id="rId3" w:type="default"/>
          <w:footerReference r:id="rId4" w:type="default"/>
          <w:pgSz w:w="11907" w:h="16840"/>
          <w:pgMar w:top="1417" w:right="1361" w:bottom="1020" w:left="1361" w:header="851" w:footer="851" w:gutter="0"/>
          <w:pgNumType w:fmt="decimal" w:start="1"/>
          <w:cols w:space="720" w:num="1"/>
          <w:docGrid w:linePitch="462" w:charSpace="0"/>
        </w:sectPr>
      </w:pPr>
    </w:p>
    <w:p w14:paraId="03E1B44C">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（采购人名称）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 xml:space="preserve">   （政府采购方式）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（同前页项目名称）   </w:t>
      </w:r>
      <w:r>
        <w:rPr>
          <w:rFonts w:hint="eastAsia" w:ascii="宋体" w:hAnsi="宋体" w:eastAsia="宋体" w:cs="宋体"/>
          <w:sz w:val="24"/>
          <w:szCs w:val="24"/>
          <w:highlight w:val="none"/>
        </w:rPr>
        <w:t>项目进行了采购。经</w:t>
      </w:r>
      <w:r>
        <w:rPr>
          <w:rFonts w:hint="eastAsia" w:ascii="宋体" w:hAnsi="宋体" w:eastAsia="宋体" w:cs="宋体"/>
          <w:sz w:val="24"/>
          <w:szCs w:val="24"/>
          <w:highlight w:val="none"/>
          <w:u w:val="single"/>
        </w:rPr>
        <w:t xml:space="preserve">   （相关评定主体名称）   </w:t>
      </w:r>
      <w:r>
        <w:rPr>
          <w:rFonts w:hint="eastAsia" w:ascii="宋体" w:hAnsi="宋体" w:eastAsia="宋体" w:cs="宋体"/>
          <w:sz w:val="24"/>
          <w:szCs w:val="24"/>
          <w:highlight w:val="none"/>
        </w:rPr>
        <w:t>评定，</w:t>
      </w:r>
      <w:r>
        <w:rPr>
          <w:rFonts w:hint="eastAsia" w:ascii="宋体" w:hAnsi="宋体" w:eastAsia="宋体" w:cs="宋体"/>
          <w:sz w:val="24"/>
          <w:szCs w:val="24"/>
          <w:highlight w:val="none"/>
          <w:u w:val="single"/>
        </w:rPr>
        <w:t xml:space="preserve">   （中标供应商名称） </w:t>
      </w:r>
      <w:r>
        <w:rPr>
          <w:rFonts w:hint="eastAsia" w:ascii="宋体" w:hAnsi="宋体" w:eastAsia="宋体" w:cs="宋体"/>
          <w:sz w:val="24"/>
          <w:szCs w:val="24"/>
          <w:highlight w:val="none"/>
        </w:rPr>
        <w:t>为该项目中标供应商。现于中标通知书发出之日起三十日内，按照采购文件确定的事项签订本合同。</w:t>
      </w:r>
    </w:p>
    <w:p w14:paraId="369E762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highlight w:val="none"/>
          <w:u w:val="single"/>
        </w:rPr>
        <w:t xml:space="preserve">   （采购人名称）   </w:t>
      </w:r>
      <w:r>
        <w:rPr>
          <w:rFonts w:hint="eastAsia" w:ascii="宋体" w:hAnsi="宋体" w:eastAsia="宋体" w:cs="宋体"/>
          <w:sz w:val="24"/>
          <w:szCs w:val="24"/>
          <w:highlight w:val="none"/>
          <w:lang w:val="zh-CN"/>
        </w:rPr>
        <w:t>(以下简称：甲方)和</w:t>
      </w:r>
      <w:r>
        <w:rPr>
          <w:rFonts w:hint="eastAsia" w:ascii="宋体" w:hAnsi="宋体" w:eastAsia="宋体" w:cs="宋体"/>
          <w:sz w:val="24"/>
          <w:szCs w:val="24"/>
          <w:highlight w:val="none"/>
          <w:u w:val="single"/>
        </w:rPr>
        <w:t xml:space="preserve">   （中标供应商名称）   </w:t>
      </w:r>
      <w:r>
        <w:rPr>
          <w:rFonts w:hint="eastAsia" w:ascii="宋体" w:hAnsi="宋体" w:eastAsia="宋体" w:cs="宋体"/>
          <w:sz w:val="24"/>
          <w:szCs w:val="24"/>
          <w:highlight w:val="none"/>
          <w:lang w:val="zh-CN"/>
        </w:rPr>
        <w:t>(以下简称：乙方)协商一致，约定以下合同</w:t>
      </w:r>
      <w:r>
        <w:rPr>
          <w:rFonts w:hint="eastAsia" w:ascii="宋体" w:hAnsi="宋体" w:eastAsia="宋体" w:cs="宋体"/>
          <w:sz w:val="24"/>
          <w:szCs w:val="24"/>
          <w:highlight w:val="none"/>
        </w:rPr>
        <w:t>条款，以兹共同遵守、全面履行。</w:t>
      </w:r>
    </w:p>
    <w:p w14:paraId="0378B0B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rPr>
      </w:pPr>
      <w:bookmarkStart w:id="12" w:name="_Toc15367"/>
      <w:bookmarkStart w:id="13" w:name="_Toc19273"/>
      <w:bookmarkStart w:id="14" w:name="_Toc28855"/>
      <w:bookmarkStart w:id="15" w:name="_Toc22967"/>
      <w:bookmarkStart w:id="16" w:name="_Toc20421"/>
      <w:r>
        <w:rPr>
          <w:rFonts w:hint="eastAsia" w:ascii="宋体" w:hAnsi="宋体" w:eastAsia="宋体" w:cs="宋体"/>
          <w:b/>
          <w:sz w:val="24"/>
          <w:szCs w:val="24"/>
          <w:highlight w:val="none"/>
        </w:rPr>
        <w:t>1.1 合同组成部分</w:t>
      </w:r>
      <w:bookmarkEnd w:id="12"/>
      <w:bookmarkEnd w:id="13"/>
      <w:bookmarkEnd w:id="14"/>
      <w:bookmarkEnd w:id="15"/>
      <w:bookmarkEnd w:id="16"/>
    </w:p>
    <w:p w14:paraId="558FEB2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1642E4A">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3C7F4AB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中标通知书；</w:t>
      </w:r>
    </w:p>
    <w:p w14:paraId="5FC9565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 响应文件（含澄清或者说明文件）；</w:t>
      </w:r>
    </w:p>
    <w:p w14:paraId="207E4EBD">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1.1.4 磋商文件（含澄清或者修改文件）；</w:t>
      </w:r>
    </w:p>
    <w:p w14:paraId="2BAA312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0D66BBE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7" w:name="_Toc6311"/>
      <w:bookmarkStart w:id="18" w:name="_Toc18585"/>
      <w:bookmarkStart w:id="19" w:name="_Toc22185"/>
      <w:bookmarkStart w:id="20" w:name="_Toc2918"/>
      <w:bookmarkStart w:id="21" w:name="_Toc6773"/>
      <w:r>
        <w:rPr>
          <w:rFonts w:hint="eastAsia" w:ascii="宋体" w:hAnsi="宋体" w:eastAsia="宋体" w:cs="宋体"/>
          <w:b/>
          <w:sz w:val="24"/>
          <w:szCs w:val="24"/>
          <w:highlight w:val="none"/>
        </w:rPr>
        <w:t>1.2 标的</w:t>
      </w:r>
      <w:bookmarkEnd w:id="17"/>
      <w:bookmarkEnd w:id="18"/>
      <w:bookmarkEnd w:id="19"/>
      <w:bookmarkEnd w:id="20"/>
      <w:bookmarkEnd w:id="21"/>
    </w:p>
    <w:p w14:paraId="0288A8B8">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1.2.1 标的名称：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0787F2A">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1.2.2 标的数量：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145E59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标的质量：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CFD625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22" w:name="_Toc21124"/>
      <w:bookmarkStart w:id="23" w:name="_Toc13918"/>
      <w:bookmarkStart w:id="24" w:name="_Toc1386"/>
      <w:bookmarkStart w:id="25" w:name="_Toc4929"/>
      <w:bookmarkStart w:id="26" w:name="_Toc5635"/>
      <w:r>
        <w:rPr>
          <w:rFonts w:hint="eastAsia" w:ascii="宋体" w:hAnsi="宋体" w:eastAsia="宋体" w:cs="宋体"/>
          <w:b/>
          <w:sz w:val="24"/>
          <w:szCs w:val="24"/>
          <w:highlight w:val="none"/>
        </w:rPr>
        <w:t>1.3 价款</w:t>
      </w:r>
      <w:bookmarkEnd w:id="22"/>
      <w:bookmarkEnd w:id="23"/>
      <w:bookmarkEnd w:id="24"/>
      <w:bookmarkEnd w:id="25"/>
      <w:bookmarkEnd w:id="26"/>
    </w:p>
    <w:p w14:paraId="7732916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479BACB8">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p>
    <w:tbl>
      <w:tblPr>
        <w:tblStyle w:val="1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816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FF8C960">
            <w:pPr>
              <w:pStyle w:val="48"/>
              <w:spacing w:line="34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3402" w:type="dxa"/>
            <w:vAlign w:val="center"/>
          </w:tcPr>
          <w:p w14:paraId="0C4EFE19">
            <w:pPr>
              <w:pStyle w:val="48"/>
              <w:spacing w:line="340" w:lineRule="exact"/>
              <w:ind w:firstLine="20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分项名称</w:t>
            </w:r>
          </w:p>
        </w:tc>
        <w:tc>
          <w:tcPr>
            <w:tcW w:w="2552" w:type="dxa"/>
            <w:vAlign w:val="center"/>
          </w:tcPr>
          <w:p w14:paraId="24DA6C7F">
            <w:pPr>
              <w:pStyle w:val="48"/>
              <w:spacing w:line="34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分项价格</w:t>
            </w:r>
          </w:p>
        </w:tc>
      </w:tr>
      <w:tr w14:paraId="1744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F8E7899">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593FC8D8">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6DEA06B5">
            <w:pPr>
              <w:pStyle w:val="48"/>
              <w:spacing w:line="340" w:lineRule="exact"/>
              <w:ind w:firstLine="200"/>
              <w:jc w:val="center"/>
              <w:rPr>
                <w:rFonts w:hint="eastAsia" w:ascii="宋体" w:hAnsi="宋体" w:eastAsia="宋体" w:cs="宋体"/>
                <w:kern w:val="2"/>
                <w:sz w:val="24"/>
                <w:szCs w:val="24"/>
                <w:highlight w:val="none"/>
              </w:rPr>
            </w:pPr>
          </w:p>
        </w:tc>
      </w:tr>
      <w:tr w14:paraId="1310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0B7BA8C">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78701E3A">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6EB2CFA7">
            <w:pPr>
              <w:pStyle w:val="48"/>
              <w:spacing w:line="340" w:lineRule="exact"/>
              <w:ind w:firstLine="200"/>
              <w:jc w:val="center"/>
              <w:rPr>
                <w:rFonts w:hint="eastAsia" w:ascii="宋体" w:hAnsi="宋体" w:eastAsia="宋体" w:cs="宋体"/>
                <w:kern w:val="2"/>
                <w:sz w:val="24"/>
                <w:szCs w:val="24"/>
                <w:highlight w:val="none"/>
              </w:rPr>
            </w:pPr>
          </w:p>
        </w:tc>
      </w:tr>
      <w:tr w14:paraId="653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4FF041">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1723FCB8">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7CB8DE7E">
            <w:pPr>
              <w:pStyle w:val="48"/>
              <w:spacing w:line="340" w:lineRule="exact"/>
              <w:ind w:firstLine="200"/>
              <w:jc w:val="center"/>
              <w:rPr>
                <w:rFonts w:hint="eastAsia" w:ascii="宋体" w:hAnsi="宋体" w:eastAsia="宋体" w:cs="宋体"/>
                <w:kern w:val="2"/>
                <w:sz w:val="24"/>
                <w:szCs w:val="24"/>
                <w:highlight w:val="none"/>
              </w:rPr>
            </w:pPr>
          </w:p>
        </w:tc>
      </w:tr>
      <w:tr w14:paraId="65E7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F33354">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75CD945B">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4F659879">
            <w:pPr>
              <w:pStyle w:val="48"/>
              <w:spacing w:line="340" w:lineRule="exact"/>
              <w:ind w:firstLine="200"/>
              <w:jc w:val="center"/>
              <w:rPr>
                <w:rFonts w:hint="eastAsia" w:ascii="宋体" w:hAnsi="宋体" w:eastAsia="宋体" w:cs="宋体"/>
                <w:kern w:val="2"/>
                <w:sz w:val="24"/>
                <w:szCs w:val="24"/>
                <w:highlight w:val="none"/>
              </w:rPr>
            </w:pPr>
          </w:p>
        </w:tc>
      </w:tr>
      <w:tr w14:paraId="5FD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617936E">
            <w:pPr>
              <w:pStyle w:val="48"/>
              <w:spacing w:line="340" w:lineRule="exact"/>
              <w:ind w:firstLine="20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总价</w:t>
            </w:r>
          </w:p>
        </w:tc>
        <w:tc>
          <w:tcPr>
            <w:tcW w:w="2552" w:type="dxa"/>
            <w:vAlign w:val="center"/>
          </w:tcPr>
          <w:p w14:paraId="1349727D">
            <w:pPr>
              <w:pStyle w:val="48"/>
              <w:spacing w:line="340" w:lineRule="exact"/>
              <w:ind w:firstLine="200"/>
              <w:jc w:val="center"/>
              <w:rPr>
                <w:rFonts w:hint="eastAsia" w:ascii="宋体" w:hAnsi="宋体" w:eastAsia="宋体" w:cs="宋体"/>
                <w:kern w:val="2"/>
                <w:sz w:val="24"/>
                <w:szCs w:val="24"/>
                <w:highlight w:val="none"/>
              </w:rPr>
            </w:pPr>
          </w:p>
        </w:tc>
      </w:tr>
    </w:tbl>
    <w:p w14:paraId="63440D6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27" w:name="_Toc3654"/>
      <w:bookmarkStart w:id="28" w:name="_Toc26916"/>
      <w:bookmarkStart w:id="29" w:name="_Toc30158"/>
      <w:bookmarkStart w:id="30" w:name="_Toc14993"/>
      <w:bookmarkStart w:id="31" w:name="_Toc30506"/>
      <w:r>
        <w:rPr>
          <w:rFonts w:hint="eastAsia" w:ascii="宋体" w:hAnsi="宋体" w:eastAsia="宋体" w:cs="宋体"/>
          <w:b/>
          <w:sz w:val="24"/>
          <w:szCs w:val="24"/>
          <w:highlight w:val="none"/>
        </w:rPr>
        <w:t>1.4 付款方式和发票开具方式</w:t>
      </w:r>
      <w:bookmarkEnd w:id="27"/>
      <w:bookmarkEnd w:id="28"/>
      <w:bookmarkEnd w:id="29"/>
      <w:bookmarkEnd w:id="30"/>
      <w:bookmarkEnd w:id="31"/>
    </w:p>
    <w:p w14:paraId="58588A6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1F34C0F">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 发票开具方式：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C9DC8D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32" w:name="_Toc3625"/>
      <w:bookmarkStart w:id="33" w:name="_Toc11108"/>
      <w:bookmarkStart w:id="34" w:name="_Toc31421"/>
      <w:bookmarkStart w:id="35" w:name="_Toc4760"/>
      <w:bookmarkStart w:id="36" w:name="_Toc8772"/>
      <w:r>
        <w:rPr>
          <w:rFonts w:hint="eastAsia" w:ascii="宋体" w:hAnsi="宋体" w:eastAsia="宋体" w:cs="宋体"/>
          <w:b/>
          <w:sz w:val="24"/>
          <w:szCs w:val="24"/>
          <w:highlight w:val="none"/>
        </w:rPr>
        <w:t>1.5 履行期限、地点和方式</w:t>
      </w:r>
      <w:bookmarkEnd w:id="32"/>
      <w:bookmarkEnd w:id="33"/>
      <w:bookmarkEnd w:id="34"/>
      <w:bookmarkEnd w:id="35"/>
      <w:bookmarkEnd w:id="36"/>
    </w:p>
    <w:p w14:paraId="18C91C93">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 履行期限：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29BB27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履行地点：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89C05E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 履行方式：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73AFDF">
      <w:pPr>
        <w:rPr>
          <w:rFonts w:hint="eastAsia" w:ascii="宋体" w:hAnsi="宋体" w:eastAsia="宋体" w:cs="宋体"/>
          <w:b/>
          <w:sz w:val="24"/>
          <w:szCs w:val="24"/>
          <w:highlight w:val="none"/>
        </w:rPr>
      </w:pPr>
      <w:bookmarkStart w:id="37" w:name="_Toc2375"/>
      <w:bookmarkStart w:id="38" w:name="_Toc8586"/>
      <w:bookmarkStart w:id="39" w:name="_Toc24662"/>
      <w:bookmarkStart w:id="40" w:name="_Toc5698"/>
      <w:bookmarkStart w:id="41" w:name="_Toc3079"/>
      <w:r>
        <w:rPr>
          <w:rFonts w:hint="eastAsia" w:ascii="宋体" w:hAnsi="宋体" w:eastAsia="宋体" w:cs="宋体"/>
          <w:b/>
          <w:sz w:val="24"/>
          <w:szCs w:val="24"/>
          <w:highlight w:val="none"/>
        </w:rPr>
        <w:br w:type="page"/>
      </w:r>
    </w:p>
    <w:p w14:paraId="3979EF1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1.6 违约责任</w:t>
      </w:r>
      <w:bookmarkEnd w:id="37"/>
      <w:bookmarkEnd w:id="38"/>
      <w:bookmarkEnd w:id="39"/>
      <w:bookmarkEnd w:id="40"/>
      <w:bookmarkEnd w:id="41"/>
    </w:p>
    <w:p w14:paraId="7B6A505A">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%；迟延履行的违约金计算数额达到前述最高限额之日起，甲方有权在要求乙方支付违约金的同时，书面通知乙方解除本合同；</w:t>
      </w:r>
    </w:p>
    <w:p w14:paraId="63AA246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4DE4919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B320D1B">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5DAA4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7B0059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714E39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42" w:name="_Toc18683"/>
      <w:bookmarkStart w:id="43" w:name="_Toc9497"/>
      <w:bookmarkStart w:id="44" w:name="_Toc30329"/>
      <w:bookmarkStart w:id="45" w:name="_Toc32454"/>
      <w:bookmarkStart w:id="46" w:name="_Toc26807"/>
      <w:r>
        <w:rPr>
          <w:rFonts w:hint="eastAsia" w:ascii="宋体" w:hAnsi="宋体" w:eastAsia="宋体" w:cs="宋体"/>
          <w:b/>
          <w:sz w:val="24"/>
          <w:szCs w:val="24"/>
          <w:highlight w:val="none"/>
        </w:rPr>
        <w:t>1.7 合同争议的解决</w:t>
      </w:r>
      <w:bookmarkEnd w:id="42"/>
      <w:bookmarkEnd w:id="43"/>
      <w:bookmarkEnd w:id="44"/>
      <w:bookmarkEnd w:id="45"/>
      <w:bookmarkEnd w:id="46"/>
    </w:p>
    <w:p w14:paraId="56075E1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种方式解决：</w:t>
      </w:r>
    </w:p>
    <w:p w14:paraId="31158B2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 将争议提交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仲裁委员会依申请仲裁时其现行有效的仲裁规则裁决；</w:t>
      </w:r>
    </w:p>
    <w:p w14:paraId="0E4E40F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highlight w:val="none"/>
        </w:rPr>
        <w:t>人民法院起诉。</w:t>
      </w:r>
    </w:p>
    <w:p w14:paraId="297E044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47" w:name="_Toc12273"/>
      <w:bookmarkStart w:id="48" w:name="_Toc16417"/>
      <w:bookmarkStart w:id="49" w:name="_Toc23784"/>
      <w:bookmarkStart w:id="50" w:name="_Toc26227"/>
      <w:bookmarkStart w:id="51" w:name="_Toc15827"/>
      <w:r>
        <w:rPr>
          <w:rFonts w:hint="eastAsia" w:ascii="宋体" w:hAnsi="宋体" w:eastAsia="宋体" w:cs="宋体"/>
          <w:b/>
          <w:sz w:val="24"/>
          <w:szCs w:val="24"/>
          <w:highlight w:val="none"/>
        </w:rPr>
        <w:t>1.8 合同生效</w:t>
      </w:r>
      <w:bookmarkEnd w:id="47"/>
      <w:bookmarkEnd w:id="48"/>
      <w:bookmarkEnd w:id="49"/>
      <w:bookmarkEnd w:id="50"/>
      <w:bookmarkEnd w:id="51"/>
    </w:p>
    <w:p w14:paraId="380BA043">
      <w:pPr>
        <w:spacing w:line="3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本合同自双方当事人盖章或者签字时生效。</w:t>
      </w:r>
    </w:p>
    <w:p w14:paraId="494E5719">
      <w:pPr>
        <w:autoSpaceDE w:val="0"/>
        <w:autoSpaceDN w:val="0"/>
        <w:adjustRightInd w:val="0"/>
        <w:spacing w:line="340" w:lineRule="exact"/>
        <w:rPr>
          <w:rFonts w:hint="eastAsia" w:ascii="宋体" w:hAnsi="宋体" w:eastAsia="宋体" w:cs="宋体"/>
          <w:sz w:val="24"/>
          <w:szCs w:val="24"/>
          <w:highlight w:val="none"/>
          <w:lang w:val="zh-CN"/>
        </w:rPr>
      </w:pPr>
    </w:p>
    <w:p w14:paraId="6CE7FB5F">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14:paraId="5C7F367D">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sz w:val="24"/>
          <w:szCs w:val="24"/>
          <w:highlight w:val="none"/>
          <w:lang w:val="zh-CN"/>
        </w:rPr>
        <w:t xml:space="preserve">      乙方</w:t>
      </w:r>
      <w:r>
        <w:rPr>
          <w:rFonts w:hint="eastAsia" w:ascii="宋体" w:hAnsi="宋体" w:eastAsia="宋体" w:cs="宋体"/>
          <w:sz w:val="24"/>
          <w:szCs w:val="24"/>
          <w:highlight w:val="none"/>
          <w:lang w:val="zh-CN"/>
        </w:rPr>
        <w:t>：</w:t>
      </w:r>
    </w:p>
    <w:p w14:paraId="0FAF7467">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统一社会信用代码：                        统一社会信用代码或身份证号码：</w:t>
      </w:r>
    </w:p>
    <w:p w14:paraId="733C5552">
      <w:pPr>
        <w:autoSpaceDE w:val="0"/>
        <w:autoSpaceDN w:val="0"/>
        <w:adjustRightInd w:val="0"/>
        <w:spacing w:line="340" w:lineRule="exact"/>
        <w:rPr>
          <w:rFonts w:hint="eastAsia" w:ascii="宋体" w:hAnsi="宋体" w:eastAsia="宋体" w:cs="宋体"/>
          <w:sz w:val="24"/>
          <w:szCs w:val="24"/>
          <w:highlight w:val="none"/>
          <w:lang w:val="zh-CN"/>
        </w:rPr>
      </w:pPr>
    </w:p>
    <w:p w14:paraId="6C706763">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住所：                                   住所：</w:t>
      </w:r>
    </w:p>
    <w:p w14:paraId="5903BDCB">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法定代表人或                             法定代表人</w:t>
      </w:r>
    </w:p>
    <w:p w14:paraId="542FDDD5">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或授权代表（签字）： </w:t>
      </w:r>
    </w:p>
    <w:p w14:paraId="7E2378A3">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                                 联系人：</w:t>
      </w:r>
    </w:p>
    <w:p w14:paraId="2582E238">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约定送达地址：                           约定送达地址：</w:t>
      </w:r>
    </w:p>
    <w:p w14:paraId="43C46138">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                               邮政编码：</w:t>
      </w:r>
    </w:p>
    <w:p w14:paraId="70E546DB">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电话:                                    电话： </w:t>
      </w:r>
    </w:p>
    <w:p w14:paraId="4662A198">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传真：                                   传真：</w:t>
      </w:r>
    </w:p>
    <w:p w14:paraId="426B46AA">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电子邮箱：                               电子邮箱：</w:t>
      </w:r>
    </w:p>
    <w:p w14:paraId="390520CF">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14:paraId="2AF8CA78">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开户名称： </w:t>
      </w:r>
    </w:p>
    <w:p w14:paraId="001B2666">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开户账号：</w:t>
      </w:r>
    </w:p>
    <w:p w14:paraId="3BA5D300">
      <w:pPr>
        <w:widowControl/>
        <w:spacing w:line="340" w:lineRule="exact"/>
        <w:jc w:val="left"/>
        <w:rPr>
          <w:rFonts w:hint="eastAsia" w:ascii="宋体" w:hAnsi="宋体" w:eastAsia="宋体" w:cs="宋体"/>
          <w:b/>
          <w:sz w:val="24"/>
          <w:szCs w:val="24"/>
          <w:highlight w:val="none"/>
        </w:rPr>
      </w:pPr>
      <w:bookmarkStart w:id="52" w:name="_Toc331685783"/>
    </w:p>
    <w:p w14:paraId="55929FCE">
      <w:pPr>
        <w:widowControl/>
        <w:spacing w:line="340" w:lineRule="exact"/>
        <w:jc w:val="left"/>
        <w:rPr>
          <w:rFonts w:hint="eastAsia" w:ascii="宋体" w:hAnsi="宋体" w:eastAsia="宋体" w:cs="宋体"/>
          <w:b/>
          <w:sz w:val="24"/>
          <w:szCs w:val="24"/>
          <w:highlight w:val="none"/>
        </w:rPr>
      </w:pPr>
    </w:p>
    <w:p w14:paraId="46890BEE">
      <w:pPr>
        <w:pStyle w:val="46"/>
        <w:spacing w:line="340" w:lineRule="exact"/>
        <w:ind w:firstLine="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第二部分 合同一般条款</w:t>
      </w:r>
      <w:bookmarkEnd w:id="52"/>
    </w:p>
    <w:p w14:paraId="593FA0F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53" w:name="_Ref467379109"/>
      <w:bookmarkStart w:id="54" w:name="_Ref467379195"/>
      <w:bookmarkStart w:id="55" w:name="_Ref467379205"/>
      <w:bookmarkStart w:id="56" w:name="_Ref467378463"/>
      <w:bookmarkStart w:id="57" w:name="_Toc25079"/>
      <w:bookmarkStart w:id="58" w:name="_Toc31297"/>
      <w:bookmarkStart w:id="59" w:name="_Ref467378404"/>
      <w:bookmarkStart w:id="60" w:name="_Toc279701240"/>
      <w:bookmarkStart w:id="61" w:name="_Toc5228"/>
      <w:bookmarkStart w:id="62" w:name="_Toc487900349"/>
      <w:bookmarkStart w:id="63" w:name="_Toc14021"/>
      <w:bookmarkStart w:id="64" w:name="_Ref467378499"/>
      <w:bookmarkStart w:id="65" w:name="_Ref467379214"/>
      <w:bookmarkStart w:id="66" w:name="_Ref467379225"/>
      <w:bookmarkStart w:id="67" w:name="_Ref467379094"/>
      <w:bookmarkStart w:id="68" w:name="_Ref467379101"/>
      <w:bookmarkStart w:id="69" w:name="_Toc259093669"/>
      <w:bookmarkStart w:id="70" w:name="_Toc19680"/>
      <w:r>
        <w:rPr>
          <w:rFonts w:hint="eastAsia" w:ascii="宋体" w:hAnsi="宋体" w:eastAsia="宋体" w:cs="宋体"/>
          <w:b/>
          <w:sz w:val="24"/>
          <w:szCs w:val="24"/>
          <w:highlight w:val="none"/>
        </w:rPr>
        <w:t>2.1 定义</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A61DB5B">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42D1ACDF">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 “合同”系指采购人和中标供应商签订的载明双方当事人所达成的协议，并包括所有的附件、附录和构成合同的其他文件。</w:t>
      </w:r>
    </w:p>
    <w:p w14:paraId="24776C1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 “合同价”系指根据合同约定，中标供应商在完全履行合同义务后，采购人应支付给中标供应商的价格。</w:t>
      </w:r>
    </w:p>
    <w:p w14:paraId="37B45557">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 “服务”系指中标供应商根据合同约定应向采购人履行的除货物和工程以外的其他政府采购对象，包括采购人自身需要的服务和向社会公众提供的公共服务。</w:t>
      </w:r>
    </w:p>
    <w:p w14:paraId="014904EE">
      <w:pPr>
        <w:spacing w:line="340" w:lineRule="exact"/>
        <w:ind w:firstLine="480" w:firstLineChars="200"/>
        <w:rPr>
          <w:rFonts w:hint="eastAsia" w:ascii="宋体" w:hAnsi="宋体" w:eastAsia="宋体" w:cs="宋体"/>
          <w:sz w:val="24"/>
          <w:szCs w:val="24"/>
          <w:highlight w:val="none"/>
        </w:rPr>
      </w:pPr>
      <w:bookmarkStart w:id="71" w:name="_Ref467378840"/>
      <w:r>
        <w:rPr>
          <w:rFonts w:hint="eastAsia" w:ascii="宋体" w:hAnsi="宋体" w:eastAsia="宋体" w:cs="宋体"/>
          <w:sz w:val="24"/>
          <w:szCs w:val="24"/>
          <w:highlight w:val="none"/>
        </w:rPr>
        <w:t>2.1.4 “甲方”系指与中标供应商签署合同的采购人</w:t>
      </w:r>
      <w:bookmarkEnd w:id="71"/>
      <w:r>
        <w:rPr>
          <w:rFonts w:hint="eastAsia" w:ascii="宋体" w:hAnsi="宋体" w:eastAsia="宋体" w:cs="宋体"/>
          <w:sz w:val="24"/>
          <w:szCs w:val="24"/>
          <w:highlight w:val="none"/>
        </w:rPr>
        <w:t>；采购人委托采购代理机构代表其与乙方签订合同的，采购人的授权委托书作为合同附件。</w:t>
      </w:r>
    </w:p>
    <w:p w14:paraId="0792CA90">
      <w:pPr>
        <w:spacing w:line="340" w:lineRule="exact"/>
        <w:ind w:firstLine="480" w:firstLineChars="200"/>
        <w:rPr>
          <w:rFonts w:hint="eastAsia" w:ascii="宋体" w:hAnsi="宋体" w:eastAsia="宋体" w:cs="宋体"/>
          <w:sz w:val="24"/>
          <w:szCs w:val="24"/>
          <w:highlight w:val="none"/>
        </w:rPr>
      </w:pPr>
      <w:bookmarkStart w:id="72" w:name="_Ref467379400"/>
      <w:r>
        <w:rPr>
          <w:rFonts w:hint="eastAsia" w:ascii="宋体" w:hAnsi="宋体" w:eastAsia="宋体" w:cs="宋体"/>
          <w:sz w:val="24"/>
          <w:szCs w:val="24"/>
          <w:highlight w:val="none"/>
        </w:rPr>
        <w:t>2.1.5 “乙方”系指根据合同约定提供服务的中标供应商</w:t>
      </w:r>
      <w:bookmarkEnd w:id="72"/>
      <w:r>
        <w:rPr>
          <w:rFonts w:hint="eastAsia" w:ascii="宋体" w:hAnsi="宋体" w:eastAsia="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D851E3D">
      <w:pPr>
        <w:spacing w:line="340" w:lineRule="exact"/>
        <w:ind w:firstLine="480" w:firstLineChars="200"/>
        <w:rPr>
          <w:rFonts w:hint="eastAsia" w:ascii="宋体" w:hAnsi="宋体" w:eastAsia="宋体" w:cs="宋体"/>
          <w:sz w:val="24"/>
          <w:szCs w:val="24"/>
          <w:highlight w:val="none"/>
        </w:rPr>
      </w:pPr>
      <w:bookmarkStart w:id="73" w:name="_Ref467379436"/>
      <w:r>
        <w:rPr>
          <w:rFonts w:hint="eastAsia" w:ascii="宋体" w:hAnsi="宋体" w:eastAsia="宋体" w:cs="宋体"/>
          <w:sz w:val="24"/>
          <w:szCs w:val="24"/>
          <w:highlight w:val="none"/>
        </w:rPr>
        <w:t>2.1.6 “现场”系指合同约定提供服务的地点。</w:t>
      </w:r>
      <w:bookmarkEnd w:id="73"/>
    </w:p>
    <w:p w14:paraId="0583A16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74" w:name="_Toc19539"/>
      <w:bookmarkStart w:id="75" w:name="_Toc487900350"/>
      <w:bookmarkStart w:id="76" w:name="_Toc259093670"/>
      <w:bookmarkStart w:id="77" w:name="_Toc16752"/>
      <w:bookmarkStart w:id="78" w:name="_Toc279701241"/>
      <w:bookmarkStart w:id="79" w:name="_Toc23289"/>
      <w:bookmarkStart w:id="80" w:name="_Toc31402"/>
      <w:bookmarkStart w:id="81" w:name="_Toc3769"/>
      <w:r>
        <w:rPr>
          <w:rFonts w:hint="eastAsia" w:ascii="宋体" w:hAnsi="宋体" w:eastAsia="宋体" w:cs="宋体"/>
          <w:b/>
          <w:sz w:val="24"/>
          <w:szCs w:val="24"/>
          <w:highlight w:val="none"/>
        </w:rPr>
        <w:t>2.2 技术规范</w:t>
      </w:r>
      <w:bookmarkEnd w:id="74"/>
      <w:bookmarkEnd w:id="75"/>
      <w:bookmarkEnd w:id="76"/>
      <w:bookmarkEnd w:id="77"/>
      <w:bookmarkEnd w:id="78"/>
      <w:bookmarkEnd w:id="79"/>
      <w:bookmarkEnd w:id="80"/>
      <w:bookmarkEnd w:id="81"/>
    </w:p>
    <w:p w14:paraId="650E3473">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服务所应遵守的技术规范应与采购文件规定的技术规范和技术规范附件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如果有的话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及其技术规范偏差表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如果被甲方接受的话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相一致；如果采购文件中没有技术规范的相应说明，那么应以国家有关部门最新颁布的相应标准和规范为准。</w:t>
      </w:r>
    </w:p>
    <w:p w14:paraId="40E2969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82" w:name="_Toc12412"/>
      <w:bookmarkStart w:id="83" w:name="_Toc9161"/>
      <w:bookmarkStart w:id="84" w:name="_Toc279701242"/>
      <w:bookmarkStart w:id="85" w:name="_Toc13673"/>
      <w:bookmarkStart w:id="86" w:name="_Toc259093671"/>
      <w:bookmarkStart w:id="87" w:name="_Toc487900351"/>
      <w:bookmarkStart w:id="88" w:name="_Toc27945"/>
      <w:bookmarkStart w:id="89" w:name="_Toc4133"/>
      <w:r>
        <w:rPr>
          <w:rFonts w:hint="eastAsia" w:ascii="宋体" w:hAnsi="宋体" w:eastAsia="宋体" w:cs="宋体"/>
          <w:b/>
          <w:sz w:val="24"/>
          <w:szCs w:val="24"/>
          <w:highlight w:val="none"/>
        </w:rPr>
        <w:t>2.3 知识产权</w:t>
      </w:r>
      <w:bookmarkEnd w:id="82"/>
      <w:bookmarkEnd w:id="83"/>
      <w:bookmarkEnd w:id="84"/>
      <w:bookmarkEnd w:id="85"/>
      <w:bookmarkEnd w:id="86"/>
      <w:bookmarkEnd w:id="87"/>
      <w:bookmarkEnd w:id="88"/>
      <w:bookmarkEnd w:id="89"/>
    </w:p>
    <w:p w14:paraId="388CD98C">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95831C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 合同涉及技术成果的归属和收益的分成办法的，详见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7AE64CF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2.4 履约检查和问题反馈</w:t>
      </w:r>
    </w:p>
    <w:p w14:paraId="3AB2FD31">
      <w:pPr>
        <w:spacing w:line="340" w:lineRule="exact"/>
        <w:ind w:firstLine="480" w:firstLineChars="200"/>
        <w:rPr>
          <w:rFonts w:hint="eastAsia" w:ascii="宋体" w:hAnsi="宋体" w:eastAsia="宋体" w:cs="宋体"/>
          <w:sz w:val="24"/>
          <w:szCs w:val="24"/>
          <w:highlight w:val="none"/>
        </w:rPr>
      </w:pPr>
      <w:bookmarkStart w:id="90" w:name="_Ref467379657"/>
      <w:r>
        <w:rPr>
          <w:rFonts w:hint="eastAsia" w:ascii="宋体" w:hAnsi="宋体" w:eastAsia="宋体" w:cs="宋体"/>
          <w:sz w:val="24"/>
          <w:szCs w:val="24"/>
          <w:highlight w:val="none"/>
        </w:rPr>
        <w:t>2.4.1</w:t>
      </w:r>
      <w:bookmarkEnd w:id="90"/>
      <w:bookmarkStart w:id="91" w:name="_Toc186431854"/>
      <w:bookmarkStart w:id="92" w:name="_Toc279701247"/>
      <w:bookmarkStart w:id="93" w:name="_Toc487900357"/>
      <w:bookmarkStart w:id="94" w:name="_Ref467379793"/>
      <w:bookmarkStart w:id="95" w:name="_Ref467379807"/>
      <w:bookmarkStart w:id="96" w:name="_Toc259093676"/>
      <w:r>
        <w:rPr>
          <w:rFonts w:hint="eastAsia" w:ascii="宋体" w:hAnsi="宋体" w:eastAsia="宋体" w:cs="宋体"/>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C9C3FBD">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2.4.2 合同履行期间，甲方有权将履行过程中出现的问题反馈给乙方，双方当事人应以书面形式约定需要完善和改进的内容</w:t>
      </w:r>
      <w:bookmarkEnd w:id="91"/>
      <w:bookmarkStart w:id="97" w:name="_Toc186431855"/>
      <w:r>
        <w:rPr>
          <w:rFonts w:hint="eastAsia" w:ascii="宋体" w:hAnsi="宋体" w:eastAsia="宋体" w:cs="宋体"/>
          <w:sz w:val="24"/>
          <w:szCs w:val="24"/>
          <w:highlight w:val="none"/>
        </w:rPr>
        <w:t>。</w:t>
      </w:r>
    </w:p>
    <w:bookmarkEnd w:id="97"/>
    <w:p w14:paraId="7FB3AC6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98" w:name="_Toc26555"/>
      <w:bookmarkStart w:id="99" w:name="_Toc32670"/>
      <w:bookmarkStart w:id="100" w:name="_Toc22011"/>
      <w:bookmarkStart w:id="101" w:name="_Toc15447"/>
      <w:bookmarkStart w:id="102" w:name="_Toc31233"/>
      <w:r>
        <w:rPr>
          <w:rFonts w:hint="eastAsia" w:ascii="宋体" w:hAnsi="宋体" w:eastAsia="宋体" w:cs="宋体"/>
          <w:b/>
          <w:sz w:val="24"/>
          <w:szCs w:val="24"/>
          <w:highlight w:val="none"/>
        </w:rPr>
        <w:t>2.5 结算方式和付款条件</w:t>
      </w:r>
      <w:bookmarkEnd w:id="92"/>
      <w:bookmarkEnd w:id="93"/>
      <w:bookmarkEnd w:id="94"/>
      <w:bookmarkEnd w:id="95"/>
      <w:bookmarkEnd w:id="96"/>
      <w:bookmarkEnd w:id="98"/>
      <w:bookmarkEnd w:id="99"/>
      <w:bookmarkEnd w:id="100"/>
      <w:bookmarkEnd w:id="101"/>
      <w:bookmarkEnd w:id="102"/>
    </w:p>
    <w:p w14:paraId="54E5E5F7">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214579F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03" w:name="_Toc279701248"/>
      <w:bookmarkStart w:id="104" w:name="_Ref467379923"/>
      <w:bookmarkStart w:id="105" w:name="_Toc487900358"/>
      <w:bookmarkStart w:id="106" w:name="_Ref467379863"/>
      <w:bookmarkStart w:id="107" w:name="_Ref467379852"/>
      <w:bookmarkStart w:id="108" w:name="_Toc259093677"/>
      <w:bookmarkStart w:id="109" w:name="_Toc13467"/>
      <w:bookmarkStart w:id="110" w:name="_Toc16163"/>
      <w:bookmarkStart w:id="111" w:name="_Toc30507"/>
      <w:bookmarkStart w:id="112" w:name="_Toc13154"/>
      <w:bookmarkStart w:id="113" w:name="_Toc18990"/>
      <w:r>
        <w:rPr>
          <w:rFonts w:hint="eastAsia" w:ascii="宋体" w:hAnsi="宋体" w:eastAsia="宋体" w:cs="宋体"/>
          <w:b/>
          <w:sz w:val="24"/>
          <w:szCs w:val="24"/>
          <w:highlight w:val="none"/>
        </w:rPr>
        <w:t>2.6 技术资料</w:t>
      </w:r>
      <w:bookmarkEnd w:id="103"/>
      <w:bookmarkEnd w:id="104"/>
      <w:bookmarkEnd w:id="105"/>
      <w:bookmarkEnd w:id="106"/>
      <w:bookmarkEnd w:id="107"/>
      <w:bookmarkEnd w:id="108"/>
      <w:r>
        <w:rPr>
          <w:rFonts w:hint="eastAsia" w:ascii="宋体" w:hAnsi="宋体" w:eastAsia="宋体" w:cs="宋体"/>
          <w:b/>
          <w:sz w:val="24"/>
          <w:szCs w:val="24"/>
          <w:highlight w:val="none"/>
        </w:rPr>
        <w:t>和保密义务</w:t>
      </w:r>
      <w:bookmarkEnd w:id="109"/>
      <w:bookmarkEnd w:id="110"/>
      <w:bookmarkEnd w:id="111"/>
      <w:bookmarkEnd w:id="112"/>
      <w:bookmarkEnd w:id="113"/>
    </w:p>
    <w:p w14:paraId="2052CE1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2.6.1 乙方有权依据合同约定和项目需要，向甲方了解有关情况，调阅有关资料等，甲方应予积极配合；</w:t>
      </w:r>
    </w:p>
    <w:p w14:paraId="07E614A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2.6.2 乙方有义务妥善保管和保护由甲方提供的前款信息和资料等；</w:t>
      </w:r>
    </w:p>
    <w:p w14:paraId="061F0C63">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5C9408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14" w:name="_Toc19069"/>
      <w:bookmarkStart w:id="115" w:name="_Toc279701252"/>
      <w:bookmarkStart w:id="116" w:name="_Toc259093681"/>
      <w:bookmarkStart w:id="117" w:name="_Toc487900362"/>
      <w:r>
        <w:rPr>
          <w:rFonts w:hint="eastAsia" w:ascii="宋体" w:hAnsi="宋体" w:eastAsia="宋体" w:cs="宋体"/>
          <w:b/>
          <w:sz w:val="24"/>
          <w:szCs w:val="24"/>
          <w:highlight w:val="none"/>
        </w:rPr>
        <w:t>2.7 质量保证</w:t>
      </w:r>
      <w:bookmarkEnd w:id="114"/>
    </w:p>
    <w:p w14:paraId="58B07EC7">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2.7.1 乙方应建立和完善履行合同的内部质量保证体系，并提供相关内部规章制度给甲方，以便甲方进行监督检查；</w:t>
      </w:r>
    </w:p>
    <w:p w14:paraId="5A6F4F0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2.7.2 乙方应保证履行合同的人员数量和素质、软件和硬件设备的配置、场地、环境和设施等满足全面履行合同的要求，并应接受甲方的监督检查。</w:t>
      </w:r>
    </w:p>
    <w:p w14:paraId="4BBB5CF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18" w:name="_Toc22267"/>
      <w:r>
        <w:rPr>
          <w:rFonts w:hint="eastAsia" w:ascii="宋体" w:hAnsi="宋体" w:eastAsia="宋体" w:cs="宋体"/>
          <w:b/>
          <w:sz w:val="24"/>
          <w:szCs w:val="24"/>
          <w:highlight w:val="none"/>
        </w:rPr>
        <w:t>2.8 延迟</w:t>
      </w:r>
      <w:bookmarkEnd w:id="115"/>
      <w:bookmarkEnd w:id="116"/>
      <w:bookmarkEnd w:id="117"/>
      <w:r>
        <w:rPr>
          <w:rFonts w:hint="eastAsia" w:ascii="宋体" w:hAnsi="宋体" w:eastAsia="宋体" w:cs="宋体"/>
          <w:b/>
          <w:sz w:val="24"/>
          <w:szCs w:val="24"/>
          <w:highlight w:val="none"/>
        </w:rPr>
        <w:t>履行</w:t>
      </w:r>
      <w:bookmarkEnd w:id="118"/>
    </w:p>
    <w:p w14:paraId="246EC35E">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4B63C9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19" w:name="_Toc10611"/>
      <w:bookmarkStart w:id="120" w:name="_Toc279701254"/>
      <w:bookmarkStart w:id="121" w:name="_Toc487900364"/>
      <w:bookmarkStart w:id="122" w:name="_Toc259093683"/>
      <w:bookmarkStart w:id="123" w:name="_Ref467378121"/>
      <w:r>
        <w:rPr>
          <w:rFonts w:hint="eastAsia" w:ascii="宋体" w:hAnsi="宋体" w:eastAsia="宋体" w:cs="宋体"/>
          <w:b/>
          <w:sz w:val="24"/>
          <w:szCs w:val="24"/>
          <w:highlight w:val="none"/>
        </w:rPr>
        <w:t>2.9 合同变更</w:t>
      </w:r>
      <w:bookmarkEnd w:id="119"/>
    </w:p>
    <w:p w14:paraId="6352B22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245C3D3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24" w:name="_Toc259093688"/>
      <w:bookmarkStart w:id="125" w:name="_Toc487900369"/>
      <w:bookmarkStart w:id="126" w:name="_Toc279701259"/>
    </w:p>
    <w:p w14:paraId="3DA68A5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27" w:name="_Toc10663"/>
      <w:bookmarkStart w:id="128" w:name="_Toc23368"/>
      <w:bookmarkStart w:id="129" w:name="_Toc42"/>
      <w:bookmarkStart w:id="130" w:name="_Toc21830"/>
      <w:bookmarkStart w:id="131" w:name="_Toc26689"/>
      <w:r>
        <w:rPr>
          <w:rFonts w:hint="eastAsia" w:ascii="宋体" w:hAnsi="宋体" w:eastAsia="宋体" w:cs="宋体"/>
          <w:b/>
          <w:sz w:val="24"/>
          <w:szCs w:val="24"/>
          <w:highlight w:val="none"/>
        </w:rPr>
        <w:t>2.10 合同转让</w:t>
      </w:r>
      <w:bookmarkEnd w:id="124"/>
      <w:bookmarkEnd w:id="125"/>
      <w:bookmarkEnd w:id="126"/>
      <w:r>
        <w:rPr>
          <w:rFonts w:hint="eastAsia" w:ascii="宋体" w:hAnsi="宋体" w:eastAsia="宋体" w:cs="宋体"/>
          <w:b/>
          <w:sz w:val="24"/>
          <w:szCs w:val="24"/>
          <w:highlight w:val="none"/>
        </w:rPr>
        <w:t>和分包</w:t>
      </w:r>
      <w:bookmarkEnd w:id="127"/>
      <w:bookmarkEnd w:id="128"/>
      <w:bookmarkEnd w:id="129"/>
      <w:bookmarkEnd w:id="130"/>
      <w:bookmarkEnd w:id="131"/>
    </w:p>
    <w:p w14:paraId="24CFB2B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E822F6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32" w:name="_Toc14371"/>
      <w:bookmarkStart w:id="133" w:name="_Toc4720"/>
      <w:bookmarkStart w:id="134" w:name="_Toc26633"/>
      <w:bookmarkStart w:id="135" w:name="_Toc25571"/>
      <w:bookmarkStart w:id="136" w:name="_Toc32494"/>
      <w:r>
        <w:rPr>
          <w:rFonts w:hint="eastAsia" w:ascii="宋体" w:hAnsi="宋体" w:eastAsia="宋体" w:cs="宋体"/>
          <w:b/>
          <w:sz w:val="24"/>
          <w:szCs w:val="24"/>
          <w:highlight w:val="none"/>
        </w:rPr>
        <w:t>2.11 不可抗力</w:t>
      </w:r>
      <w:bookmarkEnd w:id="132"/>
      <w:bookmarkEnd w:id="133"/>
      <w:bookmarkEnd w:id="134"/>
      <w:bookmarkEnd w:id="135"/>
      <w:bookmarkEnd w:id="136"/>
    </w:p>
    <w:p w14:paraId="43289E4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2.11.1如果任何一方遭遇法律规定的不可抗力，致使合同履行受阻时，履行合同的期限应予延长，延长的期限应相当于不可抗力所影响的时间；</w:t>
      </w:r>
    </w:p>
    <w:p w14:paraId="22C4C7FE">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2.11.2 因不可抗力致使不能实现合同目的的，当事人可以解除合同；</w:t>
      </w:r>
    </w:p>
    <w:p w14:paraId="0D3FC94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2.11.3 因不可抗力致使合同有变更必要的，双方当事人应在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22A4C27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2.11.4受不可抗力影响的一方在不可抗力发生后，应在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65B35D7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37" w:name="_Toc3638"/>
      <w:bookmarkStart w:id="138" w:name="_Toc23854"/>
      <w:bookmarkStart w:id="139" w:name="_Toc25783"/>
      <w:bookmarkStart w:id="140" w:name="_Toc279701255"/>
      <w:bookmarkStart w:id="141" w:name="_Toc259093684"/>
      <w:bookmarkStart w:id="142" w:name="_Toc14115"/>
      <w:bookmarkStart w:id="143" w:name="_Toc24465"/>
      <w:bookmarkStart w:id="144" w:name="_Toc487900365"/>
      <w:r>
        <w:rPr>
          <w:rFonts w:hint="eastAsia" w:ascii="宋体" w:hAnsi="宋体" w:eastAsia="宋体" w:cs="宋体"/>
          <w:b/>
          <w:sz w:val="24"/>
          <w:szCs w:val="24"/>
          <w:highlight w:val="none"/>
        </w:rPr>
        <w:t>2.12 税费</w:t>
      </w:r>
      <w:bookmarkEnd w:id="137"/>
      <w:bookmarkEnd w:id="138"/>
      <w:bookmarkEnd w:id="139"/>
      <w:bookmarkEnd w:id="140"/>
      <w:bookmarkEnd w:id="141"/>
      <w:bookmarkEnd w:id="142"/>
      <w:bookmarkEnd w:id="143"/>
      <w:bookmarkEnd w:id="144"/>
    </w:p>
    <w:p w14:paraId="0BBD132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0EA686B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45" w:name="_Toc30105"/>
      <w:bookmarkStart w:id="146" w:name="_Toc259093687"/>
      <w:bookmarkStart w:id="147" w:name="_Toc14814"/>
      <w:bookmarkStart w:id="148" w:name="_Toc26883"/>
      <w:bookmarkStart w:id="149" w:name="_Toc7315"/>
      <w:bookmarkStart w:id="150" w:name="_Toc25525"/>
      <w:bookmarkStart w:id="151" w:name="_Toc279701258"/>
      <w:bookmarkStart w:id="152" w:name="_Toc487900368"/>
      <w:r>
        <w:rPr>
          <w:rFonts w:hint="eastAsia" w:ascii="宋体" w:hAnsi="宋体" w:eastAsia="宋体" w:cs="宋体"/>
          <w:b/>
          <w:sz w:val="24"/>
          <w:szCs w:val="24"/>
          <w:highlight w:val="none"/>
        </w:rPr>
        <w:t>2.13 乙方破产</w:t>
      </w:r>
      <w:bookmarkEnd w:id="145"/>
      <w:bookmarkEnd w:id="146"/>
      <w:bookmarkEnd w:id="147"/>
      <w:bookmarkEnd w:id="148"/>
      <w:bookmarkEnd w:id="149"/>
      <w:bookmarkEnd w:id="150"/>
      <w:bookmarkEnd w:id="151"/>
      <w:bookmarkEnd w:id="152"/>
    </w:p>
    <w:p w14:paraId="72D6416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C8E48C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53" w:name="_Toc23323"/>
      <w:bookmarkStart w:id="154" w:name="_Toc2016"/>
      <w:bookmarkStart w:id="155" w:name="_Toc1123"/>
      <w:r>
        <w:rPr>
          <w:rFonts w:hint="eastAsia" w:ascii="宋体" w:hAnsi="宋体" w:eastAsia="宋体" w:cs="宋体"/>
          <w:b/>
          <w:sz w:val="24"/>
          <w:szCs w:val="24"/>
          <w:highlight w:val="none"/>
        </w:rPr>
        <w:t>2.14 合同中止、终止</w:t>
      </w:r>
      <w:bookmarkEnd w:id="153"/>
      <w:bookmarkEnd w:id="154"/>
      <w:bookmarkEnd w:id="155"/>
    </w:p>
    <w:p w14:paraId="7AADFC8A">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2.14.1 双方当事人不得擅自中止或者终止合同；</w:t>
      </w:r>
    </w:p>
    <w:p w14:paraId="759C385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61D3C47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56" w:name="_Toc14525"/>
      <w:bookmarkStart w:id="157" w:name="_Toc1969"/>
      <w:bookmarkStart w:id="158" w:name="_Toc17363"/>
      <w:r>
        <w:rPr>
          <w:rFonts w:hint="eastAsia" w:ascii="宋体" w:hAnsi="宋体" w:eastAsia="宋体" w:cs="宋体"/>
          <w:b/>
          <w:sz w:val="24"/>
          <w:szCs w:val="24"/>
          <w:highlight w:val="none"/>
        </w:rPr>
        <w:t>2.15 检验和验收</w:t>
      </w:r>
      <w:bookmarkEnd w:id="156"/>
      <w:bookmarkEnd w:id="157"/>
      <w:bookmarkEnd w:id="158"/>
    </w:p>
    <w:p w14:paraId="7BF82873">
      <w:pPr>
        <w:tabs>
          <w:tab w:val="left" w:pos="360"/>
          <w:tab w:val="left" w:pos="540"/>
          <w:tab w:val="left" w:pos="1080"/>
        </w:tabs>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2.15.1 乙方按照</w:t>
      </w:r>
      <w:r>
        <w:rPr>
          <w:rFonts w:hint="eastAsia" w:ascii="宋体" w:hAnsi="宋体" w:eastAsia="宋体" w:cs="宋体"/>
          <w:b/>
          <w:i/>
          <w:iCs w:val="0"/>
          <w:sz w:val="24"/>
          <w:szCs w:val="24"/>
          <w:highlight w:val="none"/>
          <w:u w:val="single"/>
        </w:rPr>
        <w:t>合同专用条款</w:t>
      </w:r>
      <w:r>
        <w:rPr>
          <w:rFonts w:hint="eastAsia" w:ascii="宋体" w:hAnsi="宋体" w:eastAsia="宋体" w:cs="宋体"/>
          <w:sz w:val="24"/>
          <w:szCs w:val="24"/>
          <w:highlight w:val="none"/>
        </w:rPr>
        <w:t>的约定，定期提交服务报告，甲方按照</w:t>
      </w:r>
      <w:r>
        <w:rPr>
          <w:rFonts w:hint="eastAsia" w:ascii="宋体" w:hAnsi="宋体" w:eastAsia="宋体" w:cs="宋体"/>
          <w:b/>
          <w:i/>
          <w:iCs w:val="0"/>
          <w:sz w:val="24"/>
          <w:szCs w:val="24"/>
          <w:highlight w:val="none"/>
          <w:u w:val="single"/>
        </w:rPr>
        <w:t>合同专用条款</w:t>
      </w:r>
      <w:r>
        <w:rPr>
          <w:rFonts w:hint="eastAsia" w:ascii="宋体" w:hAnsi="宋体" w:eastAsia="宋体" w:cs="宋体"/>
          <w:sz w:val="24"/>
          <w:szCs w:val="24"/>
          <w:highlight w:val="none"/>
        </w:rPr>
        <w:t>的约定进行定期验收；</w:t>
      </w:r>
    </w:p>
    <w:p w14:paraId="4E5E4C25">
      <w:pPr>
        <w:tabs>
          <w:tab w:val="left" w:pos="360"/>
          <w:tab w:val="left" w:pos="540"/>
          <w:tab w:val="left" w:pos="1080"/>
        </w:tabs>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C34F481">
      <w:pPr>
        <w:tabs>
          <w:tab w:val="left" w:pos="360"/>
          <w:tab w:val="left" w:pos="540"/>
          <w:tab w:val="left" w:pos="1080"/>
        </w:tabs>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2.15.3 检验和验收标准、程序等具体内容以及前述验收书的效力详见</w:t>
      </w:r>
      <w:r>
        <w:rPr>
          <w:rFonts w:hint="eastAsia" w:ascii="宋体" w:hAnsi="宋体" w:eastAsia="宋体" w:cs="宋体"/>
          <w:b/>
          <w:i/>
          <w:iCs w:val="0"/>
          <w:sz w:val="24"/>
          <w:szCs w:val="24"/>
          <w:highlight w:val="none"/>
          <w:u w:val="single"/>
        </w:rPr>
        <w:t>合同专用条款</w:t>
      </w:r>
      <w:r>
        <w:rPr>
          <w:rFonts w:hint="eastAsia" w:ascii="宋体" w:hAnsi="宋体" w:eastAsia="宋体" w:cs="宋体"/>
          <w:i/>
          <w:sz w:val="24"/>
          <w:szCs w:val="24"/>
          <w:highlight w:val="none"/>
        </w:rPr>
        <w:t>。</w:t>
      </w:r>
    </w:p>
    <w:bookmarkEnd w:id="120"/>
    <w:bookmarkEnd w:id="121"/>
    <w:bookmarkEnd w:id="122"/>
    <w:bookmarkEnd w:id="123"/>
    <w:p w14:paraId="6267A91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59" w:name="_Toc279701261"/>
      <w:bookmarkStart w:id="160" w:name="_Toc487900371"/>
      <w:bookmarkStart w:id="161" w:name="_Toc259093690"/>
      <w:bookmarkStart w:id="162" w:name="_Toc2308"/>
      <w:bookmarkStart w:id="163" w:name="_Toc25198"/>
      <w:bookmarkStart w:id="164" w:name="_Toc9808"/>
      <w:bookmarkStart w:id="165" w:name="_Toc31892"/>
      <w:bookmarkStart w:id="166" w:name="_Toc12666"/>
      <w:r>
        <w:rPr>
          <w:rFonts w:hint="eastAsia" w:ascii="宋体" w:hAnsi="宋体" w:eastAsia="宋体" w:cs="宋体"/>
          <w:b/>
          <w:sz w:val="24"/>
          <w:szCs w:val="24"/>
          <w:highlight w:val="none"/>
        </w:rPr>
        <w:t>2.16 通知</w:t>
      </w:r>
      <w:bookmarkEnd w:id="159"/>
      <w:bookmarkEnd w:id="160"/>
      <w:bookmarkEnd w:id="161"/>
      <w:r>
        <w:rPr>
          <w:rFonts w:hint="eastAsia" w:ascii="宋体" w:hAnsi="宋体" w:eastAsia="宋体" w:cs="宋体"/>
          <w:b/>
          <w:sz w:val="24"/>
          <w:szCs w:val="24"/>
          <w:highlight w:val="none"/>
        </w:rPr>
        <w:t>和送达</w:t>
      </w:r>
      <w:bookmarkEnd w:id="162"/>
      <w:bookmarkEnd w:id="163"/>
      <w:bookmarkEnd w:id="164"/>
      <w:bookmarkEnd w:id="165"/>
      <w:bookmarkEnd w:id="166"/>
    </w:p>
    <w:p w14:paraId="6AAFA039">
      <w:pPr>
        <w:spacing w:line="340" w:lineRule="exact"/>
        <w:ind w:firstLine="480" w:firstLineChars="200"/>
        <w:rPr>
          <w:rFonts w:hint="eastAsia" w:ascii="宋体" w:hAnsi="宋体" w:eastAsia="宋体" w:cs="宋体"/>
          <w:sz w:val="24"/>
          <w:szCs w:val="24"/>
          <w:highlight w:val="none"/>
        </w:rPr>
      </w:pPr>
      <w:bookmarkStart w:id="167" w:name="_Toc29220"/>
      <w:bookmarkStart w:id="168" w:name="_Toc7073"/>
      <w:bookmarkStart w:id="169" w:name="_Toc487900372"/>
      <w:bookmarkStart w:id="170" w:name="_Toc279701262"/>
      <w:bookmarkStart w:id="171" w:name="_Toc259093691"/>
      <w:r>
        <w:rPr>
          <w:rFonts w:hint="eastAsia" w:ascii="宋体" w:hAnsi="宋体" w:eastAsia="宋体" w:cs="宋体"/>
          <w:sz w:val="24"/>
          <w:szCs w:val="24"/>
          <w:highlight w:val="none"/>
        </w:rPr>
        <w:t>2.16.1 任何一方因履行合同而以合同第一部分尾部所列明的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发出的所有通知、文件、材料，均视为已向对方当事人送达；任何一方变更上述送达方式或者地址的，应于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个工作日内书面通知对方当事人，在对方当事人收到有关变更通知之前，变更前的约定送达方式或者地址仍视为有效。</w:t>
      </w:r>
      <w:bookmarkEnd w:id="167"/>
      <w:bookmarkEnd w:id="168"/>
    </w:p>
    <w:p w14:paraId="35F589E8">
      <w:pPr>
        <w:spacing w:line="340" w:lineRule="exact"/>
        <w:ind w:firstLine="480" w:firstLineChars="200"/>
        <w:rPr>
          <w:rFonts w:hint="eastAsia" w:ascii="宋体" w:hAnsi="宋体" w:eastAsia="宋体" w:cs="宋体"/>
          <w:sz w:val="24"/>
          <w:szCs w:val="24"/>
          <w:highlight w:val="none"/>
        </w:rPr>
      </w:pPr>
      <w:bookmarkStart w:id="172" w:name="_Toc27674"/>
      <w:bookmarkStart w:id="173" w:name="_Toc18401"/>
      <w:r>
        <w:rPr>
          <w:rFonts w:hint="eastAsia" w:ascii="宋体" w:hAnsi="宋体" w:eastAsia="宋体" w:cs="宋体"/>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bookmarkEnd w:id="169"/>
    <w:bookmarkEnd w:id="170"/>
    <w:bookmarkEnd w:id="171"/>
    <w:p w14:paraId="0570B88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74" w:name="_Toc27644"/>
      <w:bookmarkStart w:id="175" w:name="_Toc28906"/>
      <w:bookmarkStart w:id="176" w:name="_Toc259093692"/>
      <w:bookmarkStart w:id="177" w:name="_Toc5063"/>
      <w:bookmarkStart w:id="178" w:name="_Toc12254"/>
      <w:bookmarkStart w:id="179" w:name="_Toc20808"/>
      <w:bookmarkStart w:id="180" w:name="_Toc487900373"/>
      <w:bookmarkStart w:id="181" w:name="_Toc279701263"/>
      <w:r>
        <w:rPr>
          <w:rFonts w:hint="eastAsia" w:ascii="宋体" w:hAnsi="宋体" w:eastAsia="宋体" w:cs="宋体"/>
          <w:b/>
          <w:sz w:val="24"/>
          <w:szCs w:val="24"/>
          <w:highlight w:val="none"/>
        </w:rPr>
        <w:t>2.17 合同使用的文字和适用的法律</w:t>
      </w:r>
      <w:bookmarkEnd w:id="174"/>
      <w:bookmarkEnd w:id="175"/>
      <w:bookmarkEnd w:id="176"/>
      <w:bookmarkEnd w:id="177"/>
      <w:bookmarkEnd w:id="178"/>
      <w:bookmarkEnd w:id="179"/>
      <w:bookmarkEnd w:id="180"/>
      <w:bookmarkEnd w:id="181"/>
    </w:p>
    <w:p w14:paraId="1F5CE00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2.17.1 合同使用汉语书就、变更和解释；</w:t>
      </w:r>
    </w:p>
    <w:p w14:paraId="2515211E">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2.17.2 合同适用中华人民共和国法律。</w:t>
      </w:r>
    </w:p>
    <w:p w14:paraId="375ABC5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 xml:space="preserve"> 合同份数</w:t>
      </w:r>
    </w:p>
    <w:p w14:paraId="57E3653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规定，每份均具有同等法律效力。</w:t>
      </w:r>
    </w:p>
    <w:p w14:paraId="1FECFD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sz w:val="28"/>
          <w:szCs w:val="28"/>
          <w:highlight w:val="none"/>
        </w:rPr>
      </w:pPr>
      <w:bookmarkStart w:id="182" w:name="_Toc331685784"/>
      <w:r>
        <w:rPr>
          <w:rFonts w:hint="eastAsia" w:ascii="宋体" w:hAnsi="宋体" w:eastAsia="宋体" w:cs="宋体"/>
          <w:b/>
          <w:sz w:val="28"/>
          <w:szCs w:val="28"/>
          <w:highlight w:val="none"/>
        </w:rPr>
        <w:t>第三部分  合同专用条款</w:t>
      </w:r>
      <w:bookmarkEnd w:id="182"/>
    </w:p>
    <w:p w14:paraId="5F5D720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36D0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555C5B83">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7633" w:type="dxa"/>
            <w:vAlign w:val="center"/>
          </w:tcPr>
          <w:p w14:paraId="61B8CF64">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约定内容</w:t>
            </w:r>
          </w:p>
        </w:tc>
      </w:tr>
      <w:tr w14:paraId="12085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79461AE3">
            <w:pPr>
              <w:spacing w:line="340" w:lineRule="exact"/>
              <w:rPr>
                <w:rFonts w:hint="eastAsia" w:ascii="宋体" w:hAnsi="宋体" w:eastAsia="宋体" w:cs="宋体"/>
                <w:sz w:val="24"/>
                <w:szCs w:val="24"/>
                <w:highlight w:val="none"/>
              </w:rPr>
            </w:pPr>
          </w:p>
        </w:tc>
        <w:tc>
          <w:tcPr>
            <w:tcW w:w="7633" w:type="dxa"/>
            <w:vAlign w:val="center"/>
          </w:tcPr>
          <w:p w14:paraId="21702C23">
            <w:pPr>
              <w:spacing w:line="340" w:lineRule="exact"/>
              <w:rPr>
                <w:rFonts w:hint="eastAsia" w:ascii="宋体" w:hAnsi="宋体" w:eastAsia="宋体" w:cs="宋体"/>
                <w:sz w:val="24"/>
                <w:szCs w:val="24"/>
                <w:highlight w:val="none"/>
              </w:rPr>
            </w:pPr>
          </w:p>
        </w:tc>
      </w:tr>
      <w:tr w14:paraId="6495E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BBD1B24">
            <w:pPr>
              <w:spacing w:line="340" w:lineRule="exact"/>
              <w:rPr>
                <w:rFonts w:hint="eastAsia" w:ascii="宋体" w:hAnsi="宋体" w:eastAsia="宋体" w:cs="宋体"/>
                <w:sz w:val="24"/>
                <w:szCs w:val="24"/>
                <w:highlight w:val="none"/>
              </w:rPr>
            </w:pPr>
          </w:p>
        </w:tc>
        <w:tc>
          <w:tcPr>
            <w:tcW w:w="7633" w:type="dxa"/>
            <w:vAlign w:val="center"/>
          </w:tcPr>
          <w:p w14:paraId="4411413B">
            <w:pPr>
              <w:spacing w:line="340" w:lineRule="exact"/>
              <w:rPr>
                <w:rFonts w:hint="eastAsia" w:ascii="宋体" w:hAnsi="宋体" w:eastAsia="宋体" w:cs="宋体"/>
                <w:sz w:val="24"/>
                <w:szCs w:val="24"/>
                <w:highlight w:val="none"/>
              </w:rPr>
            </w:pPr>
          </w:p>
        </w:tc>
      </w:tr>
      <w:tr w14:paraId="24F0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5889A6C">
            <w:pPr>
              <w:spacing w:line="340" w:lineRule="exact"/>
              <w:rPr>
                <w:rFonts w:hint="eastAsia" w:ascii="宋体" w:hAnsi="宋体" w:eastAsia="宋体" w:cs="宋体"/>
                <w:sz w:val="24"/>
                <w:szCs w:val="24"/>
                <w:highlight w:val="none"/>
              </w:rPr>
            </w:pPr>
          </w:p>
        </w:tc>
        <w:tc>
          <w:tcPr>
            <w:tcW w:w="7633" w:type="dxa"/>
            <w:vAlign w:val="center"/>
          </w:tcPr>
          <w:p w14:paraId="048CCCA2">
            <w:pPr>
              <w:spacing w:line="340" w:lineRule="exact"/>
              <w:rPr>
                <w:rFonts w:hint="eastAsia" w:ascii="宋体" w:hAnsi="宋体" w:eastAsia="宋体" w:cs="宋体"/>
                <w:sz w:val="24"/>
                <w:szCs w:val="24"/>
                <w:highlight w:val="none"/>
              </w:rPr>
            </w:pPr>
          </w:p>
        </w:tc>
      </w:tr>
      <w:tr w14:paraId="2F8B1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92A1583">
            <w:pPr>
              <w:spacing w:line="340" w:lineRule="exact"/>
              <w:rPr>
                <w:rFonts w:hint="eastAsia" w:ascii="宋体" w:hAnsi="宋体" w:eastAsia="宋体" w:cs="宋体"/>
                <w:sz w:val="24"/>
                <w:szCs w:val="24"/>
                <w:highlight w:val="none"/>
              </w:rPr>
            </w:pPr>
          </w:p>
        </w:tc>
        <w:tc>
          <w:tcPr>
            <w:tcW w:w="7633" w:type="dxa"/>
            <w:vAlign w:val="center"/>
          </w:tcPr>
          <w:p w14:paraId="6A81897A">
            <w:pPr>
              <w:spacing w:line="340" w:lineRule="exact"/>
              <w:rPr>
                <w:rFonts w:hint="eastAsia" w:ascii="宋体" w:hAnsi="宋体" w:eastAsia="宋体" w:cs="宋体"/>
                <w:sz w:val="24"/>
                <w:szCs w:val="24"/>
                <w:highlight w:val="none"/>
              </w:rPr>
            </w:pPr>
          </w:p>
        </w:tc>
      </w:tr>
      <w:tr w14:paraId="74F8A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501CA01">
            <w:pPr>
              <w:spacing w:line="340" w:lineRule="exact"/>
              <w:rPr>
                <w:rFonts w:hint="eastAsia" w:ascii="宋体" w:hAnsi="宋体" w:eastAsia="宋体" w:cs="宋体"/>
                <w:sz w:val="24"/>
                <w:szCs w:val="24"/>
                <w:highlight w:val="none"/>
              </w:rPr>
            </w:pPr>
          </w:p>
        </w:tc>
        <w:tc>
          <w:tcPr>
            <w:tcW w:w="7633" w:type="dxa"/>
            <w:vAlign w:val="center"/>
          </w:tcPr>
          <w:p w14:paraId="230B1751">
            <w:pPr>
              <w:spacing w:line="340" w:lineRule="exact"/>
              <w:rPr>
                <w:rFonts w:hint="eastAsia" w:ascii="宋体" w:hAnsi="宋体" w:eastAsia="宋体" w:cs="宋体"/>
                <w:sz w:val="24"/>
                <w:szCs w:val="24"/>
                <w:highlight w:val="none"/>
                <w:u w:val="single"/>
              </w:rPr>
            </w:pPr>
          </w:p>
        </w:tc>
      </w:tr>
      <w:tr w14:paraId="4E49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253A4A3">
            <w:pPr>
              <w:spacing w:line="340" w:lineRule="exact"/>
              <w:rPr>
                <w:rFonts w:hint="eastAsia" w:ascii="宋体" w:hAnsi="宋体" w:eastAsia="宋体" w:cs="宋体"/>
                <w:sz w:val="24"/>
                <w:szCs w:val="24"/>
                <w:highlight w:val="none"/>
              </w:rPr>
            </w:pPr>
          </w:p>
        </w:tc>
        <w:tc>
          <w:tcPr>
            <w:tcW w:w="7633" w:type="dxa"/>
            <w:vAlign w:val="center"/>
          </w:tcPr>
          <w:p w14:paraId="73DBB83B">
            <w:pPr>
              <w:spacing w:line="340" w:lineRule="exact"/>
              <w:rPr>
                <w:rFonts w:hint="eastAsia" w:ascii="宋体" w:hAnsi="宋体" w:eastAsia="宋体" w:cs="宋体"/>
                <w:sz w:val="24"/>
                <w:szCs w:val="24"/>
                <w:highlight w:val="none"/>
              </w:rPr>
            </w:pPr>
          </w:p>
        </w:tc>
      </w:tr>
      <w:tr w14:paraId="1D381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AF51412">
            <w:pPr>
              <w:spacing w:line="340" w:lineRule="exact"/>
              <w:rPr>
                <w:rFonts w:hint="eastAsia" w:ascii="宋体" w:hAnsi="宋体" w:eastAsia="宋体" w:cs="宋体"/>
                <w:sz w:val="24"/>
                <w:szCs w:val="24"/>
                <w:highlight w:val="none"/>
              </w:rPr>
            </w:pPr>
          </w:p>
        </w:tc>
        <w:tc>
          <w:tcPr>
            <w:tcW w:w="7633" w:type="dxa"/>
            <w:vAlign w:val="center"/>
          </w:tcPr>
          <w:p w14:paraId="21769FB4">
            <w:pPr>
              <w:spacing w:line="340" w:lineRule="exact"/>
              <w:rPr>
                <w:rFonts w:hint="eastAsia" w:ascii="宋体" w:hAnsi="宋体" w:eastAsia="宋体" w:cs="宋体"/>
                <w:sz w:val="24"/>
                <w:szCs w:val="24"/>
                <w:highlight w:val="none"/>
                <w:u w:val="single"/>
              </w:rPr>
            </w:pPr>
          </w:p>
        </w:tc>
      </w:tr>
      <w:tr w14:paraId="39B30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BB066CE">
            <w:pPr>
              <w:spacing w:line="340" w:lineRule="exact"/>
              <w:rPr>
                <w:rFonts w:hint="eastAsia" w:ascii="宋体" w:hAnsi="宋体" w:eastAsia="宋体" w:cs="宋体"/>
                <w:sz w:val="24"/>
                <w:szCs w:val="24"/>
                <w:highlight w:val="none"/>
              </w:rPr>
            </w:pPr>
          </w:p>
        </w:tc>
        <w:tc>
          <w:tcPr>
            <w:tcW w:w="7633" w:type="dxa"/>
            <w:vAlign w:val="center"/>
          </w:tcPr>
          <w:p w14:paraId="5BCE4EBC">
            <w:pPr>
              <w:spacing w:line="340" w:lineRule="exact"/>
              <w:rPr>
                <w:rFonts w:hint="eastAsia" w:ascii="宋体" w:hAnsi="宋体" w:eastAsia="宋体" w:cs="宋体"/>
                <w:sz w:val="24"/>
                <w:szCs w:val="24"/>
                <w:highlight w:val="none"/>
              </w:rPr>
            </w:pPr>
          </w:p>
        </w:tc>
      </w:tr>
      <w:tr w14:paraId="3141B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E3E945B">
            <w:pPr>
              <w:spacing w:line="340" w:lineRule="exact"/>
              <w:rPr>
                <w:rFonts w:hint="eastAsia" w:ascii="宋体" w:hAnsi="宋体" w:eastAsia="宋体" w:cs="宋体"/>
                <w:sz w:val="24"/>
                <w:szCs w:val="24"/>
                <w:highlight w:val="none"/>
              </w:rPr>
            </w:pPr>
          </w:p>
        </w:tc>
        <w:tc>
          <w:tcPr>
            <w:tcW w:w="7633" w:type="dxa"/>
            <w:vAlign w:val="center"/>
          </w:tcPr>
          <w:p w14:paraId="01DE2EA0">
            <w:pPr>
              <w:spacing w:line="340" w:lineRule="exact"/>
              <w:rPr>
                <w:rFonts w:hint="eastAsia" w:ascii="宋体" w:hAnsi="宋体" w:eastAsia="宋体" w:cs="宋体"/>
                <w:sz w:val="24"/>
                <w:szCs w:val="24"/>
                <w:highlight w:val="none"/>
              </w:rPr>
            </w:pPr>
          </w:p>
        </w:tc>
      </w:tr>
      <w:tr w14:paraId="5057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2850F4D">
            <w:pPr>
              <w:spacing w:line="340" w:lineRule="exact"/>
              <w:rPr>
                <w:rFonts w:hint="eastAsia" w:ascii="宋体" w:hAnsi="宋体" w:eastAsia="宋体" w:cs="宋体"/>
                <w:sz w:val="24"/>
                <w:szCs w:val="24"/>
                <w:highlight w:val="none"/>
              </w:rPr>
            </w:pPr>
          </w:p>
        </w:tc>
        <w:tc>
          <w:tcPr>
            <w:tcW w:w="7633" w:type="dxa"/>
            <w:vAlign w:val="center"/>
          </w:tcPr>
          <w:p w14:paraId="0AE2CABF">
            <w:pPr>
              <w:spacing w:line="340" w:lineRule="exact"/>
              <w:rPr>
                <w:rFonts w:hint="eastAsia" w:ascii="宋体" w:hAnsi="宋体" w:eastAsia="宋体" w:cs="宋体"/>
                <w:sz w:val="24"/>
                <w:szCs w:val="24"/>
                <w:highlight w:val="none"/>
              </w:rPr>
            </w:pPr>
          </w:p>
        </w:tc>
      </w:tr>
      <w:tr w14:paraId="4D90D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013A112C">
            <w:pPr>
              <w:spacing w:line="340" w:lineRule="exact"/>
              <w:rPr>
                <w:rFonts w:hint="eastAsia" w:ascii="宋体" w:hAnsi="宋体" w:eastAsia="宋体" w:cs="宋体"/>
                <w:sz w:val="24"/>
                <w:szCs w:val="24"/>
                <w:highlight w:val="none"/>
              </w:rPr>
            </w:pPr>
          </w:p>
        </w:tc>
        <w:tc>
          <w:tcPr>
            <w:tcW w:w="7633" w:type="dxa"/>
            <w:vAlign w:val="center"/>
          </w:tcPr>
          <w:p w14:paraId="203238A4">
            <w:pPr>
              <w:spacing w:line="340" w:lineRule="exact"/>
              <w:rPr>
                <w:rFonts w:hint="eastAsia" w:ascii="宋体" w:hAnsi="宋体" w:eastAsia="宋体" w:cs="宋体"/>
                <w:sz w:val="24"/>
                <w:szCs w:val="24"/>
                <w:highlight w:val="none"/>
              </w:rPr>
            </w:pPr>
          </w:p>
        </w:tc>
      </w:tr>
      <w:tr w14:paraId="6797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F659DEC">
            <w:pPr>
              <w:spacing w:line="340" w:lineRule="exact"/>
              <w:rPr>
                <w:rFonts w:hint="eastAsia" w:ascii="宋体" w:hAnsi="宋体" w:eastAsia="宋体" w:cs="宋体"/>
                <w:sz w:val="24"/>
                <w:szCs w:val="24"/>
                <w:highlight w:val="none"/>
              </w:rPr>
            </w:pPr>
          </w:p>
        </w:tc>
        <w:tc>
          <w:tcPr>
            <w:tcW w:w="7633" w:type="dxa"/>
            <w:vAlign w:val="center"/>
          </w:tcPr>
          <w:p w14:paraId="4C6522C2">
            <w:pPr>
              <w:spacing w:line="340" w:lineRule="exact"/>
              <w:rPr>
                <w:rFonts w:hint="eastAsia" w:ascii="宋体" w:hAnsi="宋体" w:eastAsia="宋体" w:cs="宋体"/>
                <w:sz w:val="24"/>
                <w:szCs w:val="24"/>
                <w:highlight w:val="none"/>
              </w:rPr>
            </w:pPr>
          </w:p>
        </w:tc>
      </w:tr>
    </w:tbl>
    <w:p w14:paraId="6A3A8103">
      <w:pPr>
        <w:spacing w:line="440" w:lineRule="exact"/>
        <w:ind w:firstLine="630" w:firstLineChars="300"/>
        <w:rPr>
          <w:rFonts w:ascii="宋体" w:hAnsi="宋体"/>
          <w:highlight w:val="none"/>
        </w:rPr>
      </w:pPr>
    </w:p>
    <w:p w14:paraId="7D69B5E1">
      <w:pPr>
        <w:rPr>
          <w:rFonts w:ascii="宋体" w:hAnsi="宋体" w:eastAsia="宋体" w:cs="宋体"/>
          <w:sz w:val="24"/>
          <w:highlight w:val="none"/>
        </w:rPr>
      </w:pPr>
    </w:p>
    <w:p w14:paraId="04939A46">
      <w:pPr>
        <w:spacing w:line="360" w:lineRule="auto"/>
        <w:jc w:val="center"/>
        <w:outlineLvl w:val="0"/>
        <w:rPr>
          <w:rFonts w:hint="eastAsia" w:ascii="宋体" w:hAnsi="宋体" w:eastAsia="宋体" w:cs="宋体"/>
          <w:sz w:val="28"/>
          <w:szCs w:val="28"/>
          <w:highlight w:val="none"/>
        </w:rPr>
      </w:pPr>
    </w:p>
    <w:p w14:paraId="3B374AAC">
      <w:pPr>
        <w:spacing w:line="360" w:lineRule="auto"/>
        <w:jc w:val="center"/>
        <w:outlineLvl w:val="0"/>
        <w:rPr>
          <w:rFonts w:hint="eastAsia" w:ascii="宋体" w:hAnsi="宋体" w:eastAsia="宋体" w:cs="宋体"/>
          <w:sz w:val="28"/>
          <w:szCs w:val="28"/>
          <w:highlight w:val="none"/>
        </w:rPr>
      </w:pPr>
    </w:p>
    <w:p w14:paraId="5D31C05F">
      <w:pPr>
        <w:pStyle w:val="9"/>
        <w:rPr>
          <w:rFonts w:hint="eastAsia" w:ascii="宋体" w:hAnsi="宋体" w:eastAsia="宋体" w:cs="宋体"/>
          <w:sz w:val="28"/>
          <w:szCs w:val="28"/>
          <w:highlight w:val="none"/>
        </w:rPr>
      </w:pPr>
    </w:p>
    <w:p w14:paraId="781121FB">
      <w:pPr>
        <w:rPr>
          <w:rFonts w:hint="eastAsia" w:ascii="宋体" w:hAnsi="宋体" w:eastAsia="宋体" w:cs="宋体"/>
          <w:sz w:val="28"/>
          <w:szCs w:val="28"/>
          <w:highlight w:val="none"/>
        </w:rPr>
      </w:pPr>
    </w:p>
    <w:p w14:paraId="4CB0F85D">
      <w:pPr>
        <w:pStyle w:val="9"/>
        <w:rPr>
          <w:rFonts w:hint="eastAsia"/>
        </w:rPr>
      </w:pPr>
    </w:p>
    <w:p w14:paraId="2D5F626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865DD5C">
      <w:pPr>
        <w:pStyle w:val="16"/>
        <w:rPr>
          <w:rFonts w:hint="eastAsia" w:ascii="宋体" w:hAnsi="宋体" w:eastAsia="宋体" w:cs="宋体"/>
          <w:sz w:val="24"/>
          <w:szCs w:val="24"/>
          <w:lang w:val="en-US" w:eastAsia="zh-CN"/>
        </w:rPr>
      </w:pPr>
    </w:p>
    <w:p w14:paraId="44F5B67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83" w:name="_Toc18352"/>
      <w:r>
        <w:rPr>
          <w:rFonts w:hint="eastAsia" w:ascii="宋体" w:hAnsi="宋体" w:eastAsia="宋体" w:cs="宋体"/>
          <w:sz w:val="28"/>
          <w:szCs w:val="28"/>
          <w:lang w:val="en-US" w:eastAsia="zh-CN"/>
        </w:rPr>
        <w:t>第五章  响应文件格式</w:t>
      </w:r>
      <w:bookmarkEnd w:id="183"/>
    </w:p>
    <w:p w14:paraId="33522BA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响应文件封面</w:t>
      </w:r>
    </w:p>
    <w:p w14:paraId="40DA9C8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24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（项目名称）</w:t>
      </w:r>
    </w:p>
    <w:p w14:paraId="0089A6F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p>
    <w:p w14:paraId="7AC9A6E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45A8B82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p>
    <w:p w14:paraId="15E9678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491E7CA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3A07BD0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1F69A50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0E4113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7066DB6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04CA51C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36F95644">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187B39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01F98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一、资格证明文件</w:t>
      </w:r>
    </w:p>
    <w:p w14:paraId="029741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（一）供应商资格声明</w:t>
      </w:r>
    </w:p>
    <w:p w14:paraId="7E4385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1．供应商概况：</w:t>
      </w:r>
    </w:p>
    <w:p w14:paraId="0E474C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51629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注册地址：</w:t>
      </w:r>
      <w:r>
        <w:rPr>
          <w:rFonts w:hint="eastAsia" w:ascii="宋体" w:hAnsi="宋体" w:eastAsia="宋体" w:cs="宋体"/>
          <w:i/>
          <w:iCs/>
          <w:sz w:val="24"/>
          <w:szCs w:val="24"/>
          <w:u w:val="single"/>
          <w:lang w:val="en-US" w:eastAsia="zh-CN"/>
        </w:rPr>
        <w:t xml:space="preserve">                               </w:t>
      </w:r>
    </w:p>
    <w:p w14:paraId="109DE4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电话：</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邮编：</w:t>
      </w:r>
      <w:r>
        <w:rPr>
          <w:rFonts w:hint="eastAsia" w:ascii="宋体" w:hAnsi="宋体" w:eastAsia="宋体" w:cs="宋体"/>
          <w:i/>
          <w:iCs/>
          <w:sz w:val="24"/>
          <w:szCs w:val="24"/>
          <w:u w:val="single"/>
          <w:lang w:val="en-US" w:eastAsia="zh-CN"/>
        </w:rPr>
        <w:t xml:space="preserve">        </w:t>
      </w:r>
    </w:p>
    <w:p w14:paraId="3FF0A0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成立或注册日期：</w:t>
      </w:r>
      <w:r>
        <w:rPr>
          <w:rFonts w:hint="eastAsia" w:ascii="宋体" w:hAnsi="宋体" w:eastAsia="宋体" w:cs="宋体"/>
          <w:i/>
          <w:iCs/>
          <w:sz w:val="24"/>
          <w:szCs w:val="24"/>
          <w:u w:val="single"/>
          <w:lang w:val="en-US" w:eastAsia="zh-CN"/>
        </w:rPr>
        <w:t xml:space="preserve">                        </w:t>
      </w:r>
    </w:p>
    <w:p w14:paraId="11337D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（姓名、职务）</w:t>
      </w:r>
    </w:p>
    <w:p w14:paraId="60F9DF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2．我方在此声明，我方具备并满足下列各项条款的规定。本声明如有虚假或不实之处，我方将失去合格供应商资格且我方的磋商保证金将不予退还。</w:t>
      </w:r>
    </w:p>
    <w:p w14:paraId="1FEE54B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3E782E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0D8D45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06130D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（4）有依法缴纳税收的良好记录；</w:t>
      </w:r>
    </w:p>
    <w:p w14:paraId="35C8D6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（5）近三年内，在经营活动中没有重大违法记录。</w:t>
      </w:r>
    </w:p>
    <w:p w14:paraId="783BEC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就我方全部所知，兹证明上述声明是真实、正确的，并已提供了全部现有资料和数据，我方同意根据贵方要求出示文件予以证实。</w:t>
      </w:r>
    </w:p>
    <w:p w14:paraId="329704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89419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180732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130D2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2F9E9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（二）法定代表人身份证明</w:t>
      </w:r>
    </w:p>
    <w:p w14:paraId="15EE4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38CEF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0ED395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6EFAB9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63030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59B789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5D4675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A402C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w:t>
      </w:r>
    </w:p>
    <w:p w14:paraId="3B86DE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347C49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附：法定代表人身份证复印件双面</w:t>
      </w:r>
    </w:p>
    <w:p w14:paraId="7B0450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8E2A2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ADD5E3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90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（三）法定代表人授权委托书</w:t>
      </w:r>
    </w:p>
    <w:p w14:paraId="48E75FC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供应商名称）的法定代表人，现授权委托</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姓名）为我公司本次磋商活动的授权代表，参加（采购人）的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项目的磋商活动。授权代表在磋商、合同签订过程中所签署的一切文件和处理与之有关的一切事务，我均予以承认。</w:t>
      </w:r>
    </w:p>
    <w:p w14:paraId="10A2947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授权代表无转委托权。特此委托。</w:t>
      </w:r>
    </w:p>
    <w:p w14:paraId="0E10DC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43A47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部门：</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w:t>
      </w:r>
    </w:p>
    <w:p w14:paraId="42C378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附：授权代表身份证复印件双面</w:t>
      </w:r>
    </w:p>
    <w:p w14:paraId="5D50B3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7B94C3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674D36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B6366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95324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具有独立承担民事责任的能力</w:t>
      </w:r>
    </w:p>
    <w:p w14:paraId="73A3BD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提供合法有效的法人营业执照</w:t>
      </w:r>
      <w:r>
        <w:rPr>
          <w:rFonts w:hint="eastAsia" w:ascii="宋体" w:hAnsi="宋体" w:eastAsia="宋体" w:cs="宋体"/>
          <w:b/>
          <w:bCs/>
          <w:sz w:val="24"/>
          <w:szCs w:val="24"/>
          <w:lang w:val="en-US" w:eastAsia="zh-CN"/>
        </w:rPr>
        <w:t>或</w:t>
      </w:r>
      <w:r>
        <w:rPr>
          <w:rFonts w:hint="eastAsia" w:ascii="宋体" w:hAnsi="宋体" w:eastAsia="宋体" w:cs="宋体"/>
          <w:b/>
          <w:bCs/>
          <w:sz w:val="24"/>
          <w:szCs w:val="24"/>
          <w:vertAlign w:val="baseline"/>
          <w:lang w:val="en-US" w:eastAsia="zh-CN"/>
        </w:rPr>
        <w:t>事业单位法人证书</w:t>
      </w:r>
    </w:p>
    <w:p w14:paraId="1093EA6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BAE47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w:t>
      </w:r>
      <w:r>
        <w:rPr>
          <w:rFonts w:hint="default" w:ascii="宋体" w:hAnsi="宋体" w:eastAsia="宋体" w:cs="宋体"/>
          <w:sz w:val="24"/>
          <w:szCs w:val="24"/>
          <w:highlight w:val="none"/>
          <w:lang w:val="en-US" w:eastAsia="zh-CN"/>
        </w:rPr>
        <w:t>具有良好的商业信誉和健全的财务会计制度</w:t>
      </w:r>
    </w:p>
    <w:p w14:paraId="241DCE0D">
      <w:pPr>
        <w:jc w:val="center"/>
        <w:rPr>
          <w:rFonts w:hint="default" w:ascii="宋体" w:hAnsi="宋体" w:eastAsia="宋体" w:cs="宋体"/>
          <w:sz w:val="24"/>
          <w:szCs w:val="24"/>
          <w:highlight w:val="yellow"/>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提供最近一个年度经第三方审计的财务审计报告复印件，新成立的公司需提供成立至今财务报表或银行出具的资信证明复印件。</w:t>
      </w:r>
      <w:r>
        <w:rPr>
          <w:rFonts w:hint="default" w:ascii="宋体" w:hAnsi="宋体" w:eastAsia="宋体" w:cs="宋体"/>
          <w:sz w:val="24"/>
          <w:szCs w:val="24"/>
          <w:highlight w:val="yellow"/>
          <w:lang w:val="en-US" w:eastAsia="zh-CN"/>
        </w:rPr>
        <w:br w:type="page"/>
      </w:r>
    </w:p>
    <w:p w14:paraId="74980D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w:t>
      </w:r>
      <w:r>
        <w:rPr>
          <w:rFonts w:hint="default" w:ascii="宋体" w:hAnsi="宋体" w:eastAsia="宋体" w:cs="宋体"/>
          <w:sz w:val="24"/>
          <w:szCs w:val="24"/>
          <w:highlight w:val="none"/>
          <w:lang w:val="en-US" w:eastAsia="zh-CN"/>
        </w:rPr>
        <w:t>具有履行合同所必需的设备和专业技术能力</w:t>
      </w:r>
    </w:p>
    <w:p w14:paraId="03B9C1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根据项目需求提供履行合同所必需的设备和专业技术能力的证明材料或加盖单位</w:t>
      </w:r>
      <w:r>
        <w:rPr>
          <w:rFonts w:hint="eastAsia" w:ascii="宋体" w:hAnsi="宋体" w:eastAsia="宋体" w:cs="宋体"/>
          <w:b/>
          <w:bCs/>
          <w:sz w:val="24"/>
          <w:szCs w:val="24"/>
          <w:highlight w:val="none"/>
          <w:lang w:val="en-US" w:eastAsia="zh-CN"/>
        </w:rPr>
        <w:t>电子</w:t>
      </w:r>
      <w:r>
        <w:rPr>
          <w:rFonts w:hint="default" w:ascii="宋体" w:hAnsi="宋体" w:eastAsia="宋体" w:cs="宋体"/>
          <w:b/>
          <w:bCs/>
          <w:sz w:val="24"/>
          <w:szCs w:val="24"/>
          <w:highlight w:val="none"/>
          <w:lang w:val="en-US" w:eastAsia="zh-CN"/>
        </w:rPr>
        <w:t>章的书面承诺函</w:t>
      </w:r>
    </w:p>
    <w:p w14:paraId="7E093B74">
      <w:pP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002DD0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w:t>
      </w:r>
      <w:r>
        <w:rPr>
          <w:rFonts w:hint="default" w:ascii="宋体" w:hAnsi="宋体" w:eastAsia="宋体" w:cs="宋体"/>
          <w:sz w:val="24"/>
          <w:szCs w:val="24"/>
          <w:highlight w:val="none"/>
          <w:lang w:val="en-US" w:eastAsia="zh-CN"/>
        </w:rPr>
        <w:t>有依法缴纳税收和社会保障资金的良好记录</w:t>
      </w:r>
    </w:p>
    <w:p w14:paraId="13B9B003">
      <w:pPr>
        <w:rPr>
          <w:rFonts w:hint="default" w:ascii="宋体" w:hAnsi="宋体" w:eastAsia="宋体" w:cs="宋体"/>
          <w:sz w:val="24"/>
          <w:szCs w:val="24"/>
          <w:highlight w:val="yellow"/>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近期任意一个月纳税凭证或完税证明及近三个月内任意一个月社会保险缴纳证明材料。</w:t>
      </w:r>
      <w:r>
        <w:rPr>
          <w:rFonts w:hint="default" w:ascii="宋体" w:hAnsi="宋体" w:eastAsia="宋体" w:cs="宋体"/>
          <w:sz w:val="24"/>
          <w:szCs w:val="24"/>
          <w:highlight w:val="yellow"/>
          <w:lang w:val="en-US" w:eastAsia="zh-CN"/>
        </w:rPr>
        <w:br w:type="page"/>
      </w:r>
    </w:p>
    <w:p w14:paraId="101825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w:t>
      </w:r>
      <w:r>
        <w:rPr>
          <w:rFonts w:hint="default" w:ascii="宋体" w:hAnsi="宋体" w:eastAsia="宋体" w:cs="宋体"/>
          <w:sz w:val="24"/>
          <w:szCs w:val="24"/>
          <w:highlight w:val="none"/>
          <w:lang w:val="en-US" w:eastAsia="zh-CN"/>
        </w:rPr>
        <w:t>参加政府采购活动前三年内，在经营活动中没有重大违法记录</w:t>
      </w:r>
    </w:p>
    <w:p w14:paraId="1DF42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提供参加本次政府采购活动前3年内在经营活动中没有重大违法记录承诺函</w:t>
      </w:r>
    </w:p>
    <w:p w14:paraId="0E0496A2">
      <w:pP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345B2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宋体" w:hAnsi="宋体" w:eastAsia="宋体" w:cs="宋体"/>
          <w:sz w:val="24"/>
          <w:szCs w:val="24"/>
          <w:highlight w:val="none"/>
          <w:lang w:val="en-US" w:eastAsia="zh-CN"/>
        </w:rPr>
        <w:t>（九）</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32921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②单位负责人为同一人或者存在直接控股、管理关系的不同供应商，不得参加同一合同项下的政府采购活动。</w:t>
      </w:r>
    </w:p>
    <w:p w14:paraId="185821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③与招标人存在利害关系可能影响招标公正性的法人、其他组织或个人，不得参加投标。</w:t>
      </w:r>
    </w:p>
    <w:p w14:paraId="1D995F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提供</w:t>
      </w:r>
      <w:r>
        <w:rPr>
          <w:rFonts w:hint="eastAsia" w:ascii="宋体" w:hAnsi="宋体" w:eastAsia="宋体" w:cs="宋体"/>
          <w:b/>
          <w:bCs/>
          <w:sz w:val="24"/>
          <w:szCs w:val="24"/>
          <w:highlight w:val="none"/>
          <w:lang w:val="en-US" w:eastAsia="zh-CN"/>
        </w:rPr>
        <w:t>相关</w:t>
      </w:r>
      <w:r>
        <w:rPr>
          <w:rFonts w:hint="default" w:ascii="宋体" w:hAnsi="宋体" w:eastAsia="宋体" w:cs="宋体"/>
          <w:b/>
          <w:bCs/>
          <w:sz w:val="24"/>
          <w:szCs w:val="24"/>
          <w:highlight w:val="none"/>
          <w:lang w:val="en-US" w:eastAsia="zh-CN"/>
        </w:rPr>
        <w:t>网页截图</w:t>
      </w:r>
      <w:r>
        <w:rPr>
          <w:rFonts w:hint="eastAsia" w:ascii="宋体" w:hAnsi="宋体" w:eastAsia="宋体" w:cs="宋体"/>
          <w:b/>
          <w:bCs/>
          <w:sz w:val="24"/>
          <w:szCs w:val="24"/>
          <w:highlight w:val="none"/>
          <w:lang w:val="en-US" w:eastAsia="zh-CN"/>
        </w:rPr>
        <w:t>及承诺函</w:t>
      </w:r>
    </w:p>
    <w:p w14:paraId="1168BFCF">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62C47E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default" w:ascii="宋体" w:hAnsi="宋体" w:eastAsia="宋体" w:cs="宋体"/>
          <w:sz w:val="24"/>
          <w:szCs w:val="24"/>
          <w:highlight w:val="none"/>
          <w:lang w:val="en-US" w:eastAsia="zh-CN"/>
        </w:rPr>
        <w:t>磋商保证金缴纳凭证或电子保函的缴纳凭证</w:t>
      </w:r>
    </w:p>
    <w:p w14:paraId="2B2CFA7E">
      <w:pP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16833B9F">
      <w:pPr>
        <w:autoSpaceDE w:val="0"/>
        <w:autoSpaceDN w:val="0"/>
        <w:adjustRightInd w:val="0"/>
        <w:spacing w:line="500" w:lineRule="exact"/>
        <w:ind w:firstLine="480" w:firstLineChars="200"/>
        <w:jc w:val="center"/>
        <w:rPr>
          <w:rFonts w:hint="eastAsia" w:ascii="宋体" w:hAnsi="宋体" w:eastAsia="宋体" w:cs="宋体"/>
          <w:b/>
          <w:bCs/>
          <w:color w:val="000000"/>
          <w:sz w:val="24"/>
          <w:highlight w:val="none"/>
          <w:lang w:val="en-US" w:eastAsia="zh-CN"/>
        </w:rPr>
      </w:pPr>
      <w:r>
        <w:rPr>
          <w:rFonts w:hint="eastAsia" w:ascii="宋体" w:hAnsi="宋体" w:eastAsia="宋体" w:cs="宋体"/>
          <w:sz w:val="24"/>
          <w:szCs w:val="24"/>
          <w:highlight w:val="none"/>
          <w:lang w:val="en-US" w:eastAsia="zh-CN"/>
        </w:rPr>
        <w:t>（十一）</w:t>
      </w:r>
      <w:r>
        <w:rPr>
          <w:rFonts w:hint="eastAsia" w:ascii="宋体" w:hAnsi="宋体" w:cs="宋体"/>
          <w:b/>
          <w:bCs/>
          <w:color w:val="000000"/>
          <w:sz w:val="24"/>
          <w:highlight w:val="none"/>
        </w:rPr>
        <w:t>中小企业声明函</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服务</w:t>
      </w:r>
      <w:r>
        <w:rPr>
          <w:rFonts w:hint="eastAsia" w:ascii="宋体" w:hAnsi="宋体" w:cs="宋体"/>
          <w:b/>
          <w:bCs/>
          <w:color w:val="000000"/>
          <w:sz w:val="24"/>
          <w:highlight w:val="none"/>
          <w:lang w:eastAsia="zh-CN"/>
        </w:rPr>
        <w:t>）</w:t>
      </w:r>
    </w:p>
    <w:p w14:paraId="78110872">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本公司（联合体）郑重声明，根据《政府采购促进中小企业发展管理办法》（财库〔2020〕[2020]46号）的规定，本公司（联合体）参加</w:t>
      </w:r>
      <w:r>
        <w:rPr>
          <w:rFonts w:hint="eastAsia" w:ascii="宋体" w:hAnsi="宋体" w:cs="宋体"/>
          <w:color w:val="000000"/>
          <w:sz w:val="24"/>
          <w:highlight w:val="none"/>
          <w:u w:val="single"/>
        </w:rPr>
        <w:t>（单位名称）</w:t>
      </w:r>
      <w:r>
        <w:rPr>
          <w:rFonts w:hint="eastAsia" w:ascii="宋体" w:hAnsi="宋体" w:cs="宋体"/>
          <w:color w:val="000000"/>
          <w:sz w:val="24"/>
          <w:highlight w:val="none"/>
        </w:rPr>
        <w:t>的</w:t>
      </w:r>
      <w:r>
        <w:rPr>
          <w:rFonts w:hint="eastAsia" w:ascii="宋体" w:hAnsi="宋体" w:cs="宋体"/>
          <w:color w:val="000000"/>
          <w:sz w:val="24"/>
          <w:highlight w:val="none"/>
          <w:u w:val="single"/>
        </w:rPr>
        <w:t>（项目名称）</w:t>
      </w:r>
      <w:r>
        <w:rPr>
          <w:rFonts w:hint="eastAsia" w:ascii="宋体" w:hAnsi="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96FB9CE">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；承建（承接）企业为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4F1A4835">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2. </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；承建（承接）企业为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5B15AB27">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w:t>
      </w:r>
    </w:p>
    <w:p w14:paraId="7A984655">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7C40578D">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1F38B426">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企业名称（盖章）：</w:t>
      </w:r>
    </w:p>
    <w:p w14:paraId="13CD6AF8">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日期：             </w:t>
      </w:r>
    </w:p>
    <w:p w14:paraId="014435CA">
      <w:pPr>
        <w:pStyle w:val="11"/>
        <w:tabs>
          <w:tab w:val="left" w:pos="5580"/>
        </w:tabs>
        <w:adjustRightInd w:val="0"/>
        <w:snapToGrid w:val="0"/>
        <w:spacing w:line="360" w:lineRule="auto"/>
        <w:ind w:firstLine="4680" w:firstLineChars="1950"/>
        <w:rPr>
          <w:rFonts w:hAnsi="宋体" w:cs="仿宋"/>
          <w:sz w:val="24"/>
          <w:highlight w:val="none"/>
        </w:rPr>
      </w:pPr>
    </w:p>
    <w:p w14:paraId="115E5CBD">
      <w:pPr>
        <w:pStyle w:val="11"/>
        <w:tabs>
          <w:tab w:val="left" w:pos="5580"/>
        </w:tabs>
        <w:adjustRightInd w:val="0"/>
        <w:snapToGrid w:val="0"/>
        <w:spacing w:line="360" w:lineRule="auto"/>
        <w:ind w:hanging="527"/>
        <w:rPr>
          <w:rFonts w:hAnsi="宋体" w:cs="仿宋"/>
          <w:sz w:val="24"/>
          <w:highlight w:val="none"/>
        </w:rPr>
      </w:pPr>
    </w:p>
    <w:p w14:paraId="1CA74EB2">
      <w:pPr>
        <w:pStyle w:val="11"/>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14:paraId="54B3C63E">
      <w:pPr>
        <w:pStyle w:val="11"/>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rPr>
        <w:t>投标人须知前附表</w:t>
      </w:r>
      <w:r>
        <w:rPr>
          <w:rFonts w:hint="eastAsia" w:hAnsi="宋体" w:cs="仿宋"/>
          <w:sz w:val="24"/>
          <w:highlight w:val="none"/>
        </w:rPr>
        <w:t>中写明的中小企业行业类别。</w:t>
      </w:r>
    </w:p>
    <w:p w14:paraId="68400712">
      <w:pPr>
        <w:pStyle w:val="43"/>
        <w:adjustRightInd w:val="0"/>
        <w:snapToGrid w:val="0"/>
        <w:spacing w:before="0" w:after="0" w:line="360" w:lineRule="auto"/>
        <w:rPr>
          <w:rFonts w:hint="eastAsia"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14:paraId="14E025EF">
      <w:pPr>
        <w:pStyle w:val="43"/>
        <w:adjustRightInd w:val="0"/>
        <w:snapToGrid w:val="0"/>
        <w:spacing w:before="0" w:after="0" w:line="360" w:lineRule="auto"/>
        <w:rPr>
          <w:rFonts w:hint="eastAsia" w:ascii="宋体" w:hAnsi="宋体" w:cs="仿宋"/>
          <w:sz w:val="24"/>
          <w:highlight w:val="yellow"/>
        </w:rPr>
      </w:pPr>
    </w:p>
    <w:p w14:paraId="7035587B">
      <w:pPr>
        <w:pStyle w:val="43"/>
        <w:adjustRightInd w:val="0"/>
        <w:snapToGrid w:val="0"/>
        <w:spacing w:before="0" w:after="0" w:line="360" w:lineRule="auto"/>
        <w:rPr>
          <w:rFonts w:hint="eastAsia" w:ascii="宋体" w:hAnsi="宋体" w:cs="仿宋"/>
          <w:sz w:val="24"/>
          <w:highlight w:val="yellow"/>
        </w:rPr>
      </w:pPr>
    </w:p>
    <w:p w14:paraId="1ED953C9">
      <w:pPr>
        <w:pStyle w:val="43"/>
        <w:adjustRightInd w:val="0"/>
        <w:snapToGrid w:val="0"/>
        <w:spacing w:before="0" w:after="0" w:line="360" w:lineRule="auto"/>
        <w:rPr>
          <w:rFonts w:hint="eastAsia" w:ascii="宋体" w:hAnsi="宋体" w:cs="仿宋"/>
          <w:sz w:val="24"/>
          <w:highlight w:val="yellow"/>
        </w:rPr>
      </w:pPr>
    </w:p>
    <w:p w14:paraId="2A7A084A">
      <w:pPr>
        <w:pStyle w:val="43"/>
        <w:adjustRightInd w:val="0"/>
        <w:snapToGrid w:val="0"/>
        <w:spacing w:before="0" w:after="0" w:line="360" w:lineRule="auto"/>
        <w:rPr>
          <w:rFonts w:hint="eastAsia" w:ascii="宋体" w:hAnsi="宋体" w:cs="仿宋"/>
          <w:sz w:val="24"/>
          <w:highlight w:val="yellow"/>
        </w:rPr>
      </w:pPr>
    </w:p>
    <w:p w14:paraId="78EB3BA7">
      <w:pPr>
        <w:pStyle w:val="43"/>
        <w:adjustRightInd w:val="0"/>
        <w:snapToGrid w:val="0"/>
        <w:spacing w:before="0" w:after="0" w:line="360" w:lineRule="auto"/>
        <w:rPr>
          <w:rFonts w:hint="eastAsia" w:ascii="宋体" w:hAnsi="宋体" w:cs="仿宋"/>
          <w:sz w:val="24"/>
          <w:highlight w:val="yellow"/>
        </w:rPr>
      </w:pPr>
    </w:p>
    <w:p w14:paraId="09CF18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w:t>
      </w:r>
    </w:p>
    <w:p w14:paraId="3A762D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关于印发中小企业划型标准规定的通知工信部联企业〔2011〕300号</w:t>
      </w:r>
    </w:p>
    <w:p w14:paraId="392F91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各省、自治区、直辖市人民政府，国务院各部委、各直属机构及有关单位：</w:t>
      </w:r>
    </w:p>
    <w:p w14:paraId="3BDFE3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FF015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经国务院同意，现印发给你们，请遵照执行。</w:t>
      </w:r>
    </w:p>
    <w:p w14:paraId="6693D7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附件：</w:t>
      </w:r>
    </w:p>
    <w:p w14:paraId="3FC7C6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中小企业划型标准规定</w:t>
      </w:r>
    </w:p>
    <w:p w14:paraId="2CC561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一、根据《中华人民共和国中小企业促进法》和《国务院关于进一步促进中小企业发展的若干意见》</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国发〔2009〕36号</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，制定本规定。</w:t>
      </w:r>
    </w:p>
    <w:p w14:paraId="122314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二、中小企业划分为中型、小型、微型三种类型，具体标准根据企业从业人员、营业收入、资产总额等指标，结合行业特点制定。</w:t>
      </w:r>
    </w:p>
    <w:p w14:paraId="484CBB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790E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四、各行业划型标准为：</w:t>
      </w:r>
    </w:p>
    <w:p w14:paraId="4B1792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7D337F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8DAB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D374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037E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64FD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10F8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12EA8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93D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C3DE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D5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25E8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0F4F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F8A4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A9BE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8338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796B86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五、企业类型的划分以统计部门的统计数据为依据。</w:t>
      </w:r>
    </w:p>
    <w:p w14:paraId="229FDE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六、本规定适用于在中华人民共和国境内依法设立的各类所有制和各种组织形式的企业。个体工商户和本规定以外的行业，参照本规定进行划型。</w:t>
      </w:r>
    </w:p>
    <w:p w14:paraId="187A0C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61C86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八、本规定由工业和信息化部、国家统计局会同有关部门根据《国民经济行业分类》修订情况和企业发展变化情况适时修订。</w:t>
      </w:r>
    </w:p>
    <w:p w14:paraId="23F30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九、本规定由工业和信息化部、国家统计局会同有关部门负责解释。</w:t>
      </w:r>
    </w:p>
    <w:p w14:paraId="7EBAE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十、本规定自发布之日起执行，原国家经贸委、原国家计委、财政部和国家统计局2003年颁布的《中小企业标准暂行规定》同时废止。</w:t>
      </w:r>
    </w:p>
    <w:p w14:paraId="1995BF43">
      <w:pPr>
        <w:pStyle w:val="43"/>
        <w:adjustRightInd w:val="0"/>
        <w:snapToGrid w:val="0"/>
        <w:spacing w:before="0" w:after="0" w:line="360" w:lineRule="auto"/>
        <w:rPr>
          <w:rFonts w:hint="eastAsia" w:ascii="宋体" w:hAnsi="宋体" w:cs="仿宋"/>
          <w:sz w:val="24"/>
          <w:highlight w:val="yellow"/>
        </w:rPr>
      </w:pPr>
    </w:p>
    <w:p w14:paraId="29A92EF6">
      <w:pPr>
        <w:rPr>
          <w:rFonts w:hint="default" w:ascii="宋体" w:hAnsi="宋体" w:eastAsia="宋体" w:cs="宋体"/>
          <w:sz w:val="24"/>
          <w:szCs w:val="24"/>
          <w:highlight w:val="yellow"/>
          <w:lang w:val="en-US" w:eastAsia="zh-CN"/>
        </w:rPr>
      </w:pPr>
    </w:p>
    <w:p w14:paraId="2F462A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yellow"/>
          <w:lang w:val="en-US" w:eastAsia="zh-CN"/>
        </w:rPr>
      </w:pPr>
    </w:p>
    <w:p w14:paraId="04ABDA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yellow"/>
          <w:lang w:val="en-US" w:eastAsia="zh-CN"/>
        </w:rPr>
      </w:pPr>
    </w:p>
    <w:p w14:paraId="7482F4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yellow"/>
          <w:lang w:val="en-US" w:eastAsia="zh-CN"/>
        </w:rPr>
      </w:pPr>
    </w:p>
    <w:p w14:paraId="131674D5">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3F059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w:t>
      </w:r>
      <w:r>
        <w:rPr>
          <w:rFonts w:hint="default" w:asciiTheme="minorEastAsia" w:hAnsiTheme="minorEastAsia" w:eastAsiaTheme="minorEastAsia" w:cstheme="minorEastAsia"/>
          <w:sz w:val="24"/>
          <w:szCs w:val="24"/>
          <w:highlight w:val="none"/>
          <w:lang w:val="en-US" w:eastAsia="zh-CN"/>
        </w:rPr>
        <w:t>、报价文件</w:t>
      </w:r>
    </w:p>
    <w:p w14:paraId="704ADA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r>
        <w:rPr>
          <w:rFonts w:hint="default" w:ascii="宋体" w:hAnsi="宋体" w:eastAsia="宋体" w:cs="宋体"/>
          <w:sz w:val="24"/>
          <w:szCs w:val="24"/>
          <w:highlight w:val="none"/>
          <w:lang w:val="en-US" w:eastAsia="zh-CN"/>
        </w:rPr>
        <w:t>一览表</w:t>
      </w:r>
    </w:p>
    <w:tbl>
      <w:tblPr>
        <w:tblStyle w:val="18"/>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754"/>
      </w:tblGrid>
      <w:tr w14:paraId="75A6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512729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项目名称</w:t>
            </w:r>
          </w:p>
        </w:tc>
        <w:tc>
          <w:tcPr>
            <w:tcW w:w="7754" w:type="dxa"/>
            <w:vAlign w:val="center"/>
          </w:tcPr>
          <w:p w14:paraId="1A3C6E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p>
        </w:tc>
      </w:tr>
      <w:tr w14:paraId="32D3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2AA1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项目编号</w:t>
            </w:r>
          </w:p>
        </w:tc>
        <w:tc>
          <w:tcPr>
            <w:tcW w:w="7754" w:type="dxa"/>
            <w:vAlign w:val="center"/>
          </w:tcPr>
          <w:p w14:paraId="2751D1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p>
        </w:tc>
      </w:tr>
      <w:tr w14:paraId="6FE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896" w:type="dxa"/>
            <w:vAlign w:val="center"/>
          </w:tcPr>
          <w:p w14:paraId="5E8EFB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响应报价（元）</w:t>
            </w:r>
          </w:p>
        </w:tc>
        <w:tc>
          <w:tcPr>
            <w:tcW w:w="7754" w:type="dxa"/>
            <w:vAlign w:val="center"/>
          </w:tcPr>
          <w:p w14:paraId="25E6A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小写：</w:t>
            </w:r>
            <w:r>
              <w:rPr>
                <w:rFonts w:hint="eastAsia" w:ascii="宋体" w:hAnsi="宋体" w:eastAsia="宋体" w:cs="宋体"/>
                <w:sz w:val="24"/>
                <w:szCs w:val="24"/>
                <w:highlight w:val="none"/>
                <w:u w:val="single"/>
                <w:vertAlign w:val="baseline"/>
                <w:lang w:val="en-US" w:eastAsia="zh-CN"/>
              </w:rPr>
              <w:t xml:space="preserve">           </w:t>
            </w:r>
          </w:p>
          <w:p w14:paraId="7167CD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大写：</w:t>
            </w:r>
            <w:r>
              <w:rPr>
                <w:rFonts w:hint="eastAsia" w:ascii="宋体" w:hAnsi="宋体" w:eastAsia="宋体" w:cs="宋体"/>
                <w:sz w:val="24"/>
                <w:szCs w:val="24"/>
                <w:highlight w:val="none"/>
                <w:u w:val="single"/>
                <w:vertAlign w:val="baseline"/>
                <w:lang w:val="en-US" w:eastAsia="zh-CN"/>
              </w:rPr>
              <w:t xml:space="preserve">           </w:t>
            </w:r>
          </w:p>
        </w:tc>
      </w:tr>
      <w:tr w14:paraId="79A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464E61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服务</w:t>
            </w:r>
            <w:r>
              <w:rPr>
                <w:rFonts w:hint="default" w:ascii="宋体" w:hAnsi="宋体" w:eastAsia="宋体" w:cs="宋体"/>
                <w:sz w:val="24"/>
                <w:szCs w:val="24"/>
                <w:highlight w:val="none"/>
                <w:vertAlign w:val="baseline"/>
                <w:lang w:val="en-US" w:eastAsia="zh-CN"/>
              </w:rPr>
              <w:t>期</w:t>
            </w:r>
            <w:r>
              <w:rPr>
                <w:rFonts w:hint="eastAsia" w:ascii="宋体" w:hAnsi="宋体" w:eastAsia="宋体" w:cs="宋体"/>
                <w:sz w:val="24"/>
                <w:szCs w:val="24"/>
                <w:highlight w:val="none"/>
                <w:vertAlign w:val="baseline"/>
                <w:lang w:val="en-US" w:eastAsia="zh-CN"/>
              </w:rPr>
              <w:t>限</w:t>
            </w:r>
          </w:p>
        </w:tc>
        <w:tc>
          <w:tcPr>
            <w:tcW w:w="7754" w:type="dxa"/>
            <w:vAlign w:val="center"/>
          </w:tcPr>
          <w:p w14:paraId="3112E597">
            <w:pPr>
              <w:keepNext w:val="0"/>
              <w:keepLines w:val="0"/>
              <w:widowControl/>
              <w:suppressLineNumbers w:val="0"/>
              <w:spacing w:line="48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u w:val="single"/>
                <w:vertAlign w:val="baseline"/>
                <w:lang w:val="en-US" w:eastAsia="zh-CN"/>
              </w:rPr>
              <w:t xml:space="preserve">    </w:t>
            </w:r>
            <w:r>
              <w:rPr>
                <w:rFonts w:hint="eastAsia" w:ascii="宋体" w:hAnsi="宋体" w:eastAsia="宋体" w:cs="宋体"/>
                <w:color w:val="000000"/>
                <w:kern w:val="0"/>
                <w:sz w:val="24"/>
                <w:szCs w:val="24"/>
                <w:highlight w:val="none"/>
                <w:lang w:val="en-US" w:eastAsia="zh-CN" w:bidi="ar"/>
              </w:rPr>
              <w:t>日历天</w:t>
            </w:r>
          </w:p>
        </w:tc>
      </w:tr>
      <w:tr w14:paraId="6C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96" w:type="dxa"/>
            <w:vAlign w:val="center"/>
          </w:tcPr>
          <w:p w14:paraId="2ACEA9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质量要求</w:t>
            </w:r>
          </w:p>
        </w:tc>
        <w:tc>
          <w:tcPr>
            <w:tcW w:w="7754" w:type="dxa"/>
            <w:vAlign w:val="center"/>
          </w:tcPr>
          <w:p w14:paraId="1EF9D5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p>
        </w:tc>
      </w:tr>
    </w:tbl>
    <w:p w14:paraId="2CD75B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387FB0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22130A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7513C62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4051399F">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br w:type="page"/>
      </w:r>
    </w:p>
    <w:p w14:paraId="3D6355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商务技术文件</w:t>
      </w:r>
    </w:p>
    <w:p w14:paraId="4DDD51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（一）</w:t>
      </w:r>
      <w:r>
        <w:rPr>
          <w:rFonts w:hint="eastAsia" w:ascii="宋体" w:hAnsi="宋体" w:eastAsia="宋体" w:cs="宋体"/>
          <w:sz w:val="24"/>
          <w:szCs w:val="24"/>
          <w:highlight w:val="none"/>
          <w:lang w:val="en-US" w:eastAsia="zh-CN"/>
        </w:rPr>
        <w:t>磋商</w:t>
      </w:r>
      <w:r>
        <w:rPr>
          <w:rFonts w:hint="default" w:ascii="宋体" w:hAnsi="宋体" w:eastAsia="宋体" w:cs="宋体"/>
          <w:sz w:val="24"/>
          <w:szCs w:val="24"/>
          <w:highlight w:val="none"/>
          <w:lang w:val="en-US" w:eastAsia="zh-CN"/>
        </w:rPr>
        <w:t>响应函</w:t>
      </w:r>
    </w:p>
    <w:p w14:paraId="485E33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致</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（采购人）：</w:t>
      </w:r>
    </w:p>
    <w:p w14:paraId="770070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我方确认收到贵方</w:t>
      </w:r>
      <w:r>
        <w:rPr>
          <w:rFonts w:hint="eastAsia" w:ascii="宋体" w:hAnsi="宋体" w:eastAsia="宋体" w:cs="宋体"/>
          <w:sz w:val="24"/>
          <w:szCs w:val="24"/>
          <w:highlight w:val="none"/>
          <w:u w:val="single"/>
          <w:lang w:val="en-US" w:eastAsia="zh-CN"/>
        </w:rPr>
        <w:t>项目名称、</w:t>
      </w:r>
      <w:r>
        <w:rPr>
          <w:rFonts w:hint="default" w:ascii="宋体" w:hAnsi="宋体" w:eastAsia="宋体" w:cs="宋体"/>
          <w:sz w:val="24"/>
          <w:szCs w:val="24"/>
          <w:highlight w:val="none"/>
          <w:u w:val="single"/>
          <w:lang w:val="en-US" w:eastAsia="zh-CN"/>
        </w:rPr>
        <w:t>项目编号</w:t>
      </w:r>
      <w:r>
        <w:rPr>
          <w:rFonts w:hint="default" w:ascii="宋体" w:hAnsi="宋体" w:eastAsia="宋体" w:cs="宋体"/>
          <w:sz w:val="24"/>
          <w:szCs w:val="24"/>
          <w:highlight w:val="none"/>
          <w:lang w:val="en-US" w:eastAsia="zh-CN"/>
        </w:rPr>
        <w:t>采购相关工程的磋商文件</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default" w:ascii="宋体" w:hAnsi="宋体" w:eastAsia="宋体" w:cs="宋体"/>
          <w:sz w:val="24"/>
          <w:szCs w:val="24"/>
          <w:highlight w:val="none"/>
          <w:lang w:val="en-US" w:eastAsia="zh-CN"/>
        </w:rPr>
        <w:t>代表</w:t>
      </w:r>
      <w:r>
        <w:rPr>
          <w:rFonts w:hint="default" w:ascii="宋体" w:hAnsi="宋体" w:eastAsia="宋体" w:cs="宋体"/>
          <w:sz w:val="24"/>
          <w:szCs w:val="24"/>
          <w:highlight w:val="none"/>
          <w:u w:val="single"/>
          <w:lang w:val="en-US" w:eastAsia="zh-CN"/>
        </w:rPr>
        <w:t>（姓名、职务）</w:t>
      </w:r>
      <w:r>
        <w:rPr>
          <w:rFonts w:hint="default" w:ascii="宋体" w:hAnsi="宋体" w:eastAsia="宋体" w:cs="宋体"/>
          <w:sz w:val="24"/>
          <w:szCs w:val="24"/>
          <w:highlight w:val="none"/>
          <w:lang w:val="en-US" w:eastAsia="zh-CN"/>
        </w:rPr>
        <w:t>经正式授权并代表供应商（供应商名称、地址）在此声明并同意：</w:t>
      </w:r>
    </w:p>
    <w:p w14:paraId="34B27E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1、总报价为（小写：</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）（大写：</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元）（保留两位小数）人民币，工期：签订合同后</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天内完工。</w:t>
      </w:r>
    </w:p>
    <w:p w14:paraId="40B364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我</w:t>
      </w:r>
      <w:r>
        <w:rPr>
          <w:rFonts w:hint="default" w:ascii="宋体" w:hAnsi="宋体" w:eastAsia="宋体" w:cs="宋体"/>
          <w:sz w:val="24"/>
          <w:szCs w:val="24"/>
          <w:highlight w:val="none"/>
          <w:lang w:val="en-US" w:eastAsia="zh-CN"/>
        </w:rPr>
        <w:t>方将按磋商文件的规定履行合同责任和义务；</w:t>
      </w:r>
    </w:p>
    <w:p w14:paraId="19A9AF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我</w:t>
      </w:r>
      <w:r>
        <w:rPr>
          <w:rFonts w:hint="default" w:ascii="宋体" w:hAnsi="宋体" w:eastAsia="宋体" w:cs="宋体"/>
          <w:sz w:val="24"/>
          <w:szCs w:val="24"/>
          <w:highlight w:val="none"/>
          <w:lang w:val="en-US" w:eastAsia="zh-CN"/>
        </w:rPr>
        <w:t>方已详细阅读并理解了磋商文件的全部，包括修改文件（如有的话）。我们完全理解并同意放弃对这方面有不明及误解的权利。</w:t>
      </w:r>
    </w:p>
    <w:p w14:paraId="64F60F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4、本响应有效期自响应截止日期起</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个日历日。</w:t>
      </w:r>
    </w:p>
    <w:p w14:paraId="16FF06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5、在规定的磋商时间后，如果在响应有效期内撤回</w:t>
      </w:r>
      <w:r>
        <w:rPr>
          <w:rFonts w:hint="eastAsia" w:ascii="宋体" w:hAnsi="宋体" w:eastAsia="宋体" w:cs="宋体"/>
          <w:sz w:val="24"/>
          <w:szCs w:val="24"/>
          <w:highlight w:val="none"/>
          <w:lang w:val="en-US" w:eastAsia="zh-CN"/>
        </w:rPr>
        <w:t>响应文件</w:t>
      </w:r>
      <w:r>
        <w:rPr>
          <w:rFonts w:hint="default" w:ascii="宋体" w:hAnsi="宋体" w:eastAsia="宋体" w:cs="宋体"/>
          <w:sz w:val="24"/>
          <w:szCs w:val="24"/>
          <w:highlight w:val="none"/>
          <w:lang w:val="en-US" w:eastAsia="zh-CN"/>
        </w:rPr>
        <w:t>，同意保证金将被贵方没收。</w:t>
      </w:r>
    </w:p>
    <w:p w14:paraId="119BE2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我方</w:t>
      </w:r>
      <w:r>
        <w:rPr>
          <w:rFonts w:hint="default" w:ascii="宋体" w:hAnsi="宋体" w:eastAsia="宋体" w:cs="宋体"/>
          <w:sz w:val="24"/>
          <w:szCs w:val="24"/>
          <w:highlight w:val="none"/>
          <w:lang w:val="en-US" w:eastAsia="zh-CN"/>
        </w:rPr>
        <w:t>同意提供按照贵方可能要求的与其响应有关的一切数据或资料，完全理解贵方不一定接受最低价的响应或收到的任何响应的约定。</w:t>
      </w:r>
    </w:p>
    <w:p w14:paraId="2E57B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我方决不提供虚假材料谋取成交，决不采取不正当手段诋毁、排挤其他供应商，决不与采购人、其它供应商恶意串通，决不向采购人及磋商小组进行商业贿赂。</w:t>
      </w:r>
    </w:p>
    <w:p w14:paraId="7709B9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如有违反，愿无条件接受贵方及相关管理部门的处罚。</w:t>
      </w:r>
    </w:p>
    <w:p w14:paraId="179B1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7、与本</w:t>
      </w:r>
      <w:r>
        <w:rPr>
          <w:rFonts w:hint="eastAsia" w:ascii="宋体" w:hAnsi="宋体" w:eastAsia="宋体" w:cs="宋体"/>
          <w:sz w:val="24"/>
          <w:szCs w:val="24"/>
          <w:highlight w:val="none"/>
          <w:lang w:val="en-US" w:eastAsia="zh-CN"/>
        </w:rPr>
        <w:t>项目</w:t>
      </w:r>
      <w:r>
        <w:rPr>
          <w:rFonts w:hint="default" w:ascii="宋体" w:hAnsi="宋体" w:eastAsia="宋体" w:cs="宋体"/>
          <w:sz w:val="24"/>
          <w:szCs w:val="24"/>
          <w:highlight w:val="none"/>
          <w:lang w:val="en-US" w:eastAsia="zh-CN"/>
        </w:rPr>
        <w:t>有关的正式通讯地址为：</w:t>
      </w:r>
    </w:p>
    <w:p w14:paraId="1B87BB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地址：</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邮编：</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电话：</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传真</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u w:val="single"/>
          <w:lang w:val="en-US" w:eastAsia="zh-CN"/>
        </w:rPr>
        <w:t xml:space="preserve">            </w:t>
      </w:r>
    </w:p>
    <w:p w14:paraId="61DD54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130646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5FA5A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7061CC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yellow"/>
          <w:lang w:val="en-US" w:eastAsia="zh-CN"/>
        </w:rPr>
        <w:br w:type="page"/>
      </w: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二</w:t>
      </w:r>
      <w:r>
        <w:rPr>
          <w:rFonts w:hint="default" w:ascii="宋体" w:hAnsi="宋体" w:eastAsia="宋体" w:cs="宋体"/>
          <w:sz w:val="24"/>
          <w:szCs w:val="24"/>
          <w:highlight w:val="none"/>
          <w:u w:val="none"/>
          <w:lang w:val="en-US" w:eastAsia="zh-CN"/>
        </w:rPr>
        <w:t>）商务偏离表</w:t>
      </w:r>
    </w:p>
    <w:p w14:paraId="27D0FA55">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项目编号：</w:t>
      </w:r>
      <w:r>
        <w:rPr>
          <w:rFonts w:hint="eastAsia" w:ascii="宋体" w:hAnsi="宋体" w:eastAsia="宋体" w:cs="宋体"/>
          <w:sz w:val="24"/>
          <w:szCs w:val="24"/>
          <w:highlight w:val="none"/>
          <w:u w:val="single"/>
          <w:lang w:val="en-US" w:eastAsia="zh-CN"/>
        </w:rPr>
        <w:t xml:space="preserve">                       </w:t>
      </w:r>
    </w:p>
    <w:tbl>
      <w:tblPr>
        <w:tblStyle w:val="17"/>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209F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09A182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7E1414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商务条款要求</w:t>
            </w:r>
          </w:p>
        </w:tc>
        <w:tc>
          <w:tcPr>
            <w:tcW w:w="2355" w:type="dxa"/>
            <w:vAlign w:val="center"/>
          </w:tcPr>
          <w:p w14:paraId="40C5D32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612913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175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B9EB2CF">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523444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878C8D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46E83D0">
            <w:pPr>
              <w:spacing w:line="360" w:lineRule="auto"/>
              <w:jc w:val="center"/>
              <w:rPr>
                <w:rFonts w:hint="eastAsia" w:ascii="宋体" w:hAnsi="宋体" w:eastAsia="宋体" w:cs="宋体"/>
                <w:b/>
                <w:bCs/>
                <w:color w:val="auto"/>
                <w:sz w:val="24"/>
                <w:szCs w:val="24"/>
                <w:highlight w:val="none"/>
              </w:rPr>
            </w:pPr>
          </w:p>
        </w:tc>
      </w:tr>
      <w:tr w14:paraId="00B6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09253D8">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0012D3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B526FE0">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CB620B4">
            <w:pPr>
              <w:spacing w:line="360" w:lineRule="auto"/>
              <w:jc w:val="center"/>
              <w:rPr>
                <w:rFonts w:hint="eastAsia" w:ascii="宋体" w:hAnsi="宋体" w:eastAsia="宋体" w:cs="宋体"/>
                <w:b/>
                <w:bCs/>
                <w:color w:val="auto"/>
                <w:sz w:val="24"/>
                <w:szCs w:val="24"/>
                <w:highlight w:val="none"/>
              </w:rPr>
            </w:pPr>
          </w:p>
        </w:tc>
      </w:tr>
      <w:tr w14:paraId="771B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A04F57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91C882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132A55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A951FBD">
            <w:pPr>
              <w:spacing w:line="360" w:lineRule="auto"/>
              <w:jc w:val="center"/>
              <w:rPr>
                <w:rFonts w:hint="eastAsia" w:ascii="宋体" w:hAnsi="宋体" w:eastAsia="宋体" w:cs="宋体"/>
                <w:b/>
                <w:bCs/>
                <w:color w:val="auto"/>
                <w:sz w:val="24"/>
                <w:szCs w:val="24"/>
                <w:highlight w:val="none"/>
              </w:rPr>
            </w:pPr>
          </w:p>
        </w:tc>
      </w:tr>
      <w:tr w14:paraId="13D7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95B7DC1">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044A8A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89E1CB7">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CAE39BD">
            <w:pPr>
              <w:spacing w:line="360" w:lineRule="auto"/>
              <w:jc w:val="center"/>
              <w:rPr>
                <w:rFonts w:hint="eastAsia" w:ascii="宋体" w:hAnsi="宋体" w:eastAsia="宋体" w:cs="宋体"/>
                <w:b/>
                <w:bCs/>
                <w:color w:val="auto"/>
                <w:sz w:val="24"/>
                <w:szCs w:val="24"/>
                <w:highlight w:val="none"/>
              </w:rPr>
            </w:pPr>
          </w:p>
        </w:tc>
      </w:tr>
      <w:tr w14:paraId="205B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1052E91A">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CE4E6D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634BF8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EBFA0C3">
            <w:pPr>
              <w:spacing w:line="360" w:lineRule="auto"/>
              <w:jc w:val="center"/>
              <w:rPr>
                <w:rFonts w:hint="eastAsia" w:ascii="宋体" w:hAnsi="宋体" w:eastAsia="宋体" w:cs="宋体"/>
                <w:b/>
                <w:bCs/>
                <w:color w:val="auto"/>
                <w:sz w:val="24"/>
                <w:szCs w:val="24"/>
                <w:highlight w:val="none"/>
              </w:rPr>
            </w:pPr>
          </w:p>
        </w:tc>
      </w:tr>
    </w:tbl>
    <w:p w14:paraId="184B6D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备注：供应商</w:t>
      </w:r>
      <w:r>
        <w:rPr>
          <w:rFonts w:hint="eastAsia" w:ascii="宋体" w:hAnsi="宋体" w:eastAsia="宋体" w:cs="宋体"/>
          <w:sz w:val="24"/>
          <w:szCs w:val="24"/>
          <w:highlight w:val="none"/>
          <w:u w:val="none"/>
          <w:lang w:val="en-US" w:eastAsia="zh-CN"/>
        </w:rPr>
        <w:t>响应</w:t>
      </w:r>
      <w:r>
        <w:rPr>
          <w:rFonts w:hint="default" w:ascii="宋体" w:hAnsi="宋体" w:eastAsia="宋体" w:cs="宋体"/>
          <w:sz w:val="24"/>
          <w:szCs w:val="24"/>
          <w:highlight w:val="none"/>
          <w:u w:val="none"/>
          <w:lang w:val="en-US" w:eastAsia="zh-CN"/>
        </w:rPr>
        <w:t>文件的条款有差异的，则在此表中列明实际响应的内容提要并加以说明，以便查对。无差异说明表示完全响应。</w:t>
      </w:r>
    </w:p>
    <w:p w14:paraId="198DE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24F7F0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6229A8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64675FB8">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2C61F7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三</w:t>
      </w:r>
      <w:r>
        <w:rPr>
          <w:rFonts w:hint="default" w:ascii="宋体" w:hAnsi="宋体" w:eastAsia="宋体" w:cs="宋体"/>
          <w:sz w:val="24"/>
          <w:szCs w:val="24"/>
          <w:highlight w:val="none"/>
          <w:u w:val="none"/>
          <w:lang w:val="en-US" w:eastAsia="zh-CN"/>
        </w:rPr>
        <w:t>）近</w:t>
      </w:r>
      <w:r>
        <w:rPr>
          <w:rFonts w:hint="eastAsia" w:ascii="宋体" w:hAnsi="宋体" w:eastAsia="宋体" w:cs="宋体"/>
          <w:sz w:val="24"/>
          <w:szCs w:val="24"/>
          <w:highlight w:val="none"/>
          <w:u w:val="none"/>
          <w:lang w:val="en-US" w:eastAsia="zh-CN"/>
        </w:rPr>
        <w:t>五</w:t>
      </w:r>
      <w:r>
        <w:rPr>
          <w:rFonts w:hint="default" w:ascii="宋体" w:hAnsi="宋体" w:eastAsia="宋体" w:cs="宋体"/>
          <w:sz w:val="24"/>
          <w:szCs w:val="24"/>
          <w:highlight w:val="none"/>
          <w:u w:val="none"/>
          <w:lang w:val="en-US" w:eastAsia="zh-CN"/>
        </w:rPr>
        <w:t>年类似业绩表</w:t>
      </w:r>
    </w:p>
    <w:p w14:paraId="4B9C84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企业业绩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75"/>
        <w:gridCol w:w="3247"/>
        <w:gridCol w:w="1227"/>
        <w:gridCol w:w="1306"/>
        <w:gridCol w:w="1612"/>
        <w:gridCol w:w="1480"/>
      </w:tblGrid>
      <w:tr w14:paraId="7A4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64492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7" w:type="dxa"/>
            <w:noWrap w:val="0"/>
            <w:vAlign w:val="center"/>
          </w:tcPr>
          <w:p w14:paraId="33E6C0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227" w:type="dxa"/>
            <w:noWrap w:val="0"/>
            <w:vAlign w:val="center"/>
          </w:tcPr>
          <w:p w14:paraId="13DB9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时间</w:t>
            </w:r>
          </w:p>
        </w:tc>
        <w:tc>
          <w:tcPr>
            <w:tcW w:w="1306" w:type="dxa"/>
            <w:noWrap w:val="0"/>
            <w:vAlign w:val="center"/>
          </w:tcPr>
          <w:p w14:paraId="4F073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120" w:firstLineChars="5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612" w:type="dxa"/>
            <w:noWrap w:val="0"/>
            <w:vAlign w:val="center"/>
          </w:tcPr>
          <w:p w14:paraId="000F4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480" w:type="dxa"/>
            <w:noWrap w:val="0"/>
            <w:vAlign w:val="center"/>
          </w:tcPr>
          <w:p w14:paraId="392D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6530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45A1A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3247" w:type="dxa"/>
            <w:noWrap w:val="0"/>
            <w:vAlign w:val="center"/>
          </w:tcPr>
          <w:p w14:paraId="64E0CB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2C8148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7C78F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5AFAE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754C0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5AF7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3642A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3247" w:type="dxa"/>
            <w:noWrap w:val="0"/>
            <w:vAlign w:val="center"/>
          </w:tcPr>
          <w:p w14:paraId="1EA32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4C6425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59609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04D6F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5EEF3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5920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57537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3247" w:type="dxa"/>
            <w:noWrap w:val="0"/>
            <w:vAlign w:val="center"/>
          </w:tcPr>
          <w:p w14:paraId="4F691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1C0CC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0967F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15B96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3BD5F0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0282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2EAC5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p>
        </w:tc>
        <w:tc>
          <w:tcPr>
            <w:tcW w:w="3247" w:type="dxa"/>
            <w:noWrap w:val="0"/>
            <w:vAlign w:val="center"/>
          </w:tcPr>
          <w:p w14:paraId="02D1E0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402EB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365C85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0DC7F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16BB6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235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0DE76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3247" w:type="dxa"/>
            <w:noWrap w:val="0"/>
            <w:vAlign w:val="center"/>
          </w:tcPr>
          <w:p w14:paraId="18D8B3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444C2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3B0FD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6715A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791CC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08C2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50436F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3247" w:type="dxa"/>
            <w:noWrap w:val="0"/>
            <w:vAlign w:val="center"/>
          </w:tcPr>
          <w:p w14:paraId="07CB9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227" w:type="dxa"/>
            <w:noWrap w:val="0"/>
            <w:vAlign w:val="center"/>
          </w:tcPr>
          <w:p w14:paraId="6B1128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306" w:type="dxa"/>
            <w:noWrap w:val="0"/>
            <w:vAlign w:val="center"/>
          </w:tcPr>
          <w:p w14:paraId="1DA92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612" w:type="dxa"/>
            <w:noWrap w:val="0"/>
            <w:vAlign w:val="center"/>
          </w:tcPr>
          <w:p w14:paraId="7B48E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480" w:type="dxa"/>
            <w:noWrap w:val="0"/>
            <w:vAlign w:val="center"/>
          </w:tcPr>
          <w:p w14:paraId="5C60F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r>
    </w:tbl>
    <w:p w14:paraId="0525486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yellow"/>
          <w:u w:val="none"/>
          <w:lang w:val="en-US" w:eastAsia="zh-CN"/>
        </w:rPr>
      </w:pPr>
    </w:p>
    <w:p w14:paraId="543FDC0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附：须提供中标（成交）通知书或合同扫描件并加盖公章。</w:t>
      </w:r>
    </w:p>
    <w:p w14:paraId="5FE6F4CB">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22D911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（四）服务团队</w:t>
      </w:r>
    </w:p>
    <w:p w14:paraId="72F373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u w:val="none"/>
          <w:lang w:val="en-US" w:eastAsia="zh-CN"/>
        </w:rPr>
      </w:pPr>
      <w:bookmarkStart w:id="184" w:name="_Toc25699"/>
      <w:bookmarkStart w:id="185" w:name="_Toc15179"/>
      <w:bookmarkStart w:id="186" w:name="_Toc22139"/>
      <w:bookmarkStart w:id="187" w:name="_Toc7072"/>
      <w:bookmarkStart w:id="188" w:name="_Toc25904"/>
      <w:bookmarkStart w:id="189" w:name="_Toc26174"/>
      <w:bookmarkStart w:id="190" w:name="_Toc14073"/>
      <w:r>
        <w:rPr>
          <w:rFonts w:hint="eastAsia" w:ascii="宋体" w:hAnsi="宋体" w:eastAsia="宋体" w:cs="宋体"/>
          <w:sz w:val="24"/>
          <w:szCs w:val="24"/>
          <w:highlight w:val="none"/>
          <w:u w:val="none"/>
          <w:lang w:val="en-US" w:eastAsia="zh-CN"/>
        </w:rPr>
        <w:t>项目负责人简历表</w:t>
      </w:r>
      <w:bookmarkEnd w:id="184"/>
      <w:bookmarkEnd w:id="185"/>
      <w:bookmarkEnd w:id="186"/>
      <w:bookmarkEnd w:id="187"/>
      <w:bookmarkEnd w:id="188"/>
      <w:bookmarkEnd w:id="189"/>
      <w:bookmarkEnd w:id="190"/>
    </w:p>
    <w:tbl>
      <w:tblPr>
        <w:tblStyle w:val="17"/>
        <w:tblW w:w="9240" w:type="dxa"/>
        <w:jc w:val="center"/>
        <w:tblLayout w:type="fixed"/>
        <w:tblCellMar>
          <w:top w:w="0" w:type="dxa"/>
          <w:left w:w="108" w:type="dxa"/>
          <w:bottom w:w="0" w:type="dxa"/>
          <w:right w:w="108" w:type="dxa"/>
        </w:tblCellMar>
      </w:tblPr>
      <w:tblGrid>
        <w:gridCol w:w="1182"/>
        <w:gridCol w:w="1963"/>
        <w:gridCol w:w="709"/>
        <w:gridCol w:w="1932"/>
        <w:gridCol w:w="1328"/>
        <w:gridCol w:w="2126"/>
      </w:tblGrid>
      <w:tr w14:paraId="283957EA">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99F4F4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姓名</w:t>
            </w:r>
          </w:p>
        </w:tc>
        <w:tc>
          <w:tcPr>
            <w:tcW w:w="1963" w:type="dxa"/>
            <w:tcBorders>
              <w:top w:val="single" w:color="auto" w:sz="6" w:space="0"/>
              <w:left w:val="single" w:color="auto" w:sz="6" w:space="0"/>
              <w:bottom w:val="single" w:color="auto" w:sz="6" w:space="0"/>
              <w:right w:val="single" w:color="auto" w:sz="6" w:space="0"/>
            </w:tcBorders>
            <w:noWrap w:val="0"/>
            <w:vAlign w:val="top"/>
          </w:tcPr>
          <w:p w14:paraId="1771DA8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54722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年龄</w:t>
            </w:r>
          </w:p>
        </w:tc>
        <w:tc>
          <w:tcPr>
            <w:tcW w:w="1932" w:type="dxa"/>
            <w:tcBorders>
              <w:top w:val="single" w:color="auto" w:sz="6" w:space="0"/>
              <w:left w:val="single" w:color="auto" w:sz="6" w:space="0"/>
              <w:bottom w:val="single" w:color="auto" w:sz="6" w:space="0"/>
              <w:right w:val="single" w:color="auto" w:sz="6" w:space="0"/>
            </w:tcBorders>
            <w:noWrap w:val="0"/>
            <w:vAlign w:val="top"/>
          </w:tcPr>
          <w:p w14:paraId="525F79E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35B174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身份证号码</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76DFA3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78EA3753">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BCDE00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毕业院校</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14:paraId="4BE44A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718283B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专     业</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6BA3EBC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4224AD8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F151D5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学位</w:t>
            </w:r>
          </w:p>
        </w:tc>
        <w:tc>
          <w:tcPr>
            <w:tcW w:w="1963" w:type="dxa"/>
            <w:tcBorders>
              <w:top w:val="single" w:color="auto" w:sz="6" w:space="0"/>
              <w:left w:val="single" w:color="auto" w:sz="6" w:space="0"/>
              <w:bottom w:val="single" w:color="auto" w:sz="6" w:space="0"/>
              <w:right w:val="single" w:color="auto" w:sz="6" w:space="0"/>
            </w:tcBorders>
            <w:noWrap w:val="0"/>
            <w:vAlign w:val="top"/>
          </w:tcPr>
          <w:p w14:paraId="534A910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4E92645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职称</w:t>
            </w:r>
          </w:p>
        </w:tc>
        <w:tc>
          <w:tcPr>
            <w:tcW w:w="1932" w:type="dxa"/>
            <w:tcBorders>
              <w:top w:val="single" w:color="auto" w:sz="6" w:space="0"/>
              <w:left w:val="single" w:color="auto" w:sz="6" w:space="0"/>
              <w:bottom w:val="single" w:color="auto" w:sz="6" w:space="0"/>
              <w:right w:val="single" w:color="auto" w:sz="6" w:space="0"/>
            </w:tcBorders>
            <w:noWrap w:val="0"/>
            <w:vAlign w:val="top"/>
          </w:tcPr>
          <w:p w14:paraId="61D8918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5DDBA4E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职     务</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4429C20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22F32A86">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45B8FF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14:paraId="7B556D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center"/>
          </w:tcPr>
          <w:p w14:paraId="736AF6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服务时间</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78A4C12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5658FBE0">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49E9551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7E78041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主要经历</w:t>
            </w:r>
          </w:p>
          <w:p w14:paraId="1FA323C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8058" w:type="dxa"/>
            <w:gridSpan w:val="5"/>
            <w:tcBorders>
              <w:top w:val="single" w:color="auto" w:sz="6" w:space="0"/>
              <w:left w:val="single" w:color="auto" w:sz="6" w:space="0"/>
              <w:bottom w:val="single" w:color="auto" w:sz="6" w:space="0"/>
              <w:right w:val="single" w:color="auto" w:sz="6" w:space="0"/>
            </w:tcBorders>
            <w:noWrap w:val="0"/>
            <w:vAlign w:val="top"/>
          </w:tcPr>
          <w:p w14:paraId="71B1F56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1B4F2BB7">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D2D1CC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日期</w:t>
            </w: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0B50F37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参加过的项目名称</w:t>
            </w: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1E11C9A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担任何职务</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304C0F9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备注</w:t>
            </w:r>
          </w:p>
        </w:tc>
      </w:tr>
      <w:tr w14:paraId="1AFC607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606F573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10A71E7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40005C7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01855F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31350AD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C7BF13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64D28E8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1858B7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B1AC55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333687A4">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5508B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143825E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0BB2E0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E2110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bl>
    <w:p w14:paraId="1B22D2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附：(1)项目负责人须为本单位人员，提供配备人员身份证正反面、相关证书、社保证明。</w:t>
      </w:r>
    </w:p>
    <w:p w14:paraId="55460A1E">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185963A9">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46E393A3">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7EEE9A98">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7DA6D4E3">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12F51585">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2ED185F4">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42FEB349">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60957D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服务人员</w:t>
      </w:r>
    </w:p>
    <w:p w14:paraId="5B07353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项目名称：</w:t>
      </w:r>
    </w:p>
    <w:p w14:paraId="02CC26E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6"/>
        <w:gridCol w:w="1200"/>
        <w:gridCol w:w="2320"/>
        <w:gridCol w:w="1860"/>
        <w:gridCol w:w="1961"/>
      </w:tblGrid>
      <w:tr w14:paraId="5586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0" w:type="dxa"/>
            <w:noWrap w:val="0"/>
            <w:vAlign w:val="center"/>
          </w:tcPr>
          <w:p w14:paraId="01E9FFD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序号</w:t>
            </w:r>
          </w:p>
        </w:tc>
        <w:tc>
          <w:tcPr>
            <w:tcW w:w="1516" w:type="dxa"/>
            <w:noWrap w:val="0"/>
            <w:vAlign w:val="center"/>
          </w:tcPr>
          <w:p w14:paraId="2F6B978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姓名</w:t>
            </w:r>
          </w:p>
        </w:tc>
        <w:tc>
          <w:tcPr>
            <w:tcW w:w="1200" w:type="dxa"/>
            <w:noWrap w:val="0"/>
            <w:vAlign w:val="center"/>
          </w:tcPr>
          <w:p w14:paraId="4E5A2EB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职务</w:t>
            </w:r>
          </w:p>
        </w:tc>
        <w:tc>
          <w:tcPr>
            <w:tcW w:w="2320" w:type="dxa"/>
            <w:noWrap w:val="0"/>
            <w:vAlign w:val="center"/>
          </w:tcPr>
          <w:p w14:paraId="6BC0BB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资质证书</w:t>
            </w:r>
          </w:p>
        </w:tc>
        <w:tc>
          <w:tcPr>
            <w:tcW w:w="1860" w:type="dxa"/>
            <w:noWrap w:val="0"/>
            <w:vAlign w:val="center"/>
          </w:tcPr>
          <w:p w14:paraId="5F1DE4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联系电话</w:t>
            </w:r>
          </w:p>
        </w:tc>
        <w:tc>
          <w:tcPr>
            <w:tcW w:w="1961" w:type="dxa"/>
            <w:noWrap w:val="0"/>
            <w:vAlign w:val="center"/>
          </w:tcPr>
          <w:p w14:paraId="7E8EF92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备注</w:t>
            </w:r>
          </w:p>
        </w:tc>
      </w:tr>
      <w:tr w14:paraId="712D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7BBBC50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w:t>
            </w:r>
          </w:p>
        </w:tc>
        <w:tc>
          <w:tcPr>
            <w:tcW w:w="1516" w:type="dxa"/>
            <w:noWrap w:val="0"/>
            <w:vAlign w:val="center"/>
          </w:tcPr>
          <w:p w14:paraId="057AA20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5F37DC3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5EDF2E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12CE2D1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192461C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4B2A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3DBD2B4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w:t>
            </w:r>
          </w:p>
        </w:tc>
        <w:tc>
          <w:tcPr>
            <w:tcW w:w="1516" w:type="dxa"/>
            <w:noWrap w:val="0"/>
            <w:vAlign w:val="center"/>
          </w:tcPr>
          <w:p w14:paraId="58EE3DF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5A6E20D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60228B8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06A43E2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42826F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1F31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251CA9B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w:t>
            </w:r>
          </w:p>
        </w:tc>
        <w:tc>
          <w:tcPr>
            <w:tcW w:w="1516" w:type="dxa"/>
            <w:noWrap w:val="0"/>
            <w:vAlign w:val="center"/>
          </w:tcPr>
          <w:p w14:paraId="3ADB70D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2B6D2A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011CB59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4D733DB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3124257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0A1F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0" w:type="dxa"/>
            <w:noWrap w:val="0"/>
            <w:vAlign w:val="center"/>
          </w:tcPr>
          <w:p w14:paraId="185C325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w:t>
            </w:r>
          </w:p>
        </w:tc>
        <w:tc>
          <w:tcPr>
            <w:tcW w:w="1516" w:type="dxa"/>
            <w:noWrap w:val="0"/>
            <w:vAlign w:val="center"/>
          </w:tcPr>
          <w:p w14:paraId="6E9BD29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2F8BF0C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4EF02C1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7E3EFF8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66756F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bl>
    <w:p w14:paraId="6EB3096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（此表可延长）</w:t>
      </w:r>
    </w:p>
    <w:p w14:paraId="5BE7729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7562CED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6BCF8C7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5102317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投标人名称（公章）：                     </w:t>
      </w:r>
    </w:p>
    <w:p w14:paraId="1FE5839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600915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法定代表人或委托代理人（签字或盖章）：                   </w:t>
      </w:r>
    </w:p>
    <w:p w14:paraId="74E9F1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532DC5D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日期：     年    月    日</w:t>
      </w:r>
    </w:p>
    <w:p w14:paraId="4CCC7D5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16E94B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1623D0D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4049D26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4ADC906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5A86D25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6A867E1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CABCAD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FB83D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u w:val="none"/>
          <w:lang w:val="en-US" w:eastAsia="zh-CN"/>
        </w:rPr>
      </w:pPr>
      <w:bookmarkStart w:id="191" w:name="_Toc2523"/>
      <w:bookmarkStart w:id="192" w:name="_Toc8244"/>
      <w:bookmarkStart w:id="193" w:name="_Toc20526"/>
      <w:bookmarkStart w:id="194" w:name="_Toc24084"/>
      <w:bookmarkStart w:id="195" w:name="_Toc16135"/>
      <w:r>
        <w:rPr>
          <w:rFonts w:hint="eastAsia" w:ascii="宋体" w:hAnsi="宋体" w:eastAsia="宋体" w:cs="宋体"/>
          <w:sz w:val="24"/>
          <w:szCs w:val="24"/>
          <w:highlight w:val="none"/>
          <w:u w:val="none"/>
          <w:lang w:val="en-US" w:eastAsia="zh-CN"/>
        </w:rPr>
        <w:t>（五）其他有利于投标的资料及证明文件等</w:t>
      </w:r>
      <w:bookmarkEnd w:id="191"/>
      <w:bookmarkEnd w:id="192"/>
      <w:bookmarkEnd w:id="193"/>
      <w:bookmarkEnd w:id="194"/>
    </w:p>
    <w:p w14:paraId="40114D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bookmarkEnd w:id="195"/>
    </w:p>
    <w:p w14:paraId="0EECB849">
      <w:pPr>
        <w:autoSpaceDE w:val="0"/>
        <w:autoSpaceDN w:val="0"/>
        <w:adjustRightInd w:val="0"/>
        <w:spacing w:line="440" w:lineRule="exact"/>
        <w:outlineLvl w:val="9"/>
        <w:rPr>
          <w:rFonts w:hint="default" w:ascii="仿宋" w:hAnsi="仿宋" w:eastAsia="仿宋" w:cs="仿宋"/>
          <w:b/>
          <w:bCs/>
          <w:color w:val="000000" w:themeColor="text1"/>
          <w:sz w:val="22"/>
          <w:szCs w:val="22"/>
          <w:highlight w:val="none"/>
          <w:lang w:val="en-US" w:eastAsia="zh-CN"/>
          <w14:textFill>
            <w14:solidFill>
              <w14:schemeClr w14:val="tx1"/>
            </w14:solidFill>
          </w14:textFill>
        </w:rPr>
      </w:pPr>
    </w:p>
    <w:p w14:paraId="05AA0A3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1FF38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681FB1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12DFC9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EB45F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69DC74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4FF2056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71648F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F3EBA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6883A8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020A0F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A942E0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D474FB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3C9184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707FC01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47BDB9A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3CCAFD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49D3011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DC632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809BE8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8E4A59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A67E6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7D789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0725EDB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CBA0B1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04C7D47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6E09D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B52620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A34ED2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6B1727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3733D1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CC22C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6A033A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D6CB1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FD33B6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1AFC3B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DB26CA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D5F81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1AE434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0ED8090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FD303D0">
      <w:pPr>
        <w:keepNext w:val="0"/>
        <w:keepLines w:val="0"/>
        <w:pageBreakBefore w:val="0"/>
        <w:widowControl w:val="0"/>
        <w:numPr>
          <w:ilvl w:val="0"/>
          <w:numId w:val="5"/>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技术内容</w:t>
      </w:r>
    </w:p>
    <w:p w14:paraId="3E248CA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25DB35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5021A5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698E75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6CECE4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技术</w:t>
      </w:r>
      <w:r>
        <w:rPr>
          <w:rFonts w:hint="default" w:ascii="宋体" w:hAnsi="宋体" w:eastAsia="宋体" w:cs="宋体"/>
          <w:sz w:val="24"/>
          <w:szCs w:val="24"/>
          <w:highlight w:val="none"/>
          <w:u w:val="none"/>
          <w:lang w:val="en-US" w:eastAsia="zh-CN"/>
        </w:rPr>
        <w:t>偏离表</w:t>
      </w:r>
    </w:p>
    <w:p w14:paraId="3C7194B9">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项目编号：</w:t>
      </w:r>
      <w:r>
        <w:rPr>
          <w:rFonts w:hint="eastAsia" w:ascii="宋体" w:hAnsi="宋体" w:eastAsia="宋体" w:cs="宋体"/>
          <w:sz w:val="24"/>
          <w:szCs w:val="24"/>
          <w:highlight w:val="none"/>
          <w:u w:val="single"/>
          <w:lang w:val="en-US" w:eastAsia="zh-CN"/>
        </w:rPr>
        <w:t xml:space="preserve">                       </w:t>
      </w:r>
    </w:p>
    <w:tbl>
      <w:tblPr>
        <w:tblStyle w:val="17"/>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1A57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628892A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B21C1C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u w:val="none"/>
                <w:lang w:val="en-US" w:eastAsia="zh-CN"/>
              </w:rPr>
              <w:t>技术</w:t>
            </w:r>
            <w:r>
              <w:rPr>
                <w:rFonts w:hint="eastAsia" w:ascii="宋体" w:hAnsi="宋体" w:eastAsia="宋体" w:cs="宋体"/>
                <w:bCs/>
                <w:color w:val="auto"/>
                <w:sz w:val="24"/>
                <w:szCs w:val="24"/>
                <w:highlight w:val="none"/>
                <w:lang w:eastAsia="zh-CN"/>
              </w:rPr>
              <w:t>条款要求</w:t>
            </w:r>
          </w:p>
        </w:tc>
        <w:tc>
          <w:tcPr>
            <w:tcW w:w="2355" w:type="dxa"/>
            <w:vAlign w:val="center"/>
          </w:tcPr>
          <w:p w14:paraId="178D30B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49CFCF4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C181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0A86F28B">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227AD6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AB3D974">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01A9C317">
            <w:pPr>
              <w:spacing w:line="360" w:lineRule="auto"/>
              <w:jc w:val="center"/>
              <w:rPr>
                <w:rFonts w:hint="eastAsia" w:ascii="宋体" w:hAnsi="宋体" w:eastAsia="宋体" w:cs="宋体"/>
                <w:b/>
                <w:bCs/>
                <w:color w:val="auto"/>
                <w:sz w:val="24"/>
                <w:szCs w:val="24"/>
                <w:highlight w:val="none"/>
              </w:rPr>
            </w:pPr>
          </w:p>
        </w:tc>
      </w:tr>
      <w:tr w14:paraId="7EA94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7A88B267">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CDB7CAE">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7C8133E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3C4EE0A">
            <w:pPr>
              <w:spacing w:line="360" w:lineRule="auto"/>
              <w:jc w:val="center"/>
              <w:rPr>
                <w:rFonts w:hint="eastAsia" w:ascii="宋体" w:hAnsi="宋体" w:eastAsia="宋体" w:cs="宋体"/>
                <w:b/>
                <w:bCs/>
                <w:color w:val="auto"/>
                <w:sz w:val="24"/>
                <w:szCs w:val="24"/>
                <w:highlight w:val="none"/>
              </w:rPr>
            </w:pPr>
          </w:p>
        </w:tc>
      </w:tr>
      <w:tr w14:paraId="55A4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A353A97">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1DA604C5">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997934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6A5F2B6">
            <w:pPr>
              <w:spacing w:line="360" w:lineRule="auto"/>
              <w:jc w:val="center"/>
              <w:rPr>
                <w:rFonts w:hint="eastAsia" w:ascii="宋体" w:hAnsi="宋体" w:eastAsia="宋体" w:cs="宋体"/>
                <w:b/>
                <w:bCs/>
                <w:color w:val="auto"/>
                <w:sz w:val="24"/>
                <w:szCs w:val="24"/>
                <w:highlight w:val="none"/>
              </w:rPr>
            </w:pPr>
          </w:p>
        </w:tc>
      </w:tr>
      <w:tr w14:paraId="3351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B25D13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40D202E">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167F701">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0FC0DEDA">
            <w:pPr>
              <w:spacing w:line="360" w:lineRule="auto"/>
              <w:jc w:val="center"/>
              <w:rPr>
                <w:rFonts w:hint="eastAsia" w:ascii="宋体" w:hAnsi="宋体" w:eastAsia="宋体" w:cs="宋体"/>
                <w:b/>
                <w:bCs/>
                <w:color w:val="auto"/>
                <w:sz w:val="24"/>
                <w:szCs w:val="24"/>
                <w:highlight w:val="none"/>
              </w:rPr>
            </w:pPr>
          </w:p>
        </w:tc>
      </w:tr>
      <w:tr w14:paraId="3C1F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6889EA34">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E6FADA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6BC0F0D">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D442423">
            <w:pPr>
              <w:spacing w:line="360" w:lineRule="auto"/>
              <w:jc w:val="center"/>
              <w:rPr>
                <w:rFonts w:hint="eastAsia" w:ascii="宋体" w:hAnsi="宋体" w:eastAsia="宋体" w:cs="宋体"/>
                <w:b/>
                <w:bCs/>
                <w:color w:val="auto"/>
                <w:sz w:val="24"/>
                <w:szCs w:val="24"/>
                <w:highlight w:val="none"/>
              </w:rPr>
            </w:pPr>
          </w:p>
        </w:tc>
      </w:tr>
    </w:tbl>
    <w:p w14:paraId="247B4F5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备注：</w:t>
      </w:r>
      <w:r>
        <w:rPr>
          <w:rFonts w:hint="eastAsia" w:ascii="宋体" w:hAnsi="宋体" w:eastAsia="宋体" w:cs="宋体"/>
          <w:sz w:val="24"/>
          <w:szCs w:val="24"/>
          <w:highlight w:val="none"/>
          <w:u w:val="none"/>
          <w:lang w:val="en-US" w:eastAsia="zh-CN"/>
        </w:rPr>
        <w:t>技术偏离表需根据第三章“服务需求”逐条响应，未逐条响应的视为不响应磋商文件，如</w:t>
      </w:r>
      <w:r>
        <w:rPr>
          <w:rFonts w:hint="default" w:ascii="宋体" w:hAnsi="宋体" w:eastAsia="宋体" w:cs="宋体"/>
          <w:sz w:val="24"/>
          <w:szCs w:val="24"/>
          <w:highlight w:val="none"/>
          <w:u w:val="none"/>
          <w:lang w:val="en-US" w:eastAsia="zh-CN"/>
        </w:rPr>
        <w:t>供应商</w:t>
      </w:r>
      <w:r>
        <w:rPr>
          <w:rFonts w:hint="eastAsia" w:ascii="宋体" w:hAnsi="宋体" w:eastAsia="宋体" w:cs="宋体"/>
          <w:sz w:val="24"/>
          <w:szCs w:val="24"/>
          <w:highlight w:val="none"/>
          <w:u w:val="none"/>
          <w:lang w:val="en-US" w:eastAsia="zh-CN"/>
        </w:rPr>
        <w:t>响应</w:t>
      </w:r>
      <w:r>
        <w:rPr>
          <w:rFonts w:hint="default" w:ascii="宋体" w:hAnsi="宋体" w:eastAsia="宋体" w:cs="宋体"/>
          <w:sz w:val="24"/>
          <w:szCs w:val="24"/>
          <w:highlight w:val="none"/>
          <w:u w:val="none"/>
          <w:lang w:val="en-US" w:eastAsia="zh-CN"/>
        </w:rPr>
        <w:t>文件的条款有差异的，则在此表中列明实际响应的内容提要并加以说明，以便查对。</w:t>
      </w:r>
    </w:p>
    <w:p w14:paraId="0CB0D3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1548C9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44EA40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2D1A19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06A7329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45F557C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0842DA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11E1A22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3021FE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7E3CCF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4AD635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根据磋商须知</w:t>
      </w:r>
      <w:r>
        <w:rPr>
          <w:rFonts w:hint="eastAsia" w:ascii="宋体" w:hAnsi="宋体" w:eastAsia="宋体" w:cs="宋体"/>
          <w:sz w:val="24"/>
          <w:szCs w:val="24"/>
          <w:highlight w:val="none"/>
          <w:lang w:val="en-US" w:eastAsia="zh-CN"/>
        </w:rPr>
        <w:t>第七部分</w:t>
      </w:r>
      <w:r>
        <w:rPr>
          <w:rFonts w:hint="default" w:ascii="宋体" w:hAnsi="宋体" w:eastAsia="宋体" w:cs="宋体"/>
          <w:sz w:val="24"/>
          <w:szCs w:val="24"/>
          <w:highlight w:val="none"/>
          <w:lang w:val="en-US" w:eastAsia="zh-CN"/>
        </w:rPr>
        <w:t>评审标准“技术</w:t>
      </w:r>
      <w:r>
        <w:rPr>
          <w:rFonts w:hint="eastAsia" w:ascii="宋体" w:hAnsi="宋体" w:eastAsia="宋体" w:cs="宋体"/>
          <w:sz w:val="24"/>
          <w:szCs w:val="24"/>
          <w:highlight w:val="none"/>
          <w:lang w:val="en-US" w:eastAsia="zh-CN"/>
        </w:rPr>
        <w:t>标</w:t>
      </w:r>
      <w:r>
        <w:rPr>
          <w:rFonts w:hint="default" w:ascii="宋体" w:hAnsi="宋体" w:eastAsia="宋体" w:cs="宋体"/>
          <w:sz w:val="24"/>
          <w:szCs w:val="24"/>
          <w:highlight w:val="none"/>
          <w:lang w:val="en-US" w:eastAsia="zh-CN"/>
        </w:rPr>
        <w:t>”评审内容自行编制</w:t>
      </w:r>
    </w:p>
    <w:p w14:paraId="0C411613">
      <w:pPr>
        <w:pStyle w:val="3"/>
        <w:rPr>
          <w:rFonts w:hint="default" w:ascii="宋体" w:hAnsi="宋体" w:eastAsia="宋体" w:cs="宋体"/>
          <w:sz w:val="24"/>
          <w:szCs w:val="24"/>
          <w:highlight w:val="none"/>
          <w:lang w:val="en-US" w:eastAsia="zh-CN"/>
        </w:rPr>
      </w:pPr>
    </w:p>
    <w:p w14:paraId="20E45AF3">
      <w:pPr>
        <w:rPr>
          <w:rFonts w:hint="default" w:ascii="宋体" w:hAnsi="宋体" w:eastAsia="宋体" w:cs="宋体"/>
          <w:sz w:val="24"/>
          <w:szCs w:val="24"/>
          <w:highlight w:val="none"/>
          <w:lang w:val="en-US" w:eastAsia="zh-CN"/>
        </w:rPr>
      </w:pPr>
    </w:p>
    <w:p w14:paraId="469DC66E">
      <w:pPr>
        <w:pStyle w:val="3"/>
        <w:rPr>
          <w:rFonts w:hint="default" w:ascii="宋体" w:hAnsi="宋体" w:eastAsia="宋体" w:cs="宋体"/>
          <w:sz w:val="24"/>
          <w:szCs w:val="24"/>
          <w:highlight w:val="yellow"/>
          <w:lang w:val="en-US" w:eastAsia="zh-CN"/>
        </w:rPr>
      </w:pPr>
    </w:p>
    <w:p w14:paraId="1724226F">
      <w:pPr>
        <w:rPr>
          <w:rFonts w:hint="default" w:ascii="宋体" w:hAnsi="宋体" w:eastAsia="宋体" w:cs="宋体"/>
          <w:sz w:val="24"/>
          <w:szCs w:val="24"/>
          <w:highlight w:val="yellow"/>
          <w:lang w:val="en-US" w:eastAsia="zh-CN"/>
        </w:rPr>
      </w:pPr>
    </w:p>
    <w:p w14:paraId="4C0BF5A2">
      <w:pPr>
        <w:pStyle w:val="3"/>
        <w:rPr>
          <w:rFonts w:hint="default" w:ascii="宋体" w:hAnsi="宋体" w:eastAsia="宋体" w:cs="宋体"/>
          <w:sz w:val="24"/>
          <w:szCs w:val="24"/>
          <w:highlight w:val="yellow"/>
          <w:lang w:val="en-US" w:eastAsia="zh-CN"/>
        </w:rPr>
      </w:pPr>
    </w:p>
    <w:p w14:paraId="0D8CE387">
      <w:pPr>
        <w:rPr>
          <w:rFonts w:hint="default" w:ascii="宋体" w:hAnsi="宋体" w:eastAsia="宋体" w:cs="宋体"/>
          <w:sz w:val="24"/>
          <w:szCs w:val="24"/>
          <w:highlight w:val="yellow"/>
          <w:lang w:val="en-US" w:eastAsia="zh-CN"/>
        </w:rPr>
      </w:pPr>
    </w:p>
    <w:p w14:paraId="2E889665">
      <w:pPr>
        <w:pStyle w:val="3"/>
        <w:rPr>
          <w:rFonts w:hint="default" w:ascii="宋体" w:hAnsi="宋体" w:eastAsia="宋体" w:cs="宋体"/>
          <w:sz w:val="24"/>
          <w:szCs w:val="24"/>
          <w:highlight w:val="yellow"/>
          <w:lang w:val="en-US" w:eastAsia="zh-CN"/>
        </w:rPr>
      </w:pPr>
    </w:p>
    <w:p w14:paraId="6F6912B4">
      <w:pPr>
        <w:rPr>
          <w:rFonts w:hint="default" w:ascii="宋体" w:hAnsi="宋体" w:eastAsia="宋体" w:cs="宋体"/>
          <w:sz w:val="24"/>
          <w:szCs w:val="24"/>
          <w:highlight w:val="yellow"/>
          <w:lang w:val="en-US" w:eastAsia="zh-CN"/>
        </w:rPr>
      </w:pPr>
    </w:p>
    <w:p w14:paraId="541F2FFF">
      <w:pPr>
        <w:rPr>
          <w:rFonts w:hint="default" w:ascii="宋体" w:hAnsi="宋体" w:eastAsia="宋体" w:cs="宋体"/>
          <w:sz w:val="24"/>
          <w:szCs w:val="24"/>
          <w:highlight w:val="yellow"/>
          <w:lang w:val="en-US" w:eastAsia="zh-CN"/>
        </w:rPr>
      </w:pPr>
    </w:p>
    <w:p w14:paraId="33AC0CBF">
      <w:pPr>
        <w:rPr>
          <w:rFonts w:hint="default" w:ascii="宋体" w:hAnsi="宋体" w:eastAsia="宋体" w:cs="宋体"/>
          <w:sz w:val="24"/>
          <w:szCs w:val="24"/>
          <w:highlight w:val="yellow"/>
          <w:lang w:val="en-US" w:eastAsia="zh-CN"/>
        </w:rPr>
      </w:pPr>
    </w:p>
    <w:p w14:paraId="2F70561D">
      <w:pPr>
        <w:rPr>
          <w:rFonts w:hint="default" w:ascii="宋体" w:hAnsi="宋体" w:eastAsia="宋体" w:cs="宋体"/>
          <w:sz w:val="24"/>
          <w:szCs w:val="24"/>
          <w:highlight w:val="yellow"/>
          <w:lang w:val="en-US" w:eastAsia="zh-CN"/>
        </w:rPr>
      </w:pPr>
    </w:p>
    <w:p w14:paraId="5AE4EEA7">
      <w:pPr>
        <w:rPr>
          <w:rFonts w:hint="default" w:ascii="宋体" w:hAnsi="宋体" w:eastAsia="宋体" w:cs="宋体"/>
          <w:sz w:val="24"/>
          <w:szCs w:val="24"/>
          <w:highlight w:val="yellow"/>
          <w:lang w:val="en-US" w:eastAsia="zh-CN"/>
        </w:rPr>
      </w:pPr>
    </w:p>
    <w:p w14:paraId="780A89DE">
      <w:pPr>
        <w:rPr>
          <w:rFonts w:hint="default" w:ascii="宋体" w:hAnsi="宋体" w:eastAsia="宋体" w:cs="宋体"/>
          <w:sz w:val="24"/>
          <w:szCs w:val="24"/>
          <w:highlight w:val="yellow"/>
          <w:lang w:val="en-US" w:eastAsia="zh-CN"/>
        </w:rPr>
      </w:pPr>
    </w:p>
    <w:p w14:paraId="0A5BC702">
      <w:pPr>
        <w:rPr>
          <w:rFonts w:hint="default" w:ascii="宋体" w:hAnsi="宋体" w:eastAsia="宋体" w:cs="宋体"/>
          <w:sz w:val="24"/>
          <w:szCs w:val="24"/>
          <w:highlight w:val="yellow"/>
          <w:lang w:val="en-US" w:eastAsia="zh-CN"/>
        </w:rPr>
      </w:pPr>
    </w:p>
    <w:p w14:paraId="5A4CDA79">
      <w:pPr>
        <w:rPr>
          <w:rFonts w:hint="default" w:ascii="宋体" w:hAnsi="宋体" w:eastAsia="宋体" w:cs="宋体"/>
          <w:sz w:val="24"/>
          <w:szCs w:val="24"/>
          <w:highlight w:val="yellow"/>
          <w:lang w:val="en-US" w:eastAsia="zh-CN"/>
        </w:rPr>
      </w:pPr>
    </w:p>
    <w:p w14:paraId="6E011675">
      <w:pPr>
        <w:rPr>
          <w:rFonts w:hint="default" w:ascii="宋体" w:hAnsi="宋体" w:eastAsia="宋体" w:cs="宋体"/>
          <w:sz w:val="24"/>
          <w:szCs w:val="24"/>
          <w:highlight w:val="yellow"/>
          <w:lang w:val="en-US" w:eastAsia="zh-CN"/>
        </w:rPr>
      </w:pPr>
    </w:p>
    <w:p w14:paraId="3E7896A3">
      <w:pPr>
        <w:rPr>
          <w:rFonts w:hint="default" w:ascii="宋体" w:hAnsi="宋体" w:eastAsia="宋体" w:cs="宋体"/>
          <w:sz w:val="24"/>
          <w:szCs w:val="24"/>
          <w:highlight w:val="yellow"/>
          <w:lang w:val="en-US" w:eastAsia="zh-CN"/>
        </w:rPr>
      </w:pPr>
    </w:p>
    <w:p w14:paraId="3A0F6BE9">
      <w:pPr>
        <w:rPr>
          <w:rFonts w:hint="default" w:ascii="宋体" w:hAnsi="宋体" w:eastAsia="宋体" w:cs="宋体"/>
          <w:sz w:val="24"/>
          <w:szCs w:val="24"/>
          <w:highlight w:val="yellow"/>
          <w:lang w:val="en-US" w:eastAsia="zh-CN"/>
        </w:rPr>
      </w:pPr>
    </w:p>
    <w:p w14:paraId="3B707D34">
      <w:pPr>
        <w:rPr>
          <w:rFonts w:hint="default" w:ascii="宋体" w:hAnsi="宋体" w:eastAsia="宋体" w:cs="宋体"/>
          <w:sz w:val="24"/>
          <w:szCs w:val="24"/>
          <w:highlight w:val="yellow"/>
          <w:lang w:val="en-US" w:eastAsia="zh-CN"/>
        </w:rPr>
      </w:pPr>
    </w:p>
    <w:p w14:paraId="6109C7DE">
      <w:pPr>
        <w:rPr>
          <w:rFonts w:hint="default" w:ascii="宋体" w:hAnsi="宋体" w:eastAsia="宋体" w:cs="宋体"/>
          <w:sz w:val="24"/>
          <w:szCs w:val="24"/>
          <w:highlight w:val="yellow"/>
          <w:lang w:val="en-US" w:eastAsia="zh-CN"/>
        </w:rPr>
      </w:pPr>
    </w:p>
    <w:p w14:paraId="5377BBAB">
      <w:pPr>
        <w:rPr>
          <w:rFonts w:hint="default" w:ascii="宋体" w:hAnsi="宋体" w:eastAsia="宋体" w:cs="宋体"/>
          <w:sz w:val="24"/>
          <w:szCs w:val="24"/>
          <w:highlight w:val="yellow"/>
          <w:lang w:val="en-US" w:eastAsia="zh-CN"/>
        </w:rPr>
      </w:pPr>
    </w:p>
    <w:p w14:paraId="6B7F00DD">
      <w:pPr>
        <w:rPr>
          <w:rFonts w:hint="default" w:ascii="宋体" w:hAnsi="宋体" w:eastAsia="宋体" w:cs="宋体"/>
          <w:sz w:val="24"/>
          <w:szCs w:val="24"/>
          <w:highlight w:val="yellow"/>
          <w:lang w:val="en-US" w:eastAsia="zh-CN"/>
        </w:rPr>
      </w:pPr>
    </w:p>
    <w:p w14:paraId="05F8F05C">
      <w:pPr>
        <w:rPr>
          <w:rFonts w:hint="default" w:ascii="宋体" w:hAnsi="宋体" w:eastAsia="宋体" w:cs="宋体"/>
          <w:sz w:val="24"/>
          <w:szCs w:val="24"/>
          <w:highlight w:val="yellow"/>
          <w:lang w:val="en-US" w:eastAsia="zh-CN"/>
        </w:rPr>
      </w:pPr>
    </w:p>
    <w:p w14:paraId="1E4B1FBF">
      <w:pPr>
        <w:rPr>
          <w:rFonts w:hint="default" w:ascii="宋体" w:hAnsi="宋体" w:eastAsia="宋体" w:cs="宋体"/>
          <w:sz w:val="24"/>
          <w:szCs w:val="24"/>
          <w:highlight w:val="yellow"/>
          <w:lang w:val="en-US" w:eastAsia="zh-CN"/>
        </w:rPr>
      </w:pPr>
    </w:p>
    <w:p w14:paraId="08615F9E">
      <w:pPr>
        <w:rPr>
          <w:rFonts w:hint="default" w:ascii="宋体" w:hAnsi="宋体" w:eastAsia="宋体" w:cs="宋体"/>
          <w:sz w:val="24"/>
          <w:szCs w:val="24"/>
          <w:highlight w:val="yellow"/>
          <w:lang w:val="en-US" w:eastAsia="zh-CN"/>
        </w:rPr>
      </w:pPr>
    </w:p>
    <w:p w14:paraId="374DFDAD">
      <w:pPr>
        <w:rPr>
          <w:rFonts w:hint="default" w:ascii="宋体" w:hAnsi="宋体" w:eastAsia="宋体" w:cs="宋体"/>
          <w:sz w:val="24"/>
          <w:szCs w:val="24"/>
          <w:highlight w:val="yellow"/>
          <w:lang w:val="en-US" w:eastAsia="zh-CN"/>
        </w:rPr>
      </w:pPr>
    </w:p>
    <w:p w14:paraId="0D7DA139">
      <w:pPr>
        <w:rPr>
          <w:rFonts w:hint="default" w:ascii="宋体" w:hAnsi="宋体" w:eastAsia="宋体" w:cs="宋体"/>
          <w:sz w:val="24"/>
          <w:szCs w:val="24"/>
          <w:highlight w:val="yellow"/>
          <w:lang w:val="en-US" w:eastAsia="zh-CN"/>
        </w:rPr>
      </w:pPr>
    </w:p>
    <w:p w14:paraId="53A788A2">
      <w:pPr>
        <w:rPr>
          <w:rFonts w:hint="default" w:ascii="宋体" w:hAnsi="宋体" w:eastAsia="宋体" w:cs="宋体"/>
          <w:sz w:val="24"/>
          <w:szCs w:val="24"/>
          <w:highlight w:val="yellow"/>
          <w:lang w:val="en-US" w:eastAsia="zh-CN"/>
        </w:rPr>
      </w:pPr>
    </w:p>
    <w:p w14:paraId="7E0584FC">
      <w:pPr>
        <w:rPr>
          <w:rFonts w:hint="default" w:ascii="宋体" w:hAnsi="宋体" w:eastAsia="宋体" w:cs="宋体"/>
          <w:sz w:val="24"/>
          <w:szCs w:val="24"/>
          <w:highlight w:val="yellow"/>
          <w:lang w:val="en-US" w:eastAsia="zh-CN"/>
        </w:rPr>
      </w:pPr>
    </w:p>
    <w:p w14:paraId="16923E5A">
      <w:pPr>
        <w:rPr>
          <w:rFonts w:hint="default" w:ascii="宋体" w:hAnsi="宋体" w:eastAsia="宋体" w:cs="宋体"/>
          <w:sz w:val="24"/>
          <w:szCs w:val="24"/>
          <w:highlight w:val="yellow"/>
          <w:lang w:val="en-US" w:eastAsia="zh-CN"/>
        </w:rPr>
      </w:pPr>
    </w:p>
    <w:p w14:paraId="71AAF808">
      <w:pPr>
        <w:rPr>
          <w:rFonts w:hint="default" w:ascii="宋体" w:hAnsi="宋体" w:eastAsia="宋体" w:cs="宋体"/>
          <w:sz w:val="24"/>
          <w:szCs w:val="24"/>
          <w:highlight w:val="yellow"/>
          <w:lang w:val="en-US" w:eastAsia="zh-CN"/>
        </w:rPr>
      </w:pPr>
    </w:p>
    <w:p w14:paraId="466EF82F">
      <w:pPr>
        <w:rPr>
          <w:rFonts w:hint="default" w:ascii="宋体" w:hAnsi="宋体" w:eastAsia="宋体" w:cs="宋体"/>
          <w:sz w:val="24"/>
          <w:szCs w:val="24"/>
          <w:highlight w:val="yellow"/>
          <w:lang w:val="en-US" w:eastAsia="zh-CN"/>
        </w:rPr>
      </w:pPr>
    </w:p>
    <w:p w14:paraId="53E2DFE2">
      <w:pPr>
        <w:rPr>
          <w:rFonts w:hint="default" w:ascii="宋体" w:hAnsi="宋体" w:eastAsia="宋体" w:cs="宋体"/>
          <w:sz w:val="24"/>
          <w:szCs w:val="24"/>
          <w:highlight w:val="yellow"/>
          <w:lang w:val="en-US" w:eastAsia="zh-CN"/>
        </w:rPr>
      </w:pPr>
    </w:p>
    <w:p w14:paraId="58B1FF5A">
      <w:pPr>
        <w:rPr>
          <w:rFonts w:hint="default" w:ascii="宋体" w:hAnsi="宋体" w:eastAsia="宋体" w:cs="宋体"/>
          <w:sz w:val="24"/>
          <w:szCs w:val="24"/>
          <w:highlight w:val="yellow"/>
          <w:lang w:val="en-US" w:eastAsia="zh-CN"/>
        </w:rPr>
      </w:pPr>
    </w:p>
    <w:p w14:paraId="542B628F">
      <w:pPr>
        <w:pStyle w:val="3"/>
        <w:rPr>
          <w:rFonts w:hint="default" w:ascii="宋体" w:hAnsi="宋体" w:eastAsia="宋体" w:cs="宋体"/>
          <w:sz w:val="24"/>
          <w:szCs w:val="24"/>
          <w:highlight w:val="yellow"/>
          <w:lang w:val="en-US" w:eastAsia="zh-CN"/>
        </w:rPr>
      </w:pPr>
    </w:p>
    <w:p w14:paraId="5BDE5183">
      <w:pPr>
        <w:rPr>
          <w:rFonts w:hint="default" w:ascii="宋体" w:hAnsi="宋体" w:eastAsia="宋体" w:cs="宋体"/>
          <w:sz w:val="24"/>
          <w:szCs w:val="24"/>
          <w:highlight w:val="yellow"/>
          <w:lang w:val="en-US" w:eastAsia="zh-CN"/>
        </w:rPr>
      </w:pPr>
    </w:p>
    <w:p w14:paraId="6070F865">
      <w:pPr>
        <w:pStyle w:val="3"/>
        <w:rPr>
          <w:rFonts w:hint="default" w:ascii="宋体" w:hAnsi="宋体" w:eastAsia="宋体" w:cs="宋体"/>
          <w:sz w:val="24"/>
          <w:szCs w:val="24"/>
          <w:highlight w:val="yellow"/>
          <w:lang w:val="en-US" w:eastAsia="zh-CN"/>
        </w:rPr>
      </w:pPr>
    </w:p>
    <w:p w14:paraId="7B2F756C">
      <w:pPr>
        <w:rPr>
          <w:rFonts w:hint="default" w:ascii="宋体" w:hAnsi="宋体" w:eastAsia="宋体" w:cs="宋体"/>
          <w:sz w:val="24"/>
          <w:szCs w:val="24"/>
          <w:highlight w:val="yellow"/>
          <w:lang w:val="en-US" w:eastAsia="zh-CN"/>
        </w:rPr>
      </w:pPr>
    </w:p>
    <w:p w14:paraId="148741B6">
      <w:pPr>
        <w:pStyle w:val="3"/>
        <w:rPr>
          <w:rFonts w:hint="default" w:ascii="宋体" w:hAnsi="宋体" w:eastAsia="宋体" w:cs="宋体"/>
          <w:sz w:val="24"/>
          <w:szCs w:val="24"/>
          <w:highlight w:val="yellow"/>
          <w:lang w:val="en-US" w:eastAsia="zh-CN"/>
        </w:rPr>
      </w:pPr>
    </w:p>
    <w:p w14:paraId="66E35146">
      <w:pPr>
        <w:rPr>
          <w:rFonts w:hint="default" w:ascii="宋体" w:hAnsi="宋体" w:eastAsia="宋体" w:cs="宋体"/>
          <w:sz w:val="24"/>
          <w:szCs w:val="24"/>
          <w:highlight w:val="yellow"/>
          <w:lang w:val="en-US" w:eastAsia="zh-CN"/>
        </w:rPr>
      </w:pPr>
    </w:p>
    <w:p w14:paraId="6C45A48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六</w:t>
      </w: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其他资料</w:t>
      </w:r>
    </w:p>
    <w:p w14:paraId="5AFC5297">
      <w:pPr>
        <w:pStyle w:val="3"/>
        <w:rPr>
          <w:rFonts w:hint="default"/>
          <w:highlight w:val="yellow"/>
          <w:lang w:val="en-US" w:eastAsia="zh-CN"/>
        </w:rPr>
      </w:pP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7F" w:usb3="00000000" w:csb0="203F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17AC">
    <w:pPr>
      <w:pStyle w:val="12"/>
      <w:rPr>
        <w:ins w:id="1" w:author="Administrator" w:date="2026-05-06T17:03:43Z"/>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C37A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C37A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9DA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10C6F">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610C6F">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361F">
    <w:pPr>
      <w:pStyle w:val="13"/>
      <w:pBdr>
        <w:bottom w:val="none" w:color="auto" w:sz="0" w:space="0"/>
      </w:pBdr>
      <w:jc w:val="right"/>
      <w:rPr>
        <w:ins w:id="0" w:author="Administrator" w:date="2026-05-06T17:03:43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4BB">
    <w:pPr>
      <w:widowControl/>
      <w:tabs>
        <w:tab w:val="left" w:pos="277"/>
      </w:tabs>
      <w:kinsoku w:val="0"/>
      <w:autoSpaceDE w:val="0"/>
      <w:autoSpaceDN w:val="0"/>
      <w:adjustRightInd w:val="0"/>
      <w:snapToGrid w:val="0"/>
      <w:spacing w:before="53" w:line="228" w:lineRule="auto"/>
      <w:jc w:val="left"/>
      <w:textAlignment w:val="baseline"/>
      <w:rPr>
        <w:rFonts w:hint="eastAsia"/>
        <w:sz w:val="15"/>
        <w:szCs w:val="15"/>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B3F2"/>
    <w:multiLevelType w:val="multilevel"/>
    <w:tmpl w:val="E3FFB3F2"/>
    <w:lvl w:ilvl="0" w:tentative="0">
      <w:start w:val="1"/>
      <w:numFmt w:val="decimal"/>
      <w:isLgl/>
      <w:suff w:val="nothing"/>
      <w:lvlText w:val="第%1章"/>
      <w:lvlJc w:val="left"/>
      <w:pPr>
        <w:ind w:left="0" w:firstLine="0"/>
      </w:pPr>
      <w:rPr>
        <w:rFonts w:hint="eastAsia" w:ascii="黑体" w:hAnsi="黑体" w:eastAsia="黑体" w:cs="宋体"/>
        <w:b w:val="0"/>
        <w:i w:val="0"/>
        <w:sz w:val="44"/>
      </w:rPr>
    </w:lvl>
    <w:lvl w:ilvl="1" w:tentative="0">
      <w:start w:val="1"/>
      <w:numFmt w:val="decimal"/>
      <w:suff w:val="space"/>
      <w:lvlText w:val="%1.%2"/>
      <w:lvlJc w:val="left"/>
      <w:pPr>
        <w:ind w:left="0" w:firstLine="0"/>
      </w:pPr>
      <w:rPr>
        <w:rFonts w:hint="eastAsia" w:ascii="黑体" w:hAnsi="黑体" w:eastAsia="黑体" w:cs="宋体"/>
        <w:b w:val="0"/>
        <w:i w:val="0"/>
        <w:sz w:val="36"/>
      </w:rPr>
    </w:lvl>
    <w:lvl w:ilvl="2" w:tentative="0">
      <w:start w:val="1"/>
      <w:numFmt w:val="decimal"/>
      <w:suff w:val="space"/>
      <w:lvlText w:val="%1.%2.%3"/>
      <w:lvlJc w:val="left"/>
      <w:pPr>
        <w:ind w:left="0" w:firstLine="0"/>
      </w:pPr>
      <w:rPr>
        <w:rFonts w:hint="eastAsia" w:ascii="黑体" w:hAnsi="黑体" w:eastAsia="黑体" w:cs="宋体"/>
        <w:b w:val="0"/>
        <w:i w:val="0"/>
        <w:sz w:val="32"/>
      </w:rPr>
    </w:lvl>
    <w:lvl w:ilvl="3" w:tentative="0">
      <w:start w:val="1"/>
      <w:numFmt w:val="decimal"/>
      <w:pStyle w:val="5"/>
      <w:isLgl/>
      <w:suff w:val="space"/>
      <w:lvlText w:val="%1.%2.%3.%4"/>
      <w:lvlJc w:val="left"/>
      <w:pPr>
        <w:ind w:left="0" w:firstLine="0"/>
      </w:pPr>
      <w:rPr>
        <w:rFonts w:hint="eastAsia" w:ascii="宋体" w:hAnsi="宋体" w:eastAsia="宋体" w:cs="宋体"/>
        <w:b/>
        <w:i w:val="0"/>
        <w:sz w:val="28"/>
      </w:rPr>
    </w:lvl>
    <w:lvl w:ilvl="4" w:tentative="0">
      <w:start w:val="1"/>
      <w:numFmt w:val="decimal"/>
      <w:pStyle w:val="6"/>
      <w:suff w:val="space"/>
      <w:lvlText w:val="%1.%2.%3.%4.%5"/>
      <w:lvlJc w:val="left"/>
      <w:pPr>
        <w:ind w:left="0" w:firstLine="0"/>
      </w:pPr>
      <w:rPr>
        <w:rFonts w:hint="eastAsia" w:ascii="宋体" w:hAnsi="宋体" w:eastAsia="宋体" w:cs="宋体"/>
        <w:b w:val="0"/>
        <w:i w:val="0"/>
        <w:sz w:val="24"/>
      </w:rPr>
    </w:lvl>
    <w:lvl w:ilvl="5" w:tentative="0">
      <w:start w:val="1"/>
      <w:numFmt w:val="decimal"/>
      <w:suff w:val="space"/>
      <w:lvlText w:val="%1.%2.%3.%4.%5.%6"/>
      <w:lvlJc w:val="left"/>
      <w:pPr>
        <w:ind w:left="0" w:firstLine="0"/>
      </w:pPr>
      <w:rPr>
        <w:rFonts w:hint="default" w:ascii="宋体" w:hAnsi="宋体" w:eastAsia="宋体" w:cs="宋体"/>
      </w:rPr>
    </w:lvl>
    <w:lvl w:ilvl="6" w:tentative="0">
      <w:start w:val="1"/>
      <w:numFmt w:val="decimal"/>
      <w:isLgl/>
      <w:lvlText w:val="%1.%2.%3.%4.%5.%6.%7."/>
      <w:lvlJc w:val="left"/>
      <w:pPr>
        <w:ind w:left="0" w:firstLine="0"/>
      </w:pPr>
      <w:rPr>
        <w:rFonts w:hint="default" w:ascii="宋体" w:hAnsi="宋体" w:eastAsia="宋体" w:cs="宋体"/>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1">
    <w:nsid w:val="1F9C572F"/>
    <w:multiLevelType w:val="singleLevel"/>
    <w:tmpl w:val="1F9C572F"/>
    <w:lvl w:ilvl="0" w:tentative="0">
      <w:start w:val="4"/>
      <w:numFmt w:val="decimal"/>
      <w:suff w:val="nothing"/>
      <w:lvlText w:val="（%1）"/>
      <w:lvlJc w:val="left"/>
    </w:lvl>
  </w:abstractNum>
  <w:abstractNum w:abstractNumId="2">
    <w:nsid w:val="306FFAD5"/>
    <w:multiLevelType w:val="singleLevel"/>
    <w:tmpl w:val="306FFAD5"/>
    <w:lvl w:ilvl="0" w:tentative="0">
      <w:start w:val="5"/>
      <w:numFmt w:val="chineseCounting"/>
      <w:suff w:val="nothing"/>
      <w:lvlText w:val="%1、"/>
      <w:lvlJc w:val="left"/>
      <w:rPr>
        <w:rFonts w:hint="eastAsia"/>
      </w:rPr>
    </w:lvl>
  </w:abstractNum>
  <w:abstractNum w:abstractNumId="3">
    <w:nsid w:val="309B256F"/>
    <w:multiLevelType w:val="singleLevel"/>
    <w:tmpl w:val="309B256F"/>
    <w:lvl w:ilvl="0" w:tentative="0">
      <w:start w:val="1"/>
      <w:numFmt w:val="decimal"/>
      <w:suff w:val="nothing"/>
      <w:lvlText w:val="%1、"/>
      <w:lvlJc w:val="left"/>
    </w:lvl>
  </w:abstractNum>
  <w:abstractNum w:abstractNumId="4">
    <w:nsid w:val="5C5703F7"/>
    <w:multiLevelType w:val="singleLevel"/>
    <w:tmpl w:val="5C5703F7"/>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zuser">
    <w15:presenceInfo w15:providerId="WPS Office" w15:userId="384017657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0C80"/>
    <w:rsid w:val="02296CB5"/>
    <w:rsid w:val="04753095"/>
    <w:rsid w:val="05F22FFD"/>
    <w:rsid w:val="075838EA"/>
    <w:rsid w:val="07D462F0"/>
    <w:rsid w:val="0BAA11CC"/>
    <w:rsid w:val="0CC83B69"/>
    <w:rsid w:val="0F601A19"/>
    <w:rsid w:val="102C76B3"/>
    <w:rsid w:val="12F732F9"/>
    <w:rsid w:val="164F48D8"/>
    <w:rsid w:val="16697BD2"/>
    <w:rsid w:val="16BF42A6"/>
    <w:rsid w:val="1A92257F"/>
    <w:rsid w:val="1E19489C"/>
    <w:rsid w:val="1E4C1F44"/>
    <w:rsid w:val="20AD2D5B"/>
    <w:rsid w:val="26933C14"/>
    <w:rsid w:val="29E60EBD"/>
    <w:rsid w:val="2CF125AC"/>
    <w:rsid w:val="30346E62"/>
    <w:rsid w:val="31F06BF9"/>
    <w:rsid w:val="33833DA5"/>
    <w:rsid w:val="34B41D3C"/>
    <w:rsid w:val="35932A96"/>
    <w:rsid w:val="38D15197"/>
    <w:rsid w:val="3A1F33A1"/>
    <w:rsid w:val="3E6B7598"/>
    <w:rsid w:val="3F237A6E"/>
    <w:rsid w:val="40571776"/>
    <w:rsid w:val="460A7FF5"/>
    <w:rsid w:val="4A784BDE"/>
    <w:rsid w:val="4AF61EC2"/>
    <w:rsid w:val="4BA43778"/>
    <w:rsid w:val="504D3004"/>
    <w:rsid w:val="55D76F01"/>
    <w:rsid w:val="56930749"/>
    <w:rsid w:val="59B36062"/>
    <w:rsid w:val="5AB63B81"/>
    <w:rsid w:val="5B445318"/>
    <w:rsid w:val="63743BCC"/>
    <w:rsid w:val="6495723E"/>
    <w:rsid w:val="64CB4544"/>
    <w:rsid w:val="69A94ABC"/>
    <w:rsid w:val="6EBD2B8A"/>
    <w:rsid w:val="6F056C39"/>
    <w:rsid w:val="71161C90"/>
    <w:rsid w:val="711F61B4"/>
    <w:rsid w:val="799F7E18"/>
    <w:rsid w:val="7D7C3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kern w:val="44"/>
      <w:sz w:val="44"/>
      <w:szCs w:val="44"/>
    </w:rPr>
  </w:style>
  <w:style w:type="paragraph" w:styleId="3">
    <w:name w:val="heading 2"/>
    <w:basedOn w:val="1"/>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numPr>
        <w:ilvl w:val="3"/>
        <w:numId w:val="1"/>
      </w:numPr>
      <w:tabs>
        <w:tab w:val="left" w:pos="420"/>
      </w:tabs>
      <w:spacing w:before="120" w:after="120" w:line="240" w:lineRule="auto"/>
      <w:ind w:firstLineChars="0"/>
      <w:outlineLvl w:val="3"/>
    </w:pPr>
    <w:rPr>
      <w:b/>
    </w:rPr>
  </w:style>
  <w:style w:type="paragraph" w:styleId="6">
    <w:name w:val="heading 5"/>
    <w:basedOn w:val="1"/>
    <w:next w:val="1"/>
    <w:unhideWhenUsed/>
    <w:qFormat/>
    <w:uiPriority w:val="0"/>
    <w:pPr>
      <w:keepNext/>
      <w:keepLines/>
      <w:numPr>
        <w:ilvl w:val="4"/>
        <w:numId w:val="1"/>
      </w:numPr>
      <w:tabs>
        <w:tab w:val="left" w:pos="420"/>
      </w:tabs>
      <w:spacing w:before="120" w:after="120" w:line="240" w:lineRule="auto"/>
      <w:ind w:firstLineChars="0"/>
      <w:outlineLvl w:val="4"/>
    </w:pPr>
    <w:rPr>
      <w:b/>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11">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9"/>
    <w:next w:val="1"/>
    <w:qFormat/>
    <w:uiPriority w:val="0"/>
    <w:pPr>
      <w:ind w:firstLine="420" w:firstLineChars="100"/>
    </w:pPr>
    <w:rPr>
      <w:rFonts w:ascii="Arial" w:hAnsi="Arial"/>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TML Sample"/>
    <w:basedOn w:val="19"/>
    <w:qFormat/>
    <w:uiPriority w:val="0"/>
    <w:rPr>
      <w:rFonts w:ascii="Courier New" w:hAnsi="Courier New"/>
    </w:rPr>
  </w:style>
  <w:style w:type="paragraph" w:customStyle="1" w:styleId="22">
    <w:name w:val="表格文字（居中）"/>
    <w:basedOn w:val="23"/>
    <w:qFormat/>
    <w:uiPriority w:val="0"/>
    <w:pPr>
      <w:spacing w:line="240" w:lineRule="auto"/>
    </w:pPr>
    <w:rPr>
      <w:b w:val="0"/>
    </w:rPr>
  </w:style>
  <w:style w:type="paragraph" w:customStyle="1" w:styleId="23">
    <w:name w:val="表格标题"/>
    <w:basedOn w:val="1"/>
    <w:qFormat/>
    <w:uiPriority w:val="0"/>
    <w:pPr>
      <w:jc w:val="center"/>
    </w:pPr>
    <w:rPr>
      <w:b/>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NormalIndent"/>
    <w:basedOn w:val="1"/>
    <w:qFormat/>
    <w:uiPriority w:val="0"/>
    <w:pPr>
      <w:spacing w:before="60" w:after="60" w:line="360" w:lineRule="auto"/>
      <w:ind w:firstLine="420"/>
      <w:jc w:val="both"/>
      <w:textAlignment w:val="baseline"/>
    </w:pPr>
    <w:rPr>
      <w:rFonts w:ascii="Times New Roman" w:hAnsi="Times New Roman" w:eastAsia="宋体"/>
      <w:kern w:val="0"/>
      <w:sz w:val="24"/>
      <w:szCs w:val="24"/>
      <w:lang w:val="en-US" w:eastAsia="zh-CN" w:bidi="ar-SA"/>
    </w:rPr>
  </w:style>
  <w:style w:type="character" w:customStyle="1" w:styleId="29">
    <w:name w:val="font81"/>
    <w:qFormat/>
    <w:uiPriority w:val="0"/>
    <w:rPr>
      <w:rFonts w:hint="eastAsia" w:ascii="宋体" w:hAnsi="宋体" w:eastAsia="宋体" w:cs="宋体"/>
      <w:color w:val="000000"/>
      <w:sz w:val="20"/>
      <w:szCs w:val="20"/>
      <w:u w:val="none"/>
    </w:rPr>
  </w:style>
  <w:style w:type="character" w:customStyle="1" w:styleId="30">
    <w:name w:val="font122"/>
    <w:qFormat/>
    <w:uiPriority w:val="0"/>
    <w:rPr>
      <w:rFonts w:hint="eastAsia" w:ascii="宋体" w:hAnsi="宋体" w:eastAsia="宋体" w:cs="宋体"/>
      <w:color w:val="000000"/>
      <w:sz w:val="20"/>
      <w:szCs w:val="20"/>
      <w:u w:val="none"/>
    </w:rPr>
  </w:style>
  <w:style w:type="character" w:customStyle="1" w:styleId="31">
    <w:name w:val="font251"/>
    <w:qFormat/>
    <w:uiPriority w:val="0"/>
    <w:rPr>
      <w:rFonts w:ascii="Calibri" w:hAnsi="Calibri" w:cs="Calibri"/>
      <w:color w:val="000000"/>
      <w:sz w:val="20"/>
      <w:szCs w:val="20"/>
      <w:u w:val="none"/>
    </w:rPr>
  </w:style>
  <w:style w:type="character" w:customStyle="1" w:styleId="32">
    <w:name w:val="font101"/>
    <w:qFormat/>
    <w:uiPriority w:val="0"/>
    <w:rPr>
      <w:rFonts w:hint="eastAsia" w:ascii="宋体" w:hAnsi="宋体" w:eastAsia="宋体" w:cs="宋体"/>
      <w:color w:val="000000"/>
      <w:sz w:val="20"/>
      <w:szCs w:val="20"/>
      <w:u w:val="none"/>
    </w:rPr>
  </w:style>
  <w:style w:type="character" w:customStyle="1" w:styleId="33">
    <w:name w:val="font261"/>
    <w:qFormat/>
    <w:uiPriority w:val="0"/>
    <w:rPr>
      <w:rFonts w:hint="eastAsia" w:ascii="宋体" w:hAnsi="宋体" w:eastAsia="宋体" w:cs="宋体"/>
      <w:color w:val="000000"/>
      <w:sz w:val="20"/>
      <w:szCs w:val="20"/>
      <w:u w:val="none"/>
      <w:vertAlign w:val="superscript"/>
    </w:rPr>
  </w:style>
  <w:style w:type="character" w:customStyle="1" w:styleId="34">
    <w:name w:val="font91"/>
    <w:qFormat/>
    <w:uiPriority w:val="0"/>
    <w:rPr>
      <w:rFonts w:hint="eastAsia" w:ascii="宋体" w:hAnsi="宋体" w:eastAsia="宋体" w:cs="宋体"/>
      <w:color w:val="000000"/>
      <w:sz w:val="20"/>
      <w:szCs w:val="20"/>
      <w:u w:val="none"/>
    </w:rPr>
  </w:style>
  <w:style w:type="character" w:customStyle="1" w:styleId="35">
    <w:name w:val="font161"/>
    <w:qFormat/>
    <w:uiPriority w:val="0"/>
    <w:rPr>
      <w:rFonts w:hint="default" w:ascii="Times New Roman" w:hAnsi="Times New Roman" w:cs="Times New Roman"/>
      <w:color w:val="000000"/>
      <w:sz w:val="20"/>
      <w:szCs w:val="20"/>
      <w:u w:val="none"/>
    </w:rPr>
  </w:style>
  <w:style w:type="character" w:customStyle="1" w:styleId="36">
    <w:name w:val="font231"/>
    <w:qFormat/>
    <w:uiPriority w:val="0"/>
    <w:rPr>
      <w:rFonts w:hint="default" w:ascii="Times New Roman" w:hAnsi="Times New Roman" w:cs="Times New Roman"/>
      <w:color w:val="000000"/>
      <w:sz w:val="20"/>
      <w:szCs w:val="20"/>
      <w:u w:val="none"/>
    </w:rPr>
  </w:style>
  <w:style w:type="character" w:customStyle="1" w:styleId="37">
    <w:name w:val="font271"/>
    <w:qFormat/>
    <w:uiPriority w:val="0"/>
    <w:rPr>
      <w:rFonts w:ascii="Arial Unicode MS" w:hAnsi="Arial Unicode MS" w:eastAsia="Arial Unicode MS" w:cs="Arial Unicode MS"/>
      <w:color w:val="000000"/>
      <w:sz w:val="20"/>
      <w:szCs w:val="20"/>
      <w:u w:val="none"/>
    </w:rPr>
  </w:style>
  <w:style w:type="character" w:customStyle="1" w:styleId="38">
    <w:name w:val="font281"/>
    <w:qFormat/>
    <w:uiPriority w:val="0"/>
    <w:rPr>
      <w:rFonts w:hint="default" w:ascii="Calibri" w:hAnsi="Calibri" w:cs="Calibri"/>
      <w:color w:val="000000"/>
      <w:sz w:val="20"/>
      <w:szCs w:val="20"/>
      <w:u w:val="none"/>
    </w:rPr>
  </w:style>
  <w:style w:type="paragraph" w:customStyle="1" w:styleId="39">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列表段落1"/>
    <w:basedOn w:val="1"/>
    <w:qFormat/>
    <w:uiPriority w:val="0"/>
    <w:pPr>
      <w:ind w:firstLine="200" w:firstLineChars="200"/>
    </w:pPr>
    <w:rPr>
      <w:rFonts w:ascii="Calibri" w:hAnsi="Calibri" w:eastAsia="宋体" w:cs="Times New Roman"/>
      <w:szCs w:val="22"/>
    </w:rPr>
  </w:style>
  <w:style w:type="character" w:customStyle="1" w:styleId="42">
    <w:name w:val="font61"/>
    <w:basedOn w:val="19"/>
    <w:qFormat/>
    <w:uiPriority w:val="0"/>
    <w:rPr>
      <w:rFonts w:ascii="仿宋_GB2312" w:eastAsia="仿宋_GB2312" w:cs="仿宋_GB2312"/>
      <w:color w:val="000000"/>
      <w:sz w:val="24"/>
      <w:szCs w:val="24"/>
      <w:u w:val="none"/>
    </w:rPr>
  </w:style>
  <w:style w:type="paragraph" w:customStyle="1" w:styleId="43">
    <w:name w:val="表格文字2"/>
    <w:basedOn w:val="44"/>
    <w:qFormat/>
    <w:uiPriority w:val="99"/>
    <w:pPr>
      <w:spacing w:before="25" w:after="25"/>
      <w:jc w:val="left"/>
    </w:pPr>
    <w:rPr>
      <w:bCs/>
      <w:spacing w:val="10"/>
      <w:kern w:val="0"/>
    </w:rPr>
  </w:style>
  <w:style w:type="paragraph" w:customStyle="1" w:styleId="44">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5">
    <w:name w:val="表格文字（居左）"/>
    <w:basedOn w:val="22"/>
    <w:qFormat/>
    <w:uiPriority w:val="0"/>
    <w:pPr>
      <w:jc w:val="left"/>
    </w:pPr>
  </w:style>
  <w:style w:type="paragraph" w:customStyle="1" w:styleId="46">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7">
    <w:name w:val="索引 11"/>
    <w:basedOn w:val="1"/>
    <w:next w:val="1"/>
    <w:autoRedefine/>
    <w:qFormat/>
    <w:uiPriority w:val="0"/>
    <w:pPr>
      <w:spacing w:line="360" w:lineRule="auto"/>
    </w:pPr>
    <w:rPr>
      <w:rFonts w:ascii="仿宋_GB2312" w:eastAsia="仿宋_GB2312"/>
      <w:sz w:val="24"/>
      <w:szCs w:val="20"/>
    </w:rPr>
  </w:style>
  <w:style w:type="paragraph" w:customStyle="1" w:styleId="48">
    <w:name w:val="纯文本1"/>
    <w:basedOn w:val="1"/>
    <w:autoRedefine/>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25945</Words>
  <Characters>27642</Characters>
  <Lines>0</Lines>
  <Paragraphs>0</Paragraphs>
  <TotalTime>42</TotalTime>
  <ScaleCrop>false</ScaleCrop>
  <LinksUpToDate>false</LinksUpToDate>
  <CharactersWithSpaces>27699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2024-03-19T01:08:00Z</dcterms:created>
  <dc:creator>leesin</dc:creator>
  <cp:lastModifiedBy>#茜</cp:lastModifiedBy>
  <cp:lastPrinted>2025-03-27T17:54:00Z</cp:lastPrinted>
  <dcterms:modified xsi:type="dcterms:W3CDTF">2026-05-08T09:55:35Z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83708AA417A14D18A3A8A509BCD035E0_13</vt:lpwstr>
  </property>
  <property fmtid="{D5CDD505-2E9C-101B-9397-08002B2CF9AE}" pid="4" name="KSOTemplateDocerSaveRecord">
    <vt:lpwstr>eyJoZGlkIjoiMzEwNTM5NzYwMDRjMzkwZTVkZjY2ODkwMGIxNGU0OTUiLCJ1c2VySWQiOiI1MjU4NjQwMzkifQ==</vt:lpwstr>
  </property>
</Properties>
</file>