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6AF2">
      <w:pPr>
        <w:pStyle w:val="233"/>
        <w:ind w:firstLine="0"/>
        <w:jc w:val="center"/>
        <w:rPr>
          <w:rFonts w:ascii="宋体" w:hAnsi="宋体"/>
          <w:b/>
          <w:bCs/>
          <w:sz w:val="84"/>
          <w:highlight w:val="none"/>
        </w:rPr>
      </w:pPr>
      <w:r>
        <w:rPr>
          <w:rFonts w:hint="eastAsia" w:ascii="宋体" w:hAnsi="宋体"/>
          <w:b/>
          <w:bCs/>
          <w:sz w:val="84"/>
          <w:highlight w:val="none"/>
        </w:rPr>
        <w:t>竞争性磋商文件</w:t>
      </w:r>
    </w:p>
    <w:p w14:paraId="7743E458">
      <w:pPr>
        <w:pStyle w:val="233"/>
        <w:ind w:firstLine="456" w:firstLineChars="152"/>
        <w:jc w:val="center"/>
        <w:rPr>
          <w:rFonts w:ascii="宋体" w:hAnsi="宋体"/>
          <w:b/>
          <w:bCs/>
          <w:sz w:val="30"/>
          <w:szCs w:val="30"/>
          <w:highlight w:val="none"/>
        </w:rPr>
      </w:pPr>
    </w:p>
    <w:p w14:paraId="5C715A70">
      <w:pPr>
        <w:pStyle w:val="233"/>
        <w:ind w:firstLine="1351" w:firstLineChars="450"/>
        <w:jc w:val="both"/>
        <w:rPr>
          <w:rFonts w:ascii="宋体" w:hAnsi="宋体"/>
          <w:b/>
          <w:bCs/>
          <w:sz w:val="30"/>
          <w:szCs w:val="30"/>
          <w:highlight w:val="none"/>
        </w:rPr>
      </w:pPr>
      <w:r>
        <w:rPr>
          <w:rFonts w:hint="eastAsia" w:ascii="宋体" w:hAnsi="宋体"/>
          <w:b/>
          <w:bCs/>
          <w:sz w:val="30"/>
          <w:szCs w:val="30"/>
          <w:highlight w:val="none"/>
        </w:rPr>
        <w:t>项目名称：新疆维吾尔自治区民政厅婚姻登记证书印制项目</w:t>
      </w:r>
    </w:p>
    <w:p w14:paraId="59C2CE1F">
      <w:pPr>
        <w:pStyle w:val="233"/>
        <w:tabs>
          <w:tab w:val="left" w:pos="4736"/>
        </w:tabs>
        <w:ind w:firstLine="1351" w:firstLineChars="450"/>
        <w:jc w:val="both"/>
        <w:rPr>
          <w:rFonts w:ascii="宋体" w:hAnsi="宋体"/>
          <w:b/>
          <w:bCs/>
          <w:sz w:val="30"/>
          <w:szCs w:val="30"/>
          <w:highlight w:val="none"/>
        </w:rPr>
      </w:pPr>
      <w:r>
        <w:rPr>
          <w:rFonts w:hint="eastAsia" w:ascii="宋体" w:hAnsi="宋体"/>
          <w:b/>
          <w:bCs/>
          <w:sz w:val="30"/>
          <w:szCs w:val="30"/>
          <w:highlight w:val="none"/>
        </w:rPr>
        <w:t>项目编号：CS202</w:t>
      </w:r>
      <w:r>
        <w:rPr>
          <w:rFonts w:hint="eastAsia" w:ascii="宋体" w:hAnsi="宋体"/>
          <w:b/>
          <w:bCs/>
          <w:sz w:val="30"/>
          <w:szCs w:val="30"/>
          <w:highlight w:val="none"/>
          <w:lang w:val="en-US" w:eastAsia="zh-CN"/>
        </w:rPr>
        <w:t>6</w:t>
      </w:r>
      <w:r>
        <w:rPr>
          <w:rFonts w:hint="eastAsia" w:ascii="宋体" w:hAnsi="宋体"/>
          <w:b/>
          <w:bCs/>
          <w:sz w:val="30"/>
          <w:szCs w:val="30"/>
          <w:highlight w:val="none"/>
        </w:rPr>
        <w:t>-</w:t>
      </w:r>
      <w:r>
        <w:rPr>
          <w:rFonts w:hint="eastAsia" w:ascii="宋体" w:hAnsi="宋体"/>
          <w:b/>
          <w:bCs/>
          <w:sz w:val="30"/>
          <w:szCs w:val="30"/>
          <w:highlight w:val="none"/>
          <w:lang w:val="en-US" w:eastAsia="zh-CN"/>
        </w:rPr>
        <w:t>029</w:t>
      </w:r>
      <w:r>
        <w:rPr>
          <w:highlight w:val="none"/>
        </w:rPr>
        <w:tab/>
      </w:r>
    </w:p>
    <w:p w14:paraId="593E9D8F">
      <w:pPr>
        <w:pStyle w:val="233"/>
        <w:ind w:firstLine="456" w:firstLineChars="152"/>
        <w:jc w:val="center"/>
        <w:rPr>
          <w:rFonts w:ascii="宋体" w:hAnsi="宋体"/>
          <w:b/>
          <w:bCs/>
          <w:sz w:val="30"/>
          <w:szCs w:val="30"/>
          <w:highlight w:val="none"/>
        </w:rPr>
      </w:pPr>
    </w:p>
    <w:p w14:paraId="1F9EFBBB">
      <w:pPr>
        <w:pStyle w:val="233"/>
        <w:spacing w:before="0" w:after="0"/>
        <w:ind w:firstLine="0"/>
        <w:rPr>
          <w:rFonts w:ascii="宋体" w:hAnsi="宋体"/>
          <w:highlight w:val="none"/>
        </w:rPr>
      </w:pPr>
    </w:p>
    <w:tbl>
      <w:tblPr>
        <w:tblStyle w:val="50"/>
        <w:tblpPr w:leftFromText="180" w:rightFromText="180" w:vertAnchor="page" w:horzAnchor="page" w:tblpX="1429" w:tblpY="60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7703"/>
      </w:tblGrid>
      <w:tr w14:paraId="5B40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49060851">
            <w:pPr>
              <w:jc w:val="center"/>
              <w:rPr>
                <w:rFonts w:ascii="宋体" w:hAnsi="宋体"/>
                <w:color w:val="000000"/>
                <w:sz w:val="28"/>
                <w:szCs w:val="28"/>
                <w:highlight w:val="none"/>
              </w:rPr>
            </w:pPr>
            <w:r>
              <w:rPr>
                <w:rFonts w:hint="eastAsia" w:ascii="宋体" w:hAnsi="宋体"/>
                <w:color w:val="000000"/>
                <w:sz w:val="28"/>
                <w:szCs w:val="28"/>
                <w:highlight w:val="none"/>
              </w:rPr>
              <w:t>采购人</w:t>
            </w:r>
          </w:p>
          <w:p w14:paraId="6DCF7FF4">
            <w:pPr>
              <w:jc w:val="center"/>
              <w:rPr>
                <w:rFonts w:ascii="宋体" w:hAnsi="宋体"/>
                <w:color w:val="000000"/>
                <w:sz w:val="28"/>
                <w:szCs w:val="28"/>
                <w:highlight w:val="none"/>
              </w:rPr>
            </w:pPr>
            <w:r>
              <w:rPr>
                <w:rFonts w:hint="eastAsia" w:ascii="宋体" w:hAnsi="宋体"/>
                <w:color w:val="000000"/>
                <w:sz w:val="28"/>
                <w:szCs w:val="28"/>
                <w:highlight w:val="none"/>
              </w:rPr>
              <w:t>审核意见</w:t>
            </w:r>
          </w:p>
        </w:tc>
        <w:tc>
          <w:tcPr>
            <w:tcW w:w="7703" w:type="dxa"/>
          </w:tcPr>
          <w:p w14:paraId="7D80D8AF">
            <w:pPr>
              <w:rPr>
                <w:rFonts w:ascii="宋体" w:hAnsi="宋体"/>
                <w:color w:val="000000"/>
                <w:sz w:val="28"/>
                <w:szCs w:val="28"/>
                <w:highlight w:val="none"/>
              </w:rPr>
            </w:pPr>
            <w:r>
              <w:rPr>
                <w:rFonts w:hint="eastAsia" w:ascii="宋体" w:hAnsi="宋体"/>
                <w:color w:val="000000"/>
                <w:sz w:val="28"/>
                <w:szCs w:val="28"/>
                <w:highlight w:val="none"/>
              </w:rPr>
              <w:t>　　　　　　　　　　　　　　　　　　　</w:t>
            </w:r>
          </w:p>
          <w:p w14:paraId="49A1F1BC">
            <w:pPr>
              <w:rPr>
                <w:rFonts w:ascii="宋体" w:hAnsi="宋体"/>
                <w:color w:val="000000"/>
                <w:sz w:val="28"/>
                <w:szCs w:val="28"/>
                <w:highlight w:val="none"/>
              </w:rPr>
            </w:pPr>
          </w:p>
          <w:p w14:paraId="617E6CF5">
            <w:pPr>
              <w:ind w:firstLine="4200" w:firstLineChars="1500"/>
              <w:rPr>
                <w:rFonts w:ascii="宋体" w:hAnsi="宋体"/>
                <w:color w:val="000000"/>
                <w:sz w:val="28"/>
                <w:szCs w:val="28"/>
                <w:highlight w:val="none"/>
              </w:rPr>
            </w:pPr>
            <w:r>
              <w:rPr>
                <w:rFonts w:hint="eastAsia" w:ascii="宋体" w:hAnsi="宋体"/>
                <w:color w:val="000000"/>
                <w:sz w:val="28"/>
                <w:szCs w:val="28"/>
                <w:highlight w:val="none"/>
              </w:rPr>
              <w:t>采购人签章：</w:t>
            </w:r>
          </w:p>
          <w:p w14:paraId="377965FF">
            <w:pPr>
              <w:rPr>
                <w:rFonts w:ascii="宋体" w:hAnsi="宋体"/>
                <w:color w:val="000000"/>
                <w:sz w:val="28"/>
                <w:szCs w:val="28"/>
                <w:highlight w:val="none"/>
              </w:rPr>
            </w:pPr>
            <w:r>
              <w:rPr>
                <w:rFonts w:hint="eastAsia" w:ascii="宋体" w:hAnsi="宋体"/>
                <w:color w:val="000000"/>
                <w:sz w:val="28"/>
                <w:szCs w:val="28"/>
                <w:highlight w:val="none"/>
              </w:rPr>
              <w:t>　　　　　　　　　　　　　　　　        年  月  日</w:t>
            </w:r>
          </w:p>
        </w:tc>
      </w:tr>
      <w:tr w14:paraId="094E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vAlign w:val="center"/>
          </w:tcPr>
          <w:p w14:paraId="5E5E9563">
            <w:pPr>
              <w:jc w:val="center"/>
              <w:rPr>
                <w:rFonts w:ascii="宋体" w:hAnsi="宋体"/>
                <w:color w:val="000000"/>
                <w:sz w:val="28"/>
                <w:szCs w:val="28"/>
                <w:highlight w:val="none"/>
              </w:rPr>
            </w:pPr>
            <w:r>
              <w:rPr>
                <w:rFonts w:hint="eastAsia" w:ascii="宋体" w:hAnsi="宋体"/>
                <w:color w:val="000000"/>
                <w:sz w:val="28"/>
                <w:szCs w:val="28"/>
                <w:highlight w:val="none"/>
              </w:rPr>
              <w:t>内控监督部</w:t>
            </w:r>
          </w:p>
          <w:p w14:paraId="17F7551D">
            <w:pPr>
              <w:jc w:val="center"/>
              <w:rPr>
                <w:rFonts w:ascii="宋体" w:hAnsi="宋体"/>
                <w:color w:val="000000"/>
                <w:sz w:val="28"/>
                <w:szCs w:val="28"/>
                <w:highlight w:val="none"/>
              </w:rPr>
            </w:pPr>
            <w:r>
              <w:rPr>
                <w:rFonts w:hint="eastAsia" w:ascii="宋体" w:hAnsi="宋体"/>
                <w:color w:val="000000"/>
                <w:sz w:val="28"/>
                <w:szCs w:val="28"/>
                <w:highlight w:val="none"/>
              </w:rPr>
              <w:t>审核意见</w:t>
            </w:r>
          </w:p>
        </w:tc>
        <w:tc>
          <w:tcPr>
            <w:tcW w:w="7703" w:type="dxa"/>
          </w:tcPr>
          <w:p w14:paraId="698DE446">
            <w:pPr>
              <w:ind w:firstLine="4620" w:firstLineChars="1650"/>
              <w:rPr>
                <w:rFonts w:ascii="宋体" w:hAnsi="宋体"/>
                <w:color w:val="000000"/>
                <w:sz w:val="28"/>
                <w:szCs w:val="28"/>
                <w:highlight w:val="none"/>
              </w:rPr>
            </w:pPr>
          </w:p>
          <w:p w14:paraId="025FA229">
            <w:pPr>
              <w:ind w:firstLine="4200" w:firstLineChars="1500"/>
              <w:rPr>
                <w:rFonts w:ascii="宋体" w:hAnsi="宋体"/>
                <w:color w:val="000000"/>
                <w:sz w:val="28"/>
                <w:szCs w:val="28"/>
                <w:highlight w:val="none"/>
              </w:rPr>
            </w:pPr>
            <w:r>
              <w:rPr>
                <w:rFonts w:hint="eastAsia" w:ascii="宋体" w:hAnsi="宋体"/>
                <w:color w:val="000000"/>
                <w:sz w:val="28"/>
                <w:szCs w:val="28"/>
                <w:highlight w:val="none"/>
              </w:rPr>
              <w:t>审核人签章：</w:t>
            </w:r>
          </w:p>
          <w:p w14:paraId="743EECDC">
            <w:pPr>
              <w:rPr>
                <w:rFonts w:ascii="宋体" w:hAnsi="宋体"/>
                <w:color w:val="000000"/>
                <w:sz w:val="28"/>
                <w:szCs w:val="28"/>
                <w:highlight w:val="none"/>
              </w:rPr>
            </w:pPr>
            <w:r>
              <w:rPr>
                <w:rFonts w:hint="eastAsia" w:ascii="宋体" w:hAnsi="宋体"/>
                <w:color w:val="000000"/>
                <w:sz w:val="28"/>
                <w:szCs w:val="28"/>
                <w:highlight w:val="none"/>
              </w:rPr>
              <w:t>　　　　　　　　　　　　　　　　        年  月  日</w:t>
            </w:r>
          </w:p>
        </w:tc>
      </w:tr>
    </w:tbl>
    <w:p w14:paraId="44F37083">
      <w:pPr>
        <w:pStyle w:val="233"/>
        <w:spacing w:before="0" w:after="0"/>
        <w:ind w:firstLine="0"/>
        <w:rPr>
          <w:rFonts w:ascii="宋体" w:hAnsi="宋体"/>
          <w:highlight w:val="none"/>
        </w:rPr>
      </w:pPr>
    </w:p>
    <w:p w14:paraId="37A01FA4">
      <w:pPr>
        <w:pStyle w:val="233"/>
        <w:ind w:firstLine="0"/>
        <w:jc w:val="center"/>
        <w:rPr>
          <w:rFonts w:ascii="宋体" w:hAnsi="宋体"/>
          <w:b/>
          <w:bCs/>
          <w:sz w:val="32"/>
          <w:highlight w:val="none"/>
        </w:rPr>
      </w:pPr>
    </w:p>
    <w:p w14:paraId="014AFEB4">
      <w:pPr>
        <w:pStyle w:val="233"/>
        <w:ind w:firstLine="0"/>
        <w:jc w:val="center"/>
        <w:rPr>
          <w:rFonts w:ascii="宋体" w:hAnsi="宋体"/>
          <w:b/>
          <w:bCs/>
          <w:sz w:val="32"/>
          <w:highlight w:val="none"/>
        </w:rPr>
      </w:pPr>
    </w:p>
    <w:p w14:paraId="3B714FEA">
      <w:pPr>
        <w:pStyle w:val="233"/>
        <w:ind w:firstLine="0"/>
        <w:jc w:val="center"/>
        <w:rPr>
          <w:rFonts w:ascii="宋体" w:hAnsi="宋体"/>
          <w:b/>
          <w:bCs/>
          <w:sz w:val="32"/>
          <w:highlight w:val="none"/>
        </w:rPr>
      </w:pPr>
    </w:p>
    <w:p w14:paraId="56CDCBEB">
      <w:pPr>
        <w:pStyle w:val="233"/>
        <w:ind w:firstLine="0"/>
        <w:jc w:val="center"/>
        <w:rPr>
          <w:rFonts w:ascii="宋体" w:hAnsi="宋体"/>
          <w:b/>
          <w:bCs/>
          <w:sz w:val="32"/>
          <w:highlight w:val="none"/>
        </w:rPr>
      </w:pPr>
    </w:p>
    <w:p w14:paraId="2B834B7E">
      <w:pPr>
        <w:pStyle w:val="233"/>
        <w:ind w:firstLine="0"/>
        <w:jc w:val="center"/>
        <w:rPr>
          <w:rFonts w:ascii="宋体" w:hAnsi="宋体"/>
          <w:b/>
          <w:bCs/>
          <w:sz w:val="32"/>
          <w:highlight w:val="none"/>
        </w:rPr>
      </w:pPr>
      <w:r>
        <w:rPr>
          <w:rFonts w:hint="eastAsia" w:ascii="宋体" w:hAnsi="宋体"/>
          <w:b/>
          <w:bCs/>
          <w:sz w:val="32"/>
          <w:highlight w:val="none"/>
        </w:rPr>
        <w:t>新疆维吾尔自治区公共资源交易中心</w:t>
      </w:r>
    </w:p>
    <w:p w14:paraId="7C8AA648">
      <w:pPr>
        <w:pStyle w:val="233"/>
        <w:ind w:firstLine="0"/>
        <w:jc w:val="center"/>
        <w:rPr>
          <w:rFonts w:ascii="宋体" w:hAnsi="宋体"/>
          <w:b/>
          <w:bCs/>
          <w:sz w:val="32"/>
          <w:highlight w:val="none"/>
        </w:rPr>
      </w:pPr>
      <w:r>
        <w:rPr>
          <w:rFonts w:hint="eastAsia" w:ascii="宋体" w:hAnsi="宋体"/>
          <w:b/>
          <w:bCs/>
          <w:sz w:val="32"/>
          <w:highlight w:val="none"/>
        </w:rPr>
        <w:t>2026年</w:t>
      </w:r>
      <w:r>
        <w:rPr>
          <w:rFonts w:hint="eastAsia" w:ascii="宋体" w:hAnsi="宋体"/>
          <w:b/>
          <w:bCs/>
          <w:sz w:val="32"/>
          <w:highlight w:val="none"/>
          <w:lang w:val="en-US" w:eastAsia="zh-CN"/>
        </w:rPr>
        <w:t>5</w:t>
      </w:r>
      <w:r>
        <w:rPr>
          <w:rFonts w:hint="eastAsia" w:ascii="宋体" w:hAnsi="宋体"/>
          <w:b/>
          <w:bCs/>
          <w:sz w:val="32"/>
          <w:highlight w:val="none"/>
        </w:rPr>
        <w:t>月</w:t>
      </w:r>
      <w:r>
        <w:rPr>
          <w:rFonts w:hint="eastAsia" w:ascii="宋体" w:hAnsi="宋体"/>
          <w:b/>
          <w:bCs/>
          <w:sz w:val="32"/>
          <w:highlight w:val="none"/>
          <w:lang w:val="en-US" w:eastAsia="zh-CN"/>
        </w:rPr>
        <w:t>7</w:t>
      </w:r>
      <w:r>
        <w:rPr>
          <w:rFonts w:hint="eastAsia" w:ascii="宋体" w:hAnsi="宋体"/>
          <w:b/>
          <w:bCs/>
          <w:sz w:val="32"/>
          <w:highlight w:val="none"/>
        </w:rPr>
        <w:t>日</w:t>
      </w:r>
    </w:p>
    <w:p w14:paraId="1370DEE4">
      <w:pPr>
        <w:spacing w:line="480" w:lineRule="auto"/>
        <w:jc w:val="center"/>
        <w:outlineLvl w:val="0"/>
        <w:rPr>
          <w:rFonts w:ascii="宋体" w:hAnsi="宋体"/>
          <w:b/>
          <w:sz w:val="44"/>
          <w:highlight w:val="none"/>
        </w:rPr>
      </w:pPr>
      <w:bookmarkStart w:id="0" w:name="_Toc16928"/>
      <w:r>
        <w:rPr>
          <w:rFonts w:hint="eastAsia" w:ascii="宋体" w:hAnsi="宋体"/>
          <w:b/>
          <w:sz w:val="44"/>
          <w:highlight w:val="none"/>
        </w:rPr>
        <w:t>总  目  录</w:t>
      </w:r>
      <w:bookmarkEnd w:id="0"/>
    </w:p>
    <w:p w14:paraId="2A78686F">
      <w:pPr>
        <w:spacing w:line="480" w:lineRule="auto"/>
        <w:rPr>
          <w:rFonts w:ascii="宋体" w:hAnsi="宋体"/>
          <w:b/>
          <w:sz w:val="28"/>
          <w:highlight w:val="none"/>
        </w:rPr>
      </w:pPr>
    </w:p>
    <w:p w14:paraId="7C0958A0">
      <w:pPr>
        <w:pStyle w:val="32"/>
        <w:tabs>
          <w:tab w:val="clear" w:pos="8720"/>
        </w:tabs>
        <w:jc w:val="left"/>
        <w:rPr>
          <w:highlight w:val="none"/>
        </w:rPr>
      </w:pPr>
      <w:r>
        <w:rPr>
          <w:rFonts w:hint="eastAsia"/>
          <w:highlight w:val="none"/>
        </w:rPr>
        <w:fldChar w:fldCharType="begin"/>
      </w:r>
      <w:r>
        <w:rPr>
          <w:rFonts w:hint="eastAsia"/>
          <w:highlight w:val="none"/>
        </w:rPr>
        <w:instrText xml:space="preserve"> TOC \o "1-1" \h \z \u </w:instrText>
      </w:r>
      <w:r>
        <w:rPr>
          <w:rFonts w:hint="eastAsia"/>
          <w:highlight w:val="none"/>
        </w:rPr>
        <w:fldChar w:fldCharType="separate"/>
      </w:r>
      <w:r>
        <w:rPr>
          <w:highlight w:val="none"/>
        </w:rPr>
        <w:fldChar w:fldCharType="begin"/>
      </w:r>
      <w:r>
        <w:rPr>
          <w:highlight w:val="none"/>
        </w:rPr>
        <w:instrText xml:space="preserve"> HYPERLINK \l "_Toc16928" </w:instrText>
      </w:r>
      <w:r>
        <w:rPr>
          <w:highlight w:val="none"/>
        </w:rPr>
        <w:fldChar w:fldCharType="separate"/>
      </w:r>
      <w:r>
        <w:rPr>
          <w:rFonts w:hint="eastAsia"/>
          <w:szCs w:val="44"/>
          <w:highlight w:val="none"/>
        </w:rPr>
        <w:t>总  目  录</w:t>
      </w:r>
      <w:r>
        <w:rPr>
          <w:highlight w:val="none"/>
        </w:rPr>
        <w:tab/>
      </w:r>
      <w:r>
        <w:rPr>
          <w:rFonts w:hint="eastAsia"/>
          <w:szCs w:val="44"/>
          <w:highlight w:val="none"/>
        </w:rPr>
        <w:fldChar w:fldCharType="begin"/>
      </w:r>
      <w:r>
        <w:rPr>
          <w:rFonts w:hint="eastAsia"/>
          <w:szCs w:val="44"/>
          <w:highlight w:val="none"/>
        </w:rPr>
        <w:instrText xml:space="preserve"> PAGEREF _Toc16928 </w:instrText>
      </w:r>
      <w:r>
        <w:rPr>
          <w:rFonts w:hint="eastAsia"/>
          <w:szCs w:val="44"/>
          <w:highlight w:val="none"/>
        </w:rPr>
        <w:fldChar w:fldCharType="separate"/>
      </w:r>
      <w:r>
        <w:rPr>
          <w:rFonts w:hint="eastAsia"/>
          <w:szCs w:val="44"/>
          <w:highlight w:val="none"/>
        </w:rPr>
        <w:t>1</w:t>
      </w:r>
      <w:r>
        <w:rPr>
          <w:rFonts w:hint="eastAsia"/>
          <w:szCs w:val="44"/>
          <w:highlight w:val="none"/>
        </w:rPr>
        <w:fldChar w:fldCharType="end"/>
      </w:r>
      <w:r>
        <w:rPr>
          <w:rFonts w:hint="eastAsia"/>
          <w:szCs w:val="44"/>
          <w:highlight w:val="none"/>
        </w:rPr>
        <w:fldChar w:fldCharType="end"/>
      </w:r>
    </w:p>
    <w:p w14:paraId="48328A5C">
      <w:pPr>
        <w:pStyle w:val="32"/>
        <w:tabs>
          <w:tab w:val="clear" w:pos="8720"/>
        </w:tabs>
        <w:jc w:val="left"/>
        <w:rPr>
          <w:highlight w:val="none"/>
        </w:rPr>
      </w:pPr>
      <w:r>
        <w:rPr>
          <w:highlight w:val="none"/>
        </w:rPr>
        <w:fldChar w:fldCharType="begin"/>
      </w:r>
      <w:r>
        <w:rPr>
          <w:highlight w:val="none"/>
        </w:rPr>
        <w:instrText xml:space="preserve"> HYPERLINK \l "_Toc20817" </w:instrText>
      </w:r>
      <w:r>
        <w:rPr>
          <w:highlight w:val="none"/>
        </w:rPr>
        <w:fldChar w:fldCharType="separate"/>
      </w:r>
      <w:r>
        <w:rPr>
          <w:rFonts w:hint="eastAsia"/>
          <w:szCs w:val="44"/>
          <w:highlight w:val="none"/>
        </w:rPr>
        <w:t>第一章  采购邀请</w:t>
      </w:r>
      <w:r>
        <w:rPr>
          <w:highlight w:val="none"/>
        </w:rPr>
        <w:tab/>
      </w:r>
      <w:r>
        <w:rPr>
          <w:rFonts w:hint="eastAsia"/>
          <w:highlight w:val="none"/>
        </w:rPr>
        <w:fldChar w:fldCharType="begin"/>
      </w:r>
      <w:r>
        <w:rPr>
          <w:rFonts w:hint="eastAsia"/>
          <w:highlight w:val="none"/>
        </w:rPr>
        <w:instrText xml:space="preserve"> PAGEREF _Toc20817 </w:instrText>
      </w:r>
      <w:r>
        <w:rPr>
          <w:rFonts w:hint="eastAsia"/>
          <w:highlight w:val="none"/>
        </w:rPr>
        <w:fldChar w:fldCharType="separate"/>
      </w:r>
      <w:r>
        <w:rPr>
          <w:rFonts w:hint="eastAsia"/>
          <w:highlight w:val="none"/>
        </w:rPr>
        <w:t>2</w:t>
      </w:r>
      <w:r>
        <w:rPr>
          <w:rFonts w:hint="eastAsia"/>
          <w:highlight w:val="none"/>
        </w:rPr>
        <w:fldChar w:fldCharType="end"/>
      </w:r>
      <w:r>
        <w:rPr>
          <w:rFonts w:hint="eastAsia"/>
          <w:highlight w:val="none"/>
        </w:rPr>
        <w:fldChar w:fldCharType="end"/>
      </w:r>
    </w:p>
    <w:p w14:paraId="50A08EC1">
      <w:pPr>
        <w:pStyle w:val="32"/>
        <w:tabs>
          <w:tab w:val="clear" w:pos="8720"/>
        </w:tabs>
        <w:jc w:val="left"/>
        <w:rPr>
          <w:highlight w:val="none"/>
        </w:rPr>
      </w:pPr>
      <w:r>
        <w:rPr>
          <w:highlight w:val="none"/>
        </w:rPr>
        <w:fldChar w:fldCharType="begin"/>
      </w:r>
      <w:r>
        <w:rPr>
          <w:highlight w:val="none"/>
        </w:rPr>
        <w:instrText xml:space="preserve"> HYPERLINK \l "_Toc23171" </w:instrText>
      </w:r>
      <w:r>
        <w:rPr>
          <w:highlight w:val="none"/>
        </w:rPr>
        <w:fldChar w:fldCharType="separate"/>
      </w:r>
      <w:r>
        <w:rPr>
          <w:rFonts w:hint="eastAsia"/>
          <w:bCs/>
          <w:szCs w:val="44"/>
          <w:highlight w:val="none"/>
        </w:rPr>
        <w:t>第二章  磋商须知</w:t>
      </w:r>
      <w:r>
        <w:rPr>
          <w:highlight w:val="none"/>
        </w:rPr>
        <w:tab/>
      </w:r>
      <w:r>
        <w:rPr>
          <w:rFonts w:hint="eastAsia"/>
          <w:highlight w:val="none"/>
        </w:rPr>
        <w:fldChar w:fldCharType="begin"/>
      </w:r>
      <w:r>
        <w:rPr>
          <w:rFonts w:hint="eastAsia"/>
          <w:highlight w:val="none"/>
        </w:rPr>
        <w:instrText xml:space="preserve"> PAGEREF _Toc23171 </w:instrText>
      </w:r>
      <w:r>
        <w:rPr>
          <w:rFonts w:hint="eastAsia"/>
          <w:highlight w:val="none"/>
        </w:rPr>
        <w:fldChar w:fldCharType="separate"/>
      </w:r>
      <w:r>
        <w:rPr>
          <w:rFonts w:hint="eastAsia"/>
          <w:highlight w:val="none"/>
        </w:rPr>
        <w:t>5</w:t>
      </w:r>
      <w:r>
        <w:rPr>
          <w:rFonts w:hint="eastAsia"/>
          <w:highlight w:val="none"/>
        </w:rPr>
        <w:fldChar w:fldCharType="end"/>
      </w:r>
      <w:r>
        <w:rPr>
          <w:rFonts w:hint="eastAsia"/>
          <w:highlight w:val="none"/>
        </w:rPr>
        <w:fldChar w:fldCharType="end"/>
      </w:r>
    </w:p>
    <w:p w14:paraId="7E2C6948">
      <w:pPr>
        <w:pStyle w:val="32"/>
        <w:tabs>
          <w:tab w:val="clear" w:pos="8720"/>
        </w:tabs>
        <w:jc w:val="left"/>
        <w:rPr>
          <w:highlight w:val="none"/>
        </w:rPr>
      </w:pPr>
      <w:r>
        <w:rPr>
          <w:highlight w:val="none"/>
        </w:rPr>
        <w:fldChar w:fldCharType="begin"/>
      </w:r>
      <w:r>
        <w:rPr>
          <w:highlight w:val="none"/>
        </w:rPr>
        <w:instrText xml:space="preserve"> HYPERLINK \l "_Toc10955" </w:instrText>
      </w:r>
      <w:r>
        <w:rPr>
          <w:highlight w:val="none"/>
        </w:rPr>
        <w:fldChar w:fldCharType="separate"/>
      </w:r>
      <w:r>
        <w:rPr>
          <w:rFonts w:hint="eastAsia"/>
          <w:bCs/>
          <w:szCs w:val="44"/>
          <w:highlight w:val="none"/>
        </w:rPr>
        <w:t>第三章  合同条款及格式</w:t>
      </w:r>
      <w:r>
        <w:rPr>
          <w:highlight w:val="none"/>
        </w:rPr>
        <w:tab/>
      </w:r>
      <w:r>
        <w:rPr>
          <w:rFonts w:hint="eastAsia"/>
          <w:highlight w:val="none"/>
        </w:rPr>
        <w:fldChar w:fldCharType="begin"/>
      </w:r>
      <w:r>
        <w:rPr>
          <w:rFonts w:hint="eastAsia"/>
          <w:highlight w:val="none"/>
        </w:rPr>
        <w:instrText xml:space="preserve"> PAGEREF _Toc10955 </w:instrText>
      </w:r>
      <w:r>
        <w:rPr>
          <w:rFonts w:hint="eastAsia"/>
          <w:highlight w:val="none"/>
        </w:rPr>
        <w:fldChar w:fldCharType="separate"/>
      </w:r>
      <w:r>
        <w:rPr>
          <w:rFonts w:hint="eastAsia"/>
          <w:highlight w:val="none"/>
        </w:rPr>
        <w:t>17</w:t>
      </w:r>
      <w:r>
        <w:rPr>
          <w:rFonts w:hint="eastAsia"/>
          <w:highlight w:val="none"/>
        </w:rPr>
        <w:fldChar w:fldCharType="end"/>
      </w:r>
      <w:r>
        <w:rPr>
          <w:rFonts w:hint="eastAsia"/>
          <w:highlight w:val="none"/>
        </w:rPr>
        <w:fldChar w:fldCharType="end"/>
      </w:r>
    </w:p>
    <w:p w14:paraId="4658BB99">
      <w:pPr>
        <w:pStyle w:val="32"/>
        <w:tabs>
          <w:tab w:val="clear" w:pos="8720"/>
        </w:tabs>
        <w:jc w:val="left"/>
        <w:rPr>
          <w:highlight w:val="none"/>
        </w:rPr>
      </w:pPr>
      <w:r>
        <w:rPr>
          <w:highlight w:val="none"/>
        </w:rPr>
        <w:fldChar w:fldCharType="begin"/>
      </w:r>
      <w:r>
        <w:rPr>
          <w:highlight w:val="none"/>
        </w:rPr>
        <w:instrText xml:space="preserve"> HYPERLINK \l "_Toc1484" </w:instrText>
      </w:r>
      <w:r>
        <w:rPr>
          <w:highlight w:val="none"/>
        </w:rPr>
        <w:fldChar w:fldCharType="separate"/>
      </w:r>
      <w:r>
        <w:rPr>
          <w:rFonts w:hint="eastAsia"/>
          <w:bCs/>
          <w:highlight w:val="none"/>
        </w:rPr>
        <w:t>第四章  项目需求</w:t>
      </w:r>
      <w:r>
        <w:rPr>
          <w:highlight w:val="none"/>
        </w:rPr>
        <w:tab/>
      </w:r>
      <w:r>
        <w:rPr>
          <w:rFonts w:hint="eastAsia"/>
          <w:highlight w:val="none"/>
        </w:rPr>
        <w:fldChar w:fldCharType="begin"/>
      </w:r>
      <w:r>
        <w:rPr>
          <w:rFonts w:hint="eastAsia"/>
          <w:highlight w:val="none"/>
        </w:rPr>
        <w:instrText xml:space="preserve"> PAGEREF _Toc1484 </w:instrText>
      </w:r>
      <w:r>
        <w:rPr>
          <w:rFonts w:hint="eastAsia"/>
          <w:highlight w:val="none"/>
        </w:rPr>
        <w:fldChar w:fldCharType="separate"/>
      </w:r>
      <w:r>
        <w:rPr>
          <w:rFonts w:hint="eastAsia"/>
          <w:highlight w:val="none"/>
        </w:rPr>
        <w:t>21</w:t>
      </w:r>
      <w:r>
        <w:rPr>
          <w:rFonts w:hint="eastAsia"/>
          <w:highlight w:val="none"/>
        </w:rPr>
        <w:fldChar w:fldCharType="end"/>
      </w:r>
      <w:r>
        <w:rPr>
          <w:rFonts w:hint="eastAsia"/>
          <w:highlight w:val="none"/>
        </w:rPr>
        <w:fldChar w:fldCharType="end"/>
      </w:r>
    </w:p>
    <w:p w14:paraId="3DC148A1">
      <w:pPr>
        <w:pStyle w:val="32"/>
        <w:tabs>
          <w:tab w:val="clear" w:pos="8720"/>
        </w:tabs>
        <w:rPr>
          <w:highlight w:val="none"/>
        </w:rPr>
      </w:pPr>
      <w:r>
        <w:rPr>
          <w:highlight w:val="none"/>
        </w:rPr>
        <w:fldChar w:fldCharType="begin"/>
      </w:r>
      <w:r>
        <w:rPr>
          <w:highlight w:val="none"/>
        </w:rPr>
        <w:instrText xml:space="preserve"> HYPERLINK \l "_Toc8943" </w:instrText>
      </w:r>
      <w:r>
        <w:rPr>
          <w:highlight w:val="none"/>
        </w:rPr>
        <w:fldChar w:fldCharType="separate"/>
      </w:r>
      <w:r>
        <w:rPr>
          <w:rFonts w:hint="eastAsia"/>
          <w:bCs/>
          <w:highlight w:val="none"/>
        </w:rPr>
        <w:t>第五章  评审方法与评审标准</w:t>
      </w:r>
      <w:r>
        <w:rPr>
          <w:highlight w:val="none"/>
        </w:rPr>
        <w:tab/>
      </w:r>
      <w:r>
        <w:rPr>
          <w:rFonts w:hint="eastAsia"/>
          <w:highlight w:val="none"/>
        </w:rPr>
        <w:fldChar w:fldCharType="begin"/>
      </w:r>
      <w:r>
        <w:rPr>
          <w:rFonts w:hint="eastAsia"/>
          <w:highlight w:val="none"/>
        </w:rPr>
        <w:instrText xml:space="preserve"> PAGEREF _Toc8943 </w:instrText>
      </w:r>
      <w:r>
        <w:rPr>
          <w:rFonts w:hint="eastAsia"/>
          <w:highlight w:val="none"/>
        </w:rPr>
        <w:fldChar w:fldCharType="separate"/>
      </w:r>
      <w:r>
        <w:rPr>
          <w:rFonts w:hint="eastAsia"/>
          <w:highlight w:val="none"/>
        </w:rPr>
        <w:t>39</w:t>
      </w:r>
      <w:r>
        <w:rPr>
          <w:rFonts w:hint="eastAsia"/>
          <w:highlight w:val="none"/>
        </w:rPr>
        <w:fldChar w:fldCharType="end"/>
      </w:r>
      <w:r>
        <w:rPr>
          <w:rFonts w:hint="eastAsia"/>
          <w:highlight w:val="none"/>
        </w:rPr>
        <w:fldChar w:fldCharType="end"/>
      </w:r>
    </w:p>
    <w:p w14:paraId="08F604AA">
      <w:pPr>
        <w:pStyle w:val="32"/>
        <w:tabs>
          <w:tab w:val="clear" w:pos="8720"/>
        </w:tabs>
        <w:rPr>
          <w:highlight w:val="none"/>
        </w:rPr>
      </w:pPr>
      <w:r>
        <w:rPr>
          <w:highlight w:val="none"/>
        </w:rPr>
        <w:fldChar w:fldCharType="begin"/>
      </w:r>
      <w:r>
        <w:rPr>
          <w:highlight w:val="none"/>
        </w:rPr>
        <w:instrText xml:space="preserve"> HYPERLINK \l "_Toc19460" </w:instrText>
      </w:r>
      <w:r>
        <w:rPr>
          <w:highlight w:val="none"/>
        </w:rPr>
        <w:fldChar w:fldCharType="separate"/>
      </w:r>
      <w:r>
        <w:rPr>
          <w:rFonts w:hint="eastAsia"/>
          <w:bCs/>
          <w:highlight w:val="none"/>
        </w:rPr>
        <w:t>第六章  响应文件的组成和格式</w:t>
      </w:r>
      <w:r>
        <w:rPr>
          <w:highlight w:val="none"/>
        </w:rPr>
        <w:tab/>
      </w:r>
      <w:r>
        <w:rPr>
          <w:rFonts w:hint="eastAsia"/>
          <w:highlight w:val="none"/>
        </w:rPr>
        <w:fldChar w:fldCharType="begin"/>
      </w:r>
      <w:r>
        <w:rPr>
          <w:rFonts w:hint="eastAsia"/>
          <w:highlight w:val="none"/>
        </w:rPr>
        <w:instrText xml:space="preserve"> PAGEREF _Toc19460 </w:instrText>
      </w:r>
      <w:r>
        <w:rPr>
          <w:rFonts w:hint="eastAsia"/>
          <w:highlight w:val="none"/>
        </w:rPr>
        <w:fldChar w:fldCharType="separate"/>
      </w:r>
      <w:r>
        <w:rPr>
          <w:rFonts w:hint="eastAsia"/>
          <w:highlight w:val="none"/>
        </w:rPr>
        <w:t>42</w:t>
      </w:r>
      <w:r>
        <w:rPr>
          <w:rFonts w:hint="eastAsia"/>
          <w:highlight w:val="none"/>
        </w:rPr>
        <w:fldChar w:fldCharType="end"/>
      </w:r>
      <w:r>
        <w:rPr>
          <w:rFonts w:hint="eastAsia"/>
          <w:highlight w:val="none"/>
        </w:rPr>
        <w:fldChar w:fldCharType="end"/>
      </w:r>
    </w:p>
    <w:p w14:paraId="6FFFF419">
      <w:pPr>
        <w:rPr>
          <w:rFonts w:ascii="宋体" w:hAnsi="宋体"/>
          <w:highlight w:val="none"/>
        </w:rPr>
      </w:pPr>
      <w:r>
        <w:rPr>
          <w:rFonts w:hint="eastAsia" w:ascii="宋体" w:hAnsi="宋体"/>
          <w:highlight w:val="none"/>
        </w:rPr>
        <w:fldChar w:fldCharType="end"/>
      </w:r>
    </w:p>
    <w:p w14:paraId="353255E6">
      <w:pPr>
        <w:rPr>
          <w:rFonts w:ascii="宋体" w:hAnsi="宋体"/>
          <w:highlight w:val="none"/>
        </w:rPr>
      </w:pPr>
    </w:p>
    <w:p w14:paraId="3EEFFA42">
      <w:pPr>
        <w:rPr>
          <w:rFonts w:ascii="宋体" w:hAnsi="宋体"/>
          <w:highlight w:val="none"/>
        </w:rPr>
      </w:pPr>
    </w:p>
    <w:p w14:paraId="0914001C">
      <w:pPr>
        <w:rPr>
          <w:rFonts w:ascii="宋体" w:hAnsi="宋体"/>
          <w:highlight w:val="none"/>
        </w:rPr>
      </w:pPr>
    </w:p>
    <w:p w14:paraId="7E07427A">
      <w:pPr>
        <w:rPr>
          <w:rFonts w:ascii="宋体" w:hAnsi="宋体"/>
          <w:highlight w:val="none"/>
        </w:rPr>
      </w:pPr>
    </w:p>
    <w:p w14:paraId="693258D3">
      <w:pPr>
        <w:rPr>
          <w:rFonts w:ascii="宋体" w:hAnsi="宋体"/>
          <w:highlight w:val="none"/>
        </w:rPr>
      </w:pPr>
    </w:p>
    <w:p w14:paraId="39DB88B2">
      <w:pPr>
        <w:rPr>
          <w:rFonts w:ascii="宋体" w:hAnsi="宋体"/>
          <w:highlight w:val="none"/>
        </w:rPr>
      </w:pPr>
    </w:p>
    <w:p w14:paraId="0F697B0A">
      <w:pPr>
        <w:rPr>
          <w:rFonts w:ascii="宋体" w:hAnsi="宋体"/>
          <w:highlight w:val="none"/>
        </w:rPr>
      </w:pPr>
    </w:p>
    <w:p w14:paraId="496D13A5">
      <w:pPr>
        <w:rPr>
          <w:rFonts w:ascii="宋体" w:hAnsi="宋体"/>
          <w:highlight w:val="none"/>
        </w:rPr>
      </w:pPr>
    </w:p>
    <w:p w14:paraId="0D917C14">
      <w:pPr>
        <w:rPr>
          <w:rFonts w:ascii="宋体" w:hAnsi="宋体"/>
          <w:highlight w:val="none"/>
        </w:rPr>
      </w:pPr>
      <w:r>
        <w:rPr>
          <w:highlight w:val="none"/>
        </w:rPr>
        <w:br w:type="page"/>
      </w:r>
    </w:p>
    <w:p w14:paraId="45FF6A2C">
      <w:pPr>
        <w:pStyle w:val="4"/>
        <w:numPr>
          <w:ilvl w:val="0"/>
          <w:numId w:val="11"/>
        </w:numPr>
        <w:rPr>
          <w:rFonts w:ascii="宋体" w:hAnsi="宋体" w:eastAsia="宋体"/>
          <w:b/>
          <w:bCs/>
          <w:sz w:val="44"/>
          <w:szCs w:val="44"/>
          <w:highlight w:val="none"/>
        </w:rPr>
      </w:pPr>
      <w:bookmarkStart w:id="1" w:name="_Toc20817"/>
      <w:r>
        <w:rPr>
          <w:rFonts w:hint="eastAsia" w:ascii="宋体" w:hAnsi="宋体" w:eastAsia="宋体"/>
          <w:b/>
          <w:bCs/>
          <w:sz w:val="44"/>
          <w:szCs w:val="44"/>
          <w:highlight w:val="none"/>
        </w:rPr>
        <w:t xml:space="preserve"> 磋商邀请</w:t>
      </w:r>
      <w:bookmarkEnd w:id="1"/>
    </w:p>
    <w:p w14:paraId="1A37EA76">
      <w:pPr>
        <w:rPr>
          <w:highlight w:val="none"/>
        </w:rPr>
      </w:pPr>
    </w:p>
    <w:p w14:paraId="709D3D1A">
      <w:pPr>
        <w:tabs>
          <w:tab w:val="right" w:pos="8252"/>
        </w:tabs>
        <w:ind w:firstLine="480"/>
        <w:rPr>
          <w:rFonts w:ascii="宋体" w:hAnsi="宋体"/>
          <w:highlight w:val="none"/>
        </w:rPr>
      </w:pPr>
      <w:r>
        <w:rPr>
          <w:rFonts w:hint="eastAsia" w:ascii="宋体" w:hAnsi="宋体"/>
          <w:highlight w:val="none"/>
        </w:rPr>
        <w:t>新疆维吾尔自治区公共资源交易中心</w:t>
      </w:r>
      <w:r>
        <w:rPr>
          <w:rFonts w:hint="eastAsia" w:ascii="宋体" w:hAnsi="宋体"/>
          <w:szCs w:val="24"/>
          <w:highlight w:val="none"/>
        </w:rPr>
        <w:t>受</w:t>
      </w:r>
      <w:r>
        <w:rPr>
          <w:rFonts w:hint="eastAsia" w:ascii="宋体" w:hAnsi="宋体"/>
          <w:color w:val="auto"/>
          <w:szCs w:val="24"/>
          <w:highlight w:val="none"/>
          <w:u w:val="single"/>
        </w:rPr>
        <w:t xml:space="preserve">     新疆维吾尔自治区民政厅    </w:t>
      </w:r>
      <w:r>
        <w:rPr>
          <w:rFonts w:hint="eastAsia" w:ascii="宋体" w:hAnsi="宋体"/>
          <w:color w:val="auto"/>
          <w:szCs w:val="24"/>
          <w:highlight w:val="none"/>
        </w:rPr>
        <w:t>的委托，决定就该单位所需的</w:t>
      </w:r>
      <w:r>
        <w:rPr>
          <w:rFonts w:hint="eastAsia" w:ascii="宋体" w:hAnsi="宋体"/>
          <w:color w:val="auto"/>
          <w:szCs w:val="24"/>
          <w:highlight w:val="none"/>
          <w:u w:val="single"/>
        </w:rPr>
        <w:t xml:space="preserve">     婚姻登记证书印制       </w:t>
      </w:r>
      <w:r>
        <w:rPr>
          <w:rFonts w:hint="eastAsia" w:ascii="宋体" w:hAnsi="宋体"/>
          <w:color w:val="auto"/>
          <w:szCs w:val="24"/>
          <w:highlight w:val="none"/>
        </w:rPr>
        <w:t>实</w:t>
      </w:r>
      <w:r>
        <w:rPr>
          <w:rFonts w:hint="eastAsia" w:ascii="宋体" w:hAnsi="宋体"/>
          <w:szCs w:val="24"/>
          <w:highlight w:val="none"/>
        </w:rPr>
        <w:t>施竞争性磋商采购，欢迎符合相关条件的合格供应商参加磋商。</w:t>
      </w:r>
    </w:p>
    <w:p w14:paraId="563EE56A">
      <w:pPr>
        <w:ind w:firstLine="480" w:firstLineChars="200"/>
        <w:rPr>
          <w:rFonts w:ascii="宋体" w:hAnsi="宋体"/>
          <w:b/>
          <w:szCs w:val="24"/>
          <w:highlight w:val="none"/>
        </w:rPr>
      </w:pPr>
      <w:r>
        <w:rPr>
          <w:rFonts w:hint="eastAsia" w:ascii="宋体" w:hAnsi="宋体"/>
          <w:b/>
          <w:szCs w:val="24"/>
          <w:highlight w:val="none"/>
        </w:rPr>
        <w:t>一、项目基本情况</w:t>
      </w:r>
    </w:p>
    <w:p w14:paraId="4A0722F4">
      <w:pPr>
        <w:ind w:firstLine="480" w:firstLineChars="200"/>
        <w:rPr>
          <w:rFonts w:hint="eastAsia" w:ascii="宋体" w:hAnsi="宋体"/>
          <w:highlight w:val="none"/>
        </w:rPr>
      </w:pPr>
      <w:r>
        <w:rPr>
          <w:rFonts w:hint="eastAsia" w:ascii="宋体" w:hAnsi="宋体"/>
          <w:highlight w:val="none"/>
        </w:rPr>
        <w:t xml:space="preserve">1.项目名称：新疆维吾尔自治区民政厅婚姻登记证书印制项目 </w:t>
      </w:r>
    </w:p>
    <w:p w14:paraId="78DFF176">
      <w:pPr>
        <w:ind w:firstLine="480" w:firstLineChars="200"/>
        <w:rPr>
          <w:rFonts w:hint="default" w:ascii="宋体" w:hAnsi="宋体" w:eastAsia="宋体"/>
          <w:highlight w:val="none"/>
          <w:lang w:val="en-US" w:eastAsia="zh-CN"/>
        </w:rPr>
      </w:pPr>
      <w:r>
        <w:rPr>
          <w:rFonts w:hint="eastAsia" w:ascii="宋体" w:hAnsi="宋体"/>
          <w:highlight w:val="none"/>
        </w:rPr>
        <w:t>2.项目编号：CS2026-</w:t>
      </w:r>
      <w:r>
        <w:rPr>
          <w:rFonts w:hint="eastAsia" w:ascii="宋体" w:hAnsi="宋体"/>
          <w:highlight w:val="none"/>
          <w:lang w:val="en-US" w:eastAsia="zh-CN"/>
        </w:rPr>
        <w:t>029</w:t>
      </w:r>
    </w:p>
    <w:p w14:paraId="7EF15D04">
      <w:pPr>
        <w:ind w:firstLine="480" w:firstLineChars="200"/>
        <w:rPr>
          <w:rFonts w:ascii="宋体" w:hAnsi="宋体"/>
          <w:highlight w:val="none"/>
        </w:rPr>
      </w:pPr>
      <w:r>
        <w:rPr>
          <w:rFonts w:hint="eastAsia" w:ascii="宋体" w:hAnsi="宋体"/>
          <w:highlight w:val="none"/>
        </w:rPr>
        <w:t>3.预算金额：    85.5万元</w:t>
      </w:r>
    </w:p>
    <w:p w14:paraId="7D44F2AE">
      <w:pPr>
        <w:ind w:firstLine="480" w:firstLineChars="200"/>
        <w:rPr>
          <w:rFonts w:ascii="宋体" w:hAnsi="宋体"/>
          <w:highlight w:val="none"/>
        </w:rPr>
      </w:pPr>
      <w:r>
        <w:rPr>
          <w:rFonts w:hint="eastAsia" w:ascii="宋体" w:hAnsi="宋体"/>
          <w:highlight w:val="none"/>
        </w:rPr>
        <w:t>4.本项目设定最高限价，最高限价为</w:t>
      </w:r>
      <w:r>
        <w:rPr>
          <w:rFonts w:hint="eastAsia" w:ascii="宋体" w:hAnsi="宋体"/>
          <w:highlight w:val="none"/>
          <w:u w:val="single"/>
        </w:rPr>
        <w:t xml:space="preserve">    85.5万     </w:t>
      </w:r>
      <w:r>
        <w:rPr>
          <w:rFonts w:hint="eastAsia" w:ascii="宋体" w:hAnsi="宋体"/>
          <w:highlight w:val="none"/>
        </w:rPr>
        <w:t>元。</w:t>
      </w:r>
    </w:p>
    <w:p w14:paraId="3CE49616">
      <w:pPr>
        <w:ind w:firstLine="480" w:firstLineChars="200"/>
        <w:rPr>
          <w:rFonts w:ascii="宋体" w:hAnsi="宋体"/>
          <w:highlight w:val="none"/>
        </w:rPr>
      </w:pPr>
      <w:r>
        <w:rPr>
          <w:rFonts w:hint="eastAsia" w:ascii="宋体" w:hAnsi="宋体"/>
          <w:highlight w:val="none"/>
        </w:rPr>
        <w:t>5. 采购需求：</w:t>
      </w:r>
    </w:p>
    <w:p w14:paraId="497A474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婚姻登记证书印制项目，印刷总数为</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万本</w:t>
      </w:r>
      <w:r>
        <w:rPr>
          <w:rFonts w:hint="eastAsia" w:ascii="宋体" w:hAnsi="宋体" w:eastAsia="宋体" w:cs="宋体"/>
          <w:color w:val="auto"/>
          <w:kern w:val="0"/>
          <w:sz w:val="24"/>
          <w:szCs w:val="24"/>
          <w:highlight w:val="none"/>
          <w:lang w:eastAsia="zh-CN"/>
        </w:rPr>
        <w:t>。</w:t>
      </w:r>
    </w:p>
    <w:p w14:paraId="336E792F">
      <w:pPr>
        <w:ind w:firstLine="480" w:firstLineChars="200"/>
        <w:rPr>
          <w:rFonts w:ascii="宋体" w:hAnsi="宋体"/>
          <w:highlight w:val="none"/>
        </w:rPr>
      </w:pPr>
      <w:r>
        <w:rPr>
          <w:rFonts w:hint="eastAsia" w:ascii="宋体" w:hAnsi="宋体"/>
          <w:highlight w:val="none"/>
        </w:rPr>
        <w:t>6.合同履行期限：自合同签订之日起至验收合格</w:t>
      </w:r>
      <w:r>
        <w:rPr>
          <w:rFonts w:hint="default" w:ascii="宋体" w:hAnsi="宋体"/>
          <w:highlight w:val="none"/>
          <w:lang w:val="en-US"/>
        </w:rPr>
        <w:t>120</w:t>
      </w:r>
      <w:r>
        <w:rPr>
          <w:rFonts w:hint="eastAsia" w:ascii="宋体" w:hAnsi="宋体"/>
          <w:highlight w:val="none"/>
        </w:rPr>
        <w:t>个日历日</w:t>
      </w:r>
    </w:p>
    <w:p w14:paraId="008A1C4D">
      <w:pPr>
        <w:ind w:firstLine="480" w:firstLineChars="200"/>
        <w:rPr>
          <w:rFonts w:ascii="宋体" w:hAnsi="宋体"/>
          <w:highlight w:val="none"/>
        </w:rPr>
      </w:pPr>
      <w:r>
        <w:rPr>
          <w:rFonts w:hint="eastAsia" w:ascii="宋体" w:hAnsi="宋体"/>
          <w:highlight w:val="none"/>
        </w:rPr>
        <w:t>7.本项目不接受联合体磋商。</w:t>
      </w:r>
    </w:p>
    <w:p w14:paraId="43AD1E41">
      <w:pPr>
        <w:ind w:firstLine="480" w:firstLineChars="200"/>
        <w:rPr>
          <w:rFonts w:ascii="宋体" w:hAnsi="宋体"/>
          <w:highlight w:val="none"/>
        </w:rPr>
      </w:pPr>
      <w:r>
        <w:rPr>
          <w:rFonts w:hint="eastAsia" w:ascii="宋体" w:hAnsi="宋体"/>
          <w:highlight w:val="none"/>
        </w:rPr>
        <w:t>8.本项目不接受进口产品磋商。</w:t>
      </w:r>
    </w:p>
    <w:p w14:paraId="19188B8C">
      <w:pPr>
        <w:ind w:firstLine="480" w:firstLineChars="200"/>
        <w:rPr>
          <w:rFonts w:ascii="宋体" w:hAnsi="宋体"/>
          <w:highlight w:val="none"/>
        </w:rPr>
      </w:pPr>
      <w:r>
        <w:rPr>
          <w:rFonts w:hint="eastAsia" w:ascii="宋体" w:hAnsi="宋体"/>
          <w:highlight w:val="none"/>
        </w:rPr>
        <w:t>9.</w:t>
      </w:r>
      <w:r>
        <w:rPr>
          <w:rFonts w:hint="eastAsia" w:ascii="宋体" w:hAnsi="宋体"/>
          <w:szCs w:val="24"/>
          <w:highlight w:val="none"/>
        </w:rPr>
        <w:t>本项目属于</w:t>
      </w:r>
      <w:r>
        <w:rPr>
          <w:rFonts w:hint="eastAsia" w:ascii="宋体" w:hAnsi="宋体"/>
          <w:szCs w:val="24"/>
          <w:highlight w:val="none"/>
          <w:u w:val="single"/>
        </w:rPr>
        <w:t xml:space="preserve"> </w:t>
      </w:r>
      <w:r>
        <w:rPr>
          <w:rFonts w:hint="eastAsia" w:ascii="宋体" w:hAnsi="宋体"/>
          <w:szCs w:val="24"/>
          <w:highlight w:val="none"/>
          <w:u w:val="single"/>
          <w:lang w:eastAsia="zh-CN"/>
        </w:rPr>
        <w:t>服务</w:t>
      </w:r>
      <w:r>
        <w:rPr>
          <w:rFonts w:hint="eastAsia" w:ascii="宋体" w:hAnsi="宋体"/>
          <w:szCs w:val="24"/>
          <w:highlight w:val="none"/>
          <w:u w:val="single"/>
        </w:rPr>
        <w:t xml:space="preserve">类   </w:t>
      </w:r>
    </w:p>
    <w:p w14:paraId="6503A1C1">
      <w:pPr>
        <w:ind w:firstLine="480" w:firstLineChars="200"/>
        <w:rPr>
          <w:rFonts w:ascii="宋体" w:hAnsi="宋体"/>
          <w:highlight w:val="none"/>
        </w:rPr>
      </w:pPr>
      <w:r>
        <w:rPr>
          <w:rFonts w:hint="eastAsia" w:ascii="宋体" w:hAnsi="宋体"/>
          <w:highlight w:val="none"/>
        </w:rPr>
        <w:t>10.本项目采购标的对应的中小企业划分标准所属行业为“</w:t>
      </w:r>
      <w:r>
        <w:rPr>
          <w:rFonts w:hint="eastAsia" w:ascii="宋体" w:hAnsi="宋体"/>
          <w:highlight w:val="none"/>
          <w:u w:val="single"/>
        </w:rPr>
        <w:t xml:space="preserve"> </w:t>
      </w:r>
      <w:r>
        <w:rPr>
          <w:rFonts w:hint="eastAsia" w:ascii="宋体" w:hAnsi="宋体"/>
          <w:highlight w:val="none"/>
          <w:u w:val="single"/>
          <w:lang w:eastAsia="zh-CN"/>
        </w:rPr>
        <w:t>工</w:t>
      </w:r>
      <w:r>
        <w:rPr>
          <w:rFonts w:hint="eastAsia" w:ascii="宋体" w:hAnsi="宋体"/>
          <w:highlight w:val="none"/>
        </w:rPr>
        <w:t>业”。行业划分标准按《国民经济行业分类》执行。中小企业划分标准按《中小企业划型标准规定》（工信部联企业〔2011〕300号）文件规定执行。</w:t>
      </w:r>
    </w:p>
    <w:p w14:paraId="26CD85CC">
      <w:pPr>
        <w:pStyle w:val="129"/>
        <w:tabs>
          <w:tab w:val="clear" w:pos="720"/>
        </w:tabs>
        <w:spacing w:line="360" w:lineRule="auto"/>
        <w:ind w:left="715" w:leftChars="200" w:hanging="235" w:hangingChars="98"/>
        <w:rPr>
          <w:rFonts w:ascii="宋体" w:hAnsi="宋体"/>
          <w:sz w:val="24"/>
          <w:szCs w:val="24"/>
          <w:highlight w:val="none"/>
        </w:rPr>
      </w:pPr>
      <w:r>
        <w:rPr>
          <w:rFonts w:hint="eastAsia" w:ascii="宋体" w:hAnsi="宋体"/>
          <w:sz w:val="24"/>
          <w:szCs w:val="24"/>
          <w:highlight w:val="none"/>
        </w:rPr>
        <w:t>二 、合格磋商供应商资格要求</w:t>
      </w:r>
    </w:p>
    <w:p w14:paraId="04892CD7">
      <w:pPr>
        <w:snapToGrid w:val="0"/>
        <w:spacing w:line="560" w:lineRule="exact"/>
        <w:ind w:firstLine="360" w:firstLineChars="150"/>
        <w:rPr>
          <w:rFonts w:ascii="宋体" w:hAnsi="宋体"/>
          <w:color w:val="000000"/>
          <w:highlight w:val="none"/>
        </w:rPr>
      </w:pPr>
      <w:r>
        <w:rPr>
          <w:rFonts w:hint="eastAsia" w:ascii="宋体" w:hAnsi="宋体"/>
          <w:color w:val="000000"/>
          <w:highlight w:val="none"/>
        </w:rPr>
        <w:t>（一）符合政府采购法第二十二条第一款规定的条件，并提供下列材料</w:t>
      </w:r>
      <w:r>
        <w:rPr>
          <w:rFonts w:hint="eastAsia" w:ascii="宋体" w:hAnsi="宋体"/>
          <w:color w:val="92D050"/>
          <w:highlight w:val="none"/>
        </w:rPr>
        <w:t>：</w:t>
      </w:r>
    </w:p>
    <w:p w14:paraId="63EF4F0D">
      <w:pPr>
        <w:ind w:firstLine="480" w:firstLineChars="200"/>
        <w:rPr>
          <w:rFonts w:ascii="宋体" w:hAnsi="宋体"/>
          <w:szCs w:val="24"/>
          <w:highlight w:val="none"/>
        </w:rPr>
      </w:pPr>
      <w:r>
        <w:rPr>
          <w:rFonts w:hint="eastAsia" w:ascii="宋体" w:hAnsi="宋体"/>
          <w:szCs w:val="24"/>
          <w:highlight w:val="none"/>
        </w:rPr>
        <w:t>1.法人或者其他组织的营业执照等证明文件，自然人的身份证明；</w:t>
      </w:r>
    </w:p>
    <w:p w14:paraId="4BE08021">
      <w:pPr>
        <w:ind w:firstLine="480" w:firstLineChars="200"/>
        <w:rPr>
          <w:rFonts w:ascii="宋体" w:hAnsi="宋体"/>
          <w:szCs w:val="24"/>
          <w:highlight w:val="none"/>
        </w:rPr>
      </w:pPr>
      <w:r>
        <w:rPr>
          <w:rFonts w:hint="eastAsia" w:ascii="宋体" w:hAnsi="宋体"/>
          <w:szCs w:val="24"/>
          <w:highlight w:val="none"/>
        </w:rPr>
        <w:t>2.最近一个年度的财务状况报告（成立不满一年不需提供）；</w:t>
      </w:r>
    </w:p>
    <w:p w14:paraId="4FD6068D">
      <w:pPr>
        <w:ind w:firstLine="480" w:firstLineChars="200"/>
        <w:rPr>
          <w:rFonts w:ascii="宋体" w:hAnsi="宋体"/>
          <w:szCs w:val="24"/>
          <w:highlight w:val="none"/>
        </w:rPr>
      </w:pPr>
      <w:r>
        <w:rPr>
          <w:rFonts w:hint="eastAsia" w:ascii="宋体" w:hAnsi="宋体"/>
          <w:szCs w:val="24"/>
          <w:highlight w:val="none"/>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3C0FF875">
      <w:pPr>
        <w:ind w:firstLine="480" w:firstLineChars="200"/>
        <w:rPr>
          <w:rFonts w:ascii="宋体" w:hAnsi="宋体"/>
          <w:szCs w:val="24"/>
          <w:highlight w:val="none"/>
        </w:rPr>
      </w:pPr>
      <w:r>
        <w:rPr>
          <w:rFonts w:hint="eastAsia" w:ascii="宋体" w:hAnsi="宋体"/>
          <w:szCs w:val="24"/>
          <w:highlight w:val="none"/>
        </w:rPr>
        <w:t>4.具备履行合同所必需的设备和专业技术能力的证明材料；</w:t>
      </w:r>
    </w:p>
    <w:p w14:paraId="3287D494">
      <w:pPr>
        <w:ind w:firstLine="480" w:firstLineChars="200"/>
        <w:rPr>
          <w:rFonts w:ascii="宋体" w:hAnsi="宋体"/>
          <w:szCs w:val="24"/>
          <w:highlight w:val="none"/>
        </w:rPr>
      </w:pPr>
      <w:r>
        <w:rPr>
          <w:rFonts w:hint="eastAsia" w:ascii="宋体" w:hAnsi="宋体"/>
          <w:szCs w:val="24"/>
          <w:highlight w:val="none"/>
        </w:rPr>
        <w:t>5.参加政府采购活动前3年内在经营活动中没有重大违法记录的书面声明；</w:t>
      </w:r>
    </w:p>
    <w:p w14:paraId="2E776FAE">
      <w:pPr>
        <w:ind w:firstLine="480" w:firstLineChars="200"/>
        <w:rPr>
          <w:rFonts w:ascii="宋体" w:hAnsi="宋体"/>
          <w:szCs w:val="24"/>
          <w:highlight w:val="none"/>
        </w:rPr>
      </w:pPr>
      <w:r>
        <w:rPr>
          <w:rFonts w:hint="eastAsia" w:ascii="宋体" w:hAnsi="宋体"/>
          <w:szCs w:val="24"/>
          <w:highlight w:val="none"/>
        </w:rPr>
        <w:t>6.未被“信用中国”网站（www.creditchina.gov.cn）、“中国政府采购网”(www.ccgp.gov.cn）列入失信被执行人、重大税收违法案件当事人名单、政府采购严重失信行为记录名单。（提供网页截图或承诺函）</w:t>
      </w:r>
    </w:p>
    <w:p w14:paraId="108ADBCF">
      <w:pPr>
        <w:pStyle w:val="2"/>
        <w:pageBreakBefore w:val="0"/>
        <w:widowControl w:val="0"/>
        <w:kinsoku/>
        <w:overflowPunct/>
        <w:topLinePunct w:val="0"/>
        <w:autoSpaceDE/>
        <w:autoSpaceDN/>
        <w:bidi w:val="0"/>
        <w:ind w:left="0" w:leftChars="0" w:firstLine="480" w:firstLineChars="200"/>
        <w:textAlignment w:val="auto"/>
        <w:rPr>
          <w:rFonts w:hint="eastAsia" w:ascii="宋体" w:hAnsi="宋体" w:eastAsia="宋体"/>
          <w:szCs w:val="24"/>
          <w:highlight w:val="none"/>
          <w:lang w:eastAsia="zh-CN"/>
        </w:rPr>
      </w:pPr>
      <w:r>
        <w:rPr>
          <w:rFonts w:hint="eastAsia" w:ascii="宋体" w:hAnsi="宋体"/>
          <w:szCs w:val="24"/>
          <w:highlight w:val="none"/>
        </w:rPr>
        <w:t>（二）落实政府采购政策需满足的资格要求：</w:t>
      </w:r>
      <w:r>
        <w:rPr>
          <w:rFonts w:hint="eastAsia" w:ascii="宋体" w:hAnsi="宋体"/>
          <w:szCs w:val="24"/>
          <w:highlight w:val="none"/>
          <w:lang w:eastAsia="zh-CN"/>
        </w:rPr>
        <w:t>本项目专门面向小微企业采购。</w:t>
      </w:r>
      <w:r>
        <w:rPr>
          <w:rFonts w:hint="eastAsia" w:ascii="宋体" w:hAnsi="宋体" w:eastAsia="宋体" w:cs="宋体"/>
          <w:color w:val="auto"/>
          <w:sz w:val="24"/>
          <w:szCs w:val="24"/>
          <w:highlight w:val="none"/>
          <w:lang w:val="en-US" w:eastAsia="zh-CN"/>
        </w:rPr>
        <w:t>即：提供的服务全部由符合政策要求的小微企业承接。投标时须提交《中小企业声明函》。</w:t>
      </w:r>
    </w:p>
    <w:p w14:paraId="7844DAFD">
      <w:pPr>
        <w:ind w:firstLine="480" w:firstLineChars="200"/>
        <w:rPr>
          <w:rFonts w:ascii="宋体" w:hAnsi="宋体"/>
          <w:strike/>
          <w:dstrike w:val="0"/>
          <w:color w:val="000000"/>
          <w:szCs w:val="20"/>
          <w:highlight w:val="none"/>
        </w:rPr>
      </w:pPr>
      <w:r>
        <w:rPr>
          <w:rFonts w:hint="eastAsia" w:ascii="宋体" w:hAnsi="宋体"/>
          <w:color w:val="000000"/>
          <w:szCs w:val="20"/>
          <w:highlight w:val="none"/>
        </w:rPr>
        <w:t>（三）</w:t>
      </w:r>
      <w:r>
        <w:rPr>
          <w:rFonts w:hint="eastAsia" w:ascii="宋体" w:hAnsi="宋体"/>
          <w:szCs w:val="24"/>
          <w:highlight w:val="none"/>
        </w:rPr>
        <w:t>本项目的特定资格要求：</w:t>
      </w:r>
      <w:r>
        <w:rPr>
          <w:rFonts w:hint="eastAsia" w:ascii="宋体" w:hAnsi="宋体"/>
          <w:strike w:val="0"/>
          <w:dstrike w:val="0"/>
          <w:szCs w:val="24"/>
          <w:highlight w:val="none"/>
          <w:lang w:eastAsia="zh-CN"/>
        </w:rPr>
        <w:t>供应商须持有有效的《印刷经营许可证》</w:t>
      </w:r>
      <w:r>
        <w:rPr>
          <w:rFonts w:hint="eastAsia" w:ascii="宋体" w:hAnsi="宋体"/>
          <w:strike w:val="0"/>
          <w:dstrike w:val="0"/>
          <w:color w:val="000000"/>
          <w:kern w:val="0"/>
          <w:szCs w:val="24"/>
          <w:highlight w:val="none"/>
        </w:rPr>
        <w:t>。</w:t>
      </w:r>
    </w:p>
    <w:p w14:paraId="77C4AB5A">
      <w:pPr>
        <w:ind w:firstLine="480" w:firstLineChars="200"/>
        <w:rPr>
          <w:rFonts w:ascii="宋体" w:hAnsi="宋体"/>
          <w:color w:val="000000"/>
          <w:kern w:val="0"/>
          <w:szCs w:val="24"/>
          <w:highlight w:val="none"/>
        </w:rPr>
      </w:pPr>
      <w:r>
        <w:rPr>
          <w:rFonts w:hint="eastAsia" w:ascii="宋体" w:hAnsi="宋体"/>
          <w:color w:val="000000"/>
          <w:kern w:val="0"/>
          <w:szCs w:val="24"/>
          <w:highlight w:val="none"/>
        </w:rPr>
        <w:t>（</w:t>
      </w:r>
      <w:r>
        <w:rPr>
          <w:rFonts w:hint="eastAsia" w:ascii="宋体" w:hAnsi="宋体"/>
          <w:szCs w:val="20"/>
          <w:highlight w:val="none"/>
        </w:rPr>
        <w:t>四）本项目</w:t>
      </w:r>
      <w:r>
        <w:rPr>
          <w:rFonts w:hint="eastAsia" w:ascii="宋体" w:hAnsi="宋体"/>
          <w:szCs w:val="20"/>
          <w:highlight w:val="none"/>
          <w:u w:val="single"/>
        </w:rPr>
        <w:t>不接受</w:t>
      </w:r>
      <w:r>
        <w:rPr>
          <w:rFonts w:hint="eastAsia" w:ascii="宋体" w:hAnsi="宋体"/>
          <w:szCs w:val="20"/>
          <w:highlight w:val="none"/>
        </w:rPr>
        <w:t>联合体参与磋商</w:t>
      </w:r>
      <w:r>
        <w:rPr>
          <w:rFonts w:hint="eastAsia" w:ascii="宋体" w:hAnsi="宋体"/>
          <w:highlight w:val="none"/>
        </w:rPr>
        <w:t>。</w:t>
      </w:r>
    </w:p>
    <w:p w14:paraId="31C04B3D">
      <w:pPr>
        <w:ind w:firstLine="480" w:firstLineChars="200"/>
        <w:rPr>
          <w:rFonts w:ascii="宋体" w:hAnsi="宋体"/>
          <w:highlight w:val="none"/>
        </w:rPr>
      </w:pPr>
      <w:r>
        <w:rPr>
          <w:rFonts w:hint="eastAsia" w:ascii="宋体" w:hAnsi="宋体"/>
          <w:highlight w:val="none"/>
        </w:rPr>
        <w:t>（五）拒绝下述供应商参加本次采购活动：</w:t>
      </w:r>
    </w:p>
    <w:p w14:paraId="67211F53">
      <w:pPr>
        <w:ind w:firstLine="480" w:firstLineChars="200"/>
        <w:rPr>
          <w:rFonts w:ascii="宋体" w:hAnsi="宋体"/>
          <w:highlight w:val="none"/>
        </w:rPr>
      </w:pPr>
      <w:r>
        <w:rPr>
          <w:rFonts w:hint="eastAsia" w:ascii="宋体" w:hAnsi="宋体"/>
          <w:highlight w:val="none"/>
        </w:rPr>
        <w:t>1.供应商单位负责人为同一人或者存在直接控股、管理关系的不同供应商，不得参加同一合同项下的政府采购活动。</w:t>
      </w:r>
    </w:p>
    <w:p w14:paraId="4410921A">
      <w:pPr>
        <w:ind w:firstLine="480" w:firstLineChars="200"/>
        <w:rPr>
          <w:rFonts w:ascii="宋体" w:hAnsi="宋体"/>
          <w:highlight w:val="none"/>
        </w:rPr>
      </w:pPr>
      <w:r>
        <w:rPr>
          <w:rFonts w:hint="eastAsia" w:ascii="宋体" w:hAnsi="宋体"/>
          <w:highlight w:val="none"/>
        </w:rPr>
        <w:t>2.供应商处于被责令停业、财产被接管、冻结和破产状态，以及磋商资格被取消或者被暂停且在暂停期内。</w:t>
      </w:r>
    </w:p>
    <w:p w14:paraId="0E41824B">
      <w:pPr>
        <w:ind w:firstLine="480" w:firstLineChars="200"/>
        <w:rPr>
          <w:rFonts w:ascii="宋体" w:hAnsi="宋体"/>
          <w:b/>
          <w:szCs w:val="24"/>
          <w:highlight w:val="none"/>
        </w:rPr>
      </w:pPr>
      <w:r>
        <w:rPr>
          <w:rFonts w:hint="eastAsia" w:ascii="宋体" w:hAnsi="宋体"/>
          <w:b/>
          <w:szCs w:val="24"/>
          <w:highlight w:val="none"/>
        </w:rPr>
        <w:t>三、获取磋商文件时间及方式</w:t>
      </w:r>
    </w:p>
    <w:p w14:paraId="03B0A188">
      <w:pPr>
        <w:ind w:firstLine="480" w:firstLineChars="200"/>
        <w:rPr>
          <w:rFonts w:ascii="宋体" w:hAnsi="宋体"/>
          <w:szCs w:val="24"/>
          <w:highlight w:val="none"/>
        </w:rPr>
      </w:pPr>
      <w:r>
        <w:rPr>
          <w:rFonts w:hint="eastAsia" w:ascii="宋体" w:hAnsi="宋体"/>
          <w:szCs w:val="24"/>
          <w:highlight w:val="none"/>
        </w:rPr>
        <w:t>1.时间：自磋商公告发布之日起5个工作日。</w:t>
      </w:r>
    </w:p>
    <w:p w14:paraId="1418CAC3">
      <w:pPr>
        <w:ind w:firstLine="480" w:firstLineChars="200"/>
        <w:rPr>
          <w:rFonts w:ascii="宋体" w:hAnsi="宋体"/>
          <w:szCs w:val="24"/>
          <w:highlight w:val="none"/>
        </w:rPr>
      </w:pPr>
      <w:r>
        <w:rPr>
          <w:rFonts w:hint="eastAsia" w:ascii="宋体" w:hAnsi="宋体"/>
          <w:szCs w:val="24"/>
          <w:highlight w:val="none"/>
        </w:rPr>
        <w:t>2.方式：在</w:t>
      </w:r>
      <w:r>
        <w:rPr>
          <w:rFonts w:hint="eastAsia" w:ascii="宋体" w:hAnsi="宋体"/>
          <w:szCs w:val="24"/>
          <w:highlight w:val="none"/>
          <w:u w:val="single"/>
        </w:rPr>
        <w:t>“新疆公共资源交易网”或“新疆政府采购网”</w:t>
      </w:r>
      <w:r>
        <w:rPr>
          <w:rFonts w:hint="eastAsia" w:ascii="宋体" w:hAnsi="宋体"/>
          <w:szCs w:val="24"/>
          <w:highlight w:val="none"/>
        </w:rPr>
        <w:t>自行免费下载磋商文件。</w:t>
      </w:r>
    </w:p>
    <w:p w14:paraId="7825A5C0">
      <w:pPr>
        <w:ind w:firstLine="480" w:firstLineChars="200"/>
        <w:rPr>
          <w:rFonts w:ascii="宋体" w:hAnsi="宋体"/>
          <w:b/>
          <w:szCs w:val="24"/>
          <w:highlight w:val="none"/>
        </w:rPr>
      </w:pPr>
      <w:r>
        <w:rPr>
          <w:rFonts w:hint="eastAsia" w:ascii="宋体" w:hAnsi="宋体"/>
          <w:b/>
          <w:szCs w:val="24"/>
          <w:highlight w:val="none"/>
        </w:rPr>
        <w:t>四、提交磋商响应文件截止时间和地点</w:t>
      </w:r>
    </w:p>
    <w:p w14:paraId="4D84F85F">
      <w:pPr>
        <w:ind w:firstLine="480" w:firstLineChars="200"/>
        <w:rPr>
          <w:rFonts w:ascii="宋体" w:hAnsi="宋体"/>
          <w:szCs w:val="24"/>
          <w:highlight w:val="none"/>
        </w:rPr>
      </w:pPr>
      <w:r>
        <w:rPr>
          <w:rFonts w:hint="eastAsia" w:ascii="宋体" w:hAnsi="宋体"/>
          <w:szCs w:val="24"/>
          <w:highlight w:val="none"/>
        </w:rPr>
        <w:t>（一）提交响应文件截止时间：2026年</w:t>
      </w:r>
      <w:r>
        <w:rPr>
          <w:rFonts w:hint="eastAsia" w:ascii="宋体" w:hAnsi="宋体"/>
          <w:szCs w:val="24"/>
          <w:highlight w:val="none"/>
          <w:lang w:val="en-US" w:eastAsia="zh-CN"/>
        </w:rPr>
        <w:t>5</w:t>
      </w:r>
      <w:r>
        <w:rPr>
          <w:rFonts w:hint="eastAsia" w:ascii="宋体" w:hAnsi="宋体"/>
          <w:szCs w:val="24"/>
          <w:highlight w:val="none"/>
        </w:rPr>
        <w:t>月</w:t>
      </w:r>
      <w:r>
        <w:rPr>
          <w:rFonts w:hint="eastAsia" w:ascii="宋体" w:hAnsi="宋体"/>
          <w:szCs w:val="24"/>
          <w:highlight w:val="none"/>
          <w:lang w:val="en-US" w:eastAsia="zh-CN"/>
        </w:rPr>
        <w:t>18</w:t>
      </w:r>
      <w:r>
        <w:rPr>
          <w:rFonts w:hint="eastAsia" w:ascii="宋体" w:hAnsi="宋体"/>
          <w:szCs w:val="24"/>
          <w:highlight w:val="none"/>
        </w:rPr>
        <w:t>日11:00。</w:t>
      </w:r>
    </w:p>
    <w:p w14:paraId="1F881E49">
      <w:pPr>
        <w:ind w:firstLine="480" w:firstLineChars="200"/>
        <w:rPr>
          <w:rFonts w:ascii="宋体" w:hAnsi="宋体"/>
          <w:szCs w:val="24"/>
          <w:highlight w:val="none"/>
        </w:rPr>
      </w:pPr>
      <w:r>
        <w:rPr>
          <w:rFonts w:hint="eastAsia" w:ascii="宋体" w:hAnsi="宋体"/>
          <w:szCs w:val="24"/>
          <w:highlight w:val="none"/>
        </w:rPr>
        <w:t>（二）提交响应文件地点：</w:t>
      </w:r>
      <w:r>
        <w:rPr>
          <w:rFonts w:hint="eastAsia" w:ascii="宋体" w:hAnsi="宋体"/>
          <w:highlight w:val="none"/>
        </w:rPr>
        <w:t>新疆政府采购云平台</w:t>
      </w:r>
      <w:r>
        <w:rPr>
          <w:highlight w:val="none"/>
        </w:rPr>
        <w:fldChar w:fldCharType="begin"/>
      </w:r>
      <w:r>
        <w:rPr>
          <w:highlight w:val="none"/>
        </w:rPr>
        <w:instrText xml:space="preserve"> HYPERLINK "http://www.ccgp-xinjiang.gov.cn/。" </w:instrText>
      </w:r>
      <w:r>
        <w:rPr>
          <w:highlight w:val="none"/>
        </w:rPr>
        <w:fldChar w:fldCharType="separate"/>
      </w:r>
      <w:r>
        <w:rPr>
          <w:rStyle w:val="56"/>
          <w:rFonts w:hint="eastAsia" w:ascii="宋体" w:hAnsi="宋体"/>
          <w:highlight w:val="none"/>
        </w:rPr>
        <w:t>http://www.ccgp-xinjiang.gov.cn/</w:t>
      </w:r>
      <w:r>
        <w:rPr>
          <w:rStyle w:val="56"/>
          <w:rFonts w:hint="eastAsia" w:ascii="宋体" w:hAnsi="宋体"/>
          <w:szCs w:val="24"/>
          <w:highlight w:val="none"/>
        </w:rPr>
        <w:t>。</w:t>
      </w:r>
      <w:r>
        <w:rPr>
          <w:rStyle w:val="56"/>
          <w:rFonts w:hint="eastAsia" w:ascii="宋体" w:hAnsi="宋体"/>
          <w:szCs w:val="24"/>
          <w:highlight w:val="none"/>
        </w:rPr>
        <w:fldChar w:fldCharType="end"/>
      </w:r>
    </w:p>
    <w:p w14:paraId="63FCBCB3">
      <w:pPr>
        <w:ind w:firstLine="480" w:firstLineChars="200"/>
        <w:rPr>
          <w:rFonts w:ascii="宋体" w:hAnsi="宋体"/>
          <w:b/>
          <w:szCs w:val="24"/>
          <w:highlight w:val="none"/>
        </w:rPr>
      </w:pPr>
      <w:r>
        <w:rPr>
          <w:rFonts w:hint="eastAsia" w:ascii="宋体" w:hAnsi="宋体"/>
          <w:b/>
          <w:szCs w:val="24"/>
          <w:highlight w:val="none"/>
        </w:rPr>
        <w:t>五、公告期限</w:t>
      </w:r>
    </w:p>
    <w:p w14:paraId="29EC38F2">
      <w:pPr>
        <w:ind w:firstLine="480" w:firstLineChars="200"/>
        <w:rPr>
          <w:rFonts w:ascii="宋体" w:hAnsi="宋体"/>
          <w:kern w:val="0"/>
          <w:szCs w:val="24"/>
          <w:highlight w:val="none"/>
        </w:rPr>
      </w:pPr>
      <w:r>
        <w:rPr>
          <w:rFonts w:hint="eastAsia" w:ascii="宋体" w:hAnsi="宋体"/>
          <w:kern w:val="0"/>
          <w:szCs w:val="24"/>
          <w:highlight w:val="none"/>
        </w:rPr>
        <w:t>自本公告发布之日起</w:t>
      </w:r>
      <w:r>
        <w:rPr>
          <w:rFonts w:hint="eastAsia" w:ascii="宋体" w:hAnsi="宋体"/>
          <w:kern w:val="0"/>
          <w:szCs w:val="24"/>
          <w:highlight w:val="none"/>
          <w:lang w:val="en-US" w:eastAsia="zh-CN"/>
        </w:rPr>
        <w:t>5</w:t>
      </w:r>
      <w:r>
        <w:rPr>
          <w:rFonts w:hint="eastAsia" w:ascii="宋体" w:hAnsi="宋体"/>
          <w:kern w:val="0"/>
          <w:szCs w:val="24"/>
          <w:highlight w:val="none"/>
        </w:rPr>
        <w:t>个工作日。</w:t>
      </w:r>
    </w:p>
    <w:p w14:paraId="1995FE8E">
      <w:pPr>
        <w:numPr>
          <w:ilvl w:val="0"/>
          <w:numId w:val="12"/>
        </w:numPr>
        <w:ind w:firstLine="480" w:firstLineChars="200"/>
        <w:rPr>
          <w:rFonts w:ascii="宋体" w:hAnsi="宋体"/>
          <w:b/>
          <w:szCs w:val="24"/>
          <w:highlight w:val="none"/>
        </w:rPr>
      </w:pPr>
      <w:r>
        <w:rPr>
          <w:rFonts w:hint="eastAsia" w:ascii="宋体" w:hAnsi="宋体"/>
          <w:b/>
          <w:szCs w:val="24"/>
          <w:highlight w:val="none"/>
        </w:rPr>
        <w:t>其他补充事宜</w:t>
      </w:r>
    </w:p>
    <w:p w14:paraId="284E7B5B">
      <w:pPr>
        <w:numPr>
          <w:ilvl w:val="0"/>
          <w:numId w:val="13"/>
        </w:numPr>
        <w:tabs>
          <w:tab w:val="clear" w:pos="312"/>
        </w:tabs>
        <w:ind w:firstLine="480" w:firstLineChars="200"/>
        <w:rPr>
          <w:rFonts w:ascii="宋体" w:hAnsi="宋体"/>
          <w:kern w:val="0"/>
          <w:szCs w:val="24"/>
          <w:highlight w:val="none"/>
        </w:rPr>
      </w:pPr>
      <w:r>
        <w:rPr>
          <w:rFonts w:hint="eastAsia" w:ascii="宋体" w:hAnsi="宋体"/>
          <w:kern w:val="0"/>
          <w:szCs w:val="24"/>
          <w:highlight w:val="none"/>
        </w:rPr>
        <w:t>磋商小组如要求供应商对响应文件内容进行澄清，将通过腾讯视频会议方式进行，请各供应商在开标前做好人员、网络、设备准备工作，视频会议房间信息将适时告知供应商授权代表，供应商代表务必于开标当日保持手机联系畅通。</w:t>
      </w:r>
    </w:p>
    <w:p w14:paraId="18AA1994">
      <w:pPr>
        <w:wordWrap w:val="0"/>
        <w:ind w:firstLine="480" w:firstLineChars="200"/>
        <w:rPr>
          <w:rFonts w:ascii="宋体" w:hAnsi="宋体"/>
          <w:b/>
          <w:szCs w:val="24"/>
          <w:highlight w:val="none"/>
        </w:rPr>
      </w:pPr>
      <w:r>
        <w:rPr>
          <w:rFonts w:hint="eastAsia" w:ascii="宋体" w:hAnsi="宋体"/>
          <w:b/>
          <w:szCs w:val="24"/>
          <w:highlight w:val="none"/>
        </w:rPr>
        <w:t>七、联系事项</w:t>
      </w:r>
    </w:p>
    <w:p w14:paraId="0DA40A46">
      <w:pPr>
        <w:wordWrap w:val="0"/>
        <w:snapToGrid w:val="0"/>
        <w:spacing w:before="145" w:after="145"/>
        <w:ind w:firstLine="480" w:firstLineChars="200"/>
        <w:rPr>
          <w:rFonts w:hint="eastAsia" w:ascii="宋体" w:hAnsi="宋体" w:eastAsia="宋体"/>
          <w:szCs w:val="24"/>
          <w:highlight w:val="none"/>
          <w:lang w:eastAsia="zh-CN"/>
        </w:rPr>
      </w:pPr>
      <w:r>
        <w:rPr>
          <w:rFonts w:hint="eastAsia" w:ascii="宋体" w:hAnsi="宋体"/>
          <w:szCs w:val="24"/>
          <w:highlight w:val="none"/>
        </w:rPr>
        <w:t>1.</w:t>
      </w:r>
      <w:r>
        <w:rPr>
          <w:rFonts w:hint="eastAsia" w:ascii="宋体" w:hAnsi="宋体"/>
          <w:szCs w:val="24"/>
          <w:highlight w:val="none"/>
          <w:lang w:eastAsia="zh-CN"/>
        </w:rPr>
        <w:t>新疆维吾尔自治区民政厅</w:t>
      </w:r>
    </w:p>
    <w:p w14:paraId="46D0D289">
      <w:pPr>
        <w:wordWrap w:val="0"/>
        <w:snapToGrid w:val="0"/>
        <w:ind w:firstLine="480" w:firstLineChars="200"/>
        <w:jc w:val="left"/>
        <w:rPr>
          <w:rFonts w:hint="default" w:ascii="宋体" w:hAnsi="宋体" w:eastAsia="宋体"/>
          <w:szCs w:val="24"/>
          <w:highlight w:val="none"/>
          <w:lang w:val="en-US" w:eastAsia="zh-CN"/>
        </w:rPr>
      </w:pPr>
      <w:r>
        <w:rPr>
          <w:rFonts w:hint="eastAsia" w:ascii="宋体" w:hAnsi="宋体"/>
          <w:szCs w:val="24"/>
          <w:highlight w:val="none"/>
        </w:rPr>
        <w:t>地址</w:t>
      </w:r>
      <w:r>
        <w:rPr>
          <w:rFonts w:hint="eastAsia" w:ascii="宋体" w:hAnsi="宋体"/>
          <w:szCs w:val="24"/>
          <w:highlight w:val="none"/>
          <w:lang w:eastAsia="zh-CN"/>
        </w:rPr>
        <w:t>：乌鲁木齐市天山区新华南路</w:t>
      </w:r>
      <w:r>
        <w:rPr>
          <w:rFonts w:hint="eastAsia" w:ascii="宋体" w:hAnsi="宋体"/>
          <w:szCs w:val="24"/>
          <w:highlight w:val="none"/>
          <w:lang w:val="en-US" w:eastAsia="zh-CN"/>
        </w:rPr>
        <w:t>538号自治区民政厅</w:t>
      </w:r>
    </w:p>
    <w:p w14:paraId="283D7BAB">
      <w:pPr>
        <w:wordWrap w:val="0"/>
        <w:snapToGrid w:val="0"/>
        <w:ind w:firstLine="480" w:firstLineChars="200"/>
        <w:jc w:val="left"/>
        <w:rPr>
          <w:rFonts w:hint="eastAsia" w:ascii="宋体" w:hAnsi="宋体" w:eastAsia="宋体"/>
          <w:szCs w:val="24"/>
          <w:highlight w:val="none"/>
          <w:lang w:eastAsia="zh-CN"/>
        </w:rPr>
      </w:pPr>
      <w:r>
        <w:rPr>
          <w:rFonts w:hint="eastAsia" w:ascii="宋体" w:hAnsi="宋体"/>
          <w:szCs w:val="24"/>
          <w:highlight w:val="none"/>
        </w:rPr>
        <w:t>联系人：</w:t>
      </w:r>
      <w:r>
        <w:rPr>
          <w:rFonts w:hint="eastAsia" w:ascii="宋体" w:hAnsi="宋体"/>
          <w:szCs w:val="24"/>
          <w:highlight w:val="none"/>
          <w:lang w:eastAsia="zh-CN"/>
        </w:rPr>
        <w:t>朱老师</w:t>
      </w:r>
    </w:p>
    <w:p w14:paraId="713F8FA7">
      <w:pPr>
        <w:wordWrap w:val="0"/>
        <w:snapToGrid w:val="0"/>
        <w:spacing w:before="145" w:after="145"/>
        <w:ind w:firstLine="480" w:firstLineChars="200"/>
        <w:rPr>
          <w:rFonts w:hint="default" w:ascii="宋体" w:hAnsi="宋体" w:eastAsia="宋体"/>
          <w:szCs w:val="24"/>
          <w:highlight w:val="none"/>
          <w:lang w:val="en-US" w:eastAsia="zh-CN"/>
        </w:rPr>
      </w:pPr>
      <w:r>
        <w:rPr>
          <w:rFonts w:hint="eastAsia" w:ascii="宋体" w:hAnsi="宋体"/>
          <w:szCs w:val="24"/>
          <w:highlight w:val="none"/>
        </w:rPr>
        <w:t>联系电话：</w:t>
      </w:r>
      <w:r>
        <w:rPr>
          <w:rFonts w:hint="eastAsia" w:ascii="宋体" w:hAnsi="宋体"/>
          <w:szCs w:val="24"/>
          <w:highlight w:val="none"/>
          <w:lang w:val="en-US" w:eastAsia="zh-CN"/>
        </w:rPr>
        <w:t>0991-8562780</w:t>
      </w:r>
    </w:p>
    <w:p w14:paraId="6E44000A">
      <w:pPr>
        <w:wordWrap w:val="0"/>
        <w:snapToGrid w:val="0"/>
        <w:ind w:firstLine="480" w:firstLineChars="200"/>
        <w:jc w:val="left"/>
        <w:rPr>
          <w:rFonts w:ascii="宋体" w:hAnsi="宋体"/>
          <w:szCs w:val="24"/>
          <w:highlight w:val="none"/>
        </w:rPr>
      </w:pPr>
      <w:r>
        <w:rPr>
          <w:rFonts w:hint="eastAsia" w:ascii="宋体" w:hAnsi="宋体"/>
          <w:szCs w:val="24"/>
          <w:highlight w:val="none"/>
        </w:rPr>
        <w:t>2.</w:t>
      </w:r>
      <w:r>
        <w:rPr>
          <w:rFonts w:hint="eastAsia" w:ascii="宋体" w:hAnsi="宋体"/>
          <w:highlight w:val="none"/>
        </w:rPr>
        <w:t xml:space="preserve"> 新疆维吾尔自治区公共资源交易中心</w:t>
      </w:r>
      <w:r>
        <w:rPr>
          <w:rFonts w:hint="eastAsia" w:ascii="宋体" w:hAnsi="宋体"/>
          <w:szCs w:val="24"/>
          <w:highlight w:val="none"/>
        </w:rPr>
        <w:t>信息</w:t>
      </w:r>
    </w:p>
    <w:p w14:paraId="32C7961E">
      <w:pPr>
        <w:keepNext/>
        <w:keepLines/>
        <w:snapToGrid w:val="0"/>
        <w:spacing w:before="145" w:after="145"/>
        <w:ind w:firstLine="480" w:firstLineChars="200"/>
        <w:rPr>
          <w:rFonts w:ascii="宋体" w:hAnsi="宋体"/>
          <w:szCs w:val="24"/>
          <w:highlight w:val="none"/>
        </w:rPr>
      </w:pPr>
      <w:r>
        <w:rPr>
          <w:rFonts w:hint="eastAsia" w:ascii="宋体" w:hAnsi="宋体"/>
          <w:szCs w:val="24"/>
          <w:highlight w:val="none"/>
        </w:rPr>
        <w:t>地址：</w:t>
      </w:r>
      <w:r>
        <w:rPr>
          <w:rFonts w:hint="eastAsia" w:ascii="宋体" w:hAnsi="宋体"/>
          <w:highlight w:val="none"/>
        </w:rPr>
        <w:t>新疆乌鲁木齐市水磨沟区准噶尔街299号益民大厦4楼A40</w:t>
      </w:r>
      <w:r>
        <w:rPr>
          <w:rFonts w:hint="eastAsia" w:ascii="宋体" w:hAnsi="宋体"/>
          <w:highlight w:val="none"/>
          <w:lang w:val="en-US" w:eastAsia="zh-CN"/>
        </w:rPr>
        <w:t>6</w:t>
      </w:r>
      <w:r>
        <w:rPr>
          <w:rFonts w:hint="eastAsia" w:ascii="宋体" w:hAnsi="宋体"/>
          <w:highlight w:val="none"/>
        </w:rPr>
        <w:t>室</w:t>
      </w:r>
    </w:p>
    <w:p w14:paraId="7DDC0764">
      <w:pPr>
        <w:keepNext/>
        <w:keepLines/>
        <w:snapToGrid w:val="0"/>
        <w:ind w:firstLine="480" w:firstLineChars="200"/>
        <w:jc w:val="left"/>
        <w:rPr>
          <w:rFonts w:hint="eastAsia" w:ascii="宋体" w:hAnsi="宋体"/>
          <w:szCs w:val="24"/>
          <w:highlight w:val="none"/>
          <w:lang w:val="en-US" w:eastAsia="zh-CN"/>
        </w:rPr>
      </w:pPr>
      <w:r>
        <w:rPr>
          <w:rFonts w:hint="eastAsia" w:ascii="宋体" w:hAnsi="宋体"/>
          <w:szCs w:val="24"/>
          <w:highlight w:val="none"/>
        </w:rPr>
        <w:t>联系人：</w:t>
      </w:r>
      <w:r>
        <w:rPr>
          <w:rFonts w:hint="eastAsia" w:ascii="宋体" w:hAnsi="宋体"/>
          <w:szCs w:val="24"/>
          <w:highlight w:val="none"/>
          <w:lang w:val="en-US" w:eastAsia="zh-CN"/>
        </w:rPr>
        <w:t>漆老师</w:t>
      </w:r>
    </w:p>
    <w:p w14:paraId="28B68D20">
      <w:pPr>
        <w:keepNext/>
        <w:keepLines/>
        <w:snapToGrid w:val="0"/>
        <w:ind w:firstLine="480" w:firstLineChars="200"/>
        <w:jc w:val="left"/>
        <w:rPr>
          <w:rFonts w:hint="default" w:ascii="宋体" w:hAnsi="宋体" w:eastAsia="宋体"/>
          <w:szCs w:val="24"/>
          <w:highlight w:val="none"/>
          <w:lang w:val="en-US" w:eastAsia="zh-CN"/>
        </w:rPr>
      </w:pPr>
      <w:r>
        <w:rPr>
          <w:rFonts w:hint="eastAsia" w:ascii="宋体" w:hAnsi="宋体"/>
          <w:szCs w:val="24"/>
          <w:highlight w:val="none"/>
        </w:rPr>
        <w:t>联系电话：0991-</w:t>
      </w:r>
      <w:r>
        <w:rPr>
          <w:rFonts w:hint="eastAsia" w:ascii="宋体" w:hAnsi="宋体"/>
          <w:szCs w:val="24"/>
          <w:highlight w:val="none"/>
          <w:lang w:val="en-US" w:eastAsia="zh-CN"/>
        </w:rPr>
        <w:t>3550129</w:t>
      </w:r>
    </w:p>
    <w:p w14:paraId="77195368">
      <w:pPr>
        <w:pStyle w:val="6"/>
        <w:snapToGrid w:val="0"/>
        <w:spacing w:line="360" w:lineRule="auto"/>
        <w:ind w:firstLine="360" w:firstLineChars="150"/>
        <w:rPr>
          <w:rFonts w:ascii="宋体" w:hAnsi="宋体"/>
          <w:bCs w:val="0"/>
          <w:sz w:val="24"/>
          <w:szCs w:val="24"/>
          <w:highlight w:val="none"/>
        </w:rPr>
      </w:pPr>
      <w:r>
        <w:rPr>
          <w:rFonts w:hint="eastAsia" w:ascii="宋体" w:hAnsi="宋体"/>
          <w:bCs w:val="0"/>
          <w:sz w:val="24"/>
          <w:szCs w:val="24"/>
          <w:highlight w:val="none"/>
        </w:rPr>
        <w:t>八、其他</w:t>
      </w:r>
    </w:p>
    <w:p w14:paraId="58C7529C">
      <w:pPr>
        <w:tabs>
          <w:tab w:val="left" w:pos="900"/>
        </w:tabs>
        <w:wordWrap w:val="0"/>
        <w:spacing w:line="560" w:lineRule="exact"/>
        <w:ind w:firstLine="480" w:firstLineChars="200"/>
        <w:jc w:val="left"/>
        <w:rPr>
          <w:rFonts w:hint="eastAsia" w:ascii="宋体" w:hAnsi="宋体"/>
          <w:szCs w:val="24"/>
          <w:highlight w:val="none"/>
        </w:rPr>
      </w:pPr>
      <w:r>
        <w:rPr>
          <w:rFonts w:hint="eastAsia" w:ascii="宋体" w:hAnsi="宋体"/>
          <w:szCs w:val="24"/>
          <w:highlight w:val="none"/>
        </w:rPr>
        <w:t>1.本项目实行电子招投标，供应商须登录新疆政府采购云平台申请获取磋商文件，并通过新疆政府采购云平台电子投标客户端制作磋商文件。有关本次招标的事项若存在变动或修改，敬请及时关注新疆维吾尔自治区公共资源交易中心在“新疆公共资源交易网”和“新疆政府采购云平台”发布的澄清变更公告，网址分别为“https://ggzy.xinjiang.gov.cn/”和“http://www.ccgp-xinjiang.gov.cn”。</w:t>
      </w:r>
    </w:p>
    <w:p w14:paraId="194C9F87">
      <w:pPr>
        <w:tabs>
          <w:tab w:val="left" w:pos="900"/>
        </w:tabs>
        <w:wordWrap w:val="0"/>
        <w:spacing w:line="560" w:lineRule="exact"/>
        <w:ind w:firstLine="480" w:firstLineChars="200"/>
        <w:jc w:val="left"/>
        <w:rPr>
          <w:rFonts w:hint="eastAsia" w:ascii="宋体" w:hAnsi="宋体"/>
          <w:szCs w:val="24"/>
          <w:highlight w:val="none"/>
        </w:rPr>
      </w:pPr>
      <w:r>
        <w:rPr>
          <w:rFonts w:hint="eastAsia" w:ascii="宋体" w:hAnsi="宋体"/>
          <w:szCs w:val="24"/>
          <w:highlight w:val="none"/>
        </w:rPr>
        <w:t>2.各供应商应在开标前确保成为新疆政府采购云平台平台正式供应商，并完成CA数字证书（符合国密标准）申领。因未注册入库、未办理CA数字证书等原因造成无法响应或响应失败等后果由供应商自行承担。</w:t>
      </w:r>
    </w:p>
    <w:p w14:paraId="3E8D7D29">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3.供应商可前往新疆政府采购网（http://www.ccgp-xinjiang.gov.cn/）下载专区，下载新疆政府采购云平台电子投标客户端，安装完成后，可通过账号密码或CA登录客户端进行响应文件制作。在使用新疆政府采购云平台电子投标客户端时，建议使用WIN7及以上操作系统。如有问题可拨打新疆政府采购云平台客户服务热线95763进行咨询。</w:t>
      </w:r>
    </w:p>
    <w:p w14:paraId="1B43240A">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4.本项目采用不见面开标，供应商须在磋商截止时间前通过CA在新疆政府采购云平台平台上传加密的电子响应文件。供应商对不见面开评标系统的技术操作咨询，可通过https://edu.zcygov.cn/luban/xinjiang-e-biding自助查询，也可在新疆政府采购云平台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新疆政府采购云平台在线客服获取服务支持。</w:t>
      </w:r>
    </w:p>
    <w:p w14:paraId="1BBE711F">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5.供应商应当在递交截止时间前，将生成的“电子加密响应文件”上传递交至“政府采购云平台”，递交截止时间以后上传递交的响应文件将被“政府采购云平台”拒收。</w:t>
      </w:r>
    </w:p>
    <w:p w14:paraId="4B6AB47C">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333435FC">
      <w:pPr>
        <w:pStyle w:val="48"/>
        <w:ind w:firstLine="480" w:firstLineChars="200"/>
        <w:rPr>
          <w:rFonts w:ascii="宋体" w:hAnsi="宋体"/>
          <w:color w:val="000000"/>
          <w:sz w:val="24"/>
          <w:highlight w:val="none"/>
        </w:rPr>
      </w:pPr>
      <w:r>
        <w:rPr>
          <w:rFonts w:hint="eastAsia" w:ascii="宋体" w:hAnsi="宋体"/>
          <w:sz w:val="24"/>
          <w:highlight w:val="none"/>
        </w:rPr>
        <w:t>7.</w:t>
      </w:r>
      <w:r>
        <w:rPr>
          <w:rFonts w:hint="eastAsia" w:ascii="宋体" w:hAnsi="宋体"/>
          <w:bCs/>
          <w:color w:val="000000"/>
          <w:sz w:val="24"/>
          <w:highlight w:val="none"/>
        </w:rPr>
        <w:t>本项目</w:t>
      </w:r>
      <w:r>
        <w:rPr>
          <w:rFonts w:hint="eastAsia" w:ascii="宋体" w:hAnsi="宋体"/>
          <w:bCs/>
          <w:color w:val="000000"/>
          <w:sz w:val="24"/>
          <w:highlight w:val="none"/>
          <w:lang w:val="en-US" w:eastAsia="zh-CN"/>
        </w:rPr>
        <w:t>不</w:t>
      </w:r>
      <w:r>
        <w:rPr>
          <w:rFonts w:hint="eastAsia" w:ascii="宋体" w:hAnsi="宋体"/>
          <w:bCs/>
          <w:color w:val="000000"/>
          <w:sz w:val="24"/>
          <w:highlight w:val="none"/>
        </w:rPr>
        <w:t>收取磋商保证金</w:t>
      </w:r>
      <w:r>
        <w:rPr>
          <w:rFonts w:hint="eastAsia" w:ascii="宋体" w:hAnsi="宋体"/>
          <w:color w:val="000000"/>
          <w:sz w:val="24"/>
          <w:highlight w:val="none"/>
        </w:rPr>
        <w:t>。</w:t>
      </w:r>
    </w:p>
    <w:p w14:paraId="5F1EB138">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8.本项目的中标供应商可以登陆政府采购云平台（http://www.ccgp-xinjiang.gov.cn/）,进入“项目采购” 自行打印中标通知书。通过新疆政府采购云平台下载打印的中标通知书与现场开具的中标通知书具有同等法律效力。</w:t>
      </w:r>
    </w:p>
    <w:p w14:paraId="1D60866F">
      <w:pPr>
        <w:tabs>
          <w:tab w:val="left" w:pos="900"/>
        </w:tabs>
        <w:wordWrap w:val="0"/>
        <w:spacing w:line="560" w:lineRule="exact"/>
        <w:ind w:firstLine="480" w:firstLineChars="200"/>
        <w:jc w:val="left"/>
        <w:rPr>
          <w:rFonts w:ascii="宋体" w:hAnsi="宋体"/>
          <w:szCs w:val="24"/>
          <w:highlight w:val="none"/>
        </w:rPr>
      </w:pPr>
      <w:r>
        <w:rPr>
          <w:rFonts w:hint="eastAsia" w:ascii="宋体" w:hAnsi="宋体"/>
          <w:szCs w:val="24"/>
          <w:highlight w:val="none"/>
        </w:rPr>
        <w:t>9.交易系统技术支持电话：95763。</w:t>
      </w:r>
    </w:p>
    <w:p w14:paraId="7CC70800">
      <w:pPr>
        <w:snapToGrid w:val="0"/>
        <w:ind w:firstLine="480" w:firstLineChars="200"/>
        <w:rPr>
          <w:rFonts w:ascii="宋体" w:hAnsi="宋体"/>
          <w:szCs w:val="24"/>
          <w:highlight w:val="none"/>
        </w:rPr>
      </w:pPr>
      <w:r>
        <w:rPr>
          <w:rFonts w:hint="eastAsia" w:ascii="宋体" w:hAnsi="宋体"/>
          <w:szCs w:val="24"/>
          <w:highlight w:val="none"/>
        </w:rPr>
        <w:t xml:space="preserve">      </w:t>
      </w:r>
    </w:p>
    <w:p w14:paraId="04D3029E">
      <w:pPr>
        <w:pStyle w:val="4"/>
        <w:rPr>
          <w:rFonts w:ascii="宋体" w:hAnsi="宋体" w:eastAsia="宋体"/>
          <w:bCs/>
          <w:sz w:val="44"/>
          <w:szCs w:val="44"/>
          <w:highlight w:val="none"/>
        </w:rPr>
      </w:pPr>
      <w:bookmarkStart w:id="2" w:name="_Toc120614211"/>
      <w:bookmarkStart w:id="3" w:name="_Toc23171"/>
      <w:r>
        <w:rPr>
          <w:highlight w:val="none"/>
        </w:rPr>
        <w:br w:type="page"/>
      </w:r>
      <w:r>
        <w:rPr>
          <w:rFonts w:hint="eastAsia" w:ascii="宋体" w:hAnsi="宋体" w:eastAsia="宋体"/>
          <w:b/>
          <w:sz w:val="44"/>
          <w:szCs w:val="44"/>
          <w:highlight w:val="none"/>
        </w:rPr>
        <w:t xml:space="preserve">第二章  </w:t>
      </w:r>
      <w:bookmarkEnd w:id="2"/>
      <w:r>
        <w:rPr>
          <w:rFonts w:hint="eastAsia" w:ascii="宋体" w:hAnsi="宋体" w:eastAsia="宋体"/>
          <w:b/>
          <w:sz w:val="44"/>
          <w:szCs w:val="44"/>
          <w:highlight w:val="none"/>
        </w:rPr>
        <w:t>磋商须知</w:t>
      </w:r>
      <w:bookmarkEnd w:id="3"/>
    </w:p>
    <w:p w14:paraId="488EBE6A">
      <w:pPr>
        <w:pStyle w:val="6"/>
        <w:spacing w:before="143" w:after="143" w:line="360" w:lineRule="auto"/>
        <w:ind w:firstLine="372" w:firstLineChars="155"/>
        <w:jc w:val="center"/>
        <w:rPr>
          <w:rFonts w:ascii="宋体" w:hAnsi="宋体"/>
          <w:b w:val="0"/>
          <w:sz w:val="24"/>
          <w:szCs w:val="24"/>
          <w:highlight w:val="none"/>
        </w:rPr>
      </w:pPr>
      <w:r>
        <w:rPr>
          <w:rFonts w:hint="eastAsia" w:ascii="宋体" w:hAnsi="宋体"/>
          <w:b w:val="0"/>
          <w:sz w:val="24"/>
          <w:szCs w:val="24"/>
          <w:highlight w:val="none"/>
        </w:rPr>
        <w:t>（参加竞争性磋商的供应商以下简称“磋商供应商”）</w:t>
      </w:r>
    </w:p>
    <w:p w14:paraId="7A765764">
      <w:pPr>
        <w:pStyle w:val="20"/>
        <w:spacing w:line="560" w:lineRule="exact"/>
        <w:ind w:firstLine="480" w:firstLineChars="200"/>
        <w:outlineLvl w:val="1"/>
        <w:rPr>
          <w:rFonts w:ascii="宋体" w:hAnsi="宋体" w:eastAsia="宋体"/>
          <w:b/>
          <w:sz w:val="24"/>
          <w:szCs w:val="24"/>
          <w:highlight w:val="none"/>
        </w:rPr>
      </w:pPr>
      <w:r>
        <w:rPr>
          <w:rFonts w:hint="eastAsia" w:ascii="宋体" w:hAnsi="宋体" w:eastAsia="宋体"/>
          <w:b/>
          <w:sz w:val="24"/>
          <w:szCs w:val="24"/>
          <w:highlight w:val="none"/>
        </w:rPr>
        <w:t>一、总则</w:t>
      </w:r>
    </w:p>
    <w:p w14:paraId="02F3D4AB">
      <w:pPr>
        <w:tabs>
          <w:tab w:val="left" w:pos="900"/>
        </w:tabs>
        <w:spacing w:line="560" w:lineRule="exact"/>
        <w:ind w:firstLine="480" w:firstLineChars="200"/>
        <w:rPr>
          <w:rFonts w:ascii="宋体" w:hAnsi="宋体"/>
          <w:highlight w:val="none"/>
        </w:rPr>
      </w:pPr>
      <w:r>
        <w:rPr>
          <w:rFonts w:hint="eastAsia" w:ascii="宋体" w:hAnsi="宋体"/>
          <w:highlight w:val="none"/>
        </w:rPr>
        <w:t>1.适用范围</w:t>
      </w:r>
    </w:p>
    <w:p w14:paraId="1CF0470A">
      <w:pPr>
        <w:tabs>
          <w:tab w:val="left" w:pos="900"/>
        </w:tabs>
        <w:spacing w:line="560" w:lineRule="exact"/>
        <w:ind w:firstLine="480" w:firstLineChars="200"/>
        <w:rPr>
          <w:rFonts w:ascii="宋体" w:hAnsi="宋体"/>
          <w:highlight w:val="none"/>
        </w:rPr>
      </w:pPr>
      <w:r>
        <w:rPr>
          <w:rFonts w:hint="eastAsia" w:ascii="宋体" w:hAnsi="宋体"/>
          <w:highlight w:val="none"/>
        </w:rPr>
        <w:t>本竞争性磋商文件（以下简称“磋商文件”）仅适用于此项目。</w:t>
      </w:r>
    </w:p>
    <w:p w14:paraId="16DA27A5">
      <w:pPr>
        <w:tabs>
          <w:tab w:val="left" w:pos="900"/>
        </w:tabs>
        <w:spacing w:line="560" w:lineRule="exact"/>
        <w:ind w:firstLine="480" w:firstLineChars="200"/>
        <w:rPr>
          <w:rFonts w:ascii="宋体" w:hAnsi="宋体"/>
          <w:highlight w:val="none"/>
        </w:rPr>
      </w:pPr>
      <w:r>
        <w:rPr>
          <w:rFonts w:hint="eastAsia" w:ascii="宋体" w:hAnsi="宋体"/>
          <w:highlight w:val="none"/>
        </w:rPr>
        <w:t>2.项目采购方式</w:t>
      </w:r>
    </w:p>
    <w:p w14:paraId="1F58A694">
      <w:pPr>
        <w:tabs>
          <w:tab w:val="left" w:pos="900"/>
        </w:tabs>
        <w:spacing w:line="560" w:lineRule="exact"/>
        <w:ind w:firstLine="480" w:firstLineChars="200"/>
        <w:rPr>
          <w:rFonts w:ascii="宋体" w:hAnsi="宋体"/>
          <w:highlight w:val="none"/>
        </w:rPr>
      </w:pPr>
      <w:r>
        <w:rPr>
          <w:rFonts w:hint="eastAsia" w:ascii="宋体" w:hAnsi="宋体"/>
          <w:highlight w:val="none"/>
        </w:rPr>
        <w:t>本次采购采取竞争性磋商的方式。</w:t>
      </w:r>
    </w:p>
    <w:p w14:paraId="37B28BF0">
      <w:pPr>
        <w:tabs>
          <w:tab w:val="left" w:pos="900"/>
        </w:tabs>
        <w:spacing w:line="560" w:lineRule="exact"/>
        <w:ind w:firstLine="480" w:firstLineChars="200"/>
        <w:rPr>
          <w:rFonts w:ascii="宋体" w:hAnsi="宋体"/>
          <w:highlight w:val="none"/>
        </w:rPr>
      </w:pPr>
      <w:r>
        <w:rPr>
          <w:rFonts w:hint="eastAsia" w:ascii="宋体" w:hAnsi="宋体"/>
          <w:highlight w:val="none"/>
        </w:rPr>
        <w:t>3.合格的磋商供应商</w:t>
      </w:r>
    </w:p>
    <w:p w14:paraId="1309C521">
      <w:pPr>
        <w:tabs>
          <w:tab w:val="left" w:pos="900"/>
        </w:tabs>
        <w:spacing w:line="560" w:lineRule="exact"/>
        <w:ind w:firstLine="480" w:firstLineChars="200"/>
        <w:rPr>
          <w:rFonts w:ascii="宋体" w:hAnsi="宋体"/>
          <w:highlight w:val="none"/>
        </w:rPr>
      </w:pPr>
      <w:r>
        <w:rPr>
          <w:rFonts w:hint="eastAsia" w:ascii="宋体" w:hAnsi="宋体"/>
          <w:highlight w:val="none"/>
        </w:rPr>
        <w:t>3.1满足本磋商文件“磋商邀请”中对合格磋商供应商资格要求的规定。</w:t>
      </w:r>
    </w:p>
    <w:p w14:paraId="54D9459E">
      <w:pPr>
        <w:tabs>
          <w:tab w:val="left" w:pos="900"/>
        </w:tabs>
        <w:spacing w:line="560" w:lineRule="exact"/>
        <w:ind w:firstLine="480" w:firstLineChars="200"/>
        <w:rPr>
          <w:rFonts w:ascii="宋体" w:hAnsi="宋体"/>
          <w:highlight w:val="none"/>
        </w:rPr>
      </w:pPr>
      <w:r>
        <w:rPr>
          <w:rFonts w:hint="eastAsia" w:ascii="宋体" w:hAnsi="宋体"/>
          <w:highlight w:val="none"/>
        </w:rPr>
        <w:t>3.2满足本磋商文件实质性要求和条件的规定。</w:t>
      </w:r>
    </w:p>
    <w:p w14:paraId="213CFEA3">
      <w:pPr>
        <w:tabs>
          <w:tab w:val="left" w:pos="900"/>
        </w:tabs>
        <w:spacing w:line="560" w:lineRule="exact"/>
        <w:ind w:firstLine="480" w:firstLineChars="200"/>
        <w:rPr>
          <w:rFonts w:ascii="宋体" w:hAnsi="宋体"/>
          <w:highlight w:val="none"/>
        </w:rPr>
      </w:pPr>
      <w:r>
        <w:rPr>
          <w:rFonts w:hint="eastAsia" w:ascii="宋体" w:hAnsi="宋体"/>
          <w:highlight w:val="none"/>
        </w:rPr>
        <w:t>4.参加磋商费用</w:t>
      </w:r>
    </w:p>
    <w:p w14:paraId="74D2C503">
      <w:pPr>
        <w:tabs>
          <w:tab w:val="left" w:pos="900"/>
        </w:tabs>
        <w:spacing w:line="560" w:lineRule="exact"/>
        <w:ind w:firstLine="480" w:firstLineChars="200"/>
        <w:rPr>
          <w:rFonts w:ascii="宋体" w:hAnsi="宋体"/>
          <w:highlight w:val="none"/>
        </w:rPr>
      </w:pPr>
      <w:r>
        <w:rPr>
          <w:rFonts w:hint="eastAsia" w:ascii="宋体" w:hAnsi="宋体"/>
          <w:highlight w:val="none"/>
        </w:rPr>
        <w:t>本次磋商采购新疆维吾尔自治区公共资源交易中心和采购人不收取标书工本费与成交服务费。</w:t>
      </w:r>
    </w:p>
    <w:p w14:paraId="724B7333">
      <w:pPr>
        <w:tabs>
          <w:tab w:val="left" w:pos="900"/>
        </w:tabs>
        <w:spacing w:line="560" w:lineRule="exact"/>
        <w:ind w:firstLine="480" w:firstLineChars="200"/>
        <w:rPr>
          <w:rFonts w:ascii="宋体" w:hAnsi="宋体"/>
          <w:highlight w:val="none"/>
        </w:rPr>
      </w:pPr>
      <w:r>
        <w:rPr>
          <w:rFonts w:hint="eastAsia" w:ascii="宋体" w:hAnsi="宋体"/>
          <w:highlight w:val="none"/>
        </w:rPr>
        <w:t>5.磋商文件的约束力</w:t>
      </w:r>
    </w:p>
    <w:p w14:paraId="325E4797">
      <w:pPr>
        <w:tabs>
          <w:tab w:val="left" w:pos="900"/>
        </w:tabs>
        <w:spacing w:line="560" w:lineRule="exact"/>
        <w:ind w:firstLine="480" w:firstLineChars="200"/>
        <w:rPr>
          <w:rFonts w:ascii="宋体" w:hAnsi="宋体"/>
          <w:highlight w:val="none"/>
        </w:rPr>
      </w:pPr>
      <w:r>
        <w:rPr>
          <w:rFonts w:hint="eastAsia" w:ascii="宋体" w:hAnsi="宋体"/>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3B3A189F">
      <w:pPr>
        <w:tabs>
          <w:tab w:val="left" w:pos="900"/>
        </w:tabs>
        <w:spacing w:line="560" w:lineRule="exact"/>
        <w:ind w:firstLine="480" w:firstLineChars="200"/>
        <w:rPr>
          <w:rFonts w:ascii="宋体" w:hAnsi="宋体"/>
          <w:highlight w:val="none"/>
        </w:rPr>
      </w:pPr>
      <w:r>
        <w:rPr>
          <w:rFonts w:hint="eastAsia" w:ascii="宋体" w:hAnsi="宋体"/>
          <w:highlight w:val="none"/>
        </w:rPr>
        <w:t>6.</w:t>
      </w:r>
      <w:bookmarkStart w:id="4" w:name="_Toc513029211"/>
      <w:bookmarkStart w:id="5" w:name="_Toc20823283"/>
      <w:bookmarkStart w:id="6" w:name="_Toc16938527"/>
      <w:bookmarkStart w:id="7" w:name="_Toc462564070"/>
      <w:r>
        <w:rPr>
          <w:rFonts w:hint="eastAsia" w:ascii="宋体" w:hAnsi="宋体"/>
          <w:highlight w:val="none"/>
        </w:rPr>
        <w:t>磋商文件的澄清</w:t>
      </w:r>
      <w:bookmarkEnd w:id="4"/>
      <w:bookmarkEnd w:id="5"/>
      <w:bookmarkEnd w:id="6"/>
      <w:bookmarkEnd w:id="7"/>
      <w:r>
        <w:rPr>
          <w:rFonts w:hint="eastAsia" w:ascii="宋体" w:hAnsi="宋体"/>
          <w:highlight w:val="none"/>
        </w:rPr>
        <w:t>及修改</w:t>
      </w:r>
    </w:p>
    <w:p w14:paraId="63D706CB">
      <w:pPr>
        <w:tabs>
          <w:tab w:val="left" w:pos="900"/>
        </w:tabs>
        <w:spacing w:line="560" w:lineRule="exact"/>
        <w:ind w:firstLine="480" w:firstLineChars="200"/>
        <w:rPr>
          <w:rFonts w:ascii="宋体" w:hAnsi="宋体"/>
          <w:highlight w:val="none"/>
        </w:rPr>
      </w:pPr>
      <w:r>
        <w:rPr>
          <w:rFonts w:hint="eastAsia" w:ascii="宋体" w:hAnsi="宋体"/>
          <w:highlight w:val="none"/>
        </w:rPr>
        <w:t>6.1任何要求对磋商文件进行澄清的供应商，均应在提交首次响应文件截止时间5日前按采购邀请中的通讯地址，以书面形式通知新疆维吾尔自治区公共资源交易中心。提交首次响应文件截止之日前，新疆维吾尔自治区公共资源交易中心可以对已发出的磋商文件进行必要的澄清或者修改，澄清或者修改的内容作为磋商文件的组成部分。澄清或者修改的内容可能影响响应文件编制的，新疆维吾尔自治区公共资源交易中心将在提交首次响应文件截止时间至少5日前，在新疆政府采购网上发布书面更正公告形式通知所有获取磋商文件的供应商。不足5日的，新疆维吾尔自治区公共资源交易中心应当顺延提交首次响应文件截止时间。</w:t>
      </w:r>
    </w:p>
    <w:p w14:paraId="53D0E10D">
      <w:pPr>
        <w:tabs>
          <w:tab w:val="left" w:pos="900"/>
        </w:tabs>
        <w:spacing w:line="560" w:lineRule="exact"/>
        <w:ind w:firstLine="480" w:firstLineChars="200"/>
        <w:rPr>
          <w:rFonts w:ascii="宋体" w:hAnsi="宋体"/>
          <w:highlight w:val="none"/>
        </w:rPr>
      </w:pPr>
      <w:r>
        <w:rPr>
          <w:rFonts w:hint="eastAsia" w:ascii="宋体" w:hAnsi="宋体"/>
          <w:highlight w:val="none"/>
        </w:rPr>
        <w:t>6.2新疆维吾尔自治区公共资源交易中心可以视采购项目的具体情况，组织供应商进行现场考察或召开磋商前答疑会，但不单独或分别组织只有一个供应商参加的现场考察和答疑会。</w:t>
      </w:r>
    </w:p>
    <w:p w14:paraId="3A8E325D">
      <w:pPr>
        <w:pStyle w:val="20"/>
        <w:spacing w:line="560" w:lineRule="exact"/>
        <w:ind w:firstLine="480" w:firstLineChars="200"/>
        <w:outlineLvl w:val="1"/>
        <w:rPr>
          <w:rFonts w:ascii="宋体" w:hAnsi="宋体" w:eastAsia="宋体"/>
          <w:b/>
          <w:sz w:val="24"/>
          <w:szCs w:val="24"/>
          <w:highlight w:val="none"/>
        </w:rPr>
      </w:pPr>
      <w:bookmarkStart w:id="8" w:name="_Hlt26670348"/>
      <w:bookmarkEnd w:id="8"/>
      <w:bookmarkStart w:id="9" w:name="_Hlt26670354"/>
      <w:bookmarkEnd w:id="9"/>
      <w:bookmarkStart w:id="10" w:name="_Hlt26954828"/>
      <w:bookmarkEnd w:id="10"/>
      <w:bookmarkStart w:id="11" w:name="_Hlt26670345"/>
      <w:bookmarkEnd w:id="11"/>
      <w:bookmarkStart w:id="12" w:name="_Hlt26668969"/>
      <w:bookmarkEnd w:id="12"/>
      <w:bookmarkStart w:id="13" w:name="_Hlt26954830"/>
      <w:bookmarkEnd w:id="13"/>
      <w:bookmarkStart w:id="14" w:name="_Hlt26954832"/>
      <w:bookmarkEnd w:id="14"/>
      <w:bookmarkStart w:id="15" w:name="_Toc61149553"/>
      <w:bookmarkStart w:id="16" w:name="_Toc462564072"/>
      <w:bookmarkStart w:id="17" w:name="_Toc513029213"/>
      <w:bookmarkStart w:id="18" w:name="_Toc14577351"/>
      <w:r>
        <w:rPr>
          <w:rFonts w:hint="eastAsia" w:ascii="宋体" w:hAnsi="宋体" w:eastAsia="宋体"/>
          <w:b/>
          <w:sz w:val="24"/>
          <w:szCs w:val="24"/>
          <w:highlight w:val="none"/>
        </w:rPr>
        <w:t>二、磋商响应文件的编制</w:t>
      </w:r>
      <w:bookmarkEnd w:id="15"/>
      <w:bookmarkEnd w:id="16"/>
      <w:bookmarkEnd w:id="17"/>
      <w:bookmarkEnd w:id="18"/>
      <w:r>
        <w:rPr>
          <w:rFonts w:hint="eastAsia" w:ascii="宋体" w:hAnsi="宋体" w:eastAsia="宋体"/>
          <w:b/>
          <w:sz w:val="24"/>
          <w:szCs w:val="24"/>
          <w:highlight w:val="none"/>
        </w:rPr>
        <w:t>及保证金收取</w:t>
      </w:r>
    </w:p>
    <w:p w14:paraId="5581EBAF">
      <w:pPr>
        <w:tabs>
          <w:tab w:val="left" w:pos="900"/>
        </w:tabs>
        <w:spacing w:line="560" w:lineRule="exact"/>
        <w:ind w:firstLine="480" w:firstLineChars="200"/>
        <w:rPr>
          <w:rFonts w:ascii="宋体" w:hAnsi="宋体"/>
          <w:highlight w:val="none"/>
        </w:rPr>
      </w:pPr>
      <w:bookmarkStart w:id="19" w:name="_Toc462564074"/>
      <w:bookmarkStart w:id="20" w:name="_Toc14577353"/>
      <w:bookmarkStart w:id="21" w:name="_Toc513029215"/>
      <w:bookmarkStart w:id="22" w:name="_Toc61149555"/>
      <w:r>
        <w:rPr>
          <w:rFonts w:hint="eastAsia" w:ascii="宋体" w:hAnsi="宋体"/>
          <w:highlight w:val="none"/>
        </w:rPr>
        <w:t>1.响应文件</w:t>
      </w:r>
      <w:bookmarkEnd w:id="19"/>
      <w:bookmarkEnd w:id="20"/>
      <w:bookmarkEnd w:id="21"/>
      <w:bookmarkEnd w:id="22"/>
      <w:r>
        <w:rPr>
          <w:rFonts w:hint="eastAsia" w:ascii="宋体" w:hAnsi="宋体"/>
          <w:highlight w:val="none"/>
        </w:rPr>
        <w:t>编制要求</w:t>
      </w:r>
    </w:p>
    <w:p w14:paraId="0C1FC046">
      <w:pPr>
        <w:tabs>
          <w:tab w:val="left" w:pos="900"/>
        </w:tabs>
        <w:spacing w:line="560" w:lineRule="exact"/>
        <w:ind w:firstLine="480" w:firstLineChars="200"/>
        <w:rPr>
          <w:rFonts w:ascii="宋体" w:hAnsi="宋体"/>
          <w:highlight w:val="none"/>
        </w:rPr>
      </w:pPr>
      <w:r>
        <w:rPr>
          <w:rFonts w:hint="eastAsia" w:ascii="宋体" w:hAnsi="宋体"/>
          <w:highlight w:val="none"/>
        </w:rPr>
        <w:t>1.1磋商供应商提交的响应文件以及磋商供应商与新疆维吾尔自治区公共资源交易中心及采购人就有关磋商的所有来往函电均应使用简体中文。磋商文件中既有中文也有外文的，以中文意义为准。</w:t>
      </w:r>
    </w:p>
    <w:p w14:paraId="78230C2E">
      <w:pPr>
        <w:tabs>
          <w:tab w:val="left" w:pos="900"/>
        </w:tabs>
        <w:spacing w:line="560" w:lineRule="exact"/>
        <w:ind w:firstLine="480" w:firstLineChars="200"/>
        <w:rPr>
          <w:rFonts w:ascii="宋体" w:hAnsi="宋体"/>
          <w:highlight w:val="none"/>
        </w:rPr>
      </w:pPr>
      <w:r>
        <w:rPr>
          <w:rFonts w:hint="eastAsia" w:ascii="宋体" w:hAnsi="宋体"/>
          <w:highlight w:val="none"/>
        </w:rPr>
        <w:t>1.2除技术性能另有规定外，响应文件所使用的度量衡单位，均须采用国家法定计量单位。</w:t>
      </w:r>
    </w:p>
    <w:p w14:paraId="42B92052">
      <w:pPr>
        <w:tabs>
          <w:tab w:val="left" w:pos="900"/>
        </w:tabs>
        <w:spacing w:line="560" w:lineRule="exact"/>
        <w:ind w:firstLine="480" w:firstLineChars="200"/>
        <w:rPr>
          <w:rFonts w:ascii="宋体" w:hAnsi="宋体"/>
          <w:highlight w:val="none"/>
        </w:rPr>
      </w:pPr>
      <w:bookmarkStart w:id="23" w:name="_Hlt26954836"/>
      <w:bookmarkEnd w:id="23"/>
      <w:bookmarkStart w:id="24" w:name="_Hlt26670357"/>
      <w:bookmarkEnd w:id="24"/>
      <w:bookmarkStart w:id="25" w:name="_Toc513029219"/>
      <w:bookmarkStart w:id="26" w:name="_Toc14577357"/>
      <w:bookmarkStart w:id="27" w:name="_Toc61149558"/>
      <w:r>
        <w:rPr>
          <w:rFonts w:hint="eastAsia" w:ascii="宋体" w:hAnsi="宋体"/>
          <w:highlight w:val="none"/>
        </w:rPr>
        <w:t>2.参加磋商供应商资格的文件</w:t>
      </w:r>
      <w:bookmarkEnd w:id="25"/>
      <w:bookmarkEnd w:id="26"/>
      <w:bookmarkEnd w:id="27"/>
      <w:r>
        <w:rPr>
          <w:rFonts w:hint="eastAsia" w:ascii="宋体" w:hAnsi="宋体"/>
          <w:highlight w:val="none"/>
        </w:rPr>
        <w:t>证明</w:t>
      </w:r>
    </w:p>
    <w:p w14:paraId="715C7395">
      <w:pPr>
        <w:tabs>
          <w:tab w:val="left" w:pos="900"/>
        </w:tabs>
        <w:spacing w:line="560" w:lineRule="exact"/>
        <w:ind w:firstLine="480" w:firstLineChars="200"/>
        <w:rPr>
          <w:rFonts w:ascii="宋体" w:hAnsi="宋体"/>
          <w:highlight w:val="none"/>
        </w:rPr>
      </w:pPr>
      <w:bookmarkStart w:id="28" w:name="_Hlt26668999"/>
      <w:bookmarkEnd w:id="28"/>
      <w:r>
        <w:rPr>
          <w:rFonts w:hint="eastAsia" w:ascii="宋体" w:hAnsi="宋体"/>
          <w:highlight w:val="none"/>
        </w:rPr>
        <w:t>2.1磋商供应商应提交证明其有资格参加磋商和成交后有能力独立履行合同的文件，并作为其响应文件的一部分。</w:t>
      </w:r>
    </w:p>
    <w:p w14:paraId="4C698AFA">
      <w:pPr>
        <w:tabs>
          <w:tab w:val="left" w:pos="900"/>
        </w:tabs>
        <w:spacing w:line="560" w:lineRule="exact"/>
        <w:ind w:firstLine="480" w:firstLineChars="200"/>
        <w:rPr>
          <w:rFonts w:ascii="宋体" w:hAnsi="宋体"/>
          <w:highlight w:val="none"/>
        </w:rPr>
      </w:pPr>
      <w:r>
        <w:rPr>
          <w:rFonts w:hint="eastAsia" w:ascii="宋体" w:hAnsi="宋体"/>
          <w:highlight w:val="none"/>
        </w:rPr>
        <w:t>2.2磋商供应商除必须具有履行合同所需提供的设备以及服务的能力外，还必须具备相应的财务、技术方面的能力。</w:t>
      </w:r>
    </w:p>
    <w:p w14:paraId="2BE340E1">
      <w:pPr>
        <w:tabs>
          <w:tab w:val="left" w:pos="900"/>
        </w:tabs>
        <w:spacing w:line="560" w:lineRule="exact"/>
        <w:ind w:firstLine="480" w:firstLineChars="200"/>
        <w:rPr>
          <w:rFonts w:ascii="宋体" w:hAnsi="宋体"/>
          <w:highlight w:val="none"/>
        </w:rPr>
      </w:pPr>
      <w:r>
        <w:rPr>
          <w:rFonts w:hint="eastAsia" w:ascii="宋体" w:hAnsi="宋体"/>
          <w:highlight w:val="none"/>
        </w:rPr>
        <w:t>2.3磋商供应商提交的响应文件中应包含磋商文件要求的“资信证明文件”。</w:t>
      </w:r>
    </w:p>
    <w:p w14:paraId="661D37D9">
      <w:pPr>
        <w:tabs>
          <w:tab w:val="left" w:pos="900"/>
        </w:tabs>
        <w:spacing w:line="560" w:lineRule="exact"/>
        <w:ind w:firstLine="480" w:firstLineChars="200"/>
        <w:rPr>
          <w:rFonts w:ascii="宋体" w:hAnsi="宋体"/>
          <w:highlight w:val="none"/>
        </w:rPr>
      </w:pPr>
      <w:r>
        <w:rPr>
          <w:rFonts w:hint="eastAsia" w:ascii="宋体" w:hAnsi="宋体"/>
          <w:highlight w:val="none"/>
        </w:rPr>
        <w:t>3.磋商响应报价</w:t>
      </w:r>
      <w:bookmarkStart w:id="29" w:name="_Hlt26670373"/>
      <w:bookmarkEnd w:id="29"/>
      <w:r>
        <w:rPr>
          <w:rFonts w:hint="eastAsia" w:ascii="宋体" w:hAnsi="宋体"/>
          <w:highlight w:val="none"/>
        </w:rPr>
        <w:t>表</w:t>
      </w:r>
    </w:p>
    <w:p w14:paraId="75FDE0E0">
      <w:pPr>
        <w:tabs>
          <w:tab w:val="left" w:pos="900"/>
        </w:tabs>
        <w:spacing w:line="560" w:lineRule="exact"/>
        <w:ind w:firstLine="480" w:firstLineChars="200"/>
        <w:rPr>
          <w:rFonts w:ascii="宋体" w:hAnsi="宋体"/>
          <w:highlight w:val="none"/>
        </w:rPr>
      </w:pPr>
      <w:r>
        <w:rPr>
          <w:rFonts w:hint="eastAsia" w:ascii="宋体" w:hAnsi="宋体"/>
          <w:highlight w:val="none"/>
        </w:rPr>
        <w:t>3.1磋商供应商应按照磋商文件规定格式填报磋商响应报价表。每项产品或服务只允许有一个报价，任何有选择的报价将不予接受，磋商文件中另有规定的按规定执行。</w:t>
      </w:r>
    </w:p>
    <w:p w14:paraId="3A4F92E2">
      <w:pPr>
        <w:tabs>
          <w:tab w:val="left" w:pos="900"/>
        </w:tabs>
        <w:spacing w:line="560" w:lineRule="exact"/>
        <w:ind w:firstLine="480" w:firstLineChars="200"/>
        <w:rPr>
          <w:rFonts w:ascii="宋体" w:hAnsi="宋体"/>
          <w:highlight w:val="none"/>
        </w:rPr>
      </w:pPr>
      <w:r>
        <w:rPr>
          <w:rFonts w:hint="eastAsia" w:ascii="宋体" w:hAnsi="宋体"/>
          <w:highlight w:val="none"/>
        </w:rPr>
        <w:t>3.2标的物</w:t>
      </w:r>
    </w:p>
    <w:p w14:paraId="5A91D22F">
      <w:pPr>
        <w:tabs>
          <w:tab w:val="left" w:pos="900"/>
        </w:tabs>
        <w:spacing w:line="560" w:lineRule="exact"/>
        <w:ind w:firstLine="480" w:firstLineChars="200"/>
        <w:rPr>
          <w:rFonts w:ascii="宋体" w:hAnsi="宋体"/>
          <w:highlight w:val="none"/>
        </w:rPr>
      </w:pPr>
      <w:r>
        <w:rPr>
          <w:rFonts w:hint="eastAsia" w:ascii="宋体" w:hAnsi="宋体"/>
          <w:highlight w:val="none"/>
        </w:rPr>
        <w:t>详见项目需求。</w:t>
      </w:r>
    </w:p>
    <w:p w14:paraId="61553D42">
      <w:pPr>
        <w:tabs>
          <w:tab w:val="left" w:pos="900"/>
        </w:tabs>
        <w:spacing w:line="560" w:lineRule="exact"/>
        <w:ind w:firstLine="480" w:firstLineChars="200"/>
        <w:rPr>
          <w:rFonts w:ascii="宋体" w:hAnsi="宋体"/>
          <w:highlight w:val="none"/>
        </w:rPr>
      </w:pPr>
      <w:r>
        <w:rPr>
          <w:rFonts w:hint="eastAsia" w:ascii="宋体" w:hAnsi="宋体"/>
          <w:highlight w:val="none"/>
        </w:rPr>
        <w:t>3.3有关费用处理</w:t>
      </w:r>
    </w:p>
    <w:p w14:paraId="75EF7120">
      <w:pPr>
        <w:tabs>
          <w:tab w:val="left" w:pos="900"/>
        </w:tabs>
        <w:spacing w:line="560" w:lineRule="exact"/>
        <w:ind w:firstLine="480" w:firstLineChars="200"/>
        <w:rPr>
          <w:rFonts w:ascii="宋体" w:hAnsi="宋体"/>
          <w:highlight w:val="none"/>
        </w:rPr>
      </w:pPr>
      <w:r>
        <w:rPr>
          <w:rFonts w:hint="eastAsia" w:ascii="宋体" w:hAnsi="宋体"/>
          <w:highlight w:val="none"/>
        </w:rPr>
        <w:t>本次采购磋商供应商的报价应包括为完成本项目发生的所有费用，本磋商文件中另有规定的除外。</w:t>
      </w:r>
    </w:p>
    <w:p w14:paraId="25DC6452">
      <w:pPr>
        <w:tabs>
          <w:tab w:val="left" w:pos="900"/>
        </w:tabs>
        <w:spacing w:line="560" w:lineRule="exact"/>
        <w:ind w:firstLine="480" w:firstLineChars="200"/>
        <w:rPr>
          <w:rFonts w:ascii="宋体" w:hAnsi="宋体"/>
          <w:highlight w:val="none"/>
        </w:rPr>
      </w:pPr>
      <w:r>
        <w:rPr>
          <w:rFonts w:hint="eastAsia" w:ascii="宋体" w:hAnsi="宋体"/>
          <w:highlight w:val="none"/>
        </w:rPr>
        <w:t>3.4其它费用处理</w:t>
      </w:r>
    </w:p>
    <w:p w14:paraId="4BEF67BE">
      <w:pPr>
        <w:tabs>
          <w:tab w:val="left" w:pos="900"/>
        </w:tabs>
        <w:spacing w:line="560" w:lineRule="exact"/>
        <w:ind w:firstLine="480" w:firstLineChars="200"/>
        <w:rPr>
          <w:rFonts w:ascii="宋体" w:hAnsi="宋体"/>
          <w:highlight w:val="none"/>
        </w:rPr>
      </w:pPr>
      <w:r>
        <w:rPr>
          <w:rFonts w:hint="eastAsia" w:ascii="宋体" w:hAnsi="宋体"/>
          <w:highlight w:val="none"/>
        </w:rPr>
        <w:t>磋商文件未列明，而磋商供应商认为必需的费用也须列入报价。</w:t>
      </w:r>
    </w:p>
    <w:p w14:paraId="2B2D2A5D">
      <w:pPr>
        <w:tabs>
          <w:tab w:val="left" w:pos="900"/>
        </w:tabs>
        <w:spacing w:line="560" w:lineRule="exact"/>
        <w:ind w:firstLine="480" w:firstLineChars="200"/>
        <w:rPr>
          <w:rFonts w:ascii="宋体" w:hAnsi="宋体"/>
          <w:highlight w:val="none"/>
        </w:rPr>
      </w:pPr>
      <w:r>
        <w:rPr>
          <w:rFonts w:hint="eastAsia" w:ascii="宋体" w:hAnsi="宋体"/>
          <w:highlight w:val="none"/>
        </w:rPr>
        <w:t>3.5报价采用的货币</w:t>
      </w:r>
    </w:p>
    <w:p w14:paraId="741893DB">
      <w:pPr>
        <w:tabs>
          <w:tab w:val="left" w:pos="900"/>
        </w:tabs>
        <w:spacing w:line="560" w:lineRule="exact"/>
        <w:ind w:firstLine="480" w:firstLineChars="200"/>
        <w:rPr>
          <w:rFonts w:ascii="宋体" w:hAnsi="宋体"/>
          <w:highlight w:val="none"/>
        </w:rPr>
      </w:pPr>
      <w:r>
        <w:rPr>
          <w:rFonts w:hint="eastAsia" w:ascii="宋体" w:hAnsi="宋体"/>
          <w:highlight w:val="none"/>
        </w:rPr>
        <w:t>响应文件中的单价和总价，无特殊规定的采用人民币报价，以元为单位标注。磋商文件中另有规定的按规定执行。</w:t>
      </w:r>
    </w:p>
    <w:p w14:paraId="0C88C12A">
      <w:pPr>
        <w:tabs>
          <w:tab w:val="left" w:pos="900"/>
        </w:tabs>
        <w:spacing w:line="560" w:lineRule="exact"/>
        <w:ind w:firstLine="480" w:firstLineChars="200"/>
        <w:rPr>
          <w:rFonts w:ascii="宋体" w:hAnsi="宋体"/>
          <w:highlight w:val="none"/>
        </w:rPr>
      </w:pPr>
      <w:r>
        <w:rPr>
          <w:rFonts w:hint="eastAsia" w:ascii="宋体" w:hAnsi="宋体"/>
          <w:highlight w:val="none"/>
        </w:rPr>
        <w:t>3.6磋商响应报价表上的价格应按磋商文件规定填写。</w:t>
      </w:r>
    </w:p>
    <w:p w14:paraId="6932F791">
      <w:pPr>
        <w:tabs>
          <w:tab w:val="left" w:pos="900"/>
        </w:tabs>
        <w:spacing w:line="560" w:lineRule="exact"/>
        <w:ind w:firstLine="480" w:firstLineChars="200"/>
        <w:rPr>
          <w:rFonts w:ascii="宋体" w:hAnsi="宋体"/>
          <w:highlight w:val="none"/>
        </w:rPr>
      </w:pPr>
      <w:bookmarkStart w:id="30" w:name="_Hlt26670403"/>
      <w:bookmarkEnd w:id="30"/>
      <w:bookmarkStart w:id="31" w:name="_Hlt26954848"/>
      <w:bookmarkEnd w:id="31"/>
      <w:bookmarkStart w:id="32" w:name="_Hlt26668983"/>
      <w:bookmarkEnd w:id="32"/>
      <w:bookmarkStart w:id="33" w:name="_Hlt26670425"/>
      <w:bookmarkEnd w:id="33"/>
      <w:bookmarkStart w:id="34" w:name="_Hlt26954844"/>
      <w:bookmarkEnd w:id="34"/>
      <w:bookmarkStart w:id="35" w:name="_Hlt26670482"/>
      <w:bookmarkEnd w:id="35"/>
      <w:bookmarkStart w:id="36" w:name="_Hlt26670486"/>
      <w:bookmarkEnd w:id="36"/>
      <w:bookmarkStart w:id="37" w:name="_Hlt26954731"/>
      <w:bookmarkEnd w:id="37"/>
      <w:bookmarkStart w:id="38" w:name="_Hlt26954846"/>
      <w:bookmarkEnd w:id="38"/>
      <w:bookmarkStart w:id="39" w:name="_Hlt26954842"/>
      <w:bookmarkEnd w:id="39"/>
      <w:r>
        <w:rPr>
          <w:rFonts w:hint="eastAsia" w:ascii="宋体" w:hAnsi="宋体"/>
          <w:highlight w:val="none"/>
        </w:rPr>
        <w:t>4.技术方案</w:t>
      </w:r>
    </w:p>
    <w:p w14:paraId="6023B701">
      <w:pPr>
        <w:tabs>
          <w:tab w:val="left" w:pos="900"/>
        </w:tabs>
        <w:spacing w:line="560" w:lineRule="exact"/>
        <w:ind w:firstLine="480" w:firstLineChars="200"/>
        <w:rPr>
          <w:rFonts w:ascii="宋体" w:hAnsi="宋体"/>
          <w:highlight w:val="none"/>
        </w:rPr>
      </w:pPr>
      <w:r>
        <w:rPr>
          <w:rFonts w:hint="eastAsia" w:ascii="宋体" w:hAnsi="宋体"/>
          <w:highlight w:val="none"/>
        </w:rPr>
        <w:t>4.1提供为完成本项目的总体实施方案。</w:t>
      </w:r>
    </w:p>
    <w:p w14:paraId="7D5D5D52">
      <w:pPr>
        <w:tabs>
          <w:tab w:val="left" w:pos="900"/>
        </w:tabs>
        <w:spacing w:line="560" w:lineRule="exact"/>
        <w:ind w:firstLine="480" w:firstLineChars="200"/>
        <w:rPr>
          <w:rFonts w:ascii="宋体" w:hAnsi="宋体"/>
          <w:highlight w:val="none"/>
        </w:rPr>
      </w:pPr>
      <w:r>
        <w:rPr>
          <w:rFonts w:hint="eastAsia" w:ascii="宋体" w:hAnsi="宋体"/>
          <w:highlight w:val="none"/>
        </w:rPr>
        <w:t>4.2对磋商文件中项目需求的技术与商务条款要求逐项作出应答，并提供依据或说明。</w:t>
      </w:r>
    </w:p>
    <w:p w14:paraId="37DA1277">
      <w:pPr>
        <w:tabs>
          <w:tab w:val="left" w:pos="900"/>
        </w:tabs>
        <w:spacing w:line="560" w:lineRule="exact"/>
        <w:ind w:firstLine="480" w:firstLineChars="200"/>
        <w:rPr>
          <w:rFonts w:ascii="宋体" w:hAnsi="宋体"/>
          <w:highlight w:val="none"/>
        </w:rPr>
      </w:pPr>
      <w:r>
        <w:rPr>
          <w:rFonts w:hint="eastAsia" w:ascii="宋体" w:hAnsi="宋体"/>
          <w:highlight w:val="none"/>
        </w:rPr>
        <w:t>4.3磋商供应商认为需要的其他技术文件或说明。</w:t>
      </w:r>
    </w:p>
    <w:p w14:paraId="5C556FF7">
      <w:pPr>
        <w:tabs>
          <w:tab w:val="left" w:pos="900"/>
        </w:tabs>
        <w:spacing w:line="560" w:lineRule="exact"/>
        <w:ind w:firstLine="480" w:firstLineChars="200"/>
        <w:rPr>
          <w:rFonts w:ascii="宋体" w:hAnsi="宋体"/>
          <w:highlight w:val="none"/>
        </w:rPr>
      </w:pPr>
      <w:r>
        <w:rPr>
          <w:rFonts w:hint="eastAsia" w:ascii="宋体" w:hAnsi="宋体"/>
          <w:highlight w:val="none"/>
        </w:rPr>
        <w:t>5.磋商保证金（如果收取）</w:t>
      </w:r>
    </w:p>
    <w:p w14:paraId="7CF262D8">
      <w:pPr>
        <w:tabs>
          <w:tab w:val="left" w:pos="900"/>
        </w:tabs>
        <w:spacing w:line="560" w:lineRule="exact"/>
        <w:ind w:firstLine="480" w:firstLineChars="200"/>
        <w:rPr>
          <w:rFonts w:ascii="宋体" w:hAnsi="宋体"/>
          <w:highlight w:val="none"/>
        </w:rPr>
      </w:pPr>
      <w:r>
        <w:rPr>
          <w:rFonts w:hint="eastAsia" w:ascii="宋体" w:hAnsi="宋体"/>
          <w:highlight w:val="none"/>
        </w:rPr>
        <w:t>5.1磋商保证金是为了保护采购人免遭因磋商供应商的行为而蒙受的损失，采购人因磋商供应商的行为受到损害时，新疆维吾尔自治区公共资源交易中心可根据相关规定处理。</w:t>
      </w:r>
    </w:p>
    <w:p w14:paraId="1343D90B">
      <w:pPr>
        <w:tabs>
          <w:tab w:val="left" w:pos="900"/>
        </w:tabs>
        <w:spacing w:line="560" w:lineRule="exact"/>
        <w:ind w:firstLine="480" w:firstLineChars="200"/>
        <w:rPr>
          <w:rFonts w:ascii="宋体" w:hAnsi="宋体"/>
          <w:highlight w:val="none"/>
        </w:rPr>
      </w:pPr>
      <w:r>
        <w:rPr>
          <w:rFonts w:hint="eastAsia" w:ascii="宋体" w:hAnsi="宋体"/>
          <w:highlight w:val="none"/>
        </w:rPr>
        <w:t>5.2参加磋商采购所需交纳的保证金必须是人民币，磋商保证金的缴纳形式见采购邀请。</w:t>
      </w:r>
    </w:p>
    <w:p w14:paraId="4F16AF86">
      <w:pPr>
        <w:tabs>
          <w:tab w:val="left" w:pos="900"/>
        </w:tabs>
        <w:spacing w:line="560" w:lineRule="exact"/>
        <w:ind w:firstLine="480" w:firstLineChars="200"/>
        <w:rPr>
          <w:rFonts w:ascii="宋体" w:hAnsi="宋体"/>
          <w:highlight w:val="none"/>
        </w:rPr>
      </w:pPr>
      <w:r>
        <w:rPr>
          <w:rFonts w:hint="eastAsia" w:ascii="宋体" w:hAnsi="宋体"/>
          <w:highlight w:val="none"/>
        </w:rPr>
        <w:t>5.3在磋商时，对在响应文件递交截止时间以前未按磋商文件要求提交磋商保证金的响应文件，新疆维吾尔自治区公共资源交易中心将视其为无效响应文件而予以拒绝。</w:t>
      </w:r>
    </w:p>
    <w:p w14:paraId="37989C26">
      <w:pPr>
        <w:tabs>
          <w:tab w:val="left" w:pos="900"/>
        </w:tabs>
        <w:spacing w:line="560" w:lineRule="exact"/>
        <w:ind w:firstLine="480" w:firstLineChars="200"/>
        <w:rPr>
          <w:rFonts w:ascii="宋体" w:hAnsi="宋体"/>
          <w:highlight w:val="none"/>
        </w:rPr>
      </w:pPr>
      <w:r>
        <w:rPr>
          <w:rFonts w:hint="eastAsia" w:ascii="宋体" w:hAnsi="宋体"/>
          <w:highlight w:val="none"/>
        </w:rPr>
        <w:t>5.4未成交供应商的磋商保证金，</w:t>
      </w:r>
      <w:r>
        <w:rPr>
          <w:rFonts w:hint="eastAsia" w:ascii="宋体" w:hAnsi="宋体"/>
          <w:bCs/>
          <w:highlight w:val="none"/>
        </w:rPr>
        <w:t>将在中标公告发出之后5个工作日内自动退还。</w:t>
      </w:r>
    </w:p>
    <w:p w14:paraId="45840629">
      <w:pPr>
        <w:snapToGrid w:val="0"/>
        <w:spacing w:before="145" w:after="145" w:line="293" w:lineRule="auto"/>
        <w:ind w:firstLine="480" w:firstLineChars="200"/>
        <w:rPr>
          <w:rFonts w:ascii="宋体" w:hAnsi="宋体"/>
          <w:highlight w:val="none"/>
        </w:rPr>
      </w:pPr>
      <w:r>
        <w:rPr>
          <w:rFonts w:hint="eastAsia" w:ascii="宋体" w:hAnsi="宋体"/>
          <w:highlight w:val="none"/>
        </w:rPr>
        <w:t>5.5成交候选供应商的磋商保证金，</w:t>
      </w:r>
      <w:r>
        <w:rPr>
          <w:rFonts w:hint="eastAsia" w:ascii="宋体" w:hAnsi="宋体"/>
          <w:bCs/>
          <w:highlight w:val="none"/>
        </w:rPr>
        <w:t>将在采购合同签订之后5个工作日内自动退还（退还前，须在自治区</w:t>
      </w:r>
      <w:r>
        <w:rPr>
          <w:rFonts w:hint="eastAsia" w:ascii="宋体" w:hAnsi="宋体"/>
          <w:highlight w:val="none"/>
        </w:rPr>
        <w:t>新疆维吾尔自治区公共资源交易中心</w:t>
      </w:r>
      <w:r>
        <w:rPr>
          <w:rFonts w:hint="eastAsia" w:ascii="宋体" w:hAnsi="宋体"/>
          <w:bCs/>
          <w:highlight w:val="none"/>
        </w:rPr>
        <w:t>政府采购部进行合同备案）。</w:t>
      </w:r>
    </w:p>
    <w:p w14:paraId="7CDDF4A5">
      <w:pPr>
        <w:tabs>
          <w:tab w:val="left" w:pos="900"/>
        </w:tabs>
        <w:spacing w:line="560" w:lineRule="exact"/>
        <w:ind w:firstLine="480" w:firstLineChars="200"/>
        <w:rPr>
          <w:rFonts w:ascii="宋体" w:hAnsi="宋体"/>
          <w:highlight w:val="none"/>
        </w:rPr>
      </w:pPr>
      <w:r>
        <w:rPr>
          <w:rFonts w:hint="eastAsia" w:ascii="宋体" w:hAnsi="宋体"/>
          <w:highlight w:val="none"/>
        </w:rPr>
        <w:t>5.6下列任何情况发生时，磋商保证金不予退还：</w:t>
      </w:r>
    </w:p>
    <w:p w14:paraId="513B74F4">
      <w:pPr>
        <w:tabs>
          <w:tab w:val="left" w:pos="900"/>
        </w:tabs>
        <w:spacing w:line="560" w:lineRule="exact"/>
        <w:ind w:firstLine="480" w:firstLineChars="200"/>
        <w:rPr>
          <w:rFonts w:ascii="宋体" w:hAnsi="宋体"/>
          <w:highlight w:val="none"/>
        </w:rPr>
      </w:pPr>
      <w:r>
        <w:rPr>
          <w:rFonts w:hint="eastAsia" w:ascii="宋体" w:hAnsi="宋体"/>
          <w:highlight w:val="none"/>
        </w:rPr>
        <w:t>（1）磋商供应商在磋商响应有效期内无正当理由撤回其响应文件或者在磋商过程中无正当理由退出磋商活动（磋商供应商在提交最终报价之前退出磋商的除外）。</w:t>
      </w:r>
    </w:p>
    <w:p w14:paraId="4D61A0D6">
      <w:pPr>
        <w:tabs>
          <w:tab w:val="left" w:pos="900"/>
        </w:tabs>
        <w:spacing w:line="560" w:lineRule="exact"/>
        <w:ind w:firstLine="480" w:firstLineChars="200"/>
        <w:rPr>
          <w:rFonts w:ascii="宋体" w:hAnsi="宋体"/>
          <w:highlight w:val="none"/>
        </w:rPr>
      </w:pPr>
      <w:r>
        <w:rPr>
          <w:rFonts w:hint="eastAsia" w:ascii="宋体" w:hAnsi="宋体"/>
          <w:highlight w:val="none"/>
        </w:rPr>
        <w:t>（2）为谋取最终成交，磋商供应商在整个磋商过程中提供的相关文件被确认是虚假的、不真实的。</w:t>
      </w:r>
    </w:p>
    <w:p w14:paraId="5248AD44">
      <w:pPr>
        <w:tabs>
          <w:tab w:val="left" w:pos="900"/>
        </w:tabs>
        <w:spacing w:line="560" w:lineRule="exact"/>
        <w:ind w:firstLine="480" w:firstLineChars="200"/>
        <w:rPr>
          <w:rFonts w:ascii="宋体" w:hAnsi="宋体"/>
          <w:highlight w:val="none"/>
        </w:rPr>
      </w:pPr>
      <w:r>
        <w:rPr>
          <w:rFonts w:hint="eastAsia" w:ascii="宋体" w:hAnsi="宋体"/>
          <w:highlight w:val="none"/>
        </w:rPr>
        <w:t>（3）参加磋商的供应商之间被证实有串通、欺诈行为或者恶意进行竞争，影响采购人合法权益的。</w:t>
      </w:r>
    </w:p>
    <w:p w14:paraId="4377E7AA">
      <w:pPr>
        <w:tabs>
          <w:tab w:val="left" w:pos="900"/>
        </w:tabs>
        <w:spacing w:line="560" w:lineRule="exact"/>
        <w:ind w:firstLine="480" w:firstLineChars="200"/>
        <w:rPr>
          <w:rFonts w:ascii="宋体" w:hAnsi="宋体"/>
          <w:highlight w:val="none"/>
        </w:rPr>
      </w:pPr>
      <w:r>
        <w:rPr>
          <w:rFonts w:hint="eastAsia" w:ascii="宋体" w:hAnsi="宋体"/>
          <w:highlight w:val="none"/>
        </w:rPr>
        <w:t>（4）整个采购活动中采取不正当手段诋毁、排挤其他供应商的。</w:t>
      </w:r>
    </w:p>
    <w:p w14:paraId="43C3470A">
      <w:pPr>
        <w:tabs>
          <w:tab w:val="left" w:pos="900"/>
        </w:tabs>
        <w:spacing w:line="560" w:lineRule="exact"/>
        <w:ind w:firstLine="480" w:firstLineChars="200"/>
        <w:rPr>
          <w:rFonts w:ascii="宋体" w:hAnsi="宋体"/>
          <w:highlight w:val="none"/>
        </w:rPr>
      </w:pPr>
      <w:r>
        <w:rPr>
          <w:rFonts w:hint="eastAsia" w:ascii="宋体" w:hAnsi="宋体"/>
          <w:highlight w:val="none"/>
        </w:rPr>
        <w:t>（5）与采购人、新疆维吾尔自治区公共资源交易中心相关工作人员恶意串通的。</w:t>
      </w:r>
    </w:p>
    <w:p w14:paraId="505A4CAA">
      <w:pPr>
        <w:tabs>
          <w:tab w:val="left" w:pos="900"/>
        </w:tabs>
        <w:spacing w:line="560" w:lineRule="exact"/>
        <w:ind w:firstLine="480" w:firstLineChars="200"/>
        <w:rPr>
          <w:rFonts w:ascii="宋体" w:hAnsi="宋体"/>
          <w:highlight w:val="none"/>
        </w:rPr>
      </w:pPr>
      <w:r>
        <w:rPr>
          <w:rFonts w:hint="eastAsia" w:ascii="宋体" w:hAnsi="宋体"/>
          <w:highlight w:val="none"/>
        </w:rPr>
        <w:t>（6）向采购人、新疆维吾尔自治区公共资源交易中心相关工作人员行贿或者提供其他不正当利益的。</w:t>
      </w:r>
    </w:p>
    <w:p w14:paraId="5F3DEF04">
      <w:pPr>
        <w:tabs>
          <w:tab w:val="left" w:pos="900"/>
        </w:tabs>
        <w:spacing w:line="560" w:lineRule="exact"/>
        <w:ind w:firstLine="480" w:firstLineChars="200"/>
        <w:rPr>
          <w:rFonts w:ascii="宋体" w:hAnsi="宋体"/>
          <w:highlight w:val="none"/>
        </w:rPr>
      </w:pPr>
      <w:r>
        <w:rPr>
          <w:rFonts w:hint="eastAsia" w:ascii="宋体" w:hAnsi="宋体"/>
          <w:highlight w:val="none"/>
        </w:rPr>
        <w:t>（7）成交供应商在规定期限内未能根据规定签订合同。</w:t>
      </w:r>
    </w:p>
    <w:p w14:paraId="72D6B26C">
      <w:pPr>
        <w:pStyle w:val="20"/>
        <w:spacing w:line="560" w:lineRule="exact"/>
        <w:ind w:firstLine="480" w:firstLineChars="200"/>
        <w:outlineLvl w:val="1"/>
        <w:rPr>
          <w:rFonts w:ascii="宋体" w:hAnsi="宋体" w:eastAsia="宋体"/>
          <w:b/>
          <w:sz w:val="24"/>
          <w:szCs w:val="24"/>
          <w:highlight w:val="none"/>
        </w:rPr>
      </w:pPr>
      <w:bookmarkStart w:id="40" w:name="_Hlt26954749"/>
      <w:bookmarkEnd w:id="40"/>
      <w:bookmarkStart w:id="41" w:name="_Hlt26954854"/>
      <w:bookmarkEnd w:id="41"/>
      <w:bookmarkStart w:id="42" w:name="_Hlt26954734"/>
      <w:bookmarkEnd w:id="42"/>
      <w:bookmarkStart w:id="43" w:name="_Hlt26954850"/>
      <w:bookmarkEnd w:id="43"/>
      <w:bookmarkStart w:id="44" w:name="_Hlt26670489"/>
      <w:bookmarkEnd w:id="44"/>
      <w:bookmarkStart w:id="45" w:name="_Hlt26670493"/>
      <w:bookmarkEnd w:id="45"/>
      <w:bookmarkStart w:id="46" w:name="_Hlt26954852"/>
      <w:bookmarkEnd w:id="46"/>
      <w:bookmarkStart w:id="47" w:name="_Hlt26954739"/>
      <w:bookmarkEnd w:id="47"/>
      <w:bookmarkStart w:id="48" w:name="_Toc14577362"/>
      <w:bookmarkStart w:id="49" w:name="_Toc61149562"/>
      <w:bookmarkStart w:id="50" w:name="_Toc513029224"/>
      <w:r>
        <w:rPr>
          <w:rFonts w:hint="eastAsia" w:ascii="宋体" w:hAnsi="宋体" w:eastAsia="宋体"/>
          <w:b/>
          <w:sz w:val="24"/>
          <w:szCs w:val="24"/>
          <w:highlight w:val="none"/>
        </w:rPr>
        <w:t>三、响应文件的递交</w:t>
      </w:r>
      <w:bookmarkEnd w:id="48"/>
      <w:bookmarkEnd w:id="49"/>
      <w:bookmarkEnd w:id="50"/>
    </w:p>
    <w:p w14:paraId="714A351C">
      <w:pPr>
        <w:tabs>
          <w:tab w:val="left" w:pos="900"/>
        </w:tabs>
        <w:spacing w:line="560" w:lineRule="exact"/>
        <w:ind w:firstLine="480" w:firstLineChars="200"/>
        <w:rPr>
          <w:rFonts w:ascii="宋体" w:hAnsi="宋体"/>
          <w:highlight w:val="none"/>
        </w:rPr>
      </w:pPr>
      <w:bookmarkStart w:id="51" w:name="_Hlt26954856"/>
      <w:bookmarkEnd w:id="51"/>
      <w:bookmarkStart w:id="52" w:name="_Toc513029225"/>
      <w:bookmarkStart w:id="53" w:name="_Toc61149563"/>
      <w:bookmarkStart w:id="54" w:name="_Toc14577363"/>
      <w:bookmarkStart w:id="55" w:name="_Toc462564084"/>
      <w:r>
        <w:rPr>
          <w:rFonts w:hint="eastAsia" w:ascii="宋体" w:hAnsi="宋体"/>
          <w:highlight w:val="none"/>
        </w:rPr>
        <w:t>1</w:t>
      </w:r>
      <w:bookmarkEnd w:id="52"/>
      <w:bookmarkEnd w:id="53"/>
      <w:bookmarkEnd w:id="54"/>
      <w:bookmarkEnd w:id="55"/>
      <w:r>
        <w:rPr>
          <w:rFonts w:hint="eastAsia" w:ascii="宋体" w:hAnsi="宋体"/>
          <w:highlight w:val="none"/>
        </w:rPr>
        <w:t>.电子响应文件的递交</w:t>
      </w:r>
    </w:p>
    <w:p w14:paraId="1909D5ED">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供应商应当在递交截止时间前，将生成的“电子加密响应文件”上传递交至“政府采购云平台”，递交截止时间以后上传递交的响应文件将被“政府采购云平台”拒收</w:t>
      </w:r>
      <w:r>
        <w:rPr>
          <w:rFonts w:hint="eastAsia" w:ascii="宋体" w:hAnsi="宋体"/>
          <w:highlight w:val="none"/>
        </w:rPr>
        <w:t>。</w:t>
      </w:r>
    </w:p>
    <w:p w14:paraId="347086A6">
      <w:pPr>
        <w:tabs>
          <w:tab w:val="left" w:pos="900"/>
        </w:tabs>
        <w:spacing w:line="560" w:lineRule="exact"/>
        <w:ind w:firstLine="480" w:firstLineChars="200"/>
        <w:rPr>
          <w:rFonts w:ascii="宋体" w:hAnsi="宋体"/>
          <w:highlight w:val="none"/>
        </w:rPr>
      </w:pPr>
      <w:bookmarkStart w:id="56" w:name="_Hlt26954752"/>
      <w:bookmarkEnd w:id="56"/>
      <w:bookmarkStart w:id="57" w:name="_Hlt26954858"/>
      <w:bookmarkEnd w:id="57"/>
      <w:bookmarkStart w:id="58" w:name="_Hlt26670496"/>
      <w:bookmarkEnd w:id="58"/>
      <w:bookmarkStart w:id="59" w:name="_Toc14577364"/>
      <w:bookmarkStart w:id="60" w:name="_Toc61149564"/>
      <w:bookmarkStart w:id="61" w:name="_Toc513029226"/>
      <w:r>
        <w:rPr>
          <w:rFonts w:hint="eastAsia" w:ascii="宋体" w:hAnsi="宋体"/>
          <w:highlight w:val="none"/>
        </w:rPr>
        <w:t>2</w:t>
      </w:r>
      <w:bookmarkEnd w:id="59"/>
      <w:bookmarkEnd w:id="60"/>
      <w:bookmarkEnd w:id="61"/>
      <w:r>
        <w:rPr>
          <w:rFonts w:hint="eastAsia" w:ascii="宋体" w:hAnsi="宋体"/>
          <w:highlight w:val="none"/>
        </w:rPr>
        <w:t>.递交响应文件截止时间</w:t>
      </w:r>
    </w:p>
    <w:p w14:paraId="7A72D5B7">
      <w:pPr>
        <w:spacing w:line="500" w:lineRule="exact"/>
        <w:ind w:firstLine="480" w:firstLineChars="200"/>
        <w:rPr>
          <w:rFonts w:ascii="宋体" w:hAnsi="宋体"/>
          <w:i/>
          <w:highlight w:val="none"/>
          <w:u w:val="single"/>
        </w:rPr>
      </w:pPr>
      <w:r>
        <w:rPr>
          <w:rFonts w:hint="eastAsia" w:ascii="宋体" w:hAnsi="宋体"/>
          <w:i/>
          <w:highlight w:val="none"/>
          <w:u w:val="single"/>
        </w:rPr>
        <w:t>2.1</w:t>
      </w:r>
      <w:r>
        <w:rPr>
          <w:rFonts w:hint="eastAsia" w:ascii="宋体" w:hAnsi="宋体"/>
          <w:bCs/>
          <w:i/>
          <w:highlight w:val="none"/>
          <w:u w:val="single"/>
        </w:rPr>
        <w:t xml:space="preserve"> 供应商上传电子响应文件的时间不得迟于磋商公告中规定的递交磋商文件截止时间。</w:t>
      </w:r>
    </w:p>
    <w:p w14:paraId="55CD5B8C">
      <w:pPr>
        <w:spacing w:line="500" w:lineRule="exact"/>
        <w:ind w:firstLine="480" w:firstLineChars="200"/>
        <w:rPr>
          <w:rFonts w:ascii="宋体" w:hAnsi="宋体"/>
          <w:bCs/>
          <w:highlight w:val="none"/>
        </w:rPr>
      </w:pPr>
      <w:r>
        <w:rPr>
          <w:rFonts w:hint="eastAsia" w:ascii="宋体" w:hAnsi="宋体"/>
          <w:bCs/>
          <w:highlight w:val="none"/>
        </w:rPr>
        <w:t>供应商应充分考虑网络环境、网络带宽等风险因素，如因供应商自身原因造成的电子响应文件上传不成功由供应商自行承担全部责任。</w:t>
      </w:r>
    </w:p>
    <w:p w14:paraId="753D8EDB">
      <w:pPr>
        <w:spacing w:line="500" w:lineRule="exact"/>
        <w:ind w:firstLine="480" w:firstLineChars="200"/>
        <w:rPr>
          <w:rFonts w:ascii="宋体" w:hAnsi="宋体"/>
          <w:highlight w:val="none"/>
        </w:rPr>
      </w:pPr>
      <w:r>
        <w:rPr>
          <w:rFonts w:hint="eastAsia" w:ascii="宋体" w:hAnsi="宋体"/>
          <w:highlight w:val="none"/>
        </w:rPr>
        <w:t>2.2</w:t>
      </w:r>
      <w:r>
        <w:rPr>
          <w:rFonts w:hint="eastAsia" w:ascii="宋体" w:hAnsi="宋体"/>
          <w:bCs/>
          <w:highlight w:val="none"/>
        </w:rPr>
        <w:t xml:space="preserve"> 交易中心可以按照规定，通过修改磋商文件酌情延长递交磋商文件截止时间，在此情况下，供应商的所有权利和义务以及供应商受制的截止时间均应以延长后新的截止时间为准。</w:t>
      </w:r>
    </w:p>
    <w:p w14:paraId="69289FFC">
      <w:pPr>
        <w:tabs>
          <w:tab w:val="left" w:pos="900"/>
        </w:tabs>
        <w:spacing w:line="560" w:lineRule="exact"/>
        <w:ind w:firstLine="480" w:firstLineChars="200"/>
        <w:rPr>
          <w:rFonts w:ascii="宋体" w:hAnsi="宋体"/>
          <w:highlight w:val="none"/>
        </w:rPr>
      </w:pPr>
      <w:bookmarkStart w:id="62" w:name="_Hlt26954860"/>
      <w:bookmarkEnd w:id="62"/>
      <w:bookmarkStart w:id="63" w:name="_Toc61149565"/>
      <w:bookmarkStart w:id="64" w:name="_Toc14577365"/>
      <w:bookmarkStart w:id="65" w:name="_Toc513029227"/>
      <w:r>
        <w:rPr>
          <w:rFonts w:hint="eastAsia" w:ascii="宋体" w:hAnsi="宋体"/>
          <w:highlight w:val="none"/>
        </w:rPr>
        <w:t>3.迟交的响应文件</w:t>
      </w:r>
      <w:bookmarkEnd w:id="63"/>
      <w:bookmarkEnd w:id="64"/>
      <w:bookmarkEnd w:id="65"/>
    </w:p>
    <w:p w14:paraId="2332810D">
      <w:pPr>
        <w:tabs>
          <w:tab w:val="left" w:pos="900"/>
        </w:tabs>
        <w:spacing w:line="560" w:lineRule="exact"/>
        <w:ind w:firstLine="480" w:firstLineChars="200"/>
        <w:rPr>
          <w:rFonts w:ascii="宋体" w:hAnsi="宋体"/>
          <w:highlight w:val="none"/>
        </w:rPr>
      </w:pPr>
      <w:r>
        <w:rPr>
          <w:rFonts w:hint="eastAsia" w:ascii="宋体" w:hAnsi="宋体"/>
          <w:highlight w:val="none"/>
        </w:rPr>
        <w:t>新疆维吾尔自治区公共资源交易中心将拒绝在规定的响应文件接收截止时间后接收响应文件。</w:t>
      </w:r>
    </w:p>
    <w:p w14:paraId="357FFE51">
      <w:pPr>
        <w:tabs>
          <w:tab w:val="left" w:pos="900"/>
        </w:tabs>
        <w:spacing w:line="560" w:lineRule="exact"/>
        <w:ind w:firstLine="480" w:firstLineChars="200"/>
        <w:rPr>
          <w:rFonts w:ascii="宋体" w:hAnsi="宋体"/>
          <w:highlight w:val="none"/>
        </w:rPr>
      </w:pPr>
      <w:bookmarkStart w:id="66" w:name="_Hlt26954754"/>
      <w:bookmarkEnd w:id="66"/>
      <w:bookmarkStart w:id="67" w:name="_Hlt26954862"/>
      <w:bookmarkEnd w:id="67"/>
      <w:bookmarkStart w:id="68" w:name="_Toc513029228"/>
      <w:bookmarkStart w:id="69" w:name="_Toc14577366"/>
      <w:bookmarkStart w:id="70" w:name="_Toc61149566"/>
      <w:r>
        <w:rPr>
          <w:rFonts w:hint="eastAsia" w:ascii="宋体" w:hAnsi="宋体"/>
          <w:highlight w:val="none"/>
        </w:rPr>
        <w:t>4.响应文件</w:t>
      </w:r>
      <w:bookmarkStart w:id="71" w:name="_Hlt26670588"/>
      <w:r>
        <w:rPr>
          <w:rFonts w:hint="eastAsia" w:ascii="宋体" w:hAnsi="宋体"/>
          <w:highlight w:val="none"/>
        </w:rPr>
        <w:t>的修改</w:t>
      </w:r>
      <w:bookmarkEnd w:id="71"/>
      <w:r>
        <w:rPr>
          <w:rFonts w:hint="eastAsia" w:ascii="宋体" w:hAnsi="宋体"/>
          <w:highlight w:val="none"/>
        </w:rPr>
        <w:t>和撤回</w:t>
      </w:r>
      <w:bookmarkEnd w:id="68"/>
      <w:bookmarkEnd w:id="69"/>
      <w:bookmarkEnd w:id="70"/>
    </w:p>
    <w:p w14:paraId="697778F2">
      <w:pPr>
        <w:tabs>
          <w:tab w:val="left" w:pos="900"/>
        </w:tabs>
        <w:spacing w:line="560" w:lineRule="exact"/>
        <w:ind w:firstLine="480" w:firstLineChars="200"/>
        <w:rPr>
          <w:rFonts w:ascii="宋体" w:hAnsi="宋体"/>
          <w:highlight w:val="none"/>
        </w:rPr>
      </w:pPr>
      <w:r>
        <w:rPr>
          <w:rFonts w:hint="eastAsia" w:ascii="宋体" w:hAnsi="宋体"/>
          <w:highlight w:val="none"/>
        </w:rPr>
        <w:t>4.1响应文件的撤回</w:t>
      </w:r>
    </w:p>
    <w:p w14:paraId="0CE3A8E5">
      <w:pPr>
        <w:tabs>
          <w:tab w:val="left" w:pos="900"/>
        </w:tabs>
        <w:spacing w:line="560" w:lineRule="exact"/>
        <w:ind w:firstLine="480" w:firstLineChars="200"/>
        <w:rPr>
          <w:rFonts w:ascii="宋体" w:hAnsi="宋体"/>
          <w:highlight w:val="none"/>
        </w:rPr>
      </w:pPr>
      <w:r>
        <w:rPr>
          <w:rFonts w:hint="eastAsia" w:ascii="宋体" w:hAnsi="宋体"/>
          <w:highlight w:val="none"/>
        </w:rPr>
        <w:t>4.1.1 电子响应文件的撤回</w:t>
      </w:r>
    </w:p>
    <w:p w14:paraId="0BEBF229">
      <w:pPr>
        <w:tabs>
          <w:tab w:val="left" w:pos="900"/>
        </w:tabs>
        <w:spacing w:line="560" w:lineRule="exact"/>
        <w:ind w:firstLine="480" w:firstLineChars="200"/>
        <w:rPr>
          <w:rFonts w:ascii="宋体" w:hAnsi="宋体"/>
          <w:highlight w:val="none"/>
        </w:rPr>
      </w:pPr>
      <w:r>
        <w:rPr>
          <w:rFonts w:hint="eastAsia" w:ascii="宋体" w:hAnsi="宋体"/>
          <w:highlight w:val="none"/>
        </w:rPr>
        <w:t>供应商可在递交磋商文件截止时间前，撤回其电子响应文件。</w:t>
      </w:r>
    </w:p>
    <w:p w14:paraId="0674F0E0">
      <w:pPr>
        <w:tabs>
          <w:tab w:val="left" w:pos="900"/>
        </w:tabs>
        <w:spacing w:line="560" w:lineRule="exact"/>
        <w:ind w:firstLine="480" w:firstLineChars="200"/>
        <w:rPr>
          <w:rFonts w:ascii="宋体" w:hAnsi="宋体"/>
          <w:highlight w:val="none"/>
        </w:rPr>
      </w:pPr>
      <w:r>
        <w:rPr>
          <w:rFonts w:hint="eastAsia" w:ascii="宋体" w:hAnsi="宋体"/>
          <w:highlight w:val="none"/>
        </w:rPr>
        <w:t>4.1.2 供应商撤回电子响应文件，则认为其不再参与本项目磋商活动。</w:t>
      </w:r>
    </w:p>
    <w:p w14:paraId="65EBA044">
      <w:pPr>
        <w:tabs>
          <w:tab w:val="left" w:pos="900"/>
        </w:tabs>
        <w:spacing w:line="560" w:lineRule="exact"/>
        <w:ind w:firstLine="480" w:firstLineChars="200"/>
        <w:rPr>
          <w:rFonts w:ascii="宋体" w:hAnsi="宋体"/>
          <w:highlight w:val="none"/>
        </w:rPr>
      </w:pPr>
      <w:r>
        <w:rPr>
          <w:rFonts w:hint="eastAsia" w:ascii="宋体" w:hAnsi="宋体"/>
          <w:highlight w:val="none"/>
        </w:rPr>
        <w:t>4.2响应文件的修改</w:t>
      </w:r>
    </w:p>
    <w:p w14:paraId="793B7DD4">
      <w:pPr>
        <w:tabs>
          <w:tab w:val="left" w:pos="900"/>
        </w:tabs>
        <w:spacing w:line="560" w:lineRule="exact"/>
        <w:ind w:firstLine="480" w:firstLineChars="200"/>
        <w:rPr>
          <w:rFonts w:ascii="宋体" w:hAnsi="宋体"/>
          <w:highlight w:val="none"/>
        </w:rPr>
      </w:pPr>
      <w:r>
        <w:rPr>
          <w:rFonts w:hint="eastAsia" w:ascii="宋体" w:hAnsi="宋体"/>
          <w:highlight w:val="none"/>
        </w:rPr>
        <w:t>供应商可在递交磋商文件截止时间前，对其电子响应文件进行撤回并修改，并将修改后的文件重新上传。</w:t>
      </w:r>
    </w:p>
    <w:p w14:paraId="7879E181">
      <w:pPr>
        <w:tabs>
          <w:tab w:val="left" w:pos="900"/>
        </w:tabs>
        <w:spacing w:line="560" w:lineRule="exact"/>
        <w:ind w:firstLine="480" w:firstLineChars="200"/>
        <w:rPr>
          <w:rFonts w:ascii="宋体" w:hAnsi="宋体"/>
          <w:highlight w:val="none"/>
        </w:rPr>
      </w:pPr>
      <w:r>
        <w:rPr>
          <w:rFonts w:hint="eastAsia" w:ascii="宋体" w:hAnsi="宋体"/>
          <w:highlight w:val="none"/>
        </w:rPr>
        <w:t>4.3在递交磋商文件截止时间之后，供应商不得对其电子响应文件作任何修改。</w:t>
      </w:r>
    </w:p>
    <w:p w14:paraId="154D794F">
      <w:pPr>
        <w:tabs>
          <w:tab w:val="left" w:pos="900"/>
        </w:tabs>
        <w:spacing w:line="560" w:lineRule="exact"/>
        <w:ind w:firstLine="480" w:firstLineChars="200"/>
        <w:rPr>
          <w:rFonts w:ascii="宋体" w:hAnsi="宋体"/>
          <w:highlight w:val="none"/>
        </w:rPr>
      </w:pPr>
      <w:r>
        <w:rPr>
          <w:rFonts w:hint="eastAsia" w:ascii="宋体" w:hAnsi="宋体"/>
          <w:highlight w:val="none"/>
        </w:rPr>
        <w:t>4.4在递交磋商文件截止时间至磋商文件中规定的响应有效期满之间的这段时间内，供应商不得撤回其响应，否则其磋商保证金将不予退还（如果收取）。</w:t>
      </w:r>
    </w:p>
    <w:p w14:paraId="62FF9CA9">
      <w:pPr>
        <w:tabs>
          <w:tab w:val="left" w:pos="900"/>
        </w:tabs>
        <w:spacing w:line="560" w:lineRule="exact"/>
        <w:ind w:firstLine="480" w:firstLineChars="200"/>
        <w:rPr>
          <w:rFonts w:ascii="宋体" w:hAnsi="宋体"/>
          <w:highlight w:val="none"/>
        </w:rPr>
      </w:pPr>
      <w:r>
        <w:rPr>
          <w:rFonts w:hint="eastAsia" w:ascii="宋体" w:hAnsi="宋体"/>
          <w:highlight w:val="none"/>
        </w:rPr>
        <w:t>5.磋商响应有效期</w:t>
      </w:r>
    </w:p>
    <w:p w14:paraId="1BB440A4">
      <w:pPr>
        <w:tabs>
          <w:tab w:val="left" w:pos="900"/>
        </w:tabs>
        <w:spacing w:line="560" w:lineRule="exact"/>
        <w:ind w:firstLine="480" w:firstLineChars="200"/>
        <w:rPr>
          <w:rFonts w:ascii="宋体" w:hAnsi="宋体"/>
          <w:highlight w:val="none"/>
        </w:rPr>
      </w:pPr>
      <w:r>
        <w:rPr>
          <w:rFonts w:hint="eastAsia" w:ascii="宋体" w:hAnsi="宋体"/>
          <w:highlight w:val="none"/>
        </w:rPr>
        <w:t>5.1磋商响应有效期为新疆维吾尔自治区公共资源交易中心规定的响应文件接收截止时间后</w:t>
      </w:r>
      <w:r>
        <w:rPr>
          <w:rFonts w:hint="eastAsia" w:ascii="宋体" w:hAnsi="宋体"/>
          <w:i/>
          <w:iCs/>
          <w:highlight w:val="none"/>
          <w:u w:val="single"/>
        </w:rPr>
        <w:t>120</w:t>
      </w:r>
      <w:r>
        <w:rPr>
          <w:rFonts w:hint="eastAsia" w:ascii="宋体" w:hAnsi="宋体"/>
          <w:highlight w:val="none"/>
        </w:rPr>
        <w:t>天。磋商响应有效期比规定短的将被视为非实质性响应而予以拒绝。</w:t>
      </w:r>
    </w:p>
    <w:p w14:paraId="0BAEFFAB">
      <w:pPr>
        <w:tabs>
          <w:tab w:val="left" w:pos="900"/>
        </w:tabs>
        <w:spacing w:line="560" w:lineRule="exact"/>
        <w:ind w:firstLine="480" w:firstLineChars="200"/>
        <w:rPr>
          <w:rFonts w:ascii="宋体" w:hAnsi="宋体"/>
          <w:highlight w:val="none"/>
        </w:rPr>
      </w:pPr>
      <w:r>
        <w:rPr>
          <w:rFonts w:hint="eastAsia" w:ascii="宋体" w:hAnsi="宋体"/>
          <w:highlight w:val="none"/>
        </w:rPr>
        <w:t>5.2在特殊情况下，新疆维吾尔自治区公共资源交易中心于原磋商响应有效期满之前，可向磋商供应商提出延长磋商响应有效期的要求。这种要求与答复均应采用书面形式。磋商供应商可以拒绝新疆维吾尔自治区公共资源交易中心的这一要求而放弃磋商响应，新疆维吾尔自治区公共资源交易中心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74029B1C">
      <w:pPr>
        <w:pStyle w:val="20"/>
        <w:spacing w:line="560" w:lineRule="exact"/>
        <w:ind w:firstLine="480" w:firstLineChars="200"/>
        <w:outlineLvl w:val="1"/>
        <w:rPr>
          <w:rFonts w:ascii="宋体" w:hAnsi="宋体" w:eastAsia="宋体"/>
          <w:b/>
          <w:sz w:val="24"/>
          <w:szCs w:val="24"/>
          <w:highlight w:val="none"/>
        </w:rPr>
      </w:pPr>
      <w:bookmarkStart w:id="72" w:name="_Hlt26954864"/>
      <w:bookmarkEnd w:id="72"/>
      <w:bookmarkStart w:id="73" w:name="_Hlt26670523"/>
      <w:bookmarkEnd w:id="73"/>
      <w:r>
        <w:rPr>
          <w:rFonts w:hint="eastAsia" w:ascii="宋体" w:hAnsi="宋体" w:eastAsia="宋体"/>
          <w:b/>
          <w:sz w:val="24"/>
          <w:szCs w:val="24"/>
          <w:highlight w:val="none"/>
        </w:rPr>
        <w:t>四、磋商与评审</w:t>
      </w:r>
    </w:p>
    <w:p w14:paraId="71DA7810">
      <w:pPr>
        <w:tabs>
          <w:tab w:val="left" w:pos="900"/>
        </w:tabs>
        <w:spacing w:line="560" w:lineRule="exact"/>
        <w:ind w:firstLine="480" w:firstLineChars="200"/>
        <w:rPr>
          <w:rFonts w:ascii="宋体" w:hAnsi="宋体"/>
          <w:highlight w:val="none"/>
        </w:rPr>
      </w:pPr>
      <w:bookmarkStart w:id="74" w:name="_Toc16938546"/>
      <w:bookmarkStart w:id="75" w:name="_Toc20823302"/>
      <w:bookmarkStart w:id="76" w:name="_Toc513029230"/>
      <w:r>
        <w:rPr>
          <w:rFonts w:hint="eastAsia" w:ascii="宋体" w:hAnsi="宋体"/>
          <w:highlight w:val="none"/>
        </w:rPr>
        <w:t>1</w:t>
      </w:r>
      <w:bookmarkEnd w:id="74"/>
      <w:bookmarkEnd w:id="75"/>
      <w:bookmarkEnd w:id="76"/>
      <w:r>
        <w:rPr>
          <w:rFonts w:hint="eastAsia" w:ascii="宋体" w:hAnsi="宋体"/>
          <w:highlight w:val="none"/>
        </w:rPr>
        <w:t>.磋商流程</w:t>
      </w:r>
    </w:p>
    <w:p w14:paraId="606EF32A">
      <w:pPr>
        <w:tabs>
          <w:tab w:val="left" w:pos="900"/>
        </w:tabs>
        <w:spacing w:line="560" w:lineRule="exact"/>
        <w:ind w:firstLine="480" w:firstLineChars="200"/>
        <w:rPr>
          <w:rFonts w:ascii="宋体" w:hAnsi="宋体"/>
          <w:highlight w:val="none"/>
        </w:rPr>
      </w:pPr>
      <w:r>
        <w:rPr>
          <w:rFonts w:hint="eastAsia" w:ascii="宋体" w:hAnsi="宋体"/>
          <w:highlight w:val="none"/>
        </w:rPr>
        <w:t>1.1新疆维吾尔自治区公共资源交易中心将在磋商邀请中规定的时间和地点组织磋商开始磋商。</w:t>
      </w:r>
    </w:p>
    <w:p w14:paraId="4F75868F">
      <w:pPr>
        <w:pStyle w:val="2"/>
        <w:ind w:left="0" w:firstLine="480" w:firstLineChars="200"/>
        <w:rPr>
          <w:rFonts w:ascii="宋体" w:hAnsi="宋体"/>
          <w:highlight w:val="none"/>
        </w:rPr>
      </w:pPr>
      <w:r>
        <w:rPr>
          <w:rFonts w:hint="eastAsia" w:ascii="宋体" w:hAnsi="宋体"/>
          <w:highlight w:val="none"/>
        </w:rPr>
        <w:t>1.2磋商流程由交易中心组织。“新疆政府采购云平台平台不见面开标大厅”系统将自动对项目进行磋商流程，并单独向各供应商公布其《磋商报价一览表》。</w:t>
      </w:r>
    </w:p>
    <w:p w14:paraId="403EC8DD">
      <w:pPr>
        <w:pStyle w:val="2"/>
        <w:ind w:left="0" w:firstLine="480" w:firstLineChars="200"/>
        <w:rPr>
          <w:rFonts w:ascii="宋体" w:hAnsi="宋体"/>
          <w:highlight w:val="none"/>
        </w:rPr>
      </w:pPr>
      <w:r>
        <w:rPr>
          <w:rFonts w:hint="eastAsia" w:ascii="宋体" w:hAnsi="宋体"/>
          <w:highlight w:val="none"/>
        </w:rPr>
        <w:t>1.3</w:t>
      </w:r>
      <w:r>
        <w:rPr>
          <w:rFonts w:hint="eastAsia" w:ascii="宋体" w:hAnsi="宋体"/>
          <w:szCs w:val="24"/>
          <w:highlight w:val="none"/>
        </w:rPr>
        <w:t>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r>
        <w:rPr>
          <w:rFonts w:hint="eastAsia" w:ascii="宋体" w:hAnsi="宋体"/>
          <w:highlight w:val="none"/>
        </w:rPr>
        <w:t xml:space="preserve">。    </w:t>
      </w:r>
    </w:p>
    <w:p w14:paraId="2C4F7D48">
      <w:pPr>
        <w:pStyle w:val="2"/>
        <w:ind w:left="0" w:firstLine="480" w:firstLineChars="200"/>
        <w:rPr>
          <w:rFonts w:ascii="宋体" w:hAnsi="宋体"/>
          <w:highlight w:val="none"/>
        </w:rPr>
      </w:pPr>
      <w:r>
        <w:rPr>
          <w:rFonts w:hint="eastAsia" w:ascii="宋体" w:hAnsi="宋体"/>
          <w:highlight w:val="none"/>
        </w:rPr>
        <w:t>2.磋商小组</w:t>
      </w:r>
    </w:p>
    <w:p w14:paraId="29F5EFD1">
      <w:pPr>
        <w:tabs>
          <w:tab w:val="left" w:pos="900"/>
        </w:tabs>
        <w:spacing w:line="560" w:lineRule="exact"/>
        <w:ind w:firstLine="480" w:firstLineChars="200"/>
        <w:rPr>
          <w:rFonts w:ascii="宋体" w:hAnsi="宋体"/>
          <w:highlight w:val="none"/>
        </w:rPr>
      </w:pPr>
      <w:r>
        <w:rPr>
          <w:rFonts w:hint="eastAsia" w:ascii="宋体" w:hAnsi="宋体"/>
          <w:highlight w:val="none"/>
        </w:rPr>
        <w:t>2.1磋商开标流程结束后，新疆维吾尔自治区公共资源交易中心将立即组织磋商小组进行评审。</w:t>
      </w:r>
    </w:p>
    <w:p w14:paraId="7F80DBD5">
      <w:pPr>
        <w:tabs>
          <w:tab w:val="left" w:pos="900"/>
        </w:tabs>
        <w:spacing w:line="560" w:lineRule="exact"/>
        <w:ind w:firstLine="480" w:firstLineChars="200"/>
        <w:rPr>
          <w:rFonts w:ascii="宋体" w:hAnsi="宋体"/>
          <w:highlight w:val="none"/>
        </w:rPr>
      </w:pPr>
      <w:r>
        <w:rPr>
          <w:rFonts w:hint="eastAsia" w:ascii="宋体" w:hAnsi="宋体"/>
          <w:highlight w:val="none"/>
        </w:rPr>
        <w:t>2.2磋商小组由政府采购评审专家、采购人代表组成，且人员构成符合政府采购有关法律规定。</w:t>
      </w:r>
    </w:p>
    <w:p w14:paraId="72872332">
      <w:pPr>
        <w:tabs>
          <w:tab w:val="left" w:pos="900"/>
        </w:tabs>
        <w:spacing w:line="560" w:lineRule="exact"/>
        <w:ind w:firstLine="480" w:firstLineChars="200"/>
        <w:rPr>
          <w:rFonts w:ascii="宋体" w:hAnsi="宋体"/>
          <w:highlight w:val="none"/>
        </w:rPr>
      </w:pPr>
      <w:r>
        <w:rPr>
          <w:rFonts w:hint="eastAsia" w:ascii="宋体" w:hAnsi="宋体"/>
          <w:highlight w:val="none"/>
        </w:rPr>
        <w:t>3.磋商评审过程的保密与公正</w:t>
      </w:r>
    </w:p>
    <w:p w14:paraId="3E7C4775">
      <w:pPr>
        <w:tabs>
          <w:tab w:val="left" w:pos="900"/>
        </w:tabs>
        <w:spacing w:line="560" w:lineRule="exact"/>
        <w:ind w:firstLine="480" w:firstLineChars="200"/>
        <w:rPr>
          <w:rFonts w:ascii="宋体" w:hAnsi="宋体"/>
          <w:highlight w:val="none"/>
        </w:rPr>
      </w:pPr>
      <w:r>
        <w:rPr>
          <w:rFonts w:hint="eastAsia" w:ascii="宋体" w:hAnsi="宋体"/>
          <w:highlight w:val="none"/>
        </w:rPr>
        <w:t>3.1磋商小组、采购人和新疆维吾尔自治区公共资源交易中心工作人员、相关监督人员等与评审工作有关的人员，对评审情况以及在评审过程中获悉的国家秘密、商业秘密负有保密责任。</w:t>
      </w:r>
    </w:p>
    <w:p w14:paraId="15A15F9F">
      <w:pPr>
        <w:tabs>
          <w:tab w:val="left" w:pos="900"/>
        </w:tabs>
        <w:spacing w:line="560" w:lineRule="exact"/>
        <w:ind w:firstLine="480" w:firstLineChars="200"/>
        <w:rPr>
          <w:rFonts w:ascii="宋体" w:hAnsi="宋体"/>
          <w:highlight w:val="none"/>
        </w:rPr>
      </w:pPr>
      <w:r>
        <w:rPr>
          <w:rFonts w:hint="eastAsia" w:ascii="宋体" w:hAnsi="宋体"/>
          <w:highlight w:val="none"/>
        </w:rPr>
        <w:t>3.2在磋商评审过程中，磋商供应商不得以任何行为影响磋商评审过程，否则其响应文件将被作为无效响应文件。</w:t>
      </w:r>
    </w:p>
    <w:p w14:paraId="74362EE9">
      <w:pPr>
        <w:tabs>
          <w:tab w:val="left" w:pos="900"/>
        </w:tabs>
        <w:spacing w:line="560" w:lineRule="exact"/>
        <w:ind w:firstLine="480" w:firstLineChars="200"/>
        <w:rPr>
          <w:rFonts w:ascii="宋体" w:hAnsi="宋体"/>
          <w:highlight w:val="none"/>
        </w:rPr>
      </w:pPr>
      <w:r>
        <w:rPr>
          <w:rFonts w:hint="eastAsia" w:ascii="宋体" w:hAnsi="宋体"/>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D70610E">
      <w:pPr>
        <w:tabs>
          <w:tab w:val="left" w:pos="900"/>
        </w:tabs>
        <w:spacing w:line="560" w:lineRule="exact"/>
        <w:ind w:firstLine="480" w:firstLineChars="200"/>
        <w:rPr>
          <w:rFonts w:ascii="宋体" w:hAnsi="宋体"/>
          <w:highlight w:val="none"/>
        </w:rPr>
      </w:pPr>
      <w:bookmarkStart w:id="77" w:name="_Toc513029232"/>
      <w:bookmarkStart w:id="78" w:name="_Toc20823304"/>
      <w:bookmarkStart w:id="79" w:name="_Toc16938548"/>
      <w:r>
        <w:rPr>
          <w:rFonts w:hint="eastAsia" w:ascii="宋体" w:hAnsi="宋体"/>
          <w:highlight w:val="none"/>
        </w:rPr>
        <w:t>4.评审过程的澄清</w:t>
      </w:r>
      <w:bookmarkEnd w:id="77"/>
      <w:bookmarkEnd w:id="78"/>
      <w:bookmarkEnd w:id="79"/>
      <w:r>
        <w:rPr>
          <w:rFonts w:hint="eastAsia" w:ascii="宋体" w:hAnsi="宋体"/>
          <w:highlight w:val="none"/>
        </w:rPr>
        <w:t>、说明和更正</w:t>
      </w:r>
    </w:p>
    <w:p w14:paraId="3412C389">
      <w:pPr>
        <w:tabs>
          <w:tab w:val="left" w:pos="900"/>
        </w:tabs>
        <w:spacing w:line="560" w:lineRule="exact"/>
        <w:ind w:firstLine="480" w:firstLineChars="200"/>
        <w:rPr>
          <w:rFonts w:ascii="宋体" w:hAnsi="宋体"/>
          <w:highlight w:val="none"/>
        </w:rPr>
      </w:pPr>
      <w:r>
        <w:rPr>
          <w:rFonts w:hint="eastAsia" w:ascii="宋体" w:hAnsi="宋体"/>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892C1E">
      <w:pPr>
        <w:tabs>
          <w:tab w:val="left" w:pos="900"/>
        </w:tabs>
        <w:spacing w:line="560" w:lineRule="exact"/>
        <w:ind w:firstLine="480" w:firstLineChars="200"/>
        <w:rPr>
          <w:rFonts w:ascii="宋体" w:hAnsi="宋体"/>
          <w:highlight w:val="none"/>
        </w:rPr>
      </w:pPr>
      <w:r>
        <w:rPr>
          <w:rFonts w:hint="eastAsia" w:ascii="宋体" w:hAnsi="宋体"/>
          <w:highlight w:val="none"/>
        </w:rPr>
        <w:t>4.2接到磋商小组澄清要求的供应商应派人按磋商小组通知的时间做出澄清、说明或更正。</w:t>
      </w:r>
    </w:p>
    <w:p w14:paraId="62BF5D84">
      <w:pPr>
        <w:tabs>
          <w:tab w:val="left" w:pos="900"/>
        </w:tabs>
        <w:spacing w:line="560" w:lineRule="exact"/>
        <w:ind w:firstLine="480" w:firstLineChars="200"/>
        <w:rPr>
          <w:rFonts w:ascii="宋体" w:hAnsi="宋体"/>
          <w:highlight w:val="none"/>
        </w:rPr>
      </w:pPr>
      <w:r>
        <w:rPr>
          <w:rFonts w:hint="eastAsia" w:ascii="宋体" w:hAnsi="宋体"/>
          <w:highlight w:val="none"/>
        </w:rPr>
        <w:t>4.3接到磋商小组澄清要求的供应商如未按规定作出澄清，其结果由供应商自行承担。</w:t>
      </w:r>
    </w:p>
    <w:p w14:paraId="1492CB73">
      <w:pPr>
        <w:tabs>
          <w:tab w:val="left" w:pos="900"/>
        </w:tabs>
        <w:spacing w:line="560" w:lineRule="exact"/>
        <w:ind w:firstLine="480" w:firstLineChars="200"/>
        <w:rPr>
          <w:rFonts w:ascii="宋体" w:hAnsi="宋体"/>
          <w:highlight w:val="none"/>
        </w:rPr>
      </w:pPr>
      <w:bookmarkStart w:id="80" w:name="_Toc20823305"/>
      <w:bookmarkStart w:id="81" w:name="_Toc16938549"/>
      <w:bookmarkStart w:id="82" w:name="_Toc513029233"/>
      <w:r>
        <w:rPr>
          <w:rFonts w:hint="eastAsia" w:ascii="宋体" w:hAnsi="宋体"/>
          <w:highlight w:val="none"/>
        </w:rPr>
        <w:t>5.对响应文件的初审</w:t>
      </w:r>
      <w:bookmarkEnd w:id="80"/>
      <w:bookmarkEnd w:id="81"/>
      <w:bookmarkEnd w:id="82"/>
    </w:p>
    <w:p w14:paraId="68085BE7">
      <w:pPr>
        <w:tabs>
          <w:tab w:val="left" w:pos="900"/>
        </w:tabs>
        <w:spacing w:line="560" w:lineRule="exact"/>
        <w:ind w:firstLine="480" w:firstLineChars="200"/>
        <w:rPr>
          <w:rFonts w:ascii="宋体" w:hAnsi="宋体"/>
          <w:highlight w:val="none"/>
        </w:rPr>
      </w:pPr>
      <w:r>
        <w:rPr>
          <w:rFonts w:hint="eastAsia" w:ascii="宋体" w:hAnsi="宋体"/>
          <w:highlight w:val="none"/>
        </w:rPr>
        <w:t>5.1响应文件初审分为资格性检查和符合性检查。</w:t>
      </w:r>
    </w:p>
    <w:p w14:paraId="3F3A9A6C">
      <w:pPr>
        <w:tabs>
          <w:tab w:val="left" w:pos="900"/>
        </w:tabs>
        <w:spacing w:line="560" w:lineRule="exact"/>
        <w:ind w:firstLine="480" w:firstLineChars="200"/>
        <w:rPr>
          <w:rFonts w:ascii="宋体" w:hAnsi="宋体"/>
          <w:highlight w:val="none"/>
        </w:rPr>
      </w:pPr>
      <w:r>
        <w:rPr>
          <w:rFonts w:hint="eastAsia" w:ascii="宋体" w:hAnsi="宋体"/>
          <w:highlight w:val="none"/>
        </w:rPr>
        <w:t>资格性检查：依据法律法规和磋商文件的规定，对响应文件中的资信证明文件进行审查，以确定供应商是否具备参加磋商的资格。</w:t>
      </w:r>
    </w:p>
    <w:p w14:paraId="566A2809">
      <w:pPr>
        <w:tabs>
          <w:tab w:val="left" w:pos="900"/>
        </w:tabs>
        <w:spacing w:line="560" w:lineRule="exact"/>
        <w:ind w:firstLine="480" w:firstLineChars="200"/>
        <w:rPr>
          <w:rFonts w:ascii="宋体" w:hAnsi="宋体"/>
          <w:highlight w:val="none"/>
        </w:rPr>
      </w:pPr>
      <w:r>
        <w:rPr>
          <w:rFonts w:hint="eastAsia" w:ascii="宋体" w:hAnsi="宋体"/>
          <w:highlight w:val="none"/>
        </w:rPr>
        <w:t>磋商小组在进行资格性审查的同时，将在“信用中国”网站（www.creditchina.gov.cn）、</w:t>
      </w:r>
      <w:r>
        <w:rPr>
          <w:rFonts w:hint="eastAsia" w:ascii="宋体" w:hAnsi="宋体"/>
          <w:szCs w:val="24"/>
          <w:highlight w:val="none"/>
        </w:rPr>
        <w:t>“中国政府采购网”(www.ccgp.gov.cn）</w:t>
      </w:r>
      <w:r>
        <w:rPr>
          <w:rFonts w:hint="eastAsia" w:ascii="宋体" w:hAnsi="宋体"/>
          <w:highlight w:val="none"/>
        </w:rPr>
        <w:t>对供应商是否被列入失信被执行人、重大税收违法案件当事人名单、政府采购严重失信行为记录名单情况进行查询，以确定供应商是否具备参加磋商的资格。查询结果将以网页打印的形式留存并归档。</w:t>
      </w:r>
    </w:p>
    <w:p w14:paraId="5B959B02">
      <w:pPr>
        <w:tabs>
          <w:tab w:val="left" w:pos="900"/>
        </w:tabs>
        <w:spacing w:line="560" w:lineRule="exact"/>
        <w:ind w:firstLine="480" w:firstLineChars="200"/>
        <w:rPr>
          <w:rFonts w:ascii="宋体" w:hAnsi="宋体"/>
          <w:highlight w:val="none"/>
        </w:rPr>
      </w:pPr>
      <w:r>
        <w:rPr>
          <w:rFonts w:hint="eastAsia" w:ascii="宋体" w:hAnsi="宋体"/>
          <w:highlight w:val="none"/>
        </w:rPr>
        <w:t>符合性检查：依据磋商文件的规定，从响应文件的有效性、完整性和对磋商文件的响应程度进行审查，以确定是否对磋商文件的实质性要求作出响应。</w:t>
      </w:r>
    </w:p>
    <w:p w14:paraId="2400AFBD">
      <w:pPr>
        <w:tabs>
          <w:tab w:val="left" w:pos="900"/>
        </w:tabs>
        <w:spacing w:line="560" w:lineRule="exact"/>
        <w:ind w:firstLine="480" w:firstLineChars="200"/>
        <w:rPr>
          <w:rFonts w:ascii="宋体" w:hAnsi="宋体"/>
          <w:highlight w:val="none"/>
        </w:rPr>
      </w:pPr>
      <w:r>
        <w:rPr>
          <w:rFonts w:hint="eastAsia" w:ascii="宋体" w:hAnsi="宋体"/>
          <w:highlight w:val="none"/>
        </w:rPr>
        <w:t>5.2在正式磋商评审之前，磋商小组将首先审查每份响应文件是否实质性响应了磋商文件的要求。实质性响应的响应文件应该与磋商文件要求的条款、条件和规格相符，没有重大负偏离或保留。</w:t>
      </w:r>
    </w:p>
    <w:p w14:paraId="0DAA4FE5">
      <w:pPr>
        <w:tabs>
          <w:tab w:val="left" w:pos="900"/>
        </w:tabs>
        <w:spacing w:line="560" w:lineRule="exact"/>
        <w:ind w:firstLine="480" w:firstLineChars="200"/>
        <w:rPr>
          <w:rFonts w:ascii="宋体" w:hAnsi="宋体"/>
          <w:highlight w:val="none"/>
        </w:rPr>
      </w:pPr>
      <w:r>
        <w:rPr>
          <w:rFonts w:hint="eastAsia" w:ascii="宋体" w:hAnsi="宋体"/>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ascii="宋体" w:hAnsi="宋体"/>
          <w:b/>
          <w:highlight w:val="none"/>
        </w:rPr>
        <w:t>重大偏离由磋商小组按照少数服从多数的原则认定。</w:t>
      </w:r>
      <w:r>
        <w:rPr>
          <w:rFonts w:hint="eastAsia" w:ascii="宋体" w:hAnsi="宋体"/>
          <w:highlight w:val="none"/>
        </w:rPr>
        <w:t>磋商小组决定响应文件的响应性只根据响应文件本身的内容，而不寻求外部的证据。</w:t>
      </w:r>
    </w:p>
    <w:p w14:paraId="123F9A40">
      <w:pPr>
        <w:tabs>
          <w:tab w:val="left" w:pos="900"/>
        </w:tabs>
        <w:spacing w:line="560" w:lineRule="exact"/>
        <w:ind w:firstLine="480" w:firstLineChars="200"/>
        <w:rPr>
          <w:rFonts w:ascii="宋体" w:hAnsi="宋体"/>
          <w:highlight w:val="none"/>
        </w:rPr>
      </w:pPr>
      <w:r>
        <w:rPr>
          <w:rFonts w:hint="eastAsia" w:ascii="宋体" w:hAnsi="宋体"/>
          <w:highlight w:val="none"/>
        </w:rPr>
        <w:t>5.3被认定为未实质性响应磋商文件的响应文件的情形：</w:t>
      </w:r>
    </w:p>
    <w:p w14:paraId="277C4436">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（1）报价超预算</w:t>
      </w:r>
    </w:p>
    <w:p w14:paraId="0C985784">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（2）未按照磋商文件规定要求签署、盖章的。</w:t>
      </w:r>
    </w:p>
    <w:p w14:paraId="3ACE1AF6">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（3）供应商在报价时采用选择性报价。</w:t>
      </w:r>
    </w:p>
    <w:p w14:paraId="01E2C1BE">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（4）不符合磋商文件中规定的实质性要求和条件的（本磋商文件中斜体且有下划线部分为实质性要求和条件）。</w:t>
      </w:r>
    </w:p>
    <w:p w14:paraId="421E4DED">
      <w:pPr>
        <w:tabs>
          <w:tab w:val="left" w:pos="900"/>
        </w:tabs>
        <w:spacing w:line="560" w:lineRule="exact"/>
        <w:ind w:firstLine="480" w:firstLineChars="200"/>
        <w:rPr>
          <w:rFonts w:ascii="宋体" w:hAnsi="宋体"/>
          <w:szCs w:val="24"/>
          <w:highlight w:val="none"/>
        </w:rPr>
      </w:pPr>
      <w:r>
        <w:rPr>
          <w:rFonts w:hint="eastAsia" w:ascii="宋体" w:hAnsi="宋体"/>
          <w:szCs w:val="24"/>
          <w:highlight w:val="none"/>
        </w:rPr>
        <w:t>（5）含有采购人不能接受的附加条件的。</w:t>
      </w:r>
    </w:p>
    <w:p w14:paraId="6207B8CB">
      <w:pPr>
        <w:tabs>
          <w:tab w:val="left" w:pos="900"/>
        </w:tabs>
        <w:spacing w:line="560" w:lineRule="exact"/>
        <w:ind w:firstLine="480" w:firstLineChars="200"/>
        <w:rPr>
          <w:rFonts w:ascii="宋体" w:hAnsi="宋体"/>
          <w:highlight w:val="none"/>
        </w:rPr>
      </w:pPr>
      <w:r>
        <w:rPr>
          <w:rFonts w:hint="eastAsia" w:ascii="宋体" w:hAnsi="宋体"/>
          <w:highlight w:val="none"/>
        </w:rPr>
        <w:t>5.4未实质性响应磋商文件的响应文件按无效响应处理，磋商小组将予以拒绝，供应商不得通过修改或撤销不符合要求的偏离或保留而使其响应文件成为实质性响应的文件。</w:t>
      </w:r>
    </w:p>
    <w:p w14:paraId="4D55947A">
      <w:pPr>
        <w:tabs>
          <w:tab w:val="left" w:pos="900"/>
        </w:tabs>
        <w:spacing w:line="560" w:lineRule="exact"/>
        <w:ind w:firstLine="480" w:firstLineChars="200"/>
        <w:rPr>
          <w:rFonts w:ascii="宋体" w:hAnsi="宋体"/>
          <w:highlight w:val="none"/>
        </w:rPr>
      </w:pPr>
      <w:r>
        <w:rPr>
          <w:rFonts w:hint="eastAsia" w:ascii="宋体" w:hAnsi="宋体"/>
          <w:highlight w:val="none"/>
        </w:rPr>
        <w:t>5.5磋商小组将允许修正响应文件中不构成重大负偏离的、微小的、非正规的、不一致的或不规则的地方，但这些修改不能影响任何供应商相应的名次排列。</w:t>
      </w:r>
    </w:p>
    <w:p w14:paraId="3CECEBD0">
      <w:pPr>
        <w:tabs>
          <w:tab w:val="left" w:pos="900"/>
        </w:tabs>
        <w:spacing w:line="560" w:lineRule="exact"/>
        <w:ind w:firstLine="480" w:firstLineChars="200"/>
        <w:rPr>
          <w:rFonts w:ascii="宋体" w:hAnsi="宋体"/>
          <w:highlight w:val="none"/>
        </w:rPr>
      </w:pPr>
      <w:r>
        <w:rPr>
          <w:rFonts w:hint="eastAsia" w:ascii="宋体" w:hAnsi="宋体"/>
          <w:highlight w:val="none"/>
        </w:rPr>
        <w:t>5.6政府采购评审中出现下列情形之一的，评审委员会应当启动异常低价投标（响应）审查程序：</w:t>
      </w:r>
    </w:p>
    <w:p w14:paraId="069E589A">
      <w:pPr>
        <w:tabs>
          <w:tab w:val="left" w:pos="900"/>
        </w:tabs>
        <w:spacing w:line="560" w:lineRule="exact"/>
        <w:ind w:firstLine="480" w:firstLineChars="200"/>
        <w:rPr>
          <w:rFonts w:ascii="宋体" w:hAnsi="宋体"/>
          <w:highlight w:val="none"/>
        </w:rPr>
      </w:pPr>
      <w:r>
        <w:rPr>
          <w:rFonts w:hint="eastAsia" w:ascii="宋体" w:hAnsi="宋体"/>
          <w:highlight w:val="none"/>
        </w:rPr>
        <w:t>（1）投标（响应）报价低于全部通过符合性审查供应商投标（响应）报价平均值50%的，即投标（响应）报价&lt;全部通过符合性审查供应商投标（响应）报价平均值×50%；</w:t>
      </w:r>
    </w:p>
    <w:p w14:paraId="2C81AFF6">
      <w:pPr>
        <w:tabs>
          <w:tab w:val="left" w:pos="900"/>
        </w:tabs>
        <w:spacing w:line="560" w:lineRule="exact"/>
        <w:ind w:firstLine="480" w:firstLineChars="200"/>
        <w:rPr>
          <w:rFonts w:ascii="宋体" w:hAnsi="宋体"/>
          <w:highlight w:val="none"/>
        </w:rPr>
      </w:pPr>
      <w:r>
        <w:rPr>
          <w:rFonts w:hint="eastAsia" w:ascii="宋体" w:hAnsi="宋体"/>
          <w:highlight w:val="none"/>
        </w:rPr>
        <w:t>（2）投标（响应）报价低于通过符合性审查的次低报价供应商投标（响应）报价50%的，即投标（响应）报价&lt;通过符合性审查的次低报价供应商投标（响应）报价×50%；</w:t>
      </w:r>
    </w:p>
    <w:p w14:paraId="766E7E96">
      <w:pPr>
        <w:tabs>
          <w:tab w:val="left" w:pos="900"/>
        </w:tabs>
        <w:spacing w:line="560" w:lineRule="exact"/>
        <w:ind w:firstLine="480" w:firstLineChars="200"/>
        <w:rPr>
          <w:rFonts w:ascii="宋体" w:hAnsi="宋体"/>
          <w:highlight w:val="none"/>
        </w:rPr>
      </w:pPr>
      <w:r>
        <w:rPr>
          <w:rFonts w:hint="eastAsia" w:ascii="宋体" w:hAnsi="宋体"/>
          <w:highlight w:val="none"/>
        </w:rPr>
        <w:t>（3）投标（响应）报价低于采购项目最高限价45%的，即投标（响应）报价&lt;采购项目最高限价×45%；</w:t>
      </w:r>
    </w:p>
    <w:p w14:paraId="1588C0B2">
      <w:pPr>
        <w:tabs>
          <w:tab w:val="left" w:pos="900"/>
        </w:tabs>
        <w:spacing w:line="560" w:lineRule="exact"/>
        <w:ind w:firstLine="480" w:firstLineChars="200"/>
        <w:rPr>
          <w:rFonts w:ascii="宋体" w:hAnsi="宋体"/>
          <w:highlight w:val="none"/>
        </w:rPr>
      </w:pPr>
      <w:r>
        <w:rPr>
          <w:rFonts w:hint="eastAsia" w:ascii="宋体" w:hAnsi="宋体"/>
          <w:highlight w:val="none"/>
        </w:rPr>
        <w:t>（4）评审委员会基于专业判断，认为供应商报价过低，有可能影响产品质量或者不能诚信履约的其他情形。</w:t>
      </w:r>
    </w:p>
    <w:p w14:paraId="6555FD11">
      <w:pPr>
        <w:tabs>
          <w:tab w:val="left" w:pos="900"/>
        </w:tabs>
        <w:spacing w:line="560" w:lineRule="exact"/>
        <w:ind w:firstLine="480" w:firstLineChars="200"/>
        <w:rPr>
          <w:rFonts w:ascii="宋体" w:hAnsi="宋体"/>
          <w:highlight w:val="none"/>
        </w:rPr>
      </w:pPr>
      <w:r>
        <w:rPr>
          <w:rFonts w:hint="eastAsia" w:ascii="宋体" w:hAnsi="宋体"/>
          <w:highlight w:val="none"/>
        </w:rPr>
        <w:t>采购人可以结合具体项目实际情况，提高上述第（1）项至第（3）项中启动异常低价投标（响应）审查的数值标准，但最高不得超过65%。</w:t>
      </w:r>
    </w:p>
    <w:p w14:paraId="097B5860">
      <w:pPr>
        <w:tabs>
          <w:tab w:val="left" w:pos="900"/>
        </w:tabs>
        <w:spacing w:line="560" w:lineRule="exact"/>
        <w:ind w:firstLine="480" w:firstLineChars="200"/>
        <w:rPr>
          <w:rFonts w:ascii="宋体" w:hAnsi="宋体"/>
          <w:highlight w:val="none"/>
        </w:rPr>
      </w:pPr>
      <w:r>
        <w:rPr>
          <w:rFonts w:hint="eastAsia" w:ascii="宋体" w:hAnsi="宋体"/>
          <w:highlight w:val="none"/>
        </w:rPr>
        <w:t>相关法律法规对供应商报价有规定的，从其规定。</w:t>
      </w:r>
    </w:p>
    <w:p w14:paraId="4DE9E66B">
      <w:pPr>
        <w:tabs>
          <w:tab w:val="left" w:pos="900"/>
        </w:tabs>
        <w:spacing w:line="560" w:lineRule="exact"/>
        <w:ind w:firstLine="480" w:firstLineChars="200"/>
        <w:rPr>
          <w:rFonts w:ascii="宋体" w:hAnsi="宋体"/>
          <w:highlight w:val="none"/>
        </w:rPr>
      </w:pPr>
      <w:r>
        <w:rPr>
          <w:rFonts w:hint="eastAsia" w:ascii="宋体" w:hAnsi="宋体"/>
          <w:highlight w:val="none"/>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130DE5">
      <w:pPr>
        <w:tabs>
          <w:tab w:val="left" w:pos="900"/>
        </w:tabs>
        <w:spacing w:line="560" w:lineRule="exact"/>
        <w:ind w:firstLine="480" w:firstLineChars="200"/>
        <w:rPr>
          <w:rFonts w:ascii="宋体" w:hAnsi="宋体"/>
          <w:highlight w:val="none"/>
        </w:rPr>
      </w:pPr>
      <w:r>
        <w:rPr>
          <w:rFonts w:hint="eastAsia" w:ascii="宋体" w:hAnsi="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66E249">
      <w:pPr>
        <w:tabs>
          <w:tab w:val="left" w:pos="900"/>
        </w:tabs>
        <w:spacing w:line="560" w:lineRule="exact"/>
        <w:ind w:firstLine="480" w:firstLineChars="200"/>
        <w:rPr>
          <w:rFonts w:ascii="宋体" w:hAnsi="宋体"/>
          <w:highlight w:val="none"/>
        </w:rPr>
      </w:pPr>
      <w:bookmarkStart w:id="83" w:name="_Toc20823306"/>
      <w:bookmarkStart w:id="84" w:name="_Toc16938550"/>
      <w:bookmarkStart w:id="85" w:name="_Toc513029234"/>
      <w:r>
        <w:rPr>
          <w:rFonts w:hint="eastAsia" w:ascii="宋体" w:hAnsi="宋体"/>
          <w:highlight w:val="none"/>
        </w:rPr>
        <w:t>6.</w:t>
      </w:r>
      <w:bookmarkEnd w:id="83"/>
      <w:bookmarkEnd w:id="84"/>
      <w:bookmarkEnd w:id="85"/>
      <w:r>
        <w:rPr>
          <w:rFonts w:hint="eastAsia" w:ascii="宋体" w:hAnsi="宋体"/>
          <w:highlight w:val="none"/>
        </w:rPr>
        <w:t>磋商程序及评审方法和标准</w:t>
      </w:r>
    </w:p>
    <w:p w14:paraId="6E487888">
      <w:pPr>
        <w:tabs>
          <w:tab w:val="left" w:pos="900"/>
        </w:tabs>
        <w:spacing w:line="560" w:lineRule="exact"/>
        <w:ind w:firstLine="480" w:firstLineChars="200"/>
        <w:rPr>
          <w:rFonts w:ascii="宋体" w:hAnsi="宋体"/>
          <w:highlight w:val="none"/>
        </w:rPr>
      </w:pPr>
      <w:r>
        <w:rPr>
          <w:rFonts w:hint="eastAsia" w:ascii="宋体" w:hAnsi="宋体"/>
          <w:highlight w:val="none"/>
        </w:rPr>
        <w:t>6.1磋商程序</w:t>
      </w:r>
    </w:p>
    <w:p w14:paraId="4B7BDA09">
      <w:pPr>
        <w:tabs>
          <w:tab w:val="left" w:pos="900"/>
        </w:tabs>
        <w:spacing w:line="560" w:lineRule="exact"/>
        <w:ind w:firstLine="480" w:firstLineChars="200"/>
        <w:rPr>
          <w:rFonts w:ascii="宋体" w:hAnsi="宋体"/>
          <w:highlight w:val="none"/>
        </w:rPr>
      </w:pPr>
      <w:r>
        <w:rPr>
          <w:rFonts w:hint="eastAsia" w:ascii="宋体" w:hAnsi="宋体"/>
          <w:highlight w:val="none"/>
        </w:rPr>
        <w:t>6.1.1对于通过资格性和符合性审查的供应商，磋商小组所有成员将集中与单一供应商分别进行磋商。</w:t>
      </w:r>
    </w:p>
    <w:p w14:paraId="11E3AC9A">
      <w:pPr>
        <w:tabs>
          <w:tab w:val="left" w:pos="900"/>
        </w:tabs>
        <w:spacing w:line="560" w:lineRule="exact"/>
        <w:ind w:firstLine="480" w:firstLineChars="200"/>
        <w:rPr>
          <w:rFonts w:ascii="宋体" w:hAnsi="宋体"/>
          <w:highlight w:val="none"/>
        </w:rPr>
      </w:pPr>
      <w:r>
        <w:rPr>
          <w:rFonts w:hint="eastAsia" w:ascii="宋体" w:hAnsi="宋体"/>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7CFB4B39">
      <w:pPr>
        <w:tabs>
          <w:tab w:val="left" w:pos="900"/>
        </w:tabs>
        <w:spacing w:line="560" w:lineRule="exact"/>
        <w:ind w:firstLine="480" w:firstLineChars="200"/>
        <w:rPr>
          <w:rFonts w:ascii="宋体" w:hAnsi="宋体"/>
          <w:highlight w:val="none"/>
        </w:rPr>
      </w:pPr>
      <w:r>
        <w:rPr>
          <w:rFonts w:hint="eastAsia" w:ascii="宋体" w:hAnsi="宋体"/>
          <w:highlight w:val="none"/>
        </w:rPr>
        <w:t>6.1.2磋商文件能够详细列明采购标的的技术、服务要求的，磋商结束后，磋商小组将要求所有实质性响应的供应商在规定时间内提交最终报价。</w:t>
      </w:r>
    </w:p>
    <w:p w14:paraId="2E49FC05">
      <w:pPr>
        <w:tabs>
          <w:tab w:val="left" w:pos="900"/>
        </w:tabs>
        <w:spacing w:line="560" w:lineRule="exact"/>
        <w:ind w:firstLine="480" w:firstLineChars="200"/>
        <w:rPr>
          <w:rFonts w:ascii="宋体" w:hAnsi="宋体"/>
          <w:highlight w:val="none"/>
        </w:rPr>
      </w:pPr>
      <w:r>
        <w:rPr>
          <w:rFonts w:hint="eastAsia" w:ascii="宋体" w:hAnsi="宋体"/>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终报价。</w:t>
      </w:r>
    </w:p>
    <w:p w14:paraId="411EB266">
      <w:pPr>
        <w:tabs>
          <w:tab w:val="left" w:pos="900"/>
        </w:tabs>
        <w:spacing w:line="560" w:lineRule="exact"/>
        <w:ind w:firstLine="480" w:firstLineChars="200"/>
        <w:rPr>
          <w:rFonts w:ascii="宋体" w:hAnsi="宋体"/>
          <w:highlight w:val="none"/>
        </w:rPr>
      </w:pPr>
      <w:r>
        <w:rPr>
          <w:rFonts w:hint="eastAsia" w:ascii="宋体" w:hAnsi="宋体"/>
          <w:highlight w:val="none"/>
        </w:rPr>
        <w:t>最终报价是供应商响应文件的有效组成部分。符合《政府采购竞争性磋商采购方式管理暂行办法》第三条第四项及《财政部关于竞争性磋商采购方式管理暂行办法有关问题的补充通知》（财库〔2015〕124号）规定情形的，提交最终报价的供应商可以为2家。</w:t>
      </w:r>
    </w:p>
    <w:p w14:paraId="023DF83E">
      <w:pPr>
        <w:tabs>
          <w:tab w:val="left" w:pos="900"/>
        </w:tabs>
        <w:spacing w:line="560" w:lineRule="exact"/>
        <w:ind w:firstLine="480" w:firstLineChars="200"/>
        <w:rPr>
          <w:rFonts w:ascii="宋体" w:hAnsi="宋体"/>
          <w:highlight w:val="none"/>
        </w:rPr>
      </w:pPr>
      <w:r>
        <w:rPr>
          <w:rFonts w:hint="eastAsia" w:ascii="宋体" w:hAnsi="宋体"/>
          <w:highlight w:val="none"/>
        </w:rPr>
        <w:t>6.1.3磋商供应商未在磋商小组规定的时间内完成最终报价的视为放弃磋商，其磋商响应按无效响应处理。已提交响应文件的供应商，在提交最终报价之前，可以根据磋商情况退出磋商。新疆维吾尔自治区公共资源交易中心将退还退出磋商的供应商的磋商保证金。</w:t>
      </w:r>
    </w:p>
    <w:p w14:paraId="0C895279">
      <w:pPr>
        <w:tabs>
          <w:tab w:val="left" w:pos="900"/>
        </w:tabs>
        <w:spacing w:line="560" w:lineRule="exact"/>
        <w:ind w:firstLine="480" w:firstLineChars="200"/>
        <w:rPr>
          <w:rFonts w:ascii="宋体" w:hAnsi="宋体"/>
          <w:highlight w:val="none"/>
        </w:rPr>
      </w:pPr>
      <w:r>
        <w:rPr>
          <w:rFonts w:hint="eastAsia" w:ascii="宋体" w:hAnsi="宋体"/>
          <w:highlight w:val="none"/>
        </w:rPr>
        <w:t>6.2评审方法和标准</w:t>
      </w:r>
    </w:p>
    <w:p w14:paraId="5EEB2FCC">
      <w:pPr>
        <w:tabs>
          <w:tab w:val="left" w:pos="900"/>
        </w:tabs>
        <w:spacing w:line="560" w:lineRule="exact"/>
        <w:ind w:firstLine="480" w:firstLineChars="200"/>
        <w:rPr>
          <w:rFonts w:ascii="宋体" w:hAnsi="宋体"/>
          <w:highlight w:val="none"/>
        </w:rPr>
      </w:pPr>
      <w:r>
        <w:rPr>
          <w:rFonts w:hint="eastAsia" w:ascii="宋体" w:hAnsi="宋体"/>
          <w:highlight w:val="none"/>
        </w:rPr>
        <w:t>6.2.1评审方法。经磋商确定最终采购需求和提交最终报价的供应商后，由磋商小组采用综合评分法对提交最终报价的供应商的响应文件和最终报价进行综合评分。</w:t>
      </w:r>
    </w:p>
    <w:p w14:paraId="69175067">
      <w:pPr>
        <w:tabs>
          <w:tab w:val="left" w:pos="900"/>
        </w:tabs>
        <w:spacing w:line="560" w:lineRule="exact"/>
        <w:ind w:firstLine="480" w:firstLineChars="200"/>
        <w:rPr>
          <w:rFonts w:ascii="宋体" w:hAnsi="宋体"/>
          <w:highlight w:val="none"/>
        </w:rPr>
      </w:pPr>
      <w:r>
        <w:rPr>
          <w:rFonts w:hint="eastAsia" w:ascii="宋体" w:hAnsi="宋体"/>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D464271">
      <w:pPr>
        <w:tabs>
          <w:tab w:val="left" w:pos="900"/>
        </w:tabs>
        <w:spacing w:line="560" w:lineRule="exact"/>
        <w:ind w:firstLine="480" w:firstLineChars="200"/>
        <w:rPr>
          <w:rFonts w:ascii="宋体" w:hAnsi="宋体"/>
          <w:highlight w:val="none"/>
        </w:rPr>
      </w:pPr>
      <w:r>
        <w:rPr>
          <w:rFonts w:hint="eastAsia" w:ascii="宋体" w:hAnsi="宋体"/>
          <w:highlight w:val="none"/>
        </w:rPr>
        <w:t>6.2.2评审标准</w:t>
      </w:r>
    </w:p>
    <w:p w14:paraId="0F37C8AB">
      <w:pPr>
        <w:tabs>
          <w:tab w:val="left" w:pos="900"/>
        </w:tabs>
        <w:spacing w:line="560" w:lineRule="exact"/>
        <w:ind w:firstLine="480" w:firstLineChars="200"/>
        <w:rPr>
          <w:rFonts w:ascii="宋体" w:hAnsi="宋体"/>
          <w:highlight w:val="none"/>
        </w:rPr>
      </w:pPr>
      <w:r>
        <w:rPr>
          <w:rFonts w:hint="eastAsia" w:ascii="宋体" w:hAnsi="宋体"/>
          <w:highlight w:val="none"/>
        </w:rPr>
        <w:t>见本磋商文件第五章规定。</w:t>
      </w:r>
    </w:p>
    <w:p w14:paraId="6B8EA170">
      <w:pPr>
        <w:tabs>
          <w:tab w:val="left" w:pos="900"/>
        </w:tabs>
        <w:spacing w:line="560" w:lineRule="exact"/>
        <w:ind w:firstLine="480" w:firstLineChars="200"/>
        <w:rPr>
          <w:rFonts w:ascii="宋体" w:hAnsi="宋体"/>
          <w:highlight w:val="none"/>
        </w:rPr>
      </w:pPr>
      <w:r>
        <w:rPr>
          <w:rFonts w:hint="eastAsia" w:ascii="宋体" w:hAnsi="宋体"/>
          <w:highlight w:val="none"/>
        </w:rPr>
        <w:t>6.3采购活动终止的情况</w:t>
      </w:r>
    </w:p>
    <w:p w14:paraId="16AC8BFD">
      <w:pPr>
        <w:tabs>
          <w:tab w:val="left" w:pos="900"/>
        </w:tabs>
        <w:spacing w:line="560" w:lineRule="exact"/>
        <w:ind w:firstLine="480" w:firstLineChars="200"/>
        <w:rPr>
          <w:rFonts w:ascii="宋体" w:hAnsi="宋体"/>
          <w:highlight w:val="none"/>
        </w:rPr>
      </w:pPr>
      <w:r>
        <w:rPr>
          <w:rFonts w:hint="eastAsia" w:ascii="宋体" w:hAnsi="宋体"/>
          <w:highlight w:val="none"/>
        </w:rPr>
        <w:t>出现下列情形之一的，本次竞争性磋商采购活动将被终止：</w:t>
      </w:r>
    </w:p>
    <w:p w14:paraId="08C62E40">
      <w:pPr>
        <w:tabs>
          <w:tab w:val="left" w:pos="900"/>
        </w:tabs>
        <w:spacing w:line="560" w:lineRule="exact"/>
        <w:ind w:firstLine="480" w:firstLineChars="200"/>
        <w:rPr>
          <w:rFonts w:ascii="宋体" w:hAnsi="宋体"/>
          <w:highlight w:val="none"/>
        </w:rPr>
      </w:pPr>
      <w:r>
        <w:rPr>
          <w:rFonts w:hint="eastAsia" w:ascii="宋体" w:hAnsi="宋体"/>
          <w:highlight w:val="none"/>
        </w:rPr>
        <w:t>（1）因情况变化，不再符合规定的竞争性磋商采购方式适用情形的。</w:t>
      </w:r>
    </w:p>
    <w:p w14:paraId="531C9816">
      <w:pPr>
        <w:tabs>
          <w:tab w:val="left" w:pos="900"/>
        </w:tabs>
        <w:spacing w:line="560" w:lineRule="exact"/>
        <w:ind w:firstLine="480" w:firstLineChars="200"/>
        <w:rPr>
          <w:rFonts w:ascii="宋体" w:hAnsi="宋体"/>
          <w:highlight w:val="none"/>
        </w:rPr>
      </w:pPr>
      <w:r>
        <w:rPr>
          <w:rFonts w:hint="eastAsia" w:ascii="宋体" w:hAnsi="宋体"/>
          <w:highlight w:val="none"/>
        </w:rPr>
        <w:t>（2）出现影响采购公正的违法、违规行为的。</w:t>
      </w:r>
    </w:p>
    <w:p w14:paraId="75F8D053">
      <w:pPr>
        <w:tabs>
          <w:tab w:val="left" w:pos="900"/>
        </w:tabs>
        <w:spacing w:line="560" w:lineRule="exact"/>
        <w:ind w:firstLine="480" w:firstLineChars="200"/>
        <w:rPr>
          <w:rFonts w:ascii="宋体" w:hAnsi="宋体"/>
          <w:highlight w:val="none"/>
        </w:rPr>
      </w:pPr>
      <w:r>
        <w:rPr>
          <w:rFonts w:hint="eastAsia" w:ascii="宋体" w:hAnsi="宋体"/>
          <w:highlight w:val="none"/>
        </w:rPr>
        <w:t>（3）除本磋商文件第6.1.2条第三款规定的情形外，在采购过程中符合要求的供应商或者报价未超过采购预算的供应商不足2家的。</w:t>
      </w:r>
    </w:p>
    <w:p w14:paraId="24839058">
      <w:pPr>
        <w:pStyle w:val="20"/>
        <w:spacing w:line="560" w:lineRule="exact"/>
        <w:ind w:firstLine="480" w:firstLineChars="200"/>
        <w:outlineLvl w:val="1"/>
        <w:rPr>
          <w:rFonts w:ascii="宋体" w:hAnsi="宋体" w:eastAsia="宋体"/>
          <w:b/>
          <w:sz w:val="24"/>
          <w:szCs w:val="24"/>
          <w:highlight w:val="none"/>
        </w:rPr>
      </w:pPr>
      <w:r>
        <w:rPr>
          <w:rFonts w:hint="eastAsia" w:ascii="宋体" w:hAnsi="宋体" w:eastAsia="宋体"/>
          <w:b/>
          <w:sz w:val="24"/>
          <w:szCs w:val="24"/>
          <w:highlight w:val="none"/>
        </w:rPr>
        <w:t>五、成交</w:t>
      </w:r>
    </w:p>
    <w:p w14:paraId="5077B7A9">
      <w:pPr>
        <w:tabs>
          <w:tab w:val="left" w:pos="900"/>
        </w:tabs>
        <w:spacing w:line="560" w:lineRule="exact"/>
        <w:ind w:firstLine="480" w:firstLineChars="200"/>
        <w:rPr>
          <w:rFonts w:ascii="宋体" w:hAnsi="宋体"/>
          <w:highlight w:val="none"/>
        </w:rPr>
      </w:pPr>
      <w:bookmarkStart w:id="86" w:name="_Toc513029238"/>
      <w:bookmarkStart w:id="87" w:name="_Toc20823310"/>
      <w:bookmarkStart w:id="88" w:name="_Toc16938554"/>
      <w:r>
        <w:rPr>
          <w:rFonts w:hint="eastAsia" w:ascii="宋体" w:hAnsi="宋体"/>
          <w:highlight w:val="none"/>
        </w:rPr>
        <w:t>1</w:t>
      </w:r>
      <w:bookmarkEnd w:id="86"/>
      <w:r>
        <w:rPr>
          <w:rFonts w:hint="eastAsia" w:ascii="宋体" w:hAnsi="宋体"/>
          <w:highlight w:val="none"/>
        </w:rPr>
        <w:t>.确定</w:t>
      </w:r>
      <w:bookmarkEnd w:id="87"/>
      <w:bookmarkEnd w:id="88"/>
      <w:r>
        <w:rPr>
          <w:rFonts w:hint="eastAsia" w:ascii="宋体" w:hAnsi="宋体"/>
          <w:highlight w:val="none"/>
        </w:rPr>
        <w:t>成交单位</w:t>
      </w:r>
    </w:p>
    <w:p w14:paraId="49A73C51">
      <w:pPr>
        <w:tabs>
          <w:tab w:val="left" w:pos="900"/>
        </w:tabs>
        <w:spacing w:line="560" w:lineRule="exact"/>
        <w:ind w:firstLine="480" w:firstLineChars="200"/>
        <w:rPr>
          <w:rFonts w:ascii="宋体" w:hAnsi="宋体"/>
          <w:highlight w:val="none"/>
        </w:rPr>
      </w:pPr>
      <w:r>
        <w:rPr>
          <w:rFonts w:hint="eastAsia" w:ascii="宋体" w:hAnsi="宋体"/>
          <w:highlight w:val="none"/>
        </w:rPr>
        <w:t>1.1磋商小组根据综合评分情况，按照评审得分由高到低顺序推荐3名成交候选供应商，并编写评审报告。符合本文件第6.1.2条情形的，可以推荐2家成交候选供应商。评审得分相同的，按照技术指标优劣顺序推荐。</w:t>
      </w:r>
    </w:p>
    <w:p w14:paraId="733CBADB">
      <w:pPr>
        <w:tabs>
          <w:tab w:val="left" w:pos="900"/>
        </w:tabs>
        <w:spacing w:line="560" w:lineRule="exact"/>
        <w:ind w:firstLine="480" w:firstLineChars="200"/>
        <w:rPr>
          <w:rFonts w:ascii="宋体" w:hAnsi="宋体"/>
          <w:highlight w:val="none"/>
        </w:rPr>
      </w:pPr>
      <w:r>
        <w:rPr>
          <w:rFonts w:hint="eastAsia" w:ascii="宋体" w:hAnsi="宋体"/>
          <w:highlight w:val="none"/>
        </w:rPr>
        <w:t>1.2采购人根据磋商小组推荐的成交候选人确定成交供应商。采购人确定成交供应商后，新疆维吾尔自治区公共资源交易中心将在“新疆政府采购网”发布成交结果公告，公告期限为1个工作日。</w:t>
      </w:r>
    </w:p>
    <w:p w14:paraId="5B52CFDA">
      <w:pPr>
        <w:tabs>
          <w:tab w:val="left" w:pos="900"/>
        </w:tabs>
        <w:spacing w:line="560" w:lineRule="exact"/>
        <w:ind w:firstLine="480" w:firstLineChars="200"/>
        <w:rPr>
          <w:rFonts w:ascii="宋体" w:hAnsi="宋体"/>
          <w:highlight w:val="none"/>
        </w:rPr>
      </w:pPr>
      <w:r>
        <w:rPr>
          <w:rFonts w:hint="eastAsia" w:ascii="宋体" w:hAnsi="宋体"/>
          <w:highlight w:val="none"/>
        </w:rPr>
        <w:t>1.3若有充分证据证明，成交供应商出现下列情况之一的，一经查实，将被取消成交资格：</w:t>
      </w:r>
    </w:p>
    <w:p w14:paraId="11CE7D82">
      <w:pPr>
        <w:tabs>
          <w:tab w:val="left" w:pos="900"/>
        </w:tabs>
        <w:spacing w:line="560" w:lineRule="exact"/>
        <w:ind w:firstLine="480" w:firstLineChars="200"/>
        <w:rPr>
          <w:rFonts w:ascii="宋体" w:hAnsi="宋体"/>
          <w:highlight w:val="none"/>
        </w:rPr>
      </w:pPr>
      <w:r>
        <w:rPr>
          <w:rFonts w:hint="eastAsia" w:ascii="宋体" w:hAnsi="宋体"/>
          <w:highlight w:val="none"/>
        </w:rPr>
        <w:t>（1）提供虚假材料谋取成交的。</w:t>
      </w:r>
    </w:p>
    <w:p w14:paraId="2BA9D137">
      <w:pPr>
        <w:tabs>
          <w:tab w:val="left" w:pos="900"/>
        </w:tabs>
        <w:spacing w:line="560" w:lineRule="exact"/>
        <w:ind w:firstLine="480" w:firstLineChars="200"/>
        <w:rPr>
          <w:rFonts w:ascii="宋体" w:hAnsi="宋体"/>
          <w:highlight w:val="none"/>
        </w:rPr>
      </w:pPr>
      <w:r>
        <w:rPr>
          <w:rFonts w:hint="eastAsia" w:ascii="宋体" w:hAnsi="宋体"/>
          <w:highlight w:val="none"/>
        </w:rPr>
        <w:t>（2）与评审专家、采购人、其他供应商或者新疆维吾尔自治区公共资源交易中心工作人员恶意串通的。</w:t>
      </w:r>
    </w:p>
    <w:p w14:paraId="187774B2">
      <w:pPr>
        <w:tabs>
          <w:tab w:val="left" w:pos="900"/>
        </w:tabs>
        <w:spacing w:line="560" w:lineRule="exact"/>
        <w:ind w:firstLine="480" w:firstLineChars="200"/>
        <w:rPr>
          <w:rFonts w:ascii="宋体" w:hAnsi="宋体"/>
          <w:highlight w:val="none"/>
        </w:rPr>
      </w:pPr>
      <w:r>
        <w:rPr>
          <w:rFonts w:hint="eastAsia" w:ascii="宋体" w:hAnsi="宋体"/>
          <w:highlight w:val="none"/>
        </w:rPr>
        <w:t>（3）向评审专家、采购人或新疆维吾尔自治区公共资源交易中心工作人员行贿或者提供其他不正当利益的。</w:t>
      </w:r>
    </w:p>
    <w:p w14:paraId="53AB8D66">
      <w:pPr>
        <w:tabs>
          <w:tab w:val="left" w:pos="900"/>
        </w:tabs>
        <w:spacing w:line="560" w:lineRule="exact"/>
        <w:ind w:firstLine="480" w:firstLineChars="200"/>
        <w:rPr>
          <w:rFonts w:ascii="宋体" w:hAnsi="宋体"/>
          <w:highlight w:val="none"/>
        </w:rPr>
      </w:pPr>
      <w:r>
        <w:rPr>
          <w:rFonts w:hint="eastAsia" w:ascii="宋体" w:hAnsi="宋体"/>
          <w:highlight w:val="none"/>
        </w:rPr>
        <w:t>（4）恶意竞争，最终总报价明显低于其自身合理成本且又无法提供证明的。</w:t>
      </w:r>
    </w:p>
    <w:p w14:paraId="05DB3AE5">
      <w:pPr>
        <w:tabs>
          <w:tab w:val="left" w:pos="900"/>
        </w:tabs>
        <w:spacing w:line="560" w:lineRule="exact"/>
        <w:ind w:firstLine="480" w:firstLineChars="200"/>
        <w:rPr>
          <w:rFonts w:ascii="宋体" w:hAnsi="宋体"/>
          <w:highlight w:val="none"/>
        </w:rPr>
      </w:pPr>
      <w:r>
        <w:rPr>
          <w:rFonts w:hint="eastAsia" w:ascii="宋体" w:hAnsi="宋体"/>
          <w:highlight w:val="none"/>
        </w:rPr>
        <w:t>（5）不满足本磋商文件规定的实质性要求，但在评审过程中又未被磋商小组发现的。</w:t>
      </w:r>
    </w:p>
    <w:p w14:paraId="3E57DE62">
      <w:pPr>
        <w:tabs>
          <w:tab w:val="left" w:pos="900"/>
        </w:tabs>
        <w:spacing w:line="560" w:lineRule="exact"/>
        <w:ind w:firstLine="480" w:firstLineChars="200"/>
        <w:rPr>
          <w:rFonts w:ascii="宋体" w:hAnsi="宋体"/>
          <w:highlight w:val="none"/>
        </w:rPr>
      </w:pPr>
      <w:r>
        <w:rPr>
          <w:rFonts w:hint="eastAsia" w:ascii="宋体" w:hAnsi="宋体"/>
          <w:highlight w:val="none"/>
        </w:rPr>
        <w:t>（6）成交后无正当理由拒不与采购人签订政府采购合同或者未按照磋商文件确定的事项签订政府采购合同。</w:t>
      </w:r>
    </w:p>
    <w:p w14:paraId="2DACB5E7">
      <w:pPr>
        <w:tabs>
          <w:tab w:val="left" w:pos="900"/>
        </w:tabs>
        <w:spacing w:line="560" w:lineRule="exact"/>
        <w:ind w:firstLine="480" w:firstLineChars="200"/>
        <w:rPr>
          <w:rFonts w:ascii="宋体" w:hAnsi="宋体"/>
          <w:highlight w:val="none"/>
        </w:rPr>
      </w:pPr>
      <w:r>
        <w:rPr>
          <w:rFonts w:hint="eastAsia" w:ascii="宋体" w:hAnsi="宋体"/>
          <w:highlight w:val="none"/>
        </w:rPr>
        <w:t>（7）将政府采购合同转包。</w:t>
      </w:r>
    </w:p>
    <w:p w14:paraId="177B0268">
      <w:pPr>
        <w:tabs>
          <w:tab w:val="left" w:pos="900"/>
        </w:tabs>
        <w:spacing w:line="560" w:lineRule="exact"/>
        <w:ind w:firstLine="480" w:firstLineChars="200"/>
        <w:rPr>
          <w:rFonts w:ascii="宋体" w:hAnsi="宋体"/>
          <w:highlight w:val="none"/>
        </w:rPr>
      </w:pPr>
      <w:r>
        <w:rPr>
          <w:rFonts w:hint="eastAsia" w:ascii="宋体" w:hAnsi="宋体"/>
          <w:highlight w:val="none"/>
        </w:rPr>
        <w:t>（8）法律法规、规章规定的属于成交无效的其他情形。</w:t>
      </w:r>
    </w:p>
    <w:p w14:paraId="16B77159">
      <w:pPr>
        <w:spacing w:line="440" w:lineRule="exact"/>
        <w:ind w:firstLine="480" w:firstLineChars="200"/>
        <w:rPr>
          <w:b/>
          <w:bCs/>
          <w:szCs w:val="24"/>
          <w:highlight w:val="none"/>
        </w:rPr>
      </w:pPr>
      <w:r>
        <w:rPr>
          <w:rFonts w:hint="eastAsia"/>
          <w:b/>
          <w:bCs/>
          <w:szCs w:val="24"/>
          <w:highlight w:val="none"/>
        </w:rPr>
        <w:t>2 询问、质疑、投诉</w:t>
      </w:r>
      <w:r>
        <w:rPr>
          <w:rFonts w:hint="eastAsia"/>
          <w:szCs w:val="24"/>
          <w:highlight w:val="none"/>
        </w:rPr>
        <w:t xml:space="preserve"> </w:t>
      </w:r>
    </w:p>
    <w:p w14:paraId="7FDD7042">
      <w:pPr>
        <w:spacing w:line="440" w:lineRule="exact"/>
        <w:ind w:firstLine="480" w:firstLineChars="200"/>
        <w:rPr>
          <w:szCs w:val="24"/>
          <w:highlight w:val="none"/>
        </w:rPr>
      </w:pPr>
      <w:r>
        <w:rPr>
          <w:rFonts w:hint="eastAsia"/>
          <w:szCs w:val="24"/>
          <w:highlight w:val="none"/>
        </w:rPr>
        <w:t xml:space="preserve">2.1 询问 </w:t>
      </w:r>
    </w:p>
    <w:p w14:paraId="57774DD5">
      <w:pPr>
        <w:spacing w:line="440" w:lineRule="exact"/>
        <w:ind w:firstLine="480" w:firstLineChars="200"/>
        <w:rPr>
          <w:szCs w:val="24"/>
          <w:highlight w:val="none"/>
        </w:rPr>
      </w:pPr>
      <w:r>
        <w:rPr>
          <w:rFonts w:hint="eastAsia"/>
          <w:szCs w:val="24"/>
          <w:highlight w:val="none"/>
        </w:rPr>
        <w:t xml:space="preserve">2.1.1 供应商对政府采购活动事项（磋商文件、采购过程、成交或者成交结果）有疑问的，可以向采购人或者新疆维吾尔自治区公共资源交易中心提出询问，询问可以口头方式提出，也可以书面方式提出。 </w:t>
      </w:r>
    </w:p>
    <w:p w14:paraId="05A79FDE">
      <w:pPr>
        <w:spacing w:line="440" w:lineRule="exact"/>
        <w:ind w:firstLine="480" w:firstLineChars="200"/>
        <w:rPr>
          <w:szCs w:val="24"/>
          <w:highlight w:val="none"/>
        </w:rPr>
      </w:pPr>
      <w:r>
        <w:rPr>
          <w:rFonts w:hint="eastAsia"/>
          <w:szCs w:val="24"/>
          <w:highlight w:val="none"/>
        </w:rPr>
        <w:t xml:space="preserve">2.1.2 采购人或者新疆维吾尔自治区公共资源交易中心在三个工作日内对供应商依法提出的询问作出答复。 </w:t>
      </w:r>
    </w:p>
    <w:p w14:paraId="76D88ECC">
      <w:pPr>
        <w:pStyle w:val="7"/>
        <w:ind w:firstLine="480" w:firstLineChars="200"/>
        <w:jc w:val="left"/>
        <w:rPr>
          <w:rFonts w:ascii="宋体" w:hAnsi="宋体" w:eastAsia="宋体"/>
          <w:b w:val="0"/>
          <w:bCs w:val="0"/>
          <w:sz w:val="24"/>
          <w:szCs w:val="24"/>
          <w:highlight w:val="none"/>
          <w:lang w:bidi="zh-CN"/>
        </w:rPr>
      </w:pPr>
      <w:bookmarkStart w:id="89" w:name="_Toc200451960"/>
      <w:r>
        <w:rPr>
          <w:rFonts w:hint="eastAsia" w:ascii="宋体" w:hAnsi="宋体" w:eastAsia="宋体"/>
          <w:b w:val="0"/>
          <w:bCs w:val="0"/>
          <w:sz w:val="24"/>
          <w:szCs w:val="24"/>
          <w:highlight w:val="none"/>
          <w:lang w:bidi="zh-CN"/>
        </w:rPr>
        <w:t>2.2 质疑处理</w:t>
      </w:r>
      <w:bookmarkEnd w:id="89"/>
    </w:p>
    <w:p w14:paraId="60E00C16">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.2.1 提出质疑的供应商应当是参与所质疑项目采购活动的供应商。潜在供应商依法获取其可质疑的采购文件的，可以对采购文件提出质疑。</w:t>
      </w:r>
    </w:p>
    <w:p w14:paraId="5658DD3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供应商认为采购文件、采购过程和采购结果使自己的权益受到损害的，可以在知道或应知其权益受到损害之日起七个工作日内，以书面形式向交易中心及采购人提出质疑。上述应知其权益受到损害之日，是指：</w:t>
      </w:r>
    </w:p>
    <w:p w14:paraId="43C1C1E3">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.2.2.1</w:t>
      </w:r>
      <w:r>
        <w:rPr>
          <w:rFonts w:hint="eastAsia" w:hAnsi="宋体"/>
          <w:color w:val="000000"/>
          <w:kern w:val="0"/>
          <w:szCs w:val="24"/>
          <w:highlight w:val="none"/>
        </w:rPr>
        <w:t>对可以质疑的采购文件提出质疑的，为收到采购文件之日或者采购文件公告期限届满之日；</w:t>
      </w:r>
    </w:p>
    <w:p w14:paraId="72BE2B18">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.2.2.2</w:t>
      </w:r>
      <w:r>
        <w:rPr>
          <w:rFonts w:hint="eastAsia" w:hAnsi="宋体"/>
          <w:color w:val="000000"/>
          <w:kern w:val="0"/>
          <w:szCs w:val="24"/>
          <w:highlight w:val="none"/>
        </w:rPr>
        <w:t>对采购过程提出质疑的，为各采购程序环节结束之日；</w:t>
      </w:r>
    </w:p>
    <w:p w14:paraId="2BCBF9B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.2.2.3</w:t>
      </w:r>
      <w:r>
        <w:rPr>
          <w:rFonts w:hint="eastAsia" w:hAnsi="宋体"/>
          <w:color w:val="000000"/>
          <w:kern w:val="0"/>
          <w:szCs w:val="24"/>
          <w:highlight w:val="none"/>
        </w:rPr>
        <w:t>对中标或者成交结果提出质疑的，为中标或者成交结果公告期限届满之日。</w:t>
      </w:r>
    </w:p>
    <w:p w14:paraId="1630C2BB">
      <w:pPr>
        <w:snapToGrid w:val="0"/>
        <w:spacing w:line="480" w:lineRule="exact"/>
        <w:ind w:firstLine="480" w:firstLineChars="200"/>
        <w:rPr>
          <w:rFonts w:hAnsi="宋体"/>
          <w:color w:val="000000"/>
          <w:kern w:val="0"/>
          <w:szCs w:val="24"/>
          <w:highlight w:val="none"/>
        </w:rPr>
      </w:pPr>
      <w:r>
        <w:rPr>
          <w:rFonts w:hint="eastAsia" w:hAnsi="宋体"/>
          <w:color w:val="000000"/>
          <w:kern w:val="0"/>
          <w:szCs w:val="24"/>
          <w:highlight w:val="none"/>
        </w:rPr>
        <w:t>供应商应当在法定质疑期内一次性提出针对同一采购程序环节的质疑。供应商如在法定期限内对同一采购程序环节提出多次质疑的，</w:t>
      </w:r>
      <w:r>
        <w:rPr>
          <w:rFonts w:hint="eastAsia" w:hAnsi="宋体"/>
          <w:b/>
          <w:color w:val="000000"/>
          <w:kern w:val="0"/>
          <w:szCs w:val="24"/>
          <w:highlight w:val="none"/>
        </w:rPr>
        <w:t>交易中心、采购人将只对供应商第一次质疑作出答复。</w:t>
      </w:r>
    </w:p>
    <w:p w14:paraId="3B07D8FE">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2.3质疑函必须按照本磋商文件中《质疑函范本》要求的格式、内容和要求进行填写。供应商如组成联合体参加投标，则《质疑函范本》中要求签字、盖章、加盖公章之处，联合体各方均须按要求签字、盖章、加盖公章。</w:t>
      </w:r>
    </w:p>
    <w:p w14:paraId="3EDF36D3">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2.2.4 交易中心及采购人只接收以纸质原件形式送达的质疑。</w:t>
      </w:r>
    </w:p>
    <w:p w14:paraId="694BAACE">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质疑接收人：新疆维吾尔自治区公共资源交易中心 内控监督部</w:t>
      </w:r>
    </w:p>
    <w:p w14:paraId="0226E7FE">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联系地址：乌鲁木齐市水磨沟区准格尔街299号益民大厦A417</w:t>
      </w:r>
    </w:p>
    <w:p w14:paraId="689FDE0C">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 xml:space="preserve">联系电话：0991-3551778。 </w:t>
      </w:r>
    </w:p>
    <w:p w14:paraId="270E4382">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 以下情形的质疑不予受理</w:t>
      </w:r>
    </w:p>
    <w:p w14:paraId="742CBCC1">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.2.5.1 内容不符合《政府采购质疑和投诉办法》第十二条规定的质疑。</w:t>
      </w:r>
    </w:p>
    <w:p w14:paraId="23FBD2E3">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.2.5.2 超出政府采购法定期限的质疑。</w:t>
      </w:r>
    </w:p>
    <w:p w14:paraId="11335B8E">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.2.5.3 以传真、电子邮件等方式递交的非原件形式的质疑。</w:t>
      </w:r>
    </w:p>
    <w:p w14:paraId="49B0D805">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.2.5.4 未参加投标活动的供应商或在投标活动中自身权益未受到损害的供应商所提出的质疑。</w:t>
      </w:r>
    </w:p>
    <w:p w14:paraId="5566C578">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.2.5.5供应商组成联合体参加投标，联合体中任何一方或多方未按要求签字、盖章、加盖公章的质疑。</w:t>
      </w:r>
    </w:p>
    <w:p w14:paraId="22CE7B87">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.2.5.6所质疑事项已进行处理，或正在行政复议、仲裁、诉讼、投诉等其他程序的。</w:t>
      </w:r>
    </w:p>
    <w:p w14:paraId="36233BFA">
      <w:pPr>
        <w:snapToGrid w:val="0"/>
        <w:spacing w:line="480" w:lineRule="exact"/>
        <w:ind w:firstLine="480" w:firstLineChars="200"/>
        <w:rPr>
          <w:color w:val="000000"/>
          <w:szCs w:val="24"/>
          <w:highlight w:val="none"/>
        </w:rPr>
      </w:pPr>
      <w:r>
        <w:rPr>
          <w:rFonts w:hint="eastAsia"/>
          <w:color w:val="000000"/>
          <w:szCs w:val="24"/>
          <w:highlight w:val="none"/>
        </w:rPr>
        <w:t>2</w:t>
      </w:r>
      <w:r>
        <w:rPr>
          <w:rFonts w:hint="eastAsia" w:ascii="宋体" w:hAnsi="宋体"/>
          <w:color w:val="000000"/>
          <w:szCs w:val="24"/>
          <w:highlight w:val="none"/>
        </w:rPr>
        <w:t>.2.5.7不属于本中心管辖范围的质疑。</w:t>
      </w:r>
    </w:p>
    <w:p w14:paraId="13A3A1A8">
      <w:pPr>
        <w:snapToGrid w:val="0"/>
        <w:spacing w:line="480" w:lineRule="exact"/>
        <w:ind w:firstLine="468" w:firstLineChars="195"/>
        <w:rPr>
          <w:color w:val="000000"/>
          <w:szCs w:val="24"/>
          <w:highlight w:val="none"/>
        </w:rPr>
      </w:pPr>
      <w:r>
        <w:rPr>
          <w:rFonts w:hint="eastAsia"/>
          <w:color w:val="000000"/>
          <w:szCs w:val="24"/>
          <w:highlight w:val="none"/>
        </w:rPr>
        <w:t>2</w:t>
      </w:r>
      <w:r>
        <w:rPr>
          <w:rFonts w:hint="eastAsia" w:ascii="宋体" w:hAnsi="宋体"/>
          <w:color w:val="000000"/>
          <w:szCs w:val="24"/>
          <w:highlight w:val="none"/>
        </w:rPr>
        <w:t xml:space="preserve">.2.6  </w:t>
      </w:r>
      <w:r>
        <w:rPr>
          <w:rFonts w:hint="eastAsia" w:ascii="宋体" w:hAnsi="宋体"/>
          <w:b/>
          <w:color w:val="000000"/>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4269BD84">
      <w:pPr>
        <w:spacing w:line="440" w:lineRule="exact"/>
        <w:ind w:firstLine="480" w:firstLineChars="200"/>
        <w:rPr>
          <w:szCs w:val="24"/>
          <w:highlight w:val="none"/>
        </w:rPr>
      </w:pPr>
      <w:r>
        <w:rPr>
          <w:rFonts w:hint="eastAsia"/>
          <w:szCs w:val="24"/>
          <w:highlight w:val="none"/>
        </w:rPr>
        <w:t xml:space="preserve">2.3 投诉 </w:t>
      </w:r>
    </w:p>
    <w:p w14:paraId="488A7B71">
      <w:pPr>
        <w:spacing w:line="440" w:lineRule="exact"/>
        <w:ind w:firstLine="480" w:firstLineChars="200"/>
        <w:rPr>
          <w:szCs w:val="24"/>
          <w:highlight w:val="none"/>
        </w:rPr>
      </w:pPr>
      <w:r>
        <w:rPr>
          <w:rFonts w:hint="eastAsia"/>
          <w:szCs w:val="24"/>
          <w:highlight w:val="none"/>
        </w:rPr>
        <w:t xml:space="preserve">2.3.1 质疑供应商对新疆维吾尔自治区公共资源交易中心的答复不满意，或者新疆维吾尔自治区公共资源交易中心未在规定时间内作出答复的，可以在答复期满后十五个工作日内向同级财政部门提起投诉。 </w:t>
      </w:r>
    </w:p>
    <w:p w14:paraId="701F0F73">
      <w:pPr>
        <w:spacing w:line="440" w:lineRule="exact"/>
        <w:ind w:firstLine="480" w:firstLineChars="200"/>
        <w:rPr>
          <w:szCs w:val="24"/>
          <w:highlight w:val="none"/>
        </w:rPr>
      </w:pPr>
      <w:r>
        <w:rPr>
          <w:rFonts w:hint="eastAsia"/>
          <w:szCs w:val="24"/>
          <w:highlight w:val="none"/>
        </w:rPr>
        <w:t xml:space="preserve">2.3.2 投诉人在全国范围12个月内三次以上投诉查无实据的，由财政部门列入不良行为记录名单。 </w:t>
      </w:r>
    </w:p>
    <w:p w14:paraId="472B3E07">
      <w:pPr>
        <w:spacing w:line="440" w:lineRule="exact"/>
        <w:ind w:firstLine="480" w:firstLineChars="200"/>
        <w:rPr>
          <w:szCs w:val="24"/>
          <w:highlight w:val="none"/>
        </w:rPr>
      </w:pPr>
      <w:r>
        <w:rPr>
          <w:rFonts w:hint="eastAsia"/>
          <w:szCs w:val="24"/>
          <w:highlight w:val="none"/>
        </w:rPr>
        <w:t xml:space="preserve">2.3.3 投诉人有下列行为之一的，属于虚假、恶意投诉，由财政部门列入不良行为记录名单，禁止其1至3年内参加政府采购活动： </w:t>
      </w:r>
    </w:p>
    <w:p w14:paraId="3E1DC2F5">
      <w:pPr>
        <w:spacing w:line="440" w:lineRule="exact"/>
        <w:ind w:firstLine="480" w:firstLineChars="200"/>
        <w:rPr>
          <w:szCs w:val="24"/>
          <w:highlight w:val="none"/>
        </w:rPr>
      </w:pPr>
      <w:r>
        <w:rPr>
          <w:rFonts w:hint="eastAsia"/>
          <w:szCs w:val="24"/>
          <w:highlight w:val="none"/>
        </w:rPr>
        <w:t xml:space="preserve">2.3.3.1 捏造事实； </w:t>
      </w:r>
    </w:p>
    <w:p w14:paraId="6F39E73F">
      <w:pPr>
        <w:spacing w:line="440" w:lineRule="exact"/>
        <w:ind w:firstLine="480" w:firstLineChars="200"/>
        <w:rPr>
          <w:szCs w:val="24"/>
          <w:highlight w:val="none"/>
        </w:rPr>
      </w:pPr>
      <w:r>
        <w:rPr>
          <w:rFonts w:hint="eastAsia"/>
          <w:szCs w:val="24"/>
          <w:highlight w:val="none"/>
        </w:rPr>
        <w:t xml:space="preserve">2.3.3.2 提供虚假材料； </w:t>
      </w:r>
    </w:p>
    <w:p w14:paraId="621F5DE5">
      <w:pPr>
        <w:spacing w:line="440" w:lineRule="exact"/>
        <w:ind w:firstLine="480" w:firstLineChars="200"/>
        <w:rPr>
          <w:szCs w:val="24"/>
          <w:highlight w:val="none"/>
        </w:rPr>
      </w:pPr>
      <w:r>
        <w:rPr>
          <w:rFonts w:hint="eastAsia"/>
          <w:szCs w:val="24"/>
          <w:highlight w:val="none"/>
        </w:rPr>
        <w:t xml:space="preserve">2.3.3.3 以非法手段取得证明材料。证据来源的合法性存在明显疑问，投诉人无法证明其取得方式合法的，视为以非法手段取得证明材料。 </w:t>
      </w:r>
    </w:p>
    <w:p w14:paraId="25335E5E">
      <w:pPr>
        <w:spacing w:line="440" w:lineRule="exact"/>
        <w:ind w:firstLine="480" w:firstLineChars="200"/>
        <w:rPr>
          <w:b/>
          <w:bCs/>
          <w:szCs w:val="24"/>
          <w:highlight w:val="none"/>
        </w:rPr>
      </w:pPr>
      <w:r>
        <w:rPr>
          <w:rFonts w:hint="eastAsia"/>
          <w:b/>
          <w:bCs/>
          <w:szCs w:val="24"/>
          <w:highlight w:val="none"/>
        </w:rPr>
        <w:t>3 特别说明</w:t>
      </w:r>
      <w:r>
        <w:rPr>
          <w:rFonts w:hint="eastAsia"/>
          <w:szCs w:val="24"/>
          <w:highlight w:val="none"/>
        </w:rPr>
        <w:t xml:space="preserve"> </w:t>
      </w:r>
    </w:p>
    <w:p w14:paraId="33DBF678">
      <w:pPr>
        <w:spacing w:line="440" w:lineRule="exact"/>
        <w:ind w:firstLine="480" w:firstLineChars="200"/>
        <w:rPr>
          <w:szCs w:val="24"/>
          <w:highlight w:val="none"/>
        </w:rPr>
      </w:pPr>
      <w:r>
        <w:rPr>
          <w:rFonts w:hint="eastAsia"/>
          <w:szCs w:val="24"/>
          <w:highlight w:val="none"/>
        </w:rPr>
        <w:t xml:space="preserve">3.1 有下列情形之一的，视为供应商串通投标，其响应无效： </w:t>
      </w:r>
    </w:p>
    <w:p w14:paraId="11017AE1">
      <w:pPr>
        <w:spacing w:line="440" w:lineRule="exact"/>
        <w:ind w:firstLine="480" w:firstLineChars="200"/>
        <w:rPr>
          <w:szCs w:val="24"/>
          <w:highlight w:val="none"/>
        </w:rPr>
      </w:pPr>
      <w:r>
        <w:rPr>
          <w:rFonts w:hint="eastAsia"/>
          <w:szCs w:val="24"/>
          <w:highlight w:val="none"/>
        </w:rPr>
        <w:t xml:space="preserve">3.1.1 不同供应商的响应文件由同一单位或者个人编制； </w:t>
      </w:r>
    </w:p>
    <w:p w14:paraId="62E3CD7F">
      <w:pPr>
        <w:spacing w:line="440" w:lineRule="exact"/>
        <w:ind w:firstLine="480" w:firstLineChars="200"/>
        <w:rPr>
          <w:szCs w:val="24"/>
          <w:highlight w:val="none"/>
        </w:rPr>
      </w:pPr>
      <w:r>
        <w:rPr>
          <w:rFonts w:hint="eastAsia"/>
          <w:szCs w:val="24"/>
          <w:highlight w:val="none"/>
        </w:rPr>
        <w:t xml:space="preserve">3.1.2 不同供应商委托同一单位或者个人办理投标事宜； </w:t>
      </w:r>
    </w:p>
    <w:p w14:paraId="5BC46805">
      <w:pPr>
        <w:spacing w:line="440" w:lineRule="exact"/>
        <w:ind w:firstLine="480" w:firstLineChars="200"/>
        <w:rPr>
          <w:szCs w:val="24"/>
          <w:highlight w:val="none"/>
        </w:rPr>
      </w:pPr>
      <w:r>
        <w:rPr>
          <w:rFonts w:hint="eastAsia"/>
          <w:szCs w:val="24"/>
          <w:highlight w:val="none"/>
        </w:rPr>
        <w:t xml:space="preserve">3.1.3 不同供应商的响应文件载明的项目管理成员或者联系人员为同一人； </w:t>
      </w:r>
    </w:p>
    <w:p w14:paraId="21E559B5">
      <w:pPr>
        <w:spacing w:line="440" w:lineRule="exact"/>
        <w:ind w:firstLine="480" w:firstLineChars="200"/>
        <w:rPr>
          <w:szCs w:val="24"/>
          <w:highlight w:val="none"/>
        </w:rPr>
      </w:pPr>
      <w:r>
        <w:rPr>
          <w:rFonts w:hint="eastAsia"/>
          <w:szCs w:val="24"/>
          <w:highlight w:val="none"/>
        </w:rPr>
        <w:t xml:space="preserve">3.1.4 不同供应商的响应文件异常一致或者磋商报价呈规律性差异； </w:t>
      </w:r>
    </w:p>
    <w:p w14:paraId="1D872A9F">
      <w:pPr>
        <w:spacing w:line="440" w:lineRule="exact"/>
        <w:ind w:firstLine="480" w:firstLineChars="200"/>
        <w:rPr>
          <w:szCs w:val="24"/>
          <w:highlight w:val="none"/>
        </w:rPr>
      </w:pPr>
      <w:r>
        <w:rPr>
          <w:rFonts w:hint="eastAsia"/>
          <w:szCs w:val="24"/>
          <w:highlight w:val="none"/>
        </w:rPr>
        <w:t xml:space="preserve">3.1.5 不同供应商的响应文件相互混装； </w:t>
      </w:r>
    </w:p>
    <w:p w14:paraId="5D5D507C">
      <w:pPr>
        <w:spacing w:line="440" w:lineRule="exact"/>
        <w:ind w:firstLine="480" w:firstLineChars="200"/>
        <w:rPr>
          <w:szCs w:val="24"/>
          <w:highlight w:val="none"/>
        </w:rPr>
      </w:pPr>
      <w:r>
        <w:rPr>
          <w:rFonts w:hint="eastAsia"/>
          <w:szCs w:val="24"/>
          <w:highlight w:val="none"/>
        </w:rPr>
        <w:t xml:space="preserve">3.1.6 不同供应商的磋商保证金从同一单位或者个人的账户转出。 </w:t>
      </w:r>
    </w:p>
    <w:p w14:paraId="37C636FF">
      <w:pPr>
        <w:spacing w:line="440" w:lineRule="exact"/>
        <w:ind w:firstLine="480" w:firstLineChars="200"/>
        <w:rPr>
          <w:szCs w:val="24"/>
          <w:highlight w:val="none"/>
        </w:rPr>
      </w:pPr>
      <w:r>
        <w:rPr>
          <w:rFonts w:hint="eastAsia"/>
          <w:szCs w:val="24"/>
          <w:highlight w:val="none"/>
        </w:rPr>
        <w:t xml:space="preserve">3.2 供应商存在下列情况之一的，其响应无效： </w:t>
      </w:r>
    </w:p>
    <w:p w14:paraId="12CA278E">
      <w:pPr>
        <w:spacing w:line="440" w:lineRule="exact"/>
        <w:ind w:firstLine="480" w:firstLineChars="200"/>
        <w:rPr>
          <w:szCs w:val="24"/>
          <w:highlight w:val="none"/>
        </w:rPr>
      </w:pPr>
      <w:r>
        <w:rPr>
          <w:rFonts w:hint="eastAsia"/>
          <w:szCs w:val="24"/>
          <w:highlight w:val="none"/>
        </w:rPr>
        <w:t xml:space="preserve">3.2.1 未按照磋商文件的规定提交磋商保证金的； </w:t>
      </w:r>
    </w:p>
    <w:p w14:paraId="0D855BB8">
      <w:pPr>
        <w:spacing w:line="440" w:lineRule="exact"/>
        <w:ind w:firstLine="480" w:firstLineChars="200"/>
        <w:rPr>
          <w:szCs w:val="24"/>
          <w:highlight w:val="none"/>
        </w:rPr>
      </w:pPr>
      <w:r>
        <w:rPr>
          <w:rFonts w:hint="eastAsia"/>
          <w:szCs w:val="24"/>
          <w:highlight w:val="none"/>
        </w:rPr>
        <w:t xml:space="preserve">3.2.2 响应文件未按磋商文件要求签署、盖章及响应文件的份数、编制不符合磋商文件要求的； </w:t>
      </w:r>
    </w:p>
    <w:p w14:paraId="258CE29F">
      <w:pPr>
        <w:spacing w:line="440" w:lineRule="exact"/>
        <w:ind w:firstLine="480" w:firstLineChars="200"/>
        <w:rPr>
          <w:szCs w:val="24"/>
          <w:highlight w:val="none"/>
        </w:rPr>
      </w:pPr>
      <w:r>
        <w:rPr>
          <w:rFonts w:hint="eastAsia"/>
          <w:szCs w:val="24"/>
          <w:highlight w:val="none"/>
        </w:rPr>
        <w:t xml:space="preserve">3.2.3 不具备磋商文件中规定的资格要求的； </w:t>
      </w:r>
    </w:p>
    <w:p w14:paraId="22555209">
      <w:pPr>
        <w:spacing w:line="440" w:lineRule="exact"/>
        <w:ind w:firstLine="480" w:firstLineChars="200"/>
        <w:rPr>
          <w:szCs w:val="24"/>
          <w:highlight w:val="none"/>
        </w:rPr>
      </w:pPr>
      <w:r>
        <w:rPr>
          <w:rFonts w:hint="eastAsia"/>
          <w:szCs w:val="24"/>
          <w:highlight w:val="none"/>
        </w:rPr>
        <w:t xml:space="preserve">3.2.4 报价超过磋商文件中规定的预算金额或者最高限价的； </w:t>
      </w:r>
    </w:p>
    <w:p w14:paraId="0CF3B73F">
      <w:pPr>
        <w:spacing w:line="440" w:lineRule="exact"/>
        <w:ind w:firstLine="480" w:firstLineChars="200"/>
        <w:rPr>
          <w:szCs w:val="24"/>
          <w:highlight w:val="none"/>
        </w:rPr>
      </w:pPr>
      <w:r>
        <w:rPr>
          <w:rFonts w:hint="eastAsia"/>
          <w:szCs w:val="24"/>
          <w:highlight w:val="none"/>
        </w:rPr>
        <w:t xml:space="preserve">3.2.5 响应文件含有采购人不能接受的附加条件的； </w:t>
      </w:r>
    </w:p>
    <w:p w14:paraId="7167BD23">
      <w:pPr>
        <w:spacing w:line="440" w:lineRule="exact"/>
        <w:ind w:firstLine="480" w:firstLineChars="200"/>
        <w:rPr>
          <w:szCs w:val="24"/>
          <w:highlight w:val="none"/>
        </w:rPr>
      </w:pPr>
      <w:r>
        <w:rPr>
          <w:rFonts w:hint="eastAsia"/>
          <w:szCs w:val="24"/>
          <w:highlight w:val="none"/>
        </w:rPr>
        <w:t>3.2.6 法律法规和磋商文件规定的其他无效情形。</w:t>
      </w:r>
    </w:p>
    <w:p w14:paraId="51FC73AC">
      <w:pPr>
        <w:pStyle w:val="20"/>
        <w:spacing w:line="560" w:lineRule="exact"/>
        <w:ind w:firstLine="480" w:firstLineChars="200"/>
        <w:outlineLvl w:val="1"/>
        <w:rPr>
          <w:rFonts w:ascii="宋体" w:hAnsi="宋体" w:eastAsia="宋体"/>
          <w:b/>
          <w:sz w:val="24"/>
          <w:szCs w:val="24"/>
          <w:highlight w:val="none"/>
        </w:rPr>
      </w:pPr>
      <w:r>
        <w:rPr>
          <w:rFonts w:hint="eastAsia" w:ascii="宋体" w:hAnsi="宋体" w:eastAsia="宋体"/>
          <w:b/>
          <w:sz w:val="24"/>
          <w:szCs w:val="24"/>
          <w:highlight w:val="none"/>
        </w:rPr>
        <w:t>六、合同签订相关事项</w:t>
      </w:r>
    </w:p>
    <w:p w14:paraId="4CF9C7F1">
      <w:pPr>
        <w:tabs>
          <w:tab w:val="left" w:pos="900"/>
        </w:tabs>
        <w:spacing w:line="560" w:lineRule="exact"/>
        <w:ind w:firstLine="480" w:firstLineChars="200"/>
        <w:rPr>
          <w:rFonts w:ascii="宋体" w:hAnsi="宋体"/>
          <w:highlight w:val="none"/>
        </w:rPr>
      </w:pPr>
      <w:r>
        <w:rPr>
          <w:rFonts w:hint="eastAsia" w:ascii="宋体" w:hAnsi="宋体"/>
          <w:highlight w:val="none"/>
        </w:rPr>
        <w:t>1.成交供应商确定后，新疆维吾尔自治区公共资源交易中心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7B3415DF">
      <w:pPr>
        <w:tabs>
          <w:tab w:val="left" w:pos="900"/>
        </w:tabs>
        <w:spacing w:line="560" w:lineRule="exact"/>
        <w:ind w:firstLine="480" w:firstLineChars="200"/>
        <w:rPr>
          <w:rFonts w:ascii="宋体" w:hAnsi="宋体"/>
          <w:highlight w:val="none"/>
        </w:rPr>
      </w:pPr>
      <w:r>
        <w:rPr>
          <w:rFonts w:hint="eastAsia" w:ascii="宋体" w:hAnsi="宋体"/>
          <w:highlight w:val="none"/>
        </w:rPr>
        <w:t>2.磋商文件、成交供应商的响应文件及磋商采购过程中有关澄清、承诺文件均应作为合同附件。</w:t>
      </w:r>
    </w:p>
    <w:p w14:paraId="2CD3F161">
      <w:pPr>
        <w:tabs>
          <w:tab w:val="left" w:pos="900"/>
        </w:tabs>
        <w:spacing w:line="560" w:lineRule="exact"/>
        <w:ind w:firstLine="480" w:firstLineChars="200"/>
        <w:rPr>
          <w:rFonts w:ascii="宋体" w:hAnsi="宋体"/>
          <w:highlight w:val="none"/>
        </w:rPr>
      </w:pPr>
      <w:r>
        <w:rPr>
          <w:rFonts w:hint="eastAsia" w:ascii="宋体" w:hAnsi="宋体"/>
          <w:highlight w:val="none"/>
        </w:rPr>
        <w:t>3.签订合同后，</w:t>
      </w:r>
      <w:r>
        <w:rPr>
          <w:rFonts w:hint="eastAsia" w:ascii="宋体" w:hAnsi="宋体"/>
          <w:i/>
          <w:highlight w:val="none"/>
          <w:u w:val="single"/>
        </w:rPr>
        <w:t>成交供应商不得将成交产品或服务进行转包。</w:t>
      </w:r>
      <w:r>
        <w:rPr>
          <w:rFonts w:hint="eastAsia" w:ascii="宋体" w:hAnsi="宋体"/>
          <w:highlight w:val="none"/>
        </w:rPr>
        <w:t>未经采购人同意，成交供应商也不得采用分包的形式履行合同，否则采购人有权终止合同。转包或分包造成采购人损失的，成交供应商应承担相应赔偿责任。</w:t>
      </w:r>
    </w:p>
    <w:p w14:paraId="3D713146">
      <w:pPr>
        <w:pStyle w:val="220"/>
        <w:spacing w:after="286"/>
        <w:rPr>
          <w:rFonts w:hint="eastAsia" w:ascii="宋体" w:hAnsi="宋体" w:eastAsia="宋体"/>
          <w:highlight w:val="none"/>
        </w:rPr>
      </w:pPr>
      <w:bookmarkStart w:id="90" w:name="_Toc389647462"/>
      <w:bookmarkStart w:id="91" w:name="_Toc10955"/>
    </w:p>
    <w:p w14:paraId="21E61B13">
      <w:pPr>
        <w:pStyle w:val="220"/>
        <w:spacing w:after="286"/>
        <w:rPr>
          <w:rFonts w:hint="eastAsia" w:ascii="宋体" w:hAnsi="宋体" w:eastAsia="宋体"/>
          <w:highlight w:val="none"/>
        </w:rPr>
      </w:pPr>
    </w:p>
    <w:p w14:paraId="78F4A1DD">
      <w:pPr>
        <w:pStyle w:val="220"/>
        <w:spacing w:after="286"/>
        <w:rPr>
          <w:rFonts w:ascii="宋体" w:hAnsi="宋体" w:eastAsia="宋体"/>
          <w:highlight w:val="none"/>
        </w:rPr>
      </w:pPr>
      <w:r>
        <w:rPr>
          <w:rFonts w:hint="eastAsia" w:ascii="宋体" w:hAnsi="宋体" w:eastAsia="宋体"/>
          <w:highlight w:val="none"/>
        </w:rPr>
        <w:t>第三章  合同条款及格式</w:t>
      </w:r>
      <w:bookmarkEnd w:id="90"/>
      <w:bookmarkEnd w:id="91"/>
    </w:p>
    <w:p w14:paraId="0822603C">
      <w:pPr>
        <w:spacing w:line="480" w:lineRule="exact"/>
        <w:ind w:firstLine="480" w:firstLineChars="200"/>
        <w:rPr>
          <w:rFonts w:ascii="宋体" w:hAnsi="宋体"/>
          <w:bCs/>
          <w:highlight w:val="none"/>
        </w:rPr>
      </w:pPr>
      <w:r>
        <w:rPr>
          <w:rFonts w:hint="eastAsia" w:ascii="宋体" w:hAnsi="宋体"/>
          <w:bCs/>
          <w:highlight w:val="none"/>
        </w:rPr>
        <w:t>以下为中标后签订本项目合同的通用条款，中标人不得提出实质性的修改，关于专用条款将由采购人与中标人结合本项目具体情况协商后签订。</w:t>
      </w:r>
    </w:p>
    <w:p w14:paraId="095BBDA9">
      <w:pPr>
        <w:spacing w:line="480" w:lineRule="exact"/>
        <w:jc w:val="center"/>
        <w:rPr>
          <w:rFonts w:ascii="宋体" w:hAnsi="宋体"/>
          <w:b/>
          <w:sz w:val="30"/>
          <w:szCs w:val="30"/>
          <w:highlight w:val="none"/>
        </w:rPr>
      </w:pPr>
      <w:r>
        <w:rPr>
          <w:rFonts w:hint="eastAsia" w:ascii="宋体" w:hAnsi="宋体"/>
          <w:b/>
          <w:sz w:val="30"/>
          <w:szCs w:val="30"/>
          <w:highlight w:val="none"/>
        </w:rPr>
        <w:t>新疆维吾尔自治区政府采购合同（合同编号）</w:t>
      </w:r>
    </w:p>
    <w:p w14:paraId="652CC9AC">
      <w:pPr>
        <w:pStyle w:val="25"/>
        <w:snapToGrid w:val="0"/>
        <w:spacing w:before="120" w:after="120" w:line="480" w:lineRule="exact"/>
        <w:rPr>
          <w:rFonts w:hAnsi="宋体"/>
          <w:sz w:val="24"/>
          <w:szCs w:val="24"/>
          <w:highlight w:val="none"/>
        </w:rPr>
      </w:pPr>
      <w:r>
        <w:rPr>
          <w:rFonts w:hint="eastAsia" w:hAnsi="宋体"/>
          <w:sz w:val="24"/>
          <w:szCs w:val="24"/>
          <w:highlight w:val="none"/>
        </w:rPr>
        <w:t>项目名称：                                       项目编号：</w:t>
      </w:r>
    </w:p>
    <w:p w14:paraId="3B0F5BD5">
      <w:pPr>
        <w:pStyle w:val="25"/>
        <w:snapToGrid w:val="0"/>
        <w:spacing w:before="120" w:after="120" w:line="480" w:lineRule="exact"/>
        <w:rPr>
          <w:rFonts w:hAnsi="宋体"/>
          <w:sz w:val="24"/>
          <w:szCs w:val="24"/>
          <w:highlight w:val="none"/>
        </w:rPr>
      </w:pPr>
      <w:r>
        <w:rPr>
          <w:rFonts w:hint="eastAsia" w:hAnsi="宋体"/>
          <w:sz w:val="24"/>
          <w:szCs w:val="24"/>
          <w:highlight w:val="none"/>
        </w:rPr>
        <w:t>甲方：（买方）_</w:t>
      </w:r>
      <w:r>
        <w:rPr>
          <w:rFonts w:hint="eastAsia" w:hAnsi="宋体"/>
          <w:sz w:val="24"/>
          <w:szCs w:val="24"/>
          <w:highlight w:val="none"/>
          <w:u w:val="single"/>
          <w:lang w:eastAsia="zh-CN"/>
        </w:rPr>
        <w:t>新疆维吾尔自治区民政厅</w:t>
      </w:r>
    </w:p>
    <w:p w14:paraId="229C1FF9">
      <w:pPr>
        <w:pStyle w:val="25"/>
        <w:snapToGrid w:val="0"/>
        <w:spacing w:before="120" w:after="120" w:line="480" w:lineRule="exact"/>
        <w:rPr>
          <w:rFonts w:hAnsi="宋体"/>
          <w:sz w:val="24"/>
          <w:szCs w:val="24"/>
          <w:highlight w:val="none"/>
        </w:rPr>
      </w:pPr>
      <w:r>
        <w:rPr>
          <w:rFonts w:hint="eastAsia" w:hAnsi="宋体"/>
          <w:sz w:val="24"/>
          <w:szCs w:val="24"/>
          <w:highlight w:val="none"/>
        </w:rPr>
        <w:t>乙方：（卖方）_________</w:t>
      </w:r>
    </w:p>
    <w:p w14:paraId="303F9380">
      <w:pPr>
        <w:pStyle w:val="25"/>
        <w:snapToGrid w:val="0"/>
        <w:spacing w:before="120" w:after="120" w:line="480" w:lineRule="exact"/>
        <w:rPr>
          <w:rFonts w:hAnsi="宋体"/>
          <w:b/>
          <w:sz w:val="24"/>
          <w:szCs w:val="24"/>
          <w:highlight w:val="none"/>
        </w:rPr>
      </w:pPr>
      <w:r>
        <w:rPr>
          <w:rFonts w:hint="eastAsia" w:hAnsi="宋体"/>
          <w:b/>
          <w:sz w:val="24"/>
          <w:szCs w:val="24"/>
          <w:highlight w:val="none"/>
        </w:rPr>
        <w:t xml:space="preserve">   </w:t>
      </w:r>
      <w:r>
        <w:rPr>
          <w:rFonts w:hint="eastAsia" w:hAnsi="宋体"/>
          <w:sz w:val="24"/>
          <w:szCs w:val="24"/>
          <w:highlight w:val="none"/>
        </w:rPr>
        <w:t>甲、乙双方根据新疆维吾尔自治区公共资源交易中心</w:t>
      </w:r>
      <w:r>
        <w:rPr>
          <w:rFonts w:hint="eastAsia" w:hAnsi="宋体"/>
          <w:sz w:val="24"/>
          <w:szCs w:val="24"/>
          <w:highlight w:val="none"/>
          <w:u w:val="single"/>
        </w:rPr>
        <w:t xml:space="preserve">                          组织的                                   </w:t>
      </w:r>
      <w:r>
        <w:rPr>
          <w:rFonts w:hint="eastAsia" w:hAnsi="宋体"/>
          <w:sz w:val="24"/>
          <w:szCs w:val="24"/>
          <w:highlight w:val="none"/>
        </w:rPr>
        <w:t>项目磋商的结果，签署本合同。</w:t>
      </w:r>
    </w:p>
    <w:p w14:paraId="788BA238">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一、产品内容</w:t>
      </w:r>
    </w:p>
    <w:p w14:paraId="14C9276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 产品名称：新疆维吾尔自治区民政厅婚姻登记证书印制项目</w:t>
      </w:r>
    </w:p>
    <w:p w14:paraId="633B71EF">
      <w:pPr>
        <w:spacing w:line="560" w:lineRule="exact"/>
        <w:ind w:firstLine="484" w:firstLineChars="202"/>
        <w:rPr>
          <w:rFonts w:hint="eastAsia" w:hAnsi="宋体"/>
          <w:sz w:val="24"/>
          <w:szCs w:val="24"/>
          <w:highlight w:val="none"/>
        </w:rPr>
      </w:pPr>
      <w:r>
        <w:rPr>
          <w:rFonts w:hint="eastAsia" w:hAnsi="宋体"/>
          <w:sz w:val="24"/>
          <w:szCs w:val="24"/>
          <w:highlight w:val="none"/>
        </w:rPr>
        <w:t>1.2 型号规格：根据《民政部办公厅关于启用新式婚姻登记证等问题的通知》（民办函〔2003〕166号）、《民政部办公厅关于印制新式婚姻登记证的补充通知》（民办函〔2004〕15号）和《民政部办公厅关于变更婚姻登记证有关事项的通知》（民办函〔2020〕79号）有关规定结合自治区有关要求执行：</w:t>
      </w:r>
    </w:p>
    <w:p w14:paraId="762188BD">
      <w:pPr>
        <w:spacing w:line="560" w:lineRule="exact"/>
        <w:ind w:firstLine="484" w:firstLineChars="202"/>
        <w:rPr>
          <w:rFonts w:hint="eastAsia" w:hAnsi="宋体"/>
          <w:sz w:val="24"/>
          <w:szCs w:val="24"/>
          <w:highlight w:val="none"/>
        </w:rPr>
      </w:pPr>
      <w:r>
        <w:rPr>
          <w:rFonts w:hint="eastAsia" w:hAnsi="宋体"/>
          <w:sz w:val="24"/>
          <w:szCs w:val="24"/>
          <w:highlight w:val="none"/>
        </w:rPr>
        <w:t>二、婚姻证书式样说明（证芯）</w:t>
      </w:r>
    </w:p>
    <w:p w14:paraId="759742A8">
      <w:pPr>
        <w:spacing w:line="560" w:lineRule="exact"/>
        <w:ind w:firstLine="484" w:firstLineChars="202"/>
        <w:rPr>
          <w:rFonts w:hint="eastAsia" w:hAnsi="宋体"/>
          <w:sz w:val="24"/>
          <w:szCs w:val="24"/>
          <w:highlight w:val="none"/>
        </w:rPr>
      </w:pPr>
      <w:r>
        <w:rPr>
          <w:rFonts w:hint="eastAsia" w:hAnsi="宋体"/>
          <w:sz w:val="24"/>
          <w:szCs w:val="24"/>
          <w:highlight w:val="none"/>
        </w:rPr>
        <w:t>（一）证件规格</w:t>
      </w:r>
    </w:p>
    <w:p w14:paraId="5949C777">
      <w:pPr>
        <w:spacing w:line="560" w:lineRule="exact"/>
        <w:ind w:firstLine="484" w:firstLineChars="202"/>
        <w:rPr>
          <w:rFonts w:hint="eastAsia" w:hAnsi="宋体"/>
          <w:sz w:val="24"/>
          <w:szCs w:val="24"/>
          <w:highlight w:val="none"/>
        </w:rPr>
      </w:pPr>
      <w:r>
        <w:rPr>
          <w:rFonts w:hint="eastAsia" w:hAnsi="宋体"/>
          <w:sz w:val="24"/>
          <w:szCs w:val="24"/>
          <w:highlight w:val="none"/>
        </w:rPr>
        <w:t>内芯尺寸（长×宽）195×135（mm），（注：此为半成品（内芯）尺寸，见图例）。</w:t>
      </w:r>
    </w:p>
    <w:p w14:paraId="5E367EDB">
      <w:pPr>
        <w:spacing w:line="560" w:lineRule="exact"/>
        <w:ind w:firstLine="484" w:firstLineChars="202"/>
        <w:rPr>
          <w:rFonts w:hint="eastAsia" w:hAnsi="宋体"/>
          <w:sz w:val="24"/>
          <w:szCs w:val="24"/>
          <w:highlight w:val="none"/>
        </w:rPr>
      </w:pPr>
      <w:r>
        <w:rPr>
          <w:rFonts w:hint="eastAsia" w:hAnsi="宋体"/>
          <w:sz w:val="24"/>
          <w:szCs w:val="24"/>
          <w:highlight w:val="none"/>
        </w:rPr>
        <w:t>（二）材料选用</w:t>
      </w:r>
    </w:p>
    <w:p w14:paraId="3FB27B1C">
      <w:pPr>
        <w:spacing w:line="560" w:lineRule="exact"/>
        <w:ind w:firstLine="484" w:firstLineChars="202"/>
        <w:rPr>
          <w:rFonts w:hint="eastAsia" w:hAnsi="宋体"/>
          <w:sz w:val="24"/>
          <w:szCs w:val="24"/>
          <w:highlight w:val="none"/>
        </w:rPr>
      </w:pPr>
      <w:r>
        <w:rPr>
          <w:rFonts w:hint="eastAsia" w:hAnsi="宋体"/>
          <w:sz w:val="24"/>
          <w:szCs w:val="24"/>
          <w:highlight w:val="none"/>
        </w:rPr>
        <w:t>1.内芯使用专业印钞纸厂定做的每平方米100克定向、定位的“</w:t>
      </w:r>
      <w:r>
        <w:rPr>
          <w:rFonts w:hint="eastAsia" w:hAnsi="宋体"/>
          <w:sz w:val="24"/>
          <w:szCs w:val="24"/>
          <w:highlight w:val="none"/>
          <w:lang w:eastAsia="zh-TW"/>
        </w:rPr>
        <w:t>喜喜</w:t>
      </w:r>
      <w:r>
        <w:rPr>
          <w:rFonts w:hint="eastAsia" w:hAnsi="宋体"/>
          <w:sz w:val="24"/>
          <w:szCs w:val="24"/>
          <w:highlight w:val="none"/>
        </w:rPr>
        <w:t>”字安全防伪水印纸，水印图案清晰，用手触摸水印凹凸感明显，立体感强，纸张坚挺，柔韧好，具有一定的耐折、防潮、抗水性能，便于长期保存，是目前防伪性很强的印刷材料。</w:t>
      </w:r>
    </w:p>
    <w:p w14:paraId="2765037D">
      <w:pPr>
        <w:spacing w:line="560" w:lineRule="exact"/>
        <w:ind w:firstLine="484" w:firstLineChars="202"/>
        <w:rPr>
          <w:rFonts w:hint="eastAsia" w:hAnsi="宋体"/>
          <w:sz w:val="24"/>
          <w:szCs w:val="24"/>
          <w:highlight w:val="none"/>
        </w:rPr>
      </w:pPr>
      <w:r>
        <w:rPr>
          <w:rFonts w:hint="eastAsia" w:hAnsi="宋体"/>
          <w:sz w:val="24"/>
          <w:szCs w:val="24"/>
          <w:highlight w:val="none"/>
        </w:rPr>
        <w:t>2.号码采用红色荧光防伪油墨印制。</w:t>
      </w:r>
    </w:p>
    <w:p w14:paraId="6F2D2A79">
      <w:pPr>
        <w:spacing w:line="560" w:lineRule="exact"/>
        <w:ind w:firstLine="484" w:firstLineChars="202"/>
        <w:rPr>
          <w:rFonts w:hint="eastAsia" w:hAnsi="宋体"/>
          <w:sz w:val="24"/>
          <w:szCs w:val="24"/>
          <w:highlight w:val="none"/>
        </w:rPr>
      </w:pPr>
      <w:r>
        <w:rPr>
          <w:rFonts w:hint="eastAsia" w:hAnsi="宋体"/>
          <w:sz w:val="24"/>
          <w:szCs w:val="24"/>
          <w:highlight w:val="none"/>
        </w:rPr>
        <w:t>3.底纹和牡丹花等采用定做的专色油墨。</w:t>
      </w:r>
    </w:p>
    <w:p w14:paraId="1B6A4DC0">
      <w:pPr>
        <w:spacing w:line="560" w:lineRule="exact"/>
        <w:ind w:firstLine="484" w:firstLineChars="202"/>
        <w:rPr>
          <w:rFonts w:hint="eastAsia" w:hAnsi="宋体"/>
          <w:sz w:val="24"/>
          <w:szCs w:val="24"/>
          <w:highlight w:val="none"/>
        </w:rPr>
      </w:pPr>
      <w:r>
        <w:rPr>
          <w:rFonts w:hint="eastAsia" w:hAnsi="宋体"/>
          <w:sz w:val="24"/>
          <w:szCs w:val="24"/>
          <w:highlight w:val="none"/>
        </w:rPr>
        <w:t>（三）防伪设计</w:t>
      </w:r>
    </w:p>
    <w:p w14:paraId="7999AE28">
      <w:pPr>
        <w:spacing w:line="560" w:lineRule="exact"/>
        <w:ind w:firstLine="484" w:firstLineChars="202"/>
        <w:rPr>
          <w:rFonts w:hint="eastAsia" w:hAnsi="宋体"/>
          <w:sz w:val="24"/>
          <w:szCs w:val="24"/>
          <w:highlight w:val="none"/>
        </w:rPr>
      </w:pPr>
      <w:r>
        <w:rPr>
          <w:rFonts w:hint="eastAsia" w:hAnsi="宋体"/>
          <w:sz w:val="24"/>
          <w:szCs w:val="24"/>
          <w:highlight w:val="none"/>
        </w:rPr>
        <w:t>采用印钞专有防伪手段，防伪性更强。</w:t>
      </w:r>
    </w:p>
    <w:p w14:paraId="687B43E6">
      <w:pPr>
        <w:spacing w:line="560" w:lineRule="exact"/>
        <w:ind w:firstLine="484" w:firstLineChars="202"/>
        <w:rPr>
          <w:rFonts w:hint="eastAsia" w:hAnsi="宋体"/>
          <w:sz w:val="24"/>
          <w:szCs w:val="24"/>
          <w:highlight w:val="none"/>
        </w:rPr>
      </w:pPr>
      <w:r>
        <w:rPr>
          <w:rFonts w:hint="eastAsia" w:hAnsi="宋体"/>
          <w:sz w:val="24"/>
          <w:szCs w:val="24"/>
          <w:highlight w:val="none"/>
        </w:rPr>
        <w:t>1.手绘防伪版画、浮雕底纹（全页）。</w:t>
      </w:r>
    </w:p>
    <w:p w14:paraId="6E94D7D5">
      <w:pPr>
        <w:spacing w:line="560" w:lineRule="exact"/>
        <w:ind w:firstLine="484" w:firstLineChars="202"/>
        <w:rPr>
          <w:rFonts w:hint="eastAsia" w:hAnsi="宋体"/>
          <w:sz w:val="24"/>
          <w:szCs w:val="24"/>
          <w:highlight w:val="none"/>
        </w:rPr>
      </w:pPr>
      <w:r>
        <w:rPr>
          <w:rFonts w:hint="eastAsia" w:hAnsi="宋体"/>
          <w:sz w:val="24"/>
          <w:szCs w:val="24"/>
          <w:highlight w:val="none"/>
        </w:rPr>
        <w:t>2.手绘牡丹图案（封二）。</w:t>
      </w:r>
    </w:p>
    <w:p w14:paraId="4E3043D7">
      <w:pPr>
        <w:spacing w:line="560" w:lineRule="exact"/>
        <w:ind w:firstLine="484" w:firstLineChars="202"/>
        <w:rPr>
          <w:rFonts w:hint="eastAsia" w:hAnsi="宋体"/>
          <w:sz w:val="24"/>
          <w:szCs w:val="24"/>
          <w:highlight w:val="none"/>
        </w:rPr>
      </w:pPr>
      <w:r>
        <w:rPr>
          <w:rFonts w:hint="eastAsia" w:hAnsi="宋体"/>
          <w:sz w:val="24"/>
          <w:szCs w:val="24"/>
          <w:highlight w:val="none"/>
        </w:rPr>
        <w:t>3.“JIEHUNZHENG”微缩防伪文字（内页三）。</w:t>
      </w:r>
    </w:p>
    <w:p w14:paraId="719EE13E">
      <w:pPr>
        <w:spacing w:line="560" w:lineRule="exact"/>
        <w:ind w:firstLine="484" w:firstLineChars="202"/>
        <w:rPr>
          <w:rFonts w:hint="eastAsia" w:hAnsi="宋体"/>
          <w:sz w:val="24"/>
          <w:szCs w:val="24"/>
          <w:highlight w:val="none"/>
        </w:rPr>
      </w:pPr>
      <w:r>
        <w:rPr>
          <w:rFonts w:hint="eastAsia" w:hAnsi="宋体"/>
          <w:sz w:val="24"/>
          <w:szCs w:val="24"/>
          <w:highlight w:val="none"/>
        </w:rPr>
        <w:t>4.三维渐变及机雕防伪图纹（封二）。</w:t>
      </w:r>
    </w:p>
    <w:p w14:paraId="68E6C9EF">
      <w:pPr>
        <w:spacing w:line="560" w:lineRule="exact"/>
        <w:ind w:firstLine="484" w:firstLineChars="202"/>
        <w:rPr>
          <w:rFonts w:hint="eastAsia" w:hAnsi="宋体"/>
          <w:sz w:val="24"/>
          <w:szCs w:val="24"/>
          <w:highlight w:val="none"/>
        </w:rPr>
      </w:pPr>
      <w:r>
        <w:rPr>
          <w:rFonts w:hint="eastAsia" w:hAnsi="宋体"/>
          <w:sz w:val="24"/>
          <w:szCs w:val="24"/>
          <w:highlight w:val="none"/>
        </w:rPr>
        <w:t>5.新增十位证件号码，每证一号，便于微机检索与统计，从号码上即可体现区域性、时间性，同时采用红色荧光油墨，紫外灯照射下显现红色光，增强防伪效果（封三）。</w:t>
      </w:r>
    </w:p>
    <w:p w14:paraId="47FD4107">
      <w:pPr>
        <w:spacing w:line="560" w:lineRule="exact"/>
        <w:ind w:firstLine="484" w:firstLineChars="202"/>
        <w:rPr>
          <w:rFonts w:hint="eastAsia" w:hAnsi="宋体"/>
          <w:sz w:val="24"/>
          <w:szCs w:val="24"/>
          <w:highlight w:val="none"/>
        </w:rPr>
      </w:pPr>
      <w:r>
        <w:rPr>
          <w:rFonts w:hint="eastAsia" w:hAnsi="宋体"/>
          <w:sz w:val="24"/>
          <w:szCs w:val="24"/>
          <w:highlight w:val="none"/>
        </w:rPr>
        <w:t>6.印钞纸厂专业安全防伪水印纸（全页）。</w:t>
      </w:r>
    </w:p>
    <w:p w14:paraId="26402AD7">
      <w:pPr>
        <w:spacing w:line="560" w:lineRule="exact"/>
        <w:ind w:firstLine="484" w:firstLineChars="202"/>
        <w:rPr>
          <w:rFonts w:hint="eastAsia" w:hAnsi="宋体"/>
          <w:sz w:val="24"/>
          <w:szCs w:val="24"/>
          <w:highlight w:val="none"/>
        </w:rPr>
      </w:pPr>
      <w:r>
        <w:rPr>
          <w:rFonts w:hint="eastAsia" w:hAnsi="宋体"/>
          <w:sz w:val="24"/>
          <w:szCs w:val="24"/>
          <w:highlight w:val="none"/>
        </w:rPr>
        <w:t>7.底纹等采用专色油墨。</w:t>
      </w:r>
    </w:p>
    <w:p w14:paraId="511DEECD">
      <w:pPr>
        <w:spacing w:line="560" w:lineRule="exact"/>
        <w:ind w:firstLine="484" w:firstLineChars="202"/>
        <w:rPr>
          <w:rFonts w:hint="eastAsia" w:hAnsi="宋体"/>
          <w:sz w:val="24"/>
          <w:szCs w:val="24"/>
          <w:highlight w:val="none"/>
        </w:rPr>
      </w:pPr>
      <w:r>
        <w:rPr>
          <w:rFonts w:hint="eastAsia" w:hAnsi="宋体"/>
          <w:sz w:val="24"/>
          <w:szCs w:val="24"/>
          <w:highlight w:val="none"/>
        </w:rPr>
        <w:t>（四）文字字体</w:t>
      </w:r>
    </w:p>
    <w:p w14:paraId="50AAEEE7">
      <w:pPr>
        <w:spacing w:line="560" w:lineRule="exact"/>
        <w:ind w:firstLine="484" w:firstLineChars="202"/>
        <w:rPr>
          <w:rFonts w:hint="eastAsia" w:hAnsi="宋体"/>
          <w:sz w:val="24"/>
          <w:szCs w:val="24"/>
          <w:highlight w:val="none"/>
        </w:rPr>
      </w:pPr>
      <w:r>
        <w:rPr>
          <w:rFonts w:hint="eastAsia" w:hAnsi="宋体"/>
          <w:sz w:val="24"/>
          <w:szCs w:val="24"/>
          <w:highlight w:val="none"/>
        </w:rPr>
        <w:t>新疆维吾尔自治区婚姻登记证书采用维汉双语印刷，按照汉字文字在上，维文文字在下，汉字文字版面比例大于维文文字，所有汉字文字均采用汉仪字库专用字体，具有较强的防伪性能，维文与需求方所提相关要求保持一致。</w:t>
      </w:r>
    </w:p>
    <w:p w14:paraId="5ED915E8">
      <w:pPr>
        <w:spacing w:line="560" w:lineRule="exact"/>
        <w:ind w:firstLine="484" w:firstLineChars="202"/>
        <w:rPr>
          <w:rFonts w:hint="eastAsia" w:hAnsi="宋体"/>
          <w:sz w:val="24"/>
          <w:szCs w:val="24"/>
          <w:highlight w:val="none"/>
        </w:rPr>
      </w:pPr>
      <w:r>
        <w:rPr>
          <w:rFonts w:hint="eastAsia" w:hAnsi="宋体"/>
          <w:sz w:val="24"/>
          <w:szCs w:val="24"/>
          <w:highlight w:val="none"/>
        </w:rPr>
        <w:t>1.封二“中华人民共和国民政部监制”采用中黑6.1字体。</w:t>
      </w:r>
    </w:p>
    <w:p w14:paraId="0687C65B">
      <w:pPr>
        <w:spacing w:line="560" w:lineRule="exact"/>
        <w:ind w:firstLine="484" w:firstLineChars="202"/>
        <w:rPr>
          <w:rFonts w:hint="eastAsia" w:hAnsi="宋体"/>
          <w:sz w:val="24"/>
          <w:szCs w:val="24"/>
          <w:highlight w:val="none"/>
        </w:rPr>
      </w:pPr>
      <w:r>
        <w:rPr>
          <w:rFonts w:hint="eastAsia" w:hAnsi="宋体"/>
          <w:sz w:val="24"/>
          <w:szCs w:val="24"/>
          <w:highlight w:val="none"/>
        </w:rPr>
        <w:t>2.内页一“申请结（离）婚，符合《中华人民共和国民法典》规定，予以登记，发给此证。”采用仿宋体4.6字体。</w:t>
      </w:r>
    </w:p>
    <w:p w14:paraId="136DA705">
      <w:pPr>
        <w:spacing w:line="560" w:lineRule="exact"/>
        <w:ind w:firstLine="484" w:firstLineChars="202"/>
        <w:rPr>
          <w:rFonts w:hint="eastAsia" w:hAnsi="宋体"/>
          <w:sz w:val="24"/>
          <w:szCs w:val="24"/>
          <w:highlight w:val="none"/>
        </w:rPr>
      </w:pPr>
      <w:r>
        <w:rPr>
          <w:rFonts w:hint="eastAsia" w:hAnsi="宋体"/>
          <w:sz w:val="24"/>
          <w:szCs w:val="24"/>
          <w:highlight w:val="none"/>
        </w:rPr>
        <w:t>3.其他文字均采用仿宋体4.3字体。</w:t>
      </w:r>
    </w:p>
    <w:p w14:paraId="01D6E671">
      <w:pPr>
        <w:spacing w:line="560" w:lineRule="exact"/>
        <w:ind w:firstLine="484" w:firstLineChars="202"/>
        <w:rPr>
          <w:rFonts w:hint="eastAsia" w:hAnsi="宋体"/>
          <w:sz w:val="24"/>
          <w:szCs w:val="24"/>
          <w:highlight w:val="none"/>
        </w:rPr>
      </w:pPr>
      <w:r>
        <w:rPr>
          <w:rFonts w:hint="eastAsia" w:hAnsi="宋体"/>
          <w:sz w:val="24"/>
          <w:szCs w:val="24"/>
          <w:highlight w:val="none"/>
        </w:rPr>
        <w:t>4.证芯维文与需求方所提相关要求保持一致。</w:t>
      </w:r>
    </w:p>
    <w:p w14:paraId="1EDC795F">
      <w:pPr>
        <w:spacing w:line="560" w:lineRule="exact"/>
        <w:ind w:firstLine="484" w:firstLineChars="202"/>
        <w:rPr>
          <w:rFonts w:hint="eastAsia" w:hAnsi="宋体"/>
          <w:sz w:val="24"/>
          <w:szCs w:val="24"/>
          <w:highlight w:val="none"/>
        </w:rPr>
      </w:pPr>
      <w:r>
        <w:rPr>
          <w:rFonts w:hint="eastAsia" w:hAnsi="宋体"/>
          <w:sz w:val="24"/>
          <w:szCs w:val="24"/>
          <w:highlight w:val="none"/>
        </w:rPr>
        <w:t>三、婚姻登记证式样说明（封皮）</w:t>
      </w:r>
    </w:p>
    <w:p w14:paraId="4926B67F">
      <w:pPr>
        <w:spacing w:line="560" w:lineRule="exact"/>
        <w:ind w:firstLine="484" w:firstLineChars="202"/>
        <w:rPr>
          <w:rFonts w:hint="eastAsia" w:hAnsi="宋体"/>
          <w:sz w:val="24"/>
          <w:szCs w:val="24"/>
          <w:highlight w:val="none"/>
        </w:rPr>
      </w:pPr>
      <w:r>
        <w:rPr>
          <w:rFonts w:hint="eastAsia" w:hAnsi="宋体"/>
          <w:sz w:val="24"/>
          <w:szCs w:val="24"/>
          <w:highlight w:val="none"/>
        </w:rPr>
        <w:t>（一）结、离婚证成品说明</w:t>
      </w:r>
    </w:p>
    <w:p w14:paraId="507DAA51">
      <w:pPr>
        <w:spacing w:line="560" w:lineRule="exact"/>
        <w:ind w:firstLine="484" w:firstLineChars="202"/>
        <w:rPr>
          <w:rFonts w:hint="eastAsia" w:hAnsi="宋体"/>
          <w:sz w:val="24"/>
          <w:szCs w:val="24"/>
          <w:highlight w:val="none"/>
        </w:rPr>
      </w:pPr>
      <w:r>
        <w:rPr>
          <w:rFonts w:hint="eastAsia" w:hAnsi="宋体"/>
          <w:sz w:val="24"/>
          <w:szCs w:val="24"/>
          <w:highlight w:val="none"/>
        </w:rPr>
        <w:t>纸规格 188mm ×128mm；</w:t>
      </w:r>
    </w:p>
    <w:p w14:paraId="342408E6">
      <w:pPr>
        <w:spacing w:line="560" w:lineRule="exact"/>
        <w:ind w:firstLine="484" w:firstLineChars="202"/>
        <w:rPr>
          <w:rFonts w:hint="eastAsia" w:hAnsi="宋体"/>
          <w:sz w:val="24"/>
          <w:szCs w:val="24"/>
          <w:highlight w:val="none"/>
        </w:rPr>
      </w:pPr>
      <w:r>
        <w:rPr>
          <w:rFonts w:hint="eastAsia" w:hAnsi="宋体"/>
          <w:sz w:val="24"/>
          <w:szCs w:val="24"/>
          <w:highlight w:val="none"/>
        </w:rPr>
        <w:t>（二）字体和国徽说明</w:t>
      </w:r>
    </w:p>
    <w:p w14:paraId="13A6606F">
      <w:pPr>
        <w:spacing w:line="560" w:lineRule="exact"/>
        <w:ind w:firstLine="484" w:firstLineChars="202"/>
        <w:rPr>
          <w:rFonts w:hint="eastAsia" w:hAnsi="宋体"/>
          <w:sz w:val="24"/>
          <w:szCs w:val="24"/>
          <w:highlight w:val="none"/>
        </w:rPr>
      </w:pPr>
      <w:r>
        <w:rPr>
          <w:rFonts w:hint="eastAsia" w:hAnsi="宋体"/>
          <w:sz w:val="24"/>
          <w:szCs w:val="24"/>
          <w:highlight w:val="none"/>
        </w:rPr>
        <w:t>1.“中华人民共和国”字正楷宋体初号字，标长62mm，高度8mm；</w:t>
      </w:r>
    </w:p>
    <w:p w14:paraId="15B8F2E1">
      <w:pPr>
        <w:spacing w:line="560" w:lineRule="exact"/>
        <w:ind w:firstLine="484" w:firstLineChars="202"/>
        <w:rPr>
          <w:rFonts w:hint="eastAsia" w:hAnsi="宋体"/>
          <w:sz w:val="24"/>
          <w:szCs w:val="24"/>
          <w:highlight w:val="none"/>
        </w:rPr>
      </w:pPr>
      <w:r>
        <w:rPr>
          <w:rFonts w:hint="eastAsia" w:hAnsi="宋体"/>
          <w:sz w:val="24"/>
          <w:szCs w:val="24"/>
          <w:highlight w:val="none"/>
        </w:rPr>
        <w:t>2.“结婚证”字采用正楷宋体特号字，标长45mm，高度11.5mm；</w:t>
      </w:r>
    </w:p>
    <w:p w14:paraId="36434A16">
      <w:pPr>
        <w:spacing w:line="560" w:lineRule="exact"/>
        <w:ind w:firstLine="484" w:firstLineChars="202"/>
        <w:rPr>
          <w:rFonts w:hint="eastAsia" w:hAnsi="宋体"/>
          <w:sz w:val="24"/>
          <w:szCs w:val="24"/>
          <w:highlight w:val="none"/>
        </w:rPr>
      </w:pPr>
      <w:r>
        <w:rPr>
          <w:rFonts w:hint="eastAsia" w:hAnsi="宋体"/>
          <w:sz w:val="24"/>
          <w:szCs w:val="24"/>
          <w:highlight w:val="none"/>
        </w:rPr>
        <w:t>3.“离婚证”字采用正楷宋体特号字，标长45mm，高度11.5mm；</w:t>
      </w:r>
    </w:p>
    <w:p w14:paraId="086DC418">
      <w:pPr>
        <w:spacing w:line="560" w:lineRule="exact"/>
        <w:ind w:firstLine="484" w:firstLineChars="202"/>
        <w:rPr>
          <w:rFonts w:hint="eastAsia" w:hAnsi="宋体"/>
          <w:sz w:val="24"/>
          <w:szCs w:val="24"/>
          <w:highlight w:val="none"/>
        </w:rPr>
      </w:pPr>
      <w:r>
        <w:rPr>
          <w:rFonts w:hint="eastAsia" w:hAnsi="宋体"/>
          <w:sz w:val="24"/>
          <w:szCs w:val="24"/>
          <w:highlight w:val="none"/>
        </w:rPr>
        <w:t>4.“国徽”采用国家标准缩小规格，高度40mm，宽度37mm；</w:t>
      </w:r>
    </w:p>
    <w:p w14:paraId="7FF28B54">
      <w:pPr>
        <w:spacing w:line="560" w:lineRule="exact"/>
        <w:ind w:firstLine="484" w:firstLineChars="202"/>
        <w:rPr>
          <w:rFonts w:hint="eastAsia" w:hAnsi="宋体"/>
          <w:sz w:val="24"/>
          <w:szCs w:val="24"/>
          <w:highlight w:val="none"/>
        </w:rPr>
      </w:pPr>
      <w:r>
        <w:rPr>
          <w:rFonts w:hint="eastAsia" w:hAnsi="宋体"/>
          <w:sz w:val="24"/>
          <w:szCs w:val="24"/>
          <w:highlight w:val="none"/>
        </w:rPr>
        <w:t>5.封皮维文与需求方所提相关要求保持一致。</w:t>
      </w:r>
    </w:p>
    <w:p w14:paraId="7C17EE32">
      <w:pPr>
        <w:spacing w:line="560" w:lineRule="exact"/>
        <w:ind w:firstLine="484" w:firstLineChars="202"/>
        <w:rPr>
          <w:rFonts w:hint="eastAsia" w:hAnsi="宋体"/>
          <w:sz w:val="24"/>
          <w:szCs w:val="24"/>
          <w:highlight w:val="none"/>
        </w:rPr>
      </w:pPr>
      <w:r>
        <w:rPr>
          <w:rFonts w:hint="eastAsia" w:hAnsi="宋体"/>
          <w:sz w:val="24"/>
          <w:szCs w:val="24"/>
          <w:highlight w:val="none"/>
        </w:rPr>
        <w:t>（三）封皮纸进口红宝石系列充皮纸及防伪设计说明</w:t>
      </w:r>
    </w:p>
    <w:p w14:paraId="59415003">
      <w:pPr>
        <w:spacing w:line="560" w:lineRule="exact"/>
        <w:ind w:firstLine="484" w:firstLineChars="202"/>
        <w:rPr>
          <w:rFonts w:hint="eastAsia" w:hAnsi="宋体"/>
          <w:sz w:val="24"/>
          <w:szCs w:val="24"/>
          <w:highlight w:val="none"/>
        </w:rPr>
      </w:pPr>
      <w:r>
        <w:rPr>
          <w:rFonts w:hint="eastAsia" w:hAnsi="宋体"/>
          <w:sz w:val="24"/>
          <w:szCs w:val="24"/>
          <w:highlight w:val="none"/>
        </w:rPr>
        <w:t>1.红宝石系列充皮纸为枣红色，不受南北各区域气候差异的影响而变形；</w:t>
      </w:r>
    </w:p>
    <w:p w14:paraId="7B037B50">
      <w:pPr>
        <w:spacing w:line="560" w:lineRule="exact"/>
        <w:ind w:firstLine="484" w:firstLineChars="202"/>
        <w:rPr>
          <w:rFonts w:hint="eastAsia" w:hAnsi="宋体"/>
          <w:sz w:val="24"/>
          <w:szCs w:val="24"/>
          <w:highlight w:val="none"/>
        </w:rPr>
      </w:pPr>
      <w:r>
        <w:rPr>
          <w:rFonts w:hint="eastAsia" w:hAnsi="宋体"/>
          <w:sz w:val="24"/>
          <w:szCs w:val="24"/>
          <w:highlight w:val="none"/>
        </w:rPr>
        <w:t>2.红宝石表皮含有纯正皮革的质料，有光泽抽象花纹，衬纸为纯正木浆，每m2重210g，使用于较精美的纪念手册或银行存折、高档证书和精装本的封面，不含PVC；</w:t>
      </w:r>
    </w:p>
    <w:p w14:paraId="6F16BE85">
      <w:pPr>
        <w:spacing w:line="560" w:lineRule="exact"/>
        <w:ind w:firstLine="484" w:firstLineChars="202"/>
        <w:rPr>
          <w:rFonts w:hint="eastAsia" w:hAnsi="宋体"/>
          <w:sz w:val="24"/>
          <w:szCs w:val="24"/>
          <w:highlight w:val="none"/>
        </w:rPr>
      </w:pPr>
      <w:r>
        <w:rPr>
          <w:rFonts w:hint="eastAsia" w:hAnsi="宋体"/>
          <w:sz w:val="24"/>
          <w:szCs w:val="24"/>
          <w:highlight w:val="none"/>
        </w:rPr>
        <w:t>3.可内藏水印暗纹；双夹层内藏有“中华人民共和国婚姻证书”和“M P R CHINA”及圆形“双喜”字样，表面涂层不显任何防伪字样，须验钞机和紫外灯照射方可荧光显示，无法仿制，执法机关易于辨认；</w:t>
      </w:r>
    </w:p>
    <w:p w14:paraId="351B2573">
      <w:pPr>
        <w:spacing w:line="560" w:lineRule="exact"/>
        <w:ind w:firstLine="484" w:firstLineChars="202"/>
        <w:rPr>
          <w:rFonts w:hint="eastAsia" w:hAnsi="宋体"/>
          <w:sz w:val="24"/>
          <w:szCs w:val="24"/>
          <w:highlight w:val="none"/>
        </w:rPr>
      </w:pPr>
      <w:r>
        <w:rPr>
          <w:rFonts w:hint="eastAsia" w:hAnsi="宋体"/>
          <w:sz w:val="24"/>
          <w:szCs w:val="24"/>
          <w:highlight w:val="none"/>
        </w:rPr>
        <w:t>（四）封皮纸及防伪设计的鉴别技术标准</w:t>
      </w:r>
    </w:p>
    <w:p w14:paraId="6EE9ADEE">
      <w:pPr>
        <w:spacing w:line="560" w:lineRule="exact"/>
        <w:ind w:firstLine="484" w:firstLineChars="202"/>
        <w:rPr>
          <w:rFonts w:hint="eastAsia" w:hAnsi="宋体"/>
          <w:sz w:val="24"/>
          <w:szCs w:val="24"/>
          <w:highlight w:val="none"/>
        </w:rPr>
      </w:pPr>
      <w:r>
        <w:rPr>
          <w:rFonts w:hint="eastAsia" w:hAnsi="宋体"/>
          <w:sz w:val="24"/>
          <w:szCs w:val="24"/>
          <w:highlight w:val="none"/>
        </w:rPr>
        <w:t>1.封皮表层在任何角度均不显防伪字样，须在验钞机和紫外灯照射下，方显出无色荧光防伪字样。如不用验钞机或紫外灯照射封皮表层就显出字样的为假冒；</w:t>
      </w:r>
    </w:p>
    <w:p w14:paraId="34C65B26">
      <w:pPr>
        <w:spacing w:line="560" w:lineRule="exact"/>
        <w:ind w:firstLine="484" w:firstLineChars="202"/>
        <w:rPr>
          <w:rFonts w:hint="eastAsia" w:hAnsi="宋体"/>
          <w:sz w:val="24"/>
          <w:szCs w:val="24"/>
          <w:highlight w:val="none"/>
        </w:rPr>
      </w:pPr>
      <w:r>
        <w:rPr>
          <w:rFonts w:hint="eastAsia" w:hAnsi="宋体"/>
          <w:sz w:val="24"/>
          <w:szCs w:val="24"/>
          <w:highlight w:val="none"/>
        </w:rPr>
        <w:t>2.撕开后，不含PVC过塑薄膜；</w:t>
      </w:r>
    </w:p>
    <w:p w14:paraId="077F83EC">
      <w:pPr>
        <w:spacing w:line="560" w:lineRule="exact"/>
        <w:ind w:firstLine="484" w:firstLineChars="202"/>
        <w:rPr>
          <w:rFonts w:hint="eastAsia" w:hAnsi="宋体"/>
          <w:sz w:val="24"/>
          <w:szCs w:val="24"/>
          <w:highlight w:val="none"/>
        </w:rPr>
      </w:pPr>
      <w:r>
        <w:rPr>
          <w:rFonts w:hint="eastAsia" w:hAnsi="宋体"/>
          <w:sz w:val="24"/>
          <w:szCs w:val="24"/>
          <w:highlight w:val="none"/>
        </w:rPr>
        <w:t>3.结婚证、离婚证封面均为枣红色，结婚证封面烫金，离婚证封面烫银，裱褙膜切，充皮纸里外一体颜色（红色）。</w:t>
      </w:r>
    </w:p>
    <w:p w14:paraId="732A18BE">
      <w:pPr>
        <w:spacing w:line="560" w:lineRule="exact"/>
        <w:ind w:firstLine="484" w:firstLineChars="202"/>
        <w:rPr>
          <w:rFonts w:hint="eastAsia" w:hAnsi="宋体"/>
          <w:sz w:val="24"/>
          <w:szCs w:val="24"/>
          <w:highlight w:val="none"/>
        </w:rPr>
      </w:pPr>
      <w:r>
        <w:rPr>
          <w:rFonts w:hint="eastAsia" w:hAnsi="宋体"/>
          <w:sz w:val="24"/>
          <w:szCs w:val="24"/>
          <w:highlight w:val="none"/>
        </w:rPr>
        <w:t>（五）质量保证</w:t>
      </w:r>
    </w:p>
    <w:p w14:paraId="3DF313BC">
      <w:pPr>
        <w:spacing w:line="560" w:lineRule="exact"/>
        <w:ind w:firstLine="484" w:firstLineChars="202"/>
        <w:rPr>
          <w:rFonts w:hint="eastAsia" w:hAnsi="宋体"/>
          <w:sz w:val="24"/>
          <w:szCs w:val="24"/>
          <w:highlight w:val="none"/>
        </w:rPr>
      </w:pPr>
      <w:r>
        <w:rPr>
          <w:rFonts w:hint="eastAsia" w:hAnsi="宋体"/>
          <w:sz w:val="24"/>
          <w:szCs w:val="24"/>
          <w:highlight w:val="none"/>
        </w:rPr>
        <w:t>1.产品的质量应符合现行国家标准，产品及其原材料应符合国家规定的强制性环保要求，产品的各项性能指标，均应满足国家印刷行业标准，并不得违反国家相关的强制标准。</w:t>
      </w:r>
    </w:p>
    <w:p w14:paraId="0FAB4095">
      <w:pPr>
        <w:spacing w:line="560" w:lineRule="exact"/>
        <w:ind w:firstLine="484" w:firstLineChars="202"/>
        <w:rPr>
          <w:rFonts w:hint="eastAsia" w:hAnsi="宋体"/>
          <w:sz w:val="24"/>
          <w:szCs w:val="24"/>
          <w:highlight w:val="none"/>
        </w:rPr>
      </w:pPr>
      <w:r>
        <w:rPr>
          <w:rFonts w:hint="eastAsia" w:hAnsi="宋体"/>
          <w:sz w:val="24"/>
          <w:szCs w:val="24"/>
          <w:highlight w:val="none"/>
        </w:rPr>
        <w:t>2.未能表述的质量要求须按国家有关技术规范执行。</w:t>
      </w:r>
    </w:p>
    <w:p w14:paraId="50A6280F">
      <w:pPr>
        <w:spacing w:line="560" w:lineRule="exact"/>
        <w:ind w:firstLine="484" w:firstLineChars="202"/>
        <w:rPr>
          <w:rFonts w:hint="eastAsia" w:hAnsi="宋体"/>
          <w:sz w:val="24"/>
          <w:szCs w:val="24"/>
          <w:highlight w:val="none"/>
        </w:rPr>
      </w:pPr>
      <w:r>
        <w:rPr>
          <w:rFonts w:hint="eastAsia" w:hAnsi="宋体"/>
          <w:sz w:val="24"/>
          <w:szCs w:val="24"/>
          <w:highlight w:val="none"/>
        </w:rPr>
        <w:t>（六）其他要求</w:t>
      </w:r>
    </w:p>
    <w:p w14:paraId="5E60266A">
      <w:pPr>
        <w:spacing w:line="560" w:lineRule="exact"/>
        <w:ind w:firstLine="484" w:firstLineChars="202"/>
        <w:rPr>
          <w:rFonts w:hint="eastAsia" w:hAnsi="宋体"/>
          <w:sz w:val="24"/>
          <w:szCs w:val="24"/>
          <w:highlight w:val="none"/>
        </w:rPr>
      </w:pPr>
      <w:r>
        <w:rPr>
          <w:rFonts w:hint="eastAsia" w:hAnsi="宋体"/>
          <w:sz w:val="24"/>
          <w:szCs w:val="24"/>
          <w:highlight w:val="none"/>
        </w:rPr>
        <w:t>1.婚姻证件成品要求规格尺寸、材质按技术标准所规定的、烫金内容清晰，证书粘合牢固，边缘整齐无毛边。</w:t>
      </w:r>
    </w:p>
    <w:p w14:paraId="0D68196E">
      <w:pPr>
        <w:spacing w:line="560" w:lineRule="exact"/>
        <w:ind w:firstLine="484" w:firstLineChars="202"/>
        <w:rPr>
          <w:rFonts w:hint="eastAsia" w:hAnsi="宋体"/>
          <w:sz w:val="24"/>
          <w:szCs w:val="24"/>
          <w:highlight w:val="none"/>
        </w:rPr>
      </w:pPr>
      <w:r>
        <w:rPr>
          <w:rFonts w:hint="eastAsia" w:hAnsi="宋体"/>
          <w:sz w:val="24"/>
          <w:szCs w:val="24"/>
          <w:highlight w:val="none"/>
        </w:rPr>
        <w:t>2.婚姻登记证50本/包，牛皮纸包，每包附包签，1000本/箱，箱体包装附证字号范围标签。</w:t>
      </w:r>
    </w:p>
    <w:p w14:paraId="307470C7">
      <w:pPr>
        <w:spacing w:line="560" w:lineRule="exact"/>
        <w:ind w:firstLine="484" w:firstLineChars="202"/>
        <w:rPr>
          <w:rFonts w:hint="eastAsia" w:hAnsi="宋体"/>
          <w:sz w:val="24"/>
          <w:szCs w:val="24"/>
          <w:highlight w:val="none"/>
        </w:rPr>
      </w:pPr>
      <w:r>
        <w:rPr>
          <w:rFonts w:hint="eastAsia" w:hAnsi="宋体"/>
          <w:sz w:val="24"/>
          <w:szCs w:val="24"/>
          <w:highlight w:val="none"/>
        </w:rPr>
        <w:t>3.婚姻登记证的内芯需由中国印钞造币总公司石家庄印钞厂统一印制。</w:t>
      </w:r>
    </w:p>
    <w:p w14:paraId="629DF891">
      <w:pPr>
        <w:spacing w:line="560" w:lineRule="exact"/>
        <w:ind w:firstLine="484" w:firstLineChars="202"/>
        <w:rPr>
          <w:rFonts w:hint="eastAsia" w:hAnsi="宋体"/>
          <w:sz w:val="24"/>
          <w:szCs w:val="24"/>
          <w:highlight w:val="none"/>
        </w:rPr>
      </w:pPr>
      <w:r>
        <w:rPr>
          <w:rFonts w:hint="eastAsia" w:hAnsi="宋体"/>
          <w:sz w:val="24"/>
          <w:szCs w:val="24"/>
          <w:highlight w:val="none"/>
        </w:rPr>
        <w:t>4.在封皮与内芯合成时应注意保持外表的平整及美观，避免变形。封皮纸与证芯合成后的样本需按照《民政部办公厅关于印制新式婚姻登记证的补充通知》（民办函〔2004〕15号）的要求进行备案。</w:t>
      </w:r>
    </w:p>
    <w:p w14:paraId="36513A79">
      <w:pPr>
        <w:spacing w:line="560" w:lineRule="exact"/>
        <w:ind w:firstLine="484" w:firstLineChars="202"/>
        <w:rPr>
          <w:rFonts w:hAnsi="宋体"/>
          <w:sz w:val="24"/>
          <w:szCs w:val="24"/>
          <w:highlight w:val="none"/>
        </w:rPr>
      </w:pPr>
      <w:r>
        <w:rPr>
          <w:rFonts w:hint="eastAsia" w:hAnsi="宋体"/>
          <w:sz w:val="24"/>
          <w:szCs w:val="24"/>
          <w:highlight w:val="none"/>
        </w:rPr>
        <w:t>5.投标单位自行查阅“（民办函〔2003〕166号、民办函〔2004〕15号、民办函〔2020〕79号）文件”关于国家纸张质量监督检验中心检验报告并响应报告内容及其他相关要求并响应。</w:t>
      </w:r>
    </w:p>
    <w:p w14:paraId="7386A99B">
      <w:pPr>
        <w:pStyle w:val="25"/>
        <w:snapToGrid w:val="0"/>
        <w:spacing w:before="120" w:after="120" w:line="480" w:lineRule="exact"/>
        <w:ind w:firstLine="480" w:firstLineChars="200"/>
        <w:rPr>
          <w:rFonts w:hint="default" w:hAnsi="宋体" w:eastAsia="宋体"/>
          <w:sz w:val="24"/>
          <w:szCs w:val="24"/>
          <w:highlight w:val="none"/>
          <w:lang w:val="en-US" w:eastAsia="zh-CN"/>
        </w:rPr>
      </w:pPr>
      <w:r>
        <w:rPr>
          <w:rFonts w:hint="eastAsia" w:hAnsi="宋体"/>
          <w:sz w:val="24"/>
          <w:szCs w:val="24"/>
          <w:highlight w:val="none"/>
        </w:rPr>
        <w:t>1.3 数量（单位）：</w:t>
      </w:r>
      <w:r>
        <w:rPr>
          <w:rFonts w:hint="eastAsia" w:hAnsi="宋体"/>
          <w:sz w:val="24"/>
          <w:szCs w:val="24"/>
          <w:highlight w:val="none"/>
          <w:lang w:val="en-US" w:eastAsia="zh-CN"/>
        </w:rPr>
        <w:t>90万本</w:t>
      </w:r>
    </w:p>
    <w:p w14:paraId="07B83D9C">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二、合同金额</w:t>
      </w:r>
    </w:p>
    <w:p w14:paraId="42D67B0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2.1 本合同金额为（大写）：</w:t>
      </w:r>
      <w:r>
        <w:rPr>
          <w:rFonts w:hint="eastAsia" w:hAnsi="宋体"/>
          <w:sz w:val="24"/>
          <w:szCs w:val="24"/>
          <w:highlight w:val="none"/>
          <w:u w:val="single"/>
          <w:lang w:eastAsia="zh-CN"/>
        </w:rPr>
        <w:t>捌拾伍万伍仟</w:t>
      </w:r>
      <w:r>
        <w:rPr>
          <w:rFonts w:hint="eastAsia" w:hAnsi="宋体"/>
          <w:sz w:val="24"/>
          <w:szCs w:val="24"/>
          <w:highlight w:val="none"/>
        </w:rPr>
        <w:t>圆</w:t>
      </w:r>
      <w:r>
        <w:rPr>
          <w:rFonts w:hint="eastAsia" w:hAnsi="宋体"/>
          <w:sz w:val="24"/>
          <w:szCs w:val="24"/>
          <w:highlight w:val="none"/>
          <w:u w:val="single"/>
          <w:lang w:eastAsia="zh-CN"/>
        </w:rPr>
        <w:t>整</w:t>
      </w:r>
      <w:r>
        <w:rPr>
          <w:rFonts w:hint="eastAsia" w:hAnsi="宋体"/>
          <w:sz w:val="24"/>
          <w:szCs w:val="24"/>
          <w:highlight w:val="none"/>
        </w:rPr>
        <w:t>（_</w:t>
      </w:r>
      <w:r>
        <w:rPr>
          <w:rFonts w:hint="eastAsia" w:hAnsi="宋体"/>
          <w:sz w:val="24"/>
          <w:szCs w:val="24"/>
          <w:highlight w:val="none"/>
          <w:u w:val="single"/>
          <w:lang w:val="en-US" w:eastAsia="zh-CN"/>
        </w:rPr>
        <w:t>855000</w:t>
      </w:r>
      <w:r>
        <w:rPr>
          <w:rFonts w:hint="eastAsia" w:hAnsi="宋体"/>
          <w:sz w:val="24"/>
          <w:szCs w:val="24"/>
          <w:highlight w:val="none"/>
        </w:rPr>
        <w:t>_元）人民币或其他币种。</w:t>
      </w:r>
    </w:p>
    <w:p w14:paraId="0142A1C6">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三、技术资料</w:t>
      </w:r>
    </w:p>
    <w:p w14:paraId="18984D3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3.1乙方应按磋商文件规定的时间向甲方提供使用货物的有关技术资料。</w:t>
      </w:r>
    </w:p>
    <w:p w14:paraId="1638DF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35EB875">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四、知识产权</w:t>
      </w:r>
    </w:p>
    <w:p w14:paraId="20927F2B">
      <w:pPr>
        <w:spacing w:line="480" w:lineRule="exact"/>
        <w:ind w:firstLine="480" w:firstLineChars="200"/>
        <w:rPr>
          <w:rFonts w:ascii="宋体" w:hAnsi="宋体"/>
          <w:szCs w:val="24"/>
          <w:highlight w:val="none"/>
        </w:rPr>
      </w:pPr>
      <w:r>
        <w:rPr>
          <w:rFonts w:hint="eastAsia" w:ascii="宋体" w:hAnsi="宋体"/>
          <w:szCs w:val="24"/>
          <w:highlight w:val="none"/>
        </w:rPr>
        <w:t>4.1乙</w:t>
      </w:r>
      <w:r>
        <w:rPr>
          <w:rFonts w:hint="eastAsia" w:ascii="宋体" w:hAnsi="宋体"/>
          <w:highlight w:val="none"/>
        </w:rPr>
        <w:t>方应保证甲方在使用、接受本合同货物和服务或其任何一部分时不受第三方提出侵犯其专利权、版权、商标权和工业设计权等知识产权的起诉。一旦出现侵权，由乙方负全部责任。</w:t>
      </w:r>
    </w:p>
    <w:p w14:paraId="39018821">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五、产权担保</w:t>
      </w:r>
    </w:p>
    <w:p w14:paraId="70E89C92">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5.1 乙方保证所交付的产品的所有权完全属于乙方且无任何抵押、查封等产权瑕疵。</w:t>
      </w:r>
    </w:p>
    <w:p w14:paraId="3FA99F97">
      <w:pPr>
        <w:snapToGrid w:val="0"/>
        <w:spacing w:before="145" w:after="145" w:line="480" w:lineRule="exact"/>
        <w:ind w:firstLine="480" w:firstLineChars="200"/>
        <w:rPr>
          <w:rFonts w:ascii="宋体" w:hAnsi="宋体"/>
          <w:b/>
          <w:szCs w:val="24"/>
          <w:highlight w:val="none"/>
        </w:rPr>
      </w:pPr>
      <w:r>
        <w:rPr>
          <w:rFonts w:hint="eastAsia" w:ascii="宋体" w:hAnsi="宋体"/>
          <w:b/>
          <w:szCs w:val="24"/>
          <w:highlight w:val="none"/>
        </w:rPr>
        <w:t>六、转包或分包</w:t>
      </w:r>
    </w:p>
    <w:p w14:paraId="2AF4D8CD">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6.1本合同范围内的产品，应由乙方直接供应，不得转让他人供应；</w:t>
      </w:r>
    </w:p>
    <w:p w14:paraId="57ED2E4E">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6.2 除非得到甲方的书面同意，乙方不得部分分包给他人供应。</w:t>
      </w:r>
    </w:p>
    <w:p w14:paraId="4E501FE5">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6.3如有转让和未经甲方同意的分包行为，甲方有权给予终止合同。</w:t>
      </w:r>
    </w:p>
    <w:p w14:paraId="7C5DEDE5">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七、质保期</w:t>
      </w:r>
    </w:p>
    <w:p w14:paraId="3F40BFE5">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7.1 质保期</w:t>
      </w:r>
      <w:r>
        <w:rPr>
          <w:rFonts w:hint="eastAsia" w:hAnsi="宋体"/>
          <w:sz w:val="24"/>
          <w:szCs w:val="24"/>
          <w:highlight w:val="none"/>
          <w:u w:val="single"/>
          <w:lang w:val="en-US" w:eastAsia="zh-CN"/>
        </w:rPr>
        <w:t>2</w:t>
      </w:r>
      <w:r>
        <w:rPr>
          <w:rFonts w:hint="eastAsia" w:hAnsi="宋体"/>
          <w:sz w:val="24"/>
          <w:szCs w:val="24"/>
          <w:highlight w:val="none"/>
        </w:rPr>
        <w:t>年。（自交货验收合格之日起计）</w:t>
      </w:r>
    </w:p>
    <w:p w14:paraId="2B2B4041">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八、交货期、交货方式及交货地点</w:t>
      </w:r>
    </w:p>
    <w:p w14:paraId="2601E88B">
      <w:pPr>
        <w:pStyle w:val="25"/>
        <w:snapToGrid w:val="0"/>
        <w:spacing w:before="120" w:after="120" w:line="480" w:lineRule="exact"/>
        <w:ind w:firstLine="480" w:firstLineChars="200"/>
        <w:rPr>
          <w:rFonts w:hAnsi="宋体"/>
          <w:bCs/>
          <w:i w:val="0"/>
          <w:iCs w:val="0"/>
          <w:sz w:val="24"/>
          <w:szCs w:val="24"/>
          <w:highlight w:val="none"/>
        </w:rPr>
      </w:pPr>
      <w:r>
        <w:rPr>
          <w:rFonts w:hint="eastAsia" w:hAnsi="宋体"/>
          <w:bCs/>
          <w:i w:val="0"/>
          <w:iCs w:val="0"/>
          <w:sz w:val="24"/>
          <w:szCs w:val="24"/>
          <w:highlight w:val="none"/>
        </w:rPr>
        <w:t>8.1 交货期：</w:t>
      </w:r>
      <w:r>
        <w:rPr>
          <w:rFonts w:hint="eastAsia" w:hAnsi="宋体"/>
          <w:i w:val="0"/>
          <w:iCs w:val="0"/>
          <w:color w:val="000000"/>
          <w:sz w:val="24"/>
          <w:szCs w:val="24"/>
          <w:highlight w:val="none"/>
          <w:u w:val="single"/>
        </w:rPr>
        <w:t>自合同签订之日起</w:t>
      </w:r>
      <w:r>
        <w:rPr>
          <w:rFonts w:hint="eastAsia" w:hAnsi="宋体"/>
          <w:i w:val="0"/>
          <w:iCs w:val="0"/>
          <w:color w:val="000000"/>
          <w:sz w:val="24"/>
          <w:szCs w:val="24"/>
          <w:highlight w:val="none"/>
          <w:u w:val="single"/>
          <w:lang w:val="en-US" w:eastAsia="zh-CN"/>
        </w:rPr>
        <w:t>60</w:t>
      </w:r>
      <w:r>
        <w:rPr>
          <w:rFonts w:hint="eastAsia" w:hAnsi="宋体"/>
          <w:i w:val="0"/>
          <w:iCs w:val="0"/>
          <w:color w:val="000000"/>
          <w:sz w:val="24"/>
          <w:szCs w:val="24"/>
          <w:highlight w:val="none"/>
          <w:u w:val="single"/>
        </w:rPr>
        <w:t>个日历日内</w:t>
      </w:r>
      <w:r>
        <w:rPr>
          <w:rFonts w:hint="eastAsia" w:hAnsi="宋体"/>
          <w:i w:val="0"/>
          <w:iCs w:val="0"/>
          <w:color w:val="000000"/>
          <w:sz w:val="24"/>
          <w:szCs w:val="24"/>
          <w:highlight w:val="none"/>
          <w:u w:val="single"/>
          <w:lang w:eastAsia="zh-CN"/>
        </w:rPr>
        <w:t>完成第一批次交货。第二批次应于</w:t>
      </w:r>
      <w:r>
        <w:rPr>
          <w:rFonts w:hint="default" w:hAnsi="宋体"/>
          <w:i w:val="0"/>
          <w:iCs w:val="0"/>
          <w:color w:val="000000"/>
          <w:sz w:val="24"/>
          <w:szCs w:val="24"/>
          <w:highlight w:val="none"/>
          <w:u w:val="single"/>
          <w:lang w:val="en-US" w:eastAsia="zh-CN"/>
        </w:rPr>
        <w:t>120</w:t>
      </w:r>
      <w:r>
        <w:rPr>
          <w:rFonts w:hint="eastAsia" w:hAnsi="宋体"/>
          <w:i w:val="0"/>
          <w:iCs w:val="0"/>
          <w:color w:val="000000"/>
          <w:sz w:val="24"/>
          <w:szCs w:val="24"/>
          <w:highlight w:val="none"/>
          <w:u w:val="single"/>
          <w:lang w:val="en-US" w:eastAsia="zh-CN"/>
        </w:rPr>
        <w:t>个日历日完成交货。</w:t>
      </w:r>
    </w:p>
    <w:p w14:paraId="42C5D2A7">
      <w:pPr>
        <w:pStyle w:val="25"/>
        <w:snapToGrid w:val="0"/>
        <w:spacing w:before="120" w:after="120" w:line="480" w:lineRule="exact"/>
        <w:ind w:firstLine="480" w:firstLineChars="200"/>
        <w:rPr>
          <w:rFonts w:hAnsi="宋体"/>
          <w:bCs/>
          <w:i w:val="0"/>
          <w:iCs w:val="0"/>
          <w:sz w:val="24"/>
          <w:szCs w:val="24"/>
          <w:highlight w:val="none"/>
        </w:rPr>
      </w:pPr>
      <w:r>
        <w:rPr>
          <w:rFonts w:hint="eastAsia" w:hAnsi="宋体"/>
          <w:bCs/>
          <w:i w:val="0"/>
          <w:iCs w:val="0"/>
          <w:sz w:val="24"/>
          <w:szCs w:val="24"/>
          <w:highlight w:val="none"/>
        </w:rPr>
        <w:t>8.2 交货方式：</w:t>
      </w:r>
      <w:r>
        <w:rPr>
          <w:rFonts w:hint="eastAsia" w:hAnsi="宋体"/>
          <w:i w:val="0"/>
          <w:iCs w:val="0"/>
          <w:color w:val="000000"/>
          <w:sz w:val="24"/>
          <w:szCs w:val="24"/>
          <w:highlight w:val="none"/>
          <w:u w:val="single"/>
        </w:rPr>
        <w:t>采购人指定。</w:t>
      </w:r>
    </w:p>
    <w:p w14:paraId="41E614BF">
      <w:pPr>
        <w:pStyle w:val="25"/>
        <w:snapToGrid w:val="0"/>
        <w:spacing w:before="120" w:after="120" w:line="480" w:lineRule="exact"/>
        <w:ind w:firstLine="480" w:firstLineChars="200"/>
        <w:rPr>
          <w:rFonts w:hint="eastAsia" w:hAnsi="宋体"/>
          <w:i w:val="0"/>
          <w:iCs w:val="0"/>
          <w:color w:val="000000"/>
          <w:sz w:val="24"/>
          <w:szCs w:val="24"/>
          <w:highlight w:val="none"/>
          <w:u w:val="single"/>
        </w:rPr>
      </w:pPr>
      <w:r>
        <w:rPr>
          <w:rFonts w:hint="eastAsia" w:hAnsi="宋体"/>
          <w:bCs/>
          <w:i w:val="0"/>
          <w:iCs w:val="0"/>
          <w:sz w:val="24"/>
          <w:szCs w:val="24"/>
          <w:highlight w:val="none"/>
        </w:rPr>
        <w:t>8.3 交货地点：</w:t>
      </w:r>
      <w:r>
        <w:rPr>
          <w:rFonts w:hint="eastAsia" w:hAnsi="宋体"/>
          <w:i w:val="0"/>
          <w:iCs w:val="0"/>
          <w:color w:val="000000"/>
          <w:sz w:val="24"/>
          <w:szCs w:val="24"/>
          <w:highlight w:val="none"/>
          <w:u w:val="single"/>
        </w:rPr>
        <w:t>采购人指定。</w:t>
      </w:r>
    </w:p>
    <w:p w14:paraId="24649AA5">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九、货款支付</w:t>
      </w:r>
    </w:p>
    <w:p w14:paraId="0A028609">
      <w:pPr>
        <w:pStyle w:val="7"/>
        <w:pageBreakBefore w:val="0"/>
        <w:widowControl w:val="0"/>
        <w:numPr>
          <w:ilvl w:val="3"/>
          <w:numId w:val="0"/>
        </w:numPr>
        <w:kinsoku/>
        <w:wordWrap/>
        <w:overflowPunct/>
        <w:topLinePunct w:val="0"/>
        <w:autoSpaceDE/>
        <w:autoSpaceDN/>
        <w:bidi w:val="0"/>
        <w:adjustRightInd/>
        <w:spacing w:before="0" w:after="0"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9.1 分两批次交货，第一次付款：签订合同后，10个工作日内支付合同金额的30%的预付款。第一次批次</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万本证书，到货验收后需提供正规增值税专用发票，每批货物验收合格后，甲方于15个工作日内支付合同金额的20%即</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元（大写人民币</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整）。</w:t>
      </w:r>
    </w:p>
    <w:p w14:paraId="4BCA31DD">
      <w:pPr>
        <w:pStyle w:val="7"/>
        <w:pageBreakBefore w:val="0"/>
        <w:widowControl w:val="0"/>
        <w:numPr>
          <w:ilvl w:val="3"/>
          <w:numId w:val="0"/>
        </w:numPr>
        <w:kinsoku/>
        <w:wordWrap/>
        <w:overflowPunct/>
        <w:topLinePunct w:val="0"/>
        <w:autoSpaceDE/>
        <w:autoSpaceDN/>
        <w:bidi w:val="0"/>
        <w:adjustRightInd/>
        <w:spacing w:before="0" w:after="0"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9.2第二次批次</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万本证书，到货验收后需提供正规增值税专用发票，每批货物验收合格后，甲方于15个工作日内支付合同金额的50%即</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元（大写人民币</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整）。</w:t>
      </w:r>
    </w:p>
    <w:p w14:paraId="207AF56A">
      <w:pPr>
        <w:pStyle w:val="25"/>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9.</w:t>
      </w:r>
      <w:r>
        <w:rPr>
          <w:rFonts w:hint="eastAsia" w:hAnsi="宋体" w:cs="Times New Roman"/>
          <w:b w:val="0"/>
          <w:bCs w:val="0"/>
          <w:kern w:val="2"/>
          <w:sz w:val="24"/>
          <w:szCs w:val="24"/>
          <w:highlight w:val="none"/>
          <w:lang w:val="en-US" w:eastAsia="zh-CN" w:bidi="ar-SA"/>
        </w:rPr>
        <w:t>3</w:t>
      </w:r>
      <w:r>
        <w:rPr>
          <w:rFonts w:hint="eastAsia" w:ascii="宋体" w:hAnsi="宋体" w:eastAsia="宋体" w:cs="Times New Roman"/>
          <w:b w:val="0"/>
          <w:bCs w:val="0"/>
          <w:kern w:val="2"/>
          <w:sz w:val="24"/>
          <w:szCs w:val="24"/>
          <w:highlight w:val="none"/>
          <w:lang w:val="en-US" w:eastAsia="zh-CN" w:bidi="ar-SA"/>
        </w:rPr>
        <w:t>付款前，乙方须及时向甲方出具</w:t>
      </w:r>
      <w:r>
        <w:rPr>
          <w:rFonts w:hint="eastAsia" w:hAnsi="宋体" w:cs="Times New Roman"/>
          <w:b w:val="0"/>
          <w:bCs w:val="0"/>
          <w:kern w:val="2"/>
          <w:sz w:val="24"/>
          <w:szCs w:val="24"/>
          <w:highlight w:val="none"/>
          <w:lang w:val="en-US" w:eastAsia="zh-CN" w:bidi="ar-SA"/>
        </w:rPr>
        <w:t>正规</w:t>
      </w:r>
      <w:r>
        <w:rPr>
          <w:rFonts w:hint="eastAsia" w:ascii="宋体" w:hAnsi="宋体" w:eastAsia="宋体" w:cs="Times New Roman"/>
          <w:b w:val="0"/>
          <w:bCs w:val="0"/>
          <w:kern w:val="2"/>
          <w:sz w:val="24"/>
          <w:szCs w:val="24"/>
          <w:highlight w:val="none"/>
          <w:lang w:val="en-US" w:eastAsia="zh-CN" w:bidi="ar-SA"/>
        </w:rPr>
        <w:t>的增值税专用发票及凭证资料进行支付结算。甲方收到发票核对无误后15个工作日内向乙方指定账户支付费用。乙方提供发票的义务是乙方在本合同项下的主要义务之一。因乙方怠于提供发票，甲方有权顺延付款期限，并不承担任何迟延付款违约责任。乙方应继续履行合同约定其他义务。</w:t>
      </w:r>
    </w:p>
    <w:p w14:paraId="5300A0A8">
      <w:pPr>
        <w:snapToGrid w:val="0"/>
        <w:spacing w:before="145" w:after="145" w:line="480" w:lineRule="exact"/>
        <w:ind w:firstLine="480" w:firstLineChars="200"/>
        <w:rPr>
          <w:rFonts w:ascii="宋体" w:hAnsi="宋体"/>
          <w:b/>
          <w:szCs w:val="24"/>
          <w:highlight w:val="none"/>
        </w:rPr>
      </w:pPr>
      <w:r>
        <w:rPr>
          <w:rFonts w:hint="eastAsia" w:ascii="宋体" w:hAnsi="宋体"/>
          <w:b/>
          <w:szCs w:val="24"/>
          <w:highlight w:val="none"/>
        </w:rPr>
        <w:t>十、税费</w:t>
      </w:r>
    </w:p>
    <w:p w14:paraId="01C3E1DA">
      <w:pPr>
        <w:snapToGrid w:val="0"/>
        <w:spacing w:before="145" w:after="145" w:line="480" w:lineRule="exact"/>
        <w:ind w:firstLine="480" w:firstLineChars="200"/>
        <w:rPr>
          <w:rFonts w:ascii="宋体" w:hAnsi="宋体"/>
          <w:szCs w:val="24"/>
          <w:highlight w:val="none"/>
        </w:rPr>
      </w:pPr>
      <w:r>
        <w:rPr>
          <w:rFonts w:hint="eastAsia" w:ascii="宋体" w:hAnsi="宋体"/>
          <w:szCs w:val="24"/>
          <w:highlight w:val="none"/>
        </w:rPr>
        <w:t>10.1本合同执行中相关的一切税费均由乙方负担。</w:t>
      </w:r>
    </w:p>
    <w:p w14:paraId="7ED8F277">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十一、质量保证及售后服务</w:t>
      </w:r>
    </w:p>
    <w:p w14:paraId="6585A677">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11.1 乙方应按磋商文件规定的货物性能、技术要求、质量标准向甲方提供未经使用的全新产品。</w:t>
      </w:r>
    </w:p>
    <w:p w14:paraId="3134025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11.2 乙方提供的货物在质保期内因产品本身的质量问题发生故障，乙方应负责免费更换。对达不到技术要求者，根据实际情况，经双方协商，可按以下办法处理：</w:t>
      </w:r>
    </w:p>
    <w:p w14:paraId="2322E3CE">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⑴更换：由乙方承担所发生的全部费用。</w:t>
      </w:r>
    </w:p>
    <w:p w14:paraId="07315B91">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⑵贬值处理：由甲乙双方合议定价。</w:t>
      </w:r>
    </w:p>
    <w:p w14:paraId="305C1F3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⑶退货处理：乙方应退还甲方支付的合同款，同时应承担该产品的直接费用（运输、保险、检验、货款利息及银行手续费等）。</w:t>
      </w:r>
    </w:p>
    <w:p w14:paraId="602AFEC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11.3 如在使用过程中发生质量问题，乙方在接到甲方通知后在</w:t>
      </w:r>
      <w:r>
        <w:rPr>
          <w:rFonts w:hint="eastAsia" w:hAnsi="宋体"/>
          <w:sz w:val="24"/>
          <w:szCs w:val="24"/>
          <w:highlight w:val="none"/>
          <w:u w:val="single"/>
          <w:lang w:val="en-US" w:eastAsia="zh-CN"/>
        </w:rPr>
        <w:t>24</w:t>
      </w:r>
      <w:r>
        <w:rPr>
          <w:rFonts w:hint="eastAsia" w:hAnsi="宋体"/>
          <w:sz w:val="24"/>
          <w:szCs w:val="24"/>
          <w:highlight w:val="none"/>
        </w:rPr>
        <w:t>小时内到达甲方现场。</w:t>
      </w:r>
    </w:p>
    <w:p w14:paraId="097531BB">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11.4 在质保期内，乙方应对产品出现的质量及安全问题负责处理解决并承担一切费用。</w:t>
      </w:r>
    </w:p>
    <w:p w14:paraId="032C41D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11.5上述产品的免费保修期为</w:t>
      </w:r>
      <w:r>
        <w:rPr>
          <w:rFonts w:hint="eastAsia" w:hAnsi="宋体"/>
          <w:sz w:val="24"/>
          <w:szCs w:val="24"/>
          <w:highlight w:val="none"/>
          <w:u w:val="single"/>
        </w:rPr>
        <w:t xml:space="preserve">  </w:t>
      </w:r>
      <w:r>
        <w:rPr>
          <w:rFonts w:hint="eastAsia" w:hAnsi="宋体"/>
          <w:sz w:val="24"/>
          <w:szCs w:val="24"/>
          <w:highlight w:val="none"/>
          <w:u w:val="single"/>
          <w:lang w:val="en-US" w:eastAsia="zh-CN"/>
        </w:rPr>
        <w:t>2</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年，因人为因素出现的故障不在免费保修范围内。超过保修期后，终身维修，维修时只收部件成本费。</w:t>
      </w:r>
    </w:p>
    <w:p w14:paraId="00C26E7D">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十二、调试和验收</w:t>
      </w:r>
    </w:p>
    <w:p w14:paraId="7927FC1E">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12.1 甲方对乙方提交的货物依据磋商文件上的技术规格要求和国家有关质量标准进行现场初步验收，外观、说明书符合磋商文件技术要求的，给予签收，初步验收不合格的不予签收。货到后，甲方需在五个工作日内验收。</w:t>
      </w:r>
    </w:p>
    <w:p w14:paraId="08D7805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12.2 乙方交货前应对产品作出全面检查和对验收文件进行整理，并列出清单，作为甲方收货验收和使用的技术条件依据，检验的结果应随货物交甲方。</w:t>
      </w:r>
    </w:p>
    <w:p w14:paraId="00B506A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12.3 甲方对乙方提供的货物在使用前进行调试时，乙方需负责安装并培训甲方的使用操作人员，并协助甲方一起调试，直到符合技术要求，甲方才做最终验收。</w:t>
      </w:r>
    </w:p>
    <w:p w14:paraId="3C8ECD85">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12.4 对技术复杂的货物，甲方可请国家认可的专业检测机构参与初步验收及最终验收，并由其出具质量检测报告。</w:t>
      </w:r>
    </w:p>
    <w:p w14:paraId="7AA16219">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12.5 验收时乙方必须在现场，验收完毕后作出验收结果报告；验收费用由甲乙双方协商解决。</w:t>
      </w:r>
    </w:p>
    <w:p w14:paraId="434D80FE">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十三、产品包装、发运及运输</w:t>
      </w:r>
    </w:p>
    <w:p w14:paraId="450E637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13.1 乙方应在产品发运前对其进行满足运输距离、防潮、防震、防锈和防破损装卸等要求包装，以保证产品安全运达甲方指定地点。</w:t>
      </w:r>
    </w:p>
    <w:p w14:paraId="2B2578A6">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13.2 使用说明书、质量检验证明书、随配附件和工具以及清单一并附于产品内。</w:t>
      </w:r>
    </w:p>
    <w:p w14:paraId="13B0B35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13.3 乙方在产品发运手续办理完毕后24小时内或货到甲方48小时前通知甲方，以准备接货。</w:t>
      </w:r>
    </w:p>
    <w:p w14:paraId="1623322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13.4 产品在交付甲方前发生的风险均由乙方负责。</w:t>
      </w:r>
    </w:p>
    <w:p w14:paraId="1ACB1518">
      <w:pPr>
        <w:pStyle w:val="25"/>
        <w:snapToGrid w:val="0"/>
        <w:spacing w:before="156" w:after="156" w:line="480" w:lineRule="exact"/>
        <w:ind w:right="26" w:firstLine="480" w:firstLineChars="200"/>
        <w:rPr>
          <w:rFonts w:hAnsi="宋体"/>
          <w:sz w:val="24"/>
          <w:szCs w:val="24"/>
          <w:highlight w:val="none"/>
        </w:rPr>
      </w:pPr>
      <w:r>
        <w:rPr>
          <w:rFonts w:hint="eastAsia" w:hAnsi="宋体"/>
          <w:sz w:val="24"/>
          <w:szCs w:val="24"/>
          <w:highlight w:val="none"/>
        </w:rPr>
        <w:t>13.5 产品在规定的交付期限内由乙方送达甲方指定的地点视为交付，乙方同时需通知甲方产品已送达。</w:t>
      </w:r>
    </w:p>
    <w:p w14:paraId="41B98755">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十四、违约责任</w:t>
      </w:r>
    </w:p>
    <w:p w14:paraId="4ABFCC9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14.1 甲方无正当理由拒收产品的，甲方向乙方偿付拒收货款总值的百分之五违约金。</w:t>
      </w:r>
    </w:p>
    <w:p w14:paraId="340E87F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14.2 甲方无故逾期验收和办理货款支付手续的，甲方应按逾期付款总额每日万分之五向乙方支付违约金。</w:t>
      </w:r>
    </w:p>
    <w:p w14:paraId="3C6F892F">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16A0737D">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14.4 乙方所交的货物品种、型号、规格、技术参数、质量不符合合同规定及磋商文件规定标准的，甲方有权拒收该货物，乙方愿意更换货物但逾期交货的，按乙方逾期交货处理。乙方拒绝更换产品的，甲方可单方面解除合同。</w:t>
      </w:r>
    </w:p>
    <w:p w14:paraId="52F6CBE2">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十五、不可抗力事件处理</w:t>
      </w:r>
    </w:p>
    <w:p w14:paraId="033CCF74">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15.1 在合同有效期内，任何一方因不可抗力事件导致不能履行合同，则合同履行期可延长，其延长期与不可抗力影响期相同。</w:t>
      </w:r>
    </w:p>
    <w:p w14:paraId="734A540F">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15.2 不可抗力事件发生后，应立即通知对方，并寄送有关权威机构出具的证明。</w:t>
      </w:r>
    </w:p>
    <w:p w14:paraId="7DEB2E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15.3 不可抗力事件延续120天以上，双方应通过友好协商，确定是否继续履行合同。</w:t>
      </w:r>
    </w:p>
    <w:p w14:paraId="524ACA5D">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十六、诉讼</w:t>
      </w:r>
    </w:p>
    <w:p w14:paraId="06054CB8">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16.1 双方在执行合同中所发生的一切争议，应通过协商解决。如协商不成，可向合同签订地法院起诉，合同签订地在此约定为</w:t>
      </w:r>
      <w:r>
        <w:rPr>
          <w:rFonts w:hint="eastAsia" w:hAnsi="宋体"/>
          <w:sz w:val="24"/>
          <w:szCs w:val="24"/>
          <w:highlight w:val="none"/>
          <w:u w:val="single"/>
        </w:rPr>
        <w:t>乌鲁木齐市</w:t>
      </w:r>
      <w:r>
        <w:rPr>
          <w:rFonts w:hint="eastAsia" w:hAnsi="宋体"/>
          <w:sz w:val="24"/>
          <w:szCs w:val="24"/>
          <w:highlight w:val="none"/>
        </w:rPr>
        <w:t>。</w:t>
      </w:r>
    </w:p>
    <w:p w14:paraId="3B619F38">
      <w:pPr>
        <w:pStyle w:val="25"/>
        <w:snapToGrid w:val="0"/>
        <w:spacing w:before="120" w:after="120" w:line="480" w:lineRule="exact"/>
        <w:ind w:firstLine="480" w:firstLineChars="200"/>
        <w:rPr>
          <w:rFonts w:hAnsi="宋体"/>
          <w:b/>
          <w:sz w:val="24"/>
          <w:szCs w:val="24"/>
          <w:highlight w:val="none"/>
        </w:rPr>
      </w:pPr>
      <w:r>
        <w:rPr>
          <w:rFonts w:hint="eastAsia" w:hAnsi="宋体"/>
          <w:b/>
          <w:sz w:val="24"/>
          <w:szCs w:val="24"/>
          <w:highlight w:val="none"/>
        </w:rPr>
        <w:t>十七、合同生效及其它</w:t>
      </w:r>
    </w:p>
    <w:p w14:paraId="2B2D9442">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17.1合同经双方法定代表人或授权委托代表人签字并加盖单位公章后生效。</w:t>
      </w:r>
    </w:p>
    <w:p w14:paraId="13E9C527">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17.2本合同未尽事宜，遵照《中华人民共和国民法典》有关条文执行。</w:t>
      </w:r>
    </w:p>
    <w:p w14:paraId="3883961A">
      <w:pPr>
        <w:pStyle w:val="25"/>
        <w:snapToGrid w:val="0"/>
        <w:spacing w:before="120" w:after="120" w:line="480" w:lineRule="exact"/>
        <w:ind w:firstLine="480" w:firstLineChars="200"/>
        <w:rPr>
          <w:rFonts w:hAnsi="宋体"/>
          <w:sz w:val="24"/>
          <w:szCs w:val="24"/>
          <w:highlight w:val="none"/>
        </w:rPr>
      </w:pPr>
      <w:r>
        <w:rPr>
          <w:rFonts w:hint="eastAsia" w:hAnsi="宋体"/>
          <w:sz w:val="24"/>
          <w:szCs w:val="24"/>
          <w:highlight w:val="none"/>
        </w:rPr>
        <w:t>17.3本合同正本一式三份，具有同等法律效力，甲方、乙方及财政监管部门各执一份。</w:t>
      </w:r>
    </w:p>
    <w:p w14:paraId="4461FB41">
      <w:pPr>
        <w:pStyle w:val="25"/>
        <w:snapToGrid w:val="0"/>
        <w:spacing w:before="120" w:after="120" w:line="480" w:lineRule="exact"/>
        <w:ind w:left="480" w:hanging="480" w:hangingChars="200"/>
        <w:rPr>
          <w:rFonts w:hAnsi="宋体"/>
          <w:sz w:val="24"/>
          <w:szCs w:val="24"/>
          <w:highlight w:val="none"/>
        </w:rPr>
      </w:pPr>
    </w:p>
    <w:p w14:paraId="0BD10F87">
      <w:pPr>
        <w:pStyle w:val="25"/>
        <w:snapToGrid w:val="0"/>
        <w:spacing w:before="120" w:after="120" w:line="480" w:lineRule="exact"/>
        <w:ind w:left="480" w:hanging="480" w:hangingChars="200"/>
        <w:rPr>
          <w:rFonts w:hAnsi="宋体"/>
          <w:sz w:val="24"/>
          <w:szCs w:val="24"/>
          <w:highlight w:val="none"/>
        </w:rPr>
      </w:pPr>
      <w:r>
        <w:rPr>
          <w:rFonts w:hint="eastAsia" w:hAnsi="宋体"/>
          <w:sz w:val="24"/>
          <w:szCs w:val="24"/>
          <w:highlight w:val="none"/>
        </w:rPr>
        <w:t xml:space="preserve">  甲方：                        乙方： </w:t>
      </w:r>
    </w:p>
    <w:p w14:paraId="1B07F5CF">
      <w:pPr>
        <w:pStyle w:val="25"/>
        <w:snapToGrid w:val="0"/>
        <w:spacing w:before="120" w:after="120" w:line="480" w:lineRule="exact"/>
        <w:rPr>
          <w:rFonts w:hAnsi="宋体"/>
          <w:sz w:val="24"/>
          <w:szCs w:val="24"/>
          <w:highlight w:val="none"/>
        </w:rPr>
      </w:pPr>
      <w:r>
        <w:rPr>
          <w:rFonts w:hint="eastAsia" w:hAnsi="宋体"/>
          <w:sz w:val="24"/>
          <w:szCs w:val="24"/>
          <w:highlight w:val="none"/>
        </w:rPr>
        <w:t xml:space="preserve">  地址：                        地址： </w:t>
      </w:r>
    </w:p>
    <w:p w14:paraId="3CD7B8BA">
      <w:pPr>
        <w:pStyle w:val="25"/>
        <w:snapToGrid w:val="0"/>
        <w:spacing w:before="120" w:after="120" w:line="480" w:lineRule="exact"/>
        <w:rPr>
          <w:rFonts w:hAnsi="宋体"/>
          <w:sz w:val="24"/>
          <w:szCs w:val="24"/>
          <w:highlight w:val="none"/>
        </w:rPr>
      </w:pPr>
      <w:r>
        <w:rPr>
          <w:rFonts w:hint="eastAsia" w:hAnsi="宋体"/>
          <w:sz w:val="24"/>
          <w:szCs w:val="24"/>
          <w:highlight w:val="none"/>
        </w:rPr>
        <w:t xml:space="preserve">  法定代表人或授权代表：        法定代表人或授权代表：</w:t>
      </w:r>
    </w:p>
    <w:p w14:paraId="377EDD3B">
      <w:pPr>
        <w:pStyle w:val="25"/>
        <w:snapToGrid w:val="0"/>
        <w:spacing w:before="120" w:after="120" w:line="480" w:lineRule="exact"/>
        <w:ind w:firstLine="240" w:firstLineChars="100"/>
        <w:rPr>
          <w:rFonts w:hAnsi="宋体"/>
          <w:sz w:val="24"/>
          <w:szCs w:val="24"/>
          <w:highlight w:val="none"/>
        </w:rPr>
      </w:pPr>
      <w:r>
        <w:rPr>
          <w:rFonts w:hint="eastAsia" w:hAnsi="宋体"/>
          <w:sz w:val="24"/>
          <w:szCs w:val="24"/>
          <w:highlight w:val="none"/>
        </w:rPr>
        <w:t xml:space="preserve">联系电话：                    联系电话：          </w:t>
      </w:r>
      <w:r>
        <w:rPr>
          <w:rFonts w:hint="eastAsia" w:hAnsi="宋体"/>
          <w:highlight w:val="none"/>
        </w:rPr>
        <w:t xml:space="preserve"> </w:t>
      </w:r>
    </w:p>
    <w:p w14:paraId="29059FA7">
      <w:pPr>
        <w:pStyle w:val="25"/>
        <w:snapToGrid w:val="0"/>
        <w:spacing w:before="120" w:after="120" w:line="480" w:lineRule="exact"/>
        <w:jc w:val="center"/>
        <w:rPr>
          <w:rFonts w:hAnsi="宋体"/>
          <w:highlight w:val="none"/>
        </w:rPr>
      </w:pPr>
    </w:p>
    <w:p w14:paraId="00571777">
      <w:pPr>
        <w:pStyle w:val="25"/>
        <w:snapToGrid w:val="0"/>
        <w:spacing w:before="120" w:after="120" w:line="480" w:lineRule="exact"/>
        <w:jc w:val="center"/>
        <w:rPr>
          <w:rFonts w:hAnsi="宋体"/>
          <w:highlight w:val="none"/>
        </w:rPr>
      </w:pPr>
    </w:p>
    <w:p w14:paraId="19706227">
      <w:pPr>
        <w:pStyle w:val="25"/>
        <w:snapToGrid w:val="0"/>
        <w:spacing w:before="120" w:after="120" w:line="480" w:lineRule="exact"/>
        <w:jc w:val="center"/>
        <w:rPr>
          <w:rFonts w:hAnsi="宋体"/>
          <w:highlight w:val="none"/>
        </w:rPr>
      </w:pPr>
    </w:p>
    <w:p w14:paraId="347CC7C0">
      <w:pPr>
        <w:pStyle w:val="25"/>
        <w:snapToGrid w:val="0"/>
        <w:spacing w:before="120" w:after="120" w:line="480" w:lineRule="exact"/>
        <w:jc w:val="center"/>
        <w:rPr>
          <w:rFonts w:hAnsi="宋体"/>
          <w:highlight w:val="none"/>
        </w:rPr>
      </w:pPr>
    </w:p>
    <w:p w14:paraId="7FE5B259">
      <w:pPr>
        <w:pStyle w:val="25"/>
        <w:snapToGrid w:val="0"/>
        <w:spacing w:before="120" w:after="120" w:line="480" w:lineRule="exact"/>
        <w:jc w:val="center"/>
        <w:rPr>
          <w:rFonts w:hint="eastAsia" w:hAnsi="宋体"/>
          <w:highlight w:val="none"/>
        </w:rPr>
      </w:pPr>
      <w:r>
        <w:rPr>
          <w:rFonts w:hint="eastAsia" w:hAnsi="宋体"/>
          <w:highlight w:val="none"/>
        </w:rPr>
        <w:t>签订日期：      年  月  日</w:t>
      </w:r>
      <w:bookmarkStart w:id="92" w:name="_Hlt16619369"/>
      <w:bookmarkEnd w:id="92"/>
    </w:p>
    <w:p w14:paraId="14BCC4D3">
      <w:pPr>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注：合同文本仅供参考，具体以实际签订为准 。</w:t>
      </w:r>
    </w:p>
    <w:p w14:paraId="1DF43B1E">
      <w:pPr>
        <w:pStyle w:val="25"/>
        <w:snapToGrid w:val="0"/>
        <w:spacing w:before="120" w:after="120" w:line="480" w:lineRule="exact"/>
        <w:jc w:val="center"/>
        <w:rPr>
          <w:rFonts w:hint="eastAsia" w:hAnsi="宋体"/>
          <w:highlight w:val="none"/>
        </w:rPr>
      </w:pPr>
    </w:p>
    <w:p w14:paraId="0ECE3F00">
      <w:pPr>
        <w:pStyle w:val="25"/>
        <w:snapToGrid w:val="0"/>
        <w:spacing w:before="120" w:after="120" w:line="480" w:lineRule="exact"/>
        <w:jc w:val="center"/>
        <w:rPr>
          <w:rFonts w:hAnsi="宋体"/>
          <w:highlight w:val="none"/>
        </w:rPr>
      </w:pPr>
      <w:r>
        <w:rPr>
          <w:highlight w:val="none"/>
        </w:rPr>
        <w:br w:type="page"/>
      </w:r>
    </w:p>
    <w:p w14:paraId="7F80958D">
      <w:pPr>
        <w:pStyle w:val="4"/>
        <w:rPr>
          <w:rFonts w:ascii="宋体" w:hAnsi="宋体" w:eastAsia="宋体"/>
          <w:b/>
          <w:sz w:val="44"/>
          <w:highlight w:val="none"/>
        </w:rPr>
      </w:pPr>
      <w:r>
        <w:rPr>
          <w:rFonts w:hint="eastAsia" w:ascii="宋体" w:hAnsi="宋体" w:eastAsia="宋体"/>
          <w:b/>
          <w:sz w:val="44"/>
          <w:highlight w:val="none"/>
        </w:rPr>
        <w:t xml:space="preserve">第四章 </w:t>
      </w:r>
      <w:r>
        <w:rPr>
          <w:rFonts w:hint="eastAsia" w:ascii="宋体" w:hAnsi="宋体" w:eastAsia="宋体"/>
          <w:b/>
          <w:sz w:val="44"/>
          <w:highlight w:val="none"/>
          <w:lang w:eastAsia="zh-CN"/>
        </w:rPr>
        <w:t>采购</w:t>
      </w:r>
      <w:r>
        <w:rPr>
          <w:rFonts w:hint="eastAsia" w:ascii="宋体" w:hAnsi="宋体" w:eastAsia="宋体"/>
          <w:b/>
          <w:sz w:val="44"/>
          <w:highlight w:val="none"/>
        </w:rPr>
        <w:t>需求</w:t>
      </w:r>
    </w:p>
    <w:p w14:paraId="5E69595C">
      <w:pPr>
        <w:ind w:firstLine="480" w:firstLineChars="200"/>
        <w:rPr>
          <w:rFonts w:ascii="宋体" w:hAnsi="宋体"/>
          <w:color w:val="92D050"/>
          <w:sz w:val="24"/>
          <w:szCs w:val="24"/>
          <w:highlight w:val="none"/>
        </w:rPr>
      </w:pPr>
    </w:p>
    <w:p w14:paraId="6345A15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一、婚姻证书投标要求</w:t>
      </w:r>
    </w:p>
    <w:p w14:paraId="796ED3B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此次婚姻登记证书印制项目，印刷总数为结婚证90万本，项目申请资金总额为85.50万元，单本证件工本费不超过1元</w:t>
      </w:r>
      <w:r>
        <w:rPr>
          <w:rFonts w:hint="eastAsia" w:ascii="仿宋" w:hAnsi="仿宋" w:eastAsia="仿宋"/>
          <w:color w:val="000000"/>
          <w:kern w:val="0"/>
          <w:sz w:val="24"/>
          <w:szCs w:val="24"/>
          <w:highlight w:val="none"/>
          <w:lang w:val="en"/>
        </w:rPr>
        <w:t>/本。</w:t>
      </w:r>
      <w:r>
        <w:rPr>
          <w:rFonts w:hint="eastAsia" w:ascii="仿宋" w:hAnsi="仿宋" w:eastAsia="仿宋"/>
          <w:color w:val="000000"/>
          <w:kern w:val="0"/>
          <w:sz w:val="24"/>
          <w:szCs w:val="24"/>
          <w:highlight w:val="none"/>
        </w:rPr>
        <w:t>根据《民政部办公厅关于启用新式婚姻登记证等问题的通知》（民办函〔2003〕166号）、《民政部办公厅关于印制新式婚姻登记证的补充通知》（民办函〔2004〕15号）和《民政部办公厅关于变更婚姻登记证有关事项的通知》（民办函〔2020〕79号）有关规定结合自治区有关要求执行：</w:t>
      </w:r>
    </w:p>
    <w:p w14:paraId="2766BD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二、婚姻证书式样说明（证芯）</w:t>
      </w:r>
    </w:p>
    <w:p w14:paraId="0EE0E60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（一）证件规格</w:t>
      </w:r>
    </w:p>
    <w:p w14:paraId="5A3D625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内芯尺寸（长×宽）195×135（mm），（注：此为半成品（内芯）尺寸，见图例）。</w:t>
      </w:r>
    </w:p>
    <w:p w14:paraId="7AE578D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（二）材料选用</w:t>
      </w:r>
    </w:p>
    <w:p w14:paraId="63BB6F3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1.内芯使用专业印钞纸厂定做的每平方米100克定向、定位的“</w:t>
      </w:r>
      <w:r>
        <w:rPr>
          <w:rFonts w:hint="eastAsia" w:ascii="仿宋" w:hAnsi="仿宋" w:eastAsia="仿宋"/>
          <w:color w:val="000000"/>
          <w:kern w:val="0"/>
          <w:sz w:val="24"/>
          <w:szCs w:val="24"/>
          <w:highlight w:val="none"/>
          <w:lang w:eastAsia="zh-TW"/>
        </w:rPr>
        <w:t>喜喜</w:t>
      </w:r>
      <w:r>
        <w:rPr>
          <w:rFonts w:hint="eastAsia" w:ascii="仿宋" w:hAnsi="仿宋" w:eastAsia="仿宋"/>
          <w:color w:val="000000"/>
          <w:kern w:val="0"/>
          <w:sz w:val="24"/>
          <w:szCs w:val="24"/>
          <w:highlight w:val="none"/>
        </w:rPr>
        <w:t>”字安全防伪水印纸，水印图案清晰，用手触摸水印凹凸感明显，立体感强，纸张坚挺，柔韧好，具有一定的耐折、防潮、抗水性能，便于长期保存，是目前防伪性很强的印刷材料。</w:t>
      </w:r>
    </w:p>
    <w:p w14:paraId="1587F97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2.号码采用红色荧光防伪油墨印制。</w:t>
      </w:r>
    </w:p>
    <w:p w14:paraId="3F11DC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3.底纹和牡丹花等采用定做的专色油墨。</w:t>
      </w:r>
    </w:p>
    <w:p w14:paraId="71BFA78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（三）防伪设计</w:t>
      </w:r>
    </w:p>
    <w:p w14:paraId="4452D27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采用印钞专有防伪手段，防伪性更强。</w:t>
      </w:r>
    </w:p>
    <w:p w14:paraId="41DE68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1.手绘防伪版画、浮雕底纹（全页）。</w:t>
      </w:r>
    </w:p>
    <w:p w14:paraId="2E3C47D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2.手绘牡丹图案（封二）。</w:t>
      </w:r>
    </w:p>
    <w:p w14:paraId="69613D0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3.“JIEHUNZHENG”微缩防伪文字（内页三）。</w:t>
      </w:r>
    </w:p>
    <w:p w14:paraId="1BC75D6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4.三维渐变及机雕防伪图纹（封二）。</w:t>
      </w:r>
    </w:p>
    <w:p w14:paraId="0257B9F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5.新增十位证件号码，每证一号，便于微机检索与统计，从号码上即可体现区域性、时间性，同时采用红色荧光油墨，紫外灯照射下显现红色光，增强防伪效果（封三）。</w:t>
      </w:r>
    </w:p>
    <w:p w14:paraId="07E75A7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6.印钞纸厂专业安全防伪水印纸（全页）。</w:t>
      </w:r>
    </w:p>
    <w:p w14:paraId="2174E90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7.底纹等采用专色油墨。</w:t>
      </w:r>
    </w:p>
    <w:p w14:paraId="14C6347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（四）文字字体</w:t>
      </w:r>
    </w:p>
    <w:p w14:paraId="15E0738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新疆维吾尔自治区婚姻登记证书采用维汉双语印刷，按照汉字文字在上，维文文字在下，汉字文字版面比例大于维文文字，所有汉字文字均采用汉仪字库专用字体，具有较强的防伪性能，维文与需求方所提相关要求保持一致。</w:t>
      </w:r>
    </w:p>
    <w:p w14:paraId="6314B11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1.封二“中华人民共和国民政部监制”采用中黑6.1字体。</w:t>
      </w:r>
    </w:p>
    <w:p w14:paraId="3439DFB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2.内页一“申请结（离）婚，符合《中华人民共和国民法典》规定，予以登记，发给此证。”采用仿宋体4.6字体。</w:t>
      </w:r>
    </w:p>
    <w:p w14:paraId="015B8CD4">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3.其他文字均采用仿宋体4.3字体。</w:t>
      </w:r>
    </w:p>
    <w:p w14:paraId="69590D9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4.证芯维文与需求方所提相关要求保持一致。</w:t>
      </w:r>
    </w:p>
    <w:p w14:paraId="24150D33">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三、婚姻登记证式样说明（封皮）</w:t>
      </w:r>
    </w:p>
    <w:p w14:paraId="5D4D873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（一）结、离婚证成品说明</w:t>
      </w:r>
    </w:p>
    <w:p w14:paraId="1D4B261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纸规格 188mm ×128mm；</w:t>
      </w:r>
    </w:p>
    <w:p w14:paraId="751B9C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（二）字体和国徽说明</w:t>
      </w:r>
    </w:p>
    <w:p w14:paraId="3E2332C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1.“中华人民共和国”字正楷宋体初号字，标长62mm，高度8mm；</w:t>
      </w:r>
    </w:p>
    <w:p w14:paraId="710911B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2.“结婚证”字采用正楷宋体特号字，标长45mm，高度11.5mm；</w:t>
      </w:r>
    </w:p>
    <w:p w14:paraId="0B9DA20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3.“离婚证”字采用正楷宋体特号字，标长45mm，高度11.5mm；</w:t>
      </w:r>
    </w:p>
    <w:p w14:paraId="611A3658">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4.“国徽”采用国家标准缩小规格，高度40mm，宽度37mm；</w:t>
      </w:r>
    </w:p>
    <w:p w14:paraId="213522D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5.封皮维文与需求方所提相关要求保持一致。</w:t>
      </w:r>
    </w:p>
    <w:p w14:paraId="05F50567">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（三）封皮纸进口红宝石系列充皮纸及防伪设计说明</w:t>
      </w:r>
    </w:p>
    <w:p w14:paraId="7D95696E">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1.红宝石系列充皮纸为枣红色，不受南北各区域气候差异的影响而变形；</w:t>
      </w:r>
    </w:p>
    <w:p w14:paraId="0FA05680">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2.红宝石表皮含有纯正皮革的质料，有光泽抽象花纹，衬纸为纯正木浆，每m2重210g，使用于较精美的纪念手册或银行存折、高档证书和精装本的封面，不含PVC；</w:t>
      </w:r>
    </w:p>
    <w:p w14:paraId="5246C14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3.可内藏水印暗纹；双夹层内藏有“中华人民共和国婚姻证书”和“M P R CHINA”及圆形“双喜”字样，表面涂层不显任何防伪字样，须验钞机和紫外灯照射方可荧光显示，无法仿制，执法机关易于辨认；</w:t>
      </w:r>
    </w:p>
    <w:p w14:paraId="4E619F66">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（四）封皮纸及防伪设计的鉴别技术标准</w:t>
      </w:r>
    </w:p>
    <w:p w14:paraId="00B4F3A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1.封皮表层在任何角度均不显防伪字样，须在验钞机和紫外灯照射下，方显出无色荧光防伪字样。如不用验钞机或紫外灯照射封皮表层就显出字样的为假冒；</w:t>
      </w:r>
    </w:p>
    <w:p w14:paraId="591F467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2.撕开后，不含PVC过塑薄膜；</w:t>
      </w:r>
    </w:p>
    <w:p w14:paraId="18FDB321">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3.结婚证、离婚证封面均为枣红色，结婚证封面烫金，离婚证封面烫银，裱褙膜切，充皮纸里外一体颜色（红色）。</w:t>
      </w:r>
    </w:p>
    <w:p w14:paraId="39391B2B">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（五）质量保证</w:t>
      </w:r>
    </w:p>
    <w:p w14:paraId="42166474">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1.产品的质量应符合现行国家标准，产品及其原材料应符合国家规定的强制性环保要求，产品的各项性能指标，均应满足国家印刷行业标准，并不得违反国家相关的强制标准。</w:t>
      </w:r>
    </w:p>
    <w:p w14:paraId="4B7755D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2.未能表述的质量要求须按国家有关技术规范执行。</w:t>
      </w:r>
    </w:p>
    <w:p w14:paraId="5492BBDD">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（六）其他要求</w:t>
      </w:r>
    </w:p>
    <w:p w14:paraId="31585FE2">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1.婚姻证件成品要求规格尺寸、材质按技术标准所规定的、烫金内容清晰，证书粘合牢固，边缘整齐无毛边。</w:t>
      </w:r>
    </w:p>
    <w:p w14:paraId="3068B95A">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2.婚姻登记证50本/包，牛皮纸包，每包附包签，1000本/箱，箱体包装附证字号范围标签。</w:t>
      </w:r>
    </w:p>
    <w:p w14:paraId="0CCF5CA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3.婚姻登记证的内芯需由中国印钞造币总公司石家庄印钞厂统一印制。</w:t>
      </w:r>
    </w:p>
    <w:p w14:paraId="35FDAE79">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4.在封皮与内芯合成时应注意保持外表的平整及美观，避免变形。封皮纸与证芯合成后的样本需按照《民政部办公厅关于印制新式婚姻登记证的补充通知》（民办函〔2004〕15号）的要求进行备案。</w:t>
      </w:r>
    </w:p>
    <w:p w14:paraId="10293D3C">
      <w:pPr>
        <w:spacing w:line="560" w:lineRule="exact"/>
        <w:ind w:firstLine="484" w:firstLineChars="202"/>
        <w:rPr>
          <w:rFonts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5.投标单位自行查阅“（民办函〔2003〕166号、民办函〔2004〕15号、民办函〔2020〕79号）文件”关于国家纸张质量监督检验中心检验报告并响应报告内容及其他相关要求并响应。</w:t>
      </w:r>
    </w:p>
    <w:p w14:paraId="67101617">
      <w:pPr>
        <w:spacing w:line="560" w:lineRule="exact"/>
        <w:ind w:firstLine="484" w:firstLineChars="202"/>
        <w:rPr>
          <w:rFonts w:hint="eastAsia"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6.提交投标文件的同时，须提交所投货物样品21份，并且印制号为10个“0”（No-0000000000），否则其投标无效。</w:t>
      </w:r>
    </w:p>
    <w:p w14:paraId="01AE1804">
      <w:pPr>
        <w:spacing w:line="560" w:lineRule="exact"/>
        <w:ind w:firstLine="484" w:firstLineChars="202"/>
        <w:rPr>
          <w:rFonts w:hint="eastAsia" w:ascii="仿宋" w:hAnsi="仿宋" w:eastAsia="仿宋"/>
          <w:color w:val="000000"/>
          <w:kern w:val="0"/>
          <w:sz w:val="24"/>
          <w:szCs w:val="24"/>
          <w:highlight w:val="none"/>
        </w:rPr>
      </w:pPr>
      <w:r>
        <w:rPr>
          <w:rFonts w:hint="eastAsia" w:ascii="仿宋" w:hAnsi="仿宋" w:eastAsia="仿宋"/>
          <w:color w:val="000000"/>
          <w:kern w:val="0"/>
          <w:sz w:val="24"/>
          <w:szCs w:val="24"/>
          <w:highlight w:val="none"/>
        </w:rPr>
        <w:t>7. 现场需递交纸质版投标文件，投标人应提交壹套正本、贰套副本。投标人应将样品与投标文件一起密封，在所有密封口处粘贴密封条，不得出现裸露密封口，否则其投标无效。</w:t>
      </w:r>
    </w:p>
    <w:p w14:paraId="63FAA150">
      <w:pPr>
        <w:spacing w:line="560" w:lineRule="exact"/>
        <w:ind w:firstLine="484" w:firstLineChars="202"/>
        <w:rPr>
          <w:rFonts w:hint="default" w:ascii="仿宋" w:hAnsi="仿宋" w:eastAsia="仿宋"/>
          <w:color w:val="000000"/>
          <w:kern w:val="0"/>
          <w:sz w:val="24"/>
          <w:szCs w:val="24"/>
          <w:highlight w:val="none"/>
          <w:lang w:val="en-US" w:eastAsia="zh-CN"/>
        </w:rPr>
      </w:pPr>
      <w:r>
        <w:rPr>
          <w:rFonts w:hint="eastAsia" w:ascii="仿宋" w:hAnsi="仿宋" w:eastAsia="仿宋"/>
          <w:color w:val="000000"/>
          <w:kern w:val="0"/>
          <w:sz w:val="24"/>
          <w:szCs w:val="24"/>
          <w:highlight w:val="none"/>
          <w:lang w:val="en-US" w:eastAsia="zh-CN"/>
        </w:rPr>
        <w:t>8.为保障本项目婚姻登记证书印制、质量管控、工艺设计、配送交付及售后保障工作平稳落地，确保产品印制质量达标、交付时效可控、项目服务规范，投标人须配备专属、稳定的项目实施团队，建立完善的项目组织管理体系，明确团队人员职能分工、技术支撑机制与项目全周期人员保障措施。</w:t>
      </w:r>
    </w:p>
    <w:p w14:paraId="0455E227">
      <w:pPr>
        <w:pStyle w:val="6"/>
        <w:numPr>
          <w:ilvl w:val="2"/>
          <w:numId w:val="0"/>
        </w:numPr>
        <w:tabs>
          <w:tab w:val="left" w:pos="432"/>
        </w:tabs>
        <w:ind w:firstLine="720" w:firstLineChars="300"/>
        <w:rPr>
          <w:rFonts w:ascii="宋体" w:hAnsi="宋体"/>
          <w:b w:val="0"/>
          <w:bCs w:val="0"/>
          <w:i w:val="0"/>
          <w:iCs w:val="0"/>
          <w:color w:val="000000"/>
          <w:sz w:val="24"/>
          <w:szCs w:val="24"/>
          <w:highlight w:val="none"/>
        </w:rPr>
      </w:pPr>
      <w:bookmarkStart w:id="93" w:name="_Toc534816638"/>
      <w:bookmarkStart w:id="94" w:name="_Toc534725609"/>
      <w:r>
        <w:rPr>
          <w:rFonts w:hint="eastAsia" w:ascii="宋体" w:hAnsi="宋体"/>
          <w:b w:val="0"/>
          <w:bCs w:val="0"/>
          <w:i w:val="0"/>
          <w:iCs w:val="0"/>
          <w:color w:val="000000"/>
          <w:sz w:val="24"/>
          <w:szCs w:val="24"/>
          <w:highlight w:val="none"/>
        </w:rPr>
        <w:t>二、商务条款</w:t>
      </w:r>
      <w:bookmarkEnd w:id="93"/>
      <w:bookmarkEnd w:id="94"/>
    </w:p>
    <w:p w14:paraId="7A4601A9">
      <w:pPr>
        <w:pStyle w:val="7"/>
        <w:numPr>
          <w:ilvl w:val="3"/>
          <w:numId w:val="0"/>
        </w:numPr>
        <w:ind w:left="422" w:firstLine="240" w:firstLineChars="100"/>
        <w:rPr>
          <w:rFonts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1.质保期</w:t>
      </w:r>
    </w:p>
    <w:p w14:paraId="63E34EBE">
      <w:pPr>
        <w:pStyle w:val="25"/>
        <w:snapToGrid w:val="0"/>
        <w:spacing w:before="120" w:after="120"/>
        <w:ind w:left="360" w:leftChars="150" w:firstLine="240" w:firstLineChars="100"/>
        <w:rPr>
          <w:rFonts w:hAnsi="宋体"/>
          <w:i w:val="0"/>
          <w:iCs w:val="0"/>
          <w:color w:val="000000"/>
          <w:sz w:val="24"/>
          <w:szCs w:val="24"/>
          <w:highlight w:val="none"/>
          <w:u w:val="single"/>
        </w:rPr>
      </w:pPr>
      <w:r>
        <w:rPr>
          <w:rFonts w:hint="eastAsia" w:hAnsi="宋体"/>
          <w:i w:val="0"/>
          <w:iCs w:val="0"/>
          <w:color w:val="000000"/>
          <w:sz w:val="24"/>
          <w:szCs w:val="24"/>
          <w:highlight w:val="none"/>
          <w:u w:val="single"/>
        </w:rPr>
        <w:t xml:space="preserve">免费质保期 </w:t>
      </w:r>
      <w:r>
        <w:rPr>
          <w:rFonts w:hint="eastAsia" w:hAnsi="宋体" w:cs="Times New Roman"/>
          <w:b w:val="0"/>
          <w:bCs w:val="0"/>
          <w:i w:val="0"/>
          <w:iCs w:val="0"/>
          <w:kern w:val="2"/>
          <w:sz w:val="24"/>
          <w:szCs w:val="24"/>
          <w:highlight w:val="none"/>
          <w:u w:val="single"/>
          <w:lang w:val="en-US" w:eastAsia="zh-CN" w:bidi="ar-SA"/>
        </w:rPr>
        <w:t>24</w:t>
      </w:r>
      <w:r>
        <w:rPr>
          <w:rFonts w:hint="eastAsia" w:hAnsi="宋体"/>
          <w:i w:val="0"/>
          <w:iCs w:val="0"/>
          <w:color w:val="000000"/>
          <w:sz w:val="24"/>
          <w:szCs w:val="24"/>
          <w:highlight w:val="none"/>
          <w:u w:val="single"/>
        </w:rPr>
        <w:t>个月。（免费质保期自通过甲方验收合格之日起计）</w:t>
      </w:r>
    </w:p>
    <w:p w14:paraId="7EB73B52">
      <w:pPr>
        <w:pStyle w:val="7"/>
        <w:numPr>
          <w:ilvl w:val="3"/>
          <w:numId w:val="0"/>
        </w:numPr>
        <w:ind w:left="422" w:firstLine="240" w:firstLineChars="100"/>
        <w:rPr>
          <w:rFonts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2.交付期、交付方式及交付地点</w:t>
      </w:r>
    </w:p>
    <w:p w14:paraId="328D522B">
      <w:pPr>
        <w:pStyle w:val="25"/>
        <w:snapToGrid w:val="0"/>
        <w:spacing w:before="120" w:after="120"/>
        <w:ind w:firstLine="480" w:firstLineChars="200"/>
        <w:rPr>
          <w:rFonts w:hint="default" w:hAnsi="宋体" w:eastAsia="宋体"/>
          <w:i w:val="0"/>
          <w:iCs w:val="0"/>
          <w:color w:val="000000"/>
          <w:sz w:val="24"/>
          <w:szCs w:val="24"/>
          <w:highlight w:val="none"/>
          <w:u w:val="single"/>
          <w:lang w:val="en-US" w:eastAsia="zh-CN"/>
        </w:rPr>
      </w:pPr>
      <w:r>
        <w:rPr>
          <w:rFonts w:hint="eastAsia" w:hAnsi="宋体"/>
          <w:i w:val="0"/>
          <w:iCs w:val="0"/>
          <w:color w:val="000000"/>
          <w:sz w:val="24"/>
          <w:szCs w:val="24"/>
          <w:highlight w:val="none"/>
          <w:u w:val="single"/>
        </w:rPr>
        <w:t>2.1 交付期：自合同签订之日起</w:t>
      </w:r>
      <w:r>
        <w:rPr>
          <w:rFonts w:hint="eastAsia" w:hAnsi="宋体"/>
          <w:i w:val="0"/>
          <w:iCs w:val="0"/>
          <w:color w:val="000000"/>
          <w:sz w:val="24"/>
          <w:szCs w:val="24"/>
          <w:highlight w:val="none"/>
          <w:u w:val="single"/>
          <w:lang w:val="en-US" w:eastAsia="zh-CN"/>
        </w:rPr>
        <w:t>60</w:t>
      </w:r>
      <w:r>
        <w:rPr>
          <w:rFonts w:hint="eastAsia" w:hAnsi="宋体"/>
          <w:i w:val="0"/>
          <w:iCs w:val="0"/>
          <w:color w:val="000000"/>
          <w:sz w:val="24"/>
          <w:szCs w:val="24"/>
          <w:highlight w:val="none"/>
          <w:u w:val="single"/>
        </w:rPr>
        <w:t>个日历日内</w:t>
      </w:r>
      <w:r>
        <w:rPr>
          <w:rFonts w:hint="eastAsia" w:hAnsi="宋体"/>
          <w:i w:val="0"/>
          <w:iCs w:val="0"/>
          <w:color w:val="000000"/>
          <w:sz w:val="24"/>
          <w:szCs w:val="24"/>
          <w:highlight w:val="none"/>
          <w:u w:val="single"/>
          <w:lang w:eastAsia="zh-CN"/>
        </w:rPr>
        <w:t>完成第一批次交货。第二批次应于</w:t>
      </w:r>
      <w:r>
        <w:rPr>
          <w:rFonts w:hint="default" w:hAnsi="宋体"/>
          <w:i w:val="0"/>
          <w:iCs w:val="0"/>
          <w:color w:val="000000"/>
          <w:sz w:val="24"/>
          <w:szCs w:val="24"/>
          <w:highlight w:val="none"/>
          <w:u w:val="single"/>
          <w:lang w:val="en-US" w:eastAsia="zh-CN"/>
        </w:rPr>
        <w:t>120</w:t>
      </w:r>
      <w:r>
        <w:rPr>
          <w:rFonts w:hint="eastAsia" w:hAnsi="宋体"/>
          <w:i w:val="0"/>
          <w:iCs w:val="0"/>
          <w:color w:val="000000"/>
          <w:sz w:val="24"/>
          <w:szCs w:val="24"/>
          <w:highlight w:val="none"/>
          <w:u w:val="single"/>
          <w:lang w:val="en-US" w:eastAsia="zh-CN"/>
        </w:rPr>
        <w:t>个日历日完成交货。</w:t>
      </w:r>
    </w:p>
    <w:p w14:paraId="7E735AB0">
      <w:pPr>
        <w:pStyle w:val="25"/>
        <w:snapToGrid w:val="0"/>
        <w:spacing w:before="120" w:after="120"/>
        <w:ind w:firstLine="480" w:firstLineChars="200"/>
        <w:rPr>
          <w:rFonts w:hAnsi="宋体"/>
          <w:i w:val="0"/>
          <w:iCs w:val="0"/>
          <w:color w:val="000000"/>
          <w:sz w:val="24"/>
          <w:szCs w:val="24"/>
          <w:highlight w:val="none"/>
          <w:u w:val="single"/>
        </w:rPr>
      </w:pPr>
      <w:r>
        <w:rPr>
          <w:rFonts w:hint="eastAsia" w:hAnsi="宋体"/>
          <w:i w:val="0"/>
          <w:iCs w:val="0"/>
          <w:color w:val="000000"/>
          <w:sz w:val="24"/>
          <w:szCs w:val="24"/>
          <w:highlight w:val="none"/>
          <w:u w:val="single"/>
        </w:rPr>
        <w:t>2.2 交付方式：采购人指定。</w:t>
      </w:r>
    </w:p>
    <w:p w14:paraId="0B4B9262">
      <w:pPr>
        <w:pStyle w:val="25"/>
        <w:snapToGrid w:val="0"/>
        <w:spacing w:before="120" w:after="120"/>
        <w:ind w:firstLine="480" w:firstLineChars="200"/>
        <w:rPr>
          <w:rFonts w:hint="eastAsia" w:hAnsi="宋体"/>
          <w:i w:val="0"/>
          <w:iCs w:val="0"/>
          <w:color w:val="000000"/>
          <w:sz w:val="24"/>
          <w:szCs w:val="24"/>
          <w:highlight w:val="none"/>
          <w:u w:val="single"/>
        </w:rPr>
      </w:pPr>
      <w:r>
        <w:rPr>
          <w:rFonts w:hint="eastAsia" w:hAnsi="宋体"/>
          <w:i w:val="0"/>
          <w:iCs w:val="0"/>
          <w:color w:val="000000"/>
          <w:sz w:val="24"/>
          <w:szCs w:val="24"/>
          <w:highlight w:val="none"/>
          <w:u w:val="single"/>
        </w:rPr>
        <w:t>2.3 交付地点：采购人指定。</w:t>
      </w:r>
    </w:p>
    <w:p w14:paraId="48538B1F">
      <w:pPr>
        <w:pStyle w:val="7"/>
        <w:numPr>
          <w:ilvl w:val="3"/>
          <w:numId w:val="0"/>
        </w:numPr>
        <w:ind w:left="422" w:firstLine="240" w:firstLineChars="100"/>
        <w:rPr>
          <w:rFonts w:hint="eastAsia" w:ascii="宋体" w:hAnsi="宋体" w:eastAsia="宋体"/>
          <w:b w:val="0"/>
          <w:bCs w:val="0"/>
          <w:i w:val="0"/>
          <w:iCs w:val="0"/>
          <w:color w:val="000000"/>
          <w:sz w:val="24"/>
          <w:szCs w:val="24"/>
          <w:highlight w:val="none"/>
        </w:rPr>
      </w:pPr>
      <w:r>
        <w:rPr>
          <w:rFonts w:hint="eastAsia" w:ascii="宋体" w:hAnsi="宋体" w:eastAsia="宋体"/>
          <w:b w:val="0"/>
          <w:bCs w:val="0"/>
          <w:i w:val="0"/>
          <w:iCs w:val="0"/>
          <w:color w:val="000000"/>
          <w:sz w:val="24"/>
          <w:szCs w:val="24"/>
          <w:highlight w:val="none"/>
        </w:rPr>
        <w:t>3.货款支付</w:t>
      </w:r>
    </w:p>
    <w:p w14:paraId="6A9F99CB">
      <w:pPr>
        <w:pStyle w:val="7"/>
        <w:numPr>
          <w:ilvl w:val="3"/>
          <w:numId w:val="0"/>
        </w:numPr>
        <w:ind w:firstLine="480" w:firstLineChars="200"/>
        <w:rPr>
          <w:rFonts w:hint="eastAsia" w:ascii="宋体" w:hAnsi="宋体" w:eastAsia="宋体"/>
          <w:b w:val="0"/>
          <w:bCs w:val="0"/>
          <w:i w:val="0"/>
          <w:iCs w:val="0"/>
          <w:color w:val="000000"/>
          <w:sz w:val="24"/>
          <w:szCs w:val="24"/>
          <w:highlight w:val="none"/>
          <w:lang w:val="en-US" w:eastAsia="zh-CN"/>
        </w:rPr>
      </w:pPr>
      <w:r>
        <w:rPr>
          <w:rFonts w:hint="eastAsia" w:ascii="宋体" w:hAnsi="宋体" w:eastAsia="宋体"/>
          <w:b w:val="0"/>
          <w:bCs w:val="0"/>
          <w:i w:val="0"/>
          <w:iCs w:val="0"/>
          <w:color w:val="000000"/>
          <w:sz w:val="24"/>
          <w:szCs w:val="24"/>
          <w:highlight w:val="none"/>
          <w:lang w:val="en-US" w:eastAsia="zh-CN"/>
        </w:rPr>
        <w:t>3.1</w:t>
      </w:r>
      <w:r>
        <w:rPr>
          <w:rFonts w:hint="eastAsia" w:ascii="宋体" w:hAnsi="宋体" w:eastAsia="宋体"/>
          <w:b w:val="0"/>
          <w:bCs w:val="0"/>
          <w:i w:val="0"/>
          <w:iCs w:val="0"/>
          <w:color w:val="000000"/>
          <w:sz w:val="24"/>
          <w:szCs w:val="24"/>
          <w:highlight w:val="none"/>
          <w:lang w:eastAsia="zh-CN"/>
        </w:rPr>
        <w:t>分两批次交货，第一次付款：签订合同后，5个工作日内支付合同金额的</w:t>
      </w:r>
      <w:r>
        <w:rPr>
          <w:rFonts w:hint="eastAsia" w:ascii="宋体" w:hAnsi="宋体" w:eastAsia="宋体"/>
          <w:b w:val="0"/>
          <w:bCs w:val="0"/>
          <w:i w:val="0"/>
          <w:iCs w:val="0"/>
          <w:color w:val="000000"/>
          <w:sz w:val="24"/>
          <w:szCs w:val="24"/>
          <w:highlight w:val="none"/>
          <w:lang w:val="en-US" w:eastAsia="zh-CN"/>
        </w:rPr>
        <w:t>30%的预付款。第一次批次</w:t>
      </w:r>
      <w:r>
        <w:rPr>
          <w:rFonts w:hint="eastAsia" w:ascii="宋体" w:hAnsi="宋体" w:eastAsia="宋体"/>
          <w:b w:val="0"/>
          <w:bCs w:val="0"/>
          <w:i w:val="0"/>
          <w:iCs w:val="0"/>
          <w:color w:val="auto"/>
          <w:sz w:val="24"/>
          <w:szCs w:val="24"/>
          <w:highlight w:val="none"/>
          <w:u w:val="single"/>
          <w:lang w:val="en-US" w:eastAsia="zh-CN"/>
        </w:rPr>
        <w:t xml:space="preserve">   </w:t>
      </w:r>
      <w:r>
        <w:rPr>
          <w:rFonts w:hint="eastAsia" w:ascii="宋体" w:hAnsi="宋体" w:eastAsia="宋体"/>
          <w:b w:val="0"/>
          <w:bCs w:val="0"/>
          <w:i w:val="0"/>
          <w:iCs w:val="0"/>
          <w:color w:val="auto"/>
          <w:sz w:val="24"/>
          <w:szCs w:val="24"/>
          <w:highlight w:val="none"/>
          <w:lang w:val="en-US" w:eastAsia="zh-CN"/>
        </w:rPr>
        <w:t>万本</w:t>
      </w:r>
      <w:r>
        <w:rPr>
          <w:rFonts w:hint="eastAsia" w:ascii="宋体" w:hAnsi="宋体" w:eastAsia="宋体"/>
          <w:b w:val="0"/>
          <w:bCs w:val="0"/>
          <w:i w:val="0"/>
          <w:iCs w:val="0"/>
          <w:color w:val="000000"/>
          <w:sz w:val="24"/>
          <w:szCs w:val="24"/>
          <w:highlight w:val="none"/>
          <w:lang w:val="en-US" w:eastAsia="zh-CN"/>
        </w:rPr>
        <w:t>证书，到货验收后需提供正规增值税专用发票，每批货物验收合格后，甲方于15个工作日内支付合同金额的20%即</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元（大写人民币</w:t>
      </w:r>
      <w:r>
        <w:rPr>
          <w:rFonts w:hint="eastAsia" w:ascii="宋体" w:hAnsi="宋体" w:eastAsia="宋体"/>
          <w:b w:val="0"/>
          <w:bCs w:val="0"/>
          <w:i w:val="0"/>
          <w:iCs w:val="0"/>
          <w:color w:val="000000"/>
          <w:sz w:val="24"/>
          <w:szCs w:val="24"/>
          <w:highlight w:val="none"/>
          <w:u w:val="single"/>
          <w:lang w:val="en-US" w:eastAsia="zh-CN"/>
        </w:rPr>
        <w:t xml:space="preserve">        整</w:t>
      </w:r>
      <w:r>
        <w:rPr>
          <w:rFonts w:hint="eastAsia" w:ascii="宋体" w:hAnsi="宋体" w:eastAsia="宋体"/>
          <w:b w:val="0"/>
          <w:bCs w:val="0"/>
          <w:i w:val="0"/>
          <w:iCs w:val="0"/>
          <w:color w:val="000000"/>
          <w:sz w:val="24"/>
          <w:szCs w:val="24"/>
          <w:highlight w:val="none"/>
          <w:lang w:val="en-US" w:eastAsia="zh-CN"/>
        </w:rPr>
        <w:t>）。</w:t>
      </w:r>
    </w:p>
    <w:p w14:paraId="2A4AC400">
      <w:pPr>
        <w:pStyle w:val="7"/>
        <w:numPr>
          <w:ilvl w:val="3"/>
          <w:numId w:val="0"/>
        </w:numPr>
        <w:ind w:firstLine="480" w:firstLineChars="200"/>
        <w:rPr>
          <w:rFonts w:hint="eastAsia" w:ascii="宋体" w:hAnsi="宋体" w:eastAsia="宋体"/>
          <w:b w:val="0"/>
          <w:bCs w:val="0"/>
          <w:i w:val="0"/>
          <w:iCs w:val="0"/>
          <w:color w:val="000000"/>
          <w:sz w:val="24"/>
          <w:szCs w:val="24"/>
          <w:highlight w:val="none"/>
          <w:lang w:val="en-US" w:eastAsia="zh-CN"/>
        </w:rPr>
      </w:pPr>
      <w:r>
        <w:rPr>
          <w:rFonts w:hint="eastAsia" w:ascii="宋体" w:hAnsi="宋体" w:eastAsia="宋体"/>
          <w:b w:val="0"/>
          <w:bCs w:val="0"/>
          <w:i w:val="0"/>
          <w:iCs w:val="0"/>
          <w:color w:val="000000"/>
          <w:sz w:val="24"/>
          <w:szCs w:val="24"/>
          <w:highlight w:val="none"/>
          <w:lang w:val="en-US" w:eastAsia="zh-CN"/>
        </w:rPr>
        <w:t>3.2第二次批次</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万本证书，到货验收后需提供正规增值税专用发票，每批货物验收合格后，甲方于15个工作日内支付合同金额的50%即</w:t>
      </w:r>
      <w:r>
        <w:rPr>
          <w:rFonts w:hint="eastAsia" w:ascii="宋体" w:hAnsi="宋体" w:eastAsia="宋体"/>
          <w:b w:val="0"/>
          <w:bCs w:val="0"/>
          <w:i w:val="0"/>
          <w:iCs w:val="0"/>
          <w:color w:val="000000"/>
          <w:sz w:val="24"/>
          <w:szCs w:val="24"/>
          <w:highlight w:val="none"/>
          <w:u w:val="single"/>
          <w:lang w:val="en-US" w:eastAsia="zh-CN"/>
        </w:rPr>
        <w:t xml:space="preserve">     </w:t>
      </w:r>
      <w:r>
        <w:rPr>
          <w:rFonts w:hint="eastAsia" w:ascii="宋体" w:hAnsi="宋体" w:eastAsia="宋体"/>
          <w:b w:val="0"/>
          <w:bCs w:val="0"/>
          <w:i w:val="0"/>
          <w:iCs w:val="0"/>
          <w:color w:val="000000"/>
          <w:sz w:val="24"/>
          <w:szCs w:val="24"/>
          <w:highlight w:val="none"/>
          <w:lang w:val="en-US" w:eastAsia="zh-CN"/>
        </w:rPr>
        <w:t>元（大写人民币</w:t>
      </w:r>
      <w:r>
        <w:rPr>
          <w:rFonts w:hint="eastAsia" w:ascii="宋体" w:hAnsi="宋体" w:eastAsia="宋体"/>
          <w:b w:val="0"/>
          <w:bCs w:val="0"/>
          <w:i w:val="0"/>
          <w:iCs w:val="0"/>
          <w:color w:val="000000"/>
          <w:sz w:val="24"/>
          <w:szCs w:val="24"/>
          <w:highlight w:val="none"/>
          <w:u w:val="single"/>
          <w:lang w:val="en-US" w:eastAsia="zh-CN"/>
        </w:rPr>
        <w:t xml:space="preserve">        整</w:t>
      </w:r>
      <w:r>
        <w:rPr>
          <w:rFonts w:hint="eastAsia" w:ascii="宋体" w:hAnsi="宋体" w:eastAsia="宋体"/>
          <w:b w:val="0"/>
          <w:bCs w:val="0"/>
          <w:i w:val="0"/>
          <w:iCs w:val="0"/>
          <w:color w:val="000000"/>
          <w:sz w:val="24"/>
          <w:szCs w:val="24"/>
          <w:highlight w:val="none"/>
          <w:lang w:val="en-US" w:eastAsia="zh-CN"/>
        </w:rPr>
        <w:t>）。</w:t>
      </w:r>
    </w:p>
    <w:p w14:paraId="66EEC77C">
      <w:pPr>
        <w:pStyle w:val="25"/>
        <w:snapToGrid w:val="0"/>
        <w:spacing w:before="120" w:after="120"/>
        <w:ind w:firstLine="480" w:firstLineChars="200"/>
        <w:rPr>
          <w:rFonts w:hint="eastAsia" w:hAnsi="宋体"/>
          <w:i/>
          <w:iCs/>
          <w:color w:val="000000"/>
          <w:sz w:val="24"/>
          <w:szCs w:val="24"/>
          <w:highlight w:val="none"/>
          <w:u w:val="single"/>
        </w:rPr>
      </w:pPr>
      <w:r>
        <w:rPr>
          <w:rFonts w:hint="eastAsia" w:ascii="宋体" w:hAnsi="宋体" w:eastAsia="宋体"/>
          <w:b w:val="0"/>
          <w:bCs w:val="0"/>
          <w:i w:val="0"/>
          <w:iCs w:val="0"/>
          <w:color w:val="000000"/>
          <w:sz w:val="24"/>
          <w:szCs w:val="24"/>
          <w:highlight w:val="none"/>
          <w:lang w:val="en-US" w:eastAsia="zh-CN"/>
        </w:rPr>
        <w:t>3.</w:t>
      </w:r>
      <w:r>
        <w:rPr>
          <w:rFonts w:hint="eastAsia" w:hAnsi="宋体"/>
          <w:b w:val="0"/>
          <w:bCs w:val="0"/>
          <w:i w:val="0"/>
          <w:iCs w:val="0"/>
          <w:color w:val="000000"/>
          <w:sz w:val="24"/>
          <w:szCs w:val="24"/>
          <w:highlight w:val="none"/>
          <w:lang w:val="en-US" w:eastAsia="zh-CN"/>
        </w:rPr>
        <w:t>3</w:t>
      </w:r>
      <w:r>
        <w:rPr>
          <w:rFonts w:hint="eastAsia" w:ascii="宋体" w:hAnsi="宋体" w:eastAsia="宋体"/>
          <w:b w:val="0"/>
          <w:bCs w:val="0"/>
          <w:i w:val="0"/>
          <w:iCs w:val="0"/>
          <w:color w:val="000000"/>
          <w:sz w:val="24"/>
          <w:szCs w:val="24"/>
          <w:highlight w:val="none"/>
          <w:lang w:val="en-US" w:eastAsia="zh-CN"/>
        </w:rPr>
        <w:t>付款前，乙方须及时向甲方出具合法有效完整的增值税专用发票及凭证资料进行支付结算。甲方收到发票核对无误后15个工作日内向乙方指定账户支付费用。</w:t>
      </w:r>
      <w:r>
        <w:rPr>
          <w:highlight w:val="none"/>
        </w:rPr>
        <w:br w:type="page"/>
      </w:r>
    </w:p>
    <w:p w14:paraId="2C921CA3">
      <w:pPr>
        <w:pStyle w:val="7"/>
        <w:numPr>
          <w:ilvl w:val="3"/>
          <w:numId w:val="0"/>
        </w:numPr>
        <w:ind w:firstLine="883" w:firstLineChars="200"/>
        <w:jc w:val="center"/>
        <w:rPr>
          <w:rFonts w:hAnsi="宋体"/>
          <w:i/>
          <w:iCs/>
          <w:color w:val="000000"/>
          <w:sz w:val="24"/>
          <w:szCs w:val="24"/>
          <w:highlight w:val="none"/>
          <w:u w:val="single"/>
        </w:rPr>
      </w:pPr>
      <w:bookmarkStart w:id="95" w:name="_Toc8943"/>
      <w:r>
        <w:rPr>
          <w:rFonts w:hint="eastAsia" w:hAnsi="宋体"/>
          <w:b/>
          <w:sz w:val="44"/>
          <w:highlight w:val="none"/>
        </w:rPr>
        <w:t>第五章  评审方法与评审标准</w:t>
      </w:r>
      <w:bookmarkEnd w:id="95"/>
    </w:p>
    <w:p w14:paraId="5084F0FF">
      <w:pPr>
        <w:widowControl/>
        <w:tabs>
          <w:tab w:val="left" w:pos="720"/>
        </w:tabs>
        <w:ind w:firstLine="482"/>
        <w:jc w:val="left"/>
        <w:outlineLvl w:val="1"/>
        <w:rPr>
          <w:rFonts w:ascii="宋体" w:hAnsi="宋体"/>
          <w:b/>
          <w:kern w:val="0"/>
          <w:szCs w:val="24"/>
          <w:highlight w:val="none"/>
        </w:rPr>
      </w:pPr>
      <w:bookmarkStart w:id="96" w:name="_Toc485207380"/>
      <w:r>
        <w:rPr>
          <w:rFonts w:hint="eastAsia" w:ascii="宋体" w:hAnsi="宋体"/>
          <w:b/>
          <w:kern w:val="0"/>
          <w:szCs w:val="24"/>
          <w:highlight w:val="none"/>
        </w:rPr>
        <w:t>一、评审方法与定标原则</w:t>
      </w:r>
      <w:bookmarkEnd w:id="96"/>
    </w:p>
    <w:p w14:paraId="55701F05">
      <w:pPr>
        <w:pStyle w:val="233"/>
        <w:ind w:firstLine="472" w:firstLineChars="197"/>
        <w:rPr>
          <w:rFonts w:ascii="宋体" w:hAnsi="宋体"/>
          <w:kern w:val="2"/>
          <w:highlight w:val="none"/>
        </w:rPr>
      </w:pPr>
      <w:r>
        <w:rPr>
          <w:rFonts w:hint="eastAsia" w:ascii="宋体" w:hAnsi="宋体"/>
          <w:kern w:val="2"/>
          <w:highlight w:val="none"/>
        </w:rPr>
        <w:t>评委会将对确定为实质性响应磋商文件要求的磋商响应文件进行评价和比较，评审采用综合评分法。将根据需求分析和必要性分析的完整性和科学性，总体方案的实用性、可操作性，项目可行性分析的完整性，企业技术力量、业绩，售后服务承诺、培训承诺等方面进行综合评审。</w:t>
      </w:r>
    </w:p>
    <w:p w14:paraId="584EED9B">
      <w:pPr>
        <w:widowControl/>
        <w:tabs>
          <w:tab w:val="left" w:pos="720"/>
        </w:tabs>
        <w:ind w:firstLine="482"/>
        <w:jc w:val="left"/>
        <w:outlineLvl w:val="1"/>
        <w:rPr>
          <w:rFonts w:ascii="宋体" w:hAnsi="宋体"/>
          <w:b/>
          <w:kern w:val="0"/>
          <w:szCs w:val="24"/>
          <w:highlight w:val="none"/>
        </w:rPr>
      </w:pPr>
      <w:bookmarkStart w:id="97" w:name="_Toc485207381"/>
      <w:r>
        <w:rPr>
          <w:rFonts w:hint="eastAsia" w:ascii="宋体" w:hAnsi="宋体"/>
          <w:b/>
          <w:kern w:val="0"/>
          <w:szCs w:val="24"/>
          <w:highlight w:val="none"/>
        </w:rPr>
        <w:t>二、评审标准</w:t>
      </w:r>
      <w:bookmarkEnd w:id="97"/>
    </w:p>
    <w:p w14:paraId="4A42AA20">
      <w:pPr>
        <w:ind w:firstLine="480" w:firstLineChars="200"/>
        <w:rPr>
          <w:rFonts w:ascii="宋体" w:hAnsi="宋体"/>
          <w:szCs w:val="24"/>
          <w:highlight w:val="none"/>
        </w:rPr>
      </w:pPr>
      <w:r>
        <w:rPr>
          <w:rFonts w:hint="eastAsia" w:ascii="宋体" w:hAnsi="宋体"/>
          <w:szCs w:val="24"/>
          <w:highlight w:val="none"/>
        </w:rPr>
        <w:t>本项目采用综合打分法，总分为100分，满足磋商文件要求的磋商最终报价最低的磋商报价作为评审基准价，按评审后得分由高到低顺序排列，得分相同的，按磋商报价由低到高顺序排列，得</w:t>
      </w:r>
      <w:r>
        <w:rPr>
          <w:rFonts w:hint="eastAsia" w:ascii="宋体" w:hAnsi="宋体"/>
          <w:color w:val="000000"/>
          <w:szCs w:val="24"/>
          <w:highlight w:val="none"/>
        </w:rPr>
        <w:t>分且磋商报价相同的，按技术指标优劣顺序排列，由评审委员会确定成交候选人。</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55"/>
        <w:gridCol w:w="5384"/>
        <w:gridCol w:w="645"/>
      </w:tblGrid>
      <w:tr w14:paraId="4A69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89" w:type="dxa"/>
            <w:vAlign w:val="center"/>
          </w:tcPr>
          <w:p w14:paraId="56598C89">
            <w:pPr>
              <w:widowControl/>
              <w:jc w:val="center"/>
              <w:rPr>
                <w:rFonts w:ascii="宋体" w:hAnsi="宋体"/>
                <w:b/>
                <w:bCs/>
                <w:color w:val="000000"/>
                <w:kern w:val="0"/>
                <w:highlight w:val="none"/>
              </w:rPr>
            </w:pPr>
            <w:r>
              <w:rPr>
                <w:rFonts w:hint="eastAsia" w:ascii="宋体" w:hAnsi="宋体"/>
                <w:b/>
                <w:bCs/>
                <w:color w:val="000000"/>
                <w:kern w:val="0"/>
                <w:highlight w:val="none"/>
              </w:rPr>
              <w:t>评分项目</w:t>
            </w:r>
          </w:p>
        </w:tc>
        <w:tc>
          <w:tcPr>
            <w:tcW w:w="1555" w:type="dxa"/>
            <w:vAlign w:val="center"/>
          </w:tcPr>
          <w:p w14:paraId="0C308173">
            <w:pPr>
              <w:widowControl/>
              <w:jc w:val="center"/>
              <w:rPr>
                <w:rFonts w:ascii="宋体" w:hAnsi="宋体"/>
                <w:b/>
                <w:bCs/>
                <w:color w:val="000000"/>
                <w:kern w:val="0"/>
                <w:highlight w:val="none"/>
              </w:rPr>
            </w:pPr>
            <w:r>
              <w:rPr>
                <w:rFonts w:hint="eastAsia" w:ascii="宋体" w:hAnsi="宋体"/>
                <w:b/>
                <w:bCs/>
                <w:color w:val="000000"/>
                <w:kern w:val="0"/>
                <w:highlight w:val="none"/>
              </w:rPr>
              <w:t>评分因素</w:t>
            </w:r>
          </w:p>
        </w:tc>
        <w:tc>
          <w:tcPr>
            <w:tcW w:w="5384" w:type="dxa"/>
            <w:vAlign w:val="center"/>
          </w:tcPr>
          <w:p w14:paraId="0E55CDC3">
            <w:pPr>
              <w:widowControl/>
              <w:jc w:val="center"/>
              <w:rPr>
                <w:rFonts w:ascii="宋体" w:hAnsi="宋体"/>
                <w:b/>
                <w:bCs/>
                <w:color w:val="000000"/>
                <w:kern w:val="0"/>
                <w:highlight w:val="none"/>
              </w:rPr>
            </w:pPr>
            <w:r>
              <w:rPr>
                <w:rFonts w:hint="eastAsia" w:ascii="宋体" w:hAnsi="宋体"/>
                <w:b/>
                <w:bCs/>
                <w:color w:val="000000"/>
                <w:kern w:val="0"/>
                <w:highlight w:val="none"/>
              </w:rPr>
              <w:t>评审内容</w:t>
            </w:r>
          </w:p>
        </w:tc>
        <w:tc>
          <w:tcPr>
            <w:tcW w:w="645" w:type="dxa"/>
            <w:vAlign w:val="center"/>
          </w:tcPr>
          <w:p w14:paraId="065F3A0B">
            <w:pPr>
              <w:widowControl/>
              <w:jc w:val="center"/>
              <w:rPr>
                <w:rFonts w:ascii="宋体" w:hAnsi="宋体"/>
                <w:b/>
                <w:bCs/>
                <w:color w:val="000000"/>
                <w:kern w:val="0"/>
                <w:highlight w:val="none"/>
              </w:rPr>
            </w:pPr>
            <w:r>
              <w:rPr>
                <w:rFonts w:hint="eastAsia" w:ascii="宋体" w:hAnsi="宋体"/>
                <w:b/>
                <w:bCs/>
                <w:color w:val="000000"/>
                <w:kern w:val="0"/>
                <w:highlight w:val="none"/>
              </w:rPr>
              <w:t>分值</w:t>
            </w:r>
          </w:p>
        </w:tc>
      </w:tr>
      <w:tr w14:paraId="6102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89" w:type="dxa"/>
            <w:vAlign w:val="center"/>
          </w:tcPr>
          <w:p w14:paraId="7681B343">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价格部分（30分）</w:t>
            </w:r>
          </w:p>
        </w:tc>
        <w:tc>
          <w:tcPr>
            <w:tcW w:w="1555" w:type="dxa"/>
            <w:vAlign w:val="center"/>
          </w:tcPr>
          <w:p w14:paraId="11F0C587">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磋商报价</w:t>
            </w:r>
          </w:p>
        </w:tc>
        <w:tc>
          <w:tcPr>
            <w:tcW w:w="5384" w:type="dxa"/>
            <w:vAlign w:val="center"/>
          </w:tcPr>
          <w:p w14:paraId="6B16488D">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价格分采用低价优先法计算，即满足本磋商文件要求且最后报价最低的供应商的价格为磋商基准价，其价格分为满分，其它供应商的价格分统一按照下列公式计算：</w:t>
            </w:r>
          </w:p>
          <w:p w14:paraId="11F0EC36">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磋商报价得分=（磋商基准价／最后磋商报价）×价格分分值（精确到小数点后两位）。</w:t>
            </w:r>
          </w:p>
          <w:p w14:paraId="6CBC6FF6">
            <w:pPr>
              <w:widowControl/>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超过了采购项目预算或最高限价的，为无效响应。</w:t>
            </w:r>
          </w:p>
        </w:tc>
        <w:tc>
          <w:tcPr>
            <w:tcW w:w="645" w:type="dxa"/>
            <w:vAlign w:val="center"/>
          </w:tcPr>
          <w:p w14:paraId="2322C92B">
            <w:pPr>
              <w:widowControl/>
              <w:jc w:val="center"/>
              <w:rPr>
                <w:rFonts w:hint="eastAsia" w:ascii="宋体" w:hAnsi="宋体" w:eastAsia="宋体"/>
                <w:b w:val="0"/>
                <w:bCs w:val="0"/>
                <w:color w:val="000000"/>
                <w:kern w:val="0"/>
                <w:sz w:val="24"/>
                <w:szCs w:val="24"/>
                <w:highlight w:val="none"/>
                <w:lang w:eastAsia="zh-CN"/>
              </w:rPr>
            </w:pPr>
            <w:r>
              <w:rPr>
                <w:rFonts w:hint="eastAsia" w:ascii="宋体" w:hAnsi="宋体"/>
                <w:b w:val="0"/>
                <w:bCs w:val="0"/>
                <w:color w:val="000000"/>
                <w:kern w:val="0"/>
                <w:sz w:val="24"/>
                <w:szCs w:val="24"/>
                <w:highlight w:val="none"/>
              </w:rPr>
              <w:t>30</w:t>
            </w:r>
            <w:r>
              <w:rPr>
                <w:rFonts w:hint="eastAsia" w:ascii="宋体" w:hAnsi="宋体"/>
                <w:b w:val="0"/>
                <w:bCs w:val="0"/>
                <w:color w:val="000000"/>
                <w:kern w:val="0"/>
                <w:sz w:val="24"/>
                <w:szCs w:val="24"/>
                <w:highlight w:val="none"/>
                <w:lang w:eastAsia="zh-CN"/>
              </w:rPr>
              <w:t>分</w:t>
            </w:r>
          </w:p>
        </w:tc>
      </w:tr>
      <w:tr w14:paraId="36A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89" w:type="dxa"/>
            <w:vMerge w:val="restart"/>
            <w:vAlign w:val="center"/>
          </w:tcPr>
          <w:p w14:paraId="6B065E2C">
            <w:pPr>
              <w:widowControl/>
              <w:jc w:val="cente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rPr>
              <w:t>商务部分（2</w:t>
            </w:r>
            <w:r>
              <w:rPr>
                <w:rFonts w:hint="eastAsia" w:ascii="宋体" w:hAnsi="宋体"/>
                <w:b w:val="0"/>
                <w:bCs w:val="0"/>
                <w:color w:val="000000"/>
                <w:kern w:val="0"/>
                <w:sz w:val="24"/>
                <w:szCs w:val="24"/>
                <w:highlight w:val="none"/>
                <w:lang w:val="en-US" w:eastAsia="zh-CN"/>
              </w:rPr>
              <w:t>5</w:t>
            </w:r>
            <w:r>
              <w:rPr>
                <w:rFonts w:hint="eastAsia" w:ascii="宋体" w:hAnsi="宋体"/>
                <w:b w:val="0"/>
                <w:bCs w:val="0"/>
                <w:color w:val="000000"/>
                <w:kern w:val="0"/>
                <w:sz w:val="24"/>
                <w:szCs w:val="24"/>
                <w:highlight w:val="none"/>
              </w:rPr>
              <w:t>分）</w:t>
            </w:r>
          </w:p>
        </w:tc>
        <w:tc>
          <w:tcPr>
            <w:tcW w:w="1555" w:type="dxa"/>
            <w:vAlign w:val="center"/>
          </w:tcPr>
          <w:p w14:paraId="301DF6E8">
            <w:pPr>
              <w:widowControl/>
              <w:ind w:firstLine="240" w:firstLineChars="100"/>
              <w:jc w:val="both"/>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质量管控</w:t>
            </w:r>
          </w:p>
        </w:tc>
        <w:tc>
          <w:tcPr>
            <w:tcW w:w="5384" w:type="dxa"/>
            <w:shd w:val="clear" w:color="000000" w:fill="FFFFFF"/>
            <w:vAlign w:val="center"/>
          </w:tcPr>
          <w:p w14:paraId="5D77F572">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投标人须结合本项目婚姻登记证书印制、生产交付的采购需求，编制针对性、可落地的项目质量管理制度，制度必须包含</w:t>
            </w:r>
            <w:r>
              <w:rPr>
                <w:rStyle w:val="53"/>
                <w:rFonts w:ascii="宋体" w:hAnsi="宋体" w:eastAsia="宋体" w:cs="宋体"/>
                <w:b w:val="0"/>
                <w:bCs w:val="0"/>
                <w:kern w:val="0"/>
                <w:sz w:val="24"/>
                <w:szCs w:val="24"/>
                <w:highlight w:val="none"/>
                <w:lang w:val="en-US" w:eastAsia="zh-CN" w:bidi="ar"/>
              </w:rPr>
              <w:t>①原材料管控、②生产过程管控、③出厂检验管控</w:t>
            </w:r>
            <w:r>
              <w:rPr>
                <w:rFonts w:ascii="宋体" w:hAnsi="宋体" w:eastAsia="宋体" w:cs="宋体"/>
                <w:b w:val="0"/>
                <w:bCs w:val="0"/>
                <w:kern w:val="0"/>
                <w:sz w:val="24"/>
                <w:szCs w:val="24"/>
                <w:highlight w:val="none"/>
                <w:lang w:val="en-US" w:eastAsia="zh-CN" w:bidi="ar"/>
              </w:rPr>
              <w:t>三大核心模块，同时完整覆盖项目对接人、专项响应服务、问题解决方案、售后上门回访四项配套服务要素。评审依据投标人提供的质量管理制度完整性、针对性、落地性及配套服务要素完善度，按以下客观标准打分：</w:t>
            </w:r>
          </w:p>
          <w:p w14:paraId="6E54BBE0">
            <w:pPr>
              <w:keepNext w:val="0"/>
              <w:keepLines w:val="0"/>
              <w:widowControl/>
              <w:numPr>
                <w:ilvl w:val="0"/>
                <w:numId w:val="14"/>
              </w:numPr>
              <w:suppressLineNumbers w:val="0"/>
              <w:jc w:val="left"/>
              <w:rPr>
                <w:rFonts w:hint="eastAsia"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质量管理制度完整包含原材料管控、生产过程管控、出厂检验管控三大核心模块，各模块管控流程清晰、标准贴合婚姻证件印制行业规范、管控措施具体可落地；同时完整配备专属项目对接人、完善的项目响应服务机制、全场景问题解决方案、定期上门回访服务机制，所有评审要素无缺项、无模板化套用内容，完全适配本项目履约需求</w:t>
            </w:r>
            <w:r>
              <w:rPr>
                <w:rFonts w:hint="eastAsia" w:ascii="宋体" w:hAnsi="宋体" w:eastAsia="宋体" w:cs="宋体"/>
                <w:b w:val="0"/>
                <w:bCs w:val="0"/>
                <w:kern w:val="0"/>
                <w:sz w:val="24"/>
                <w:szCs w:val="24"/>
                <w:highlight w:val="none"/>
                <w:lang w:val="en-US" w:eastAsia="zh-CN" w:bidi="ar"/>
              </w:rPr>
              <w:t>，得10分。</w:t>
            </w:r>
          </w:p>
          <w:p w14:paraId="527C43D3">
            <w:pPr>
              <w:keepNext w:val="0"/>
              <w:keepLines w:val="0"/>
              <w:widowControl/>
              <w:suppressLineNumbers w:val="0"/>
              <w:jc w:val="left"/>
              <w:rPr>
                <w:rFonts w:hint="default"/>
                <w:b w:val="0"/>
                <w:bCs w:val="0"/>
                <w:highlight w:val="none"/>
                <w:lang w:val="en-US"/>
              </w:rPr>
            </w:pPr>
            <w:r>
              <w:rPr>
                <w:rFonts w:hint="eastAsia"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质量管理制度包含原材料管控、生产过程管控、出厂检验管控三大核心模块，核心管控体系齐全；但配套服务要素</w:t>
            </w:r>
            <w:r>
              <w:rPr>
                <w:rStyle w:val="53"/>
                <w:rFonts w:ascii="宋体" w:hAnsi="宋体" w:eastAsia="宋体" w:cs="宋体"/>
                <w:b w:val="0"/>
                <w:bCs w:val="0"/>
                <w:kern w:val="0"/>
                <w:sz w:val="24"/>
                <w:szCs w:val="24"/>
                <w:highlight w:val="none"/>
                <w:lang w:val="en-US" w:eastAsia="zh-CN" w:bidi="ar"/>
              </w:rPr>
              <w:t>缺少</w:t>
            </w:r>
            <w:r>
              <w:rPr>
                <w:rStyle w:val="53"/>
                <w:rFonts w:hint="eastAsia" w:ascii="宋体" w:hAnsi="宋体" w:eastAsia="宋体" w:cs="宋体"/>
                <w:b w:val="0"/>
                <w:bCs w:val="0"/>
                <w:kern w:val="0"/>
                <w:sz w:val="24"/>
                <w:szCs w:val="24"/>
                <w:highlight w:val="none"/>
                <w:lang w:val="en-US" w:eastAsia="zh-CN" w:bidi="ar"/>
              </w:rPr>
              <w:t>1</w:t>
            </w:r>
            <w:r>
              <w:rPr>
                <w:rStyle w:val="53"/>
                <w:rFonts w:ascii="宋体" w:hAnsi="宋体" w:eastAsia="宋体" w:cs="宋体"/>
                <w:b w:val="0"/>
                <w:bCs w:val="0"/>
                <w:kern w:val="0"/>
                <w:sz w:val="24"/>
                <w:szCs w:val="24"/>
                <w:highlight w:val="none"/>
                <w:lang w:val="en-US" w:eastAsia="zh-CN" w:bidi="ar"/>
              </w:rPr>
              <w:t>项</w:t>
            </w:r>
            <w:r>
              <w:rPr>
                <w:rFonts w:ascii="宋体" w:hAnsi="宋体" w:eastAsia="宋体" w:cs="宋体"/>
                <w:b w:val="0"/>
                <w:bCs w:val="0"/>
                <w:kern w:val="0"/>
                <w:sz w:val="24"/>
                <w:szCs w:val="24"/>
                <w:highlight w:val="none"/>
                <w:lang w:val="en-US" w:eastAsia="zh-CN" w:bidi="ar"/>
              </w:rPr>
              <w:t>（项目对接人、响应服务、解决方案、上门回访任意</w:t>
            </w:r>
            <w:r>
              <w:rPr>
                <w:rFonts w:hint="eastAsia" w:ascii="宋体" w:hAnsi="宋体" w:cs="宋体"/>
                <w:b w:val="0"/>
                <w:bCs w:val="0"/>
                <w:kern w:val="0"/>
                <w:sz w:val="24"/>
                <w:szCs w:val="24"/>
                <w:highlight w:val="none"/>
                <w:lang w:val="en-US" w:eastAsia="zh-CN" w:bidi="ar"/>
              </w:rPr>
              <w:t>一</w:t>
            </w:r>
            <w:r>
              <w:rPr>
                <w:rFonts w:ascii="宋体" w:hAnsi="宋体" w:eastAsia="宋体" w:cs="宋体"/>
                <w:b w:val="0"/>
                <w:bCs w:val="0"/>
                <w:kern w:val="0"/>
                <w:sz w:val="24"/>
                <w:szCs w:val="24"/>
                <w:highlight w:val="none"/>
                <w:lang w:val="en-US" w:eastAsia="zh-CN" w:bidi="ar"/>
              </w:rPr>
              <w:t>项），或制度部分内容通用性较强、针对性不足，可满足项目基础履约需求</w:t>
            </w:r>
            <w:r>
              <w:rPr>
                <w:rFonts w:hint="eastAsia" w:ascii="宋体" w:hAnsi="宋体" w:eastAsia="宋体" w:cs="宋体"/>
                <w:b w:val="0"/>
                <w:bCs w:val="0"/>
                <w:kern w:val="0"/>
                <w:sz w:val="24"/>
                <w:szCs w:val="24"/>
                <w:highlight w:val="none"/>
                <w:lang w:val="en-US" w:eastAsia="zh-CN" w:bidi="ar"/>
              </w:rPr>
              <w:t>，扣3分。</w:t>
            </w:r>
          </w:p>
          <w:p w14:paraId="5D40D7B3">
            <w:pPr>
              <w:keepNext w:val="0"/>
              <w:keepLines w:val="0"/>
              <w:widowControl/>
              <w:suppressLineNumbers w:val="0"/>
              <w:jc w:val="left"/>
              <w:rPr>
                <w:rFonts w:hint="default"/>
                <w:b w:val="0"/>
                <w:bCs w:val="0"/>
                <w:highlight w:val="none"/>
                <w:lang w:val="en-US"/>
              </w:rPr>
            </w:pPr>
            <w:r>
              <w:rPr>
                <w:rFonts w:hint="eastAsia" w:ascii="宋体" w:hAnsi="宋体" w:eastAsia="宋体" w:cs="宋体"/>
                <w:b w:val="0"/>
                <w:bCs w:val="0"/>
                <w:kern w:val="0"/>
                <w:sz w:val="24"/>
                <w:szCs w:val="24"/>
                <w:highlight w:val="none"/>
                <w:lang w:val="en-US" w:eastAsia="zh-CN" w:bidi="ar"/>
              </w:rPr>
              <w:t>3、</w:t>
            </w:r>
            <w:r>
              <w:rPr>
                <w:rFonts w:ascii="宋体" w:hAnsi="宋体" w:eastAsia="宋体" w:cs="宋体"/>
                <w:b w:val="0"/>
                <w:bCs w:val="0"/>
                <w:kern w:val="0"/>
                <w:sz w:val="24"/>
                <w:szCs w:val="24"/>
                <w:highlight w:val="none"/>
                <w:lang w:val="en-US" w:eastAsia="zh-CN" w:bidi="ar"/>
              </w:rPr>
              <w:t>质量管理制度覆盖三大核心管控模块，但配套服务要素</w:t>
            </w:r>
            <w:r>
              <w:rPr>
                <w:rStyle w:val="53"/>
                <w:rFonts w:ascii="宋体" w:hAnsi="宋体" w:eastAsia="宋体" w:cs="宋体"/>
                <w:b w:val="0"/>
                <w:bCs w:val="0"/>
                <w:kern w:val="0"/>
                <w:sz w:val="24"/>
                <w:szCs w:val="24"/>
                <w:highlight w:val="none"/>
                <w:lang w:val="en-US" w:eastAsia="zh-CN" w:bidi="ar"/>
              </w:rPr>
              <w:t>缺少</w:t>
            </w:r>
            <w:r>
              <w:rPr>
                <w:rStyle w:val="53"/>
                <w:rFonts w:hint="eastAsia" w:ascii="宋体" w:hAnsi="宋体" w:eastAsia="宋体" w:cs="宋体"/>
                <w:b w:val="0"/>
                <w:bCs w:val="0"/>
                <w:kern w:val="0"/>
                <w:sz w:val="24"/>
                <w:szCs w:val="24"/>
                <w:highlight w:val="none"/>
                <w:lang w:val="en-US" w:eastAsia="zh-CN" w:bidi="ar"/>
              </w:rPr>
              <w:t>2</w:t>
            </w:r>
            <w:r>
              <w:rPr>
                <w:rStyle w:val="53"/>
                <w:rFonts w:ascii="宋体" w:hAnsi="宋体" w:eastAsia="宋体" w:cs="宋体"/>
                <w:b w:val="0"/>
                <w:bCs w:val="0"/>
                <w:kern w:val="0"/>
                <w:sz w:val="24"/>
                <w:szCs w:val="24"/>
                <w:highlight w:val="none"/>
                <w:lang w:val="en-US" w:eastAsia="zh-CN" w:bidi="ar"/>
              </w:rPr>
              <w:t>项</w:t>
            </w:r>
            <w:r>
              <w:rPr>
                <w:rFonts w:ascii="宋体" w:hAnsi="宋体" w:eastAsia="宋体" w:cs="宋体"/>
                <w:b w:val="0"/>
                <w:bCs w:val="0"/>
                <w:kern w:val="0"/>
                <w:sz w:val="24"/>
                <w:szCs w:val="24"/>
                <w:highlight w:val="none"/>
                <w:lang w:val="en-US" w:eastAsia="zh-CN" w:bidi="ar"/>
              </w:rPr>
              <w:t>（项目对接人、响应服务、解决方案、上门回访任意</w:t>
            </w:r>
            <w:r>
              <w:rPr>
                <w:rFonts w:hint="eastAsia" w:ascii="宋体" w:hAnsi="宋体" w:cs="宋体"/>
                <w:b w:val="0"/>
                <w:bCs w:val="0"/>
                <w:kern w:val="0"/>
                <w:sz w:val="24"/>
                <w:szCs w:val="24"/>
                <w:highlight w:val="none"/>
                <w:lang w:val="en-US" w:eastAsia="zh-CN" w:bidi="ar"/>
              </w:rPr>
              <w:t>两</w:t>
            </w:r>
            <w:r>
              <w:rPr>
                <w:rFonts w:ascii="宋体" w:hAnsi="宋体" w:eastAsia="宋体" w:cs="宋体"/>
                <w:b w:val="0"/>
                <w:bCs w:val="0"/>
                <w:kern w:val="0"/>
                <w:sz w:val="24"/>
                <w:szCs w:val="24"/>
                <w:highlight w:val="none"/>
                <w:lang w:val="en-US" w:eastAsia="zh-CN" w:bidi="ar"/>
              </w:rPr>
              <w:t>项）；或管控模块内容存在缺陷，流程简单、关键管控节点缺失，落地性较弱</w:t>
            </w:r>
            <w:r>
              <w:rPr>
                <w:rFonts w:hint="eastAsia" w:ascii="宋体" w:hAnsi="宋体" w:eastAsia="宋体" w:cs="宋体"/>
                <w:b w:val="0"/>
                <w:bCs w:val="0"/>
                <w:kern w:val="0"/>
                <w:sz w:val="24"/>
                <w:szCs w:val="24"/>
                <w:highlight w:val="none"/>
                <w:lang w:val="en-US" w:eastAsia="zh-CN" w:bidi="ar"/>
              </w:rPr>
              <w:t>，扣6分。</w:t>
            </w:r>
          </w:p>
          <w:p w14:paraId="28116261">
            <w:pPr>
              <w:keepNext w:val="0"/>
              <w:keepLines w:val="0"/>
              <w:widowControl/>
              <w:suppressLineNumbers w:val="0"/>
              <w:jc w:val="left"/>
              <w:rPr>
                <w:rFonts w:hint="default" w:ascii="宋体" w:hAnsi="宋体" w:eastAsia="宋体"/>
                <w:b w:val="0"/>
                <w:bCs w:val="0"/>
                <w:color w:val="000000"/>
                <w:sz w:val="24"/>
                <w:szCs w:val="24"/>
                <w:highlight w:val="none"/>
                <w:lang w:val="en-US" w:eastAsia="zh-CN"/>
              </w:rPr>
            </w:pPr>
            <w:r>
              <w:rPr>
                <w:rFonts w:hint="eastAsia" w:ascii="宋体" w:hAnsi="宋体" w:eastAsia="宋体" w:cs="宋体"/>
                <w:b w:val="0"/>
                <w:bCs w:val="0"/>
                <w:kern w:val="0"/>
                <w:sz w:val="24"/>
                <w:szCs w:val="24"/>
                <w:highlight w:val="none"/>
                <w:lang w:val="en-US" w:eastAsia="zh-CN" w:bidi="ar"/>
              </w:rPr>
              <w:t>4、</w:t>
            </w:r>
            <w:r>
              <w:rPr>
                <w:rFonts w:ascii="宋体" w:hAnsi="宋体" w:eastAsia="宋体" w:cs="宋体"/>
                <w:b w:val="0"/>
                <w:bCs w:val="0"/>
                <w:kern w:val="0"/>
                <w:sz w:val="24"/>
                <w:szCs w:val="24"/>
                <w:highlight w:val="none"/>
                <w:lang w:val="en-US" w:eastAsia="zh-CN" w:bidi="ar"/>
              </w:rPr>
              <w:t>未提供本项目质量管理制度，或制度未覆盖原材料、生产过程、出厂检验任意一项核心管控模块，无法满足项目基本质量管控需求的，本项不得分。</w:t>
            </w:r>
          </w:p>
        </w:tc>
        <w:tc>
          <w:tcPr>
            <w:tcW w:w="645" w:type="dxa"/>
            <w:shd w:val="clear" w:color="000000" w:fill="FFFFFF"/>
            <w:vAlign w:val="center"/>
          </w:tcPr>
          <w:p w14:paraId="327753D6">
            <w:pPr>
              <w:widowControl/>
              <w:jc w:val="center"/>
              <w:rPr>
                <w:rFonts w:hint="default" w:ascii="宋体" w:hAnsi="宋体" w:eastAsia="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lang w:val="en-US" w:eastAsia="zh-CN"/>
              </w:rPr>
              <w:t>10分</w:t>
            </w:r>
          </w:p>
        </w:tc>
      </w:tr>
      <w:tr w14:paraId="6FAA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89" w:type="dxa"/>
            <w:vMerge w:val="continue"/>
            <w:vAlign w:val="center"/>
          </w:tcPr>
          <w:p w14:paraId="56394834">
            <w:pPr>
              <w:widowControl/>
              <w:jc w:val="left"/>
              <w:rPr>
                <w:rFonts w:ascii="宋体" w:hAnsi="宋体"/>
                <w:b w:val="0"/>
                <w:bCs w:val="0"/>
                <w:color w:val="000000"/>
                <w:kern w:val="0"/>
                <w:sz w:val="24"/>
                <w:szCs w:val="24"/>
                <w:highlight w:val="none"/>
              </w:rPr>
            </w:pPr>
          </w:p>
        </w:tc>
        <w:tc>
          <w:tcPr>
            <w:tcW w:w="1555" w:type="dxa"/>
            <w:vAlign w:val="center"/>
          </w:tcPr>
          <w:p w14:paraId="700B2685">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企业</w:t>
            </w:r>
          </w:p>
          <w:p w14:paraId="75B46FA6">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业绩</w:t>
            </w:r>
          </w:p>
        </w:tc>
        <w:tc>
          <w:tcPr>
            <w:tcW w:w="5384" w:type="dxa"/>
            <w:vAlign w:val="center"/>
          </w:tcPr>
          <w:p w14:paraId="3D353A51">
            <w:pPr>
              <w:widowControl/>
              <w:rPr>
                <w:rFonts w:ascii="宋体" w:hAnsi="宋体"/>
                <w:b w:val="0"/>
                <w:bCs w:val="0"/>
                <w:color w:val="auto"/>
                <w:sz w:val="24"/>
                <w:szCs w:val="24"/>
                <w:highlight w:val="none"/>
                <w:lang w:val="de-DE"/>
              </w:rPr>
            </w:pPr>
            <w:r>
              <w:rPr>
                <w:rFonts w:hint="eastAsia" w:ascii="宋体" w:hAnsi="宋体"/>
                <w:b w:val="0"/>
                <w:bCs w:val="0"/>
                <w:color w:val="auto"/>
                <w:sz w:val="24"/>
                <w:szCs w:val="24"/>
                <w:highlight w:val="none"/>
                <w:lang w:val="de-DE"/>
              </w:rPr>
              <w:t>根据供应商近三年类似项目业绩情况进行评定：近三年（202</w:t>
            </w: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lang w:val="de-DE"/>
              </w:rPr>
              <w:t>年</w:t>
            </w:r>
            <w:r>
              <w:rPr>
                <w:rFonts w:hint="eastAsia" w:ascii="宋体" w:hAnsi="宋体"/>
                <w:b w:val="0"/>
                <w:bCs w:val="0"/>
                <w:color w:val="auto"/>
                <w:sz w:val="24"/>
                <w:szCs w:val="24"/>
                <w:highlight w:val="none"/>
                <w:lang w:val="en-US" w:eastAsia="zh-CN"/>
              </w:rPr>
              <w:t>05</w:t>
            </w:r>
            <w:r>
              <w:rPr>
                <w:rFonts w:hint="eastAsia" w:ascii="宋体" w:hAnsi="宋体"/>
                <w:b w:val="0"/>
                <w:bCs w:val="0"/>
                <w:color w:val="auto"/>
                <w:sz w:val="24"/>
                <w:szCs w:val="24"/>
                <w:highlight w:val="none"/>
                <w:lang w:val="de-DE"/>
              </w:rPr>
              <w:t>月01日至今）类似项目业绩，</w:t>
            </w:r>
            <w:r>
              <w:rPr>
                <w:rFonts w:hint="eastAsia" w:ascii="宋体" w:hAnsi="宋体"/>
                <w:b w:val="0"/>
                <w:bCs w:val="0"/>
                <w:color w:val="auto"/>
                <w:sz w:val="24"/>
                <w:szCs w:val="24"/>
                <w:highlight w:val="none"/>
              </w:rPr>
              <w:t>每</w:t>
            </w:r>
            <w:r>
              <w:rPr>
                <w:rFonts w:hint="eastAsia" w:ascii="宋体" w:hAnsi="宋体"/>
                <w:b w:val="0"/>
                <w:bCs w:val="0"/>
                <w:color w:val="auto"/>
                <w:sz w:val="24"/>
                <w:szCs w:val="24"/>
                <w:highlight w:val="none"/>
                <w:lang w:val="de-DE"/>
              </w:rPr>
              <w:t>提供一项</w:t>
            </w:r>
            <w:r>
              <w:rPr>
                <w:rFonts w:hint="eastAsia" w:ascii="宋体" w:hAnsi="宋体"/>
                <w:b w:val="0"/>
                <w:bCs w:val="0"/>
                <w:color w:val="auto"/>
                <w:sz w:val="24"/>
                <w:szCs w:val="24"/>
                <w:highlight w:val="none"/>
              </w:rPr>
              <w:t>的</w:t>
            </w:r>
            <w:r>
              <w:rPr>
                <w:rFonts w:hint="eastAsia" w:ascii="宋体" w:hAnsi="宋体"/>
                <w:b w:val="0"/>
                <w:bCs w:val="0"/>
                <w:color w:val="auto"/>
                <w:sz w:val="24"/>
                <w:szCs w:val="24"/>
                <w:highlight w:val="none"/>
                <w:lang w:val="de-DE"/>
              </w:rPr>
              <w:t>得</w:t>
            </w:r>
            <w:r>
              <w:rPr>
                <w:rFonts w:hint="eastAsia" w:ascii="宋体" w:hAnsi="宋体"/>
                <w:b w:val="0"/>
                <w:bCs w:val="0"/>
                <w:color w:val="auto"/>
                <w:sz w:val="24"/>
                <w:szCs w:val="24"/>
                <w:highlight w:val="none"/>
              </w:rPr>
              <w:t>1</w:t>
            </w:r>
            <w:r>
              <w:rPr>
                <w:rFonts w:hint="eastAsia" w:ascii="宋体" w:hAnsi="宋体"/>
                <w:b w:val="0"/>
                <w:bCs w:val="0"/>
                <w:color w:val="auto"/>
                <w:sz w:val="24"/>
                <w:szCs w:val="24"/>
                <w:highlight w:val="none"/>
                <w:lang w:val="de-DE"/>
              </w:rPr>
              <w:t>分，</w:t>
            </w:r>
            <w:r>
              <w:rPr>
                <w:rFonts w:hint="eastAsia" w:ascii="宋体" w:hAnsi="宋体"/>
                <w:b w:val="0"/>
                <w:bCs w:val="0"/>
                <w:color w:val="auto"/>
                <w:sz w:val="24"/>
                <w:szCs w:val="24"/>
                <w:highlight w:val="none"/>
              </w:rPr>
              <w:t>最高得5</w:t>
            </w:r>
            <w:r>
              <w:rPr>
                <w:rFonts w:hint="eastAsia" w:ascii="宋体" w:hAnsi="宋体"/>
                <w:b w:val="0"/>
                <w:bCs w:val="0"/>
                <w:color w:val="auto"/>
                <w:sz w:val="24"/>
                <w:szCs w:val="24"/>
                <w:highlight w:val="none"/>
                <w:lang w:val="de-DE"/>
              </w:rPr>
              <w:t>分。（供应商须附合同协议书或成交通知书复印件。）</w:t>
            </w:r>
          </w:p>
        </w:tc>
        <w:tc>
          <w:tcPr>
            <w:tcW w:w="645" w:type="dxa"/>
            <w:shd w:val="clear" w:color="000000" w:fill="FFFFFF"/>
            <w:vAlign w:val="center"/>
          </w:tcPr>
          <w:p w14:paraId="4F5154E3">
            <w:pPr>
              <w:jc w:val="center"/>
              <w:rPr>
                <w:rFonts w:hint="eastAsia" w:ascii="宋体" w:hAnsi="宋体" w:eastAsia="宋体"/>
                <w:b w:val="0"/>
                <w:bCs w:val="0"/>
                <w:color w:val="auto"/>
                <w:kern w:val="0"/>
                <w:sz w:val="24"/>
                <w:szCs w:val="24"/>
                <w:highlight w:val="none"/>
                <w:lang w:eastAsia="zh-CN"/>
              </w:rPr>
            </w:pPr>
            <w:r>
              <w:rPr>
                <w:rFonts w:hint="eastAsia" w:ascii="宋体" w:hAnsi="宋体"/>
                <w:b w:val="0"/>
                <w:bCs w:val="0"/>
                <w:color w:val="auto"/>
                <w:kern w:val="0"/>
                <w:sz w:val="24"/>
                <w:szCs w:val="24"/>
                <w:highlight w:val="none"/>
              </w:rPr>
              <w:t>5</w:t>
            </w:r>
            <w:r>
              <w:rPr>
                <w:rFonts w:hint="eastAsia" w:ascii="宋体" w:hAnsi="宋体"/>
                <w:b w:val="0"/>
                <w:bCs w:val="0"/>
                <w:color w:val="auto"/>
                <w:kern w:val="0"/>
                <w:sz w:val="24"/>
                <w:szCs w:val="24"/>
                <w:highlight w:val="none"/>
                <w:lang w:eastAsia="zh-CN"/>
              </w:rPr>
              <w:t>分</w:t>
            </w:r>
          </w:p>
        </w:tc>
      </w:tr>
      <w:tr w14:paraId="3682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89" w:type="dxa"/>
            <w:vMerge w:val="continue"/>
            <w:vAlign w:val="center"/>
          </w:tcPr>
          <w:p w14:paraId="2C4829B9">
            <w:pPr>
              <w:widowControl/>
              <w:jc w:val="left"/>
              <w:rPr>
                <w:rFonts w:ascii="宋体" w:hAnsi="宋体"/>
                <w:b w:val="0"/>
                <w:bCs w:val="0"/>
                <w:color w:val="000000"/>
                <w:kern w:val="0"/>
                <w:sz w:val="24"/>
                <w:szCs w:val="24"/>
                <w:highlight w:val="none"/>
              </w:rPr>
            </w:pPr>
          </w:p>
        </w:tc>
        <w:tc>
          <w:tcPr>
            <w:tcW w:w="1555" w:type="dxa"/>
            <w:vAlign w:val="center"/>
          </w:tcPr>
          <w:p w14:paraId="321523E4">
            <w:pPr>
              <w:jc w:val="center"/>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履约能力</w:t>
            </w:r>
          </w:p>
        </w:tc>
        <w:tc>
          <w:tcPr>
            <w:tcW w:w="5384" w:type="dxa"/>
            <w:vAlign w:val="center"/>
          </w:tcPr>
          <w:p w14:paraId="65D02A50">
            <w:pPr>
              <w:widowControl/>
              <w:rPr>
                <w:rFonts w:hint="eastAsia" w:ascii="宋体" w:hAnsi="宋体"/>
                <w:b w:val="0"/>
                <w:bCs w:val="0"/>
                <w:color w:val="000000"/>
                <w:kern w:val="0"/>
                <w:sz w:val="24"/>
                <w:szCs w:val="24"/>
                <w:highlight w:val="none"/>
                <w:lang w:eastAsia="zh-CN"/>
              </w:rPr>
            </w:pPr>
            <w:r>
              <w:rPr>
                <w:rFonts w:hint="eastAsia" w:ascii="宋体" w:hAnsi="宋体"/>
                <w:b w:val="0"/>
                <w:bCs w:val="0"/>
                <w:color w:val="000000"/>
                <w:kern w:val="0"/>
                <w:sz w:val="24"/>
                <w:szCs w:val="24"/>
                <w:highlight w:val="none"/>
                <w:lang w:eastAsia="zh-CN"/>
              </w:rPr>
              <w:t>根据本项目采购需求，供应商能提供生产保障方案，方案内容至少包含</w:t>
            </w:r>
            <w:r>
              <w:rPr>
                <w:rFonts w:hint="eastAsia" w:ascii="宋体" w:hAnsi="宋体"/>
                <w:color w:val="000000"/>
                <w:sz w:val="21"/>
                <w:highlight w:val="none"/>
              </w:rPr>
              <w:t>①</w:t>
            </w:r>
            <w:r>
              <w:rPr>
                <w:rFonts w:hint="eastAsia" w:ascii="宋体" w:hAnsi="宋体"/>
                <w:b w:val="0"/>
                <w:bCs w:val="0"/>
                <w:color w:val="000000"/>
                <w:kern w:val="0"/>
                <w:sz w:val="24"/>
                <w:szCs w:val="24"/>
                <w:highlight w:val="none"/>
                <w:lang w:eastAsia="zh-CN"/>
              </w:rPr>
              <w:t>生产工艺流程、</w:t>
            </w:r>
            <w:r>
              <w:rPr>
                <w:rFonts w:hint="eastAsia" w:ascii="宋体" w:hAnsi="宋体"/>
                <w:color w:val="000000"/>
                <w:sz w:val="21"/>
                <w:highlight w:val="none"/>
              </w:rPr>
              <w:t>②</w:t>
            </w:r>
            <w:r>
              <w:rPr>
                <w:rFonts w:hint="eastAsia" w:ascii="宋体" w:hAnsi="宋体"/>
                <w:b w:val="0"/>
                <w:bCs w:val="0"/>
                <w:color w:val="000000"/>
                <w:kern w:val="0"/>
                <w:sz w:val="24"/>
                <w:szCs w:val="24"/>
                <w:highlight w:val="none"/>
                <w:lang w:eastAsia="zh-CN"/>
              </w:rPr>
              <w:t>质量把关措施、</w:t>
            </w:r>
            <w:r>
              <w:rPr>
                <w:rFonts w:hint="eastAsia" w:ascii="宋体" w:hAnsi="宋体"/>
                <w:color w:val="000000"/>
                <w:sz w:val="21"/>
                <w:highlight w:val="none"/>
              </w:rPr>
              <w:t>③</w:t>
            </w:r>
            <w:r>
              <w:rPr>
                <w:rFonts w:hint="eastAsia" w:ascii="宋体" w:hAnsi="宋体"/>
                <w:b w:val="0"/>
                <w:bCs w:val="0"/>
                <w:color w:val="000000"/>
                <w:kern w:val="0"/>
                <w:sz w:val="24"/>
                <w:szCs w:val="24"/>
                <w:highlight w:val="none"/>
                <w:lang w:eastAsia="zh-CN"/>
              </w:rPr>
              <w:t>交货周期保障、</w:t>
            </w:r>
            <w:r>
              <w:rPr>
                <w:rFonts w:hint="eastAsia" w:ascii="宋体" w:hAnsi="宋体"/>
                <w:color w:val="000000"/>
                <w:sz w:val="21"/>
                <w:highlight w:val="none"/>
              </w:rPr>
              <w:t>④</w:t>
            </w:r>
            <w:r>
              <w:rPr>
                <w:rFonts w:hint="eastAsia" w:ascii="宋体" w:hAnsi="宋体"/>
                <w:b w:val="0"/>
                <w:bCs w:val="0"/>
                <w:color w:val="000000"/>
                <w:kern w:val="0"/>
                <w:sz w:val="24"/>
                <w:szCs w:val="24"/>
                <w:highlight w:val="none"/>
                <w:lang w:eastAsia="zh-CN"/>
              </w:rPr>
              <w:t>应急预案等核心内容，针对上述内容情况进行打分。</w:t>
            </w:r>
          </w:p>
          <w:p w14:paraId="236ED760">
            <w:pPr>
              <w:widowControl/>
              <w:numPr>
                <w:ilvl w:val="0"/>
                <w:numId w:val="15"/>
              </w:numPr>
              <w:rPr>
                <w:rFonts w:hint="eastAsia" w:ascii="宋体" w:hAnsi="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lang w:eastAsia="zh-CN"/>
              </w:rPr>
              <w:t>生产保障方案涵盖上述所有内容且全面合理，能够满足或者优于采购需求的，得</w:t>
            </w:r>
            <w:r>
              <w:rPr>
                <w:rFonts w:hint="eastAsia" w:ascii="宋体" w:hAnsi="宋体"/>
                <w:b w:val="0"/>
                <w:bCs w:val="0"/>
                <w:color w:val="000000"/>
                <w:kern w:val="0"/>
                <w:sz w:val="24"/>
                <w:szCs w:val="24"/>
                <w:highlight w:val="none"/>
                <w:lang w:val="en-US" w:eastAsia="zh-CN"/>
              </w:rPr>
              <w:t>10分。</w:t>
            </w:r>
          </w:p>
          <w:p w14:paraId="58CF139B">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eastAsia="zh-CN"/>
              </w:rPr>
              <w:t>生产保障</w:t>
            </w:r>
            <w:r>
              <w:rPr>
                <w:rFonts w:hint="eastAsia" w:ascii="宋体" w:hAnsi="宋体"/>
                <w:b w:val="0"/>
                <w:bCs w:val="0"/>
                <w:color w:val="000000"/>
                <w:kern w:val="0"/>
                <w:sz w:val="24"/>
                <w:szCs w:val="24"/>
                <w:highlight w:val="none"/>
                <w:lang w:val="en-US" w:eastAsia="zh-CN"/>
              </w:rPr>
              <w:t>方案基本完整，生产工艺、质量把关、交货周期保障核心措施齐全，能够支撑项目正常实施的，得6分。</w:t>
            </w:r>
          </w:p>
          <w:p w14:paraId="2ADC33F6">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eastAsia="zh-CN"/>
              </w:rPr>
              <w:t>生产保障</w:t>
            </w:r>
            <w:r>
              <w:rPr>
                <w:rFonts w:hint="eastAsia" w:ascii="宋体" w:hAnsi="宋体"/>
                <w:b w:val="0"/>
                <w:bCs w:val="0"/>
                <w:color w:val="000000"/>
                <w:kern w:val="0"/>
                <w:sz w:val="24"/>
                <w:szCs w:val="24"/>
                <w:highlight w:val="none"/>
                <w:lang w:val="en-US" w:eastAsia="zh-CN"/>
              </w:rPr>
              <w:t>方案不完整或缺少生产工艺、质量把关核心保障措施，不利于项目实施的，得2分。</w:t>
            </w:r>
          </w:p>
          <w:p w14:paraId="20922621">
            <w:pPr>
              <w:widowControl/>
              <w:numPr>
                <w:ilvl w:val="0"/>
                <w:numId w:val="15"/>
              </w:numPr>
              <w:rPr>
                <w:rFonts w:ascii="宋体" w:hAnsi="宋体"/>
                <w:b w:val="0"/>
                <w:bCs w:val="0"/>
                <w:color w:val="000000"/>
                <w:kern w:val="0"/>
                <w:sz w:val="24"/>
                <w:szCs w:val="24"/>
                <w:highlight w:val="none"/>
              </w:rPr>
            </w:pPr>
            <w:r>
              <w:rPr>
                <w:rFonts w:hint="eastAsia" w:ascii="宋体" w:hAnsi="宋体"/>
                <w:b w:val="0"/>
                <w:bCs w:val="0"/>
                <w:color w:val="000000"/>
                <w:kern w:val="0"/>
                <w:sz w:val="24"/>
                <w:szCs w:val="24"/>
                <w:highlight w:val="none"/>
                <w:lang w:val="en-US" w:eastAsia="zh-CN"/>
              </w:rPr>
              <w:t>未提供方案的，不得分。</w:t>
            </w:r>
          </w:p>
        </w:tc>
        <w:tc>
          <w:tcPr>
            <w:tcW w:w="645" w:type="dxa"/>
            <w:shd w:val="clear" w:color="000000" w:fill="FFFFFF"/>
            <w:vAlign w:val="center"/>
          </w:tcPr>
          <w:p w14:paraId="38977258">
            <w:pPr>
              <w:jc w:val="center"/>
              <w:rPr>
                <w:rFonts w:hint="eastAsia" w:ascii="宋体" w:hAnsi="宋体" w:eastAsia="宋体"/>
                <w:b w:val="0"/>
                <w:bCs w:val="0"/>
                <w:color w:val="000000"/>
                <w:kern w:val="0"/>
                <w:sz w:val="24"/>
                <w:szCs w:val="24"/>
                <w:highlight w:val="none"/>
                <w:lang w:val="en-US" w:eastAsia="zh-CN"/>
              </w:rPr>
            </w:pPr>
            <w:r>
              <w:rPr>
                <w:rFonts w:hint="eastAsia" w:ascii="宋体" w:hAnsi="宋体"/>
                <w:b w:val="0"/>
                <w:bCs w:val="0"/>
                <w:color w:val="000000"/>
                <w:kern w:val="0"/>
                <w:sz w:val="24"/>
                <w:szCs w:val="24"/>
                <w:highlight w:val="none"/>
              </w:rPr>
              <w:t>1</w:t>
            </w:r>
            <w:r>
              <w:rPr>
                <w:rFonts w:hint="eastAsia" w:ascii="宋体" w:hAnsi="宋体"/>
                <w:b w:val="0"/>
                <w:bCs w:val="0"/>
                <w:color w:val="000000"/>
                <w:kern w:val="0"/>
                <w:sz w:val="24"/>
                <w:szCs w:val="24"/>
                <w:highlight w:val="none"/>
                <w:lang w:val="en-US" w:eastAsia="zh-CN"/>
              </w:rPr>
              <w:t>0分</w:t>
            </w:r>
          </w:p>
        </w:tc>
      </w:tr>
      <w:tr w14:paraId="70A2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89" w:type="dxa"/>
            <w:vMerge w:val="restart"/>
            <w:vAlign w:val="center"/>
          </w:tcPr>
          <w:p w14:paraId="204FEB6C">
            <w:pPr>
              <w:widowControl/>
              <w:jc w:val="center"/>
              <w:rPr>
                <w:rFonts w:ascii="宋体" w:hAnsi="宋体"/>
                <w:color w:val="000000"/>
                <w:kern w:val="0"/>
                <w:highlight w:val="none"/>
              </w:rPr>
            </w:pPr>
            <w:r>
              <w:rPr>
                <w:rFonts w:hint="eastAsia" w:ascii="宋体" w:hAnsi="宋体"/>
                <w:color w:val="000000"/>
                <w:kern w:val="0"/>
                <w:highlight w:val="none"/>
              </w:rPr>
              <w:t>技术部分（</w:t>
            </w:r>
            <w:r>
              <w:rPr>
                <w:rFonts w:hint="eastAsia" w:ascii="宋体" w:hAnsi="宋体"/>
                <w:color w:val="000000"/>
                <w:kern w:val="0"/>
                <w:highlight w:val="none"/>
                <w:lang w:val="en-US" w:eastAsia="zh-CN"/>
              </w:rPr>
              <w:t>45</w:t>
            </w:r>
            <w:r>
              <w:rPr>
                <w:rFonts w:hint="eastAsia" w:ascii="宋体" w:hAnsi="宋体"/>
                <w:color w:val="000000"/>
                <w:kern w:val="0"/>
                <w:highlight w:val="none"/>
              </w:rPr>
              <w:t>分）</w:t>
            </w:r>
          </w:p>
        </w:tc>
        <w:tc>
          <w:tcPr>
            <w:tcW w:w="1555" w:type="dxa"/>
            <w:vAlign w:val="center"/>
          </w:tcPr>
          <w:p w14:paraId="32D275F5">
            <w:pPr>
              <w:jc w:val="center"/>
              <w:rPr>
                <w:rFonts w:hint="eastAsia" w:ascii="宋体" w:hAnsi="宋体" w:eastAsia="宋体"/>
                <w:color w:val="auto"/>
                <w:kern w:val="0"/>
                <w:highlight w:val="none"/>
                <w:lang w:eastAsia="zh-CN"/>
              </w:rPr>
            </w:pPr>
            <w:r>
              <w:rPr>
                <w:rFonts w:hint="eastAsia" w:ascii="宋体" w:hAnsi="宋体"/>
                <w:color w:val="auto"/>
                <w:kern w:val="0"/>
                <w:highlight w:val="none"/>
                <w:lang w:eastAsia="zh-CN"/>
              </w:rPr>
              <w:t>售后服务</w:t>
            </w:r>
          </w:p>
        </w:tc>
        <w:tc>
          <w:tcPr>
            <w:tcW w:w="5384" w:type="dxa"/>
            <w:vAlign w:val="center"/>
          </w:tcPr>
          <w:p w14:paraId="52C0DC19">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印制、供货交付、后续保障、应急补换的项目特点及采购需求，编制针对性、专业化、可落地执行的售后服务方案。方案须完整包含五大核心要素：①售后服务体系、②专项服务方案、③</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、④服务质量保证措施、⑤应急处理方法。评审根据投标人方案的完整性</w:t>
            </w:r>
            <w:r>
              <w:rPr>
                <w:rFonts w:hint="eastAsia" w:ascii="宋体" w:hAnsi="宋体" w:eastAsia="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可操作性、适配婚姻</w:t>
            </w:r>
            <w:r>
              <w:rPr>
                <w:rFonts w:hint="eastAsia" w:ascii="宋体" w:hAnsi="宋体" w:eastAsia="宋体" w:cs="宋体"/>
                <w:b w:val="0"/>
                <w:bCs w:val="0"/>
                <w:kern w:val="0"/>
                <w:sz w:val="24"/>
                <w:szCs w:val="24"/>
                <w:highlight w:val="none"/>
                <w:lang w:val="en-US" w:eastAsia="zh-CN" w:bidi="ar"/>
              </w:rPr>
              <w:t>登记证件</w:t>
            </w:r>
            <w:r>
              <w:rPr>
                <w:rFonts w:ascii="宋体" w:hAnsi="宋体" w:eastAsia="宋体" w:cs="宋体"/>
                <w:b w:val="0"/>
                <w:bCs w:val="0"/>
                <w:kern w:val="0"/>
                <w:sz w:val="24"/>
                <w:szCs w:val="24"/>
                <w:highlight w:val="none"/>
                <w:lang w:val="en-US" w:eastAsia="zh-CN" w:bidi="ar"/>
              </w:rPr>
              <w:t>供应特性，按照以下客观量化标准打分，通用模板、未结合本项目婚姻证件印制及配送售后场景的内容不计为有效评审内容：</w:t>
            </w:r>
          </w:p>
          <w:p w14:paraId="5CB80A21">
            <w:pPr>
              <w:keepNext w:val="0"/>
              <w:keepLines w:val="0"/>
              <w:widowControl/>
              <w:suppressLineNumbers w:val="0"/>
              <w:jc w:val="left"/>
              <w:rPr>
                <w:rFonts w:hint="default"/>
                <w:b w:val="0"/>
                <w:bCs w:val="0"/>
                <w:highlight w:val="none"/>
                <w:lang w:val="en-US"/>
              </w:rPr>
            </w:pPr>
            <w:r>
              <w:rPr>
                <w:rStyle w:val="53"/>
                <w:rFonts w:ascii="宋体" w:hAnsi="宋体" w:eastAsia="宋体" w:cs="宋体"/>
                <w:b w:val="0"/>
                <w:bCs w:val="0"/>
                <w:kern w:val="0"/>
                <w:sz w:val="24"/>
                <w:szCs w:val="24"/>
                <w:highlight w:val="none"/>
                <w:lang w:val="en-US" w:eastAsia="zh-CN" w:bidi="ar"/>
              </w:rPr>
              <w:t>1、</w:t>
            </w:r>
            <w:r>
              <w:rPr>
                <w:rFonts w:ascii="宋体" w:hAnsi="宋体" w:eastAsia="宋体" w:cs="宋体"/>
                <w:b w:val="0"/>
                <w:bCs w:val="0"/>
                <w:kern w:val="0"/>
                <w:sz w:val="24"/>
                <w:szCs w:val="24"/>
                <w:highlight w:val="none"/>
                <w:lang w:val="en-US" w:eastAsia="zh-CN" w:bidi="ar"/>
              </w:rPr>
              <w:t>售后服务方案完整覆盖售后服务体系、</w:t>
            </w:r>
            <w:r>
              <w:rPr>
                <w:rFonts w:hint="eastAsia" w:ascii="宋体" w:hAnsi="宋体" w:eastAsia="宋体" w:cs="宋体"/>
                <w:b w:val="0"/>
                <w:bCs w:val="0"/>
                <w:kern w:val="0"/>
                <w:sz w:val="24"/>
                <w:szCs w:val="24"/>
                <w:highlight w:val="none"/>
                <w:lang w:val="en-US" w:eastAsia="zh-CN" w:bidi="ar"/>
              </w:rPr>
              <w:t>专项</w:t>
            </w:r>
            <w:r>
              <w:rPr>
                <w:rFonts w:ascii="宋体" w:hAnsi="宋体" w:eastAsia="宋体" w:cs="宋体"/>
                <w:b w:val="0"/>
                <w:bCs w:val="0"/>
                <w:kern w:val="0"/>
                <w:sz w:val="24"/>
                <w:szCs w:val="24"/>
                <w:highlight w:val="none"/>
                <w:lang w:val="en-US" w:eastAsia="zh-CN" w:bidi="ar"/>
              </w:rPr>
              <w:t>服务方案、</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、服务质量保证措施、应急处理方法全部五项核心内容，无缺项、无漏项。方案完全贴合婚姻登记</w:t>
            </w:r>
            <w:r>
              <w:rPr>
                <w:rFonts w:hint="eastAsia" w:ascii="宋体" w:hAnsi="宋体" w:eastAsia="宋体" w:cs="宋体"/>
                <w:b w:val="0"/>
                <w:bCs w:val="0"/>
                <w:kern w:val="0"/>
                <w:sz w:val="24"/>
                <w:szCs w:val="24"/>
                <w:highlight w:val="none"/>
                <w:lang w:val="en-US" w:eastAsia="zh-CN" w:bidi="ar"/>
              </w:rPr>
              <w:t>证件</w:t>
            </w:r>
            <w:r>
              <w:rPr>
                <w:rFonts w:ascii="宋体" w:hAnsi="宋体" w:eastAsia="宋体" w:cs="宋体"/>
                <w:b w:val="0"/>
                <w:bCs w:val="0"/>
                <w:kern w:val="0"/>
                <w:sz w:val="24"/>
                <w:szCs w:val="24"/>
                <w:highlight w:val="none"/>
                <w:lang w:val="en-US" w:eastAsia="zh-CN" w:bidi="ar"/>
              </w:rPr>
              <w:t>专属物资属性，针对证件错印、漏印、破损、受潮、紧急补配、批量配送失误等问题制定专项服务措施；服务架构完善、团队分工明确、质保措施规范、应急处置流程清晰、响应时效明确，方案针对性强、落地性高、优于基础采购需求</w:t>
            </w:r>
            <w:r>
              <w:rPr>
                <w:rFonts w:hint="eastAsia" w:ascii="宋体" w:hAnsi="宋体" w:eastAsia="宋体" w:cs="宋体"/>
                <w:b w:val="0"/>
                <w:bCs w:val="0"/>
                <w:kern w:val="0"/>
                <w:sz w:val="24"/>
                <w:szCs w:val="24"/>
                <w:highlight w:val="none"/>
                <w:lang w:val="en-US" w:eastAsia="zh-CN" w:bidi="ar"/>
              </w:rPr>
              <w:t>，得15分。</w:t>
            </w:r>
          </w:p>
          <w:p w14:paraId="3C5B36A3">
            <w:pPr>
              <w:keepNext w:val="0"/>
              <w:keepLines w:val="0"/>
              <w:widowControl/>
              <w:suppressLineNumbers w:val="0"/>
              <w:jc w:val="left"/>
              <w:rPr>
                <w:rFonts w:hint="default"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售后服务方案</w:t>
            </w:r>
            <w:r>
              <w:rPr>
                <w:rFonts w:hint="eastAsia" w:ascii="宋体" w:hAnsi="宋体" w:cs="宋体"/>
                <w:b w:val="0"/>
                <w:bCs w:val="0"/>
                <w:kern w:val="0"/>
                <w:sz w:val="24"/>
                <w:szCs w:val="24"/>
                <w:highlight w:val="none"/>
                <w:lang w:val="en-US" w:eastAsia="zh-CN" w:bidi="ar"/>
              </w:rPr>
              <w:t>缺少1项核心要素（</w:t>
            </w:r>
            <w:r>
              <w:rPr>
                <w:rFonts w:ascii="宋体" w:hAnsi="宋体" w:eastAsia="宋体" w:cs="宋体"/>
                <w:b w:val="0"/>
                <w:bCs w:val="0"/>
                <w:kern w:val="0"/>
                <w:sz w:val="24"/>
                <w:szCs w:val="24"/>
                <w:highlight w:val="none"/>
                <w:lang w:val="en-US" w:eastAsia="zh-CN" w:bidi="ar"/>
              </w:rPr>
              <w:t>售后服务体系、专项服务方案、</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、服务质量保证措施、应急处理方法</w:t>
            </w:r>
            <w:r>
              <w:rPr>
                <w:rFonts w:hint="eastAsia" w:ascii="宋体" w:hAnsi="宋体" w:cs="宋体"/>
                <w:b w:val="0"/>
                <w:bCs w:val="0"/>
                <w:kern w:val="0"/>
                <w:sz w:val="24"/>
                <w:szCs w:val="24"/>
                <w:highlight w:val="none"/>
                <w:lang w:val="en-US" w:eastAsia="zh-CN" w:bidi="ar"/>
              </w:rPr>
              <w:t>任意1项），其余四项核心要素内容完整详实，贴合婚姻登记证书配送、退换货、紧急补证、破损补发等专属业务场景，服务机制健全、响应时效明确、流程清晰落地，无实质性缺陷，可全面保障项目售后履约，扣3分。</w:t>
            </w:r>
          </w:p>
          <w:p w14:paraId="7F514B31">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3、</w:t>
            </w:r>
            <w:r>
              <w:rPr>
                <w:rFonts w:ascii="宋体" w:hAnsi="宋体" w:eastAsia="宋体" w:cs="宋体"/>
                <w:b w:val="0"/>
                <w:bCs w:val="0"/>
                <w:kern w:val="0"/>
                <w:sz w:val="24"/>
                <w:szCs w:val="24"/>
                <w:highlight w:val="none"/>
                <w:lang w:val="en-US" w:eastAsia="zh-CN" w:bidi="ar"/>
              </w:rPr>
              <w:t>售后服务方案无重大履约风险，可满足项目基础售后需求</w:t>
            </w:r>
            <w:r>
              <w:rPr>
                <w:rFonts w:hint="eastAsia" w:ascii="宋体" w:hAnsi="宋体" w:cs="宋体"/>
                <w:b w:val="0"/>
                <w:bCs w:val="0"/>
                <w:kern w:val="0"/>
                <w:sz w:val="24"/>
                <w:szCs w:val="24"/>
                <w:highlight w:val="none"/>
                <w:lang w:val="en-US" w:eastAsia="zh-CN" w:bidi="ar"/>
              </w:rPr>
              <w:t>，缺少</w:t>
            </w:r>
            <w:r>
              <w:rPr>
                <w:rFonts w:ascii="宋体" w:hAnsi="宋体" w:eastAsia="宋体" w:cs="宋体"/>
                <w:b w:val="0"/>
                <w:bCs w:val="0"/>
                <w:kern w:val="0"/>
                <w:sz w:val="24"/>
                <w:szCs w:val="24"/>
                <w:highlight w:val="none"/>
                <w:lang w:val="en-US" w:eastAsia="zh-CN" w:bidi="ar"/>
              </w:rPr>
              <w:t>售后服务体系、</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w:t>
            </w:r>
            <w:r>
              <w:rPr>
                <w:rFonts w:hint="eastAsia" w:ascii="宋体" w:hAnsi="宋体" w:cs="宋体"/>
                <w:b w:val="0"/>
                <w:bCs w:val="0"/>
                <w:kern w:val="0"/>
                <w:sz w:val="24"/>
                <w:szCs w:val="24"/>
                <w:highlight w:val="none"/>
                <w:lang w:val="en-US" w:eastAsia="zh-CN" w:bidi="ar"/>
              </w:rPr>
              <w:t>其中2项核心要素，扣6分。</w:t>
            </w:r>
          </w:p>
          <w:p w14:paraId="15095882">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4、</w:t>
            </w:r>
            <w:r>
              <w:rPr>
                <w:rFonts w:ascii="宋体" w:hAnsi="宋体" w:eastAsia="宋体" w:cs="宋体"/>
                <w:b w:val="0"/>
                <w:bCs w:val="0"/>
                <w:kern w:val="0"/>
                <w:sz w:val="24"/>
                <w:szCs w:val="24"/>
                <w:highlight w:val="none"/>
                <w:lang w:val="en-US" w:eastAsia="zh-CN" w:bidi="ar"/>
              </w:rPr>
              <w:t>售后服务方案无完善售后</w:t>
            </w:r>
            <w:r>
              <w:rPr>
                <w:rFonts w:hint="eastAsia" w:ascii="宋体" w:hAnsi="宋体" w:cs="宋体"/>
                <w:b w:val="0"/>
                <w:bCs w:val="0"/>
                <w:kern w:val="0"/>
                <w:sz w:val="24"/>
                <w:szCs w:val="24"/>
                <w:highlight w:val="none"/>
                <w:lang w:val="en-US" w:eastAsia="zh-CN" w:bidi="ar"/>
              </w:rPr>
              <w:t>服务</w:t>
            </w:r>
            <w:r>
              <w:rPr>
                <w:rFonts w:ascii="宋体" w:hAnsi="宋体" w:eastAsia="宋体" w:cs="宋体"/>
                <w:b w:val="0"/>
                <w:bCs w:val="0"/>
                <w:kern w:val="0"/>
                <w:sz w:val="24"/>
                <w:szCs w:val="24"/>
                <w:highlight w:val="none"/>
                <w:lang w:val="en-US" w:eastAsia="zh-CN" w:bidi="ar"/>
              </w:rPr>
              <w:t>团队</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售后</w:t>
            </w:r>
            <w:r>
              <w:rPr>
                <w:rFonts w:hint="eastAsia" w:ascii="宋体" w:hAnsi="宋体" w:cs="宋体"/>
                <w:b w:val="0"/>
                <w:bCs w:val="0"/>
                <w:kern w:val="0"/>
                <w:sz w:val="24"/>
                <w:szCs w:val="24"/>
                <w:highlight w:val="none"/>
                <w:lang w:val="en-US" w:eastAsia="zh-CN" w:bidi="ar"/>
              </w:rPr>
              <w:t>服务</w:t>
            </w:r>
            <w:r>
              <w:rPr>
                <w:rFonts w:ascii="宋体" w:hAnsi="宋体" w:eastAsia="宋体" w:cs="宋体"/>
                <w:b w:val="0"/>
                <w:bCs w:val="0"/>
                <w:kern w:val="0"/>
                <w:sz w:val="24"/>
                <w:szCs w:val="24"/>
                <w:highlight w:val="none"/>
                <w:lang w:val="en-US" w:eastAsia="zh-CN" w:bidi="ar"/>
              </w:rPr>
              <w:t>性较差</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满足简单货物签收售后需求</w:t>
            </w:r>
            <w:r>
              <w:rPr>
                <w:rFonts w:hint="eastAsia" w:ascii="宋体" w:hAnsi="宋体" w:cs="宋体"/>
                <w:b w:val="0"/>
                <w:bCs w:val="0"/>
                <w:kern w:val="0"/>
                <w:sz w:val="24"/>
                <w:szCs w:val="24"/>
                <w:highlight w:val="none"/>
                <w:lang w:val="en-US" w:eastAsia="zh-CN" w:bidi="ar"/>
              </w:rPr>
              <w:t>，缺少</w:t>
            </w:r>
            <w:r>
              <w:rPr>
                <w:rFonts w:ascii="宋体" w:hAnsi="宋体" w:eastAsia="宋体" w:cs="宋体"/>
                <w:b w:val="0"/>
                <w:bCs w:val="0"/>
                <w:kern w:val="0"/>
                <w:sz w:val="24"/>
                <w:szCs w:val="24"/>
                <w:highlight w:val="none"/>
                <w:lang w:val="en-US" w:eastAsia="zh-CN" w:bidi="ar"/>
              </w:rPr>
              <w:t>售后服务体系、</w:t>
            </w:r>
            <w:r>
              <w:rPr>
                <w:rFonts w:hint="eastAsia" w:ascii="宋体" w:hAnsi="宋体" w:eastAsia="宋体" w:cs="宋体"/>
                <w:b w:val="0"/>
                <w:bCs w:val="0"/>
                <w:kern w:val="0"/>
                <w:sz w:val="24"/>
                <w:szCs w:val="24"/>
                <w:highlight w:val="none"/>
                <w:lang w:val="en-US" w:eastAsia="zh-CN" w:bidi="ar"/>
              </w:rPr>
              <w:t>售后</w:t>
            </w:r>
            <w:r>
              <w:rPr>
                <w:rFonts w:ascii="宋体" w:hAnsi="宋体" w:eastAsia="宋体" w:cs="宋体"/>
                <w:b w:val="0"/>
                <w:bCs w:val="0"/>
                <w:kern w:val="0"/>
                <w:sz w:val="24"/>
                <w:szCs w:val="24"/>
                <w:highlight w:val="none"/>
                <w:lang w:val="en-US" w:eastAsia="zh-CN" w:bidi="ar"/>
              </w:rPr>
              <w:t>服务</w:t>
            </w:r>
            <w:r>
              <w:rPr>
                <w:rFonts w:hint="eastAsia" w:ascii="宋体" w:hAnsi="宋体" w:eastAsia="宋体" w:cs="宋体"/>
                <w:b w:val="0"/>
                <w:bCs w:val="0"/>
                <w:kern w:val="0"/>
                <w:sz w:val="24"/>
                <w:szCs w:val="24"/>
                <w:highlight w:val="none"/>
                <w:lang w:val="en-US" w:eastAsia="zh-CN" w:bidi="ar"/>
              </w:rPr>
              <w:t>团队</w:t>
            </w:r>
            <w:r>
              <w:rPr>
                <w:rFonts w:ascii="宋体" w:hAnsi="宋体" w:eastAsia="宋体" w:cs="宋体"/>
                <w:b w:val="0"/>
                <w:bCs w:val="0"/>
                <w:kern w:val="0"/>
                <w:sz w:val="24"/>
                <w:szCs w:val="24"/>
                <w:highlight w:val="none"/>
                <w:lang w:val="en-US" w:eastAsia="zh-CN" w:bidi="ar"/>
              </w:rPr>
              <w:t>、服务质量保证措施</w:t>
            </w:r>
            <w:r>
              <w:rPr>
                <w:rFonts w:hint="eastAsia" w:ascii="宋体" w:hAnsi="宋体" w:cs="宋体"/>
                <w:b w:val="0"/>
                <w:bCs w:val="0"/>
                <w:kern w:val="0"/>
                <w:sz w:val="24"/>
                <w:szCs w:val="24"/>
                <w:highlight w:val="none"/>
                <w:lang w:val="en-US" w:eastAsia="zh-CN" w:bidi="ar"/>
              </w:rPr>
              <w:t>3项核心要素，扣9分。</w:t>
            </w:r>
          </w:p>
          <w:p w14:paraId="5B222C84">
            <w:pPr>
              <w:keepNext w:val="0"/>
              <w:keepLines w:val="0"/>
              <w:widowControl/>
              <w:suppressLineNumbers w:val="0"/>
              <w:jc w:val="left"/>
              <w:rPr>
                <w:rFonts w:ascii="宋体" w:hAnsi="宋体"/>
                <w:b w:val="0"/>
                <w:bCs w:val="0"/>
                <w:color w:val="000000"/>
                <w:sz w:val="21"/>
                <w:highlight w:val="none"/>
              </w:rPr>
            </w:pPr>
            <w:r>
              <w:rPr>
                <w:rFonts w:hint="eastAsia" w:ascii="宋体" w:hAnsi="宋体" w:cs="宋体"/>
                <w:b w:val="0"/>
                <w:bCs w:val="0"/>
                <w:kern w:val="0"/>
                <w:sz w:val="24"/>
                <w:szCs w:val="24"/>
                <w:highlight w:val="none"/>
                <w:lang w:val="en-US" w:eastAsia="zh-CN" w:bidi="ar"/>
              </w:rPr>
              <w:t>5、</w:t>
            </w:r>
            <w:r>
              <w:rPr>
                <w:rFonts w:ascii="宋体" w:hAnsi="宋体" w:eastAsia="宋体" w:cs="宋体"/>
                <w:b w:val="0"/>
                <w:bCs w:val="0"/>
                <w:kern w:val="0"/>
                <w:sz w:val="24"/>
                <w:szCs w:val="24"/>
                <w:highlight w:val="none"/>
                <w:lang w:val="en-US" w:eastAsia="zh-CN" w:bidi="ar"/>
              </w:rPr>
              <w:t>未提供本项目专项售后服务方案，或方案内容全部为通用模板、未适配婚姻登记证书采购项目，无法满足项目售后服务需求的，本项不得分。</w:t>
            </w:r>
          </w:p>
        </w:tc>
        <w:tc>
          <w:tcPr>
            <w:tcW w:w="645" w:type="dxa"/>
            <w:vAlign w:val="center"/>
          </w:tcPr>
          <w:p w14:paraId="57A6AA9C">
            <w:pPr>
              <w:jc w:val="center"/>
              <w:rPr>
                <w:rFonts w:ascii="宋体" w:hAnsi="宋体"/>
                <w:color w:val="000000"/>
                <w:kern w:val="0"/>
                <w:highlight w:val="none"/>
              </w:rPr>
            </w:pPr>
            <w:r>
              <w:rPr>
                <w:rFonts w:hint="eastAsia" w:ascii="宋体" w:hAnsi="宋体"/>
                <w:color w:val="000000"/>
                <w:kern w:val="0"/>
                <w:highlight w:val="none"/>
              </w:rPr>
              <w:t>1</w:t>
            </w:r>
            <w:r>
              <w:rPr>
                <w:rFonts w:hint="eastAsia" w:ascii="宋体" w:hAnsi="宋体"/>
                <w:color w:val="000000"/>
                <w:kern w:val="0"/>
                <w:highlight w:val="none"/>
                <w:lang w:val="en-US" w:eastAsia="zh-CN"/>
              </w:rPr>
              <w:t>5</w:t>
            </w:r>
            <w:r>
              <w:rPr>
                <w:rFonts w:hint="eastAsia" w:ascii="宋体" w:hAnsi="宋体"/>
                <w:color w:val="000000"/>
                <w:kern w:val="0"/>
                <w:highlight w:val="none"/>
              </w:rPr>
              <w:t>分</w:t>
            </w:r>
          </w:p>
        </w:tc>
      </w:tr>
      <w:tr w14:paraId="4868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89" w:type="dxa"/>
            <w:vMerge w:val="continue"/>
            <w:vAlign w:val="center"/>
          </w:tcPr>
          <w:p w14:paraId="53794DC7">
            <w:pPr>
              <w:jc w:val="left"/>
              <w:rPr>
                <w:rFonts w:ascii="宋体" w:hAnsi="宋体"/>
                <w:color w:val="000000"/>
                <w:kern w:val="0"/>
                <w:highlight w:val="none"/>
              </w:rPr>
            </w:pPr>
          </w:p>
        </w:tc>
        <w:tc>
          <w:tcPr>
            <w:tcW w:w="1555" w:type="dxa"/>
            <w:vAlign w:val="center"/>
          </w:tcPr>
          <w:p w14:paraId="273F3307">
            <w:pPr>
              <w:widowControl/>
              <w:jc w:val="center"/>
              <w:rPr>
                <w:rFonts w:ascii="宋体" w:hAnsi="宋体"/>
                <w:color w:val="auto"/>
                <w:kern w:val="0"/>
                <w:highlight w:val="none"/>
              </w:rPr>
            </w:pPr>
            <w:r>
              <w:rPr>
                <w:rFonts w:hint="eastAsia" w:ascii="宋体" w:hAnsi="宋体"/>
                <w:color w:val="auto"/>
                <w:kern w:val="0"/>
                <w:highlight w:val="none"/>
              </w:rPr>
              <w:t>实施方案</w:t>
            </w:r>
          </w:p>
        </w:tc>
        <w:tc>
          <w:tcPr>
            <w:tcW w:w="5384" w:type="dxa"/>
            <w:vAlign w:val="center"/>
          </w:tcPr>
          <w:p w14:paraId="7C9937DE">
            <w:pPr>
              <w:keepNext w:val="0"/>
              <w:keepLines w:val="0"/>
              <w:widowControl/>
              <w:suppressLineNumbers w:val="0"/>
              <w:jc w:val="left"/>
              <w:rPr>
                <w:rFonts w:hint="eastAsia" w:ascii="宋体" w:hAnsi="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投标人须结合本项目婚姻登记证书印制生产、工艺管控、成品质量、批量供货、发行配送、成品交付的专项特点及采购需求，</w:t>
            </w:r>
            <w:r>
              <w:rPr>
                <w:rFonts w:hint="eastAsia" w:ascii="宋体" w:hAnsi="宋体" w:eastAsia="宋体" w:cs="宋体"/>
                <w:b w:val="0"/>
                <w:bCs w:val="0"/>
                <w:kern w:val="0"/>
                <w:sz w:val="24"/>
                <w:szCs w:val="24"/>
                <w:highlight w:val="none"/>
                <w:lang w:val="en-US" w:eastAsia="zh-CN" w:bidi="ar"/>
              </w:rPr>
              <w:t>制定</w:t>
            </w:r>
            <w:r>
              <w:rPr>
                <w:rFonts w:ascii="宋体" w:hAnsi="宋体" w:eastAsia="宋体" w:cs="宋体"/>
                <w:b w:val="0"/>
                <w:bCs w:val="0"/>
                <w:kern w:val="0"/>
                <w:sz w:val="24"/>
                <w:szCs w:val="24"/>
                <w:highlight w:val="none"/>
                <w:lang w:val="en-US" w:eastAsia="zh-CN" w:bidi="ar"/>
              </w:rPr>
              <w:t>专业、详细、可落地的项目实施方案。方案须至少包含以下六项评审要素：①详细工艺管理流程</w:t>
            </w:r>
            <w:r>
              <w:rPr>
                <w:rFonts w:hint="eastAsia" w:ascii="宋体" w:hAnsi="宋体" w:cs="宋体"/>
                <w:b w:val="0"/>
                <w:bCs w:val="0"/>
                <w:kern w:val="0"/>
                <w:sz w:val="24"/>
                <w:szCs w:val="24"/>
                <w:highlight w:val="none"/>
                <w:lang w:val="en-US" w:eastAsia="zh-CN" w:bidi="ar"/>
              </w:rPr>
              <w:t>、</w:t>
            </w:r>
            <w:r>
              <w:rPr>
                <w:rFonts w:ascii="宋体" w:hAnsi="宋体" w:eastAsia="宋体" w:cs="宋体"/>
                <w:b w:val="0"/>
                <w:bCs w:val="0"/>
                <w:kern w:val="0"/>
                <w:sz w:val="24"/>
                <w:szCs w:val="24"/>
                <w:highlight w:val="none"/>
                <w:lang w:val="en-US" w:eastAsia="zh-CN" w:bidi="ar"/>
              </w:rPr>
              <w:t>②质量要求、③</w:t>
            </w:r>
            <w:r>
              <w:rPr>
                <w:rStyle w:val="53"/>
                <w:rFonts w:ascii="宋体" w:hAnsi="宋体" w:eastAsia="宋体" w:cs="宋体"/>
                <w:b w:val="0"/>
                <w:bCs w:val="0"/>
                <w:kern w:val="0"/>
                <w:sz w:val="24"/>
                <w:szCs w:val="24"/>
                <w:highlight w:val="none"/>
                <w:lang w:val="en-US" w:eastAsia="zh-CN" w:bidi="ar"/>
              </w:rPr>
              <w:t>产品图文资料及重点环节说明</w:t>
            </w:r>
            <w:r>
              <w:rPr>
                <w:rFonts w:ascii="宋体" w:hAnsi="宋体" w:eastAsia="宋体" w:cs="宋体"/>
                <w:b w:val="0"/>
                <w:bCs w:val="0"/>
                <w:kern w:val="0"/>
                <w:sz w:val="24"/>
                <w:szCs w:val="24"/>
                <w:highlight w:val="none"/>
                <w:lang w:val="en-US" w:eastAsia="zh-CN" w:bidi="ar"/>
              </w:rPr>
              <w:t>、④印装质量控制措施、⑤供货时间重点管控细则、⑥供货时间保障</w:t>
            </w:r>
            <w:r>
              <w:rPr>
                <w:rFonts w:hint="eastAsia" w:ascii="宋体" w:hAnsi="宋体" w:cs="宋体"/>
                <w:b w:val="0"/>
                <w:bCs w:val="0"/>
                <w:kern w:val="0"/>
                <w:sz w:val="24"/>
                <w:szCs w:val="24"/>
                <w:highlight w:val="none"/>
                <w:lang w:val="en-US" w:eastAsia="zh-CN" w:bidi="ar"/>
              </w:rPr>
              <w:t>。</w:t>
            </w:r>
          </w:p>
          <w:p w14:paraId="549442D7">
            <w:pPr>
              <w:keepNext w:val="0"/>
              <w:keepLines w:val="0"/>
              <w:widowControl/>
              <w:suppressLineNumbers w:val="0"/>
              <w:jc w:val="left"/>
              <w:rPr>
                <w:rFonts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本次评审将六项要素划分为：</w:t>
            </w:r>
            <w:r>
              <w:rPr>
                <w:rStyle w:val="53"/>
                <w:rFonts w:ascii="宋体" w:hAnsi="宋体" w:eastAsia="宋体" w:cs="宋体"/>
                <w:b w:val="0"/>
                <w:bCs w:val="0"/>
                <w:kern w:val="0"/>
                <w:sz w:val="24"/>
                <w:szCs w:val="24"/>
                <w:highlight w:val="none"/>
                <w:lang w:val="en-US" w:eastAsia="zh-CN" w:bidi="ar"/>
              </w:rPr>
              <w:t>重点核心模块（工艺管理流程、印装质量控制、产品图文资料及重点环节说明）</w:t>
            </w:r>
            <w:r>
              <w:rPr>
                <w:rFonts w:ascii="宋体" w:hAnsi="宋体" w:eastAsia="宋体" w:cs="宋体"/>
                <w:b w:val="0"/>
                <w:bCs w:val="0"/>
                <w:kern w:val="0"/>
                <w:sz w:val="24"/>
                <w:szCs w:val="24"/>
                <w:highlight w:val="none"/>
                <w:lang w:val="en-US" w:eastAsia="zh-CN" w:bidi="ar"/>
              </w:rPr>
              <w:t>，直接决定婚姻登记证书印制成品质量、版式规范、防伪效果，属于项目关键性实施内容；</w:t>
            </w:r>
            <w:r>
              <w:rPr>
                <w:rStyle w:val="53"/>
                <w:rFonts w:ascii="宋体" w:hAnsi="宋体" w:eastAsia="宋体" w:cs="宋体"/>
                <w:b w:val="0"/>
                <w:bCs w:val="0"/>
                <w:kern w:val="0"/>
                <w:sz w:val="24"/>
                <w:szCs w:val="24"/>
                <w:highlight w:val="none"/>
                <w:lang w:val="en-US" w:eastAsia="zh-CN" w:bidi="ar"/>
              </w:rPr>
              <w:t>基础常规模块（质量要求、供货时间保障、供货时间重点管控细则）</w:t>
            </w:r>
            <w:r>
              <w:rPr>
                <w:rFonts w:ascii="宋体" w:hAnsi="宋体" w:eastAsia="宋体" w:cs="宋体"/>
                <w:b w:val="0"/>
                <w:bCs w:val="0"/>
                <w:kern w:val="0"/>
                <w:sz w:val="24"/>
                <w:szCs w:val="24"/>
                <w:highlight w:val="none"/>
                <w:lang w:val="en-US" w:eastAsia="zh-CN" w:bidi="ar"/>
              </w:rPr>
              <w:t>，属于项目履约基础保障内容。</w:t>
            </w:r>
          </w:p>
          <w:p w14:paraId="185570C9">
            <w:pPr>
              <w:keepNext w:val="0"/>
              <w:keepLines w:val="0"/>
              <w:widowControl/>
              <w:suppressLineNumbers w:val="0"/>
              <w:jc w:val="left"/>
              <w:rPr>
                <w:rFonts w:hint="default"/>
                <w:b w:val="0"/>
                <w:bCs w:val="0"/>
                <w:highlight w:val="none"/>
                <w:lang w:val="en-US"/>
              </w:rPr>
            </w:pPr>
            <w:r>
              <w:rPr>
                <w:rStyle w:val="53"/>
                <w:rFonts w:ascii="宋体" w:hAnsi="宋体" w:eastAsia="宋体" w:cs="宋体"/>
                <w:b w:val="0"/>
                <w:bCs w:val="0"/>
                <w:kern w:val="0"/>
                <w:sz w:val="24"/>
                <w:szCs w:val="24"/>
                <w:highlight w:val="none"/>
                <w:lang w:val="en-US" w:eastAsia="zh-CN" w:bidi="ar"/>
              </w:rPr>
              <w:t>1、</w:t>
            </w:r>
            <w:r>
              <w:rPr>
                <w:rFonts w:ascii="宋体" w:hAnsi="宋体" w:eastAsia="宋体" w:cs="宋体"/>
                <w:b w:val="0"/>
                <w:bCs w:val="0"/>
                <w:kern w:val="0"/>
                <w:sz w:val="24"/>
                <w:szCs w:val="24"/>
                <w:highlight w:val="none"/>
                <w:lang w:val="en-US" w:eastAsia="zh-CN" w:bidi="ar"/>
              </w:rPr>
              <w:t>实施方案完整涵盖上述六项全部评审要素，无缺项、无漏项。方案完全贴合婚姻登记证书制式化、高标准的印制要求，针对证件纸张、印刷、装帧、防伪、配色、裁切等专属工艺制定详细管控流程；供货时效、批次排产、发行配送、成品防护措施完善，图文资料清晰规范、匹配国家民政制式标准；方案内容详实、节点明确、标准准确，可完全落地实施，满足且优于本项目采购需求</w:t>
            </w:r>
            <w:r>
              <w:rPr>
                <w:rFonts w:hint="eastAsia" w:ascii="宋体" w:hAnsi="宋体" w:eastAsia="宋体" w:cs="宋体"/>
                <w:b w:val="0"/>
                <w:bCs w:val="0"/>
                <w:kern w:val="0"/>
                <w:sz w:val="24"/>
                <w:szCs w:val="24"/>
                <w:highlight w:val="none"/>
                <w:lang w:val="en-US" w:eastAsia="zh-CN" w:bidi="ar"/>
              </w:rPr>
              <w:t>，得20分。</w:t>
            </w:r>
          </w:p>
          <w:p w14:paraId="19D4106C">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2、</w:t>
            </w:r>
            <w:r>
              <w:rPr>
                <w:rFonts w:ascii="宋体" w:hAnsi="宋体" w:eastAsia="宋体" w:cs="宋体"/>
                <w:b w:val="0"/>
                <w:bCs w:val="0"/>
                <w:kern w:val="0"/>
                <w:sz w:val="24"/>
                <w:szCs w:val="24"/>
                <w:highlight w:val="none"/>
                <w:lang w:val="en-US" w:eastAsia="zh-CN" w:bidi="ar"/>
              </w:rPr>
              <w:t>实施方案仅缺少任意1项基础常规模块，全部重点核心模块内容完整、工艺专业、贴合本项目证件印制需求，无工艺漏洞、无实施缺陷，可全面保障项目印制质量与交付时效；若缺失1项重点核心模块，其余要素内容完善，整体可满足项目正常实施</w:t>
            </w:r>
            <w:r>
              <w:rPr>
                <w:rFonts w:hint="eastAsia" w:ascii="宋体" w:hAnsi="宋体" w:eastAsia="宋体" w:cs="宋体"/>
                <w:b w:val="0"/>
                <w:bCs w:val="0"/>
                <w:kern w:val="0"/>
                <w:sz w:val="24"/>
                <w:szCs w:val="24"/>
                <w:highlight w:val="none"/>
                <w:lang w:val="en-US" w:eastAsia="zh-CN" w:bidi="ar"/>
              </w:rPr>
              <w:t>，扣3分。</w:t>
            </w:r>
          </w:p>
          <w:p w14:paraId="6334C495">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3、</w:t>
            </w:r>
            <w:r>
              <w:rPr>
                <w:rStyle w:val="53"/>
                <w:rFonts w:hint="eastAsia" w:ascii="宋体" w:hAnsi="宋体" w:eastAsia="宋体" w:cs="宋体"/>
                <w:b w:val="0"/>
                <w:bCs w:val="0"/>
                <w:kern w:val="0"/>
                <w:sz w:val="24"/>
                <w:szCs w:val="24"/>
                <w:highlight w:val="none"/>
                <w:lang w:val="en-US" w:eastAsia="zh-CN" w:bidi="ar"/>
              </w:rPr>
              <w:t>实施方案</w:t>
            </w:r>
            <w:r>
              <w:rPr>
                <w:rStyle w:val="53"/>
                <w:rFonts w:ascii="宋体" w:hAnsi="宋体" w:eastAsia="宋体" w:cs="宋体"/>
                <w:b w:val="0"/>
                <w:bCs w:val="0"/>
                <w:kern w:val="0"/>
                <w:sz w:val="24"/>
                <w:szCs w:val="24"/>
                <w:highlight w:val="none"/>
                <w:lang w:val="en-US" w:eastAsia="zh-CN" w:bidi="ar"/>
              </w:rPr>
              <w:t>缺少2项评审要素</w:t>
            </w:r>
            <w:r>
              <w:rPr>
                <w:rFonts w:ascii="宋体" w:hAnsi="宋体" w:eastAsia="宋体" w:cs="宋体"/>
                <w:b w:val="0"/>
                <w:bCs w:val="0"/>
                <w:kern w:val="0"/>
                <w:sz w:val="24"/>
                <w:szCs w:val="24"/>
                <w:highlight w:val="none"/>
                <w:lang w:val="en-US" w:eastAsia="zh-CN" w:bidi="ar"/>
              </w:rPr>
              <w:t>：包含三类评审情形：①缺失2项基础常规模块，所有重点工艺、质量、图文核心模块齐全，证件印制工艺、质量管控、产品说明完善，仅基础供货管控内容缺失，无重大履约风险；②缺失1项基础常规模块+1项重点核心模块，基础保障与局部工艺模块缺失，整体方案基本可行，可满足项目常规印制交付需求；③缺失2项重点核心模块，证件工艺、质量、图文关键内容存在短板，无法达到本档次评分要求</w:t>
            </w:r>
            <w:r>
              <w:rPr>
                <w:rFonts w:hint="eastAsia" w:ascii="宋体" w:hAnsi="宋体" w:eastAsia="宋体" w:cs="宋体"/>
                <w:b w:val="0"/>
                <w:bCs w:val="0"/>
                <w:kern w:val="0"/>
                <w:sz w:val="24"/>
                <w:szCs w:val="24"/>
                <w:highlight w:val="none"/>
                <w:lang w:val="en-US" w:eastAsia="zh-CN" w:bidi="ar"/>
              </w:rPr>
              <w:t>，扣6分。</w:t>
            </w:r>
          </w:p>
          <w:p w14:paraId="680B2D2F">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hint="eastAsia" w:ascii="宋体" w:hAnsi="宋体" w:eastAsia="宋体" w:cs="宋体"/>
                <w:b w:val="0"/>
                <w:bCs w:val="0"/>
                <w:kern w:val="0"/>
                <w:sz w:val="24"/>
                <w:szCs w:val="24"/>
                <w:highlight w:val="none"/>
                <w:lang w:val="en-US" w:eastAsia="zh-CN" w:bidi="ar"/>
              </w:rPr>
              <w:t>4、实施方案</w:t>
            </w:r>
            <w:r>
              <w:rPr>
                <w:rStyle w:val="53"/>
                <w:rFonts w:ascii="宋体" w:hAnsi="宋体" w:eastAsia="宋体" w:cs="宋体"/>
                <w:b w:val="0"/>
                <w:bCs w:val="0"/>
                <w:kern w:val="0"/>
                <w:sz w:val="24"/>
                <w:szCs w:val="24"/>
                <w:highlight w:val="none"/>
                <w:lang w:val="en-US" w:eastAsia="zh-CN" w:bidi="ar"/>
              </w:rPr>
              <w:t>缺少3项评审要素</w:t>
            </w:r>
            <w:r>
              <w:rPr>
                <w:rFonts w:ascii="宋体" w:hAnsi="宋体" w:eastAsia="宋体" w:cs="宋体"/>
                <w:b w:val="0"/>
                <w:bCs w:val="0"/>
                <w:kern w:val="0"/>
                <w:sz w:val="24"/>
                <w:szCs w:val="24"/>
                <w:highlight w:val="none"/>
                <w:lang w:val="en-US" w:eastAsia="zh-CN" w:bidi="ar"/>
              </w:rPr>
              <w:t>：包含三类评审情形：①缺失3项基础常规模块，重点核心模块全部保留，仅供货及基础管控不完善，证件印制质量可控；②缺失2项基础常规模块+1项重点核心模块，工艺及质量核心要素部分缺失，产品印制保障能力下降；③缺失1项基础常规模块+2项重点核心模块，重点工艺、图文资料缺失较多，产品规范性、专业性不足，存在轻微质量风险</w:t>
            </w:r>
            <w:r>
              <w:rPr>
                <w:rFonts w:hint="eastAsia" w:ascii="宋体" w:hAnsi="宋体" w:eastAsia="宋体" w:cs="宋体"/>
                <w:b w:val="0"/>
                <w:bCs w:val="0"/>
                <w:kern w:val="0"/>
                <w:sz w:val="24"/>
                <w:szCs w:val="24"/>
                <w:highlight w:val="none"/>
                <w:lang w:val="en-US" w:eastAsia="zh-CN" w:bidi="ar"/>
              </w:rPr>
              <w:t>，扣9分。</w:t>
            </w:r>
          </w:p>
          <w:p w14:paraId="6B7ED983">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ascii="宋体" w:hAnsi="宋体" w:eastAsia="宋体" w:cs="宋体"/>
                <w:b w:val="0"/>
                <w:bCs w:val="0"/>
                <w:kern w:val="0"/>
                <w:sz w:val="24"/>
                <w:szCs w:val="24"/>
                <w:highlight w:val="none"/>
                <w:lang w:val="en-US" w:eastAsia="zh-CN" w:bidi="ar"/>
              </w:rPr>
              <w:t>5、</w:t>
            </w:r>
            <w:r>
              <w:rPr>
                <w:rStyle w:val="53"/>
                <w:rFonts w:hint="eastAsia" w:ascii="宋体" w:hAnsi="宋体" w:eastAsia="宋体" w:cs="宋体"/>
                <w:b w:val="0"/>
                <w:bCs w:val="0"/>
                <w:kern w:val="0"/>
                <w:sz w:val="24"/>
                <w:szCs w:val="24"/>
                <w:highlight w:val="none"/>
                <w:lang w:val="en-US" w:eastAsia="zh-CN" w:bidi="ar"/>
              </w:rPr>
              <w:t>实施方案</w:t>
            </w:r>
            <w:r>
              <w:rPr>
                <w:rStyle w:val="53"/>
                <w:rFonts w:ascii="宋体" w:hAnsi="宋体" w:eastAsia="宋体" w:cs="宋体"/>
                <w:b w:val="0"/>
                <w:bCs w:val="0"/>
                <w:kern w:val="0"/>
                <w:sz w:val="24"/>
                <w:szCs w:val="24"/>
                <w:highlight w:val="none"/>
                <w:lang w:val="en-US" w:eastAsia="zh-CN" w:bidi="ar"/>
              </w:rPr>
              <w:t>缺少4项评审要素</w:t>
            </w:r>
            <w:r>
              <w:rPr>
                <w:rFonts w:ascii="宋体" w:hAnsi="宋体" w:eastAsia="宋体" w:cs="宋体"/>
                <w:b w:val="0"/>
                <w:bCs w:val="0"/>
                <w:kern w:val="0"/>
                <w:sz w:val="24"/>
                <w:szCs w:val="24"/>
                <w:highlight w:val="none"/>
                <w:lang w:val="en-US" w:eastAsia="zh-CN" w:bidi="ar"/>
              </w:rPr>
              <w:t>：包含两类评审情形：①缺失多项基础及重点模块，仅保留2项及以内评审要素；项目印制工艺、印装质控、图文说明等关键内容大量缺失，仅覆盖基础供货、基础质量简单要求；②方案内容简单笼统、无专项工艺流程、无产品图文说明、无详细管控节点，仅能覆盖项目最基础的实施要求，方案完整性欠缺，仅可勉强支撑项目基础实施，项目印制质量与交付稳定性无法保障</w:t>
            </w:r>
            <w:r>
              <w:rPr>
                <w:rFonts w:hint="eastAsia" w:ascii="宋体" w:hAnsi="宋体" w:eastAsia="宋体" w:cs="宋体"/>
                <w:b w:val="0"/>
                <w:bCs w:val="0"/>
                <w:kern w:val="0"/>
                <w:sz w:val="24"/>
                <w:szCs w:val="24"/>
                <w:highlight w:val="none"/>
                <w:lang w:val="en-US" w:eastAsia="zh-CN" w:bidi="ar"/>
              </w:rPr>
              <w:t>，扣12分。</w:t>
            </w:r>
          </w:p>
          <w:p w14:paraId="040C8B41">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Style w:val="53"/>
                <w:rFonts w:hint="eastAsia" w:ascii="宋体" w:hAnsi="宋体" w:eastAsia="宋体" w:cs="宋体"/>
                <w:b w:val="0"/>
                <w:bCs w:val="0"/>
                <w:kern w:val="0"/>
                <w:sz w:val="24"/>
                <w:szCs w:val="24"/>
                <w:highlight w:val="none"/>
                <w:lang w:val="en-US" w:eastAsia="zh-CN" w:bidi="ar"/>
              </w:rPr>
              <w:t>5、实施方案</w:t>
            </w:r>
            <w:r>
              <w:rPr>
                <w:rStyle w:val="53"/>
                <w:rFonts w:ascii="宋体" w:hAnsi="宋体" w:eastAsia="宋体" w:cs="宋体"/>
                <w:b w:val="0"/>
                <w:bCs w:val="0"/>
                <w:kern w:val="0"/>
                <w:sz w:val="24"/>
                <w:szCs w:val="24"/>
                <w:highlight w:val="none"/>
                <w:lang w:val="en-US" w:eastAsia="zh-CN" w:bidi="ar"/>
              </w:rPr>
              <w:t>缺少5项评审要素</w:t>
            </w:r>
            <w:r>
              <w:rPr>
                <w:rFonts w:ascii="宋体" w:hAnsi="宋体" w:eastAsia="宋体" w:cs="宋体"/>
                <w:b w:val="0"/>
                <w:bCs w:val="0"/>
                <w:kern w:val="0"/>
                <w:sz w:val="24"/>
                <w:szCs w:val="24"/>
                <w:highlight w:val="none"/>
                <w:lang w:val="en-US" w:eastAsia="zh-CN" w:bidi="ar"/>
              </w:rPr>
              <w:t>：仅提供任意1项评审要素内容，其余五项要素全部缺失。方案内容极度简略，无证件专项工艺、无质量控制、无配送管控、无产品图文资料，无法满足婚姻登记证书标准化印制生产需求，履约风险较高</w:t>
            </w:r>
            <w:r>
              <w:rPr>
                <w:rFonts w:hint="eastAsia" w:ascii="宋体" w:hAnsi="宋体" w:eastAsia="宋体" w:cs="宋体"/>
                <w:b w:val="0"/>
                <w:bCs w:val="0"/>
                <w:kern w:val="0"/>
                <w:sz w:val="24"/>
                <w:szCs w:val="24"/>
                <w:highlight w:val="none"/>
                <w:lang w:val="en-US" w:eastAsia="zh-CN" w:bidi="ar"/>
              </w:rPr>
              <w:t>，扣16分。</w:t>
            </w:r>
          </w:p>
          <w:p w14:paraId="6BD66E3A">
            <w:pPr>
              <w:keepNext w:val="0"/>
              <w:keepLines w:val="0"/>
              <w:widowControl/>
              <w:suppressLineNumbers w:val="0"/>
              <w:jc w:val="left"/>
              <w:rPr>
                <w:rFonts w:ascii="宋体" w:hAnsi="宋体"/>
                <w:b w:val="0"/>
                <w:bCs w:val="0"/>
                <w:color w:val="000000"/>
                <w:sz w:val="21"/>
                <w:highlight w:val="none"/>
              </w:rPr>
            </w:pPr>
            <w:r>
              <w:rPr>
                <w:rStyle w:val="53"/>
                <w:rFonts w:ascii="宋体" w:hAnsi="宋体" w:eastAsia="宋体" w:cs="宋体"/>
                <w:b w:val="0"/>
                <w:bCs w:val="0"/>
                <w:kern w:val="0"/>
                <w:sz w:val="24"/>
                <w:szCs w:val="24"/>
                <w:highlight w:val="none"/>
                <w:lang w:val="en-US" w:eastAsia="zh-CN" w:bidi="ar"/>
              </w:rPr>
              <w:t>7、</w:t>
            </w:r>
            <w:r>
              <w:rPr>
                <w:rFonts w:ascii="宋体" w:hAnsi="宋体" w:eastAsia="宋体" w:cs="宋体"/>
                <w:b w:val="0"/>
                <w:bCs w:val="0"/>
                <w:kern w:val="0"/>
                <w:sz w:val="24"/>
                <w:szCs w:val="24"/>
                <w:highlight w:val="none"/>
                <w:lang w:val="en-US" w:eastAsia="zh-CN" w:bidi="ar"/>
              </w:rPr>
              <w:t>未提供本项目实施方案，或方案全部为通用模板、未结合婚姻登记证书印制项目特性、关键实施要素全部缺失的，本项不得分。</w:t>
            </w:r>
          </w:p>
        </w:tc>
        <w:tc>
          <w:tcPr>
            <w:tcW w:w="645" w:type="dxa"/>
            <w:vAlign w:val="center"/>
          </w:tcPr>
          <w:p w14:paraId="7BFA60C0">
            <w:pPr>
              <w:widowControl/>
              <w:jc w:val="center"/>
              <w:rPr>
                <w:rFonts w:ascii="宋体" w:hAnsi="宋体"/>
                <w:color w:val="000000"/>
                <w:kern w:val="0"/>
                <w:highlight w:val="none"/>
              </w:rPr>
            </w:pPr>
            <w:r>
              <w:rPr>
                <w:rFonts w:hint="eastAsia" w:ascii="宋体" w:hAnsi="宋体"/>
                <w:color w:val="000000"/>
                <w:kern w:val="0"/>
                <w:highlight w:val="none"/>
                <w:lang w:val="en-US" w:eastAsia="zh-CN"/>
              </w:rPr>
              <w:t>20</w:t>
            </w:r>
            <w:r>
              <w:rPr>
                <w:rFonts w:hint="eastAsia" w:ascii="宋体" w:hAnsi="宋体"/>
                <w:color w:val="000000"/>
                <w:kern w:val="0"/>
                <w:highlight w:val="none"/>
              </w:rPr>
              <w:t>分</w:t>
            </w:r>
          </w:p>
        </w:tc>
      </w:tr>
      <w:tr w14:paraId="785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89" w:type="dxa"/>
            <w:vMerge w:val="continue"/>
            <w:vAlign w:val="center"/>
          </w:tcPr>
          <w:p w14:paraId="1AD7C6C1">
            <w:pPr>
              <w:jc w:val="left"/>
              <w:rPr>
                <w:rFonts w:ascii="宋体" w:hAnsi="宋体"/>
                <w:color w:val="000000"/>
                <w:kern w:val="0"/>
                <w:highlight w:val="none"/>
              </w:rPr>
            </w:pPr>
          </w:p>
        </w:tc>
        <w:tc>
          <w:tcPr>
            <w:tcW w:w="1555" w:type="dxa"/>
            <w:vAlign w:val="center"/>
          </w:tcPr>
          <w:p w14:paraId="67309244">
            <w:pPr>
              <w:jc w:val="center"/>
              <w:rPr>
                <w:rFonts w:ascii="宋体" w:hAnsi="宋体"/>
                <w:color w:val="auto"/>
                <w:kern w:val="0"/>
                <w:highlight w:val="none"/>
              </w:rPr>
            </w:pPr>
            <w:r>
              <w:rPr>
                <w:rFonts w:hint="eastAsia" w:ascii="宋体" w:hAnsi="宋体"/>
                <w:color w:val="auto"/>
                <w:kern w:val="0"/>
                <w:highlight w:val="none"/>
              </w:rPr>
              <w:t>人员配置</w:t>
            </w:r>
          </w:p>
          <w:p w14:paraId="0C189DFD">
            <w:pPr>
              <w:jc w:val="center"/>
              <w:rPr>
                <w:rFonts w:ascii="宋体" w:hAnsi="宋体"/>
                <w:color w:val="000000"/>
                <w:kern w:val="0"/>
                <w:highlight w:val="none"/>
              </w:rPr>
            </w:pPr>
          </w:p>
        </w:tc>
        <w:tc>
          <w:tcPr>
            <w:tcW w:w="5384" w:type="dxa"/>
            <w:vAlign w:val="center"/>
          </w:tcPr>
          <w:p w14:paraId="5EE9B7E6">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投标人须结合本项目婚姻登记证书版式校对、防伪设计、印装生产、质量检验、成品交付、售后整改等全流程实施特点，编制针对性的项目人员配置方案。评审要素包含五大维度：①专业技术力量、②设计团队配置、③组织架构、④技术支持体系、⑤岗位职责分工。</w:t>
            </w:r>
          </w:p>
          <w:p w14:paraId="14F19B3D">
            <w:pPr>
              <w:keepNext w:val="0"/>
              <w:keepLines w:val="0"/>
              <w:widowControl/>
              <w:suppressLineNumbers w:val="0"/>
              <w:jc w:val="left"/>
              <w:rPr>
                <w:b w:val="0"/>
                <w:bCs w:val="0"/>
                <w:highlight w:val="none"/>
              </w:rPr>
            </w:pPr>
            <w:r>
              <w:rPr>
                <w:rFonts w:ascii="宋体" w:hAnsi="宋体" w:eastAsia="宋体" w:cs="宋体"/>
                <w:b w:val="0"/>
                <w:bCs w:val="0"/>
                <w:kern w:val="0"/>
                <w:sz w:val="24"/>
                <w:szCs w:val="24"/>
                <w:highlight w:val="none"/>
                <w:lang w:val="en-US" w:eastAsia="zh-CN" w:bidi="ar"/>
              </w:rPr>
              <w:t>本次评审将五项要素划分为：</w:t>
            </w:r>
            <w:r>
              <w:rPr>
                <w:rStyle w:val="53"/>
                <w:rFonts w:ascii="宋体" w:hAnsi="宋体" w:eastAsia="宋体" w:cs="宋体"/>
                <w:b w:val="0"/>
                <w:bCs w:val="0"/>
                <w:kern w:val="0"/>
                <w:sz w:val="24"/>
                <w:szCs w:val="24"/>
                <w:highlight w:val="none"/>
                <w:lang w:val="en-US" w:eastAsia="zh-CN" w:bidi="ar"/>
              </w:rPr>
              <w:t>重点核心模块（专业技术力量、设计团队配置、技术支持体系）</w:t>
            </w:r>
            <w:r>
              <w:rPr>
                <w:rFonts w:ascii="宋体" w:hAnsi="宋体" w:eastAsia="宋体" w:cs="宋体"/>
                <w:b w:val="0"/>
                <w:bCs w:val="0"/>
                <w:kern w:val="0"/>
                <w:sz w:val="24"/>
                <w:szCs w:val="24"/>
                <w:highlight w:val="none"/>
                <w:lang w:val="en-US" w:eastAsia="zh-CN" w:bidi="ar"/>
              </w:rPr>
              <w:t>，直接关系婚姻登记证书版式合规、防伪工艺精准、印刷质量标准，是保障产品符合民政制式标准的关键条件；</w:t>
            </w:r>
            <w:r>
              <w:rPr>
                <w:rStyle w:val="53"/>
                <w:rFonts w:ascii="宋体" w:hAnsi="宋体" w:eastAsia="宋体" w:cs="宋体"/>
                <w:b w:val="0"/>
                <w:bCs w:val="0"/>
                <w:kern w:val="0"/>
                <w:sz w:val="24"/>
                <w:szCs w:val="24"/>
                <w:highlight w:val="none"/>
                <w:lang w:val="en-US" w:eastAsia="zh-CN" w:bidi="ar"/>
              </w:rPr>
              <w:t>基础常规模块（组织架构、岗位职责分工）</w:t>
            </w:r>
            <w:r>
              <w:rPr>
                <w:rFonts w:ascii="宋体" w:hAnsi="宋体" w:eastAsia="宋体" w:cs="宋体"/>
                <w:b w:val="0"/>
                <w:bCs w:val="0"/>
                <w:kern w:val="0"/>
                <w:sz w:val="24"/>
                <w:szCs w:val="24"/>
                <w:highlight w:val="none"/>
                <w:lang w:val="en-US" w:eastAsia="zh-CN" w:bidi="ar"/>
              </w:rPr>
              <w:t>，为项目团队管理、岗位协作的基础保障。评审依据人员方案完整性、项目针对性、团队专业性、人员稳定性及落地适配性判定，纯通用模板、未结合婚姻证件印制项目特性的内容，不计为有效评审内容，具体评分标准如下：</w:t>
            </w:r>
          </w:p>
          <w:p w14:paraId="08AEAFF2">
            <w:pPr>
              <w:keepNext w:val="0"/>
              <w:keepLines w:val="0"/>
              <w:widowControl/>
              <w:numPr>
                <w:ilvl w:val="0"/>
                <w:numId w:val="16"/>
              </w:numPr>
              <w:suppressLineNumbers w:val="0"/>
              <w:jc w:val="left"/>
              <w:rPr>
                <w:rFonts w:ascii="宋体" w:hAnsi="宋体" w:eastAsia="宋体" w:cs="宋体"/>
                <w:b w:val="0"/>
                <w:bCs w:val="0"/>
                <w:kern w:val="0"/>
                <w:sz w:val="24"/>
                <w:szCs w:val="24"/>
                <w:highlight w:val="none"/>
                <w:lang w:val="en-US" w:eastAsia="zh-CN" w:bidi="ar"/>
              </w:rPr>
            </w:pPr>
            <w:r>
              <w:rPr>
                <w:rFonts w:ascii="宋体" w:hAnsi="宋体" w:eastAsia="宋体" w:cs="宋体"/>
                <w:b w:val="0"/>
                <w:bCs w:val="0"/>
                <w:kern w:val="0"/>
                <w:sz w:val="24"/>
                <w:szCs w:val="24"/>
                <w:highlight w:val="none"/>
                <w:lang w:val="en-US" w:eastAsia="zh-CN" w:bidi="ar"/>
              </w:rPr>
              <w:t>人员配置方案完整覆盖专业技术力量、设计团队配置、组织架构、技术支持体系、岗位职责分工五项全部评审要素，无缺项、无漏项。方案针对婚姻登记证书专项印制工作组建专属实施团队，岗位设置完全匹配本项目设计、印刷、质检、交付等全部实施需求；项目组织架构层级清晰、权责体系完善，专项印刷技术、版式校对技术支撑能力强；所有岗位职责细化到人、分工明确，同时制定项目全实施周期人员稳定、人员补位、在岗保障机制，可全面保障本项目高质量履约</w:t>
            </w:r>
            <w:r>
              <w:rPr>
                <w:rFonts w:hint="eastAsia" w:ascii="宋体" w:hAnsi="宋体" w:eastAsia="宋体" w:cs="宋体"/>
                <w:b w:val="0"/>
                <w:bCs w:val="0"/>
                <w:kern w:val="0"/>
                <w:sz w:val="24"/>
                <w:szCs w:val="24"/>
                <w:highlight w:val="none"/>
                <w:lang w:val="en-US" w:eastAsia="zh-CN" w:bidi="ar"/>
              </w:rPr>
              <w:t>，得15分。</w:t>
            </w:r>
          </w:p>
          <w:p w14:paraId="4CF54110">
            <w:pPr>
              <w:keepNext w:val="0"/>
              <w:keepLines w:val="0"/>
              <w:widowControl/>
              <w:suppressLineNumbers w:val="0"/>
              <w:jc w:val="left"/>
              <w:rPr>
                <w:rFonts w:hint="default"/>
                <w:b w:val="0"/>
                <w:bCs w:val="0"/>
                <w:highlight w:val="none"/>
                <w:lang w:val="en-US"/>
              </w:rPr>
            </w:pPr>
            <w:r>
              <w:rPr>
                <w:rStyle w:val="53"/>
                <w:rFonts w:hint="eastAsia" w:ascii="宋体" w:hAnsi="宋体" w:eastAsia="宋体" w:cs="宋体"/>
                <w:b w:val="0"/>
                <w:bCs w:val="0"/>
                <w:kern w:val="0"/>
                <w:sz w:val="24"/>
                <w:szCs w:val="24"/>
                <w:highlight w:val="none"/>
                <w:lang w:val="en-US" w:eastAsia="zh-CN" w:bidi="ar"/>
              </w:rPr>
              <w:t>2、人员配置方案</w:t>
            </w:r>
            <w:r>
              <w:rPr>
                <w:rStyle w:val="53"/>
                <w:rFonts w:ascii="宋体" w:hAnsi="宋体" w:eastAsia="宋体" w:cs="宋体"/>
                <w:b w:val="0"/>
                <w:bCs w:val="0"/>
                <w:kern w:val="0"/>
                <w:sz w:val="24"/>
                <w:szCs w:val="24"/>
                <w:highlight w:val="none"/>
                <w:lang w:val="en-US" w:eastAsia="zh-CN" w:bidi="ar"/>
              </w:rPr>
              <w:t>缺少1项评审要素</w:t>
            </w:r>
            <w:r>
              <w:rPr>
                <w:rFonts w:ascii="宋体" w:hAnsi="宋体" w:eastAsia="宋体" w:cs="宋体"/>
                <w:b w:val="0"/>
                <w:bCs w:val="0"/>
                <w:kern w:val="0"/>
                <w:sz w:val="24"/>
                <w:szCs w:val="24"/>
                <w:highlight w:val="none"/>
                <w:lang w:val="en-US" w:eastAsia="zh-CN" w:bidi="ar"/>
              </w:rPr>
              <w:t>：实施方案仅缺少任意1项基础常规模块，全部重点核心模块内容完整详实，项目专业技术团队、设计团队配置完善、技术支撑体系成熟，可完全满足婚姻证件版式设计、工艺印刷、质量管控需求，团队适配性强，无履约短板；若缺失1项重点核心模块，其余四项要素内容完善，整体可满足项目正常实施，</w:t>
            </w:r>
            <w:r>
              <w:rPr>
                <w:rFonts w:hint="eastAsia" w:ascii="宋体" w:hAnsi="宋体" w:eastAsia="宋体" w:cs="宋体"/>
                <w:b w:val="0"/>
                <w:bCs w:val="0"/>
                <w:kern w:val="0"/>
                <w:sz w:val="24"/>
                <w:szCs w:val="24"/>
                <w:highlight w:val="none"/>
                <w:lang w:val="en-US" w:eastAsia="zh-CN" w:bidi="ar"/>
              </w:rPr>
              <w:t>扣3分。</w:t>
            </w:r>
          </w:p>
          <w:p w14:paraId="506391C7">
            <w:pPr>
              <w:keepNext w:val="0"/>
              <w:keepLines w:val="0"/>
              <w:widowControl/>
              <w:numPr>
                <w:ilvl w:val="0"/>
                <w:numId w:val="0"/>
              </w:numPr>
              <w:suppressLineNumbers w:val="0"/>
              <w:jc w:val="left"/>
              <w:rPr>
                <w:rFonts w:ascii="宋体" w:hAnsi="宋体" w:eastAsia="宋体" w:cs="宋体"/>
                <w:b w:val="0"/>
                <w:bCs w:val="0"/>
                <w:kern w:val="0"/>
                <w:sz w:val="24"/>
                <w:szCs w:val="24"/>
                <w:highlight w:val="none"/>
                <w:lang w:val="en-US" w:eastAsia="zh-CN" w:bidi="ar"/>
              </w:rPr>
            </w:pPr>
            <w:r>
              <w:rPr>
                <w:rStyle w:val="53"/>
                <w:rFonts w:hint="eastAsia" w:ascii="宋体" w:hAnsi="宋体" w:cs="宋体"/>
                <w:b w:val="0"/>
                <w:bCs w:val="0"/>
                <w:kern w:val="0"/>
                <w:sz w:val="24"/>
                <w:szCs w:val="24"/>
                <w:highlight w:val="none"/>
                <w:lang w:val="en-US" w:eastAsia="zh-CN" w:bidi="ar"/>
              </w:rPr>
              <w:t>3、</w:t>
            </w:r>
            <w:r>
              <w:rPr>
                <w:rStyle w:val="53"/>
                <w:rFonts w:hint="eastAsia" w:ascii="宋体" w:hAnsi="宋体" w:eastAsia="宋体" w:cs="宋体"/>
                <w:b w:val="0"/>
                <w:bCs w:val="0"/>
                <w:kern w:val="0"/>
                <w:sz w:val="24"/>
                <w:szCs w:val="24"/>
                <w:highlight w:val="none"/>
                <w:lang w:val="en-US" w:eastAsia="zh-CN" w:bidi="ar"/>
              </w:rPr>
              <w:t>人员配置方案</w:t>
            </w:r>
            <w:r>
              <w:rPr>
                <w:rFonts w:hint="eastAsia" w:ascii="宋体" w:hAnsi="宋体" w:eastAsia="宋体" w:cs="宋体"/>
                <w:b w:val="0"/>
                <w:bCs w:val="0"/>
                <w:kern w:val="0"/>
                <w:sz w:val="24"/>
                <w:szCs w:val="24"/>
                <w:highlight w:val="none"/>
                <w:lang w:val="en-US" w:eastAsia="zh-CN" w:bidi="ar"/>
              </w:rPr>
              <w:t>缺少2项评审要素：包含三类评审情形：①缺失2项基础常规模块，重点核心模块全部齐全，项目专业技术、设计团队、技术支持保障到位，仅组织架构、岗位分工细节不完善，核心履约能力不受影响，无重大履约风险；②缺失1项基础常规模块+1项重点核心模块，基础管理或局部技术团队模块缺失，整体团队配置基本完整，可满足婚姻证件常规印制交付工作；③缺失2项重点核心模块，项目技术、设计核心人员保障存在明显短板，无法达到本档次评分要求，扣5分。</w:t>
            </w:r>
          </w:p>
          <w:p w14:paraId="059E158C">
            <w:pPr>
              <w:keepNext w:val="0"/>
              <w:keepLines w:val="0"/>
              <w:widowControl/>
              <w:numPr>
                <w:ilvl w:val="0"/>
                <w:numId w:val="0"/>
              </w:numPr>
              <w:suppressLineNumbers w:val="0"/>
              <w:jc w:val="left"/>
              <w:rPr>
                <w:rFonts w:hint="eastAsia" w:ascii="宋体" w:hAnsi="宋体" w:eastAsia="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4、</w:t>
            </w:r>
            <w:r>
              <w:rPr>
                <w:rFonts w:hint="eastAsia" w:ascii="宋体" w:hAnsi="宋体" w:eastAsia="宋体" w:cs="宋体"/>
                <w:b w:val="0"/>
                <w:bCs w:val="0"/>
                <w:kern w:val="0"/>
                <w:sz w:val="24"/>
                <w:szCs w:val="24"/>
                <w:highlight w:val="none"/>
                <w:lang w:val="en-US" w:eastAsia="zh-CN" w:bidi="ar"/>
              </w:rPr>
              <w:t>人员配置方案缺少3项评审要素：包含</w:t>
            </w:r>
            <w:r>
              <w:rPr>
                <w:rFonts w:hint="eastAsia" w:ascii="宋体" w:hAnsi="宋体" w:cs="宋体"/>
                <w:b w:val="0"/>
                <w:bCs w:val="0"/>
                <w:kern w:val="0"/>
                <w:sz w:val="24"/>
                <w:szCs w:val="24"/>
                <w:highlight w:val="none"/>
                <w:lang w:val="en-US" w:eastAsia="zh-CN" w:bidi="ar"/>
              </w:rPr>
              <w:t>两</w:t>
            </w:r>
            <w:r>
              <w:rPr>
                <w:rFonts w:hint="eastAsia" w:ascii="宋体" w:hAnsi="宋体" w:eastAsia="宋体" w:cs="宋体"/>
                <w:b w:val="0"/>
                <w:bCs w:val="0"/>
                <w:kern w:val="0"/>
                <w:sz w:val="24"/>
                <w:szCs w:val="24"/>
                <w:highlight w:val="none"/>
                <w:lang w:val="en-US" w:eastAsia="zh-CN" w:bidi="ar"/>
              </w:rPr>
              <w:t>类评审情形：①缺失2项基础常规模块+1项重点核心模块，专业技术力量、技术支持体系核心要素部分缺失，证件版式校对、工艺质控保障能力下降；②缺失1项基础常规模块+2项重点核心模块，专业技术力量、设计团队配置缺失较多，团队专业性不足，存在证件版式出错、工艺不达标等质量风险，扣8分。</w:t>
            </w:r>
          </w:p>
          <w:p w14:paraId="5509E439">
            <w:pPr>
              <w:keepNext w:val="0"/>
              <w:keepLines w:val="0"/>
              <w:widowControl/>
              <w:suppressLineNumbers w:val="0"/>
              <w:jc w:val="left"/>
              <w:rPr>
                <w:rFonts w:hint="eastAsia" w:ascii="宋体" w:hAnsi="宋体" w:eastAsia="宋体" w:cs="宋体"/>
                <w:b w:val="0"/>
                <w:bCs w:val="0"/>
                <w:kern w:val="0"/>
                <w:sz w:val="24"/>
                <w:szCs w:val="24"/>
                <w:highlight w:val="none"/>
                <w:lang w:val="en-US" w:eastAsia="zh-CN" w:bidi="ar"/>
              </w:rPr>
            </w:pPr>
            <w:r>
              <w:rPr>
                <w:rFonts w:hint="eastAsia" w:ascii="宋体" w:hAnsi="宋体" w:cs="宋体"/>
                <w:b w:val="0"/>
                <w:bCs w:val="0"/>
                <w:kern w:val="0"/>
                <w:sz w:val="24"/>
                <w:szCs w:val="24"/>
                <w:highlight w:val="none"/>
                <w:lang w:val="en-US" w:eastAsia="zh-CN" w:bidi="ar"/>
              </w:rPr>
              <w:t>5、</w:t>
            </w:r>
            <w:r>
              <w:rPr>
                <w:rFonts w:hint="eastAsia" w:ascii="宋体" w:hAnsi="宋体" w:eastAsia="宋体" w:cs="宋体"/>
                <w:b w:val="0"/>
                <w:bCs w:val="0"/>
                <w:kern w:val="0"/>
                <w:sz w:val="24"/>
                <w:szCs w:val="24"/>
                <w:highlight w:val="none"/>
                <w:lang w:val="en-US" w:eastAsia="zh-CN" w:bidi="ar"/>
              </w:rPr>
              <w:t>人员配置方案</w:t>
            </w:r>
            <w:r>
              <w:rPr>
                <w:rStyle w:val="53"/>
                <w:rFonts w:ascii="宋体" w:hAnsi="宋体" w:eastAsia="宋体" w:cs="宋体"/>
                <w:b w:val="0"/>
                <w:bCs w:val="0"/>
                <w:kern w:val="0"/>
                <w:sz w:val="24"/>
                <w:szCs w:val="24"/>
                <w:highlight w:val="none"/>
                <w:lang w:val="en-US" w:eastAsia="zh-CN" w:bidi="ar"/>
              </w:rPr>
              <w:t>缺少4项评审要素</w:t>
            </w:r>
            <w:r>
              <w:rPr>
                <w:rFonts w:ascii="宋体" w:hAnsi="宋体" w:eastAsia="宋体" w:cs="宋体"/>
                <w:b w:val="0"/>
                <w:bCs w:val="0"/>
                <w:kern w:val="0"/>
                <w:sz w:val="24"/>
                <w:szCs w:val="24"/>
                <w:highlight w:val="none"/>
                <w:lang w:val="en-US" w:eastAsia="zh-CN" w:bidi="ar"/>
              </w:rPr>
              <w:t>：包含两类评审情形：①缺失四项评审要素，仅保留1项及以内评审要素，项目设计团队、技术力量、技术支持等核心内容大量缺失，仅简单描述团队架构或岗位；②人员配置方案存在核心岗位缺岗，团队配置与婚姻登记证书印制项目需求明显不匹配，组织架构表述笼统、岗位职责分工模糊，无专项技术支撑体系、无针对性人员保障措施，团队履约能力薄弱，仅可勉强支撑项目基础实施</w:t>
            </w:r>
            <w:r>
              <w:rPr>
                <w:rFonts w:hint="eastAsia" w:ascii="宋体" w:hAnsi="宋体" w:eastAsia="宋体" w:cs="宋体"/>
                <w:b w:val="0"/>
                <w:bCs w:val="0"/>
                <w:kern w:val="0"/>
                <w:sz w:val="24"/>
                <w:szCs w:val="24"/>
                <w:highlight w:val="none"/>
                <w:lang w:val="en-US" w:eastAsia="zh-CN" w:bidi="ar"/>
              </w:rPr>
              <w:t>，扣10分。</w:t>
            </w:r>
          </w:p>
          <w:p w14:paraId="41EFBC1E">
            <w:pPr>
              <w:keepNext w:val="0"/>
              <w:keepLines w:val="0"/>
              <w:widowControl/>
              <w:suppressLineNumbers w:val="0"/>
              <w:jc w:val="left"/>
              <w:rPr>
                <w:rFonts w:ascii="宋体" w:hAnsi="宋体"/>
                <w:color w:val="000000"/>
                <w:sz w:val="21"/>
                <w:highlight w:val="none"/>
              </w:rPr>
            </w:pPr>
            <w:r>
              <w:rPr>
                <w:rFonts w:hint="eastAsia" w:ascii="宋体" w:hAnsi="宋体" w:eastAsia="宋体" w:cs="宋体"/>
                <w:b w:val="0"/>
                <w:bCs w:val="0"/>
                <w:kern w:val="0"/>
                <w:sz w:val="24"/>
                <w:szCs w:val="24"/>
                <w:highlight w:val="none"/>
                <w:lang w:val="en-US" w:eastAsia="zh-CN" w:bidi="ar"/>
              </w:rPr>
              <w:t>6、</w:t>
            </w:r>
            <w:r>
              <w:rPr>
                <w:rFonts w:ascii="宋体" w:hAnsi="宋体" w:eastAsia="宋体" w:cs="宋体"/>
                <w:b w:val="0"/>
                <w:bCs w:val="0"/>
                <w:kern w:val="0"/>
                <w:sz w:val="24"/>
                <w:szCs w:val="24"/>
                <w:highlight w:val="none"/>
                <w:lang w:val="en-US" w:eastAsia="zh-CN" w:bidi="ar"/>
              </w:rPr>
              <w:t>未提供</w:t>
            </w:r>
            <w:bookmarkStart w:id="123" w:name="_GoBack"/>
            <w:bookmarkEnd w:id="123"/>
            <w:r>
              <w:rPr>
                <w:rFonts w:ascii="宋体" w:hAnsi="宋体" w:eastAsia="宋体" w:cs="宋体"/>
                <w:b w:val="0"/>
                <w:bCs w:val="0"/>
                <w:kern w:val="0"/>
                <w:sz w:val="24"/>
                <w:szCs w:val="24"/>
                <w:highlight w:val="none"/>
                <w:lang w:val="en-US" w:eastAsia="zh-CN" w:bidi="ar"/>
              </w:rPr>
              <w:t>本项目专项人员配置方案，或人员方案为通用模板、未针对婚姻登记证书印制项目配置专属团队、关键岗位全部缺失的，本项不得分。</w:t>
            </w:r>
          </w:p>
        </w:tc>
        <w:tc>
          <w:tcPr>
            <w:tcW w:w="645" w:type="dxa"/>
            <w:vAlign w:val="center"/>
          </w:tcPr>
          <w:p w14:paraId="27753841">
            <w:pPr>
              <w:jc w:val="center"/>
              <w:rPr>
                <w:rFonts w:hint="default" w:ascii="宋体" w:hAnsi="宋体" w:eastAsia="宋体"/>
                <w:color w:val="000000"/>
                <w:kern w:val="0"/>
                <w:highlight w:val="none"/>
                <w:lang w:val="en-US" w:eastAsia="zh-CN"/>
              </w:rPr>
            </w:pPr>
            <w:r>
              <w:rPr>
                <w:rFonts w:hint="eastAsia" w:ascii="宋体" w:hAnsi="宋体"/>
                <w:color w:val="000000"/>
                <w:kern w:val="0"/>
                <w:highlight w:val="none"/>
                <w:lang w:val="en-US" w:eastAsia="zh-CN"/>
              </w:rPr>
              <w:t>10分</w:t>
            </w:r>
          </w:p>
        </w:tc>
      </w:tr>
    </w:tbl>
    <w:p w14:paraId="0A891BBA">
      <w:pPr>
        <w:pStyle w:val="233"/>
        <w:numPr>
          <w:ilvl w:val="0"/>
          <w:numId w:val="17"/>
        </w:numPr>
        <w:ind w:firstLine="440" w:firstLineChars="183"/>
        <w:rPr>
          <w:rFonts w:hint="eastAsia" w:ascii="宋体" w:hAnsi="宋体"/>
          <w:b/>
          <w:kern w:val="2"/>
          <w:highlight w:val="none"/>
        </w:rPr>
      </w:pPr>
      <w:r>
        <w:rPr>
          <w:rFonts w:hint="eastAsia" w:ascii="宋体" w:hAnsi="宋体"/>
          <w:b/>
          <w:kern w:val="2"/>
          <w:highlight w:val="none"/>
        </w:rPr>
        <w:t>政府采购政策功能落实</w:t>
      </w:r>
    </w:p>
    <w:p w14:paraId="6780B84F">
      <w:pPr>
        <w:pStyle w:val="233"/>
        <w:spacing w:line="500" w:lineRule="exact"/>
        <w:ind w:firstLineChars="200"/>
        <w:rPr>
          <w:rFonts w:ascii="宋体" w:hAnsi="宋体"/>
          <w:color w:val="000000"/>
          <w:kern w:val="2"/>
          <w:highlight w:val="none"/>
        </w:rPr>
      </w:pPr>
      <w:r>
        <w:rPr>
          <w:rFonts w:hint="eastAsia" w:ascii="宋体" w:hAnsi="宋体"/>
          <w:color w:val="000000"/>
          <w:kern w:val="2"/>
          <w:highlight w:val="none"/>
        </w:rPr>
        <w:t>1.小微型企业价格扣除</w:t>
      </w:r>
    </w:p>
    <w:p w14:paraId="5990BB26">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（1）</w:t>
      </w:r>
      <w:r>
        <w:rPr>
          <w:rFonts w:hint="eastAsia" w:ascii="宋体" w:hAnsi="宋体"/>
          <w:color w:val="000000"/>
          <w:highlight w:val="none"/>
          <w:shd w:val="clear" w:color="auto" w:fill="FFFFFF"/>
        </w:rPr>
        <w:t>对于经主管预算单位统筹后未预留份额专门面向中小企业采购的采购项目，以及预留份额项目中的非预留部分采购包，</w:t>
      </w:r>
      <w:r>
        <w:rPr>
          <w:rFonts w:hint="eastAsia" w:ascii="宋体" w:hAnsi="宋体"/>
          <w:color w:val="000000"/>
          <w:kern w:val="2"/>
          <w:highlight w:val="none"/>
        </w:rPr>
        <w:t>对小型和微型企业报价给予</w:t>
      </w:r>
      <w:r>
        <w:rPr>
          <w:rFonts w:hint="eastAsia" w:ascii="宋体" w:hAnsi="宋体"/>
          <w:color w:val="000000"/>
          <w:kern w:val="2"/>
          <w:highlight w:val="none"/>
          <w:u w:val="single"/>
          <w:lang w:val="en-US" w:eastAsia="zh-CN"/>
        </w:rPr>
        <w:t>/</w:t>
      </w:r>
      <w:r>
        <w:rPr>
          <w:rFonts w:hint="eastAsia" w:ascii="宋体" w:hAnsi="宋体"/>
          <w:bCs/>
          <w:color w:val="000000"/>
          <w:kern w:val="2"/>
          <w:highlight w:val="none"/>
          <w:u w:val="single"/>
        </w:rPr>
        <w:t>%</w:t>
      </w:r>
      <w:r>
        <w:rPr>
          <w:rFonts w:hint="eastAsia" w:ascii="宋体" w:hAnsi="宋体"/>
          <w:color w:val="000000"/>
          <w:kern w:val="2"/>
          <w:highlight w:val="none"/>
        </w:rPr>
        <w:t>的扣除价格，用扣除后的价格参与评审。</w:t>
      </w:r>
    </w:p>
    <w:p w14:paraId="646894B5">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（2）对</w:t>
      </w:r>
      <w:r>
        <w:rPr>
          <w:rFonts w:hint="eastAsia" w:ascii="宋体" w:hAnsi="宋体"/>
          <w:color w:val="000000"/>
          <w:highlight w:val="none"/>
          <w:shd w:val="clear" w:color="auto" w:fill="FFFFFF"/>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olor w:val="000000"/>
          <w:highlight w:val="none"/>
          <w:u w:val="single"/>
          <w:shd w:val="clear" w:color="auto" w:fill="FFFFFF"/>
        </w:rPr>
        <w:t>/%</w:t>
      </w:r>
      <w:r>
        <w:rPr>
          <w:rFonts w:hint="eastAsia" w:ascii="宋体" w:hAnsi="宋体"/>
          <w:color w:val="000000"/>
          <w:highlight w:val="none"/>
          <w:shd w:val="clear" w:color="auto" w:fill="FFFFFF"/>
        </w:rPr>
        <w:t>的扣除，用扣除后的价格参加评审。</w:t>
      </w:r>
    </w:p>
    <w:p w14:paraId="5BA7AF24">
      <w:pPr>
        <w:pStyle w:val="233"/>
        <w:spacing w:line="500" w:lineRule="exact"/>
        <w:ind w:firstLine="360" w:firstLineChars="150"/>
        <w:rPr>
          <w:rFonts w:ascii="宋体" w:hAnsi="宋体"/>
          <w:color w:val="000000"/>
          <w:kern w:val="2"/>
          <w:highlight w:val="none"/>
        </w:rPr>
      </w:pPr>
      <w:r>
        <w:rPr>
          <w:rFonts w:hint="eastAsia" w:ascii="宋体" w:hAnsi="宋体"/>
          <w:color w:val="000000"/>
          <w:kern w:val="2"/>
          <w:highlight w:val="none"/>
        </w:rPr>
        <w:t>（3）供应商需按照采购文件的要求提供相应的《企业声明函》。</w:t>
      </w:r>
    </w:p>
    <w:p w14:paraId="09B3B414">
      <w:pPr>
        <w:pStyle w:val="233"/>
        <w:spacing w:line="500" w:lineRule="exact"/>
        <w:ind w:firstLine="360" w:firstLineChars="150"/>
        <w:rPr>
          <w:rFonts w:hint="eastAsia" w:ascii="宋体" w:hAnsi="宋体"/>
          <w:b/>
          <w:kern w:val="2"/>
          <w:highlight w:val="none"/>
        </w:rPr>
      </w:pPr>
      <w:r>
        <w:rPr>
          <w:rFonts w:hint="eastAsia" w:ascii="宋体" w:hAnsi="宋体"/>
          <w:color w:val="000000"/>
          <w:kern w:val="2"/>
          <w:highlight w:val="none"/>
        </w:rPr>
        <w:t>（4）企业标准请参照《关于印发中小企业划型标准规定的通知》（工信部联企业〔2011〕300号）文件规定自行填写。</w:t>
      </w:r>
    </w:p>
    <w:p w14:paraId="36508745">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lang w:val="en-US" w:eastAsia="zh-CN"/>
        </w:rPr>
        <w:t>2.</w:t>
      </w:r>
      <w:r>
        <w:rPr>
          <w:rFonts w:hint="eastAsia" w:ascii="宋体" w:hAnsi="宋体"/>
          <w:color w:val="000000"/>
          <w:szCs w:val="24"/>
          <w:highlight w:val="none"/>
        </w:rPr>
        <w:t>对本国产品的支持政策。</w:t>
      </w:r>
    </w:p>
    <w:p w14:paraId="45EEDDDE">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rPr>
        <w:t>（1）政府采购活动中既有本国产品又有非本国产品参与竞争的，依法对本国产品给予价格评审优惠，对本国产品的报价给予20%的价格扣除，用扣除后的价格参与评审。</w:t>
      </w:r>
    </w:p>
    <w:p w14:paraId="16DBB351">
      <w:pPr>
        <w:pStyle w:val="2"/>
        <w:spacing w:line="500" w:lineRule="exact"/>
        <w:ind w:left="0" w:firstLine="480" w:firstLineChars="200"/>
        <w:rPr>
          <w:rFonts w:ascii="宋体" w:hAnsi="宋体"/>
          <w:color w:val="000000"/>
          <w:szCs w:val="24"/>
          <w:highlight w:val="none"/>
        </w:rPr>
      </w:pPr>
      <w:r>
        <w:rPr>
          <w:rFonts w:hint="eastAsia" w:ascii="宋体" w:hAnsi="宋体"/>
          <w:color w:val="000000"/>
          <w:szCs w:val="24"/>
          <w:highlight w:val="none"/>
        </w:rPr>
        <w:t>当采购项目或者采购包中含有多种产品，供应商为该采购项目或者采购包提供的符合本国产品标准的产品成本之和占该供应商提供的全部产品成本之和的比例达到80%以上时（供应商需在“第六章 响应文件的组成和格式”的“附件四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551B439D">
      <w:pPr>
        <w:spacing w:line="500" w:lineRule="exact"/>
        <w:ind w:firstLine="480" w:firstLineChars="200"/>
        <w:rPr>
          <w:rFonts w:ascii="宋体" w:hAnsi="宋体"/>
          <w:color w:val="000000"/>
          <w:szCs w:val="24"/>
          <w:highlight w:val="none"/>
        </w:rPr>
      </w:pPr>
      <w:r>
        <w:rPr>
          <w:rFonts w:hint="eastAsia" w:ascii="宋体" w:hAnsi="宋体"/>
          <w:color w:val="000000"/>
          <w:szCs w:val="24"/>
          <w:highlight w:val="none"/>
        </w:rPr>
        <w:t>（2）产品在中国境内生产的组件成本核算规则。产品在中国境内生产的组件成本，按照《中国境内生产的组件成本核算基本规则》计算（见国办发〔2025〕34号文附件1）。</w:t>
      </w:r>
    </w:p>
    <w:p w14:paraId="583675E0">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3）供应商需按照采购文件的要求对提供的产品出具《关于符合本国产品标准的声明函》。如未提供将不享受本国产品价格评审优惠。供应商需在《声明函》中逐一、准确填写产品名称、厂名、生产厂址三项信息（《声明函》中标注</w:t>
      </w:r>
      <w:r>
        <w:rPr>
          <w:rFonts w:hint="eastAsia" w:ascii="宋体" w:hAnsi="宋体"/>
          <w:color w:val="000000"/>
          <w:szCs w:val="24"/>
          <w:highlight w:val="none"/>
          <w:u w:val="single"/>
        </w:rPr>
        <w:t>“  /  ”</w:t>
      </w:r>
      <w:r>
        <w:rPr>
          <w:rFonts w:hint="eastAsia" w:ascii="宋体" w:hAnsi="宋体"/>
          <w:color w:val="000000"/>
          <w:szCs w:val="24"/>
          <w:highlight w:val="none"/>
        </w:rPr>
        <w:t>的地方无需填写），三项信息中任意一项未填写的视为该项产品不符合本国产品标准，不享受本国产品价格评审优惠。</w:t>
      </w:r>
    </w:p>
    <w:p w14:paraId="602BA709">
      <w:pPr>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注：</w:t>
      </w:r>
    </w:p>
    <w:p w14:paraId="0E460094">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6086AF">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801BE3B">
      <w:pPr>
        <w:numPr>
          <w:ilvl w:val="0"/>
          <w:numId w:val="18"/>
        </w:numPr>
        <w:tabs>
          <w:tab w:val="clear" w:pos="312"/>
        </w:tabs>
        <w:snapToGrid w:val="0"/>
        <w:spacing w:line="480" w:lineRule="exact"/>
        <w:ind w:firstLine="480" w:firstLineChars="200"/>
        <w:rPr>
          <w:rFonts w:ascii="宋体" w:hAnsi="宋体"/>
          <w:color w:val="000000"/>
          <w:szCs w:val="24"/>
          <w:highlight w:val="none"/>
        </w:rPr>
      </w:pPr>
      <w:r>
        <w:rPr>
          <w:rFonts w:hint="eastAsia" w:ascii="宋体" w:hAnsi="宋体"/>
          <w:color w:val="000000"/>
          <w:szCs w:val="24"/>
          <w:highlight w:val="none"/>
        </w:rPr>
        <w:t>评标过程中如发现供应商在《声明函》内容</w:t>
      </w:r>
      <w:r>
        <w:rPr>
          <w:rFonts w:ascii="宋体" w:hAnsi="宋体"/>
          <w:color w:val="000000"/>
          <w:szCs w:val="24"/>
          <w:highlight w:val="none"/>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7984795A">
      <w:pPr>
        <w:pStyle w:val="233"/>
        <w:spacing w:line="400" w:lineRule="exact"/>
        <w:ind w:firstLine="0"/>
        <w:jc w:val="both"/>
        <w:rPr>
          <w:rFonts w:ascii="宋体" w:hAnsi="宋体"/>
          <w:bCs/>
          <w:color w:val="000000"/>
          <w:sz w:val="44"/>
          <w:highlight w:val="none"/>
        </w:rPr>
      </w:pPr>
      <w:r>
        <w:rPr>
          <w:highlight w:val="none"/>
        </w:rPr>
        <w:br w:type="page"/>
      </w:r>
    </w:p>
    <w:p w14:paraId="50BB6EE3">
      <w:pPr>
        <w:pStyle w:val="233"/>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bCs/>
          <w:sz w:val="44"/>
          <w:highlight w:val="none"/>
        </w:rPr>
      </w:pPr>
    </w:p>
    <w:p w14:paraId="72E9FF4A">
      <w:pPr>
        <w:pStyle w:val="233"/>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ascii="宋体" w:hAnsi="宋体"/>
          <w:bCs/>
          <w:sz w:val="44"/>
          <w:highlight w:val="none"/>
        </w:rPr>
      </w:pPr>
      <w:r>
        <w:rPr>
          <w:rFonts w:hint="eastAsia" w:ascii="宋体" w:hAnsi="宋体"/>
          <w:bCs/>
          <w:sz w:val="44"/>
          <w:highlight w:val="none"/>
        </w:rPr>
        <w:t>第六章  响应文件的组成和格式</w:t>
      </w:r>
    </w:p>
    <w:p w14:paraId="72C6FC2B">
      <w:pPr>
        <w:jc w:val="center"/>
        <w:rPr>
          <w:rFonts w:ascii="宋体" w:hAnsi="宋体"/>
          <w:b/>
          <w:sz w:val="72"/>
          <w:highlight w:val="none"/>
        </w:rPr>
      </w:pPr>
      <w:bookmarkStart w:id="98" w:name="_Hlt26955039"/>
      <w:bookmarkEnd w:id="98"/>
      <w:bookmarkStart w:id="99" w:name="_Hlt26671244"/>
      <w:bookmarkEnd w:id="99"/>
    </w:p>
    <w:p w14:paraId="6BBFA79F">
      <w:pPr>
        <w:jc w:val="center"/>
        <w:rPr>
          <w:rFonts w:ascii="宋体" w:hAnsi="宋体"/>
          <w:b/>
          <w:sz w:val="72"/>
          <w:highlight w:val="none"/>
        </w:rPr>
      </w:pPr>
      <w:r>
        <w:rPr>
          <w:rFonts w:hint="eastAsia" w:ascii="宋体" w:hAnsi="宋体"/>
          <w:b/>
          <w:sz w:val="72"/>
          <w:highlight w:val="none"/>
        </w:rPr>
        <w:t>竞争性磋商响应文件</w:t>
      </w:r>
    </w:p>
    <w:p w14:paraId="2857DCED">
      <w:pPr>
        <w:jc w:val="center"/>
        <w:rPr>
          <w:rFonts w:ascii="宋体" w:hAnsi="宋体"/>
          <w:b/>
          <w:sz w:val="72"/>
          <w:highlight w:val="none"/>
        </w:rPr>
      </w:pPr>
    </w:p>
    <w:p w14:paraId="4B664D22">
      <w:pPr>
        <w:jc w:val="center"/>
        <w:rPr>
          <w:rFonts w:ascii="宋体" w:hAnsi="宋体"/>
          <w:b/>
          <w:sz w:val="36"/>
          <w:highlight w:val="none"/>
        </w:rPr>
      </w:pPr>
    </w:p>
    <w:p w14:paraId="11DEA0A0">
      <w:pPr>
        <w:jc w:val="center"/>
        <w:rPr>
          <w:rFonts w:ascii="宋体" w:hAnsi="宋体"/>
          <w:b/>
          <w:sz w:val="36"/>
          <w:highlight w:val="none"/>
        </w:rPr>
      </w:pPr>
    </w:p>
    <w:p w14:paraId="584C5871">
      <w:pPr>
        <w:jc w:val="center"/>
        <w:rPr>
          <w:rFonts w:ascii="宋体" w:hAnsi="宋体"/>
          <w:b/>
          <w:sz w:val="36"/>
          <w:highlight w:val="none"/>
        </w:rPr>
      </w:pPr>
    </w:p>
    <w:p w14:paraId="3CFA6760">
      <w:pPr>
        <w:ind w:firstLine="1081" w:firstLineChars="300"/>
        <w:rPr>
          <w:rFonts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14:paraId="1D9D02B8">
      <w:pPr>
        <w:ind w:firstLine="1081" w:firstLineChars="300"/>
        <w:rPr>
          <w:rFonts w:ascii="宋体" w:hAnsi="宋体"/>
          <w:b/>
          <w:sz w:val="36"/>
          <w:highlight w:val="none"/>
        </w:rPr>
      </w:pPr>
      <w:r>
        <w:rPr>
          <w:rFonts w:hint="eastAsia" w:ascii="宋体" w:hAnsi="宋体"/>
          <w:b/>
          <w:sz w:val="36"/>
          <w:highlight w:val="none"/>
        </w:rPr>
        <w:t>项 目 编 号：</w:t>
      </w:r>
      <w:r>
        <w:rPr>
          <w:rFonts w:hint="eastAsia" w:ascii="宋体" w:hAnsi="宋体"/>
          <w:b/>
          <w:sz w:val="36"/>
          <w:highlight w:val="none"/>
          <w:u w:val="single"/>
        </w:rPr>
        <w:t xml:space="preserve">               </w:t>
      </w:r>
    </w:p>
    <w:p w14:paraId="2639570C">
      <w:pPr>
        <w:rPr>
          <w:rFonts w:ascii="宋体" w:hAnsi="宋体"/>
          <w:b/>
          <w:sz w:val="36"/>
          <w:highlight w:val="none"/>
        </w:rPr>
      </w:pPr>
      <w:r>
        <w:rPr>
          <w:rFonts w:hint="eastAsia" w:ascii="宋体" w:hAnsi="宋体"/>
          <w:b/>
          <w:sz w:val="36"/>
          <w:highlight w:val="none"/>
        </w:rPr>
        <w:t xml:space="preserve">      供应商名称 ：</w:t>
      </w:r>
      <w:r>
        <w:rPr>
          <w:rFonts w:hint="eastAsia" w:ascii="宋体" w:hAnsi="宋体"/>
          <w:b/>
          <w:color w:val="000000"/>
          <w:sz w:val="36"/>
          <w:highlight w:val="none"/>
          <w:u w:val="single"/>
        </w:rPr>
        <w:t>（电子签章）</w:t>
      </w:r>
      <w:r>
        <w:rPr>
          <w:rFonts w:hint="eastAsia" w:ascii="宋体" w:hAnsi="宋体"/>
          <w:b/>
          <w:color w:val="000000"/>
          <w:sz w:val="36"/>
          <w:highlight w:val="none"/>
        </w:rPr>
        <w:t xml:space="preserve">  </w:t>
      </w:r>
    </w:p>
    <w:p w14:paraId="63ECAC9F">
      <w:pPr>
        <w:ind w:firstLine="1081" w:firstLineChars="300"/>
        <w:rPr>
          <w:rFonts w:ascii="宋体" w:hAnsi="宋体"/>
          <w:b/>
          <w:sz w:val="36"/>
          <w:highlight w:val="none"/>
        </w:rPr>
      </w:pPr>
      <w:r>
        <w:rPr>
          <w:rFonts w:hint="eastAsia" w:ascii="宋体" w:hAnsi="宋体"/>
          <w:b/>
          <w:sz w:val="36"/>
          <w:highlight w:val="none"/>
        </w:rPr>
        <w:t>日      期 ：</w:t>
      </w:r>
      <w:r>
        <w:rPr>
          <w:rFonts w:hint="eastAsia" w:ascii="宋体" w:hAnsi="宋体"/>
          <w:b/>
          <w:sz w:val="36"/>
          <w:highlight w:val="none"/>
          <w:u w:val="single"/>
        </w:rPr>
        <w:t xml:space="preserve">               </w:t>
      </w:r>
    </w:p>
    <w:p w14:paraId="728CDD28">
      <w:pPr>
        <w:ind w:firstLine="1081" w:firstLineChars="300"/>
        <w:rPr>
          <w:rFonts w:ascii="宋体" w:hAnsi="宋体"/>
          <w:b/>
          <w:color w:val="FF0000"/>
          <w:sz w:val="36"/>
          <w:highlight w:val="none"/>
        </w:rPr>
      </w:pPr>
    </w:p>
    <w:p w14:paraId="128DED9C">
      <w:pPr>
        <w:rPr>
          <w:rFonts w:ascii="宋体" w:hAnsi="宋体"/>
          <w:b/>
          <w:sz w:val="36"/>
          <w:highlight w:val="none"/>
        </w:rPr>
      </w:pPr>
      <w:r>
        <w:rPr>
          <w:rFonts w:hint="eastAsia" w:ascii="宋体" w:hAnsi="宋体"/>
          <w:b/>
          <w:sz w:val="36"/>
          <w:highlight w:val="none"/>
        </w:rPr>
        <w:t xml:space="preserve">       </w:t>
      </w:r>
    </w:p>
    <w:p w14:paraId="33867816">
      <w:pPr>
        <w:jc w:val="center"/>
        <w:rPr>
          <w:rFonts w:ascii="宋体" w:hAnsi="宋体"/>
          <w:b/>
          <w:bCs/>
          <w:sz w:val="32"/>
          <w:szCs w:val="32"/>
          <w:highlight w:val="none"/>
        </w:rPr>
      </w:pPr>
      <w:r>
        <w:rPr>
          <w:highlight w:val="none"/>
        </w:rPr>
        <w:br w:type="page"/>
      </w:r>
      <w:r>
        <w:rPr>
          <w:rFonts w:hint="eastAsia" w:ascii="宋体" w:hAnsi="宋体"/>
          <w:b/>
          <w:sz w:val="30"/>
          <w:szCs w:val="30"/>
          <w:highlight w:val="none"/>
        </w:rPr>
        <w:t>评分索引表</w:t>
      </w:r>
    </w:p>
    <w:p w14:paraId="25AB5A75">
      <w:pPr>
        <w:spacing w:line="440" w:lineRule="exact"/>
        <w:jc w:val="center"/>
        <w:rPr>
          <w:rFonts w:ascii="宋体" w:hAnsi="宋体"/>
          <w:b/>
          <w:bCs/>
          <w:sz w:val="32"/>
          <w:szCs w:val="32"/>
          <w:highlight w:val="none"/>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48C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vAlign w:val="center"/>
          </w:tcPr>
          <w:p w14:paraId="4F34FA23">
            <w:pPr>
              <w:pStyle w:val="203"/>
              <w:shd w:val="clear" w:color="auto" w:fill="FFFFFF"/>
              <w:spacing w:line="480" w:lineRule="auto"/>
              <w:ind w:left="420" w:firstLine="422"/>
              <w:jc w:val="center"/>
              <w:rPr>
                <w:rFonts w:ascii="宋体" w:hAnsi="宋体"/>
                <w:b/>
                <w:highlight w:val="none"/>
              </w:rPr>
            </w:pPr>
            <w:r>
              <w:rPr>
                <w:rFonts w:hint="eastAsia" w:ascii="宋体" w:hAnsi="宋体"/>
                <w:b/>
                <w:highlight w:val="none"/>
              </w:rPr>
              <w:t>评分项目</w:t>
            </w:r>
          </w:p>
        </w:tc>
        <w:tc>
          <w:tcPr>
            <w:tcW w:w="3711" w:type="dxa"/>
          </w:tcPr>
          <w:p w14:paraId="24652E5A">
            <w:pPr>
              <w:spacing w:line="480" w:lineRule="auto"/>
              <w:jc w:val="center"/>
              <w:rPr>
                <w:rFonts w:ascii="宋体" w:hAnsi="宋体"/>
                <w:b/>
                <w:kern w:val="0"/>
                <w:highlight w:val="none"/>
                <w:lang w:bidi="en-US"/>
              </w:rPr>
            </w:pPr>
            <w:r>
              <w:rPr>
                <w:rFonts w:hint="eastAsia" w:ascii="宋体" w:hAnsi="宋体"/>
                <w:b/>
                <w:kern w:val="0"/>
                <w:highlight w:val="none"/>
                <w:lang w:bidi="en-US"/>
              </w:rPr>
              <w:t>在响应文件中的页码位置（注明在**节点下第**页，如“技术参数响应及偏离表I”第**页）</w:t>
            </w:r>
          </w:p>
        </w:tc>
      </w:tr>
      <w:tr w14:paraId="41E6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tcPr>
          <w:p w14:paraId="3D90B352">
            <w:pPr>
              <w:pStyle w:val="203"/>
              <w:shd w:val="clear" w:color="auto" w:fill="FFFFFF"/>
              <w:spacing w:line="480" w:lineRule="auto"/>
              <w:ind w:left="420" w:firstLine="422"/>
              <w:rPr>
                <w:rFonts w:ascii="宋体" w:hAnsi="宋体"/>
                <w:b/>
                <w:highlight w:val="none"/>
              </w:rPr>
            </w:pPr>
          </w:p>
        </w:tc>
        <w:tc>
          <w:tcPr>
            <w:tcW w:w="3711" w:type="dxa"/>
          </w:tcPr>
          <w:p w14:paraId="7964FAFD">
            <w:pPr>
              <w:spacing w:line="480" w:lineRule="auto"/>
              <w:rPr>
                <w:rFonts w:ascii="宋体" w:hAnsi="宋体"/>
                <w:b/>
                <w:kern w:val="0"/>
                <w:highlight w:val="none"/>
                <w:lang w:bidi="en-US"/>
              </w:rPr>
            </w:pPr>
          </w:p>
        </w:tc>
      </w:tr>
      <w:tr w14:paraId="388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tcPr>
          <w:p w14:paraId="40398E59">
            <w:pPr>
              <w:pStyle w:val="203"/>
              <w:shd w:val="clear" w:color="auto" w:fill="FFFFFF"/>
              <w:spacing w:line="480" w:lineRule="auto"/>
              <w:ind w:left="420"/>
              <w:rPr>
                <w:rFonts w:ascii="宋体" w:hAnsi="宋体"/>
                <w:highlight w:val="none"/>
              </w:rPr>
            </w:pPr>
          </w:p>
        </w:tc>
      </w:tr>
      <w:tr w14:paraId="39E3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tcPr>
          <w:p w14:paraId="55628A49">
            <w:pPr>
              <w:pStyle w:val="203"/>
              <w:shd w:val="clear" w:color="auto" w:fill="FFFFFF"/>
              <w:spacing w:line="480" w:lineRule="auto"/>
              <w:ind w:left="420"/>
              <w:rPr>
                <w:rFonts w:ascii="宋体" w:hAnsi="宋体"/>
                <w:highlight w:val="none"/>
              </w:rPr>
            </w:pPr>
          </w:p>
        </w:tc>
        <w:tc>
          <w:tcPr>
            <w:tcW w:w="3711" w:type="dxa"/>
          </w:tcPr>
          <w:p w14:paraId="761FF0CC">
            <w:pPr>
              <w:spacing w:line="480" w:lineRule="auto"/>
              <w:rPr>
                <w:rFonts w:ascii="宋体" w:hAnsi="宋体"/>
                <w:highlight w:val="none"/>
              </w:rPr>
            </w:pPr>
          </w:p>
        </w:tc>
      </w:tr>
      <w:tr w14:paraId="4F79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554214F0">
            <w:pPr>
              <w:pStyle w:val="203"/>
              <w:shd w:val="clear" w:color="auto" w:fill="FFFFFF"/>
              <w:spacing w:line="480" w:lineRule="auto"/>
              <w:ind w:left="420"/>
              <w:rPr>
                <w:rFonts w:ascii="宋体" w:hAnsi="宋体"/>
                <w:highlight w:val="none"/>
              </w:rPr>
            </w:pPr>
          </w:p>
        </w:tc>
        <w:tc>
          <w:tcPr>
            <w:tcW w:w="3711" w:type="dxa"/>
          </w:tcPr>
          <w:p w14:paraId="53E88AA2">
            <w:pPr>
              <w:spacing w:line="480" w:lineRule="auto"/>
              <w:rPr>
                <w:rFonts w:ascii="宋体" w:hAnsi="宋体"/>
                <w:highlight w:val="none"/>
              </w:rPr>
            </w:pPr>
          </w:p>
        </w:tc>
      </w:tr>
      <w:tr w14:paraId="4D22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0F5CE731">
            <w:pPr>
              <w:pStyle w:val="203"/>
              <w:shd w:val="clear" w:color="auto" w:fill="FFFFFF"/>
              <w:spacing w:line="480" w:lineRule="auto"/>
              <w:ind w:left="420"/>
              <w:rPr>
                <w:rFonts w:ascii="宋体" w:hAnsi="宋体"/>
                <w:highlight w:val="none"/>
              </w:rPr>
            </w:pPr>
          </w:p>
        </w:tc>
        <w:tc>
          <w:tcPr>
            <w:tcW w:w="3711" w:type="dxa"/>
          </w:tcPr>
          <w:p w14:paraId="267824E3">
            <w:pPr>
              <w:spacing w:line="480" w:lineRule="auto"/>
              <w:rPr>
                <w:rFonts w:ascii="宋体" w:hAnsi="宋体"/>
                <w:highlight w:val="none"/>
              </w:rPr>
            </w:pPr>
          </w:p>
        </w:tc>
      </w:tr>
      <w:tr w14:paraId="21FB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tcPr>
          <w:p w14:paraId="1532A85B">
            <w:pPr>
              <w:pStyle w:val="203"/>
              <w:shd w:val="clear" w:color="auto" w:fill="FFFFFF"/>
              <w:spacing w:line="480" w:lineRule="auto"/>
              <w:ind w:left="420"/>
              <w:rPr>
                <w:rFonts w:ascii="宋体" w:hAnsi="宋体"/>
                <w:highlight w:val="none"/>
              </w:rPr>
            </w:pPr>
          </w:p>
        </w:tc>
        <w:tc>
          <w:tcPr>
            <w:tcW w:w="3711" w:type="dxa"/>
          </w:tcPr>
          <w:p w14:paraId="05477789">
            <w:pPr>
              <w:spacing w:line="480" w:lineRule="auto"/>
              <w:rPr>
                <w:rFonts w:ascii="宋体" w:hAnsi="宋体"/>
                <w:highlight w:val="none"/>
              </w:rPr>
            </w:pPr>
          </w:p>
        </w:tc>
      </w:tr>
      <w:tr w14:paraId="7C54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1BC222A1">
            <w:pPr>
              <w:pStyle w:val="203"/>
              <w:shd w:val="clear" w:color="auto" w:fill="FFFFFF"/>
              <w:spacing w:line="480" w:lineRule="auto"/>
              <w:ind w:left="420"/>
              <w:rPr>
                <w:rFonts w:ascii="宋体" w:hAnsi="宋体"/>
                <w:highlight w:val="none"/>
              </w:rPr>
            </w:pPr>
          </w:p>
        </w:tc>
        <w:tc>
          <w:tcPr>
            <w:tcW w:w="3711" w:type="dxa"/>
          </w:tcPr>
          <w:p w14:paraId="199FC2A9">
            <w:pPr>
              <w:spacing w:line="480" w:lineRule="auto"/>
              <w:rPr>
                <w:rFonts w:ascii="宋体" w:hAnsi="宋体"/>
                <w:highlight w:val="none"/>
              </w:rPr>
            </w:pPr>
          </w:p>
        </w:tc>
      </w:tr>
      <w:tr w14:paraId="011D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72BAA727">
            <w:pPr>
              <w:pStyle w:val="203"/>
              <w:shd w:val="clear" w:color="auto" w:fill="FFFFFF"/>
              <w:spacing w:line="480" w:lineRule="auto"/>
              <w:ind w:left="420"/>
              <w:rPr>
                <w:rFonts w:ascii="宋体" w:hAnsi="宋体"/>
                <w:highlight w:val="none"/>
              </w:rPr>
            </w:pPr>
          </w:p>
        </w:tc>
      </w:tr>
      <w:tr w14:paraId="2D7C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tcPr>
          <w:p w14:paraId="6F8DDB8A">
            <w:pPr>
              <w:pStyle w:val="203"/>
              <w:shd w:val="clear" w:color="auto" w:fill="FFFFFF"/>
              <w:spacing w:line="480" w:lineRule="auto"/>
              <w:ind w:left="420"/>
              <w:rPr>
                <w:rFonts w:ascii="宋体" w:hAnsi="宋体"/>
                <w:highlight w:val="none"/>
              </w:rPr>
            </w:pPr>
          </w:p>
        </w:tc>
        <w:tc>
          <w:tcPr>
            <w:tcW w:w="3711" w:type="dxa"/>
          </w:tcPr>
          <w:p w14:paraId="4018C7FD">
            <w:pPr>
              <w:spacing w:line="480" w:lineRule="auto"/>
              <w:rPr>
                <w:rFonts w:ascii="宋体" w:hAnsi="宋体"/>
                <w:highlight w:val="none"/>
              </w:rPr>
            </w:pPr>
          </w:p>
        </w:tc>
      </w:tr>
      <w:tr w14:paraId="5F3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tcPr>
          <w:p w14:paraId="444084A1">
            <w:pPr>
              <w:pStyle w:val="203"/>
              <w:shd w:val="clear" w:color="auto" w:fill="FFFFFF"/>
              <w:spacing w:line="480" w:lineRule="auto"/>
              <w:ind w:left="420"/>
              <w:rPr>
                <w:rFonts w:ascii="宋体" w:hAnsi="宋体"/>
                <w:highlight w:val="none"/>
              </w:rPr>
            </w:pPr>
          </w:p>
        </w:tc>
        <w:tc>
          <w:tcPr>
            <w:tcW w:w="3711" w:type="dxa"/>
          </w:tcPr>
          <w:p w14:paraId="6668DEA6">
            <w:pPr>
              <w:spacing w:line="480" w:lineRule="auto"/>
              <w:rPr>
                <w:rFonts w:ascii="宋体" w:hAnsi="宋体"/>
                <w:highlight w:val="none"/>
              </w:rPr>
            </w:pPr>
          </w:p>
        </w:tc>
      </w:tr>
      <w:tr w14:paraId="74BD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tcPr>
          <w:p w14:paraId="0055D0EC">
            <w:pPr>
              <w:pStyle w:val="203"/>
              <w:shd w:val="clear" w:color="auto" w:fill="FFFFFF"/>
              <w:spacing w:line="480" w:lineRule="auto"/>
              <w:ind w:left="420"/>
              <w:rPr>
                <w:rFonts w:ascii="宋体" w:hAnsi="宋体"/>
                <w:highlight w:val="none"/>
              </w:rPr>
            </w:pPr>
          </w:p>
        </w:tc>
        <w:tc>
          <w:tcPr>
            <w:tcW w:w="3711" w:type="dxa"/>
          </w:tcPr>
          <w:p w14:paraId="4FC1C38B">
            <w:pPr>
              <w:spacing w:line="480" w:lineRule="auto"/>
              <w:rPr>
                <w:rFonts w:ascii="宋体" w:hAnsi="宋体"/>
                <w:highlight w:val="none"/>
              </w:rPr>
            </w:pPr>
          </w:p>
        </w:tc>
      </w:tr>
      <w:tr w14:paraId="4260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tcPr>
          <w:p w14:paraId="2D6930BB">
            <w:pPr>
              <w:pStyle w:val="203"/>
              <w:shd w:val="clear" w:color="auto" w:fill="FFFFFF"/>
              <w:spacing w:line="480" w:lineRule="auto"/>
              <w:ind w:left="420"/>
              <w:rPr>
                <w:rFonts w:ascii="宋体" w:hAnsi="宋体"/>
                <w:highlight w:val="none"/>
              </w:rPr>
            </w:pPr>
          </w:p>
        </w:tc>
        <w:tc>
          <w:tcPr>
            <w:tcW w:w="3711" w:type="dxa"/>
          </w:tcPr>
          <w:p w14:paraId="7AA51CEA">
            <w:pPr>
              <w:spacing w:line="480" w:lineRule="auto"/>
              <w:rPr>
                <w:rFonts w:ascii="宋体" w:hAnsi="宋体"/>
                <w:highlight w:val="none"/>
              </w:rPr>
            </w:pPr>
          </w:p>
        </w:tc>
      </w:tr>
      <w:tr w14:paraId="683E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tcPr>
          <w:p w14:paraId="03D21ABA">
            <w:pPr>
              <w:pStyle w:val="203"/>
              <w:shd w:val="clear" w:color="auto" w:fill="FFFFFF"/>
              <w:spacing w:line="480" w:lineRule="auto"/>
              <w:ind w:left="420"/>
              <w:rPr>
                <w:rFonts w:ascii="宋体" w:hAnsi="宋体"/>
                <w:highlight w:val="none"/>
              </w:rPr>
            </w:pPr>
          </w:p>
        </w:tc>
        <w:tc>
          <w:tcPr>
            <w:tcW w:w="3711" w:type="dxa"/>
          </w:tcPr>
          <w:p w14:paraId="4BB8F5DD">
            <w:pPr>
              <w:spacing w:line="480" w:lineRule="auto"/>
              <w:rPr>
                <w:rFonts w:ascii="宋体" w:hAnsi="宋体"/>
                <w:highlight w:val="none"/>
              </w:rPr>
            </w:pPr>
          </w:p>
        </w:tc>
      </w:tr>
      <w:tr w14:paraId="090C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743327D9">
            <w:pPr>
              <w:pStyle w:val="203"/>
              <w:shd w:val="clear" w:color="auto" w:fill="FFFFFF"/>
              <w:spacing w:line="480" w:lineRule="auto"/>
              <w:ind w:left="420" w:firstLine="422"/>
              <w:rPr>
                <w:rFonts w:ascii="宋体" w:hAnsi="宋体"/>
                <w:b/>
                <w:highlight w:val="none"/>
              </w:rPr>
            </w:pPr>
          </w:p>
        </w:tc>
      </w:tr>
      <w:tr w14:paraId="7D72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tcPr>
          <w:p w14:paraId="397761BD">
            <w:pPr>
              <w:pStyle w:val="203"/>
              <w:shd w:val="clear" w:color="auto" w:fill="FFFFFF"/>
              <w:spacing w:line="480" w:lineRule="auto"/>
              <w:ind w:left="420" w:firstLine="422"/>
              <w:rPr>
                <w:rFonts w:ascii="宋体" w:hAnsi="宋体"/>
                <w:b/>
                <w:bCs/>
                <w:highlight w:val="none"/>
              </w:rPr>
            </w:pPr>
          </w:p>
        </w:tc>
        <w:tc>
          <w:tcPr>
            <w:tcW w:w="3711" w:type="dxa"/>
          </w:tcPr>
          <w:p w14:paraId="23B85AF1">
            <w:pPr>
              <w:spacing w:line="480" w:lineRule="auto"/>
              <w:rPr>
                <w:rFonts w:ascii="宋体" w:hAnsi="宋体"/>
                <w:highlight w:val="none"/>
              </w:rPr>
            </w:pPr>
          </w:p>
        </w:tc>
      </w:tr>
      <w:tr w14:paraId="2155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tcPr>
          <w:p w14:paraId="433CCD84">
            <w:pPr>
              <w:pStyle w:val="203"/>
              <w:shd w:val="clear" w:color="auto" w:fill="FFFFFF"/>
              <w:spacing w:line="480" w:lineRule="auto"/>
              <w:ind w:left="420"/>
              <w:rPr>
                <w:rFonts w:ascii="宋体" w:hAnsi="宋体"/>
                <w:highlight w:val="none"/>
              </w:rPr>
            </w:pPr>
          </w:p>
        </w:tc>
        <w:tc>
          <w:tcPr>
            <w:tcW w:w="3711" w:type="dxa"/>
          </w:tcPr>
          <w:p w14:paraId="749DB4C2">
            <w:pPr>
              <w:spacing w:line="480" w:lineRule="auto"/>
              <w:rPr>
                <w:rFonts w:ascii="宋体" w:hAnsi="宋体"/>
                <w:highlight w:val="none"/>
              </w:rPr>
            </w:pPr>
          </w:p>
        </w:tc>
      </w:tr>
    </w:tbl>
    <w:p w14:paraId="5E510D77">
      <w:pPr>
        <w:spacing w:line="440" w:lineRule="exact"/>
        <w:ind w:firstLine="643"/>
        <w:jc w:val="center"/>
        <w:rPr>
          <w:rFonts w:ascii="宋体" w:hAnsi="宋体"/>
          <w:b/>
          <w:bCs/>
          <w:sz w:val="32"/>
          <w:szCs w:val="32"/>
          <w:highlight w:val="none"/>
        </w:rPr>
      </w:pPr>
      <w:r>
        <w:rPr>
          <w:highlight w:val="none"/>
        </w:rPr>
        <w:br w:type="page"/>
      </w:r>
      <w:r>
        <w:rPr>
          <w:rFonts w:hint="eastAsia" w:ascii="宋体" w:hAnsi="宋体"/>
          <w:b/>
          <w:bCs/>
          <w:sz w:val="32"/>
          <w:szCs w:val="32"/>
          <w:highlight w:val="none"/>
        </w:rPr>
        <w:t>响应文件主要目录</w:t>
      </w:r>
    </w:p>
    <w:p w14:paraId="39FA4889">
      <w:pPr>
        <w:spacing w:line="440" w:lineRule="exact"/>
        <w:ind w:firstLine="643"/>
        <w:jc w:val="center"/>
        <w:rPr>
          <w:rFonts w:ascii="宋体" w:hAnsi="宋体"/>
          <w:b/>
          <w:bCs/>
          <w:sz w:val="32"/>
          <w:szCs w:val="32"/>
          <w:highlight w:val="none"/>
        </w:rPr>
      </w:pPr>
    </w:p>
    <w:p w14:paraId="46FA4FFA">
      <w:pPr>
        <w:spacing w:line="240" w:lineRule="auto"/>
        <w:ind w:firstLine="480" w:firstLineChars="200"/>
        <w:rPr>
          <w:rFonts w:ascii="宋体" w:hAnsi="宋体"/>
          <w:highlight w:val="none"/>
        </w:rPr>
      </w:pPr>
      <w:r>
        <w:rPr>
          <w:rFonts w:hint="eastAsia" w:ascii="宋体" w:hAnsi="宋体"/>
          <w:highlight w:val="none"/>
        </w:rPr>
        <w:t>一、资格审查响应对照表</w:t>
      </w:r>
    </w:p>
    <w:p w14:paraId="129A1DB9">
      <w:pPr>
        <w:spacing w:line="240" w:lineRule="auto"/>
        <w:ind w:left="480"/>
        <w:rPr>
          <w:rFonts w:ascii="宋体" w:hAnsi="宋体"/>
          <w:highlight w:val="none"/>
        </w:rPr>
      </w:pPr>
      <w:r>
        <w:rPr>
          <w:rFonts w:hint="eastAsia" w:ascii="宋体" w:hAnsi="宋体"/>
          <w:highlight w:val="none"/>
        </w:rPr>
        <w:t>二、符合性审查响应对照表</w:t>
      </w:r>
    </w:p>
    <w:p w14:paraId="025E012D">
      <w:pPr>
        <w:spacing w:line="240" w:lineRule="auto"/>
        <w:ind w:left="480"/>
        <w:rPr>
          <w:rFonts w:ascii="宋体" w:hAnsi="宋体"/>
          <w:highlight w:val="none"/>
        </w:rPr>
      </w:pPr>
      <w:r>
        <w:rPr>
          <w:rFonts w:hint="eastAsia" w:ascii="宋体" w:hAnsi="宋体"/>
          <w:highlight w:val="none"/>
        </w:rPr>
        <w:t>三、非实质性响应对照表</w:t>
      </w:r>
    </w:p>
    <w:p w14:paraId="5A16CA8A">
      <w:pPr>
        <w:spacing w:line="240" w:lineRule="auto"/>
        <w:ind w:firstLine="480" w:firstLineChars="200"/>
        <w:rPr>
          <w:rFonts w:ascii="宋体" w:hAnsi="宋体"/>
          <w:highlight w:val="none"/>
        </w:rPr>
      </w:pPr>
      <w:r>
        <w:rPr>
          <w:rFonts w:hint="eastAsia" w:ascii="宋体" w:hAnsi="宋体"/>
          <w:highlight w:val="none"/>
        </w:rPr>
        <w:t>四</w:t>
      </w:r>
      <w:r>
        <w:rPr>
          <w:rFonts w:hint="eastAsia" w:ascii="宋体" w:hAnsi="宋体"/>
          <w:b/>
          <w:bCs/>
          <w:highlight w:val="none"/>
        </w:rPr>
        <w:t>、</w:t>
      </w:r>
      <w:r>
        <w:rPr>
          <w:rFonts w:hint="eastAsia" w:ascii="宋体" w:hAnsi="宋体"/>
          <w:highlight w:val="none"/>
        </w:rPr>
        <w:t>磋商响应分项报价表</w:t>
      </w:r>
    </w:p>
    <w:p w14:paraId="48C99AD2">
      <w:pPr>
        <w:spacing w:line="240" w:lineRule="auto"/>
        <w:ind w:firstLine="480" w:firstLineChars="200"/>
        <w:rPr>
          <w:rFonts w:ascii="宋体" w:hAnsi="宋体"/>
          <w:highlight w:val="none"/>
        </w:rPr>
      </w:pPr>
      <w:r>
        <w:rPr>
          <w:rFonts w:hint="eastAsia" w:ascii="宋体" w:hAnsi="宋体"/>
          <w:highlight w:val="none"/>
        </w:rPr>
        <w:t>五</w:t>
      </w:r>
      <w:r>
        <w:rPr>
          <w:rFonts w:hint="eastAsia" w:ascii="宋体" w:hAnsi="宋体"/>
          <w:szCs w:val="24"/>
          <w:highlight w:val="none"/>
        </w:rPr>
        <w:t>、技术参数响应及偏离表</w:t>
      </w:r>
    </w:p>
    <w:p w14:paraId="3B83135F">
      <w:pPr>
        <w:spacing w:line="240" w:lineRule="auto"/>
        <w:ind w:firstLine="480" w:firstLineChars="200"/>
        <w:rPr>
          <w:rFonts w:ascii="宋体" w:hAnsi="宋体"/>
          <w:highlight w:val="none"/>
        </w:rPr>
      </w:pPr>
      <w:r>
        <w:rPr>
          <w:rFonts w:hint="eastAsia" w:ascii="宋体" w:hAnsi="宋体"/>
          <w:highlight w:val="none"/>
        </w:rPr>
        <w:t>六、商务条款响应及偏离表</w:t>
      </w:r>
    </w:p>
    <w:p w14:paraId="4729351F">
      <w:pPr>
        <w:spacing w:line="240" w:lineRule="auto"/>
        <w:ind w:firstLine="480" w:firstLineChars="200"/>
        <w:rPr>
          <w:rFonts w:ascii="宋体" w:hAnsi="宋体"/>
          <w:i/>
          <w:highlight w:val="none"/>
          <w:u w:val="single"/>
        </w:rPr>
      </w:pPr>
      <w:r>
        <w:rPr>
          <w:rFonts w:hint="eastAsia" w:ascii="宋体" w:hAnsi="宋体"/>
          <w:i/>
          <w:highlight w:val="none"/>
          <w:u w:val="single"/>
        </w:rPr>
        <w:t>七、磋商报价一览表</w:t>
      </w:r>
    </w:p>
    <w:p w14:paraId="7CC7406D">
      <w:pPr>
        <w:spacing w:line="240" w:lineRule="auto"/>
        <w:ind w:firstLine="480" w:firstLineChars="200"/>
        <w:rPr>
          <w:rFonts w:ascii="宋体" w:hAnsi="宋体"/>
          <w:highlight w:val="none"/>
        </w:rPr>
      </w:pPr>
      <w:r>
        <w:rPr>
          <w:rFonts w:hint="eastAsia" w:ascii="宋体" w:hAnsi="宋体"/>
          <w:highlight w:val="none"/>
        </w:rPr>
        <w:t>八、供应商认为有必要提供的声明及文件资料</w:t>
      </w:r>
    </w:p>
    <w:p w14:paraId="7F8DE8DA">
      <w:pPr>
        <w:rPr>
          <w:rFonts w:ascii="宋体" w:hAnsi="宋体"/>
          <w:szCs w:val="24"/>
          <w:highlight w:val="none"/>
        </w:rPr>
      </w:pPr>
      <w:r>
        <w:rPr>
          <w:rFonts w:hint="eastAsia" w:ascii="宋体" w:hAnsi="宋体"/>
          <w:szCs w:val="24"/>
          <w:highlight w:val="none"/>
        </w:rPr>
        <w:t xml:space="preserve">    九、其他相关附表格式</w:t>
      </w:r>
    </w:p>
    <w:p w14:paraId="099B4CA5">
      <w:pPr>
        <w:pStyle w:val="2"/>
        <w:rPr>
          <w:rFonts w:ascii="宋体" w:hAnsi="宋体"/>
          <w:szCs w:val="24"/>
          <w:highlight w:val="none"/>
        </w:rPr>
      </w:pPr>
    </w:p>
    <w:p w14:paraId="4DAAD640">
      <w:pPr>
        <w:rPr>
          <w:rFonts w:ascii="宋体" w:hAnsi="宋体"/>
          <w:szCs w:val="24"/>
          <w:highlight w:val="none"/>
        </w:rPr>
      </w:pPr>
    </w:p>
    <w:p w14:paraId="6861C9FC">
      <w:pPr>
        <w:pStyle w:val="2"/>
        <w:rPr>
          <w:rFonts w:ascii="宋体" w:hAnsi="宋体"/>
          <w:szCs w:val="24"/>
          <w:highlight w:val="none"/>
        </w:rPr>
      </w:pPr>
    </w:p>
    <w:p w14:paraId="37567311">
      <w:pPr>
        <w:rPr>
          <w:rFonts w:ascii="宋体" w:hAnsi="宋体"/>
          <w:szCs w:val="24"/>
          <w:highlight w:val="none"/>
        </w:rPr>
      </w:pPr>
    </w:p>
    <w:p w14:paraId="49C7C759">
      <w:pPr>
        <w:pStyle w:val="2"/>
        <w:rPr>
          <w:rFonts w:ascii="宋体" w:hAnsi="宋体"/>
          <w:szCs w:val="24"/>
          <w:highlight w:val="none"/>
        </w:rPr>
      </w:pPr>
    </w:p>
    <w:p w14:paraId="341A5F16">
      <w:pPr>
        <w:rPr>
          <w:rFonts w:ascii="宋体" w:hAnsi="宋体"/>
          <w:szCs w:val="24"/>
          <w:highlight w:val="none"/>
        </w:rPr>
      </w:pPr>
    </w:p>
    <w:p w14:paraId="0DE386B2">
      <w:pPr>
        <w:pStyle w:val="2"/>
        <w:rPr>
          <w:rFonts w:ascii="宋体" w:hAnsi="宋体"/>
          <w:szCs w:val="24"/>
          <w:highlight w:val="none"/>
        </w:rPr>
      </w:pPr>
    </w:p>
    <w:p w14:paraId="7CA80EC0">
      <w:pPr>
        <w:rPr>
          <w:rFonts w:ascii="宋体" w:hAnsi="宋体"/>
          <w:szCs w:val="24"/>
          <w:highlight w:val="none"/>
        </w:rPr>
      </w:pPr>
    </w:p>
    <w:p w14:paraId="51DF1A43">
      <w:pPr>
        <w:pStyle w:val="2"/>
        <w:rPr>
          <w:rFonts w:ascii="宋体" w:hAnsi="宋体"/>
          <w:szCs w:val="24"/>
          <w:highlight w:val="none"/>
        </w:rPr>
      </w:pPr>
    </w:p>
    <w:p w14:paraId="789E6500">
      <w:pPr>
        <w:rPr>
          <w:rFonts w:ascii="宋体" w:hAnsi="宋体"/>
          <w:szCs w:val="24"/>
          <w:highlight w:val="none"/>
        </w:rPr>
      </w:pPr>
    </w:p>
    <w:p w14:paraId="0ED7D758">
      <w:pPr>
        <w:pStyle w:val="2"/>
        <w:rPr>
          <w:rFonts w:ascii="宋体" w:hAnsi="宋体"/>
          <w:szCs w:val="24"/>
          <w:highlight w:val="none"/>
        </w:rPr>
      </w:pPr>
    </w:p>
    <w:p w14:paraId="72ACBBF8">
      <w:pPr>
        <w:rPr>
          <w:rFonts w:ascii="宋体" w:hAnsi="宋体"/>
          <w:szCs w:val="24"/>
          <w:highlight w:val="none"/>
        </w:rPr>
      </w:pPr>
    </w:p>
    <w:p w14:paraId="70860984">
      <w:pPr>
        <w:pStyle w:val="2"/>
        <w:rPr>
          <w:rFonts w:ascii="宋体" w:hAnsi="宋体"/>
          <w:szCs w:val="24"/>
          <w:highlight w:val="none"/>
        </w:rPr>
      </w:pPr>
    </w:p>
    <w:p w14:paraId="087406F7">
      <w:pPr>
        <w:pStyle w:val="6"/>
        <w:jc w:val="center"/>
        <w:rPr>
          <w:rFonts w:ascii="宋体" w:hAnsi="宋体"/>
          <w:bCs w:val="0"/>
          <w:highlight w:val="none"/>
        </w:rPr>
      </w:pPr>
      <w:bookmarkStart w:id="100" w:name="_Toc534816641"/>
      <w:bookmarkStart w:id="101" w:name="_Toc534725612"/>
      <w:r>
        <w:rPr>
          <w:rFonts w:hint="eastAsia" w:ascii="宋体" w:hAnsi="宋体"/>
          <w:bCs w:val="0"/>
          <w:highlight w:val="none"/>
        </w:rPr>
        <w:t>一、</w:t>
      </w:r>
      <w:bookmarkEnd w:id="100"/>
      <w:bookmarkEnd w:id="101"/>
      <w:r>
        <w:rPr>
          <w:rFonts w:hint="eastAsia" w:ascii="宋体" w:hAnsi="宋体"/>
          <w:bCs w:val="0"/>
          <w:highlight w:val="none"/>
        </w:rPr>
        <w:t>资格审查响应对照表</w:t>
      </w:r>
    </w:p>
    <w:p w14:paraId="40461BE7">
      <w:pPr>
        <w:snapToGrid w:val="0"/>
        <w:spacing w:before="50" w:after="50"/>
        <w:rPr>
          <w:rFonts w:ascii="宋体" w:hAnsi="宋体"/>
          <w:sz w:val="44"/>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14:paraId="51B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E9422E6">
            <w:pPr>
              <w:snapToGrid w:val="0"/>
              <w:spacing w:line="240" w:lineRule="atLeast"/>
              <w:jc w:val="center"/>
              <w:rPr>
                <w:rFonts w:ascii="宋体" w:hAnsi="宋体"/>
                <w:b/>
                <w:color w:val="000000"/>
                <w:highlight w:val="none"/>
              </w:rPr>
            </w:pPr>
            <w:r>
              <w:rPr>
                <w:rFonts w:hint="eastAsia" w:ascii="宋体" w:hAnsi="宋体"/>
                <w:b/>
                <w:color w:val="000000"/>
                <w:highlight w:val="none"/>
              </w:rPr>
              <w:t>序号</w:t>
            </w:r>
          </w:p>
        </w:tc>
        <w:tc>
          <w:tcPr>
            <w:tcW w:w="5447" w:type="dxa"/>
            <w:vAlign w:val="center"/>
          </w:tcPr>
          <w:p w14:paraId="6D1E1E27">
            <w:pPr>
              <w:snapToGrid w:val="0"/>
              <w:spacing w:line="240" w:lineRule="atLeast"/>
              <w:jc w:val="center"/>
              <w:rPr>
                <w:rFonts w:ascii="宋体" w:hAnsi="宋体"/>
                <w:b/>
                <w:color w:val="000000"/>
                <w:highlight w:val="none"/>
              </w:rPr>
            </w:pPr>
            <w:r>
              <w:rPr>
                <w:rFonts w:hint="eastAsia" w:ascii="宋体" w:hAnsi="宋体"/>
                <w:b/>
                <w:color w:val="000000"/>
                <w:highlight w:val="none"/>
              </w:rPr>
              <w:t>资格审查响应内容</w:t>
            </w:r>
          </w:p>
        </w:tc>
        <w:tc>
          <w:tcPr>
            <w:tcW w:w="1103" w:type="dxa"/>
            <w:vAlign w:val="center"/>
          </w:tcPr>
          <w:p w14:paraId="53696FE5">
            <w:pPr>
              <w:snapToGrid w:val="0"/>
              <w:spacing w:line="240" w:lineRule="atLeast"/>
              <w:jc w:val="center"/>
              <w:rPr>
                <w:rFonts w:ascii="宋体" w:hAnsi="宋体"/>
                <w:b/>
                <w:color w:val="000000"/>
                <w:highlight w:val="none"/>
              </w:rPr>
            </w:pPr>
            <w:r>
              <w:rPr>
                <w:rFonts w:hint="eastAsia" w:ascii="宋体" w:hAnsi="宋体"/>
                <w:b/>
                <w:color w:val="000000"/>
                <w:highlight w:val="none"/>
              </w:rPr>
              <w:t>是否响应</w:t>
            </w:r>
          </w:p>
          <w:p w14:paraId="57E20EEF">
            <w:pPr>
              <w:snapToGrid w:val="0"/>
              <w:spacing w:line="240" w:lineRule="atLeast"/>
              <w:jc w:val="center"/>
              <w:rPr>
                <w:rFonts w:ascii="宋体" w:hAnsi="宋体"/>
                <w:b/>
                <w:color w:val="000000"/>
                <w:highlight w:val="none"/>
              </w:rPr>
            </w:pPr>
            <w:r>
              <w:rPr>
                <w:rFonts w:hint="eastAsia" w:ascii="宋体" w:hAnsi="宋体"/>
                <w:b/>
                <w:color w:val="000000"/>
                <w:highlight w:val="none"/>
              </w:rPr>
              <w:t>（填是或否）</w:t>
            </w:r>
          </w:p>
        </w:tc>
        <w:tc>
          <w:tcPr>
            <w:tcW w:w="1916" w:type="dxa"/>
            <w:vAlign w:val="center"/>
          </w:tcPr>
          <w:p w14:paraId="0A566F77">
            <w:pPr>
              <w:snapToGrid w:val="0"/>
              <w:spacing w:line="240" w:lineRule="atLeast"/>
              <w:jc w:val="center"/>
              <w:rPr>
                <w:rFonts w:ascii="宋体" w:hAnsi="宋体"/>
                <w:b/>
                <w:color w:val="000000"/>
                <w:highlight w:val="none"/>
              </w:rPr>
            </w:pPr>
            <w:r>
              <w:rPr>
                <w:rFonts w:hint="eastAsia" w:ascii="宋体" w:hAnsi="宋体"/>
                <w:b/>
                <w:color w:val="000000"/>
                <w:highlight w:val="none"/>
              </w:rPr>
              <w:t>上传证明材料的图片（按顺序附到此对照表后面）</w:t>
            </w:r>
          </w:p>
        </w:tc>
      </w:tr>
      <w:tr w14:paraId="3E6F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vAlign w:val="center"/>
          </w:tcPr>
          <w:p w14:paraId="6698D20F">
            <w:pPr>
              <w:rPr>
                <w:rFonts w:ascii="宋体" w:hAnsi="宋体"/>
                <w:b/>
                <w:color w:val="000000"/>
                <w:highlight w:val="none"/>
              </w:rPr>
            </w:pPr>
            <w:r>
              <w:rPr>
                <w:rFonts w:hint="eastAsia" w:ascii="宋体" w:hAnsi="宋体"/>
                <w:b/>
                <w:color w:val="000000"/>
                <w:highlight w:val="none"/>
              </w:rPr>
              <w:t>通用资格条件</w:t>
            </w:r>
          </w:p>
        </w:tc>
      </w:tr>
      <w:tr w14:paraId="6B1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4703B5A6">
            <w:pPr>
              <w:jc w:val="center"/>
              <w:rPr>
                <w:rFonts w:ascii="宋体" w:hAnsi="宋体"/>
                <w:b/>
                <w:color w:val="000000"/>
                <w:highlight w:val="none"/>
              </w:rPr>
            </w:pPr>
            <w:r>
              <w:rPr>
                <w:rFonts w:hint="eastAsia" w:ascii="宋体" w:hAnsi="宋体"/>
                <w:b/>
                <w:color w:val="000000"/>
                <w:highlight w:val="none"/>
              </w:rPr>
              <w:t>1</w:t>
            </w:r>
          </w:p>
        </w:tc>
        <w:tc>
          <w:tcPr>
            <w:tcW w:w="5447" w:type="dxa"/>
            <w:vAlign w:val="center"/>
          </w:tcPr>
          <w:p w14:paraId="23687EDE">
            <w:pPr>
              <w:spacing w:line="0" w:lineRule="atLeast"/>
              <w:rPr>
                <w:rFonts w:ascii="宋体" w:hAnsi="宋体"/>
                <w:iCs/>
                <w:color w:val="000000"/>
                <w:szCs w:val="24"/>
                <w:highlight w:val="none"/>
              </w:rPr>
            </w:pPr>
            <w:r>
              <w:rPr>
                <w:rFonts w:hint="eastAsia" w:ascii="宋体" w:hAnsi="宋体"/>
                <w:iCs/>
                <w:color w:val="000000"/>
                <w:szCs w:val="24"/>
                <w:highlight w:val="none"/>
              </w:rPr>
              <w:t>法人或者其他组织的营业执照等证明文件，自然人的身份证明（身份证为正、反面）</w:t>
            </w:r>
          </w:p>
        </w:tc>
        <w:tc>
          <w:tcPr>
            <w:tcW w:w="1103" w:type="dxa"/>
            <w:vAlign w:val="center"/>
          </w:tcPr>
          <w:p w14:paraId="317C320E">
            <w:pPr>
              <w:rPr>
                <w:rFonts w:ascii="宋体" w:hAnsi="宋体"/>
                <w:b/>
                <w:color w:val="000000"/>
                <w:highlight w:val="none"/>
              </w:rPr>
            </w:pPr>
          </w:p>
        </w:tc>
        <w:tc>
          <w:tcPr>
            <w:tcW w:w="1916" w:type="dxa"/>
            <w:vAlign w:val="center"/>
          </w:tcPr>
          <w:p w14:paraId="20FC6CDB">
            <w:pPr>
              <w:rPr>
                <w:rFonts w:ascii="宋体" w:hAnsi="宋体"/>
                <w:b/>
                <w:color w:val="000000"/>
                <w:highlight w:val="none"/>
              </w:rPr>
            </w:pPr>
          </w:p>
        </w:tc>
      </w:tr>
      <w:tr w14:paraId="1938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52CB7B1">
            <w:pPr>
              <w:jc w:val="center"/>
              <w:rPr>
                <w:rFonts w:ascii="宋体" w:hAnsi="宋体"/>
                <w:color w:val="000000"/>
                <w:highlight w:val="none"/>
              </w:rPr>
            </w:pPr>
            <w:r>
              <w:rPr>
                <w:rFonts w:hint="eastAsia" w:ascii="宋体" w:hAnsi="宋体"/>
                <w:color w:val="000000"/>
                <w:highlight w:val="none"/>
              </w:rPr>
              <w:t>2</w:t>
            </w:r>
          </w:p>
        </w:tc>
        <w:tc>
          <w:tcPr>
            <w:tcW w:w="5447" w:type="dxa"/>
            <w:vAlign w:val="center"/>
          </w:tcPr>
          <w:p w14:paraId="672E8849">
            <w:pPr>
              <w:spacing w:line="0" w:lineRule="atLeast"/>
              <w:rPr>
                <w:rFonts w:ascii="宋体" w:hAnsi="宋体"/>
                <w:iCs/>
                <w:color w:val="000000"/>
                <w:szCs w:val="24"/>
                <w:highlight w:val="none"/>
              </w:rPr>
            </w:pPr>
            <w:r>
              <w:rPr>
                <w:rFonts w:hint="eastAsia" w:ascii="宋体" w:hAnsi="宋体"/>
                <w:iCs/>
                <w:color w:val="000000"/>
                <w:szCs w:val="24"/>
                <w:highlight w:val="none"/>
              </w:rPr>
              <w:t>最近一个年度的财务状况报告（成立不满一年不需提供）</w:t>
            </w:r>
          </w:p>
        </w:tc>
        <w:tc>
          <w:tcPr>
            <w:tcW w:w="1103" w:type="dxa"/>
            <w:vAlign w:val="center"/>
          </w:tcPr>
          <w:p w14:paraId="3C7E5ED8">
            <w:pPr>
              <w:rPr>
                <w:rFonts w:ascii="宋体" w:hAnsi="宋体"/>
                <w:color w:val="000000"/>
                <w:highlight w:val="none"/>
              </w:rPr>
            </w:pPr>
          </w:p>
        </w:tc>
        <w:tc>
          <w:tcPr>
            <w:tcW w:w="1916" w:type="dxa"/>
            <w:vAlign w:val="center"/>
          </w:tcPr>
          <w:p w14:paraId="24296AB0">
            <w:pPr>
              <w:rPr>
                <w:rFonts w:ascii="宋体" w:hAnsi="宋体"/>
                <w:color w:val="000000"/>
                <w:highlight w:val="none"/>
              </w:rPr>
            </w:pPr>
          </w:p>
        </w:tc>
      </w:tr>
      <w:tr w14:paraId="136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7D045E2">
            <w:pPr>
              <w:jc w:val="center"/>
              <w:rPr>
                <w:rFonts w:ascii="宋体" w:hAnsi="宋体"/>
                <w:color w:val="000000"/>
                <w:highlight w:val="none"/>
              </w:rPr>
            </w:pPr>
            <w:r>
              <w:rPr>
                <w:rFonts w:hint="eastAsia" w:ascii="宋体" w:hAnsi="宋体"/>
                <w:color w:val="000000"/>
                <w:highlight w:val="none"/>
              </w:rPr>
              <w:t>3</w:t>
            </w:r>
          </w:p>
        </w:tc>
        <w:tc>
          <w:tcPr>
            <w:tcW w:w="5447" w:type="dxa"/>
            <w:vAlign w:val="center"/>
          </w:tcPr>
          <w:p w14:paraId="065DFDFC">
            <w:pPr>
              <w:spacing w:line="0" w:lineRule="atLeast"/>
              <w:rPr>
                <w:rFonts w:ascii="宋体" w:hAnsi="宋体"/>
                <w:iCs/>
                <w:color w:val="000000"/>
                <w:szCs w:val="24"/>
                <w:highlight w:val="none"/>
              </w:rPr>
            </w:pPr>
            <w:r>
              <w:rPr>
                <w:rFonts w:hint="eastAsia" w:ascii="宋体" w:hAnsi="宋体"/>
                <w:iCs/>
                <w:color w:val="000000"/>
                <w:szCs w:val="24"/>
                <w:highlight w:val="none"/>
              </w:rPr>
              <w:t>依法缴纳税收和社会保障资金的相关材料（提供提交响应文件截止时间前一年内至少一个月依法缴纳税收及缴纳社会保障资金的证明材料。供应商依法享受缓缴、免缴税收、社会保障资金的提供证明材料。）</w:t>
            </w:r>
          </w:p>
        </w:tc>
        <w:tc>
          <w:tcPr>
            <w:tcW w:w="1103" w:type="dxa"/>
            <w:vAlign w:val="center"/>
          </w:tcPr>
          <w:p w14:paraId="45DB4364">
            <w:pPr>
              <w:rPr>
                <w:rFonts w:ascii="宋体" w:hAnsi="宋体"/>
                <w:color w:val="000000"/>
                <w:highlight w:val="none"/>
              </w:rPr>
            </w:pPr>
          </w:p>
        </w:tc>
        <w:tc>
          <w:tcPr>
            <w:tcW w:w="1916" w:type="dxa"/>
            <w:vAlign w:val="center"/>
          </w:tcPr>
          <w:p w14:paraId="2F2B7723">
            <w:pPr>
              <w:rPr>
                <w:rFonts w:ascii="宋体" w:hAnsi="宋体"/>
                <w:color w:val="000000"/>
                <w:highlight w:val="none"/>
              </w:rPr>
            </w:pPr>
          </w:p>
        </w:tc>
      </w:tr>
      <w:tr w14:paraId="0C1A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6A09EABD">
            <w:pPr>
              <w:jc w:val="center"/>
              <w:rPr>
                <w:rFonts w:ascii="宋体" w:hAnsi="宋体"/>
                <w:color w:val="000000"/>
                <w:highlight w:val="none"/>
              </w:rPr>
            </w:pPr>
            <w:r>
              <w:rPr>
                <w:rFonts w:hint="eastAsia" w:ascii="宋体" w:hAnsi="宋体"/>
                <w:color w:val="000000"/>
                <w:highlight w:val="none"/>
              </w:rPr>
              <w:t>4</w:t>
            </w:r>
          </w:p>
        </w:tc>
        <w:tc>
          <w:tcPr>
            <w:tcW w:w="5447" w:type="dxa"/>
            <w:vAlign w:val="center"/>
          </w:tcPr>
          <w:p w14:paraId="5FDBE25A">
            <w:pPr>
              <w:spacing w:line="0" w:lineRule="atLeast"/>
              <w:rPr>
                <w:rFonts w:ascii="宋体" w:hAnsi="宋体"/>
                <w:iCs/>
                <w:color w:val="000000"/>
                <w:szCs w:val="24"/>
                <w:highlight w:val="none"/>
              </w:rPr>
            </w:pPr>
            <w:r>
              <w:rPr>
                <w:rFonts w:hint="eastAsia" w:ascii="宋体" w:hAnsi="宋体"/>
                <w:iCs/>
                <w:color w:val="000000"/>
                <w:szCs w:val="24"/>
                <w:highlight w:val="none"/>
              </w:rPr>
              <w:t>具备履行合同所必需的设备和专业技术能力的书面声明</w:t>
            </w:r>
          </w:p>
        </w:tc>
        <w:tc>
          <w:tcPr>
            <w:tcW w:w="1103" w:type="dxa"/>
            <w:vAlign w:val="center"/>
          </w:tcPr>
          <w:p w14:paraId="488725B4">
            <w:pPr>
              <w:rPr>
                <w:rFonts w:ascii="宋体" w:hAnsi="宋体"/>
                <w:color w:val="000000"/>
                <w:highlight w:val="none"/>
              </w:rPr>
            </w:pPr>
          </w:p>
        </w:tc>
        <w:tc>
          <w:tcPr>
            <w:tcW w:w="1916" w:type="dxa"/>
            <w:vAlign w:val="center"/>
          </w:tcPr>
          <w:p w14:paraId="09472CAF">
            <w:pPr>
              <w:rPr>
                <w:rFonts w:ascii="宋体" w:hAnsi="宋体"/>
                <w:color w:val="000000"/>
                <w:highlight w:val="none"/>
              </w:rPr>
            </w:pPr>
          </w:p>
        </w:tc>
      </w:tr>
      <w:tr w14:paraId="3106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DEEEC0C">
            <w:pPr>
              <w:jc w:val="center"/>
              <w:rPr>
                <w:rFonts w:ascii="宋体" w:hAnsi="宋体"/>
                <w:color w:val="000000"/>
                <w:highlight w:val="none"/>
              </w:rPr>
            </w:pPr>
            <w:r>
              <w:rPr>
                <w:rFonts w:hint="eastAsia" w:ascii="宋体" w:hAnsi="宋体"/>
                <w:color w:val="000000"/>
                <w:highlight w:val="none"/>
              </w:rPr>
              <w:t>5</w:t>
            </w:r>
          </w:p>
        </w:tc>
        <w:tc>
          <w:tcPr>
            <w:tcW w:w="5447" w:type="dxa"/>
            <w:vAlign w:val="center"/>
          </w:tcPr>
          <w:p w14:paraId="67117B3F">
            <w:pPr>
              <w:snapToGrid w:val="0"/>
              <w:spacing w:line="0" w:lineRule="atLeast"/>
              <w:rPr>
                <w:rFonts w:ascii="宋体" w:hAnsi="宋体"/>
                <w:iCs/>
                <w:color w:val="000000"/>
                <w:szCs w:val="24"/>
                <w:highlight w:val="none"/>
              </w:rPr>
            </w:pPr>
            <w:r>
              <w:rPr>
                <w:rFonts w:hint="eastAsia" w:ascii="宋体" w:hAnsi="宋体"/>
                <w:iCs/>
                <w:color w:val="000000"/>
                <w:szCs w:val="24"/>
                <w:highlight w:val="none"/>
              </w:rPr>
              <w:t>参加政府采购活动前 3 年内在经营活动中没有重大违法记录的书面声明</w:t>
            </w:r>
          </w:p>
        </w:tc>
        <w:tc>
          <w:tcPr>
            <w:tcW w:w="1103" w:type="dxa"/>
            <w:vAlign w:val="center"/>
          </w:tcPr>
          <w:p w14:paraId="35F38D7E">
            <w:pPr>
              <w:rPr>
                <w:rFonts w:ascii="宋体" w:hAnsi="宋体"/>
                <w:color w:val="000000"/>
                <w:highlight w:val="none"/>
              </w:rPr>
            </w:pPr>
          </w:p>
        </w:tc>
        <w:tc>
          <w:tcPr>
            <w:tcW w:w="1916" w:type="dxa"/>
            <w:vAlign w:val="center"/>
          </w:tcPr>
          <w:p w14:paraId="01B89BF8">
            <w:pPr>
              <w:rPr>
                <w:rFonts w:ascii="宋体" w:hAnsi="宋体"/>
                <w:color w:val="000000"/>
                <w:highlight w:val="none"/>
              </w:rPr>
            </w:pPr>
          </w:p>
        </w:tc>
      </w:tr>
      <w:tr w14:paraId="18B3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08E16F5">
            <w:pPr>
              <w:jc w:val="center"/>
              <w:rPr>
                <w:rFonts w:ascii="宋体" w:hAnsi="宋体"/>
                <w:color w:val="000000"/>
                <w:highlight w:val="none"/>
              </w:rPr>
            </w:pPr>
            <w:r>
              <w:rPr>
                <w:rFonts w:hint="eastAsia" w:ascii="宋体" w:hAnsi="宋体"/>
                <w:color w:val="000000"/>
                <w:highlight w:val="none"/>
              </w:rPr>
              <w:t>6</w:t>
            </w:r>
          </w:p>
        </w:tc>
        <w:tc>
          <w:tcPr>
            <w:tcW w:w="5447" w:type="dxa"/>
            <w:vAlign w:val="center"/>
          </w:tcPr>
          <w:p w14:paraId="45D577F6">
            <w:pPr>
              <w:snapToGrid w:val="0"/>
              <w:spacing w:line="0" w:lineRule="atLeast"/>
              <w:rPr>
                <w:rFonts w:ascii="宋体" w:hAnsi="宋体"/>
                <w:iCs/>
                <w:color w:val="000000"/>
                <w:szCs w:val="24"/>
                <w:highlight w:val="none"/>
              </w:rPr>
            </w:pPr>
            <w:r>
              <w:rPr>
                <w:rFonts w:hint="eastAsia" w:ascii="宋体" w:hAnsi="宋体"/>
                <w:iCs/>
                <w:color w:val="000000"/>
                <w:szCs w:val="24"/>
                <w:highlight w:val="none"/>
              </w:rPr>
              <w:t>未被“信用中国”网站（www.creditchina.gov.cn）、“中国政府采购网”(www.ccgp.gov.cn）列入失信被执行人、重大税收违法案件当事人名单、政府采购严重失信行为记录名单</w:t>
            </w:r>
            <w:r>
              <w:rPr>
                <w:rFonts w:hint="eastAsia" w:ascii="宋体" w:hAnsi="宋体"/>
                <w:color w:val="000000"/>
                <w:szCs w:val="24"/>
                <w:highlight w:val="none"/>
              </w:rPr>
              <w:t>（提供网页截图或自拟承诺函）</w:t>
            </w:r>
          </w:p>
        </w:tc>
        <w:tc>
          <w:tcPr>
            <w:tcW w:w="1103" w:type="dxa"/>
            <w:vAlign w:val="center"/>
          </w:tcPr>
          <w:p w14:paraId="6F0CD01E">
            <w:pPr>
              <w:rPr>
                <w:rFonts w:ascii="宋体" w:hAnsi="宋体"/>
                <w:color w:val="000000"/>
                <w:highlight w:val="none"/>
              </w:rPr>
            </w:pPr>
          </w:p>
        </w:tc>
        <w:tc>
          <w:tcPr>
            <w:tcW w:w="1916" w:type="dxa"/>
            <w:vAlign w:val="center"/>
          </w:tcPr>
          <w:p w14:paraId="1301625F">
            <w:pPr>
              <w:rPr>
                <w:rFonts w:ascii="宋体" w:hAnsi="宋体"/>
                <w:color w:val="000000"/>
                <w:highlight w:val="none"/>
              </w:rPr>
            </w:pPr>
          </w:p>
        </w:tc>
      </w:tr>
      <w:tr w14:paraId="3F43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vAlign w:val="center"/>
          </w:tcPr>
          <w:p w14:paraId="33844F41">
            <w:pPr>
              <w:rPr>
                <w:rFonts w:ascii="宋体" w:hAnsi="宋体"/>
                <w:b/>
                <w:color w:val="000000"/>
                <w:highlight w:val="none"/>
              </w:rPr>
            </w:pPr>
            <w:r>
              <w:rPr>
                <w:rFonts w:hint="eastAsia" w:ascii="宋体" w:hAnsi="宋体"/>
                <w:b/>
                <w:color w:val="000000"/>
                <w:highlight w:val="none"/>
              </w:rPr>
              <w:t>特定资格条件</w:t>
            </w:r>
          </w:p>
        </w:tc>
      </w:tr>
      <w:tr w14:paraId="60A4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18E0086">
            <w:pPr>
              <w:jc w:val="center"/>
              <w:rPr>
                <w:rFonts w:ascii="宋体" w:hAnsi="宋体"/>
                <w:color w:val="000000"/>
                <w:highlight w:val="none"/>
              </w:rPr>
            </w:pPr>
            <w:r>
              <w:rPr>
                <w:rFonts w:hint="eastAsia" w:ascii="宋体" w:hAnsi="宋体"/>
                <w:color w:val="000000"/>
                <w:highlight w:val="none"/>
              </w:rPr>
              <w:t>7</w:t>
            </w:r>
          </w:p>
        </w:tc>
        <w:tc>
          <w:tcPr>
            <w:tcW w:w="5447" w:type="dxa"/>
            <w:vAlign w:val="center"/>
          </w:tcPr>
          <w:p w14:paraId="55A03712">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w:t>
            </w:r>
          </w:p>
        </w:tc>
        <w:tc>
          <w:tcPr>
            <w:tcW w:w="3019" w:type="dxa"/>
            <w:gridSpan w:val="2"/>
            <w:vAlign w:val="center"/>
          </w:tcPr>
          <w:p w14:paraId="765A7334">
            <w:pPr>
              <w:rPr>
                <w:rFonts w:ascii="宋体" w:hAnsi="宋体"/>
                <w:color w:val="000000"/>
                <w:highlight w:val="none"/>
              </w:rPr>
            </w:pPr>
            <w:r>
              <w:rPr>
                <w:rFonts w:hint="eastAsia" w:ascii="宋体" w:hAnsi="宋体"/>
                <w:color w:val="000000"/>
                <w:highlight w:val="none"/>
              </w:rPr>
              <w:t>如该项目设定</w:t>
            </w:r>
          </w:p>
        </w:tc>
      </w:tr>
      <w:tr w14:paraId="43A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284DF528">
            <w:pPr>
              <w:rPr>
                <w:rFonts w:ascii="宋体" w:hAnsi="宋体"/>
                <w:b/>
                <w:color w:val="000000"/>
                <w:highlight w:val="none"/>
              </w:rPr>
            </w:pPr>
            <w:r>
              <w:rPr>
                <w:rFonts w:hint="eastAsia" w:ascii="宋体" w:hAnsi="宋体"/>
                <w:b/>
                <w:color w:val="000000"/>
                <w:highlight w:val="none"/>
              </w:rPr>
              <w:t>落实政府采购政策需满足的资格要求</w:t>
            </w:r>
          </w:p>
        </w:tc>
      </w:tr>
      <w:tr w14:paraId="72DB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82C98B4">
            <w:pPr>
              <w:jc w:val="center"/>
              <w:rPr>
                <w:rFonts w:ascii="宋体" w:hAnsi="宋体"/>
                <w:color w:val="000000"/>
                <w:highlight w:val="none"/>
              </w:rPr>
            </w:pPr>
            <w:r>
              <w:rPr>
                <w:rFonts w:hint="eastAsia" w:ascii="宋体" w:hAnsi="宋体"/>
                <w:color w:val="000000"/>
                <w:highlight w:val="none"/>
              </w:rPr>
              <w:t>8</w:t>
            </w:r>
          </w:p>
        </w:tc>
        <w:tc>
          <w:tcPr>
            <w:tcW w:w="5447" w:type="dxa"/>
            <w:vAlign w:val="center"/>
          </w:tcPr>
          <w:p w14:paraId="64185D92">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w:t>
            </w:r>
          </w:p>
        </w:tc>
        <w:tc>
          <w:tcPr>
            <w:tcW w:w="3019" w:type="dxa"/>
            <w:gridSpan w:val="2"/>
            <w:vAlign w:val="center"/>
          </w:tcPr>
          <w:p w14:paraId="667A1E22">
            <w:pPr>
              <w:rPr>
                <w:rFonts w:ascii="宋体" w:hAnsi="宋体"/>
                <w:color w:val="000000"/>
                <w:highlight w:val="none"/>
              </w:rPr>
            </w:pPr>
            <w:r>
              <w:rPr>
                <w:rFonts w:hint="eastAsia" w:ascii="宋体" w:hAnsi="宋体"/>
                <w:color w:val="000000"/>
                <w:highlight w:val="none"/>
              </w:rPr>
              <w:t>如该项目设定</w:t>
            </w:r>
          </w:p>
        </w:tc>
      </w:tr>
      <w:tr w14:paraId="7018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vAlign w:val="center"/>
          </w:tcPr>
          <w:p w14:paraId="7607C5BC">
            <w:pPr>
              <w:rPr>
                <w:rFonts w:ascii="宋体" w:hAnsi="宋体"/>
                <w:b/>
                <w:color w:val="000000"/>
                <w:highlight w:val="none"/>
              </w:rPr>
            </w:pPr>
            <w:r>
              <w:rPr>
                <w:rFonts w:hint="eastAsia" w:ascii="宋体" w:hAnsi="宋体"/>
                <w:b/>
                <w:color w:val="000000"/>
                <w:highlight w:val="none"/>
              </w:rPr>
              <w:t>其他资格条件</w:t>
            </w:r>
          </w:p>
        </w:tc>
      </w:tr>
      <w:tr w14:paraId="094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1810BDD6">
            <w:pPr>
              <w:jc w:val="center"/>
              <w:rPr>
                <w:rFonts w:ascii="宋体" w:hAnsi="宋体"/>
                <w:color w:val="000000"/>
                <w:highlight w:val="none"/>
              </w:rPr>
            </w:pPr>
            <w:r>
              <w:rPr>
                <w:rFonts w:hint="eastAsia" w:ascii="宋体" w:hAnsi="宋体"/>
                <w:color w:val="000000"/>
                <w:highlight w:val="none"/>
              </w:rPr>
              <w:t>9</w:t>
            </w:r>
          </w:p>
        </w:tc>
        <w:tc>
          <w:tcPr>
            <w:tcW w:w="5447" w:type="dxa"/>
            <w:vAlign w:val="center"/>
          </w:tcPr>
          <w:p w14:paraId="2452EB73">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法人授权书</w:t>
            </w:r>
          </w:p>
        </w:tc>
        <w:tc>
          <w:tcPr>
            <w:tcW w:w="3019" w:type="dxa"/>
            <w:gridSpan w:val="2"/>
            <w:vAlign w:val="center"/>
          </w:tcPr>
          <w:p w14:paraId="3DBF5FB4">
            <w:pPr>
              <w:rPr>
                <w:rFonts w:ascii="宋体" w:hAnsi="宋体"/>
                <w:color w:val="000000"/>
                <w:highlight w:val="none"/>
              </w:rPr>
            </w:pPr>
          </w:p>
        </w:tc>
      </w:tr>
      <w:tr w14:paraId="77F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7B5C34DC">
            <w:pPr>
              <w:jc w:val="center"/>
              <w:rPr>
                <w:rFonts w:ascii="宋体" w:hAnsi="宋体"/>
                <w:color w:val="000000"/>
                <w:highlight w:val="none"/>
              </w:rPr>
            </w:pPr>
            <w:r>
              <w:rPr>
                <w:rFonts w:hint="eastAsia" w:ascii="宋体" w:hAnsi="宋体"/>
                <w:color w:val="000000"/>
                <w:highlight w:val="none"/>
              </w:rPr>
              <w:t>10</w:t>
            </w:r>
          </w:p>
        </w:tc>
        <w:tc>
          <w:tcPr>
            <w:tcW w:w="5447" w:type="dxa"/>
            <w:vAlign w:val="center"/>
          </w:tcPr>
          <w:p w14:paraId="61B38A61">
            <w:pPr>
              <w:snapToGrid w:val="0"/>
              <w:spacing w:line="0" w:lineRule="atLeast"/>
              <w:jc w:val="left"/>
              <w:rPr>
                <w:rFonts w:ascii="宋体" w:hAnsi="宋体"/>
                <w:iCs/>
                <w:color w:val="000000"/>
                <w:szCs w:val="24"/>
                <w:highlight w:val="none"/>
              </w:rPr>
            </w:pPr>
            <w:r>
              <w:rPr>
                <w:rFonts w:hint="eastAsia" w:ascii="宋体" w:hAnsi="宋体"/>
                <w:iCs/>
                <w:color w:val="000000"/>
                <w:szCs w:val="24"/>
                <w:highlight w:val="none"/>
              </w:rPr>
              <w:t>磋商保证金缴纳凭证</w:t>
            </w:r>
          </w:p>
        </w:tc>
        <w:tc>
          <w:tcPr>
            <w:tcW w:w="3019" w:type="dxa"/>
            <w:gridSpan w:val="2"/>
            <w:vAlign w:val="center"/>
          </w:tcPr>
          <w:p w14:paraId="424E7B37">
            <w:pPr>
              <w:rPr>
                <w:rFonts w:ascii="宋体" w:hAnsi="宋体"/>
                <w:color w:val="000000"/>
                <w:highlight w:val="none"/>
              </w:rPr>
            </w:pPr>
            <w:r>
              <w:rPr>
                <w:rFonts w:hint="eastAsia" w:ascii="宋体" w:hAnsi="宋体"/>
                <w:color w:val="000000"/>
                <w:highlight w:val="none"/>
              </w:rPr>
              <w:t>如该项目收取</w:t>
            </w:r>
          </w:p>
        </w:tc>
      </w:tr>
      <w:tr w14:paraId="113B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49BD5FE4">
            <w:pPr>
              <w:jc w:val="center"/>
              <w:rPr>
                <w:rFonts w:ascii="宋体" w:hAnsi="宋体"/>
                <w:color w:val="000000"/>
                <w:highlight w:val="none"/>
              </w:rPr>
            </w:pPr>
          </w:p>
        </w:tc>
        <w:tc>
          <w:tcPr>
            <w:tcW w:w="5447" w:type="dxa"/>
            <w:vAlign w:val="center"/>
          </w:tcPr>
          <w:p w14:paraId="17B970BE">
            <w:pPr>
              <w:snapToGrid w:val="0"/>
              <w:spacing w:line="0" w:lineRule="atLeast"/>
              <w:jc w:val="left"/>
              <w:rPr>
                <w:rFonts w:ascii="宋体" w:hAnsi="宋体"/>
                <w:color w:val="000000"/>
                <w:szCs w:val="24"/>
                <w:highlight w:val="none"/>
              </w:rPr>
            </w:pPr>
          </w:p>
        </w:tc>
        <w:tc>
          <w:tcPr>
            <w:tcW w:w="3019" w:type="dxa"/>
            <w:gridSpan w:val="2"/>
            <w:vAlign w:val="center"/>
          </w:tcPr>
          <w:p w14:paraId="258BB9C6">
            <w:pPr>
              <w:rPr>
                <w:rFonts w:ascii="宋体" w:hAnsi="宋体"/>
                <w:color w:val="000000"/>
                <w:highlight w:val="none"/>
              </w:rPr>
            </w:pPr>
          </w:p>
        </w:tc>
      </w:tr>
    </w:tbl>
    <w:p w14:paraId="010EBF52">
      <w:pPr>
        <w:pStyle w:val="48"/>
        <w:ind w:firstLine="200"/>
        <w:rPr>
          <w:rFonts w:ascii="宋体" w:hAnsi="宋体"/>
          <w:highlight w:val="none"/>
        </w:rPr>
        <w:sectPr>
          <w:footerReference r:id="rId6" w:type="first"/>
          <w:footerReference r:id="rId5" w:type="default"/>
          <w:pgSz w:w="11906" w:h="16838"/>
          <w:pgMar w:top="1440" w:right="1080" w:bottom="1440" w:left="1080" w:header="851" w:footer="907" w:gutter="0"/>
          <w:cols w:space="720" w:num="1"/>
          <w:titlePg/>
          <w:docGrid w:type="lines" w:linePitch="290" w:charSpace="0"/>
        </w:sectPr>
      </w:pPr>
    </w:p>
    <w:p w14:paraId="7FDA216E">
      <w:pPr>
        <w:spacing w:line="240" w:lineRule="auto"/>
        <w:jc w:val="center"/>
        <w:rPr>
          <w:rFonts w:ascii="宋体" w:hAnsi="宋体"/>
          <w:b/>
          <w:sz w:val="32"/>
          <w:szCs w:val="32"/>
          <w:highlight w:val="none"/>
        </w:rPr>
      </w:pPr>
      <w:r>
        <w:rPr>
          <w:rFonts w:hint="eastAsia" w:ascii="宋体" w:hAnsi="宋体"/>
          <w:b/>
          <w:sz w:val="32"/>
          <w:szCs w:val="32"/>
          <w:highlight w:val="none"/>
        </w:rPr>
        <w:t>二、符合性审查响应对照表</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E3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99D9D12">
            <w:pPr>
              <w:snapToGrid w:val="0"/>
              <w:spacing w:line="240" w:lineRule="atLeast"/>
              <w:jc w:val="center"/>
              <w:rPr>
                <w:rFonts w:ascii="宋体" w:hAnsi="宋体"/>
                <w:b/>
                <w:sz w:val="21"/>
                <w:highlight w:val="none"/>
              </w:rPr>
            </w:pPr>
            <w:r>
              <w:rPr>
                <w:rFonts w:hint="eastAsia" w:ascii="宋体" w:hAnsi="宋体"/>
                <w:b/>
                <w:sz w:val="21"/>
                <w:highlight w:val="none"/>
              </w:rPr>
              <w:t>序号</w:t>
            </w:r>
          </w:p>
        </w:tc>
        <w:tc>
          <w:tcPr>
            <w:tcW w:w="5447" w:type="dxa"/>
            <w:vAlign w:val="center"/>
          </w:tcPr>
          <w:p w14:paraId="18D0F4FD">
            <w:pPr>
              <w:snapToGrid w:val="0"/>
              <w:spacing w:line="240" w:lineRule="atLeast"/>
              <w:jc w:val="center"/>
              <w:rPr>
                <w:rFonts w:ascii="宋体" w:hAnsi="宋体"/>
                <w:b/>
                <w:sz w:val="21"/>
                <w:highlight w:val="none"/>
              </w:rPr>
            </w:pPr>
            <w:r>
              <w:rPr>
                <w:rFonts w:hint="eastAsia" w:ascii="宋体" w:hAnsi="宋体"/>
                <w:b/>
                <w:sz w:val="21"/>
                <w:highlight w:val="none"/>
              </w:rPr>
              <w:t>符合性审查响应内容</w:t>
            </w:r>
          </w:p>
        </w:tc>
        <w:tc>
          <w:tcPr>
            <w:tcW w:w="1680" w:type="dxa"/>
            <w:vAlign w:val="center"/>
          </w:tcPr>
          <w:p w14:paraId="1C2452E0">
            <w:pPr>
              <w:snapToGrid w:val="0"/>
              <w:spacing w:line="240" w:lineRule="atLeast"/>
              <w:jc w:val="center"/>
              <w:rPr>
                <w:rFonts w:ascii="宋体" w:hAnsi="宋体"/>
                <w:b/>
                <w:sz w:val="21"/>
                <w:highlight w:val="none"/>
              </w:rPr>
            </w:pPr>
            <w:r>
              <w:rPr>
                <w:rFonts w:hint="eastAsia" w:ascii="宋体" w:hAnsi="宋体"/>
                <w:b/>
                <w:sz w:val="21"/>
                <w:highlight w:val="none"/>
              </w:rPr>
              <w:t>是否响应</w:t>
            </w:r>
          </w:p>
          <w:p w14:paraId="2D2ACA1F">
            <w:pPr>
              <w:snapToGrid w:val="0"/>
              <w:spacing w:line="240" w:lineRule="atLeast"/>
              <w:jc w:val="center"/>
              <w:rPr>
                <w:rFonts w:ascii="宋体" w:hAnsi="宋体"/>
                <w:b/>
                <w:sz w:val="21"/>
                <w:highlight w:val="none"/>
              </w:rPr>
            </w:pPr>
            <w:r>
              <w:rPr>
                <w:rFonts w:hint="eastAsia" w:ascii="宋体" w:hAnsi="宋体"/>
                <w:b/>
                <w:sz w:val="21"/>
                <w:highlight w:val="none"/>
              </w:rPr>
              <w:t>（填是或否）</w:t>
            </w:r>
          </w:p>
        </w:tc>
        <w:tc>
          <w:tcPr>
            <w:tcW w:w="1308" w:type="dxa"/>
            <w:vAlign w:val="center"/>
          </w:tcPr>
          <w:p w14:paraId="38866B1B">
            <w:pPr>
              <w:snapToGrid w:val="0"/>
              <w:spacing w:line="240" w:lineRule="auto"/>
              <w:rPr>
                <w:rFonts w:ascii="宋体" w:hAnsi="宋体"/>
                <w:b/>
                <w:sz w:val="21"/>
                <w:highlight w:val="none"/>
              </w:rPr>
            </w:pPr>
            <w:r>
              <w:rPr>
                <w:rFonts w:hint="eastAsia" w:ascii="宋体" w:hAnsi="宋体"/>
                <w:b/>
                <w:sz w:val="21"/>
                <w:highlight w:val="none"/>
              </w:rPr>
              <w:t>在响应文件中的页码位置（注明在**节点下第**页，如“技术参数响应及偏离表I”第**页）</w:t>
            </w:r>
          </w:p>
        </w:tc>
      </w:tr>
      <w:tr w14:paraId="69FD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2792E76">
            <w:pPr>
              <w:spacing w:line="240" w:lineRule="auto"/>
              <w:jc w:val="center"/>
              <w:rPr>
                <w:rFonts w:ascii="宋体" w:hAnsi="宋体"/>
                <w:sz w:val="21"/>
                <w:highlight w:val="none"/>
              </w:rPr>
            </w:pPr>
            <w:r>
              <w:rPr>
                <w:rFonts w:hint="eastAsia" w:ascii="宋体" w:hAnsi="宋体"/>
                <w:sz w:val="21"/>
                <w:highlight w:val="none"/>
              </w:rPr>
              <w:t>1</w:t>
            </w:r>
          </w:p>
        </w:tc>
        <w:tc>
          <w:tcPr>
            <w:tcW w:w="5447" w:type="dxa"/>
            <w:vAlign w:val="center"/>
          </w:tcPr>
          <w:p w14:paraId="223F2EE7">
            <w:pPr>
              <w:spacing w:line="0" w:lineRule="atLeast"/>
              <w:rPr>
                <w:rFonts w:ascii="宋体" w:hAnsi="宋体"/>
                <w:szCs w:val="24"/>
                <w:highlight w:val="none"/>
              </w:rPr>
            </w:pPr>
            <w:r>
              <w:rPr>
                <w:rFonts w:hint="eastAsia" w:ascii="宋体" w:hAnsi="宋体"/>
                <w:szCs w:val="24"/>
                <w:highlight w:val="none"/>
              </w:rPr>
              <w:t>报价未超预算</w:t>
            </w:r>
          </w:p>
        </w:tc>
        <w:tc>
          <w:tcPr>
            <w:tcW w:w="1680" w:type="dxa"/>
            <w:vAlign w:val="center"/>
          </w:tcPr>
          <w:p w14:paraId="018F9C19">
            <w:pPr>
              <w:spacing w:line="240" w:lineRule="auto"/>
              <w:rPr>
                <w:rFonts w:ascii="宋体" w:hAnsi="宋体"/>
                <w:sz w:val="21"/>
                <w:highlight w:val="none"/>
              </w:rPr>
            </w:pPr>
          </w:p>
        </w:tc>
        <w:tc>
          <w:tcPr>
            <w:tcW w:w="1308" w:type="dxa"/>
            <w:vAlign w:val="center"/>
          </w:tcPr>
          <w:p w14:paraId="1E8BFDB3">
            <w:pPr>
              <w:spacing w:line="240" w:lineRule="auto"/>
              <w:rPr>
                <w:rFonts w:ascii="宋体" w:hAnsi="宋体"/>
                <w:sz w:val="21"/>
                <w:highlight w:val="none"/>
              </w:rPr>
            </w:pPr>
          </w:p>
        </w:tc>
      </w:tr>
      <w:tr w14:paraId="12B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1843CE26">
            <w:pPr>
              <w:spacing w:line="240" w:lineRule="auto"/>
              <w:jc w:val="center"/>
              <w:rPr>
                <w:rFonts w:ascii="宋体" w:hAnsi="宋体"/>
                <w:sz w:val="21"/>
                <w:highlight w:val="none"/>
              </w:rPr>
            </w:pPr>
            <w:r>
              <w:rPr>
                <w:rFonts w:hint="eastAsia" w:ascii="宋体" w:hAnsi="宋体"/>
                <w:sz w:val="21"/>
                <w:highlight w:val="none"/>
              </w:rPr>
              <w:t>2</w:t>
            </w:r>
          </w:p>
        </w:tc>
        <w:tc>
          <w:tcPr>
            <w:tcW w:w="5447" w:type="dxa"/>
            <w:vAlign w:val="center"/>
          </w:tcPr>
          <w:p w14:paraId="0844A4F7">
            <w:pPr>
              <w:spacing w:line="0" w:lineRule="atLeast"/>
              <w:rPr>
                <w:rFonts w:ascii="宋体" w:hAnsi="宋体"/>
                <w:szCs w:val="24"/>
                <w:highlight w:val="none"/>
              </w:rPr>
            </w:pPr>
            <w:r>
              <w:rPr>
                <w:rFonts w:hint="eastAsia" w:ascii="宋体" w:hAnsi="宋体"/>
                <w:szCs w:val="24"/>
                <w:highlight w:val="none"/>
              </w:rPr>
              <w:t>按照磋商文件规定要求签署、盖章</w:t>
            </w:r>
          </w:p>
        </w:tc>
        <w:tc>
          <w:tcPr>
            <w:tcW w:w="1680" w:type="dxa"/>
            <w:vAlign w:val="center"/>
          </w:tcPr>
          <w:p w14:paraId="4BD34640">
            <w:pPr>
              <w:spacing w:line="240" w:lineRule="auto"/>
              <w:rPr>
                <w:rFonts w:ascii="宋体" w:hAnsi="宋体"/>
                <w:sz w:val="21"/>
                <w:highlight w:val="none"/>
              </w:rPr>
            </w:pPr>
          </w:p>
        </w:tc>
        <w:tc>
          <w:tcPr>
            <w:tcW w:w="1308" w:type="dxa"/>
            <w:vAlign w:val="center"/>
          </w:tcPr>
          <w:p w14:paraId="2EBD45DC">
            <w:pPr>
              <w:spacing w:line="240" w:lineRule="auto"/>
              <w:rPr>
                <w:rFonts w:ascii="宋体" w:hAnsi="宋体"/>
                <w:sz w:val="21"/>
                <w:highlight w:val="none"/>
              </w:rPr>
            </w:pPr>
          </w:p>
        </w:tc>
      </w:tr>
      <w:tr w14:paraId="505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0001D0E7">
            <w:pPr>
              <w:spacing w:line="240" w:lineRule="auto"/>
              <w:jc w:val="center"/>
              <w:rPr>
                <w:rFonts w:ascii="宋体" w:hAnsi="宋体"/>
                <w:sz w:val="21"/>
                <w:highlight w:val="none"/>
              </w:rPr>
            </w:pPr>
            <w:r>
              <w:rPr>
                <w:rFonts w:hint="eastAsia" w:ascii="宋体" w:hAnsi="宋体"/>
                <w:sz w:val="21"/>
                <w:highlight w:val="none"/>
              </w:rPr>
              <w:t>3</w:t>
            </w:r>
          </w:p>
        </w:tc>
        <w:tc>
          <w:tcPr>
            <w:tcW w:w="5447" w:type="dxa"/>
            <w:vAlign w:val="center"/>
          </w:tcPr>
          <w:p w14:paraId="49A154D9">
            <w:pPr>
              <w:spacing w:line="0" w:lineRule="atLeast"/>
              <w:rPr>
                <w:rFonts w:ascii="宋体" w:hAnsi="宋体"/>
                <w:szCs w:val="24"/>
                <w:highlight w:val="none"/>
              </w:rPr>
            </w:pPr>
            <w:r>
              <w:rPr>
                <w:rFonts w:hint="eastAsia" w:ascii="宋体" w:hAnsi="宋体"/>
                <w:szCs w:val="24"/>
                <w:highlight w:val="none"/>
              </w:rPr>
              <w:t>供应商在报价时未采用选择性报价</w:t>
            </w:r>
          </w:p>
          <w:p w14:paraId="202CB92A">
            <w:pPr>
              <w:spacing w:line="0" w:lineRule="atLeast"/>
              <w:rPr>
                <w:rFonts w:ascii="宋体" w:hAnsi="宋体"/>
                <w:szCs w:val="24"/>
                <w:highlight w:val="none"/>
              </w:rPr>
            </w:pPr>
          </w:p>
        </w:tc>
        <w:tc>
          <w:tcPr>
            <w:tcW w:w="1680" w:type="dxa"/>
            <w:vAlign w:val="center"/>
          </w:tcPr>
          <w:p w14:paraId="2E7C088D">
            <w:pPr>
              <w:spacing w:line="240" w:lineRule="auto"/>
              <w:rPr>
                <w:rFonts w:ascii="宋体" w:hAnsi="宋体"/>
                <w:sz w:val="21"/>
                <w:highlight w:val="none"/>
              </w:rPr>
            </w:pPr>
          </w:p>
        </w:tc>
        <w:tc>
          <w:tcPr>
            <w:tcW w:w="1308" w:type="dxa"/>
            <w:vAlign w:val="center"/>
          </w:tcPr>
          <w:p w14:paraId="7656FE10">
            <w:pPr>
              <w:spacing w:line="240" w:lineRule="auto"/>
              <w:rPr>
                <w:rFonts w:ascii="宋体" w:hAnsi="宋体"/>
                <w:sz w:val="21"/>
                <w:highlight w:val="none"/>
              </w:rPr>
            </w:pPr>
          </w:p>
        </w:tc>
      </w:tr>
      <w:tr w14:paraId="493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0500DB26">
            <w:pPr>
              <w:spacing w:line="240" w:lineRule="auto"/>
              <w:jc w:val="center"/>
              <w:rPr>
                <w:rFonts w:ascii="宋体" w:hAnsi="宋体"/>
                <w:sz w:val="21"/>
                <w:highlight w:val="none"/>
              </w:rPr>
            </w:pPr>
            <w:r>
              <w:rPr>
                <w:rFonts w:hint="eastAsia" w:ascii="宋体" w:hAnsi="宋体"/>
                <w:sz w:val="21"/>
                <w:highlight w:val="none"/>
              </w:rPr>
              <w:t>4</w:t>
            </w:r>
          </w:p>
        </w:tc>
        <w:tc>
          <w:tcPr>
            <w:tcW w:w="5447" w:type="dxa"/>
            <w:vAlign w:val="center"/>
          </w:tcPr>
          <w:p w14:paraId="4344C8F3">
            <w:pPr>
              <w:spacing w:line="0" w:lineRule="atLeast"/>
              <w:rPr>
                <w:rFonts w:ascii="宋体" w:hAnsi="宋体"/>
                <w:szCs w:val="24"/>
                <w:highlight w:val="none"/>
              </w:rPr>
            </w:pPr>
            <w:r>
              <w:rPr>
                <w:rFonts w:hint="eastAsia" w:ascii="宋体" w:hAnsi="宋体"/>
                <w:szCs w:val="24"/>
                <w:highlight w:val="none"/>
              </w:rPr>
              <w:t>符合磋商文件中规定的实质性要求和条件的（本磋商文件中斜体且有下划线部分为实质性要求和条件）</w:t>
            </w:r>
          </w:p>
        </w:tc>
        <w:tc>
          <w:tcPr>
            <w:tcW w:w="1680" w:type="dxa"/>
            <w:vAlign w:val="center"/>
          </w:tcPr>
          <w:p w14:paraId="1E0E478E">
            <w:pPr>
              <w:spacing w:line="240" w:lineRule="auto"/>
              <w:rPr>
                <w:rFonts w:ascii="宋体" w:hAnsi="宋体"/>
                <w:sz w:val="21"/>
                <w:highlight w:val="none"/>
              </w:rPr>
            </w:pPr>
          </w:p>
        </w:tc>
        <w:tc>
          <w:tcPr>
            <w:tcW w:w="1308" w:type="dxa"/>
            <w:vAlign w:val="center"/>
          </w:tcPr>
          <w:p w14:paraId="58034112">
            <w:pPr>
              <w:spacing w:line="240" w:lineRule="auto"/>
              <w:rPr>
                <w:rFonts w:ascii="宋体" w:hAnsi="宋体"/>
                <w:sz w:val="21"/>
                <w:highlight w:val="none"/>
              </w:rPr>
            </w:pPr>
          </w:p>
        </w:tc>
      </w:tr>
      <w:tr w14:paraId="5369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28721AEE">
            <w:pPr>
              <w:spacing w:line="240" w:lineRule="auto"/>
              <w:jc w:val="center"/>
              <w:rPr>
                <w:rFonts w:ascii="宋体" w:hAnsi="宋体"/>
                <w:sz w:val="21"/>
                <w:highlight w:val="none"/>
              </w:rPr>
            </w:pPr>
            <w:r>
              <w:rPr>
                <w:rFonts w:hint="eastAsia" w:ascii="宋体" w:hAnsi="宋体"/>
                <w:sz w:val="21"/>
                <w:highlight w:val="none"/>
              </w:rPr>
              <w:t>5</w:t>
            </w:r>
          </w:p>
        </w:tc>
        <w:tc>
          <w:tcPr>
            <w:tcW w:w="5447" w:type="dxa"/>
            <w:vAlign w:val="center"/>
          </w:tcPr>
          <w:p w14:paraId="50199D47">
            <w:pPr>
              <w:spacing w:line="0" w:lineRule="atLeast"/>
              <w:rPr>
                <w:rFonts w:ascii="宋体" w:hAnsi="宋体"/>
                <w:szCs w:val="24"/>
                <w:highlight w:val="none"/>
              </w:rPr>
            </w:pPr>
            <w:r>
              <w:rPr>
                <w:rFonts w:hint="eastAsia" w:ascii="宋体" w:hAnsi="宋体"/>
                <w:szCs w:val="24"/>
                <w:highlight w:val="none"/>
              </w:rPr>
              <w:t>未含有采购人不能接受的附加条件的</w:t>
            </w:r>
          </w:p>
        </w:tc>
        <w:tc>
          <w:tcPr>
            <w:tcW w:w="1680" w:type="dxa"/>
            <w:vAlign w:val="center"/>
          </w:tcPr>
          <w:p w14:paraId="45904C24">
            <w:pPr>
              <w:spacing w:line="240" w:lineRule="auto"/>
              <w:rPr>
                <w:rFonts w:ascii="宋体" w:hAnsi="宋体"/>
                <w:sz w:val="21"/>
                <w:highlight w:val="none"/>
              </w:rPr>
            </w:pPr>
          </w:p>
        </w:tc>
        <w:tc>
          <w:tcPr>
            <w:tcW w:w="1308" w:type="dxa"/>
            <w:vAlign w:val="center"/>
          </w:tcPr>
          <w:p w14:paraId="0FD766C8">
            <w:pPr>
              <w:spacing w:line="240" w:lineRule="auto"/>
              <w:rPr>
                <w:rFonts w:ascii="宋体" w:hAnsi="宋体"/>
                <w:sz w:val="21"/>
                <w:highlight w:val="none"/>
              </w:rPr>
            </w:pPr>
          </w:p>
        </w:tc>
      </w:tr>
    </w:tbl>
    <w:p w14:paraId="22C0C781">
      <w:pPr>
        <w:snapToGrid w:val="0"/>
        <w:spacing w:before="50" w:after="50" w:line="240" w:lineRule="auto"/>
        <w:rPr>
          <w:rFonts w:ascii="宋体" w:hAnsi="宋体"/>
          <w:sz w:val="32"/>
          <w:szCs w:val="32"/>
          <w:highlight w:val="none"/>
        </w:rPr>
      </w:pPr>
    </w:p>
    <w:p w14:paraId="60544A00">
      <w:pPr>
        <w:snapToGrid w:val="0"/>
        <w:spacing w:before="50" w:after="50" w:line="240" w:lineRule="auto"/>
        <w:rPr>
          <w:rFonts w:ascii="宋体" w:hAnsi="宋体"/>
          <w:sz w:val="44"/>
          <w:highlight w:val="none"/>
        </w:rPr>
      </w:pPr>
      <w:r>
        <w:rPr>
          <w:rFonts w:hint="eastAsia" w:ascii="宋体" w:hAnsi="宋体"/>
          <w:sz w:val="44"/>
          <w:highlight w:val="none"/>
        </w:rPr>
        <w:t xml:space="preserve"> </w:t>
      </w:r>
    </w:p>
    <w:p w14:paraId="4A75864E">
      <w:pPr>
        <w:spacing w:line="240" w:lineRule="auto"/>
        <w:jc w:val="center"/>
        <w:rPr>
          <w:rFonts w:ascii="宋体" w:hAnsi="宋体"/>
          <w:b/>
          <w:sz w:val="32"/>
          <w:szCs w:val="32"/>
          <w:highlight w:val="none"/>
        </w:rPr>
      </w:pPr>
      <w:r>
        <w:rPr>
          <w:highlight w:val="none"/>
        </w:rPr>
        <w:br w:type="page"/>
      </w:r>
      <w:r>
        <w:rPr>
          <w:rFonts w:hint="eastAsia" w:ascii="宋体" w:hAnsi="宋体"/>
          <w:b/>
          <w:sz w:val="32"/>
          <w:szCs w:val="32"/>
          <w:highlight w:val="none"/>
        </w:rPr>
        <w:t>三、非实质性响应对照表</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5B30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9D576AB">
            <w:pPr>
              <w:snapToGrid w:val="0"/>
              <w:spacing w:line="240" w:lineRule="atLeast"/>
              <w:jc w:val="center"/>
              <w:rPr>
                <w:rFonts w:ascii="宋体" w:hAnsi="宋体"/>
                <w:b/>
                <w:sz w:val="21"/>
                <w:highlight w:val="none"/>
              </w:rPr>
            </w:pPr>
            <w:r>
              <w:rPr>
                <w:rFonts w:hint="eastAsia" w:ascii="宋体" w:hAnsi="宋体"/>
                <w:b/>
                <w:sz w:val="21"/>
                <w:highlight w:val="none"/>
              </w:rPr>
              <w:t>序号</w:t>
            </w:r>
          </w:p>
        </w:tc>
        <w:tc>
          <w:tcPr>
            <w:tcW w:w="5447" w:type="dxa"/>
            <w:vAlign w:val="center"/>
          </w:tcPr>
          <w:p w14:paraId="1B32C066">
            <w:pPr>
              <w:snapToGrid w:val="0"/>
              <w:spacing w:line="240" w:lineRule="atLeast"/>
              <w:jc w:val="center"/>
              <w:rPr>
                <w:rFonts w:ascii="宋体" w:hAnsi="宋体"/>
                <w:b/>
                <w:sz w:val="21"/>
                <w:highlight w:val="none"/>
              </w:rPr>
            </w:pPr>
            <w:r>
              <w:rPr>
                <w:rFonts w:hint="eastAsia" w:ascii="宋体" w:hAnsi="宋体"/>
                <w:b/>
                <w:sz w:val="21"/>
                <w:highlight w:val="none"/>
              </w:rPr>
              <w:t>非实质性响应内容</w:t>
            </w:r>
          </w:p>
        </w:tc>
        <w:tc>
          <w:tcPr>
            <w:tcW w:w="1680" w:type="dxa"/>
            <w:vAlign w:val="center"/>
          </w:tcPr>
          <w:p w14:paraId="41329313">
            <w:pPr>
              <w:snapToGrid w:val="0"/>
              <w:spacing w:line="240" w:lineRule="atLeast"/>
              <w:jc w:val="center"/>
              <w:rPr>
                <w:rFonts w:ascii="宋体" w:hAnsi="宋体"/>
                <w:b/>
                <w:sz w:val="21"/>
                <w:highlight w:val="none"/>
              </w:rPr>
            </w:pPr>
            <w:r>
              <w:rPr>
                <w:rFonts w:hint="eastAsia" w:ascii="宋体" w:hAnsi="宋体"/>
                <w:b/>
                <w:sz w:val="21"/>
                <w:highlight w:val="none"/>
              </w:rPr>
              <w:t>是否响应</w:t>
            </w:r>
          </w:p>
          <w:p w14:paraId="6F76EC1A">
            <w:pPr>
              <w:snapToGrid w:val="0"/>
              <w:spacing w:line="240" w:lineRule="atLeast"/>
              <w:jc w:val="center"/>
              <w:rPr>
                <w:rFonts w:ascii="宋体" w:hAnsi="宋体"/>
                <w:b/>
                <w:sz w:val="21"/>
                <w:highlight w:val="none"/>
              </w:rPr>
            </w:pPr>
            <w:r>
              <w:rPr>
                <w:rFonts w:hint="eastAsia" w:ascii="宋体" w:hAnsi="宋体"/>
                <w:b/>
                <w:sz w:val="21"/>
                <w:highlight w:val="none"/>
              </w:rPr>
              <w:t>（填是或者否）</w:t>
            </w:r>
          </w:p>
        </w:tc>
        <w:tc>
          <w:tcPr>
            <w:tcW w:w="1308" w:type="dxa"/>
            <w:vAlign w:val="center"/>
          </w:tcPr>
          <w:p w14:paraId="086791AB">
            <w:pPr>
              <w:snapToGrid w:val="0"/>
              <w:spacing w:line="240" w:lineRule="atLeast"/>
              <w:jc w:val="center"/>
              <w:rPr>
                <w:rFonts w:ascii="宋体" w:hAnsi="宋体"/>
                <w:b/>
                <w:sz w:val="21"/>
                <w:highlight w:val="none"/>
              </w:rPr>
            </w:pPr>
            <w:r>
              <w:rPr>
                <w:rFonts w:hint="eastAsia" w:ascii="宋体" w:hAnsi="宋体"/>
                <w:b/>
                <w:sz w:val="21"/>
                <w:highlight w:val="none"/>
              </w:rPr>
              <w:t>上传证明材料的图片（按顺序附到此对照表后面）</w:t>
            </w:r>
          </w:p>
        </w:tc>
      </w:tr>
      <w:tr w14:paraId="1FC5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4297D6B">
            <w:pPr>
              <w:spacing w:line="240" w:lineRule="auto"/>
              <w:jc w:val="center"/>
              <w:rPr>
                <w:rFonts w:ascii="宋体" w:hAnsi="宋体"/>
                <w:b/>
                <w:sz w:val="21"/>
                <w:highlight w:val="none"/>
              </w:rPr>
            </w:pPr>
            <w:r>
              <w:rPr>
                <w:rFonts w:hint="eastAsia" w:ascii="宋体" w:hAnsi="宋体"/>
                <w:b/>
                <w:sz w:val="21"/>
                <w:highlight w:val="none"/>
              </w:rPr>
              <w:t>1</w:t>
            </w:r>
          </w:p>
        </w:tc>
        <w:tc>
          <w:tcPr>
            <w:tcW w:w="5447" w:type="dxa"/>
            <w:vAlign w:val="center"/>
          </w:tcPr>
          <w:p w14:paraId="005AC00E">
            <w:pPr>
              <w:spacing w:line="0" w:lineRule="atLeast"/>
              <w:rPr>
                <w:rFonts w:ascii="宋体" w:hAnsi="宋体"/>
                <w:szCs w:val="24"/>
                <w:highlight w:val="none"/>
              </w:rPr>
            </w:pPr>
            <w:r>
              <w:rPr>
                <w:rFonts w:hint="eastAsia" w:ascii="宋体" w:hAnsi="宋体"/>
                <w:szCs w:val="24"/>
                <w:highlight w:val="none"/>
              </w:rPr>
              <w:t>《企业声明函》</w:t>
            </w:r>
          </w:p>
        </w:tc>
        <w:tc>
          <w:tcPr>
            <w:tcW w:w="1680" w:type="dxa"/>
            <w:vAlign w:val="center"/>
          </w:tcPr>
          <w:p w14:paraId="3CEC036B">
            <w:pPr>
              <w:spacing w:line="240" w:lineRule="auto"/>
              <w:rPr>
                <w:rFonts w:ascii="宋体" w:hAnsi="宋体"/>
                <w:b/>
                <w:sz w:val="21"/>
                <w:highlight w:val="none"/>
              </w:rPr>
            </w:pPr>
          </w:p>
        </w:tc>
        <w:tc>
          <w:tcPr>
            <w:tcW w:w="1308" w:type="dxa"/>
            <w:vAlign w:val="center"/>
          </w:tcPr>
          <w:p w14:paraId="273BD84C">
            <w:pPr>
              <w:spacing w:line="240" w:lineRule="auto"/>
              <w:rPr>
                <w:rFonts w:ascii="宋体" w:hAnsi="宋体"/>
                <w:b/>
                <w:sz w:val="21"/>
                <w:highlight w:val="none"/>
              </w:rPr>
            </w:pPr>
          </w:p>
        </w:tc>
      </w:tr>
      <w:tr w14:paraId="3C4B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3B96069">
            <w:pPr>
              <w:spacing w:line="240" w:lineRule="auto"/>
              <w:jc w:val="center"/>
              <w:rPr>
                <w:rFonts w:ascii="宋体" w:hAnsi="宋体"/>
                <w:sz w:val="21"/>
                <w:highlight w:val="none"/>
              </w:rPr>
            </w:pPr>
            <w:r>
              <w:rPr>
                <w:rFonts w:hint="eastAsia" w:ascii="宋体" w:hAnsi="宋体"/>
                <w:sz w:val="21"/>
                <w:highlight w:val="none"/>
              </w:rPr>
              <w:t>2</w:t>
            </w:r>
          </w:p>
        </w:tc>
        <w:tc>
          <w:tcPr>
            <w:tcW w:w="5447" w:type="dxa"/>
            <w:vAlign w:val="center"/>
          </w:tcPr>
          <w:p w14:paraId="422F9454">
            <w:pPr>
              <w:spacing w:line="0" w:lineRule="atLeast"/>
              <w:rPr>
                <w:rFonts w:ascii="宋体" w:hAnsi="宋体"/>
                <w:szCs w:val="24"/>
                <w:highlight w:val="none"/>
              </w:rPr>
            </w:pPr>
            <w:r>
              <w:rPr>
                <w:rFonts w:hint="eastAsia" w:ascii="宋体" w:hAnsi="宋体"/>
                <w:szCs w:val="24"/>
                <w:highlight w:val="none"/>
              </w:rPr>
              <w:t>《残疾人福利性单位声明函》</w:t>
            </w:r>
          </w:p>
        </w:tc>
        <w:tc>
          <w:tcPr>
            <w:tcW w:w="1680" w:type="dxa"/>
            <w:vAlign w:val="center"/>
          </w:tcPr>
          <w:p w14:paraId="7B2EA18D">
            <w:pPr>
              <w:spacing w:line="240" w:lineRule="auto"/>
              <w:rPr>
                <w:rFonts w:ascii="宋体" w:hAnsi="宋体"/>
                <w:sz w:val="21"/>
                <w:highlight w:val="none"/>
              </w:rPr>
            </w:pPr>
          </w:p>
        </w:tc>
        <w:tc>
          <w:tcPr>
            <w:tcW w:w="1308" w:type="dxa"/>
            <w:vAlign w:val="center"/>
          </w:tcPr>
          <w:p w14:paraId="505720CF">
            <w:pPr>
              <w:spacing w:line="240" w:lineRule="auto"/>
              <w:rPr>
                <w:rFonts w:ascii="宋体" w:hAnsi="宋体"/>
                <w:sz w:val="21"/>
                <w:highlight w:val="none"/>
              </w:rPr>
            </w:pPr>
          </w:p>
        </w:tc>
      </w:tr>
      <w:tr w14:paraId="027D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4B43EB4A">
            <w:pPr>
              <w:spacing w:line="240" w:lineRule="auto"/>
              <w:jc w:val="center"/>
              <w:rPr>
                <w:rFonts w:ascii="宋体" w:hAnsi="宋体"/>
                <w:sz w:val="21"/>
                <w:highlight w:val="none"/>
              </w:rPr>
            </w:pPr>
            <w:r>
              <w:rPr>
                <w:rFonts w:hint="eastAsia" w:ascii="宋体" w:hAnsi="宋体"/>
                <w:sz w:val="21"/>
                <w:highlight w:val="none"/>
              </w:rPr>
              <w:t>3</w:t>
            </w:r>
          </w:p>
        </w:tc>
        <w:tc>
          <w:tcPr>
            <w:tcW w:w="5447" w:type="dxa"/>
            <w:vAlign w:val="center"/>
          </w:tcPr>
          <w:p w14:paraId="29824DC7">
            <w:pPr>
              <w:snapToGrid w:val="0"/>
              <w:spacing w:line="0" w:lineRule="atLeast"/>
              <w:rPr>
                <w:rFonts w:ascii="宋体" w:hAnsi="宋体"/>
                <w:iCs/>
                <w:szCs w:val="24"/>
                <w:highlight w:val="none"/>
              </w:rPr>
            </w:pPr>
            <w:r>
              <w:rPr>
                <w:rFonts w:hint="eastAsia" w:ascii="宋体" w:hAnsi="宋体"/>
                <w:iCs/>
                <w:szCs w:val="24"/>
                <w:highlight w:val="none"/>
              </w:rPr>
              <w:t>……</w:t>
            </w:r>
          </w:p>
        </w:tc>
        <w:tc>
          <w:tcPr>
            <w:tcW w:w="1680" w:type="dxa"/>
            <w:vAlign w:val="center"/>
          </w:tcPr>
          <w:p w14:paraId="3E13F5D8">
            <w:pPr>
              <w:spacing w:line="240" w:lineRule="auto"/>
              <w:rPr>
                <w:rFonts w:ascii="宋体" w:hAnsi="宋体"/>
                <w:sz w:val="21"/>
                <w:highlight w:val="none"/>
              </w:rPr>
            </w:pPr>
          </w:p>
        </w:tc>
        <w:tc>
          <w:tcPr>
            <w:tcW w:w="1308" w:type="dxa"/>
            <w:vAlign w:val="center"/>
          </w:tcPr>
          <w:p w14:paraId="312244F9">
            <w:pPr>
              <w:spacing w:line="240" w:lineRule="auto"/>
              <w:rPr>
                <w:rFonts w:ascii="宋体" w:hAnsi="宋体"/>
                <w:sz w:val="21"/>
                <w:highlight w:val="none"/>
              </w:rPr>
            </w:pPr>
          </w:p>
        </w:tc>
      </w:tr>
    </w:tbl>
    <w:p w14:paraId="135B8A73">
      <w:pPr>
        <w:pStyle w:val="15"/>
        <w:ind w:firstLine="0"/>
        <w:jc w:val="center"/>
        <w:rPr>
          <w:rFonts w:ascii="宋体" w:hAnsi="宋体"/>
          <w:b/>
          <w:bCs/>
          <w:sz w:val="30"/>
          <w:szCs w:val="30"/>
          <w:highlight w:val="none"/>
        </w:rPr>
        <w:sectPr>
          <w:pgSz w:w="11906" w:h="16838"/>
          <w:pgMar w:top="1418" w:right="1588" w:bottom="1418" w:left="1365" w:header="851" w:footer="907" w:gutter="0"/>
          <w:cols w:space="720" w:num="1"/>
          <w:titlePg/>
          <w:docGrid w:type="lines" w:linePitch="290" w:charSpace="0"/>
        </w:sectPr>
      </w:pPr>
    </w:p>
    <w:p w14:paraId="002367AB">
      <w:pPr>
        <w:pStyle w:val="6"/>
        <w:rPr>
          <w:rFonts w:ascii="宋体" w:hAnsi="宋体"/>
          <w:highlight w:val="none"/>
        </w:rPr>
      </w:pPr>
      <w:r>
        <w:rPr>
          <w:rFonts w:hint="eastAsia" w:ascii="宋体" w:hAnsi="宋体"/>
          <w:highlight w:val="none"/>
        </w:rPr>
        <w:t>四、投标产品配置及分项报价表</w:t>
      </w:r>
    </w:p>
    <w:tbl>
      <w:tblPr>
        <w:tblStyle w:val="50"/>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14:paraId="1642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044" w:type="dxa"/>
            <w:vAlign w:val="center"/>
          </w:tcPr>
          <w:p w14:paraId="30800550">
            <w:pPr>
              <w:jc w:val="center"/>
              <w:rPr>
                <w:rFonts w:ascii="宋体" w:hAnsi="宋体"/>
                <w:szCs w:val="24"/>
                <w:highlight w:val="none"/>
              </w:rPr>
            </w:pPr>
            <w:r>
              <w:rPr>
                <w:rFonts w:hint="eastAsia" w:ascii="宋体" w:hAnsi="宋体"/>
                <w:szCs w:val="24"/>
                <w:highlight w:val="none"/>
              </w:rPr>
              <w:t>序号</w:t>
            </w:r>
          </w:p>
        </w:tc>
        <w:tc>
          <w:tcPr>
            <w:tcW w:w="4032" w:type="dxa"/>
            <w:vAlign w:val="center"/>
          </w:tcPr>
          <w:p w14:paraId="27E53B20">
            <w:pPr>
              <w:jc w:val="center"/>
              <w:rPr>
                <w:rFonts w:ascii="宋体" w:hAnsi="宋体"/>
                <w:szCs w:val="24"/>
                <w:highlight w:val="none"/>
              </w:rPr>
            </w:pPr>
            <w:r>
              <w:rPr>
                <w:rFonts w:hint="eastAsia" w:ascii="宋体" w:hAnsi="宋体"/>
                <w:szCs w:val="24"/>
                <w:highlight w:val="none"/>
              </w:rPr>
              <w:t>标的物名称</w:t>
            </w:r>
          </w:p>
        </w:tc>
        <w:tc>
          <w:tcPr>
            <w:tcW w:w="3217" w:type="dxa"/>
            <w:vAlign w:val="center"/>
          </w:tcPr>
          <w:p w14:paraId="335B8DCF">
            <w:pPr>
              <w:jc w:val="center"/>
              <w:rPr>
                <w:rFonts w:ascii="宋体" w:hAnsi="宋体"/>
                <w:szCs w:val="24"/>
                <w:highlight w:val="none"/>
              </w:rPr>
            </w:pPr>
            <w:r>
              <w:rPr>
                <w:rFonts w:hint="eastAsia" w:ascii="宋体" w:hAnsi="宋体"/>
                <w:szCs w:val="24"/>
                <w:highlight w:val="none"/>
              </w:rPr>
              <w:t>品牌、规格、型号</w:t>
            </w:r>
          </w:p>
        </w:tc>
        <w:tc>
          <w:tcPr>
            <w:tcW w:w="993" w:type="dxa"/>
            <w:vAlign w:val="center"/>
          </w:tcPr>
          <w:p w14:paraId="5194672A">
            <w:pPr>
              <w:jc w:val="center"/>
              <w:rPr>
                <w:rFonts w:ascii="宋体" w:hAnsi="宋体"/>
                <w:szCs w:val="24"/>
                <w:highlight w:val="none"/>
              </w:rPr>
            </w:pPr>
            <w:r>
              <w:rPr>
                <w:rFonts w:hint="eastAsia" w:ascii="宋体" w:hAnsi="宋体"/>
                <w:szCs w:val="24"/>
                <w:highlight w:val="none"/>
              </w:rPr>
              <w:t>数量</w:t>
            </w:r>
          </w:p>
        </w:tc>
        <w:tc>
          <w:tcPr>
            <w:tcW w:w="708" w:type="dxa"/>
          </w:tcPr>
          <w:p w14:paraId="120C6222">
            <w:pPr>
              <w:jc w:val="center"/>
              <w:rPr>
                <w:rFonts w:ascii="宋体" w:hAnsi="宋体"/>
                <w:szCs w:val="24"/>
                <w:highlight w:val="none"/>
              </w:rPr>
            </w:pPr>
            <w:r>
              <w:rPr>
                <w:rFonts w:hint="eastAsia" w:ascii="宋体" w:hAnsi="宋体"/>
                <w:szCs w:val="24"/>
                <w:highlight w:val="none"/>
              </w:rPr>
              <w:t>单位</w:t>
            </w:r>
          </w:p>
        </w:tc>
        <w:tc>
          <w:tcPr>
            <w:tcW w:w="993" w:type="dxa"/>
            <w:vAlign w:val="center"/>
          </w:tcPr>
          <w:p w14:paraId="33704296">
            <w:pPr>
              <w:jc w:val="center"/>
              <w:rPr>
                <w:rFonts w:ascii="宋体" w:hAnsi="宋体"/>
                <w:szCs w:val="24"/>
                <w:highlight w:val="none"/>
              </w:rPr>
            </w:pPr>
            <w:r>
              <w:rPr>
                <w:rFonts w:hint="eastAsia" w:ascii="宋体" w:hAnsi="宋体"/>
                <w:szCs w:val="24"/>
                <w:highlight w:val="none"/>
              </w:rPr>
              <w:t>单价</w:t>
            </w:r>
          </w:p>
        </w:tc>
        <w:tc>
          <w:tcPr>
            <w:tcW w:w="1134" w:type="dxa"/>
            <w:vAlign w:val="center"/>
          </w:tcPr>
          <w:p w14:paraId="6F7EF15B">
            <w:pPr>
              <w:jc w:val="center"/>
              <w:rPr>
                <w:rFonts w:ascii="宋体" w:hAnsi="宋体"/>
                <w:szCs w:val="24"/>
                <w:highlight w:val="none"/>
              </w:rPr>
            </w:pPr>
            <w:r>
              <w:rPr>
                <w:rFonts w:hint="eastAsia" w:ascii="宋体" w:hAnsi="宋体"/>
                <w:szCs w:val="24"/>
                <w:highlight w:val="none"/>
              </w:rPr>
              <w:t>交付期/服务期</w:t>
            </w:r>
          </w:p>
        </w:tc>
        <w:tc>
          <w:tcPr>
            <w:tcW w:w="1134" w:type="dxa"/>
            <w:vAlign w:val="center"/>
          </w:tcPr>
          <w:p w14:paraId="481CACF0">
            <w:pPr>
              <w:jc w:val="center"/>
              <w:rPr>
                <w:rFonts w:ascii="宋体" w:hAnsi="宋体"/>
                <w:szCs w:val="24"/>
                <w:highlight w:val="none"/>
              </w:rPr>
            </w:pPr>
            <w:r>
              <w:rPr>
                <w:rFonts w:hint="eastAsia" w:ascii="宋体" w:hAnsi="宋体"/>
                <w:szCs w:val="24"/>
                <w:highlight w:val="none"/>
              </w:rPr>
              <w:t>产地</w:t>
            </w:r>
          </w:p>
        </w:tc>
        <w:tc>
          <w:tcPr>
            <w:tcW w:w="1387" w:type="dxa"/>
            <w:vAlign w:val="center"/>
          </w:tcPr>
          <w:p w14:paraId="2B297948">
            <w:pPr>
              <w:jc w:val="center"/>
              <w:rPr>
                <w:rFonts w:ascii="宋体" w:hAnsi="宋体"/>
                <w:szCs w:val="24"/>
                <w:highlight w:val="none"/>
              </w:rPr>
            </w:pPr>
            <w:r>
              <w:rPr>
                <w:rFonts w:hint="eastAsia" w:ascii="宋体" w:hAnsi="宋体"/>
                <w:szCs w:val="24"/>
                <w:highlight w:val="none"/>
              </w:rPr>
              <w:t>总价</w:t>
            </w:r>
          </w:p>
        </w:tc>
      </w:tr>
      <w:tr w14:paraId="27C5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16EFF360">
            <w:pPr>
              <w:jc w:val="center"/>
              <w:rPr>
                <w:rFonts w:ascii="宋体" w:hAnsi="宋体"/>
                <w:szCs w:val="24"/>
                <w:highlight w:val="none"/>
              </w:rPr>
            </w:pPr>
            <w:r>
              <w:rPr>
                <w:rFonts w:hint="eastAsia" w:ascii="宋体" w:hAnsi="宋体"/>
                <w:szCs w:val="24"/>
                <w:highlight w:val="none"/>
              </w:rPr>
              <w:t>1</w:t>
            </w:r>
          </w:p>
        </w:tc>
        <w:tc>
          <w:tcPr>
            <w:tcW w:w="4032" w:type="dxa"/>
            <w:vAlign w:val="center"/>
          </w:tcPr>
          <w:p w14:paraId="5F9EB538">
            <w:pPr>
              <w:rPr>
                <w:rFonts w:ascii="宋体" w:hAnsi="宋体"/>
                <w:szCs w:val="24"/>
                <w:highlight w:val="none"/>
              </w:rPr>
            </w:pPr>
          </w:p>
        </w:tc>
        <w:tc>
          <w:tcPr>
            <w:tcW w:w="3217" w:type="dxa"/>
            <w:vAlign w:val="center"/>
          </w:tcPr>
          <w:p w14:paraId="37D83B9F">
            <w:pPr>
              <w:jc w:val="center"/>
              <w:rPr>
                <w:rFonts w:ascii="宋体" w:hAnsi="宋体"/>
                <w:szCs w:val="24"/>
                <w:highlight w:val="none"/>
              </w:rPr>
            </w:pPr>
          </w:p>
        </w:tc>
        <w:tc>
          <w:tcPr>
            <w:tcW w:w="993" w:type="dxa"/>
            <w:vAlign w:val="center"/>
          </w:tcPr>
          <w:p w14:paraId="3B9455F6">
            <w:pPr>
              <w:rPr>
                <w:rFonts w:ascii="宋体" w:hAnsi="宋体"/>
                <w:szCs w:val="24"/>
                <w:highlight w:val="none"/>
              </w:rPr>
            </w:pPr>
          </w:p>
        </w:tc>
        <w:tc>
          <w:tcPr>
            <w:tcW w:w="708" w:type="dxa"/>
          </w:tcPr>
          <w:p w14:paraId="067FF6B1">
            <w:pPr>
              <w:rPr>
                <w:rFonts w:ascii="宋体" w:hAnsi="宋体"/>
                <w:szCs w:val="24"/>
                <w:highlight w:val="none"/>
              </w:rPr>
            </w:pPr>
          </w:p>
        </w:tc>
        <w:tc>
          <w:tcPr>
            <w:tcW w:w="993" w:type="dxa"/>
            <w:vAlign w:val="center"/>
          </w:tcPr>
          <w:p w14:paraId="5930D94B">
            <w:pPr>
              <w:rPr>
                <w:rFonts w:ascii="宋体" w:hAnsi="宋体"/>
                <w:szCs w:val="24"/>
                <w:highlight w:val="none"/>
              </w:rPr>
            </w:pPr>
          </w:p>
        </w:tc>
        <w:tc>
          <w:tcPr>
            <w:tcW w:w="1134" w:type="dxa"/>
            <w:vAlign w:val="center"/>
          </w:tcPr>
          <w:p w14:paraId="6080DB24">
            <w:pPr>
              <w:rPr>
                <w:rFonts w:ascii="宋体" w:hAnsi="宋体"/>
                <w:szCs w:val="24"/>
                <w:highlight w:val="none"/>
              </w:rPr>
            </w:pPr>
          </w:p>
        </w:tc>
        <w:tc>
          <w:tcPr>
            <w:tcW w:w="1134" w:type="dxa"/>
            <w:vAlign w:val="center"/>
          </w:tcPr>
          <w:p w14:paraId="26CC8567">
            <w:pPr>
              <w:rPr>
                <w:rFonts w:ascii="宋体" w:hAnsi="宋体"/>
                <w:szCs w:val="24"/>
                <w:highlight w:val="none"/>
              </w:rPr>
            </w:pPr>
          </w:p>
        </w:tc>
        <w:tc>
          <w:tcPr>
            <w:tcW w:w="1387" w:type="dxa"/>
            <w:vAlign w:val="center"/>
          </w:tcPr>
          <w:p w14:paraId="7D932AD8">
            <w:pPr>
              <w:rPr>
                <w:rFonts w:ascii="宋体" w:hAnsi="宋体"/>
                <w:szCs w:val="24"/>
                <w:highlight w:val="none"/>
              </w:rPr>
            </w:pPr>
          </w:p>
        </w:tc>
      </w:tr>
      <w:tr w14:paraId="35C2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1847BC74">
            <w:pPr>
              <w:jc w:val="center"/>
              <w:rPr>
                <w:rFonts w:ascii="宋体" w:hAnsi="宋体"/>
                <w:szCs w:val="24"/>
                <w:highlight w:val="none"/>
              </w:rPr>
            </w:pPr>
            <w:r>
              <w:rPr>
                <w:rFonts w:hint="eastAsia" w:ascii="宋体" w:hAnsi="宋体"/>
                <w:szCs w:val="24"/>
                <w:highlight w:val="none"/>
              </w:rPr>
              <w:t>2</w:t>
            </w:r>
          </w:p>
        </w:tc>
        <w:tc>
          <w:tcPr>
            <w:tcW w:w="4032" w:type="dxa"/>
            <w:vAlign w:val="center"/>
          </w:tcPr>
          <w:p w14:paraId="59CDBDDF">
            <w:pPr>
              <w:rPr>
                <w:rFonts w:ascii="宋体" w:hAnsi="宋体"/>
                <w:szCs w:val="24"/>
                <w:highlight w:val="none"/>
              </w:rPr>
            </w:pPr>
          </w:p>
        </w:tc>
        <w:tc>
          <w:tcPr>
            <w:tcW w:w="3217" w:type="dxa"/>
            <w:vAlign w:val="center"/>
          </w:tcPr>
          <w:p w14:paraId="0527FFB7">
            <w:pPr>
              <w:jc w:val="center"/>
              <w:rPr>
                <w:rFonts w:ascii="宋体" w:hAnsi="宋体"/>
                <w:szCs w:val="24"/>
                <w:highlight w:val="none"/>
              </w:rPr>
            </w:pPr>
          </w:p>
        </w:tc>
        <w:tc>
          <w:tcPr>
            <w:tcW w:w="993" w:type="dxa"/>
            <w:vAlign w:val="center"/>
          </w:tcPr>
          <w:p w14:paraId="2C9D6193">
            <w:pPr>
              <w:rPr>
                <w:rFonts w:ascii="宋体" w:hAnsi="宋体"/>
                <w:szCs w:val="24"/>
                <w:highlight w:val="none"/>
              </w:rPr>
            </w:pPr>
          </w:p>
        </w:tc>
        <w:tc>
          <w:tcPr>
            <w:tcW w:w="708" w:type="dxa"/>
          </w:tcPr>
          <w:p w14:paraId="31558A50">
            <w:pPr>
              <w:rPr>
                <w:rFonts w:ascii="宋体" w:hAnsi="宋体"/>
                <w:szCs w:val="24"/>
                <w:highlight w:val="none"/>
              </w:rPr>
            </w:pPr>
          </w:p>
        </w:tc>
        <w:tc>
          <w:tcPr>
            <w:tcW w:w="993" w:type="dxa"/>
            <w:vAlign w:val="center"/>
          </w:tcPr>
          <w:p w14:paraId="2183EAC2">
            <w:pPr>
              <w:rPr>
                <w:rFonts w:ascii="宋体" w:hAnsi="宋体"/>
                <w:szCs w:val="24"/>
                <w:highlight w:val="none"/>
              </w:rPr>
            </w:pPr>
          </w:p>
        </w:tc>
        <w:tc>
          <w:tcPr>
            <w:tcW w:w="1134" w:type="dxa"/>
            <w:vAlign w:val="center"/>
          </w:tcPr>
          <w:p w14:paraId="74D2F61F">
            <w:pPr>
              <w:rPr>
                <w:rFonts w:ascii="宋体" w:hAnsi="宋体"/>
                <w:szCs w:val="24"/>
                <w:highlight w:val="none"/>
              </w:rPr>
            </w:pPr>
          </w:p>
        </w:tc>
        <w:tc>
          <w:tcPr>
            <w:tcW w:w="1134" w:type="dxa"/>
            <w:vAlign w:val="center"/>
          </w:tcPr>
          <w:p w14:paraId="4D02CBCA">
            <w:pPr>
              <w:rPr>
                <w:rFonts w:ascii="宋体" w:hAnsi="宋体"/>
                <w:szCs w:val="24"/>
                <w:highlight w:val="none"/>
              </w:rPr>
            </w:pPr>
          </w:p>
        </w:tc>
        <w:tc>
          <w:tcPr>
            <w:tcW w:w="1387" w:type="dxa"/>
            <w:vAlign w:val="center"/>
          </w:tcPr>
          <w:p w14:paraId="50D6E0B3">
            <w:pPr>
              <w:rPr>
                <w:rFonts w:ascii="宋体" w:hAnsi="宋体"/>
                <w:szCs w:val="24"/>
                <w:highlight w:val="none"/>
              </w:rPr>
            </w:pPr>
          </w:p>
        </w:tc>
      </w:tr>
      <w:tr w14:paraId="7255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vAlign w:val="center"/>
          </w:tcPr>
          <w:p w14:paraId="7ACF7D03">
            <w:pPr>
              <w:jc w:val="center"/>
              <w:rPr>
                <w:rFonts w:ascii="宋体" w:hAnsi="宋体"/>
                <w:szCs w:val="24"/>
                <w:highlight w:val="none"/>
              </w:rPr>
            </w:pPr>
            <w:r>
              <w:rPr>
                <w:rFonts w:hint="eastAsia" w:ascii="宋体" w:hAnsi="宋体"/>
                <w:szCs w:val="24"/>
                <w:highlight w:val="none"/>
              </w:rPr>
              <w:t>3</w:t>
            </w:r>
          </w:p>
        </w:tc>
        <w:tc>
          <w:tcPr>
            <w:tcW w:w="4032" w:type="dxa"/>
            <w:vAlign w:val="center"/>
          </w:tcPr>
          <w:p w14:paraId="410E2789">
            <w:pPr>
              <w:rPr>
                <w:rFonts w:ascii="宋体" w:hAnsi="宋体"/>
                <w:szCs w:val="24"/>
                <w:highlight w:val="none"/>
              </w:rPr>
            </w:pPr>
          </w:p>
        </w:tc>
        <w:tc>
          <w:tcPr>
            <w:tcW w:w="3217" w:type="dxa"/>
            <w:vAlign w:val="center"/>
          </w:tcPr>
          <w:p w14:paraId="4DC5E930">
            <w:pPr>
              <w:jc w:val="center"/>
              <w:rPr>
                <w:rFonts w:ascii="宋体" w:hAnsi="宋体"/>
                <w:szCs w:val="24"/>
                <w:highlight w:val="none"/>
              </w:rPr>
            </w:pPr>
          </w:p>
        </w:tc>
        <w:tc>
          <w:tcPr>
            <w:tcW w:w="993" w:type="dxa"/>
            <w:vAlign w:val="center"/>
          </w:tcPr>
          <w:p w14:paraId="6FC17C13">
            <w:pPr>
              <w:rPr>
                <w:rFonts w:ascii="宋体" w:hAnsi="宋体"/>
                <w:szCs w:val="24"/>
                <w:highlight w:val="none"/>
              </w:rPr>
            </w:pPr>
          </w:p>
        </w:tc>
        <w:tc>
          <w:tcPr>
            <w:tcW w:w="708" w:type="dxa"/>
          </w:tcPr>
          <w:p w14:paraId="25C0224D">
            <w:pPr>
              <w:rPr>
                <w:rFonts w:ascii="宋体" w:hAnsi="宋体"/>
                <w:szCs w:val="24"/>
                <w:highlight w:val="none"/>
              </w:rPr>
            </w:pPr>
          </w:p>
        </w:tc>
        <w:tc>
          <w:tcPr>
            <w:tcW w:w="993" w:type="dxa"/>
            <w:vAlign w:val="center"/>
          </w:tcPr>
          <w:p w14:paraId="237784CE">
            <w:pPr>
              <w:rPr>
                <w:rFonts w:ascii="宋体" w:hAnsi="宋体"/>
                <w:szCs w:val="24"/>
                <w:highlight w:val="none"/>
              </w:rPr>
            </w:pPr>
          </w:p>
        </w:tc>
        <w:tc>
          <w:tcPr>
            <w:tcW w:w="1134" w:type="dxa"/>
            <w:vAlign w:val="center"/>
          </w:tcPr>
          <w:p w14:paraId="17C06D53">
            <w:pPr>
              <w:rPr>
                <w:rFonts w:ascii="宋体" w:hAnsi="宋体"/>
                <w:szCs w:val="24"/>
                <w:highlight w:val="none"/>
              </w:rPr>
            </w:pPr>
          </w:p>
        </w:tc>
        <w:tc>
          <w:tcPr>
            <w:tcW w:w="1134" w:type="dxa"/>
            <w:vAlign w:val="center"/>
          </w:tcPr>
          <w:p w14:paraId="7040EA6B">
            <w:pPr>
              <w:rPr>
                <w:rFonts w:ascii="宋体" w:hAnsi="宋体"/>
                <w:szCs w:val="24"/>
                <w:highlight w:val="none"/>
              </w:rPr>
            </w:pPr>
          </w:p>
        </w:tc>
        <w:tc>
          <w:tcPr>
            <w:tcW w:w="1387" w:type="dxa"/>
            <w:vAlign w:val="center"/>
          </w:tcPr>
          <w:p w14:paraId="6A92D0F7">
            <w:pPr>
              <w:rPr>
                <w:rFonts w:ascii="宋体" w:hAnsi="宋体"/>
                <w:szCs w:val="24"/>
                <w:highlight w:val="none"/>
              </w:rPr>
            </w:pPr>
          </w:p>
        </w:tc>
      </w:tr>
      <w:tr w14:paraId="4E6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vAlign w:val="center"/>
          </w:tcPr>
          <w:p w14:paraId="5E9AEC0D">
            <w:pPr>
              <w:jc w:val="center"/>
              <w:rPr>
                <w:rFonts w:ascii="宋体" w:hAnsi="宋体"/>
                <w:szCs w:val="24"/>
                <w:highlight w:val="none"/>
              </w:rPr>
            </w:pPr>
            <w:r>
              <w:rPr>
                <w:rFonts w:hint="eastAsia" w:ascii="宋体" w:hAnsi="宋体"/>
                <w:szCs w:val="24"/>
                <w:highlight w:val="none"/>
              </w:rPr>
              <w:t>4</w:t>
            </w:r>
          </w:p>
        </w:tc>
        <w:tc>
          <w:tcPr>
            <w:tcW w:w="4032" w:type="dxa"/>
            <w:vAlign w:val="center"/>
          </w:tcPr>
          <w:p w14:paraId="41BA41D2">
            <w:pPr>
              <w:rPr>
                <w:rFonts w:ascii="宋体" w:hAnsi="宋体"/>
                <w:szCs w:val="24"/>
                <w:highlight w:val="none"/>
              </w:rPr>
            </w:pPr>
          </w:p>
        </w:tc>
        <w:tc>
          <w:tcPr>
            <w:tcW w:w="3217" w:type="dxa"/>
            <w:vAlign w:val="center"/>
          </w:tcPr>
          <w:p w14:paraId="0C50BFD3">
            <w:pPr>
              <w:jc w:val="center"/>
              <w:rPr>
                <w:rFonts w:ascii="宋体" w:hAnsi="宋体"/>
                <w:szCs w:val="24"/>
                <w:highlight w:val="none"/>
              </w:rPr>
            </w:pPr>
          </w:p>
        </w:tc>
        <w:tc>
          <w:tcPr>
            <w:tcW w:w="993" w:type="dxa"/>
            <w:vAlign w:val="center"/>
          </w:tcPr>
          <w:p w14:paraId="4C725272">
            <w:pPr>
              <w:rPr>
                <w:rFonts w:ascii="宋体" w:hAnsi="宋体"/>
                <w:szCs w:val="24"/>
                <w:highlight w:val="none"/>
              </w:rPr>
            </w:pPr>
          </w:p>
        </w:tc>
        <w:tc>
          <w:tcPr>
            <w:tcW w:w="708" w:type="dxa"/>
          </w:tcPr>
          <w:p w14:paraId="3FE781CE">
            <w:pPr>
              <w:rPr>
                <w:rFonts w:ascii="宋体" w:hAnsi="宋体"/>
                <w:szCs w:val="24"/>
                <w:highlight w:val="none"/>
              </w:rPr>
            </w:pPr>
          </w:p>
        </w:tc>
        <w:tc>
          <w:tcPr>
            <w:tcW w:w="993" w:type="dxa"/>
            <w:vAlign w:val="center"/>
          </w:tcPr>
          <w:p w14:paraId="22D6E1C1">
            <w:pPr>
              <w:rPr>
                <w:rFonts w:ascii="宋体" w:hAnsi="宋体"/>
                <w:szCs w:val="24"/>
                <w:highlight w:val="none"/>
              </w:rPr>
            </w:pPr>
          </w:p>
        </w:tc>
        <w:tc>
          <w:tcPr>
            <w:tcW w:w="1134" w:type="dxa"/>
            <w:vAlign w:val="center"/>
          </w:tcPr>
          <w:p w14:paraId="56E83648">
            <w:pPr>
              <w:rPr>
                <w:rFonts w:ascii="宋体" w:hAnsi="宋体"/>
                <w:szCs w:val="24"/>
                <w:highlight w:val="none"/>
              </w:rPr>
            </w:pPr>
          </w:p>
        </w:tc>
        <w:tc>
          <w:tcPr>
            <w:tcW w:w="1134" w:type="dxa"/>
            <w:vAlign w:val="center"/>
          </w:tcPr>
          <w:p w14:paraId="511FF5F5">
            <w:pPr>
              <w:rPr>
                <w:rFonts w:ascii="宋体" w:hAnsi="宋体"/>
                <w:szCs w:val="24"/>
                <w:highlight w:val="none"/>
              </w:rPr>
            </w:pPr>
          </w:p>
        </w:tc>
        <w:tc>
          <w:tcPr>
            <w:tcW w:w="1387" w:type="dxa"/>
            <w:vAlign w:val="center"/>
          </w:tcPr>
          <w:p w14:paraId="30A104C2">
            <w:pPr>
              <w:rPr>
                <w:rFonts w:ascii="宋体" w:hAnsi="宋体"/>
                <w:szCs w:val="24"/>
                <w:highlight w:val="none"/>
              </w:rPr>
            </w:pPr>
          </w:p>
        </w:tc>
      </w:tr>
      <w:tr w14:paraId="1D55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293" w:type="dxa"/>
            <w:gridSpan w:val="3"/>
            <w:vAlign w:val="center"/>
          </w:tcPr>
          <w:p w14:paraId="3317541A">
            <w:pPr>
              <w:jc w:val="center"/>
              <w:rPr>
                <w:rFonts w:ascii="宋体" w:hAnsi="宋体"/>
                <w:color w:val="000000"/>
                <w:szCs w:val="24"/>
                <w:highlight w:val="none"/>
              </w:rPr>
            </w:pPr>
            <w:r>
              <w:rPr>
                <w:rFonts w:hint="eastAsia" w:ascii="宋体" w:hAnsi="宋体"/>
                <w:color w:val="000000"/>
                <w:szCs w:val="24"/>
                <w:highlight w:val="none"/>
              </w:rPr>
              <w:t>合计</w:t>
            </w:r>
          </w:p>
        </w:tc>
        <w:tc>
          <w:tcPr>
            <w:tcW w:w="6349" w:type="dxa"/>
            <w:gridSpan w:val="6"/>
          </w:tcPr>
          <w:p w14:paraId="5F7F1D5A">
            <w:pPr>
              <w:rPr>
                <w:rFonts w:ascii="宋体" w:hAnsi="宋体"/>
                <w:color w:val="000000"/>
                <w:szCs w:val="24"/>
                <w:highlight w:val="none"/>
              </w:rPr>
            </w:pPr>
            <w:r>
              <w:rPr>
                <w:rFonts w:hint="eastAsia" w:ascii="宋体" w:hAnsi="宋体"/>
                <w:color w:val="000000"/>
                <w:szCs w:val="24"/>
                <w:highlight w:val="none"/>
              </w:rPr>
              <w:t xml:space="preserve"> </w:t>
            </w:r>
          </w:p>
        </w:tc>
      </w:tr>
      <w:tr w14:paraId="05D7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4642" w:type="dxa"/>
            <w:gridSpan w:val="9"/>
            <w:vAlign w:val="center"/>
          </w:tcPr>
          <w:p w14:paraId="0464F54A">
            <w:pPr>
              <w:rPr>
                <w:rFonts w:ascii="方正魏碑_GBK" w:hAnsi="方正魏碑_GBK" w:eastAsia="方正魏碑_GBK"/>
                <w:color w:val="000000"/>
                <w:sz w:val="28"/>
                <w:szCs w:val="28"/>
                <w:highlight w:val="none"/>
              </w:rPr>
            </w:pPr>
            <w:r>
              <w:rPr>
                <w:rFonts w:hint="eastAsia" w:ascii="方正魏碑_GBK" w:hAnsi="方正魏碑_GBK" w:eastAsia="方正魏碑_GBK"/>
                <w:color w:val="000000"/>
                <w:sz w:val="28"/>
                <w:szCs w:val="28"/>
                <w:highlight w:val="none"/>
              </w:rPr>
              <w:t>本采购包中提供的符合本国产品标准的产品成本之和占该采购包提供的全部产品成本之和的比例为</w:t>
            </w:r>
            <w:r>
              <w:rPr>
                <w:rFonts w:hint="eastAsia" w:ascii="方正魏碑_GBK" w:hAnsi="方正魏碑_GBK" w:eastAsia="方正魏碑_GBK"/>
                <w:color w:val="000000"/>
                <w:sz w:val="28"/>
                <w:szCs w:val="28"/>
                <w:highlight w:val="none"/>
                <w:u w:val="single"/>
              </w:rPr>
              <w:t>***</w:t>
            </w:r>
            <w:r>
              <w:rPr>
                <w:rFonts w:hint="eastAsia" w:ascii="方正魏碑_GBK" w:hAnsi="方正魏碑_GBK" w:eastAsia="方正魏碑_GBK"/>
                <w:color w:val="000000"/>
                <w:sz w:val="28"/>
                <w:szCs w:val="28"/>
                <w:highlight w:val="none"/>
              </w:rPr>
              <w:t>%。</w:t>
            </w:r>
          </w:p>
        </w:tc>
      </w:tr>
    </w:tbl>
    <w:p w14:paraId="7C9B7F99">
      <w:pPr>
        <w:rPr>
          <w:rFonts w:ascii="宋体" w:hAnsi="宋体"/>
          <w:bCs/>
          <w:highlight w:val="none"/>
        </w:rPr>
      </w:pPr>
      <w:r>
        <w:rPr>
          <w:rFonts w:hint="eastAsia" w:ascii="宋体" w:hAnsi="宋体"/>
          <w:bCs/>
          <w:highlight w:val="none"/>
        </w:rPr>
        <w:t>注：</w:t>
      </w:r>
    </w:p>
    <w:p w14:paraId="1786CD1D">
      <w:pPr>
        <w:rPr>
          <w:rFonts w:ascii="宋体" w:hAnsi="宋体"/>
          <w:bCs/>
          <w:highlight w:val="none"/>
        </w:rPr>
      </w:pPr>
      <w:r>
        <w:rPr>
          <w:rFonts w:hint="eastAsia" w:ascii="宋体" w:hAnsi="宋体"/>
          <w:bCs/>
          <w:highlight w:val="none"/>
        </w:rPr>
        <w:t>1.单价和总价采用人民币报价，以元为单位。</w:t>
      </w:r>
    </w:p>
    <w:p w14:paraId="77925EB1">
      <w:pPr>
        <w:rPr>
          <w:rFonts w:ascii="宋体" w:hAnsi="宋体"/>
          <w:bCs/>
          <w:highlight w:val="none"/>
        </w:rPr>
      </w:pPr>
      <w:r>
        <w:rPr>
          <w:rFonts w:hint="eastAsia" w:ascii="宋体" w:hAnsi="宋体"/>
          <w:bCs/>
          <w:highlight w:val="none"/>
        </w:rPr>
        <w:t>2.货物项目填写“交付期”，服务项目填写“服务期”，只填写一个期限。</w:t>
      </w:r>
    </w:p>
    <w:p w14:paraId="5C7474BE">
      <w:pPr>
        <w:pStyle w:val="48"/>
        <w:spacing w:line="360" w:lineRule="auto"/>
        <w:ind w:firstLine="0" w:firstLineChars="0"/>
        <w:rPr>
          <w:rFonts w:ascii="宋体" w:hAnsi="宋体"/>
          <w:highlight w:val="none"/>
        </w:rPr>
        <w:sectPr>
          <w:pgSz w:w="16838" w:h="11906" w:orient="landscape"/>
          <w:pgMar w:top="1365" w:right="1418" w:bottom="1588" w:left="1418" w:header="851" w:footer="907" w:gutter="0"/>
          <w:cols w:space="720" w:num="1"/>
          <w:titlePg/>
          <w:docGrid w:type="lines" w:linePitch="290" w:charSpace="0"/>
        </w:sectPr>
      </w:pPr>
    </w:p>
    <w:p w14:paraId="03FC2EB9">
      <w:pPr>
        <w:pStyle w:val="6"/>
        <w:jc w:val="center"/>
        <w:rPr>
          <w:rFonts w:ascii="宋体" w:hAnsi="宋体"/>
          <w:highlight w:val="none"/>
        </w:rPr>
      </w:pPr>
      <w:r>
        <w:rPr>
          <w:rFonts w:hint="eastAsia" w:ascii="宋体" w:hAnsi="宋体"/>
          <w:highlight w:val="none"/>
        </w:rPr>
        <w:t>五、技术参数响应及偏离表</w:t>
      </w:r>
    </w:p>
    <w:p w14:paraId="6E38B8DC">
      <w:pPr>
        <w:spacing w:line="240" w:lineRule="auto"/>
        <w:jc w:val="center"/>
        <w:rPr>
          <w:rFonts w:ascii="宋体" w:hAnsi="宋体"/>
          <w:szCs w:val="24"/>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36D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4F0B8E83">
            <w:pPr>
              <w:spacing w:line="240" w:lineRule="auto"/>
              <w:jc w:val="center"/>
              <w:rPr>
                <w:rFonts w:ascii="宋体" w:hAnsi="宋体"/>
                <w:szCs w:val="24"/>
                <w:highlight w:val="none"/>
              </w:rPr>
            </w:pPr>
            <w:r>
              <w:rPr>
                <w:rFonts w:hint="eastAsia" w:ascii="宋体" w:hAnsi="宋体"/>
                <w:szCs w:val="24"/>
                <w:highlight w:val="none"/>
              </w:rPr>
              <w:t>序号</w:t>
            </w:r>
          </w:p>
        </w:tc>
        <w:tc>
          <w:tcPr>
            <w:tcW w:w="2852" w:type="dxa"/>
            <w:vAlign w:val="center"/>
          </w:tcPr>
          <w:p w14:paraId="2D96491A">
            <w:pPr>
              <w:spacing w:line="240" w:lineRule="auto"/>
              <w:jc w:val="center"/>
              <w:rPr>
                <w:rFonts w:ascii="宋体" w:hAnsi="宋体"/>
                <w:szCs w:val="24"/>
                <w:highlight w:val="none"/>
              </w:rPr>
            </w:pPr>
            <w:r>
              <w:rPr>
                <w:rFonts w:hint="eastAsia" w:ascii="宋体" w:hAnsi="宋体"/>
                <w:szCs w:val="24"/>
                <w:highlight w:val="none"/>
              </w:rPr>
              <w:t>磋商文件要求</w:t>
            </w:r>
          </w:p>
        </w:tc>
        <w:tc>
          <w:tcPr>
            <w:tcW w:w="2852" w:type="dxa"/>
            <w:vAlign w:val="center"/>
          </w:tcPr>
          <w:p w14:paraId="47845468">
            <w:pPr>
              <w:spacing w:line="240" w:lineRule="auto"/>
              <w:jc w:val="center"/>
              <w:rPr>
                <w:rFonts w:ascii="宋体" w:hAnsi="宋体"/>
                <w:szCs w:val="24"/>
                <w:highlight w:val="none"/>
              </w:rPr>
            </w:pPr>
            <w:r>
              <w:rPr>
                <w:rFonts w:hint="eastAsia" w:ascii="宋体" w:hAnsi="宋体"/>
                <w:szCs w:val="24"/>
                <w:highlight w:val="none"/>
              </w:rPr>
              <w:t>响应文件对应规范</w:t>
            </w:r>
          </w:p>
        </w:tc>
        <w:tc>
          <w:tcPr>
            <w:tcW w:w="1308" w:type="dxa"/>
            <w:vAlign w:val="center"/>
          </w:tcPr>
          <w:p w14:paraId="67160891">
            <w:pPr>
              <w:spacing w:line="240" w:lineRule="auto"/>
              <w:jc w:val="center"/>
              <w:rPr>
                <w:rFonts w:ascii="宋体" w:hAnsi="宋体"/>
                <w:szCs w:val="24"/>
                <w:highlight w:val="none"/>
              </w:rPr>
            </w:pPr>
            <w:r>
              <w:rPr>
                <w:rFonts w:hint="eastAsia" w:ascii="宋体" w:hAnsi="宋体"/>
                <w:szCs w:val="24"/>
                <w:highlight w:val="none"/>
              </w:rPr>
              <w:t>超出、符合或偏离</w:t>
            </w:r>
          </w:p>
        </w:tc>
        <w:tc>
          <w:tcPr>
            <w:tcW w:w="1173" w:type="dxa"/>
            <w:vAlign w:val="center"/>
          </w:tcPr>
          <w:p w14:paraId="5BAB8253">
            <w:pPr>
              <w:spacing w:line="240" w:lineRule="auto"/>
              <w:jc w:val="center"/>
              <w:rPr>
                <w:rFonts w:ascii="宋体" w:hAnsi="宋体"/>
                <w:szCs w:val="24"/>
                <w:highlight w:val="none"/>
              </w:rPr>
            </w:pPr>
            <w:r>
              <w:rPr>
                <w:rFonts w:hint="eastAsia" w:ascii="宋体" w:hAnsi="宋体"/>
                <w:szCs w:val="24"/>
                <w:highlight w:val="none"/>
              </w:rPr>
              <w:t>原因</w:t>
            </w:r>
          </w:p>
        </w:tc>
      </w:tr>
      <w:tr w14:paraId="4D05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D5AC60F">
            <w:pPr>
              <w:spacing w:line="240" w:lineRule="auto"/>
              <w:jc w:val="center"/>
              <w:rPr>
                <w:rFonts w:ascii="宋体" w:hAnsi="宋体"/>
                <w:szCs w:val="24"/>
                <w:highlight w:val="none"/>
              </w:rPr>
            </w:pPr>
          </w:p>
        </w:tc>
        <w:tc>
          <w:tcPr>
            <w:tcW w:w="2852" w:type="dxa"/>
          </w:tcPr>
          <w:p w14:paraId="7412A073">
            <w:pPr>
              <w:spacing w:line="240" w:lineRule="auto"/>
              <w:jc w:val="center"/>
              <w:rPr>
                <w:rFonts w:ascii="宋体" w:hAnsi="宋体"/>
                <w:szCs w:val="24"/>
                <w:highlight w:val="none"/>
              </w:rPr>
            </w:pPr>
          </w:p>
        </w:tc>
        <w:tc>
          <w:tcPr>
            <w:tcW w:w="2852" w:type="dxa"/>
          </w:tcPr>
          <w:p w14:paraId="476C3247">
            <w:pPr>
              <w:spacing w:line="240" w:lineRule="auto"/>
              <w:jc w:val="center"/>
              <w:rPr>
                <w:rFonts w:ascii="宋体" w:hAnsi="宋体"/>
                <w:szCs w:val="24"/>
                <w:highlight w:val="none"/>
              </w:rPr>
            </w:pPr>
          </w:p>
        </w:tc>
        <w:tc>
          <w:tcPr>
            <w:tcW w:w="1308" w:type="dxa"/>
          </w:tcPr>
          <w:p w14:paraId="49FC8AAE">
            <w:pPr>
              <w:spacing w:line="240" w:lineRule="auto"/>
              <w:jc w:val="center"/>
              <w:rPr>
                <w:rFonts w:ascii="宋体" w:hAnsi="宋体"/>
                <w:szCs w:val="24"/>
                <w:highlight w:val="none"/>
              </w:rPr>
            </w:pPr>
          </w:p>
        </w:tc>
        <w:tc>
          <w:tcPr>
            <w:tcW w:w="1173" w:type="dxa"/>
          </w:tcPr>
          <w:p w14:paraId="565EF782">
            <w:pPr>
              <w:spacing w:line="240" w:lineRule="auto"/>
              <w:jc w:val="center"/>
              <w:rPr>
                <w:rFonts w:ascii="宋体" w:hAnsi="宋体"/>
                <w:szCs w:val="24"/>
                <w:highlight w:val="none"/>
              </w:rPr>
            </w:pPr>
          </w:p>
        </w:tc>
      </w:tr>
      <w:tr w14:paraId="2408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CA664F4">
            <w:pPr>
              <w:spacing w:line="240" w:lineRule="auto"/>
              <w:jc w:val="center"/>
              <w:rPr>
                <w:rFonts w:ascii="宋体" w:hAnsi="宋体"/>
                <w:szCs w:val="24"/>
                <w:highlight w:val="none"/>
              </w:rPr>
            </w:pPr>
          </w:p>
        </w:tc>
        <w:tc>
          <w:tcPr>
            <w:tcW w:w="2852" w:type="dxa"/>
          </w:tcPr>
          <w:p w14:paraId="3FC40143">
            <w:pPr>
              <w:spacing w:line="240" w:lineRule="auto"/>
              <w:jc w:val="center"/>
              <w:rPr>
                <w:rFonts w:ascii="宋体" w:hAnsi="宋体"/>
                <w:szCs w:val="24"/>
                <w:highlight w:val="none"/>
              </w:rPr>
            </w:pPr>
          </w:p>
        </w:tc>
        <w:tc>
          <w:tcPr>
            <w:tcW w:w="2852" w:type="dxa"/>
          </w:tcPr>
          <w:p w14:paraId="0D6C7813">
            <w:pPr>
              <w:spacing w:line="240" w:lineRule="auto"/>
              <w:jc w:val="center"/>
              <w:rPr>
                <w:rFonts w:ascii="宋体" w:hAnsi="宋体"/>
                <w:szCs w:val="24"/>
                <w:highlight w:val="none"/>
              </w:rPr>
            </w:pPr>
          </w:p>
        </w:tc>
        <w:tc>
          <w:tcPr>
            <w:tcW w:w="1308" w:type="dxa"/>
          </w:tcPr>
          <w:p w14:paraId="20824CF1">
            <w:pPr>
              <w:spacing w:line="240" w:lineRule="auto"/>
              <w:jc w:val="center"/>
              <w:rPr>
                <w:rFonts w:ascii="宋体" w:hAnsi="宋体"/>
                <w:szCs w:val="24"/>
                <w:highlight w:val="none"/>
              </w:rPr>
            </w:pPr>
          </w:p>
        </w:tc>
        <w:tc>
          <w:tcPr>
            <w:tcW w:w="1173" w:type="dxa"/>
          </w:tcPr>
          <w:p w14:paraId="22D3DDB4">
            <w:pPr>
              <w:spacing w:line="240" w:lineRule="auto"/>
              <w:jc w:val="center"/>
              <w:rPr>
                <w:rFonts w:ascii="宋体" w:hAnsi="宋体"/>
                <w:szCs w:val="24"/>
                <w:highlight w:val="none"/>
              </w:rPr>
            </w:pPr>
          </w:p>
        </w:tc>
      </w:tr>
      <w:tr w14:paraId="1E59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83461E6">
            <w:pPr>
              <w:spacing w:line="240" w:lineRule="auto"/>
              <w:jc w:val="center"/>
              <w:rPr>
                <w:rFonts w:ascii="宋体" w:hAnsi="宋体"/>
                <w:szCs w:val="24"/>
                <w:highlight w:val="none"/>
              </w:rPr>
            </w:pPr>
          </w:p>
        </w:tc>
        <w:tc>
          <w:tcPr>
            <w:tcW w:w="2852" w:type="dxa"/>
          </w:tcPr>
          <w:p w14:paraId="03D72B6F">
            <w:pPr>
              <w:spacing w:line="240" w:lineRule="auto"/>
              <w:jc w:val="center"/>
              <w:rPr>
                <w:rFonts w:ascii="宋体" w:hAnsi="宋体"/>
                <w:szCs w:val="24"/>
                <w:highlight w:val="none"/>
              </w:rPr>
            </w:pPr>
          </w:p>
        </w:tc>
        <w:tc>
          <w:tcPr>
            <w:tcW w:w="2852" w:type="dxa"/>
          </w:tcPr>
          <w:p w14:paraId="1640BF79">
            <w:pPr>
              <w:spacing w:line="240" w:lineRule="auto"/>
              <w:jc w:val="center"/>
              <w:rPr>
                <w:rFonts w:ascii="宋体" w:hAnsi="宋体"/>
                <w:szCs w:val="24"/>
                <w:highlight w:val="none"/>
              </w:rPr>
            </w:pPr>
          </w:p>
        </w:tc>
        <w:tc>
          <w:tcPr>
            <w:tcW w:w="1308" w:type="dxa"/>
          </w:tcPr>
          <w:p w14:paraId="51FC03EF">
            <w:pPr>
              <w:spacing w:line="240" w:lineRule="auto"/>
              <w:jc w:val="center"/>
              <w:rPr>
                <w:rFonts w:ascii="宋体" w:hAnsi="宋体"/>
                <w:szCs w:val="24"/>
                <w:highlight w:val="none"/>
              </w:rPr>
            </w:pPr>
          </w:p>
        </w:tc>
        <w:tc>
          <w:tcPr>
            <w:tcW w:w="1173" w:type="dxa"/>
          </w:tcPr>
          <w:p w14:paraId="05127069">
            <w:pPr>
              <w:spacing w:line="240" w:lineRule="auto"/>
              <w:jc w:val="center"/>
              <w:rPr>
                <w:rFonts w:ascii="宋体" w:hAnsi="宋体"/>
                <w:szCs w:val="24"/>
                <w:highlight w:val="none"/>
              </w:rPr>
            </w:pPr>
          </w:p>
        </w:tc>
      </w:tr>
      <w:tr w14:paraId="651D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74A325E">
            <w:pPr>
              <w:spacing w:line="240" w:lineRule="auto"/>
              <w:jc w:val="center"/>
              <w:rPr>
                <w:rFonts w:ascii="宋体" w:hAnsi="宋体"/>
                <w:szCs w:val="24"/>
                <w:highlight w:val="none"/>
              </w:rPr>
            </w:pPr>
          </w:p>
        </w:tc>
        <w:tc>
          <w:tcPr>
            <w:tcW w:w="2852" w:type="dxa"/>
          </w:tcPr>
          <w:p w14:paraId="3AE15DEA">
            <w:pPr>
              <w:spacing w:line="240" w:lineRule="auto"/>
              <w:jc w:val="center"/>
              <w:rPr>
                <w:rFonts w:ascii="宋体" w:hAnsi="宋体"/>
                <w:szCs w:val="24"/>
                <w:highlight w:val="none"/>
              </w:rPr>
            </w:pPr>
          </w:p>
        </w:tc>
        <w:tc>
          <w:tcPr>
            <w:tcW w:w="2852" w:type="dxa"/>
          </w:tcPr>
          <w:p w14:paraId="4EC5B77C">
            <w:pPr>
              <w:spacing w:line="240" w:lineRule="auto"/>
              <w:jc w:val="center"/>
              <w:rPr>
                <w:rFonts w:ascii="宋体" w:hAnsi="宋体"/>
                <w:szCs w:val="24"/>
                <w:highlight w:val="none"/>
              </w:rPr>
            </w:pPr>
          </w:p>
        </w:tc>
        <w:tc>
          <w:tcPr>
            <w:tcW w:w="1308" w:type="dxa"/>
          </w:tcPr>
          <w:p w14:paraId="66B1CCE2">
            <w:pPr>
              <w:spacing w:line="240" w:lineRule="auto"/>
              <w:jc w:val="center"/>
              <w:rPr>
                <w:rFonts w:ascii="宋体" w:hAnsi="宋体"/>
                <w:szCs w:val="24"/>
                <w:highlight w:val="none"/>
              </w:rPr>
            </w:pPr>
          </w:p>
        </w:tc>
        <w:tc>
          <w:tcPr>
            <w:tcW w:w="1173" w:type="dxa"/>
          </w:tcPr>
          <w:p w14:paraId="2BEE4CE4">
            <w:pPr>
              <w:spacing w:line="240" w:lineRule="auto"/>
              <w:jc w:val="center"/>
              <w:rPr>
                <w:rFonts w:ascii="宋体" w:hAnsi="宋体"/>
                <w:szCs w:val="24"/>
                <w:highlight w:val="none"/>
              </w:rPr>
            </w:pPr>
          </w:p>
        </w:tc>
      </w:tr>
      <w:tr w14:paraId="2CC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96E25CA">
            <w:pPr>
              <w:spacing w:line="240" w:lineRule="auto"/>
              <w:jc w:val="center"/>
              <w:rPr>
                <w:rFonts w:ascii="宋体" w:hAnsi="宋体"/>
                <w:szCs w:val="24"/>
                <w:highlight w:val="none"/>
              </w:rPr>
            </w:pPr>
          </w:p>
        </w:tc>
        <w:tc>
          <w:tcPr>
            <w:tcW w:w="2852" w:type="dxa"/>
          </w:tcPr>
          <w:p w14:paraId="1DE2EC7C">
            <w:pPr>
              <w:spacing w:line="240" w:lineRule="auto"/>
              <w:jc w:val="center"/>
              <w:rPr>
                <w:rFonts w:ascii="宋体" w:hAnsi="宋体"/>
                <w:szCs w:val="24"/>
                <w:highlight w:val="none"/>
              </w:rPr>
            </w:pPr>
          </w:p>
        </w:tc>
        <w:tc>
          <w:tcPr>
            <w:tcW w:w="2852" w:type="dxa"/>
          </w:tcPr>
          <w:p w14:paraId="665F1E42">
            <w:pPr>
              <w:spacing w:line="240" w:lineRule="auto"/>
              <w:jc w:val="center"/>
              <w:rPr>
                <w:rFonts w:ascii="宋体" w:hAnsi="宋体"/>
                <w:szCs w:val="24"/>
                <w:highlight w:val="none"/>
              </w:rPr>
            </w:pPr>
          </w:p>
        </w:tc>
        <w:tc>
          <w:tcPr>
            <w:tcW w:w="1308" w:type="dxa"/>
          </w:tcPr>
          <w:p w14:paraId="5C8A1DEC">
            <w:pPr>
              <w:spacing w:line="240" w:lineRule="auto"/>
              <w:jc w:val="center"/>
              <w:rPr>
                <w:rFonts w:ascii="宋体" w:hAnsi="宋体"/>
                <w:szCs w:val="24"/>
                <w:highlight w:val="none"/>
              </w:rPr>
            </w:pPr>
          </w:p>
        </w:tc>
        <w:tc>
          <w:tcPr>
            <w:tcW w:w="1173" w:type="dxa"/>
          </w:tcPr>
          <w:p w14:paraId="1012848C">
            <w:pPr>
              <w:spacing w:line="240" w:lineRule="auto"/>
              <w:jc w:val="center"/>
              <w:rPr>
                <w:rFonts w:ascii="宋体" w:hAnsi="宋体"/>
                <w:szCs w:val="24"/>
                <w:highlight w:val="none"/>
              </w:rPr>
            </w:pPr>
          </w:p>
        </w:tc>
      </w:tr>
      <w:tr w14:paraId="6836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B5AD4F2">
            <w:pPr>
              <w:spacing w:line="240" w:lineRule="auto"/>
              <w:jc w:val="center"/>
              <w:rPr>
                <w:rFonts w:ascii="宋体" w:hAnsi="宋体"/>
                <w:szCs w:val="24"/>
                <w:highlight w:val="none"/>
              </w:rPr>
            </w:pPr>
          </w:p>
        </w:tc>
        <w:tc>
          <w:tcPr>
            <w:tcW w:w="2852" w:type="dxa"/>
          </w:tcPr>
          <w:p w14:paraId="7C43ECAB">
            <w:pPr>
              <w:spacing w:line="240" w:lineRule="auto"/>
              <w:jc w:val="center"/>
              <w:rPr>
                <w:rFonts w:ascii="宋体" w:hAnsi="宋体"/>
                <w:szCs w:val="24"/>
                <w:highlight w:val="none"/>
              </w:rPr>
            </w:pPr>
          </w:p>
        </w:tc>
        <w:tc>
          <w:tcPr>
            <w:tcW w:w="2852" w:type="dxa"/>
          </w:tcPr>
          <w:p w14:paraId="45EE011F">
            <w:pPr>
              <w:spacing w:line="240" w:lineRule="auto"/>
              <w:jc w:val="center"/>
              <w:rPr>
                <w:rFonts w:ascii="宋体" w:hAnsi="宋体"/>
                <w:szCs w:val="24"/>
                <w:highlight w:val="none"/>
              </w:rPr>
            </w:pPr>
          </w:p>
        </w:tc>
        <w:tc>
          <w:tcPr>
            <w:tcW w:w="1308" w:type="dxa"/>
          </w:tcPr>
          <w:p w14:paraId="28CF99A4">
            <w:pPr>
              <w:spacing w:line="240" w:lineRule="auto"/>
              <w:jc w:val="center"/>
              <w:rPr>
                <w:rFonts w:ascii="宋体" w:hAnsi="宋体"/>
                <w:szCs w:val="24"/>
                <w:highlight w:val="none"/>
              </w:rPr>
            </w:pPr>
          </w:p>
        </w:tc>
        <w:tc>
          <w:tcPr>
            <w:tcW w:w="1173" w:type="dxa"/>
          </w:tcPr>
          <w:p w14:paraId="7D7F0C15">
            <w:pPr>
              <w:spacing w:line="240" w:lineRule="auto"/>
              <w:jc w:val="center"/>
              <w:rPr>
                <w:rFonts w:ascii="宋体" w:hAnsi="宋体"/>
                <w:szCs w:val="24"/>
                <w:highlight w:val="none"/>
              </w:rPr>
            </w:pPr>
          </w:p>
        </w:tc>
      </w:tr>
      <w:tr w14:paraId="22CA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9C0B075">
            <w:pPr>
              <w:spacing w:line="240" w:lineRule="auto"/>
              <w:jc w:val="center"/>
              <w:rPr>
                <w:rFonts w:ascii="宋体" w:hAnsi="宋体"/>
                <w:szCs w:val="24"/>
                <w:highlight w:val="none"/>
              </w:rPr>
            </w:pPr>
          </w:p>
        </w:tc>
        <w:tc>
          <w:tcPr>
            <w:tcW w:w="2852" w:type="dxa"/>
          </w:tcPr>
          <w:p w14:paraId="654D6A69">
            <w:pPr>
              <w:spacing w:line="240" w:lineRule="auto"/>
              <w:jc w:val="center"/>
              <w:rPr>
                <w:rFonts w:ascii="宋体" w:hAnsi="宋体"/>
                <w:szCs w:val="24"/>
                <w:highlight w:val="none"/>
              </w:rPr>
            </w:pPr>
          </w:p>
        </w:tc>
        <w:tc>
          <w:tcPr>
            <w:tcW w:w="2852" w:type="dxa"/>
          </w:tcPr>
          <w:p w14:paraId="2B091EAF">
            <w:pPr>
              <w:spacing w:line="240" w:lineRule="auto"/>
              <w:jc w:val="center"/>
              <w:rPr>
                <w:rFonts w:ascii="宋体" w:hAnsi="宋体"/>
                <w:szCs w:val="24"/>
                <w:highlight w:val="none"/>
              </w:rPr>
            </w:pPr>
          </w:p>
        </w:tc>
        <w:tc>
          <w:tcPr>
            <w:tcW w:w="1308" w:type="dxa"/>
          </w:tcPr>
          <w:p w14:paraId="3513F6AC">
            <w:pPr>
              <w:spacing w:line="240" w:lineRule="auto"/>
              <w:jc w:val="center"/>
              <w:rPr>
                <w:rFonts w:ascii="宋体" w:hAnsi="宋体"/>
                <w:szCs w:val="24"/>
                <w:highlight w:val="none"/>
              </w:rPr>
            </w:pPr>
          </w:p>
        </w:tc>
        <w:tc>
          <w:tcPr>
            <w:tcW w:w="1173" w:type="dxa"/>
          </w:tcPr>
          <w:p w14:paraId="103E2168">
            <w:pPr>
              <w:spacing w:line="240" w:lineRule="auto"/>
              <w:jc w:val="center"/>
              <w:rPr>
                <w:rFonts w:ascii="宋体" w:hAnsi="宋体"/>
                <w:szCs w:val="24"/>
                <w:highlight w:val="none"/>
              </w:rPr>
            </w:pPr>
          </w:p>
        </w:tc>
      </w:tr>
      <w:tr w14:paraId="6026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6C2C6EA">
            <w:pPr>
              <w:spacing w:line="240" w:lineRule="auto"/>
              <w:jc w:val="center"/>
              <w:rPr>
                <w:rFonts w:ascii="宋体" w:hAnsi="宋体"/>
                <w:szCs w:val="24"/>
                <w:highlight w:val="none"/>
              </w:rPr>
            </w:pPr>
          </w:p>
        </w:tc>
        <w:tc>
          <w:tcPr>
            <w:tcW w:w="2852" w:type="dxa"/>
          </w:tcPr>
          <w:p w14:paraId="5FF2C43D">
            <w:pPr>
              <w:spacing w:line="240" w:lineRule="auto"/>
              <w:jc w:val="center"/>
              <w:rPr>
                <w:rFonts w:ascii="宋体" w:hAnsi="宋体"/>
                <w:szCs w:val="24"/>
                <w:highlight w:val="none"/>
              </w:rPr>
            </w:pPr>
          </w:p>
        </w:tc>
        <w:tc>
          <w:tcPr>
            <w:tcW w:w="2852" w:type="dxa"/>
          </w:tcPr>
          <w:p w14:paraId="7D39FF8E">
            <w:pPr>
              <w:spacing w:line="240" w:lineRule="auto"/>
              <w:jc w:val="center"/>
              <w:rPr>
                <w:rFonts w:ascii="宋体" w:hAnsi="宋体"/>
                <w:szCs w:val="24"/>
                <w:highlight w:val="none"/>
              </w:rPr>
            </w:pPr>
          </w:p>
        </w:tc>
        <w:tc>
          <w:tcPr>
            <w:tcW w:w="1308" w:type="dxa"/>
          </w:tcPr>
          <w:p w14:paraId="6B445288">
            <w:pPr>
              <w:spacing w:line="240" w:lineRule="auto"/>
              <w:jc w:val="center"/>
              <w:rPr>
                <w:rFonts w:ascii="宋体" w:hAnsi="宋体"/>
                <w:szCs w:val="24"/>
                <w:highlight w:val="none"/>
              </w:rPr>
            </w:pPr>
          </w:p>
        </w:tc>
        <w:tc>
          <w:tcPr>
            <w:tcW w:w="1173" w:type="dxa"/>
          </w:tcPr>
          <w:p w14:paraId="3F1D4348">
            <w:pPr>
              <w:spacing w:line="240" w:lineRule="auto"/>
              <w:jc w:val="center"/>
              <w:rPr>
                <w:rFonts w:ascii="宋体" w:hAnsi="宋体"/>
                <w:szCs w:val="24"/>
                <w:highlight w:val="none"/>
              </w:rPr>
            </w:pPr>
          </w:p>
        </w:tc>
      </w:tr>
    </w:tbl>
    <w:p w14:paraId="63ED2242">
      <w:pPr>
        <w:spacing w:line="240" w:lineRule="auto"/>
        <w:rPr>
          <w:rFonts w:ascii="宋体" w:hAnsi="宋体"/>
          <w:szCs w:val="24"/>
          <w:highlight w:val="none"/>
        </w:rPr>
      </w:pPr>
    </w:p>
    <w:p w14:paraId="3381EBC2">
      <w:pPr>
        <w:spacing w:line="240" w:lineRule="auto"/>
        <w:rPr>
          <w:rFonts w:ascii="宋体" w:hAnsi="宋体"/>
          <w:szCs w:val="24"/>
          <w:highlight w:val="none"/>
        </w:rPr>
      </w:pPr>
    </w:p>
    <w:p w14:paraId="1A13B983">
      <w:pPr>
        <w:spacing w:line="240" w:lineRule="auto"/>
        <w:rPr>
          <w:rFonts w:ascii="宋体" w:hAnsi="宋体"/>
          <w:szCs w:val="24"/>
          <w:highlight w:val="none"/>
        </w:rPr>
      </w:pPr>
      <w:r>
        <w:rPr>
          <w:rFonts w:hint="eastAsia" w:ascii="宋体" w:hAnsi="宋体"/>
          <w:szCs w:val="24"/>
          <w:highlight w:val="none"/>
        </w:rPr>
        <w:t>注：1、按照基本技术要求详细填列。</w:t>
      </w:r>
    </w:p>
    <w:p w14:paraId="2FD570FB">
      <w:pPr>
        <w:spacing w:line="240" w:lineRule="auto"/>
        <w:ind w:firstLine="480" w:firstLineChars="200"/>
        <w:rPr>
          <w:rFonts w:ascii="宋体" w:hAnsi="宋体"/>
          <w:szCs w:val="24"/>
          <w:highlight w:val="none"/>
        </w:rPr>
      </w:pPr>
      <w:r>
        <w:rPr>
          <w:rFonts w:hint="eastAsia" w:ascii="宋体" w:hAnsi="宋体"/>
          <w:szCs w:val="24"/>
          <w:highlight w:val="none"/>
        </w:rPr>
        <w:t>2.行数不够，可自行添加。</w:t>
      </w:r>
    </w:p>
    <w:p w14:paraId="5E649DDF">
      <w:pPr>
        <w:rPr>
          <w:rFonts w:ascii="宋体" w:hAnsi="宋体"/>
          <w:sz w:val="32"/>
          <w:highlight w:val="none"/>
        </w:rPr>
        <w:sectPr>
          <w:pgSz w:w="11906" w:h="16838"/>
          <w:pgMar w:top="1418" w:right="1588" w:bottom="1418" w:left="1365" w:header="851" w:footer="907" w:gutter="0"/>
          <w:cols w:space="720" w:num="1"/>
          <w:titlePg/>
          <w:docGrid w:type="lines" w:linePitch="290" w:charSpace="0"/>
        </w:sectPr>
      </w:pPr>
    </w:p>
    <w:p w14:paraId="05877C54">
      <w:pPr>
        <w:pStyle w:val="6"/>
        <w:jc w:val="center"/>
        <w:rPr>
          <w:rFonts w:ascii="宋体" w:hAnsi="宋体"/>
          <w:highlight w:val="none"/>
        </w:rPr>
      </w:pPr>
      <w:bookmarkStart w:id="102" w:name="_Hlt26955054"/>
      <w:bookmarkEnd w:id="102"/>
      <w:bookmarkStart w:id="103" w:name="_Toc534816649"/>
      <w:bookmarkStart w:id="104" w:name="_Toc534725620"/>
      <w:r>
        <w:rPr>
          <w:rFonts w:hint="eastAsia" w:ascii="宋体" w:hAnsi="宋体"/>
          <w:highlight w:val="none"/>
        </w:rPr>
        <w:t>六、商务条款响应及偏离表</w:t>
      </w:r>
      <w:bookmarkEnd w:id="103"/>
      <w:bookmarkEnd w:id="104"/>
    </w:p>
    <w:tbl>
      <w:tblPr>
        <w:tblStyle w:val="5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14:paraId="2C7FC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Pr>
          <w:p w14:paraId="4299D44A">
            <w:pPr>
              <w:snapToGrid w:val="0"/>
              <w:spacing w:before="145" w:line="240" w:lineRule="auto"/>
              <w:jc w:val="center"/>
              <w:rPr>
                <w:rFonts w:ascii="宋体" w:hAnsi="宋体"/>
                <w:highlight w:val="none"/>
              </w:rPr>
            </w:pPr>
            <w:r>
              <w:rPr>
                <w:rFonts w:hint="eastAsia" w:ascii="宋体" w:hAnsi="宋体"/>
                <w:highlight w:val="none"/>
              </w:rPr>
              <w:t>项目</w:t>
            </w:r>
          </w:p>
        </w:tc>
        <w:tc>
          <w:tcPr>
            <w:tcW w:w="2502" w:type="dxa"/>
          </w:tcPr>
          <w:p w14:paraId="11BADD66">
            <w:pPr>
              <w:snapToGrid w:val="0"/>
              <w:spacing w:before="145" w:line="240" w:lineRule="auto"/>
              <w:jc w:val="center"/>
              <w:rPr>
                <w:rFonts w:ascii="宋体" w:hAnsi="宋体"/>
                <w:highlight w:val="none"/>
              </w:rPr>
            </w:pPr>
            <w:r>
              <w:rPr>
                <w:rFonts w:hint="eastAsia" w:ascii="宋体" w:hAnsi="宋体"/>
                <w:highlight w:val="none"/>
              </w:rPr>
              <w:t>磋商文件要求</w:t>
            </w:r>
          </w:p>
        </w:tc>
        <w:tc>
          <w:tcPr>
            <w:tcW w:w="1837" w:type="dxa"/>
          </w:tcPr>
          <w:p w14:paraId="70DA47FD">
            <w:pPr>
              <w:snapToGrid w:val="0"/>
              <w:spacing w:before="145" w:line="240" w:lineRule="auto"/>
              <w:jc w:val="center"/>
              <w:rPr>
                <w:rFonts w:ascii="宋体" w:hAnsi="宋体"/>
                <w:highlight w:val="none"/>
              </w:rPr>
            </w:pPr>
            <w:r>
              <w:rPr>
                <w:rFonts w:hint="eastAsia" w:ascii="宋体" w:hAnsi="宋体"/>
                <w:highlight w:val="none"/>
              </w:rPr>
              <w:t>是否响应</w:t>
            </w:r>
          </w:p>
        </w:tc>
        <w:tc>
          <w:tcPr>
            <w:tcW w:w="2982" w:type="dxa"/>
          </w:tcPr>
          <w:p w14:paraId="42B0C572">
            <w:pPr>
              <w:snapToGrid w:val="0"/>
              <w:spacing w:before="145" w:line="240" w:lineRule="auto"/>
              <w:jc w:val="center"/>
              <w:rPr>
                <w:rFonts w:ascii="宋体" w:hAnsi="宋体"/>
                <w:highlight w:val="none"/>
              </w:rPr>
            </w:pPr>
            <w:r>
              <w:rPr>
                <w:rFonts w:hint="eastAsia" w:ascii="宋体" w:hAnsi="宋体"/>
                <w:highlight w:val="none"/>
              </w:rPr>
              <w:t>供应商的承诺或说明</w:t>
            </w:r>
          </w:p>
        </w:tc>
      </w:tr>
      <w:tr w14:paraId="54AAD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Pr>
          <w:p w14:paraId="276C9FD0">
            <w:pPr>
              <w:snapToGrid w:val="0"/>
              <w:spacing w:before="145" w:line="240" w:lineRule="auto"/>
              <w:jc w:val="center"/>
              <w:rPr>
                <w:rFonts w:ascii="宋体" w:hAnsi="宋体"/>
                <w:szCs w:val="20"/>
                <w:highlight w:val="none"/>
              </w:rPr>
            </w:pPr>
          </w:p>
        </w:tc>
        <w:tc>
          <w:tcPr>
            <w:tcW w:w="2502" w:type="dxa"/>
          </w:tcPr>
          <w:p w14:paraId="68080943">
            <w:pPr>
              <w:snapToGrid w:val="0"/>
              <w:spacing w:before="145" w:line="240" w:lineRule="auto"/>
              <w:jc w:val="center"/>
              <w:rPr>
                <w:rFonts w:ascii="宋体" w:hAnsi="宋体"/>
                <w:szCs w:val="20"/>
                <w:highlight w:val="none"/>
              </w:rPr>
            </w:pPr>
          </w:p>
        </w:tc>
        <w:tc>
          <w:tcPr>
            <w:tcW w:w="1837" w:type="dxa"/>
          </w:tcPr>
          <w:p w14:paraId="31FC2534">
            <w:pPr>
              <w:snapToGrid w:val="0"/>
              <w:spacing w:before="145" w:line="240" w:lineRule="auto"/>
              <w:jc w:val="center"/>
              <w:rPr>
                <w:rFonts w:ascii="宋体" w:hAnsi="宋体"/>
                <w:szCs w:val="20"/>
                <w:highlight w:val="none"/>
              </w:rPr>
            </w:pPr>
          </w:p>
        </w:tc>
        <w:tc>
          <w:tcPr>
            <w:tcW w:w="2982" w:type="dxa"/>
          </w:tcPr>
          <w:p w14:paraId="6FF27245">
            <w:pPr>
              <w:snapToGrid w:val="0"/>
              <w:spacing w:before="145" w:line="240" w:lineRule="auto"/>
              <w:jc w:val="center"/>
              <w:rPr>
                <w:rFonts w:ascii="宋体" w:hAnsi="宋体"/>
                <w:szCs w:val="20"/>
                <w:highlight w:val="none"/>
              </w:rPr>
            </w:pPr>
          </w:p>
        </w:tc>
      </w:tr>
      <w:tr w14:paraId="635C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Pr>
          <w:p w14:paraId="58D6EFEA">
            <w:pPr>
              <w:snapToGrid w:val="0"/>
              <w:spacing w:before="145" w:line="240" w:lineRule="auto"/>
              <w:jc w:val="center"/>
              <w:rPr>
                <w:rFonts w:ascii="宋体" w:hAnsi="宋体"/>
                <w:highlight w:val="none"/>
              </w:rPr>
            </w:pPr>
          </w:p>
        </w:tc>
        <w:tc>
          <w:tcPr>
            <w:tcW w:w="2502" w:type="dxa"/>
          </w:tcPr>
          <w:p w14:paraId="164AA992">
            <w:pPr>
              <w:snapToGrid w:val="0"/>
              <w:spacing w:before="145" w:line="240" w:lineRule="auto"/>
              <w:rPr>
                <w:rFonts w:ascii="宋体" w:hAnsi="宋体"/>
                <w:highlight w:val="none"/>
              </w:rPr>
            </w:pPr>
          </w:p>
        </w:tc>
        <w:tc>
          <w:tcPr>
            <w:tcW w:w="1837" w:type="dxa"/>
          </w:tcPr>
          <w:p w14:paraId="75383F58">
            <w:pPr>
              <w:snapToGrid w:val="0"/>
              <w:spacing w:before="145" w:line="240" w:lineRule="auto"/>
              <w:ind w:left="43"/>
              <w:jc w:val="center"/>
              <w:rPr>
                <w:rFonts w:ascii="宋体" w:hAnsi="宋体"/>
                <w:szCs w:val="20"/>
                <w:highlight w:val="none"/>
              </w:rPr>
            </w:pPr>
          </w:p>
        </w:tc>
        <w:tc>
          <w:tcPr>
            <w:tcW w:w="2982" w:type="dxa"/>
          </w:tcPr>
          <w:p w14:paraId="0ED4ED7B">
            <w:pPr>
              <w:snapToGrid w:val="0"/>
              <w:spacing w:before="145" w:line="240" w:lineRule="auto"/>
              <w:ind w:left="43"/>
              <w:jc w:val="center"/>
              <w:rPr>
                <w:rFonts w:ascii="宋体" w:hAnsi="宋体"/>
                <w:szCs w:val="20"/>
                <w:highlight w:val="none"/>
              </w:rPr>
            </w:pPr>
          </w:p>
        </w:tc>
      </w:tr>
      <w:tr w14:paraId="21FD6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Pr>
          <w:p w14:paraId="6C58BBF0">
            <w:pPr>
              <w:snapToGrid w:val="0"/>
              <w:spacing w:before="145" w:line="240" w:lineRule="auto"/>
              <w:jc w:val="center"/>
              <w:rPr>
                <w:rFonts w:ascii="宋体" w:hAnsi="宋体"/>
                <w:szCs w:val="20"/>
                <w:highlight w:val="none"/>
              </w:rPr>
            </w:pPr>
          </w:p>
        </w:tc>
        <w:tc>
          <w:tcPr>
            <w:tcW w:w="2502" w:type="dxa"/>
          </w:tcPr>
          <w:p w14:paraId="396516BB">
            <w:pPr>
              <w:snapToGrid w:val="0"/>
              <w:spacing w:before="145" w:line="240" w:lineRule="auto"/>
              <w:rPr>
                <w:rFonts w:ascii="宋体" w:hAnsi="宋体"/>
                <w:szCs w:val="20"/>
                <w:highlight w:val="none"/>
              </w:rPr>
            </w:pPr>
          </w:p>
        </w:tc>
        <w:tc>
          <w:tcPr>
            <w:tcW w:w="1837" w:type="dxa"/>
          </w:tcPr>
          <w:p w14:paraId="35A5335A">
            <w:pPr>
              <w:snapToGrid w:val="0"/>
              <w:spacing w:before="145" w:line="240" w:lineRule="auto"/>
              <w:jc w:val="center"/>
              <w:rPr>
                <w:rFonts w:ascii="宋体" w:hAnsi="宋体"/>
                <w:szCs w:val="20"/>
                <w:highlight w:val="none"/>
              </w:rPr>
            </w:pPr>
          </w:p>
        </w:tc>
        <w:tc>
          <w:tcPr>
            <w:tcW w:w="2982" w:type="dxa"/>
          </w:tcPr>
          <w:p w14:paraId="79033487">
            <w:pPr>
              <w:snapToGrid w:val="0"/>
              <w:spacing w:before="145" w:line="240" w:lineRule="auto"/>
              <w:jc w:val="center"/>
              <w:rPr>
                <w:rFonts w:ascii="宋体" w:hAnsi="宋体"/>
                <w:szCs w:val="20"/>
                <w:highlight w:val="none"/>
              </w:rPr>
            </w:pPr>
          </w:p>
        </w:tc>
      </w:tr>
      <w:tr w14:paraId="1E9B8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Pr>
          <w:p w14:paraId="09F22EDC">
            <w:pPr>
              <w:snapToGrid w:val="0"/>
              <w:spacing w:before="145" w:line="240" w:lineRule="auto"/>
              <w:jc w:val="center"/>
              <w:rPr>
                <w:rFonts w:ascii="宋体" w:hAnsi="宋体"/>
                <w:szCs w:val="20"/>
                <w:highlight w:val="none"/>
              </w:rPr>
            </w:pPr>
          </w:p>
        </w:tc>
        <w:tc>
          <w:tcPr>
            <w:tcW w:w="2502" w:type="dxa"/>
          </w:tcPr>
          <w:p w14:paraId="3B68C684">
            <w:pPr>
              <w:snapToGrid w:val="0"/>
              <w:spacing w:before="145" w:line="240" w:lineRule="auto"/>
              <w:rPr>
                <w:rFonts w:ascii="宋体" w:hAnsi="宋体"/>
                <w:szCs w:val="20"/>
                <w:highlight w:val="none"/>
              </w:rPr>
            </w:pPr>
          </w:p>
        </w:tc>
        <w:tc>
          <w:tcPr>
            <w:tcW w:w="1837" w:type="dxa"/>
          </w:tcPr>
          <w:p w14:paraId="16DD9B07">
            <w:pPr>
              <w:snapToGrid w:val="0"/>
              <w:spacing w:before="145" w:line="240" w:lineRule="auto"/>
              <w:jc w:val="center"/>
              <w:rPr>
                <w:rFonts w:ascii="宋体" w:hAnsi="宋体"/>
                <w:szCs w:val="20"/>
                <w:highlight w:val="none"/>
              </w:rPr>
            </w:pPr>
          </w:p>
        </w:tc>
        <w:tc>
          <w:tcPr>
            <w:tcW w:w="2982" w:type="dxa"/>
          </w:tcPr>
          <w:p w14:paraId="5B850D72">
            <w:pPr>
              <w:snapToGrid w:val="0"/>
              <w:spacing w:before="145" w:line="240" w:lineRule="auto"/>
              <w:jc w:val="center"/>
              <w:rPr>
                <w:rFonts w:ascii="宋体" w:hAnsi="宋体"/>
                <w:szCs w:val="20"/>
                <w:highlight w:val="none"/>
              </w:rPr>
            </w:pPr>
          </w:p>
        </w:tc>
      </w:tr>
      <w:tr w14:paraId="47A8F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Pr>
          <w:p w14:paraId="79C64F01">
            <w:pPr>
              <w:snapToGrid w:val="0"/>
              <w:spacing w:before="145" w:line="240" w:lineRule="auto"/>
              <w:jc w:val="center"/>
              <w:rPr>
                <w:rFonts w:ascii="宋体" w:hAnsi="宋体"/>
                <w:szCs w:val="20"/>
                <w:highlight w:val="none"/>
              </w:rPr>
            </w:pPr>
          </w:p>
        </w:tc>
        <w:tc>
          <w:tcPr>
            <w:tcW w:w="2502" w:type="dxa"/>
          </w:tcPr>
          <w:p w14:paraId="738741F4">
            <w:pPr>
              <w:snapToGrid w:val="0"/>
              <w:spacing w:before="145" w:line="240" w:lineRule="auto"/>
              <w:jc w:val="center"/>
              <w:rPr>
                <w:rFonts w:ascii="宋体" w:hAnsi="宋体"/>
                <w:szCs w:val="20"/>
                <w:highlight w:val="none"/>
              </w:rPr>
            </w:pPr>
          </w:p>
        </w:tc>
        <w:tc>
          <w:tcPr>
            <w:tcW w:w="1837" w:type="dxa"/>
          </w:tcPr>
          <w:p w14:paraId="06499B6A">
            <w:pPr>
              <w:snapToGrid w:val="0"/>
              <w:spacing w:before="145" w:line="240" w:lineRule="auto"/>
              <w:jc w:val="center"/>
              <w:rPr>
                <w:rFonts w:ascii="宋体" w:hAnsi="宋体"/>
                <w:szCs w:val="20"/>
                <w:highlight w:val="none"/>
              </w:rPr>
            </w:pPr>
          </w:p>
        </w:tc>
        <w:tc>
          <w:tcPr>
            <w:tcW w:w="2982" w:type="dxa"/>
          </w:tcPr>
          <w:p w14:paraId="65D27CF2">
            <w:pPr>
              <w:snapToGrid w:val="0"/>
              <w:spacing w:before="145" w:line="240" w:lineRule="auto"/>
              <w:jc w:val="center"/>
              <w:rPr>
                <w:rFonts w:ascii="宋体" w:hAnsi="宋体"/>
                <w:szCs w:val="20"/>
                <w:highlight w:val="none"/>
              </w:rPr>
            </w:pPr>
          </w:p>
        </w:tc>
      </w:tr>
      <w:tr w14:paraId="7A20B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Pr>
          <w:p w14:paraId="1177646C">
            <w:pPr>
              <w:snapToGrid w:val="0"/>
              <w:spacing w:before="145" w:line="240" w:lineRule="auto"/>
              <w:jc w:val="center"/>
              <w:rPr>
                <w:rFonts w:ascii="宋体" w:hAnsi="宋体"/>
                <w:szCs w:val="20"/>
                <w:highlight w:val="none"/>
              </w:rPr>
            </w:pPr>
          </w:p>
        </w:tc>
        <w:tc>
          <w:tcPr>
            <w:tcW w:w="2502" w:type="dxa"/>
          </w:tcPr>
          <w:p w14:paraId="2946D05D">
            <w:pPr>
              <w:snapToGrid w:val="0"/>
              <w:spacing w:before="145" w:line="240" w:lineRule="auto"/>
              <w:jc w:val="center"/>
              <w:rPr>
                <w:rFonts w:ascii="宋体" w:hAnsi="宋体"/>
                <w:szCs w:val="20"/>
                <w:highlight w:val="none"/>
              </w:rPr>
            </w:pPr>
            <w:r>
              <w:rPr>
                <w:rFonts w:hint="eastAsia" w:ascii="宋体" w:hAnsi="宋体"/>
                <w:szCs w:val="20"/>
                <w:highlight w:val="none"/>
              </w:rPr>
              <w:t>……</w:t>
            </w:r>
          </w:p>
        </w:tc>
        <w:tc>
          <w:tcPr>
            <w:tcW w:w="1837" w:type="dxa"/>
          </w:tcPr>
          <w:p w14:paraId="29EEA7F7">
            <w:pPr>
              <w:snapToGrid w:val="0"/>
              <w:spacing w:before="145" w:line="240" w:lineRule="auto"/>
              <w:jc w:val="center"/>
              <w:rPr>
                <w:rFonts w:ascii="宋体" w:hAnsi="宋体"/>
                <w:szCs w:val="20"/>
                <w:highlight w:val="none"/>
              </w:rPr>
            </w:pPr>
          </w:p>
        </w:tc>
        <w:tc>
          <w:tcPr>
            <w:tcW w:w="2982" w:type="dxa"/>
          </w:tcPr>
          <w:p w14:paraId="1EF04E8F">
            <w:pPr>
              <w:snapToGrid w:val="0"/>
              <w:spacing w:before="145" w:line="240" w:lineRule="auto"/>
              <w:jc w:val="center"/>
              <w:rPr>
                <w:rFonts w:ascii="宋体" w:hAnsi="宋体"/>
                <w:szCs w:val="20"/>
                <w:highlight w:val="none"/>
              </w:rPr>
            </w:pPr>
          </w:p>
        </w:tc>
      </w:tr>
    </w:tbl>
    <w:p w14:paraId="34ABA66F">
      <w:pPr>
        <w:spacing w:line="240" w:lineRule="auto"/>
        <w:jc w:val="center"/>
        <w:rPr>
          <w:rFonts w:ascii="宋体" w:hAnsi="宋体"/>
          <w:szCs w:val="24"/>
          <w:highlight w:val="none"/>
        </w:rPr>
      </w:pPr>
    </w:p>
    <w:p w14:paraId="406D12E2">
      <w:pPr>
        <w:spacing w:line="480" w:lineRule="auto"/>
        <w:rPr>
          <w:rFonts w:ascii="宋体" w:hAnsi="宋体"/>
          <w:highlight w:val="none"/>
        </w:rPr>
      </w:pPr>
      <w:bookmarkStart w:id="105" w:name="_Hlt26609391"/>
      <w:bookmarkEnd w:id="105"/>
      <w:bookmarkStart w:id="106" w:name="_Hlt26671343"/>
      <w:bookmarkEnd w:id="106"/>
      <w:bookmarkStart w:id="107" w:name="_Hlt26580838"/>
      <w:bookmarkEnd w:id="107"/>
      <w:bookmarkStart w:id="108" w:name="_Hlt26782999"/>
      <w:bookmarkEnd w:id="108"/>
      <w:bookmarkStart w:id="109" w:name="_Hlt26671372"/>
      <w:bookmarkEnd w:id="109"/>
      <w:bookmarkStart w:id="110" w:name="_Hlt26955056"/>
      <w:bookmarkEnd w:id="110"/>
      <w:bookmarkStart w:id="111" w:name="_Hlt26955064"/>
      <w:bookmarkEnd w:id="111"/>
      <w:bookmarkStart w:id="112" w:name="_Hlt24879081"/>
      <w:bookmarkEnd w:id="112"/>
    </w:p>
    <w:p w14:paraId="030C8827">
      <w:pPr>
        <w:pStyle w:val="15"/>
        <w:ind w:firstLine="0"/>
        <w:rPr>
          <w:rFonts w:ascii="宋体" w:hAnsi="宋体"/>
          <w:sz w:val="24"/>
          <w:highlight w:val="none"/>
        </w:rPr>
        <w:sectPr>
          <w:pgSz w:w="11906" w:h="16838"/>
          <w:pgMar w:top="1418" w:right="1588" w:bottom="1418" w:left="1365" w:header="851" w:footer="907" w:gutter="0"/>
          <w:cols w:space="720" w:num="1"/>
          <w:titlePg/>
          <w:docGrid w:type="lines" w:linePitch="290" w:charSpace="0"/>
        </w:sectPr>
      </w:pPr>
    </w:p>
    <w:p w14:paraId="49F3CCDE">
      <w:pPr>
        <w:pStyle w:val="6"/>
        <w:jc w:val="center"/>
        <w:rPr>
          <w:rFonts w:ascii="宋体" w:hAnsi="宋体"/>
          <w:highlight w:val="none"/>
        </w:rPr>
      </w:pPr>
      <w:bookmarkStart w:id="113" w:name="_格式2__法定代表人授权书"/>
      <w:bookmarkEnd w:id="113"/>
      <w:bookmarkStart w:id="114" w:name="_Toc23828478"/>
      <w:bookmarkStart w:id="115" w:name="_Toc120614283"/>
      <w:bookmarkStart w:id="116" w:name="_Toc460901585"/>
      <w:bookmarkStart w:id="117" w:name="_Toc513029276"/>
      <w:bookmarkStart w:id="118" w:name="_Toc26554095"/>
      <w:bookmarkStart w:id="119" w:name="_Toc49090577"/>
      <w:bookmarkStart w:id="120" w:name="_Toc22356580"/>
      <w:bookmarkStart w:id="121" w:name="_Toc534816650"/>
      <w:bookmarkStart w:id="122" w:name="_Toc534725621"/>
      <w:r>
        <w:rPr>
          <w:rFonts w:hint="eastAsia" w:ascii="宋体" w:hAnsi="宋体"/>
          <w:highlight w:val="none"/>
        </w:rPr>
        <w:t>七、</w:t>
      </w:r>
      <w:bookmarkEnd w:id="114"/>
      <w:bookmarkEnd w:id="115"/>
      <w:bookmarkEnd w:id="116"/>
      <w:bookmarkEnd w:id="117"/>
      <w:bookmarkEnd w:id="118"/>
      <w:bookmarkEnd w:id="119"/>
      <w:bookmarkEnd w:id="120"/>
      <w:r>
        <w:rPr>
          <w:rFonts w:hint="eastAsia" w:ascii="宋体" w:hAnsi="宋体"/>
          <w:highlight w:val="none"/>
        </w:rPr>
        <w:t>磋商报价一览表</w:t>
      </w:r>
      <w:bookmarkEnd w:id="121"/>
      <w:bookmarkEnd w:id="122"/>
    </w:p>
    <w:tbl>
      <w:tblPr>
        <w:tblStyle w:val="50"/>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14:paraId="33C9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vAlign w:val="center"/>
          </w:tcPr>
          <w:p w14:paraId="19618B95">
            <w:pPr>
              <w:tabs>
                <w:tab w:val="left" w:pos="142"/>
              </w:tabs>
              <w:jc w:val="center"/>
              <w:rPr>
                <w:rFonts w:ascii="宋体" w:hAnsi="宋体"/>
                <w:szCs w:val="24"/>
                <w:highlight w:val="none"/>
              </w:rPr>
            </w:pPr>
            <w:r>
              <w:rPr>
                <w:rFonts w:hint="eastAsia" w:ascii="宋体" w:hAnsi="宋体"/>
                <w:szCs w:val="24"/>
                <w:highlight w:val="none"/>
              </w:rPr>
              <w:t>项目名称</w:t>
            </w:r>
          </w:p>
        </w:tc>
        <w:tc>
          <w:tcPr>
            <w:tcW w:w="6035" w:type="dxa"/>
            <w:vAlign w:val="center"/>
          </w:tcPr>
          <w:p w14:paraId="28473EDD">
            <w:pPr>
              <w:tabs>
                <w:tab w:val="left" w:pos="142"/>
              </w:tabs>
              <w:ind w:firstLine="480" w:firstLineChars="200"/>
              <w:jc w:val="left"/>
              <w:rPr>
                <w:rFonts w:ascii="宋体" w:hAnsi="宋体"/>
                <w:szCs w:val="24"/>
                <w:highlight w:val="none"/>
              </w:rPr>
            </w:pPr>
            <w:r>
              <w:rPr>
                <w:rFonts w:hint="eastAsia" w:ascii="宋体" w:hAnsi="宋体"/>
                <w:szCs w:val="24"/>
                <w:highlight w:val="none"/>
              </w:rPr>
              <w:t xml:space="preserve">  </w:t>
            </w:r>
          </w:p>
        </w:tc>
      </w:tr>
      <w:tr w14:paraId="73EC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vAlign w:val="center"/>
          </w:tcPr>
          <w:p w14:paraId="202D3D66">
            <w:pPr>
              <w:tabs>
                <w:tab w:val="left" w:pos="142"/>
              </w:tabs>
              <w:spacing w:line="500" w:lineRule="exact"/>
              <w:jc w:val="center"/>
              <w:rPr>
                <w:rFonts w:ascii="宋体" w:hAnsi="宋体"/>
                <w:szCs w:val="24"/>
                <w:highlight w:val="none"/>
              </w:rPr>
            </w:pPr>
            <w:r>
              <w:rPr>
                <w:rFonts w:hint="eastAsia" w:ascii="宋体" w:hAnsi="宋体"/>
                <w:szCs w:val="24"/>
                <w:highlight w:val="none"/>
              </w:rPr>
              <w:t>项目编号</w:t>
            </w:r>
          </w:p>
        </w:tc>
        <w:tc>
          <w:tcPr>
            <w:tcW w:w="6035" w:type="dxa"/>
            <w:vAlign w:val="center"/>
          </w:tcPr>
          <w:p w14:paraId="1EDDD01A">
            <w:pPr>
              <w:tabs>
                <w:tab w:val="left" w:pos="142"/>
              </w:tabs>
              <w:spacing w:line="500" w:lineRule="exact"/>
              <w:ind w:firstLine="480" w:firstLineChars="200"/>
              <w:jc w:val="left"/>
              <w:rPr>
                <w:rFonts w:ascii="宋体" w:hAnsi="宋体"/>
                <w:szCs w:val="24"/>
                <w:highlight w:val="none"/>
              </w:rPr>
            </w:pPr>
            <w:r>
              <w:rPr>
                <w:rFonts w:hint="eastAsia" w:ascii="宋体" w:hAnsi="宋体"/>
                <w:szCs w:val="24"/>
                <w:highlight w:val="none"/>
              </w:rPr>
              <w:t xml:space="preserve">  </w:t>
            </w:r>
          </w:p>
        </w:tc>
      </w:tr>
      <w:tr w14:paraId="11DD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14:paraId="0BC17D24">
            <w:pPr>
              <w:tabs>
                <w:tab w:val="left" w:pos="142"/>
              </w:tabs>
              <w:spacing w:line="500" w:lineRule="exact"/>
              <w:jc w:val="center"/>
              <w:rPr>
                <w:rFonts w:ascii="宋体" w:hAnsi="宋体"/>
                <w:szCs w:val="24"/>
                <w:highlight w:val="none"/>
              </w:rPr>
            </w:pPr>
            <w:r>
              <w:rPr>
                <w:rFonts w:hint="eastAsia" w:ascii="宋体" w:hAnsi="宋体"/>
                <w:szCs w:val="24"/>
                <w:highlight w:val="none"/>
              </w:rPr>
              <w:t>响应报价</w:t>
            </w:r>
          </w:p>
        </w:tc>
        <w:tc>
          <w:tcPr>
            <w:tcW w:w="6035" w:type="dxa"/>
            <w:vAlign w:val="center"/>
          </w:tcPr>
          <w:p w14:paraId="2D0DC9E3">
            <w:pPr>
              <w:tabs>
                <w:tab w:val="left" w:pos="142"/>
              </w:tabs>
              <w:spacing w:line="500" w:lineRule="exact"/>
              <w:ind w:firstLine="480" w:firstLineChars="200"/>
              <w:jc w:val="left"/>
              <w:rPr>
                <w:rFonts w:ascii="宋体" w:hAnsi="宋体"/>
                <w:szCs w:val="24"/>
                <w:highlight w:val="none"/>
              </w:rPr>
            </w:pPr>
            <w:r>
              <w:rPr>
                <w:rFonts w:hint="eastAsia" w:ascii="宋体" w:hAnsi="宋体"/>
                <w:szCs w:val="24"/>
                <w:highlight w:val="none"/>
              </w:rPr>
              <w:t>￥</w:t>
            </w:r>
            <w:r>
              <w:rPr>
                <w:rFonts w:hint="eastAsia" w:ascii="宋体" w:hAnsi="宋体"/>
                <w:szCs w:val="24"/>
                <w:highlight w:val="none"/>
                <w:u w:val="single"/>
              </w:rPr>
              <w:t xml:space="preserve">                      </w:t>
            </w:r>
            <w:r>
              <w:rPr>
                <w:rFonts w:hint="eastAsia" w:ascii="宋体" w:hAnsi="宋体"/>
                <w:szCs w:val="24"/>
                <w:highlight w:val="none"/>
              </w:rPr>
              <w:t>元</w:t>
            </w:r>
          </w:p>
          <w:p w14:paraId="0DB18B57">
            <w:pPr>
              <w:tabs>
                <w:tab w:val="left" w:pos="142"/>
              </w:tabs>
              <w:spacing w:line="500" w:lineRule="exact"/>
              <w:jc w:val="left"/>
              <w:rPr>
                <w:rFonts w:ascii="宋体" w:hAnsi="宋体"/>
                <w:szCs w:val="24"/>
                <w:highlight w:val="none"/>
              </w:rPr>
            </w:pPr>
            <w:r>
              <w:rPr>
                <w:rFonts w:hint="eastAsia" w:ascii="宋体" w:hAnsi="宋体"/>
                <w:szCs w:val="24"/>
                <w:highlight w:val="none"/>
              </w:rPr>
              <w:t>人民币 （大写）:</w:t>
            </w:r>
            <w:r>
              <w:rPr>
                <w:rFonts w:hint="eastAsia" w:ascii="宋体" w:hAnsi="宋体"/>
                <w:szCs w:val="24"/>
                <w:highlight w:val="none"/>
                <w:u w:val="single"/>
              </w:rPr>
              <w:t xml:space="preserve">              </w:t>
            </w:r>
            <w:r>
              <w:rPr>
                <w:rFonts w:hint="eastAsia" w:ascii="宋体" w:hAnsi="宋体"/>
                <w:szCs w:val="24"/>
                <w:highlight w:val="none"/>
              </w:rPr>
              <w:t xml:space="preserve">                 </w:t>
            </w:r>
          </w:p>
        </w:tc>
      </w:tr>
      <w:tr w14:paraId="71C1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vAlign w:val="center"/>
          </w:tcPr>
          <w:p w14:paraId="40FD58F0">
            <w:pPr>
              <w:tabs>
                <w:tab w:val="left" w:pos="142"/>
              </w:tabs>
              <w:spacing w:line="500" w:lineRule="exact"/>
              <w:jc w:val="center"/>
              <w:rPr>
                <w:rFonts w:ascii="宋体" w:hAnsi="宋体"/>
                <w:color w:val="000000"/>
                <w:szCs w:val="24"/>
                <w:highlight w:val="none"/>
              </w:rPr>
            </w:pPr>
            <w:r>
              <w:rPr>
                <w:rFonts w:hint="eastAsia" w:ascii="宋体" w:hAnsi="宋体"/>
                <w:color w:val="000000"/>
                <w:szCs w:val="24"/>
                <w:highlight w:val="none"/>
              </w:rPr>
              <w:t>交货期限/服务期限</w:t>
            </w:r>
          </w:p>
        </w:tc>
        <w:tc>
          <w:tcPr>
            <w:tcW w:w="6035" w:type="dxa"/>
            <w:vAlign w:val="center"/>
          </w:tcPr>
          <w:p w14:paraId="390BBADA">
            <w:pPr>
              <w:tabs>
                <w:tab w:val="left" w:pos="142"/>
              </w:tabs>
              <w:spacing w:line="500" w:lineRule="exact"/>
              <w:ind w:firstLine="480" w:firstLineChars="200"/>
              <w:jc w:val="left"/>
              <w:rPr>
                <w:rFonts w:ascii="宋体" w:hAnsi="宋体"/>
                <w:color w:val="000000"/>
                <w:szCs w:val="24"/>
                <w:highlight w:val="none"/>
              </w:rPr>
            </w:pPr>
            <w:r>
              <w:rPr>
                <w:rFonts w:hint="eastAsia" w:ascii="宋体" w:hAnsi="宋体"/>
                <w:color w:val="000000"/>
                <w:szCs w:val="24"/>
                <w:highlight w:val="none"/>
              </w:rPr>
              <w:t>合同签订后</w:t>
            </w:r>
            <w:r>
              <w:rPr>
                <w:rFonts w:hint="eastAsia" w:ascii="宋体" w:hAnsi="宋体"/>
                <w:color w:val="000000"/>
                <w:szCs w:val="24"/>
                <w:highlight w:val="none"/>
                <w:u w:val="single"/>
              </w:rPr>
              <w:t xml:space="preserve">                  天</w:t>
            </w:r>
          </w:p>
        </w:tc>
      </w:tr>
    </w:tbl>
    <w:p w14:paraId="06D11CBE">
      <w:pPr>
        <w:rPr>
          <w:rFonts w:ascii="宋体" w:hAnsi="宋体"/>
          <w:highlight w:val="none"/>
        </w:rPr>
      </w:pPr>
      <w:r>
        <w:rPr>
          <w:rFonts w:hint="eastAsia" w:ascii="宋体" w:hAnsi="宋体"/>
          <w:highlight w:val="none"/>
        </w:rPr>
        <w:t>供应商全称（公章）：        </w:t>
      </w:r>
    </w:p>
    <w:p w14:paraId="5F3F33A4">
      <w:pPr>
        <w:rPr>
          <w:rFonts w:ascii="宋体" w:hAnsi="宋体"/>
          <w:highlight w:val="none"/>
        </w:rPr>
      </w:pPr>
      <w:r>
        <w:rPr>
          <w:rFonts w:hint="eastAsia" w:ascii="宋体" w:hAnsi="宋体"/>
          <w:highlight w:val="none"/>
        </w:rPr>
        <w:t>法定代表人（授权代表）（签字或盖章）：</w:t>
      </w:r>
    </w:p>
    <w:p w14:paraId="701FF1E0">
      <w:pPr>
        <w:rPr>
          <w:rFonts w:ascii="宋体" w:hAnsi="宋体"/>
          <w:highlight w:val="none"/>
        </w:rPr>
      </w:pPr>
      <w:r>
        <w:rPr>
          <w:rFonts w:hint="eastAsia" w:ascii="宋体" w:hAnsi="宋体"/>
          <w:highlight w:val="none"/>
        </w:rPr>
        <w:t>日期：</w:t>
      </w:r>
    </w:p>
    <w:p w14:paraId="3B19BD2A">
      <w:pPr>
        <w:rPr>
          <w:rFonts w:ascii="宋体" w:hAnsi="宋体"/>
          <w:highlight w:val="none"/>
        </w:rPr>
      </w:pPr>
      <w:r>
        <w:rPr>
          <w:rFonts w:hint="eastAsia" w:ascii="宋体" w:hAnsi="宋体"/>
          <w:highlight w:val="none"/>
        </w:rPr>
        <w:t>   </w:t>
      </w:r>
    </w:p>
    <w:p w14:paraId="0D59E6EE">
      <w:pPr>
        <w:rPr>
          <w:rFonts w:ascii="宋体" w:hAnsi="宋体"/>
          <w:highlight w:val="none"/>
        </w:rPr>
      </w:pPr>
      <w:r>
        <w:rPr>
          <w:rFonts w:hint="eastAsia" w:ascii="宋体" w:hAnsi="宋体"/>
          <w:highlight w:val="none"/>
        </w:rPr>
        <w:t>注：</w:t>
      </w:r>
    </w:p>
    <w:p w14:paraId="541EC349">
      <w:pPr>
        <w:rPr>
          <w:rFonts w:ascii="宋体" w:hAnsi="宋体"/>
          <w:highlight w:val="none"/>
        </w:rPr>
      </w:pPr>
      <w:r>
        <w:rPr>
          <w:rFonts w:hint="eastAsia" w:ascii="宋体" w:hAnsi="宋体"/>
          <w:highlight w:val="none"/>
        </w:rPr>
        <w:t>响应总报价应包含本项目实施期间的所有含税费用。</w:t>
      </w:r>
    </w:p>
    <w:p w14:paraId="04F016D1">
      <w:pPr>
        <w:numPr>
          <w:ilvl w:val="0"/>
          <w:numId w:val="19"/>
        </w:numPr>
        <w:spacing w:line="240" w:lineRule="auto"/>
        <w:ind w:firstLine="480" w:firstLineChars="200"/>
        <w:jc w:val="center"/>
        <w:rPr>
          <w:rFonts w:ascii="宋体" w:hAnsi="宋体"/>
          <w:szCs w:val="24"/>
          <w:highlight w:val="none"/>
        </w:rPr>
      </w:pPr>
      <w:r>
        <w:rPr>
          <w:highlight w:val="none"/>
        </w:rPr>
        <w:br w:type="page"/>
      </w:r>
      <w:r>
        <w:rPr>
          <w:rFonts w:hint="eastAsia" w:ascii="宋体" w:hAnsi="宋体"/>
          <w:b/>
          <w:bCs/>
          <w:sz w:val="32"/>
          <w:szCs w:val="32"/>
          <w:highlight w:val="none"/>
        </w:rPr>
        <w:t>供应商认为有必要提供的声明及文件资料</w:t>
      </w:r>
    </w:p>
    <w:p w14:paraId="50FA5889">
      <w:pPr>
        <w:jc w:val="center"/>
        <w:rPr>
          <w:rFonts w:ascii="宋体" w:hAnsi="宋体"/>
          <w:sz w:val="28"/>
          <w:szCs w:val="28"/>
          <w:highlight w:val="none"/>
        </w:rPr>
      </w:pPr>
      <w:r>
        <w:rPr>
          <w:rFonts w:hint="eastAsia" w:ascii="宋体" w:hAnsi="宋体"/>
          <w:sz w:val="28"/>
          <w:szCs w:val="28"/>
          <w:highlight w:val="none"/>
        </w:rPr>
        <w:t>（格式自拟）</w:t>
      </w:r>
    </w:p>
    <w:p w14:paraId="4454B961">
      <w:pPr>
        <w:pStyle w:val="6"/>
        <w:jc w:val="center"/>
        <w:rPr>
          <w:rFonts w:ascii="宋体" w:hAnsi="宋体"/>
          <w:sz w:val="24"/>
          <w:szCs w:val="24"/>
          <w:highlight w:val="none"/>
        </w:rPr>
      </w:pPr>
    </w:p>
    <w:p w14:paraId="4634AA1E">
      <w:pPr>
        <w:spacing w:line="240" w:lineRule="auto"/>
        <w:rPr>
          <w:rFonts w:ascii="宋体" w:hAnsi="宋体"/>
          <w:szCs w:val="24"/>
          <w:highlight w:val="none"/>
        </w:rPr>
      </w:pPr>
    </w:p>
    <w:p w14:paraId="65FA89DD">
      <w:pPr>
        <w:rPr>
          <w:rFonts w:ascii="宋体" w:hAnsi="宋体"/>
          <w:szCs w:val="24"/>
          <w:highlight w:val="none"/>
        </w:rPr>
      </w:pPr>
    </w:p>
    <w:p w14:paraId="5AD39AE8">
      <w:pPr>
        <w:rPr>
          <w:rFonts w:ascii="宋体" w:hAnsi="宋体"/>
          <w:szCs w:val="24"/>
          <w:highlight w:val="none"/>
        </w:rPr>
      </w:pPr>
    </w:p>
    <w:p w14:paraId="4B516FF8">
      <w:pPr>
        <w:rPr>
          <w:rFonts w:ascii="宋体" w:hAnsi="宋体"/>
          <w:szCs w:val="24"/>
          <w:highlight w:val="none"/>
        </w:rPr>
      </w:pPr>
    </w:p>
    <w:p w14:paraId="1F7DD419">
      <w:pPr>
        <w:rPr>
          <w:rFonts w:ascii="宋体" w:hAnsi="宋体"/>
          <w:szCs w:val="24"/>
          <w:highlight w:val="none"/>
        </w:rPr>
      </w:pPr>
    </w:p>
    <w:p w14:paraId="03A7D996">
      <w:pPr>
        <w:rPr>
          <w:rFonts w:ascii="宋体" w:hAnsi="宋体"/>
          <w:szCs w:val="24"/>
          <w:highlight w:val="none"/>
        </w:rPr>
      </w:pPr>
    </w:p>
    <w:p w14:paraId="4501BF09">
      <w:pPr>
        <w:rPr>
          <w:rFonts w:ascii="宋体" w:hAnsi="宋体"/>
          <w:szCs w:val="24"/>
          <w:highlight w:val="none"/>
        </w:rPr>
      </w:pPr>
    </w:p>
    <w:p w14:paraId="20D8EA24">
      <w:pPr>
        <w:rPr>
          <w:rFonts w:ascii="宋体" w:hAnsi="宋体"/>
          <w:szCs w:val="24"/>
          <w:highlight w:val="none"/>
        </w:rPr>
      </w:pPr>
    </w:p>
    <w:p w14:paraId="47E1F810">
      <w:pPr>
        <w:rPr>
          <w:rFonts w:ascii="宋体" w:hAnsi="宋体"/>
          <w:szCs w:val="24"/>
          <w:highlight w:val="none"/>
        </w:rPr>
      </w:pPr>
    </w:p>
    <w:p w14:paraId="7AEA96FF">
      <w:pPr>
        <w:rPr>
          <w:rFonts w:ascii="宋体" w:hAnsi="宋体"/>
          <w:szCs w:val="24"/>
          <w:highlight w:val="none"/>
        </w:rPr>
      </w:pPr>
    </w:p>
    <w:p w14:paraId="761F4BA5">
      <w:pPr>
        <w:rPr>
          <w:rFonts w:ascii="宋体" w:hAnsi="宋体"/>
          <w:szCs w:val="24"/>
          <w:highlight w:val="none"/>
        </w:rPr>
      </w:pPr>
    </w:p>
    <w:p w14:paraId="47017F4A">
      <w:pPr>
        <w:rPr>
          <w:rFonts w:ascii="宋体" w:hAnsi="宋体"/>
          <w:szCs w:val="24"/>
          <w:highlight w:val="none"/>
        </w:rPr>
      </w:pPr>
    </w:p>
    <w:p w14:paraId="64ABFBC3">
      <w:pPr>
        <w:rPr>
          <w:rFonts w:ascii="宋体" w:hAnsi="宋体"/>
          <w:szCs w:val="24"/>
          <w:highlight w:val="none"/>
        </w:rPr>
      </w:pPr>
    </w:p>
    <w:p w14:paraId="1A7F1D2A">
      <w:pPr>
        <w:rPr>
          <w:rFonts w:ascii="宋体" w:hAnsi="宋体"/>
          <w:szCs w:val="24"/>
          <w:highlight w:val="none"/>
        </w:rPr>
      </w:pPr>
    </w:p>
    <w:p w14:paraId="192B6E21">
      <w:pPr>
        <w:rPr>
          <w:rFonts w:ascii="宋体" w:hAnsi="宋体"/>
          <w:szCs w:val="24"/>
          <w:highlight w:val="none"/>
        </w:rPr>
      </w:pPr>
    </w:p>
    <w:p w14:paraId="56E4303A">
      <w:pPr>
        <w:rPr>
          <w:rFonts w:ascii="宋体" w:hAnsi="宋体"/>
          <w:szCs w:val="24"/>
          <w:highlight w:val="none"/>
        </w:rPr>
      </w:pPr>
    </w:p>
    <w:p w14:paraId="496711A3">
      <w:pPr>
        <w:rPr>
          <w:rFonts w:ascii="宋体" w:hAnsi="宋体"/>
          <w:szCs w:val="24"/>
          <w:highlight w:val="none"/>
        </w:rPr>
      </w:pPr>
    </w:p>
    <w:p w14:paraId="2E576A11">
      <w:pPr>
        <w:rPr>
          <w:rFonts w:ascii="宋体" w:hAnsi="宋体"/>
          <w:szCs w:val="24"/>
          <w:highlight w:val="none"/>
        </w:rPr>
      </w:pPr>
    </w:p>
    <w:p w14:paraId="46AFB91F">
      <w:pPr>
        <w:rPr>
          <w:rFonts w:ascii="宋体" w:hAnsi="宋体"/>
          <w:szCs w:val="24"/>
          <w:highlight w:val="none"/>
        </w:rPr>
      </w:pPr>
    </w:p>
    <w:p w14:paraId="4E468CF1">
      <w:pPr>
        <w:rPr>
          <w:rFonts w:ascii="宋体" w:hAnsi="宋体"/>
          <w:szCs w:val="24"/>
          <w:highlight w:val="none"/>
        </w:rPr>
      </w:pPr>
    </w:p>
    <w:p w14:paraId="2197119E">
      <w:pPr>
        <w:rPr>
          <w:rFonts w:ascii="宋体" w:hAnsi="宋体"/>
          <w:szCs w:val="24"/>
          <w:highlight w:val="none"/>
        </w:rPr>
      </w:pPr>
    </w:p>
    <w:p w14:paraId="61099EFD">
      <w:pPr>
        <w:pStyle w:val="2"/>
        <w:rPr>
          <w:rFonts w:ascii="宋体" w:hAnsi="宋体"/>
          <w:highlight w:val="none"/>
        </w:rPr>
      </w:pPr>
    </w:p>
    <w:p w14:paraId="7D5321C9">
      <w:pPr>
        <w:pStyle w:val="15"/>
        <w:ind w:firstLine="0"/>
        <w:jc w:val="center"/>
        <w:rPr>
          <w:rFonts w:ascii="宋体" w:hAnsi="宋体"/>
          <w:b/>
          <w:bCs/>
          <w:kern w:val="2"/>
          <w:sz w:val="32"/>
          <w:szCs w:val="32"/>
          <w:highlight w:val="none"/>
        </w:rPr>
      </w:pPr>
      <w:r>
        <w:rPr>
          <w:highlight w:val="none"/>
        </w:rPr>
        <w:br w:type="page"/>
      </w:r>
      <w:r>
        <w:rPr>
          <w:rFonts w:hint="eastAsia" w:ascii="宋体" w:hAnsi="宋体"/>
          <w:b/>
          <w:bCs/>
          <w:kern w:val="2"/>
          <w:sz w:val="32"/>
          <w:szCs w:val="32"/>
          <w:highlight w:val="none"/>
        </w:rPr>
        <w:t>九、其他相关附表格式</w:t>
      </w:r>
    </w:p>
    <w:p w14:paraId="2A25C6CE">
      <w:pPr>
        <w:pStyle w:val="15"/>
        <w:ind w:firstLine="0"/>
        <w:jc w:val="left"/>
        <w:rPr>
          <w:rFonts w:ascii="宋体" w:hAnsi="宋体"/>
          <w:b/>
          <w:bCs/>
          <w:sz w:val="30"/>
          <w:szCs w:val="30"/>
          <w:highlight w:val="none"/>
        </w:rPr>
      </w:pPr>
      <w:r>
        <w:rPr>
          <w:rFonts w:hint="eastAsia" w:ascii="宋体" w:hAnsi="宋体"/>
          <w:b/>
          <w:bCs/>
          <w:sz w:val="30"/>
          <w:szCs w:val="30"/>
          <w:highlight w:val="none"/>
        </w:rPr>
        <w:t>表1</w:t>
      </w:r>
    </w:p>
    <w:p w14:paraId="392C31FD">
      <w:pPr>
        <w:pStyle w:val="15"/>
        <w:ind w:firstLine="0"/>
        <w:jc w:val="center"/>
        <w:rPr>
          <w:rFonts w:ascii="宋体" w:hAnsi="宋体"/>
          <w:b/>
          <w:bCs/>
          <w:sz w:val="30"/>
          <w:szCs w:val="30"/>
          <w:highlight w:val="none"/>
        </w:rPr>
      </w:pPr>
    </w:p>
    <w:p w14:paraId="5F28E50C">
      <w:pPr>
        <w:pStyle w:val="15"/>
        <w:ind w:firstLine="0"/>
        <w:jc w:val="center"/>
        <w:rPr>
          <w:rFonts w:ascii="宋体" w:hAnsi="宋体"/>
          <w:b/>
          <w:bCs/>
          <w:sz w:val="30"/>
          <w:szCs w:val="30"/>
          <w:highlight w:val="none"/>
        </w:rPr>
      </w:pPr>
      <w:r>
        <w:rPr>
          <w:rFonts w:hint="eastAsia" w:ascii="宋体" w:hAnsi="宋体"/>
          <w:b/>
          <w:bCs/>
          <w:sz w:val="30"/>
          <w:szCs w:val="30"/>
          <w:highlight w:val="none"/>
        </w:rPr>
        <w:t>具备履行合同所必需的设备和专业技术能力的书面声明</w:t>
      </w:r>
    </w:p>
    <w:p w14:paraId="35C915A9">
      <w:pPr>
        <w:pStyle w:val="15"/>
        <w:ind w:firstLine="0"/>
        <w:jc w:val="center"/>
        <w:rPr>
          <w:rFonts w:ascii="宋体" w:hAnsi="宋体"/>
          <w:b/>
          <w:bCs/>
          <w:sz w:val="30"/>
          <w:szCs w:val="30"/>
          <w:highlight w:val="none"/>
        </w:rPr>
      </w:pPr>
    </w:p>
    <w:p w14:paraId="57E539DC">
      <w:pPr>
        <w:spacing w:before="145" w:after="145" w:line="300" w:lineRule="auto"/>
        <w:ind w:firstLine="492"/>
        <w:rPr>
          <w:rFonts w:ascii="宋体" w:hAnsi="宋体"/>
          <w:bCs/>
          <w:highlight w:val="none"/>
        </w:rPr>
      </w:pPr>
      <w:r>
        <w:rPr>
          <w:rFonts w:hint="eastAsia" w:ascii="宋体" w:hAnsi="宋体"/>
          <w:bCs/>
          <w:highlight w:val="none"/>
        </w:rPr>
        <w:t>我单位郑重声明：我单位具备履行本项采购合同所必需的设备和专业技术能力，为履行本项采购合同我公司具备如下主要设备和主要专业技术能力：</w:t>
      </w:r>
    </w:p>
    <w:p w14:paraId="11A605B3">
      <w:pPr>
        <w:spacing w:before="145" w:after="145" w:line="300" w:lineRule="auto"/>
        <w:ind w:firstLine="492"/>
        <w:rPr>
          <w:rFonts w:ascii="宋体" w:hAnsi="宋体"/>
          <w:bCs/>
          <w:highlight w:val="none"/>
        </w:rPr>
      </w:pPr>
      <w:r>
        <w:rPr>
          <w:rFonts w:hint="eastAsia" w:ascii="宋体" w:hAnsi="宋体"/>
          <w:bCs/>
          <w:highlight w:val="none"/>
        </w:rPr>
        <w:t>主要设备有：</w:t>
      </w:r>
      <w:r>
        <w:rPr>
          <w:rFonts w:hint="eastAsia" w:ascii="宋体" w:hAnsi="宋体"/>
          <w:bCs/>
          <w:highlight w:val="none"/>
          <w:u w:val="single"/>
        </w:rPr>
        <w:t xml:space="preserve">                                                    </w:t>
      </w:r>
      <w:r>
        <w:rPr>
          <w:rFonts w:hint="eastAsia" w:ascii="宋体" w:hAnsi="宋体"/>
          <w:bCs/>
          <w:highlight w:val="none"/>
        </w:rPr>
        <w:t>。</w:t>
      </w:r>
    </w:p>
    <w:p w14:paraId="73FCC042">
      <w:pPr>
        <w:spacing w:before="145" w:after="145" w:line="300" w:lineRule="auto"/>
        <w:ind w:firstLine="492"/>
        <w:rPr>
          <w:rFonts w:ascii="宋体" w:hAnsi="宋体"/>
          <w:bCs/>
          <w:highlight w:val="none"/>
        </w:rPr>
      </w:pPr>
      <w:r>
        <w:rPr>
          <w:rFonts w:hint="eastAsia" w:ascii="宋体" w:hAnsi="宋体"/>
          <w:bCs/>
          <w:highlight w:val="none"/>
        </w:rPr>
        <w:t>主要专业技术能力有：</w:t>
      </w:r>
      <w:r>
        <w:rPr>
          <w:rFonts w:hint="eastAsia" w:ascii="宋体" w:hAnsi="宋体"/>
          <w:bCs/>
          <w:highlight w:val="none"/>
          <w:u w:val="single"/>
        </w:rPr>
        <w:t xml:space="preserve">                                            </w:t>
      </w:r>
      <w:r>
        <w:rPr>
          <w:rFonts w:hint="eastAsia" w:ascii="宋体" w:hAnsi="宋体"/>
          <w:bCs/>
          <w:highlight w:val="none"/>
        </w:rPr>
        <w:t>。</w:t>
      </w:r>
    </w:p>
    <w:p w14:paraId="00CE7448">
      <w:pPr>
        <w:spacing w:before="145" w:after="145" w:line="300" w:lineRule="auto"/>
        <w:ind w:left="6480" w:leftChars="2400" w:hanging="720" w:hangingChars="300"/>
        <w:jc w:val="left"/>
        <w:rPr>
          <w:rFonts w:ascii="宋体" w:hAnsi="宋体"/>
          <w:bCs/>
          <w:kern w:val="0"/>
          <w:szCs w:val="24"/>
          <w:highlight w:val="none"/>
        </w:rPr>
      </w:pPr>
      <w:r>
        <w:rPr>
          <w:rFonts w:hint="eastAsia" w:ascii="宋体" w:hAnsi="宋体"/>
          <w:bCs/>
          <w:kern w:val="0"/>
          <w:szCs w:val="24"/>
          <w:highlight w:val="none"/>
        </w:rPr>
        <w:t xml:space="preserve">                                     </w:t>
      </w:r>
      <w:r>
        <w:rPr>
          <w:rFonts w:hint="eastAsia" w:ascii="宋体" w:hAnsi="宋体"/>
          <w:highlight w:val="none"/>
        </w:rPr>
        <w:t xml:space="preserve">供应商名称（盖章）： </w:t>
      </w:r>
    </w:p>
    <w:p w14:paraId="5151A2D8">
      <w:pPr>
        <w:spacing w:before="145" w:after="145" w:line="300" w:lineRule="auto"/>
        <w:ind w:firstLine="6405" w:firstLineChars="3050"/>
        <w:rPr>
          <w:rFonts w:ascii="宋体" w:hAnsi="宋体"/>
          <w:sz w:val="21"/>
          <w:highlight w:val="none"/>
        </w:rPr>
      </w:pPr>
      <w:r>
        <w:rPr>
          <w:rFonts w:hint="eastAsia" w:ascii="宋体" w:hAnsi="宋体"/>
          <w:sz w:val="21"/>
          <w:highlight w:val="none"/>
        </w:rPr>
        <w:t>______年____月____日</w:t>
      </w:r>
    </w:p>
    <w:p w14:paraId="4C7DADD5">
      <w:pPr>
        <w:spacing w:before="145" w:after="145" w:line="300" w:lineRule="auto"/>
        <w:rPr>
          <w:rFonts w:ascii="宋体" w:hAnsi="宋体"/>
          <w:bCs/>
          <w:highlight w:val="none"/>
        </w:rPr>
      </w:pPr>
    </w:p>
    <w:p w14:paraId="763184F0">
      <w:pPr>
        <w:pStyle w:val="15"/>
        <w:ind w:firstLine="0"/>
        <w:jc w:val="left"/>
        <w:rPr>
          <w:rFonts w:ascii="宋体" w:hAnsi="宋体"/>
          <w:bCs/>
          <w:sz w:val="24"/>
          <w:highlight w:val="none"/>
        </w:rPr>
      </w:pPr>
      <w:r>
        <w:rPr>
          <w:highlight w:val="none"/>
        </w:rPr>
        <w:br w:type="page"/>
      </w:r>
      <w:r>
        <w:rPr>
          <w:rFonts w:hint="eastAsia" w:ascii="宋体" w:hAnsi="宋体"/>
          <w:b/>
          <w:bCs/>
          <w:sz w:val="30"/>
          <w:szCs w:val="30"/>
          <w:highlight w:val="none"/>
        </w:rPr>
        <w:t>表2</w:t>
      </w:r>
    </w:p>
    <w:p w14:paraId="38D2F689">
      <w:pPr>
        <w:pStyle w:val="15"/>
        <w:ind w:firstLine="0"/>
        <w:jc w:val="left"/>
        <w:rPr>
          <w:rFonts w:ascii="宋体" w:hAnsi="宋体"/>
          <w:sz w:val="30"/>
          <w:szCs w:val="30"/>
          <w:highlight w:val="none"/>
        </w:rPr>
      </w:pPr>
    </w:p>
    <w:p w14:paraId="04CDF662">
      <w:pPr>
        <w:spacing w:before="145" w:after="145" w:line="300" w:lineRule="auto"/>
        <w:rPr>
          <w:rFonts w:ascii="宋体" w:hAnsi="宋体"/>
          <w:bCs/>
          <w:highlight w:val="none"/>
        </w:rPr>
      </w:pPr>
    </w:p>
    <w:p w14:paraId="74FFE116">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参加政府采购活动前 3 年内在经营活动中没有重大违法记录的</w:t>
      </w:r>
    </w:p>
    <w:p w14:paraId="060D25CB">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书面声明</w:t>
      </w:r>
    </w:p>
    <w:p w14:paraId="2A840674">
      <w:pPr>
        <w:rPr>
          <w:rFonts w:ascii="宋体" w:hAnsi="宋体"/>
          <w:sz w:val="28"/>
          <w:szCs w:val="28"/>
          <w:highlight w:val="none"/>
        </w:rPr>
      </w:pPr>
    </w:p>
    <w:p w14:paraId="0B26EC74">
      <w:pPr>
        <w:spacing w:before="145" w:after="145" w:line="300" w:lineRule="auto"/>
        <w:rPr>
          <w:rFonts w:ascii="宋体" w:hAnsi="宋体"/>
          <w:b/>
          <w:bCs/>
          <w:highlight w:val="none"/>
        </w:rPr>
      </w:pPr>
      <w:r>
        <w:rPr>
          <w:rFonts w:hint="eastAsia" w:ascii="宋体" w:hAnsi="宋体"/>
          <w:b/>
          <w:bCs/>
          <w:highlight w:val="none"/>
        </w:rPr>
        <w:t xml:space="preserve">    </w:t>
      </w:r>
      <w:r>
        <w:rPr>
          <w:rFonts w:hint="eastAsia" w:ascii="宋体" w:hAnsi="宋体"/>
          <w:bCs/>
          <w:highlight w:val="none"/>
        </w:rPr>
        <w:t>我单位郑重声明：参加本次政府采购活动前 3 年内，我单位在经营活动中没有因违法经营受到刑事处罚或者责令停产停业、吊销许可证或者执照、较大数额罚款等行政处罚。</w:t>
      </w:r>
    </w:p>
    <w:p w14:paraId="71FE0164">
      <w:pPr>
        <w:spacing w:before="145" w:after="145" w:line="300" w:lineRule="auto"/>
        <w:rPr>
          <w:rFonts w:ascii="宋体" w:hAnsi="宋体"/>
          <w:bCs/>
          <w:highlight w:val="none"/>
        </w:rPr>
      </w:pPr>
    </w:p>
    <w:p w14:paraId="219A5324">
      <w:pPr>
        <w:spacing w:before="145" w:after="145" w:line="300" w:lineRule="auto"/>
        <w:ind w:left="480" w:leftChars="200" w:firstLine="5280" w:firstLineChars="2200"/>
        <w:jc w:val="left"/>
        <w:rPr>
          <w:rFonts w:ascii="宋体" w:hAnsi="宋体"/>
          <w:highlight w:val="none"/>
        </w:rPr>
      </w:pPr>
      <w:r>
        <w:rPr>
          <w:rFonts w:hint="eastAsia" w:ascii="宋体" w:hAnsi="宋体"/>
          <w:highlight w:val="none"/>
        </w:rPr>
        <w:t xml:space="preserve">供应商名称（盖章）： </w:t>
      </w:r>
    </w:p>
    <w:p w14:paraId="471EEA99">
      <w:pPr>
        <w:spacing w:before="145" w:after="145" w:line="300" w:lineRule="auto"/>
        <w:ind w:firstLine="5775" w:firstLineChars="2750"/>
        <w:rPr>
          <w:rFonts w:ascii="宋体" w:hAnsi="宋体"/>
          <w:sz w:val="21"/>
          <w:highlight w:val="none"/>
        </w:rPr>
      </w:pPr>
      <w:r>
        <w:rPr>
          <w:rFonts w:hint="eastAsia" w:ascii="宋体" w:hAnsi="宋体"/>
          <w:sz w:val="21"/>
          <w:highlight w:val="none"/>
        </w:rPr>
        <w:t>______年____月____日</w:t>
      </w:r>
    </w:p>
    <w:p w14:paraId="790DCD93">
      <w:pPr>
        <w:spacing w:before="145" w:after="145" w:line="300" w:lineRule="auto"/>
        <w:rPr>
          <w:rFonts w:ascii="宋体" w:hAnsi="宋体"/>
          <w:bCs/>
          <w:highlight w:val="none"/>
        </w:rPr>
      </w:pPr>
    </w:p>
    <w:p w14:paraId="33AA27DB">
      <w:pPr>
        <w:pStyle w:val="15"/>
        <w:ind w:firstLine="0"/>
        <w:jc w:val="left"/>
        <w:rPr>
          <w:rFonts w:ascii="宋体" w:hAnsi="宋体"/>
          <w:bCs/>
          <w:sz w:val="24"/>
          <w:highlight w:val="none"/>
        </w:rPr>
      </w:pPr>
      <w:r>
        <w:rPr>
          <w:highlight w:val="none"/>
        </w:rPr>
        <w:br w:type="page"/>
      </w:r>
      <w:r>
        <w:rPr>
          <w:rFonts w:hint="eastAsia" w:ascii="宋体" w:hAnsi="宋体"/>
          <w:b/>
          <w:bCs/>
          <w:sz w:val="30"/>
          <w:szCs w:val="30"/>
          <w:highlight w:val="none"/>
        </w:rPr>
        <w:t>表3</w:t>
      </w:r>
    </w:p>
    <w:p w14:paraId="77D96BC0">
      <w:pPr>
        <w:spacing w:before="145" w:after="145" w:line="300" w:lineRule="auto"/>
        <w:jc w:val="center"/>
        <w:rPr>
          <w:rFonts w:ascii="宋体" w:hAnsi="宋体"/>
          <w:bCs/>
          <w:highlight w:val="none"/>
        </w:rPr>
      </w:pPr>
    </w:p>
    <w:p w14:paraId="331D435F">
      <w:pPr>
        <w:spacing w:before="145" w:after="145" w:line="300" w:lineRule="auto"/>
        <w:jc w:val="center"/>
        <w:rPr>
          <w:rFonts w:ascii="宋体" w:hAnsi="宋体"/>
          <w:b/>
          <w:bCs/>
          <w:sz w:val="30"/>
          <w:szCs w:val="30"/>
          <w:highlight w:val="none"/>
        </w:rPr>
      </w:pPr>
      <w:r>
        <w:rPr>
          <w:rFonts w:hint="eastAsia" w:ascii="宋体" w:hAnsi="宋体"/>
          <w:b/>
          <w:bCs/>
          <w:sz w:val="30"/>
          <w:szCs w:val="30"/>
          <w:highlight w:val="none"/>
        </w:rPr>
        <w:t>法人授权书</w:t>
      </w:r>
    </w:p>
    <w:p w14:paraId="2DD5F8FA">
      <w:pPr>
        <w:spacing w:line="440" w:lineRule="exact"/>
        <w:ind w:firstLine="480" w:firstLineChars="200"/>
        <w:rPr>
          <w:rFonts w:ascii="宋体" w:hAnsi="宋体"/>
          <w:szCs w:val="24"/>
          <w:highlight w:val="none"/>
        </w:rPr>
      </w:pPr>
      <w:r>
        <w:rPr>
          <w:rFonts w:hint="eastAsia" w:ascii="宋体" w:hAnsi="宋体"/>
          <w:szCs w:val="24"/>
          <w:highlight w:val="none"/>
        </w:rPr>
        <w:t>本授权委托书声明：注册于</w:t>
      </w:r>
      <w:r>
        <w:rPr>
          <w:rFonts w:hint="eastAsia" w:ascii="宋体" w:hAnsi="宋体"/>
          <w:szCs w:val="24"/>
          <w:highlight w:val="none"/>
          <w:u w:val="single"/>
        </w:rPr>
        <w:t xml:space="preserve"> （供应商地址） </w:t>
      </w:r>
      <w:r>
        <w:rPr>
          <w:rFonts w:hint="eastAsia" w:ascii="宋体" w:hAnsi="宋体"/>
          <w:szCs w:val="24"/>
          <w:highlight w:val="none"/>
        </w:rPr>
        <w:t xml:space="preserve"> 的 </w:t>
      </w:r>
      <w:r>
        <w:rPr>
          <w:rFonts w:hint="eastAsia" w:ascii="宋体" w:hAnsi="宋体"/>
          <w:szCs w:val="24"/>
          <w:highlight w:val="none"/>
          <w:u w:val="single"/>
        </w:rPr>
        <w:t xml:space="preserve"> （供应商名称）    </w:t>
      </w:r>
      <w:r>
        <w:rPr>
          <w:rFonts w:hint="eastAsia" w:ascii="宋体" w:hAnsi="宋体"/>
          <w:szCs w:val="24"/>
          <w:highlight w:val="none"/>
        </w:rPr>
        <w:t>在下面签名的（</w:t>
      </w:r>
      <w:r>
        <w:rPr>
          <w:rFonts w:hint="eastAsia" w:ascii="宋体" w:hAnsi="宋体"/>
          <w:szCs w:val="24"/>
          <w:highlight w:val="none"/>
          <w:u w:val="single"/>
        </w:rPr>
        <w:t>法定代表人姓名、职务</w:t>
      </w:r>
      <w:r>
        <w:rPr>
          <w:rFonts w:hint="eastAsia" w:ascii="宋体" w:hAnsi="宋体"/>
          <w:szCs w:val="24"/>
          <w:highlight w:val="none"/>
        </w:rPr>
        <w:t>），现任我单位</w:t>
      </w:r>
      <w:r>
        <w:rPr>
          <w:rFonts w:hint="eastAsia" w:ascii="宋体" w:hAnsi="宋体"/>
          <w:szCs w:val="24"/>
          <w:highlight w:val="none"/>
          <w:u w:val="single"/>
        </w:rPr>
        <w:t xml:space="preserve">         </w:t>
      </w:r>
      <w:r>
        <w:rPr>
          <w:rFonts w:hint="eastAsia" w:ascii="宋体" w:hAnsi="宋体"/>
          <w:szCs w:val="24"/>
          <w:highlight w:val="none"/>
        </w:rPr>
        <w:t>职务，为法定代表人。在此授权（</w:t>
      </w:r>
      <w:r>
        <w:rPr>
          <w:rFonts w:hint="eastAsia" w:ascii="宋体" w:hAnsi="宋体"/>
          <w:szCs w:val="24"/>
          <w:highlight w:val="none"/>
          <w:u w:val="single"/>
        </w:rPr>
        <w:t>被授权人姓名、职务</w:t>
      </w:r>
      <w:r>
        <w:rPr>
          <w:rFonts w:hint="eastAsia" w:ascii="宋体" w:hAnsi="宋体"/>
          <w:szCs w:val="24"/>
          <w:highlight w:val="none"/>
        </w:rPr>
        <w:t>）作为我公司的合法代理人，就（</w:t>
      </w:r>
      <w:r>
        <w:rPr>
          <w:rFonts w:hint="eastAsia" w:ascii="宋体" w:hAnsi="宋体"/>
          <w:szCs w:val="24"/>
          <w:highlight w:val="none"/>
          <w:u w:val="single"/>
        </w:rPr>
        <w:t>采购项目名称、采购项目编号</w:t>
      </w:r>
      <w:r>
        <w:rPr>
          <w:rFonts w:hint="eastAsia" w:ascii="宋体" w:hAnsi="宋体"/>
          <w:szCs w:val="24"/>
          <w:highlight w:val="none"/>
        </w:rPr>
        <w:t xml:space="preserve">）采购活动相关的响应、磋商、合同执行，以我公司的名义处理一切与之有关的事务。 </w:t>
      </w:r>
    </w:p>
    <w:p w14:paraId="5266271B">
      <w:pPr>
        <w:spacing w:line="440" w:lineRule="exact"/>
        <w:ind w:firstLine="480" w:firstLineChars="200"/>
        <w:rPr>
          <w:rFonts w:ascii="宋体" w:hAnsi="宋体"/>
          <w:szCs w:val="24"/>
          <w:highlight w:val="none"/>
        </w:rPr>
      </w:pPr>
      <w:r>
        <w:rPr>
          <w:rFonts w:hint="eastAsia" w:ascii="宋体" w:hAnsi="宋体"/>
          <w:szCs w:val="24"/>
          <w:highlight w:val="none"/>
        </w:rPr>
        <w:t xml:space="preserve">被授权人（供应商授权代表）无转委托权限。 </w:t>
      </w:r>
    </w:p>
    <w:p w14:paraId="1566A392">
      <w:pPr>
        <w:spacing w:line="440" w:lineRule="exact"/>
        <w:ind w:firstLine="480" w:firstLineChars="200"/>
        <w:rPr>
          <w:rFonts w:ascii="宋体" w:hAnsi="宋体"/>
          <w:szCs w:val="24"/>
          <w:highlight w:val="none"/>
        </w:rPr>
      </w:pPr>
      <w:r>
        <w:rPr>
          <w:rFonts w:hint="eastAsia" w:ascii="宋体" w:hAnsi="宋体"/>
          <w:szCs w:val="24"/>
          <w:highlight w:val="none"/>
        </w:rPr>
        <mc:AlternateContent>
          <mc:Choice Requires="wps">
            <w:drawing>
              <wp:anchor distT="0" distB="0" distL="0" distR="0" simplePos="0" relativeHeight="251661312"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1" name="_x0000_s1026"/>
                <wp:cNvGraphicFramePr/>
                <a:graphic xmlns:a="http://schemas.openxmlformats.org/drawingml/2006/main">
                  <a:graphicData uri="http://schemas.microsoft.com/office/word/2010/wordprocessingShape">
                    <wps:wsp>
                      <wps:cNvSpPr/>
                      <wps:spPr>
                        <a:xfrm>
                          <a:off x="0" y="0"/>
                          <a:ext cx="67310" cy="134620"/>
                        </a:xfrm>
                        <a:prstGeom prst="rect">
                          <a:avLst/>
                        </a:prstGeom>
                      </wps:spPr>
                      <wps:txbx>
                        <w:txbxContent>
                          <w:p w14:paraId="41186C02">
                            <w:pPr>
                              <w:pStyle w:val="20"/>
                              <w:spacing w:line="211" w:lineRule="exact"/>
                            </w:pPr>
                            <w:r>
                              <w:t xml:space="preserve"> </w:t>
                            </w:r>
                          </w:p>
                          <w:p w14:paraId="328A0119"/>
                        </w:txbxContent>
                      </wps:txbx>
                      <wps:bodyPr rot="0" vert="horz" wrap="square" lIns="91440" tIns="45720" rIns="91440" bIns="45720" anchor="t" anchorCtr="0"/>
                    </wps:wsp>
                  </a:graphicData>
                </a:graphic>
              </wp:anchor>
            </w:drawing>
          </mc:Choice>
          <mc:Fallback>
            <w:pict>
              <v:rect id="_x0000_s1026" o:spid="_x0000_s1026" o:spt="1" style="position:absolute;left:0pt;margin-left:98.65pt;margin-top:52.2pt;height:10.6pt;width:5.3pt;mso-position-horizontal-relative:page;z-index:-251655168;mso-width-relative:page;mso-height-relative:page;" filled="f" stroked="f" coordsize="21600,21600" o:gfxdata="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YxZSTbAAAACwEAAA8AAAAAAAAAAQAgAAAAIgAAAGRycy9kb3ducmV2Lnht&#10;bFBLAQIUABQAAAAIAIdO4kCTm+NgvQEAAIMDAAAOAAAAAAAAAAEAIAAAACoBAABkcnMvZTJvRG9j&#10;LnhtbFBLBQYAAAAABgAGAFkBAABZBQAAAAA=&#10;">
                <v:fill on="f" focussize="0,0"/>
                <v:stroke on="f"/>
                <v:imagedata o:title=""/>
                <o:lock v:ext="edit" aspectratio="f"/>
                <v:textbox>
                  <w:txbxContent>
                    <w:p w14:paraId="41186C02">
                      <w:pPr>
                        <w:pStyle w:val="20"/>
                        <w:spacing w:line="211" w:lineRule="exact"/>
                      </w:pPr>
                      <w:r>
                        <w:t xml:space="preserve"> </w:t>
                      </w:r>
                    </w:p>
                    <w:p w14:paraId="328A0119"/>
                  </w:txbxContent>
                </v:textbox>
              </v:rect>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3604895</wp:posOffset>
                </wp:positionH>
                <wp:positionV relativeFrom="paragraph">
                  <wp:posOffset>568960</wp:posOffset>
                </wp:positionV>
                <wp:extent cx="2723515" cy="1511300"/>
                <wp:effectExtent l="0" t="0" r="0" b="0"/>
                <wp:wrapNone/>
                <wp:docPr id="2" name="_x0000_s1027"/>
                <wp:cNvGraphicFramePr/>
                <a:graphic xmlns:a="http://schemas.openxmlformats.org/drawingml/2006/main">
                  <a:graphicData uri="http://schemas.microsoft.com/office/word/2010/wordprocessingShape">
                    <wps:wsp>
                      <wps:cNvSpPr/>
                      <wps:spPr>
                        <a:xfrm>
                          <a:off x="0" y="0"/>
                          <a:ext cx="2723515" cy="1511300"/>
                        </a:xfrm>
                        <a:prstGeom prst="rect">
                          <a:avLst/>
                        </a:prstGeom>
                        <a:ln w="12700">
                          <a:solidFill>
                            <a:prstClr val="white"/>
                          </a:solidFill>
                        </a:ln>
                      </wps:spPr>
                      <wps:txbx>
                        <w:txbxContent>
                          <w:p w14:paraId="49EB1DDC">
                            <w:pPr>
                              <w:pStyle w:val="20"/>
                              <w:rPr>
                                <w:sz w:val="20"/>
                              </w:rPr>
                            </w:pPr>
                          </w:p>
                          <w:p w14:paraId="52B176A0">
                            <w:pPr>
                              <w:pStyle w:val="20"/>
                              <w:rPr>
                                <w:sz w:val="20"/>
                              </w:rPr>
                            </w:pPr>
                          </w:p>
                          <w:p w14:paraId="64EA7AC9">
                            <w:pPr>
                              <w:pStyle w:val="20"/>
                              <w:spacing w:before="1"/>
                              <w:rPr>
                                <w:sz w:val="16"/>
                              </w:rPr>
                            </w:pPr>
                          </w:p>
                          <w:p w14:paraId="064C91FE">
                            <w:pPr>
                              <w:pStyle w:val="20"/>
                              <w:spacing w:line="278" w:lineRule="auto"/>
                              <w:ind w:left="1091" w:right="1498" w:firstLine="314"/>
                              <w:rPr>
                                <w:spacing w:val="-1"/>
                              </w:rPr>
                            </w:pPr>
                            <w:r>
                              <w:rPr>
                                <w:spacing w:val="-1"/>
                              </w:rPr>
                              <w:t xml:space="preserve">法定代表人  </w:t>
                            </w:r>
                            <w:r>
                              <w:rPr>
                                <w:spacing w:val="-5"/>
                              </w:rPr>
                              <w:t>居民身份证复印件</w:t>
                            </w:r>
                          </w:p>
                          <w:p w14:paraId="081CB254">
                            <w:pPr>
                              <w:pStyle w:val="20"/>
                              <w:spacing w:before="4"/>
                              <w:rPr>
                                <w:sz w:val="24"/>
                              </w:rPr>
                            </w:pPr>
                          </w:p>
                          <w:p w14:paraId="442B422D">
                            <w:pPr>
                              <w:pStyle w:val="20"/>
                              <w:spacing w:before="1"/>
                              <w:ind w:left="1405"/>
                            </w:pPr>
                            <w:r>
                              <w:t>（反面）</w:t>
                            </w:r>
                          </w:p>
                          <w:p w14:paraId="7292F0F1"/>
                        </w:txbxContent>
                      </wps:txbx>
                      <wps:bodyPr rot="0" vert="horz" wrap="square" lIns="91440" tIns="45720" rIns="91440" bIns="45720" anchor="t" anchorCtr="0"/>
                    </wps:wsp>
                  </a:graphicData>
                </a:graphic>
              </wp:anchor>
            </w:drawing>
          </mc:Choice>
          <mc:Fallback>
            <w:pict>
              <v:rect id="_x0000_s1027" o:spid="_x0000_s1026" o:spt="1" style="position:absolute;left:0pt;margin-left:283.85pt;margin-top:44.8pt;height:119pt;width:214.45pt;mso-position-horizontal-relative:page;z-index:-251656192;mso-width-relative:page;mso-height-relative:page;" filled="f" stroked="t" coordsize="21600,21600" o:gfxdata="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5BzdkA&#10;AAAKAQAADwAAAAAAAAABACAAAAAiAAAAZHJzL2Rvd25yZXYueG1sUEsBAhQAFAAAAAgAh07iQNN4&#10;JX/lAQAA0AMAAA4AAAAAAAAAAQAgAAAAKAEAAGRycy9lMm9Eb2MueG1sUEsFBgAAAAAGAAYAWQEA&#10;AH8FAAAAAA==&#10;">
                <v:fill on="f" focussize="0,0"/>
                <v:stroke weight="1pt" color="#FFFFFF" joinstyle="round"/>
                <v:imagedata o:title=""/>
                <o:lock v:ext="edit" aspectratio="f"/>
                <v:textbox>
                  <w:txbxContent>
                    <w:p w14:paraId="49EB1DDC">
                      <w:pPr>
                        <w:pStyle w:val="20"/>
                        <w:rPr>
                          <w:sz w:val="20"/>
                        </w:rPr>
                      </w:pPr>
                    </w:p>
                    <w:p w14:paraId="52B176A0">
                      <w:pPr>
                        <w:pStyle w:val="20"/>
                        <w:rPr>
                          <w:sz w:val="20"/>
                        </w:rPr>
                      </w:pPr>
                    </w:p>
                    <w:p w14:paraId="64EA7AC9">
                      <w:pPr>
                        <w:pStyle w:val="20"/>
                        <w:spacing w:before="1"/>
                        <w:rPr>
                          <w:sz w:val="16"/>
                        </w:rPr>
                      </w:pPr>
                    </w:p>
                    <w:p w14:paraId="064C91FE">
                      <w:pPr>
                        <w:pStyle w:val="20"/>
                        <w:spacing w:line="278" w:lineRule="auto"/>
                        <w:ind w:left="1091" w:right="1498" w:firstLine="314"/>
                        <w:rPr>
                          <w:spacing w:val="-1"/>
                        </w:rPr>
                      </w:pPr>
                      <w:r>
                        <w:rPr>
                          <w:spacing w:val="-1"/>
                        </w:rPr>
                        <w:t xml:space="preserve">法定代表人  </w:t>
                      </w:r>
                      <w:r>
                        <w:rPr>
                          <w:spacing w:val="-5"/>
                        </w:rPr>
                        <w:t>居民身份证复印件</w:t>
                      </w:r>
                    </w:p>
                    <w:p w14:paraId="081CB254">
                      <w:pPr>
                        <w:pStyle w:val="20"/>
                        <w:spacing w:before="4"/>
                        <w:rPr>
                          <w:sz w:val="24"/>
                        </w:rPr>
                      </w:pPr>
                    </w:p>
                    <w:p w14:paraId="442B422D">
                      <w:pPr>
                        <w:pStyle w:val="20"/>
                        <w:spacing w:before="1"/>
                        <w:ind w:left="1405"/>
                      </w:pPr>
                      <w:r>
                        <w:t>（反面）</w:t>
                      </w:r>
                    </w:p>
                    <w:p w14:paraId="7292F0F1"/>
                  </w:txbxContent>
                </v:textbox>
              </v:rect>
            </w:pict>
          </mc:Fallback>
        </mc:AlternateContent>
      </w:r>
      <w:r>
        <w:rPr>
          <w:rFonts w:hint="eastAsia" w:ascii="宋体" w:hAnsi="宋体"/>
          <w:szCs w:val="24"/>
          <w:highlight w:val="none"/>
        </w:rPr>
        <w:t>本授权书自法定代表人签字之日起生效，特此声明。</w:t>
      </w:r>
    </w:p>
    <w:p w14:paraId="58387EC6">
      <w:pPr>
        <w:spacing w:line="440" w:lineRule="exact"/>
        <w:rPr>
          <w:rFonts w:ascii="宋体" w:hAnsi="宋体"/>
          <w:szCs w:val="24"/>
          <w:highlight w:val="none"/>
        </w:rPr>
      </w:pPr>
      <w:r>
        <w:rPr>
          <w:rFonts w:hint="eastAsia" w:ascii="宋体" w:hAnsi="宋体"/>
          <w:szCs w:val="24"/>
          <w:highlight w:val="none"/>
        </w:rPr>
        <mc:AlternateContent>
          <mc:Choice Requires="wpg">
            <w:drawing>
              <wp:anchor distT="0" distB="0" distL="0" distR="0" simplePos="0" relativeHeight="251660288" behindDoc="1" locked="0" layoutInCell="1" allowOverlap="1">
                <wp:simplePos x="0" y="0"/>
                <wp:positionH relativeFrom="page">
                  <wp:posOffset>789940</wp:posOffset>
                </wp:positionH>
                <wp:positionV relativeFrom="paragraph">
                  <wp:posOffset>274955</wp:posOffset>
                </wp:positionV>
                <wp:extent cx="2724150" cy="1539240"/>
                <wp:effectExtent l="0" t="0" r="0" b="0"/>
                <wp:wrapNone/>
                <wp:docPr id="3" name="docshapegroup"/>
                <wp:cNvGraphicFramePr/>
                <a:graphic xmlns:a="http://schemas.openxmlformats.org/drawingml/2006/main">
                  <a:graphicData uri="http://schemas.microsoft.com/office/word/2010/wordprocessingGroup">
                    <wpg:wgp>
                      <wpg:cNvGrpSpPr/>
                      <wpg:grpSpPr>
                        <a:xfrm>
                          <a:off x="0" y="0"/>
                          <a:ext cx="2724150" cy="1539240"/>
                          <a:chOff x="11563350" y="8467725"/>
                          <a:chExt cx="40862248" cy="26374724"/>
                        </a:xfrm>
                      </wpg:grpSpPr>
                      <wps:wsp>
                        <wps:cNvPr id="4" name="矩形 4"/>
                        <wps:cNvSpPr/>
                        <wps:spPr>
                          <a:xfrm>
                            <a:off x="11639550" y="8534400"/>
                            <a:ext cx="40719376" cy="26231850"/>
                          </a:xfrm>
                          <a:prstGeom prst="rect">
                            <a:avLst/>
                          </a:prstGeom>
                          <a:solidFill>
                            <a:srgbClr val="FFFFFF"/>
                          </a:solidFill>
                        </wps:spPr>
                        <wps:bodyPr rot="0" vert="horz" wrap="square" lIns="91440" tIns="45720" rIns="91440" bIns="45720" anchor="t" anchorCtr="0"/>
                      </wps:wsp>
                      <wps:wsp>
                        <wps:cNvPr id="5" name="矩形 5"/>
                        <wps:cNvSpPr/>
                        <wps:spPr>
                          <a:xfrm>
                            <a:off x="11639550" y="8534400"/>
                            <a:ext cx="40719376" cy="26231850"/>
                          </a:xfrm>
                          <a:prstGeom prst="rect">
                            <a:avLst/>
                          </a:prstGeom>
                          <a:ln w="12700">
                            <a:solidFill>
                              <a:prstClr val="white"/>
                            </a:solidFill>
                          </a:ln>
                        </wps:spPr>
                        <wps:txbx>
                          <w:txbxContent>
                            <w:p w14:paraId="5515091D">
                              <w:pPr>
                                <w:rPr>
                                  <w:sz w:val="20"/>
                                </w:rPr>
                              </w:pPr>
                            </w:p>
                            <w:p w14:paraId="75570001">
                              <w:pPr>
                                <w:rPr>
                                  <w:sz w:val="20"/>
                                </w:rPr>
                              </w:pPr>
                            </w:p>
                            <w:p w14:paraId="506ED872">
                              <w:pPr>
                                <w:spacing w:before="1"/>
                                <w:rPr>
                                  <w:sz w:val="16"/>
                                </w:rPr>
                              </w:pPr>
                            </w:p>
                            <w:p w14:paraId="2B7EF5BA">
                              <w:pPr>
                                <w:spacing w:line="278" w:lineRule="auto"/>
                                <w:ind w:left="1194" w:right="1380" w:firstLine="314"/>
                                <w:rPr>
                                  <w:spacing w:val="-1"/>
                                  <w:sz w:val="21"/>
                                </w:rPr>
                              </w:pPr>
                              <w:r>
                                <w:rPr>
                                  <w:spacing w:val="-1"/>
                                  <w:sz w:val="21"/>
                                </w:rPr>
                                <w:t xml:space="preserve">法定代表人  </w:t>
                              </w:r>
                              <w:r>
                                <w:rPr>
                                  <w:spacing w:val="-5"/>
                                  <w:sz w:val="21"/>
                                </w:rPr>
                                <w:t>居民身份证复印件</w:t>
                              </w:r>
                            </w:p>
                            <w:p w14:paraId="1AC5E41A">
                              <w:pPr>
                                <w:spacing w:before="4"/>
                              </w:pPr>
                            </w:p>
                            <w:p w14:paraId="42E4E0F2">
                              <w:pPr>
                                <w:spacing w:before="1"/>
                                <w:ind w:left="1491" w:right="1888"/>
                                <w:jc w:val="center"/>
                                <w:rPr>
                                  <w:sz w:val="21"/>
                                </w:rPr>
                              </w:pPr>
                              <w:r>
                                <w:rPr>
                                  <w:sz w:val="21"/>
                                </w:rPr>
                                <w:t>（</w:t>
                              </w:r>
                              <w:r>
                                <w:rPr>
                                  <w:spacing w:val="-2"/>
                                  <w:sz w:val="21"/>
                                </w:rPr>
                                <w:t>正面</w:t>
                              </w:r>
                              <w:r>
                                <w:rPr>
                                  <w:sz w:val="21"/>
                                </w:rPr>
                                <w:t>）</w:t>
                              </w:r>
                            </w:p>
                            <w:p w14:paraId="3D125B8D"/>
                          </w:txbxContent>
                        </wps:txbx>
                        <wps:bodyPr rot="0" vert="horz" wrap="square" lIns="91440" tIns="45720" rIns="91440" bIns="45720" anchor="t" anchorCtr="0"/>
                      </wps:wsp>
                    </wpg:wgp>
                  </a:graphicData>
                </a:graphic>
              </wp:anchor>
            </w:drawing>
          </mc:Choice>
          <mc:Fallback>
            <w:pict>
              <v:group id="docshapegroup" o:spid="_x0000_s1026" o:spt="203" style="position:absolute;left:0pt;margin-left:62.2pt;margin-top:21.65pt;height:121.2pt;width:214.5pt;mso-position-horizontal-relative:page;z-index:-251656192;mso-width-relative:page;mso-height-relative:page;" coordorigin="11563350,8467725" coordsize="40862248,26374724"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hMiwdkAAAAKAQAADwAAAAAAAAABACAAAAAiAAAAZHJzL2Rvd25yZXYueG1sUEsBAhQAFAAA&#10;AAgAh07iQKT3RECZAgAA/AYAAA4AAAAAAAAAAQAgAAAAKAEAAGRycy9lMm9Eb2MueG1sUEsFBgAA&#10;AAAGAAYAWQEAADMGAAAAAA==&#10;">
                <o:lock v:ext="edit" aspectratio="f"/>
                <v:rect id="_x0000_s1026" o:spid="_x0000_s1026" o:spt="1" style="position:absolute;left:11639550;top:8534400;height:26231850;width:40719376;"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1639550;top:8534400;height:26231850;width:40719376;" filled="f" stroked="t" coordsize="21600,21600" o:gfxdata="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pABO8AAAA&#10;2gAAAA8AAAAAAAAAAQAgAAAAIgAAAGRycy9kb3ducmV2LnhtbFBLAQIUABQAAAAIAIdO4kAzLwWe&#10;OwAAADkAAAAQAAAAAAAAAAEAIAAAAAsBAABkcnMvc2hhcGV4bWwueG1sUEsFBgAAAAAGAAYAWwEA&#10;ALUDAAAAAA==&#10;">
                  <v:fill on="f" focussize="0,0"/>
                  <v:stroke weight="1pt" color="#FFFFFF" joinstyle="round"/>
                  <v:imagedata o:title=""/>
                  <o:lock v:ext="edit" aspectratio="f"/>
                  <v:textbox>
                    <w:txbxContent>
                      <w:p w14:paraId="5515091D">
                        <w:pPr>
                          <w:rPr>
                            <w:sz w:val="20"/>
                          </w:rPr>
                        </w:pPr>
                      </w:p>
                      <w:p w14:paraId="75570001">
                        <w:pPr>
                          <w:rPr>
                            <w:sz w:val="20"/>
                          </w:rPr>
                        </w:pPr>
                      </w:p>
                      <w:p w14:paraId="506ED872">
                        <w:pPr>
                          <w:spacing w:before="1"/>
                          <w:rPr>
                            <w:sz w:val="16"/>
                          </w:rPr>
                        </w:pPr>
                      </w:p>
                      <w:p w14:paraId="2B7EF5BA">
                        <w:pPr>
                          <w:spacing w:line="278" w:lineRule="auto"/>
                          <w:ind w:left="1194" w:right="1380" w:firstLine="314"/>
                          <w:rPr>
                            <w:spacing w:val="-1"/>
                            <w:sz w:val="21"/>
                          </w:rPr>
                        </w:pPr>
                        <w:r>
                          <w:rPr>
                            <w:spacing w:val="-1"/>
                            <w:sz w:val="21"/>
                          </w:rPr>
                          <w:t xml:space="preserve">法定代表人  </w:t>
                        </w:r>
                        <w:r>
                          <w:rPr>
                            <w:spacing w:val="-5"/>
                            <w:sz w:val="21"/>
                          </w:rPr>
                          <w:t>居民身份证复印件</w:t>
                        </w:r>
                      </w:p>
                      <w:p w14:paraId="1AC5E41A">
                        <w:pPr>
                          <w:spacing w:before="4"/>
                        </w:pPr>
                      </w:p>
                      <w:p w14:paraId="42E4E0F2">
                        <w:pPr>
                          <w:spacing w:before="1"/>
                          <w:ind w:left="1491" w:right="1888"/>
                          <w:jc w:val="center"/>
                          <w:rPr>
                            <w:sz w:val="21"/>
                          </w:rPr>
                        </w:pPr>
                        <w:r>
                          <w:rPr>
                            <w:sz w:val="21"/>
                          </w:rPr>
                          <w:t>（</w:t>
                        </w:r>
                        <w:r>
                          <w:rPr>
                            <w:spacing w:val="-2"/>
                            <w:sz w:val="21"/>
                          </w:rPr>
                          <w:t>正面</w:t>
                        </w:r>
                        <w:r>
                          <w:rPr>
                            <w:sz w:val="21"/>
                          </w:rPr>
                          <w:t>）</w:t>
                        </w:r>
                      </w:p>
                      <w:p w14:paraId="3D125B8D"/>
                    </w:txbxContent>
                  </v:textbox>
                </v:rect>
              </v:group>
            </w:pict>
          </mc:Fallback>
        </mc:AlternateContent>
      </w:r>
      <w:r>
        <w:rPr>
          <w:rFonts w:hint="eastAsia" w:ascii="宋体" w:hAnsi="宋体"/>
          <w:b/>
          <w:bCs/>
          <w:szCs w:val="24"/>
          <w:highlight w:val="none"/>
        </w:rPr>
        <w:t>附：法定代表人身份证复印件</w:t>
      </w:r>
      <w:r>
        <w:rPr>
          <w:rFonts w:hint="eastAsia" w:ascii="宋体" w:hAnsi="宋体"/>
          <w:szCs w:val="24"/>
          <w:highlight w:val="none"/>
        </w:rPr>
        <w:t xml:space="preserve"> </w:t>
      </w:r>
    </w:p>
    <w:p w14:paraId="2F5EBAB2">
      <w:pPr>
        <w:spacing w:line="440" w:lineRule="exact"/>
        <w:ind w:firstLine="480" w:firstLineChars="200"/>
        <w:rPr>
          <w:rFonts w:ascii="宋体" w:hAnsi="宋体"/>
          <w:szCs w:val="24"/>
          <w:highlight w:val="none"/>
        </w:rPr>
      </w:pPr>
    </w:p>
    <w:p w14:paraId="650E095C">
      <w:pPr>
        <w:spacing w:line="440" w:lineRule="exact"/>
        <w:ind w:firstLine="480" w:firstLineChars="200"/>
        <w:rPr>
          <w:rFonts w:ascii="宋体" w:hAnsi="宋体"/>
          <w:szCs w:val="24"/>
          <w:highlight w:val="none"/>
        </w:rPr>
      </w:pPr>
    </w:p>
    <w:p w14:paraId="736D6E61">
      <w:pPr>
        <w:spacing w:line="440" w:lineRule="exact"/>
        <w:ind w:firstLine="480" w:firstLineChars="200"/>
        <w:rPr>
          <w:rFonts w:ascii="宋体" w:hAnsi="宋体"/>
          <w:szCs w:val="24"/>
          <w:highlight w:val="none"/>
        </w:rPr>
      </w:pPr>
    </w:p>
    <w:p w14:paraId="2C6D67BD">
      <w:pPr>
        <w:spacing w:line="440" w:lineRule="exact"/>
        <w:ind w:firstLine="480" w:firstLineChars="200"/>
        <w:rPr>
          <w:rFonts w:ascii="宋体" w:hAnsi="宋体"/>
          <w:szCs w:val="24"/>
          <w:highlight w:val="none"/>
        </w:rPr>
      </w:pPr>
    </w:p>
    <w:p w14:paraId="187B1C50">
      <w:pPr>
        <w:spacing w:line="440" w:lineRule="exact"/>
        <w:ind w:firstLine="480" w:firstLineChars="200"/>
        <w:rPr>
          <w:rFonts w:ascii="宋体" w:hAnsi="宋体"/>
          <w:szCs w:val="24"/>
          <w:highlight w:val="none"/>
        </w:rPr>
      </w:pPr>
    </w:p>
    <w:p w14:paraId="0801FD79">
      <w:pPr>
        <w:spacing w:line="440" w:lineRule="exact"/>
        <w:rPr>
          <w:rFonts w:ascii="宋体" w:hAnsi="宋体"/>
          <w:szCs w:val="24"/>
          <w:highlight w:val="none"/>
        </w:rPr>
      </w:pPr>
    </w:p>
    <w:p w14:paraId="6DB2525C">
      <w:pPr>
        <w:spacing w:line="440" w:lineRule="exact"/>
        <w:rPr>
          <w:rFonts w:ascii="宋体" w:hAnsi="宋体"/>
          <w:szCs w:val="24"/>
          <w:highlight w:val="none"/>
        </w:rPr>
      </w:pPr>
      <w:r>
        <w:rPr>
          <w:rFonts w:hint="eastAsia" w:ascii="宋体" w:hAnsi="宋体"/>
          <w:szCs w:val="24"/>
          <w:highlight w:val="none"/>
        </w:rPr>
        <mc:AlternateContent>
          <mc:Choice Requires="wpg">
            <w:drawing>
              <wp:anchor distT="0" distB="0" distL="0" distR="0" simplePos="0" relativeHeight="251660288" behindDoc="1" locked="0" layoutInCell="1" allowOverlap="1">
                <wp:simplePos x="0" y="0"/>
                <wp:positionH relativeFrom="page">
                  <wp:posOffset>695960</wp:posOffset>
                </wp:positionH>
                <wp:positionV relativeFrom="paragraph">
                  <wp:posOffset>293370</wp:posOffset>
                </wp:positionV>
                <wp:extent cx="2834005" cy="1572260"/>
                <wp:effectExtent l="0" t="0" r="0" b="0"/>
                <wp:wrapTopAndBottom/>
                <wp:docPr id="6" name="docshapegroup"/>
                <wp:cNvGraphicFramePr/>
                <a:graphic xmlns:a="http://schemas.openxmlformats.org/drawingml/2006/main">
                  <a:graphicData uri="http://schemas.microsoft.com/office/word/2010/wordprocessingGroup">
                    <wpg:wgp>
                      <wpg:cNvGrpSpPr/>
                      <wpg:grpSpPr>
                        <a:xfrm>
                          <a:off x="0" y="0"/>
                          <a:ext cx="2834005" cy="1572260"/>
                          <a:chOff x="10448925" y="4400550"/>
                          <a:chExt cx="42510076" cy="26574750"/>
                        </a:xfrm>
                      </wpg:grpSpPr>
                      <wps:wsp>
                        <wps:cNvPr id="9" name="矩形 7"/>
                        <wps:cNvSpPr/>
                        <wps:spPr>
                          <a:xfrm>
                            <a:off x="10515600" y="4467225"/>
                            <a:ext cx="42367200" cy="26431876"/>
                          </a:xfrm>
                          <a:prstGeom prst="rect">
                            <a:avLst/>
                          </a:prstGeom>
                          <a:solidFill>
                            <a:srgbClr val="FFFFFF"/>
                          </a:solidFill>
                        </wps:spPr>
                        <wps:bodyPr rot="0" vert="horz" wrap="square" lIns="91440" tIns="45720" rIns="91440" bIns="45720" anchor="t" anchorCtr="0"/>
                      </wps:wsp>
                      <wps:wsp>
                        <wps:cNvPr id="10" name="矩形 8"/>
                        <wps:cNvSpPr/>
                        <wps:spPr>
                          <a:xfrm>
                            <a:off x="10515600" y="4467225"/>
                            <a:ext cx="42367200" cy="26431876"/>
                          </a:xfrm>
                          <a:prstGeom prst="rect">
                            <a:avLst/>
                          </a:prstGeom>
                          <a:ln w="12700">
                            <a:solidFill>
                              <a:prstClr val="white"/>
                            </a:solidFill>
                          </a:ln>
                        </wps:spPr>
                        <wps:txbx>
                          <w:txbxContent>
                            <w:p w14:paraId="4C0330ED">
                              <w:pPr>
                                <w:rPr>
                                  <w:rFonts w:ascii="微软雅黑"/>
                                  <w:b/>
                                  <w:sz w:val="20"/>
                                </w:rPr>
                              </w:pPr>
                            </w:p>
                            <w:p w14:paraId="6B2A8E33">
                              <w:pPr>
                                <w:spacing w:before="1"/>
                                <w:rPr>
                                  <w:rFonts w:ascii="微软雅黑"/>
                                  <w:b/>
                                  <w:sz w:val="19"/>
                                </w:rPr>
                              </w:pPr>
                            </w:p>
                            <w:p w14:paraId="26B2876A">
                              <w:pPr>
                                <w:spacing w:line="278" w:lineRule="auto"/>
                                <w:ind w:left="1166" w:right="1161"/>
                                <w:jc w:val="center"/>
                                <w:rPr>
                                  <w:sz w:val="21"/>
                                </w:rPr>
                              </w:pPr>
                              <w:r>
                                <w:rPr>
                                  <w:sz w:val="21"/>
                                </w:rPr>
                                <w:t>被授权人（授权代表） 居民身份证复印件</w:t>
                              </w:r>
                            </w:p>
                            <w:p w14:paraId="683C984C">
                              <w:pPr>
                                <w:spacing w:before="16"/>
                                <w:rPr>
                                  <w:rFonts w:ascii="微软雅黑"/>
                                  <w:b/>
                                  <w:sz w:val="16"/>
                                </w:rPr>
                              </w:pPr>
                            </w:p>
                            <w:p w14:paraId="6CE0E3BA">
                              <w:pPr>
                                <w:spacing w:before="1"/>
                                <w:ind w:left="1161" w:right="1161"/>
                                <w:jc w:val="center"/>
                                <w:rPr>
                                  <w:sz w:val="21"/>
                                </w:rPr>
                              </w:pPr>
                              <w:r>
                                <w:rPr>
                                  <w:sz w:val="21"/>
                                </w:rPr>
                                <w:t>（正面）</w:t>
                              </w:r>
                            </w:p>
                            <w:p w14:paraId="6717CB7D"/>
                          </w:txbxContent>
                        </wps:txbx>
                        <wps:bodyPr rot="0" vert="horz" wrap="square" lIns="91440" tIns="45720" rIns="91440" bIns="45720" anchor="t" anchorCtr="0"/>
                      </wps:wsp>
                    </wpg:wgp>
                  </a:graphicData>
                </a:graphic>
              </wp:anchor>
            </w:drawing>
          </mc:Choice>
          <mc:Fallback>
            <w:pict>
              <v:group id="docshapegroup" o:spid="_x0000_s1026" o:spt="203" style="position:absolute;left:0pt;margin-left:54.8pt;margin-top:23.1pt;height:123.8pt;width:223.15pt;mso-position-horizontal-relative:page;mso-wrap-distance-bottom:0pt;mso-wrap-distance-top:0pt;z-index:-251656192;mso-width-relative:page;mso-height-relative:page;" coordorigin="10448925,4400550" coordsize="42510076,2657475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bevwnaAAAACgEAAA8AAAAAAAAAAQAgAAAAIgAAAGRycy9kb3ducmV2LnhtbFBLAQIUABQA&#10;AAAIAIdO4kBqa+22mQIAAP0GAAAOAAAAAAAAAAEAIAAAACkBAABkcnMvZTJvRG9jLnhtbFBLBQYA&#10;AAAABgAGAFkBAAA0BgAAAAA=&#10;">
                <o:lock v:ext="edit" aspectratio="f"/>
                <v:rect id="矩形 7" o:spid="_x0000_s1026" o:spt="1" style="position:absolute;left:10515600;top:4467225;height:26431876;width:42367200;" fillcolor="#FFFFFF" filled="t" stroked="f" coordsize="21600,21600" o:gfxdata="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pyJLsAAADa&#10;AAAADwAAAAAAAAABACAAAAAiAAAAZHJzL2Rvd25yZXYueG1sUEsBAhQAFAAAAAgAh07iQDMvBZ47&#10;AAAAOQAAABAAAAAAAAAAAQAgAAAACgEAAGRycy9zaGFwZXhtbC54bWxQSwUGAAAAAAYABgBbAQAA&#10;tAMAAAAA&#10;">
                  <v:fill on="t" focussize="0,0"/>
                  <v:stroke on="f"/>
                  <v:imagedata o:title=""/>
                  <o:lock v:ext="edit" aspectratio="f"/>
                </v:rect>
                <v:rect id="矩形 8" o:spid="_x0000_s1026" o:spt="1" style="position:absolute;left:10515600;top:4467225;height:26431876;width:42367200;" filled="f" stroked="t" coordsize="21600,21600" o:gfxdata="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Ps4vQAA&#10;ANsAAAAPAAAAAAAAAAEAIAAAACIAAABkcnMvZG93bnJldi54bWxQSwECFAAUAAAACACHTuJAMy8F&#10;njsAAAA5AAAAEAAAAAAAAAABACAAAAAMAQAAZHJzL3NoYXBleG1sLnhtbFBLBQYAAAAABgAGAFsB&#10;AAC2AwAAAAA=&#10;">
                  <v:fill on="f" focussize="0,0"/>
                  <v:stroke weight="1pt" color="#FFFFFF" joinstyle="round"/>
                  <v:imagedata o:title=""/>
                  <o:lock v:ext="edit" aspectratio="f"/>
                  <v:textbox>
                    <w:txbxContent>
                      <w:p w14:paraId="4C0330ED">
                        <w:pPr>
                          <w:rPr>
                            <w:rFonts w:ascii="微软雅黑"/>
                            <w:b/>
                            <w:sz w:val="20"/>
                          </w:rPr>
                        </w:pPr>
                      </w:p>
                      <w:p w14:paraId="6B2A8E33">
                        <w:pPr>
                          <w:spacing w:before="1"/>
                          <w:rPr>
                            <w:rFonts w:ascii="微软雅黑"/>
                            <w:b/>
                            <w:sz w:val="19"/>
                          </w:rPr>
                        </w:pPr>
                      </w:p>
                      <w:p w14:paraId="26B2876A">
                        <w:pPr>
                          <w:spacing w:line="278" w:lineRule="auto"/>
                          <w:ind w:left="1166" w:right="1161"/>
                          <w:jc w:val="center"/>
                          <w:rPr>
                            <w:sz w:val="21"/>
                          </w:rPr>
                        </w:pPr>
                        <w:r>
                          <w:rPr>
                            <w:sz w:val="21"/>
                          </w:rPr>
                          <w:t>被授权人（授权代表） 居民身份证复印件</w:t>
                        </w:r>
                      </w:p>
                      <w:p w14:paraId="683C984C">
                        <w:pPr>
                          <w:spacing w:before="16"/>
                          <w:rPr>
                            <w:rFonts w:ascii="微软雅黑"/>
                            <w:b/>
                            <w:sz w:val="16"/>
                          </w:rPr>
                        </w:pPr>
                      </w:p>
                      <w:p w14:paraId="6CE0E3BA">
                        <w:pPr>
                          <w:spacing w:before="1"/>
                          <w:ind w:left="1161" w:right="1161"/>
                          <w:jc w:val="center"/>
                          <w:rPr>
                            <w:sz w:val="21"/>
                          </w:rPr>
                        </w:pPr>
                        <w:r>
                          <w:rPr>
                            <w:sz w:val="21"/>
                          </w:rPr>
                          <w:t>（正面）</w:t>
                        </w:r>
                      </w:p>
                      <w:p w14:paraId="6717CB7D"/>
                    </w:txbxContent>
                  </v:textbox>
                </v:rect>
                <w10:wrap type="topAndBottom"/>
              </v:group>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3603625</wp:posOffset>
                </wp:positionH>
                <wp:positionV relativeFrom="paragraph">
                  <wp:posOffset>297815</wp:posOffset>
                </wp:positionV>
                <wp:extent cx="2824480" cy="1591310"/>
                <wp:effectExtent l="0" t="0" r="0" b="0"/>
                <wp:wrapTopAndBottom/>
                <wp:docPr id="11" name="_x0000_s1034"/>
                <wp:cNvGraphicFramePr/>
                <a:graphic xmlns:a="http://schemas.openxmlformats.org/drawingml/2006/main">
                  <a:graphicData uri="http://schemas.microsoft.com/office/word/2010/wordprocessingShape">
                    <wps:wsp>
                      <wps:cNvSpPr/>
                      <wps:spPr>
                        <a:xfrm>
                          <a:off x="0" y="0"/>
                          <a:ext cx="2824480" cy="1591310"/>
                        </a:xfrm>
                        <a:prstGeom prst="rect">
                          <a:avLst/>
                        </a:prstGeom>
                        <a:ln w="12700">
                          <a:solidFill>
                            <a:prstClr val="white"/>
                          </a:solidFill>
                        </a:ln>
                      </wps:spPr>
                      <wps:txbx>
                        <w:txbxContent>
                          <w:p w14:paraId="43E34FFF">
                            <w:pPr>
                              <w:pStyle w:val="20"/>
                              <w:rPr>
                                <w:rFonts w:ascii="微软雅黑"/>
                                <w:b/>
                                <w:sz w:val="20"/>
                              </w:rPr>
                            </w:pPr>
                          </w:p>
                          <w:p w14:paraId="103301B9">
                            <w:pPr>
                              <w:pStyle w:val="20"/>
                              <w:spacing w:before="1"/>
                              <w:rPr>
                                <w:rFonts w:ascii="微软雅黑"/>
                                <w:b/>
                                <w:sz w:val="19"/>
                              </w:rPr>
                            </w:pPr>
                          </w:p>
                          <w:p w14:paraId="3404E4EE">
                            <w:pPr>
                              <w:pStyle w:val="20"/>
                              <w:spacing w:line="278" w:lineRule="auto"/>
                              <w:ind w:left="1168" w:right="1159"/>
                              <w:jc w:val="center"/>
                            </w:pPr>
                            <w:r>
                              <w:t>被授权人（授权代表） 居民身份证复印件</w:t>
                            </w:r>
                          </w:p>
                          <w:p w14:paraId="2522CEAB">
                            <w:pPr>
                              <w:pStyle w:val="20"/>
                              <w:spacing w:before="16"/>
                              <w:rPr>
                                <w:rFonts w:ascii="微软雅黑"/>
                                <w:b/>
                                <w:sz w:val="16"/>
                              </w:rPr>
                            </w:pPr>
                          </w:p>
                          <w:p w14:paraId="0AF16A06">
                            <w:pPr>
                              <w:pStyle w:val="20"/>
                              <w:spacing w:before="1"/>
                              <w:ind w:left="1165" w:right="1161"/>
                              <w:jc w:val="center"/>
                            </w:pPr>
                            <w:r>
                              <w:t>（反面）</w:t>
                            </w:r>
                          </w:p>
                          <w:p w14:paraId="74CEF7DE"/>
                        </w:txbxContent>
                      </wps:txbx>
                      <wps:bodyPr rot="0" vert="horz" wrap="square" lIns="91440" tIns="45720" rIns="91440" bIns="45720" anchor="t" anchorCtr="0"/>
                    </wps:wsp>
                  </a:graphicData>
                </a:graphic>
              </wp:anchor>
            </w:drawing>
          </mc:Choice>
          <mc:Fallback>
            <w:pict>
              <v:rect id="_x0000_s1034" o:spid="_x0000_s1026" o:spt="1" style="position:absolute;left:0pt;margin-left:283.75pt;margin-top:23.45pt;height:125.3pt;width:222.4pt;mso-position-horizontal-relative:page;mso-wrap-distance-bottom:0pt;mso-wrap-distance-top:0pt;z-index:-251656192;mso-width-relative:page;mso-height-relative:page;" filled="f" stroked="t" coordsize="21600,21600" o:gfxdata="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NZp&#10;dNoAAAALAQAADwAAAAAAAAABACAAAAAiAAAAZHJzL2Rvd25yZXYueG1sUEsBAhQAFAAAAAgAh07i&#10;QDaXViXnAQAA0QMAAA4AAAAAAAAAAQAgAAAAKQEAAGRycy9lMm9Eb2MueG1sUEsFBgAAAAAGAAYA&#10;WQEAAIIFAAAAAA==&#10;">
                <v:fill on="f" focussize="0,0"/>
                <v:stroke weight="1pt" color="#FFFFFF" joinstyle="round"/>
                <v:imagedata o:title=""/>
                <o:lock v:ext="edit" aspectratio="f"/>
                <v:textbox>
                  <w:txbxContent>
                    <w:p w14:paraId="43E34FFF">
                      <w:pPr>
                        <w:pStyle w:val="20"/>
                        <w:rPr>
                          <w:rFonts w:ascii="微软雅黑"/>
                          <w:b/>
                          <w:sz w:val="20"/>
                        </w:rPr>
                      </w:pPr>
                    </w:p>
                    <w:p w14:paraId="103301B9">
                      <w:pPr>
                        <w:pStyle w:val="20"/>
                        <w:spacing w:before="1"/>
                        <w:rPr>
                          <w:rFonts w:ascii="微软雅黑"/>
                          <w:b/>
                          <w:sz w:val="19"/>
                        </w:rPr>
                      </w:pPr>
                    </w:p>
                    <w:p w14:paraId="3404E4EE">
                      <w:pPr>
                        <w:pStyle w:val="20"/>
                        <w:spacing w:line="278" w:lineRule="auto"/>
                        <w:ind w:left="1168" w:right="1159"/>
                        <w:jc w:val="center"/>
                      </w:pPr>
                      <w:r>
                        <w:t>被授权人（授权代表） 居民身份证复印件</w:t>
                      </w:r>
                    </w:p>
                    <w:p w14:paraId="2522CEAB">
                      <w:pPr>
                        <w:pStyle w:val="20"/>
                        <w:spacing w:before="16"/>
                        <w:rPr>
                          <w:rFonts w:ascii="微软雅黑"/>
                          <w:b/>
                          <w:sz w:val="16"/>
                        </w:rPr>
                      </w:pPr>
                    </w:p>
                    <w:p w14:paraId="0AF16A06">
                      <w:pPr>
                        <w:pStyle w:val="20"/>
                        <w:spacing w:before="1"/>
                        <w:ind w:left="1165" w:right="1161"/>
                        <w:jc w:val="center"/>
                      </w:pPr>
                      <w:r>
                        <w:t>（反面）</w:t>
                      </w:r>
                    </w:p>
                    <w:p w14:paraId="74CEF7DE"/>
                  </w:txbxContent>
                </v:textbox>
                <w10:wrap type="topAndBottom"/>
              </v:rect>
            </w:pict>
          </mc:Fallback>
        </mc:AlternateContent>
      </w:r>
      <w:r>
        <w:rPr>
          <w:rFonts w:hint="eastAsia" w:ascii="宋体" w:hAnsi="宋体"/>
          <w:szCs w:val="24"/>
          <w:highlight w:val="none"/>
        </w:rPr>
        <mc:AlternateContent>
          <mc:Choice Requires="wps">
            <w:drawing>
              <wp:anchor distT="0" distB="0" distL="0" distR="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2" name="_x0000_s1035"/>
                <wp:cNvGraphicFramePr/>
                <a:graphic xmlns:a="http://schemas.openxmlformats.org/drawingml/2006/main">
                  <a:graphicData uri="http://schemas.microsoft.com/office/word/2010/wordprocessingShape">
                    <wps:wsp>
                      <wps:cNvSpPr/>
                      <wps:spPr>
                        <a:xfrm>
                          <a:off x="0" y="0"/>
                          <a:ext cx="67310" cy="1620520"/>
                        </a:xfrm>
                        <a:prstGeom prst="rect">
                          <a:avLst/>
                        </a:prstGeom>
                      </wps:spPr>
                      <wps:txbx>
                        <w:txbxContent>
                          <w:p w14:paraId="06CFEE05">
                            <w:pPr>
                              <w:pStyle w:val="20"/>
                              <w:spacing w:line="241" w:lineRule="exact"/>
                            </w:pPr>
                            <w:r>
                              <w:t xml:space="preserve"> </w:t>
                            </w:r>
                          </w:p>
                          <w:p w14:paraId="1E89B5BF">
                            <w:pPr>
                              <w:pStyle w:val="20"/>
                              <w:spacing w:before="6"/>
                              <w:rPr>
                                <w:sz w:val="15"/>
                              </w:rPr>
                            </w:pPr>
                          </w:p>
                          <w:p w14:paraId="5CD988FF">
                            <w:pPr>
                              <w:pStyle w:val="20"/>
                            </w:pPr>
                            <w:r>
                              <w:t xml:space="preserve"> </w:t>
                            </w:r>
                          </w:p>
                          <w:p w14:paraId="2A5BD050">
                            <w:pPr>
                              <w:pStyle w:val="20"/>
                              <w:spacing w:before="7"/>
                              <w:rPr>
                                <w:sz w:val="15"/>
                              </w:rPr>
                            </w:pPr>
                          </w:p>
                          <w:p w14:paraId="0B827E83">
                            <w:pPr>
                              <w:pStyle w:val="20"/>
                            </w:pPr>
                            <w:r>
                              <w:t xml:space="preserve"> </w:t>
                            </w:r>
                          </w:p>
                          <w:p w14:paraId="0DA8825C">
                            <w:pPr>
                              <w:pStyle w:val="20"/>
                              <w:spacing w:before="7"/>
                              <w:rPr>
                                <w:sz w:val="15"/>
                              </w:rPr>
                            </w:pPr>
                          </w:p>
                          <w:p w14:paraId="5614A27A">
                            <w:pPr>
                              <w:pStyle w:val="20"/>
                            </w:pPr>
                            <w:r>
                              <w:t xml:space="preserve"> </w:t>
                            </w:r>
                          </w:p>
                          <w:p w14:paraId="0CD1EC94">
                            <w:pPr>
                              <w:pStyle w:val="20"/>
                              <w:spacing w:before="7"/>
                              <w:rPr>
                                <w:sz w:val="15"/>
                              </w:rPr>
                            </w:pPr>
                          </w:p>
                          <w:p w14:paraId="03897861">
                            <w:pPr>
                              <w:pStyle w:val="20"/>
                            </w:pPr>
                            <w:r>
                              <w:t xml:space="preserve"> </w:t>
                            </w:r>
                          </w:p>
                          <w:p w14:paraId="625F2C37">
                            <w:pPr>
                              <w:pStyle w:val="20"/>
                              <w:spacing w:before="6"/>
                              <w:rPr>
                                <w:sz w:val="15"/>
                              </w:rPr>
                            </w:pPr>
                          </w:p>
                          <w:p w14:paraId="54E6B5EB">
                            <w:pPr>
                              <w:pStyle w:val="20"/>
                              <w:spacing w:line="240" w:lineRule="exact"/>
                            </w:pPr>
                            <w:r>
                              <w:t xml:space="preserve"> </w:t>
                            </w:r>
                          </w:p>
                          <w:p w14:paraId="18C72791"/>
                        </w:txbxContent>
                      </wps:txbx>
                      <wps:bodyPr rot="0" vert="horz" wrap="square" lIns="91440" tIns="45720" rIns="91440" bIns="45720" anchor="t" anchorCtr="0"/>
                    </wps:wsp>
                  </a:graphicData>
                </a:graphic>
              </wp:anchor>
            </w:drawing>
          </mc:Choice>
          <mc:Fallback>
            <w:pict>
              <v:rect id="_x0000_s1035" o:spid="_x0000_s1026" o:spt="1" style="position:absolute;left:0pt;margin-left:56.6pt;margin-top:28.4pt;height:127.6pt;width:5.3pt;mso-position-horizontal-relative:page;z-index:-251656192;mso-width-relative:page;mso-height-relative:page;" filled="f" stroked="f" coordsize="21600,21600" o:gfxdata="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RdWZdgAAAAKAQAADwAAAAAAAAABACAAAAAiAAAAZHJzL2Rvd25yZXYueG1s&#10;UEsBAhQAFAAAAAgAh07iQI//4eu/AQAAhQMAAA4AAAAAAAAAAQAgAAAAJwEAAGRycy9lMm9Eb2Mu&#10;eG1sUEsFBgAAAAAGAAYAWQEAAFgFAAAAAA==&#10;">
                <v:fill on="f" focussize="0,0"/>
                <v:stroke on="f"/>
                <v:imagedata o:title=""/>
                <o:lock v:ext="edit" aspectratio="f"/>
                <v:textbox>
                  <w:txbxContent>
                    <w:p w14:paraId="06CFEE05">
                      <w:pPr>
                        <w:pStyle w:val="20"/>
                        <w:spacing w:line="241" w:lineRule="exact"/>
                      </w:pPr>
                      <w:r>
                        <w:t xml:space="preserve"> </w:t>
                      </w:r>
                    </w:p>
                    <w:p w14:paraId="1E89B5BF">
                      <w:pPr>
                        <w:pStyle w:val="20"/>
                        <w:spacing w:before="6"/>
                        <w:rPr>
                          <w:sz w:val="15"/>
                        </w:rPr>
                      </w:pPr>
                    </w:p>
                    <w:p w14:paraId="5CD988FF">
                      <w:pPr>
                        <w:pStyle w:val="20"/>
                      </w:pPr>
                      <w:r>
                        <w:t xml:space="preserve"> </w:t>
                      </w:r>
                    </w:p>
                    <w:p w14:paraId="2A5BD050">
                      <w:pPr>
                        <w:pStyle w:val="20"/>
                        <w:spacing w:before="7"/>
                        <w:rPr>
                          <w:sz w:val="15"/>
                        </w:rPr>
                      </w:pPr>
                    </w:p>
                    <w:p w14:paraId="0B827E83">
                      <w:pPr>
                        <w:pStyle w:val="20"/>
                      </w:pPr>
                      <w:r>
                        <w:t xml:space="preserve"> </w:t>
                      </w:r>
                    </w:p>
                    <w:p w14:paraId="0DA8825C">
                      <w:pPr>
                        <w:pStyle w:val="20"/>
                        <w:spacing w:before="7"/>
                        <w:rPr>
                          <w:sz w:val="15"/>
                        </w:rPr>
                      </w:pPr>
                    </w:p>
                    <w:p w14:paraId="5614A27A">
                      <w:pPr>
                        <w:pStyle w:val="20"/>
                      </w:pPr>
                      <w:r>
                        <w:t xml:space="preserve"> </w:t>
                      </w:r>
                    </w:p>
                    <w:p w14:paraId="0CD1EC94">
                      <w:pPr>
                        <w:pStyle w:val="20"/>
                        <w:spacing w:before="7"/>
                        <w:rPr>
                          <w:sz w:val="15"/>
                        </w:rPr>
                      </w:pPr>
                    </w:p>
                    <w:p w14:paraId="03897861">
                      <w:pPr>
                        <w:pStyle w:val="20"/>
                      </w:pPr>
                      <w:r>
                        <w:t xml:space="preserve"> </w:t>
                      </w:r>
                    </w:p>
                    <w:p w14:paraId="625F2C37">
                      <w:pPr>
                        <w:pStyle w:val="20"/>
                        <w:spacing w:before="6"/>
                        <w:rPr>
                          <w:sz w:val="15"/>
                        </w:rPr>
                      </w:pPr>
                    </w:p>
                    <w:p w14:paraId="54E6B5EB">
                      <w:pPr>
                        <w:pStyle w:val="20"/>
                        <w:spacing w:line="240" w:lineRule="exact"/>
                      </w:pPr>
                      <w:r>
                        <w:t xml:space="preserve"> </w:t>
                      </w:r>
                    </w:p>
                    <w:p w14:paraId="18C72791"/>
                  </w:txbxContent>
                </v:textbox>
              </v:rect>
            </w:pict>
          </mc:Fallback>
        </mc:AlternateContent>
      </w:r>
      <w:r>
        <w:rPr>
          <w:rFonts w:hint="eastAsia" w:ascii="宋体" w:hAnsi="宋体"/>
          <w:szCs w:val="24"/>
          <w:highlight w:val="none"/>
        </w:rPr>
        <w:t xml:space="preserve">附：被授权代表人身份证复印件 </w:t>
      </w:r>
    </w:p>
    <w:p w14:paraId="7C79E1E1">
      <w:pPr>
        <w:spacing w:line="440" w:lineRule="exact"/>
        <w:ind w:firstLine="480" w:firstLineChars="200"/>
        <w:rPr>
          <w:rFonts w:ascii="宋体" w:hAnsi="宋体"/>
          <w:szCs w:val="24"/>
          <w:highlight w:val="none"/>
        </w:rPr>
      </w:pPr>
      <w:r>
        <w:rPr>
          <w:rFonts w:hint="eastAsia" w:ascii="宋体" w:hAnsi="宋体"/>
          <w:szCs w:val="24"/>
          <w:highlight w:val="none"/>
        </w:rPr>
        <w:t>法定代表人（签名或盖章）：</w:t>
      </w:r>
      <w:r>
        <w:rPr>
          <w:rFonts w:hint="eastAsia" w:ascii="宋体" w:hAnsi="宋体"/>
          <w:szCs w:val="24"/>
          <w:highlight w:val="none"/>
          <w:u w:val="single"/>
        </w:rPr>
        <w:t xml:space="preserve">              </w:t>
      </w:r>
      <w:r>
        <w:rPr>
          <w:rFonts w:hint="eastAsia" w:ascii="宋体" w:hAnsi="宋体"/>
          <w:szCs w:val="24"/>
          <w:highlight w:val="none"/>
        </w:rPr>
        <w:t xml:space="preserve">职务： </w:t>
      </w:r>
      <w:r>
        <w:rPr>
          <w:rFonts w:hint="eastAsia" w:ascii="宋体" w:hAnsi="宋体"/>
          <w:szCs w:val="24"/>
          <w:highlight w:val="none"/>
          <w:u w:val="single"/>
        </w:rPr>
        <w:t xml:space="preserve">            </w:t>
      </w:r>
    </w:p>
    <w:p w14:paraId="351776C1">
      <w:pPr>
        <w:spacing w:line="440" w:lineRule="exact"/>
        <w:ind w:firstLine="480" w:firstLineChars="200"/>
        <w:rPr>
          <w:rFonts w:ascii="宋体" w:hAnsi="宋体"/>
          <w:szCs w:val="24"/>
          <w:highlight w:val="none"/>
        </w:rPr>
      </w:pPr>
      <w:r>
        <w:rPr>
          <w:rFonts w:hint="eastAsia" w:ascii="宋体" w:hAnsi="宋体"/>
          <w:szCs w:val="24"/>
          <w:highlight w:val="none"/>
        </w:rPr>
        <w:t>被授权人（签名）：</w:t>
      </w:r>
      <w:r>
        <w:rPr>
          <w:rFonts w:hint="eastAsia" w:ascii="宋体" w:hAnsi="宋体"/>
          <w:szCs w:val="24"/>
          <w:highlight w:val="none"/>
          <w:u w:val="single"/>
        </w:rPr>
        <w:t xml:space="preserve">              </w:t>
      </w:r>
      <w:r>
        <w:rPr>
          <w:rFonts w:hint="eastAsia" w:ascii="宋体" w:hAnsi="宋体"/>
          <w:szCs w:val="24"/>
          <w:highlight w:val="none"/>
        </w:rPr>
        <w:t>职务：</w:t>
      </w:r>
      <w:r>
        <w:rPr>
          <w:rFonts w:hint="eastAsia" w:ascii="宋体" w:hAnsi="宋体"/>
          <w:szCs w:val="24"/>
          <w:highlight w:val="none"/>
          <w:u w:val="single"/>
        </w:rPr>
        <w:t xml:space="preserve">             </w:t>
      </w:r>
    </w:p>
    <w:p w14:paraId="46B43FF0">
      <w:pPr>
        <w:spacing w:line="440" w:lineRule="exact"/>
        <w:ind w:firstLine="480" w:firstLineChars="200"/>
        <w:rPr>
          <w:rFonts w:ascii="宋体" w:hAnsi="宋体"/>
          <w:szCs w:val="24"/>
          <w:highlight w:val="none"/>
        </w:rPr>
      </w:pPr>
      <w:r>
        <w:rPr>
          <w:rFonts w:hint="eastAsia" w:ascii="宋体" w:hAnsi="宋体"/>
          <w:szCs w:val="24"/>
          <w:highlight w:val="none"/>
        </w:rPr>
        <w:t>供应商名称（单位盖公章）：</w:t>
      </w:r>
      <w:r>
        <w:rPr>
          <w:rFonts w:hint="eastAsia" w:ascii="宋体" w:hAnsi="宋体"/>
          <w:szCs w:val="24"/>
          <w:highlight w:val="none"/>
          <w:u w:val="single"/>
        </w:rPr>
        <w:t xml:space="preserve">                 </w:t>
      </w:r>
      <w:r>
        <w:rPr>
          <w:rFonts w:hint="eastAsia" w:ascii="宋体" w:hAnsi="宋体"/>
          <w:szCs w:val="24"/>
          <w:highlight w:val="none"/>
        </w:rPr>
        <w:t xml:space="preserve">             </w:t>
      </w:r>
    </w:p>
    <w:p w14:paraId="06D93BAA">
      <w:pPr>
        <w:spacing w:line="440" w:lineRule="exact"/>
        <w:ind w:firstLine="480" w:firstLineChars="200"/>
        <w:rPr>
          <w:rFonts w:ascii="宋体" w:hAnsi="宋体"/>
          <w:szCs w:val="24"/>
          <w:highlight w:val="none"/>
        </w:rPr>
        <w:sectPr>
          <w:pgSz w:w="11910" w:h="16840"/>
          <w:pgMar w:top="1984" w:right="1531" w:bottom="2098" w:left="1531" w:header="670" w:footer="1041" w:gutter="0"/>
          <w:cols w:space="720" w:num="1"/>
          <w:docGrid w:linePitch="1" w:charSpace="0"/>
        </w:sectPr>
      </w:pPr>
      <w:r>
        <w:rPr>
          <w:rFonts w:hint="eastAsia" w:ascii="宋体" w:hAnsi="宋体"/>
          <w:szCs w:val="24"/>
          <w:highlight w:val="none"/>
        </w:rPr>
        <w:t xml:space="preserve">日期： </w:t>
      </w:r>
      <w:r>
        <w:rPr>
          <w:rFonts w:hint="eastAsia" w:ascii="宋体" w:hAnsi="宋体"/>
          <w:szCs w:val="24"/>
          <w:highlight w:val="none"/>
          <w:u w:val="single"/>
        </w:rPr>
        <w:t xml:space="preserve">          </w:t>
      </w:r>
    </w:p>
    <w:p w14:paraId="6B38EB46">
      <w:pPr>
        <w:spacing w:before="145" w:after="145" w:line="300" w:lineRule="auto"/>
        <w:rPr>
          <w:rFonts w:ascii="宋体" w:hAnsi="宋体"/>
          <w:szCs w:val="24"/>
          <w:highlight w:val="none"/>
          <w:u w:val="single"/>
        </w:rPr>
      </w:pPr>
    </w:p>
    <w:p w14:paraId="5195CB36">
      <w:pPr>
        <w:pStyle w:val="15"/>
        <w:ind w:firstLine="0"/>
        <w:jc w:val="left"/>
        <w:rPr>
          <w:rFonts w:ascii="宋体" w:hAnsi="宋体"/>
          <w:b/>
          <w:bCs/>
          <w:sz w:val="30"/>
          <w:szCs w:val="30"/>
          <w:highlight w:val="none"/>
        </w:rPr>
      </w:pPr>
      <w:r>
        <w:rPr>
          <w:rFonts w:hint="eastAsia" w:ascii="宋体" w:hAnsi="宋体"/>
          <w:b/>
          <w:bCs/>
          <w:sz w:val="30"/>
          <w:szCs w:val="30"/>
          <w:highlight w:val="none"/>
        </w:rPr>
        <w:t>表4</w:t>
      </w:r>
    </w:p>
    <w:p w14:paraId="682F04CF">
      <w:pPr>
        <w:keepNext/>
        <w:keepLines/>
        <w:spacing w:before="260" w:after="260" w:line="416" w:lineRule="auto"/>
        <w:jc w:val="center"/>
        <w:outlineLvl w:val="1"/>
        <w:rPr>
          <w:rFonts w:ascii="宋体" w:hAnsi="宋体"/>
          <w:b/>
          <w:sz w:val="32"/>
          <w:szCs w:val="32"/>
          <w:highlight w:val="none"/>
        </w:rPr>
      </w:pPr>
      <w:r>
        <w:rPr>
          <w:rFonts w:hint="eastAsia" w:ascii="宋体" w:hAnsi="宋体"/>
          <w:b/>
          <w:sz w:val="32"/>
          <w:szCs w:val="32"/>
          <w:highlight w:val="none"/>
        </w:rPr>
        <w:t>磋商响应函</w:t>
      </w:r>
    </w:p>
    <w:p w14:paraId="643F0670">
      <w:pPr>
        <w:tabs>
          <w:tab w:val="left" w:pos="360"/>
        </w:tabs>
        <w:spacing w:line="480" w:lineRule="exact"/>
        <w:ind w:firstLine="482"/>
        <w:rPr>
          <w:rFonts w:ascii="宋体" w:hAnsi="宋体"/>
          <w:szCs w:val="24"/>
          <w:highlight w:val="none"/>
        </w:rPr>
      </w:pPr>
      <w:r>
        <w:rPr>
          <w:rFonts w:hint="eastAsia" w:ascii="宋体" w:hAnsi="宋体"/>
          <w:szCs w:val="24"/>
          <w:highlight w:val="none"/>
        </w:rPr>
        <w:t>致：</w:t>
      </w:r>
      <w:r>
        <w:rPr>
          <w:rFonts w:hint="eastAsia" w:ascii="宋体" w:hAnsi="宋体"/>
          <w:highlight w:val="none"/>
        </w:rPr>
        <w:t>新疆维吾尔自治区公共资源交易中心</w:t>
      </w:r>
      <w:r>
        <w:rPr>
          <w:rFonts w:hint="eastAsia" w:ascii="宋体" w:hAnsi="宋体"/>
          <w:szCs w:val="24"/>
          <w:highlight w:val="none"/>
        </w:rPr>
        <w:t>根据贵方的</w:t>
      </w:r>
      <w:r>
        <w:rPr>
          <w:rFonts w:hint="eastAsia" w:ascii="宋体" w:hAnsi="宋体"/>
          <w:szCs w:val="24"/>
          <w:highlight w:val="none"/>
          <w:u w:val="single"/>
        </w:rPr>
        <w:t xml:space="preserve">       </w:t>
      </w:r>
      <w:r>
        <w:rPr>
          <w:rFonts w:hint="eastAsia" w:ascii="宋体" w:hAnsi="宋体"/>
          <w:szCs w:val="24"/>
          <w:highlight w:val="none"/>
        </w:rPr>
        <w:t>号磋商文件，正式授权下述签字人_________（授权代表人姓名）代表我方______________（供应商的名称），全权处理本次项目磋商采购的有关事宜。</w:t>
      </w:r>
    </w:p>
    <w:p w14:paraId="434758EB">
      <w:pPr>
        <w:tabs>
          <w:tab w:val="left" w:pos="360"/>
        </w:tabs>
        <w:spacing w:line="480" w:lineRule="exact"/>
        <w:ind w:firstLine="482"/>
        <w:rPr>
          <w:rFonts w:ascii="宋体" w:hAnsi="宋体"/>
          <w:szCs w:val="24"/>
          <w:highlight w:val="none"/>
        </w:rPr>
      </w:pPr>
      <w:r>
        <w:rPr>
          <w:rFonts w:hint="eastAsia" w:ascii="宋体" w:hAnsi="宋体"/>
          <w:szCs w:val="24"/>
          <w:highlight w:val="none"/>
        </w:rPr>
        <w:t>据此函，__________（授权代表人姓名）兹宣布同意如下：</w:t>
      </w:r>
    </w:p>
    <w:p w14:paraId="7D2C4318">
      <w:pPr>
        <w:tabs>
          <w:tab w:val="left" w:pos="360"/>
        </w:tabs>
        <w:spacing w:line="480" w:lineRule="exact"/>
        <w:ind w:firstLine="482"/>
        <w:rPr>
          <w:rFonts w:ascii="宋体" w:hAnsi="宋体"/>
          <w:szCs w:val="24"/>
          <w:highlight w:val="none"/>
        </w:rPr>
      </w:pPr>
      <w:r>
        <w:rPr>
          <w:rFonts w:hint="eastAsia" w:ascii="宋体" w:hAnsi="宋体"/>
          <w:szCs w:val="24"/>
          <w:highlight w:val="none"/>
        </w:rPr>
        <w:t>1.按磋商文件规定的各项要求，向买方提供所需服务。</w:t>
      </w:r>
    </w:p>
    <w:p w14:paraId="76D687B7">
      <w:pPr>
        <w:tabs>
          <w:tab w:val="left" w:pos="360"/>
        </w:tabs>
        <w:spacing w:line="480" w:lineRule="exact"/>
        <w:ind w:firstLine="482"/>
        <w:rPr>
          <w:rFonts w:ascii="宋体" w:hAnsi="宋体"/>
          <w:szCs w:val="24"/>
          <w:highlight w:val="none"/>
        </w:rPr>
      </w:pPr>
      <w:r>
        <w:rPr>
          <w:rFonts w:hint="eastAsia" w:ascii="宋体" w:hAnsi="宋体"/>
          <w:szCs w:val="24"/>
          <w:highlight w:val="none"/>
        </w:rPr>
        <w:t>2.我们完全理解贵方不一定将合同授予最低报价的磋商供应商。</w:t>
      </w:r>
    </w:p>
    <w:p w14:paraId="20642AB3">
      <w:pPr>
        <w:tabs>
          <w:tab w:val="left" w:pos="360"/>
        </w:tabs>
        <w:spacing w:line="480" w:lineRule="exact"/>
        <w:ind w:firstLine="482"/>
        <w:rPr>
          <w:rFonts w:ascii="宋体" w:hAnsi="宋体"/>
          <w:szCs w:val="24"/>
          <w:highlight w:val="none"/>
        </w:rPr>
      </w:pPr>
      <w:r>
        <w:rPr>
          <w:rFonts w:hint="eastAsia" w:ascii="宋体" w:hAnsi="宋体"/>
          <w:szCs w:val="24"/>
          <w:highlight w:val="none"/>
        </w:rPr>
        <w:t>3.我们已详细审核全部磋商文件及其有效补充文件，我们知道必须放弃提出含糊不清或误解问题的权利。</w:t>
      </w:r>
    </w:p>
    <w:p w14:paraId="2BACE018">
      <w:pPr>
        <w:tabs>
          <w:tab w:val="left" w:pos="360"/>
        </w:tabs>
        <w:spacing w:line="480" w:lineRule="exact"/>
        <w:ind w:firstLine="482"/>
        <w:rPr>
          <w:rFonts w:ascii="宋体" w:hAnsi="宋体"/>
          <w:szCs w:val="24"/>
          <w:highlight w:val="none"/>
        </w:rPr>
      </w:pPr>
      <w:r>
        <w:rPr>
          <w:rFonts w:hint="eastAsia" w:ascii="宋体" w:hAnsi="宋体"/>
          <w:szCs w:val="24"/>
          <w:highlight w:val="none"/>
        </w:rPr>
        <w:t>4.我们同意从规定的响应文件接收截止时间起遵循本响应文件，并在规定的磋商有效期期满之前均具有约束力。</w:t>
      </w:r>
    </w:p>
    <w:p w14:paraId="3C85A117">
      <w:pPr>
        <w:tabs>
          <w:tab w:val="left" w:pos="360"/>
        </w:tabs>
        <w:spacing w:line="480" w:lineRule="exact"/>
        <w:ind w:firstLine="482"/>
        <w:rPr>
          <w:rFonts w:ascii="宋体" w:hAnsi="宋体"/>
          <w:szCs w:val="24"/>
          <w:highlight w:val="none"/>
        </w:rPr>
      </w:pPr>
      <w:r>
        <w:rPr>
          <w:rFonts w:hint="eastAsia" w:ascii="宋体" w:hAnsi="宋体"/>
          <w:szCs w:val="24"/>
          <w:highlight w:val="none"/>
        </w:rPr>
        <w:t>5.如果在响应文件接收截止时间后规定的磋商有效期内撤回响应文件或成交后拒绝签订合同，我们的磋商保证金可被贵方没收。</w:t>
      </w:r>
    </w:p>
    <w:p w14:paraId="1C5FFF43">
      <w:pPr>
        <w:tabs>
          <w:tab w:val="left" w:pos="360"/>
        </w:tabs>
        <w:spacing w:line="480" w:lineRule="exact"/>
        <w:ind w:firstLine="482"/>
        <w:rPr>
          <w:rFonts w:ascii="宋体" w:hAnsi="宋体"/>
          <w:szCs w:val="24"/>
          <w:highlight w:val="none"/>
        </w:rPr>
      </w:pPr>
      <w:r>
        <w:rPr>
          <w:rFonts w:hint="eastAsia" w:ascii="宋体" w:hAnsi="宋体"/>
          <w:szCs w:val="24"/>
          <w:highlight w:val="none"/>
        </w:rPr>
        <w:t>6.同意向贵方提供贵方可能另外要求的与磋商采购有关的任何证据或资料，并保证我方已提供和将要提供的文件是真实的、准确的。</w:t>
      </w:r>
    </w:p>
    <w:p w14:paraId="4C0CB007">
      <w:pPr>
        <w:tabs>
          <w:tab w:val="left" w:pos="360"/>
        </w:tabs>
        <w:spacing w:line="480" w:lineRule="exact"/>
        <w:ind w:firstLine="482"/>
        <w:rPr>
          <w:rFonts w:ascii="宋体" w:hAnsi="宋体"/>
          <w:szCs w:val="24"/>
          <w:highlight w:val="none"/>
        </w:rPr>
      </w:pPr>
      <w:r>
        <w:rPr>
          <w:rFonts w:hint="eastAsia" w:ascii="宋体" w:hAnsi="宋体"/>
          <w:szCs w:val="24"/>
          <w:highlight w:val="none"/>
        </w:rPr>
        <w:t>7.一旦我方成交，我方将根据磋商文件的规定，严格履行合同的责任和义务，并保证在磋商文件规定的时间完成项目，交付买方验收、使用。</w:t>
      </w:r>
    </w:p>
    <w:p w14:paraId="5DE66FA7">
      <w:pPr>
        <w:tabs>
          <w:tab w:val="left" w:pos="360"/>
        </w:tabs>
        <w:spacing w:line="480" w:lineRule="exact"/>
        <w:ind w:firstLine="482"/>
        <w:rPr>
          <w:rFonts w:ascii="宋体" w:hAnsi="宋体"/>
          <w:szCs w:val="24"/>
          <w:highlight w:val="none"/>
        </w:rPr>
      </w:pPr>
      <w:r>
        <w:rPr>
          <w:rFonts w:hint="eastAsia" w:ascii="宋体" w:hAnsi="宋体"/>
          <w:szCs w:val="24"/>
          <w:highlight w:val="none"/>
        </w:rPr>
        <w:t>8.满足磋商文件“项目需求”的相关要求。</w:t>
      </w:r>
    </w:p>
    <w:p w14:paraId="41CF0345">
      <w:pPr>
        <w:tabs>
          <w:tab w:val="left" w:pos="360"/>
        </w:tabs>
        <w:spacing w:line="480" w:lineRule="exact"/>
        <w:ind w:firstLine="482"/>
        <w:rPr>
          <w:rFonts w:ascii="宋体" w:hAnsi="宋体"/>
          <w:szCs w:val="24"/>
          <w:highlight w:val="none"/>
        </w:rPr>
      </w:pPr>
      <w:r>
        <w:rPr>
          <w:rFonts w:hint="eastAsia" w:ascii="宋体" w:hAnsi="宋体"/>
          <w:szCs w:val="24"/>
          <w:highlight w:val="none"/>
        </w:rPr>
        <w:t>9.与本磋商采购有关的正式通讯地址为：</w:t>
      </w:r>
    </w:p>
    <w:p w14:paraId="7F4AFD35">
      <w:pPr>
        <w:tabs>
          <w:tab w:val="left" w:pos="360"/>
        </w:tabs>
        <w:spacing w:line="480" w:lineRule="exact"/>
        <w:ind w:firstLine="482"/>
        <w:rPr>
          <w:rFonts w:ascii="宋体" w:hAnsi="宋体"/>
          <w:szCs w:val="24"/>
          <w:highlight w:val="none"/>
        </w:rPr>
      </w:pPr>
      <w:r>
        <w:rPr>
          <w:rFonts w:hint="eastAsia" w:ascii="宋体" w:hAnsi="宋体"/>
          <w:szCs w:val="24"/>
          <w:highlight w:val="none"/>
        </w:rPr>
        <w:t>地 址：                         邮 编：</w:t>
      </w:r>
    </w:p>
    <w:p w14:paraId="13DA552E">
      <w:pPr>
        <w:tabs>
          <w:tab w:val="left" w:pos="360"/>
        </w:tabs>
        <w:spacing w:line="480" w:lineRule="exact"/>
        <w:ind w:firstLine="482"/>
        <w:rPr>
          <w:rFonts w:ascii="宋体" w:hAnsi="宋体"/>
          <w:szCs w:val="24"/>
          <w:highlight w:val="none"/>
        </w:rPr>
      </w:pPr>
      <w:r>
        <w:rPr>
          <w:rFonts w:hint="eastAsia" w:ascii="宋体" w:hAnsi="宋体"/>
          <w:szCs w:val="24"/>
          <w:highlight w:val="none"/>
        </w:rPr>
        <w:t>电 话：                         传 真：</w:t>
      </w:r>
    </w:p>
    <w:p w14:paraId="301214E7">
      <w:pPr>
        <w:tabs>
          <w:tab w:val="left" w:pos="360"/>
        </w:tabs>
        <w:spacing w:line="480" w:lineRule="exact"/>
        <w:ind w:firstLine="482"/>
        <w:rPr>
          <w:rFonts w:ascii="宋体" w:hAnsi="宋体"/>
          <w:szCs w:val="24"/>
          <w:highlight w:val="none"/>
        </w:rPr>
      </w:pPr>
      <w:r>
        <w:rPr>
          <w:rFonts w:hint="eastAsia" w:ascii="宋体" w:hAnsi="宋体"/>
          <w:szCs w:val="24"/>
          <w:highlight w:val="none"/>
        </w:rPr>
        <w:t xml:space="preserve">供应商开户行：                  账 户： </w:t>
      </w:r>
    </w:p>
    <w:p w14:paraId="316A5910">
      <w:pPr>
        <w:tabs>
          <w:tab w:val="left" w:pos="360"/>
        </w:tabs>
        <w:spacing w:line="480" w:lineRule="exact"/>
        <w:ind w:firstLine="482"/>
        <w:rPr>
          <w:rFonts w:ascii="宋体" w:hAnsi="宋体"/>
          <w:szCs w:val="24"/>
          <w:highlight w:val="none"/>
        </w:rPr>
      </w:pPr>
      <w:r>
        <w:rPr>
          <w:rFonts w:hint="eastAsia" w:ascii="宋体" w:hAnsi="宋体"/>
          <w:szCs w:val="24"/>
          <w:highlight w:val="none"/>
        </w:rPr>
        <w:t>授权代表人（签字）：            联系电话：</w:t>
      </w:r>
    </w:p>
    <w:p w14:paraId="2B7EE170">
      <w:pPr>
        <w:tabs>
          <w:tab w:val="left" w:pos="360"/>
        </w:tabs>
        <w:spacing w:line="480" w:lineRule="exact"/>
        <w:ind w:firstLine="482"/>
        <w:rPr>
          <w:rFonts w:ascii="宋体" w:hAnsi="宋体"/>
          <w:szCs w:val="24"/>
          <w:highlight w:val="none"/>
        </w:rPr>
      </w:pPr>
      <w:r>
        <w:rPr>
          <w:rFonts w:hint="eastAsia" w:ascii="宋体" w:hAnsi="宋体"/>
          <w:szCs w:val="24"/>
          <w:highlight w:val="none"/>
        </w:rPr>
        <w:t xml:space="preserve">磋商供应商名称（公章）：            </w:t>
      </w:r>
    </w:p>
    <w:p w14:paraId="3E352690">
      <w:pPr>
        <w:spacing w:line="480" w:lineRule="exact"/>
        <w:jc w:val="center"/>
        <w:rPr>
          <w:rFonts w:ascii="宋体" w:hAnsi="宋体"/>
          <w:highlight w:val="none"/>
        </w:rPr>
        <w:sectPr>
          <w:pgSz w:w="11906" w:h="16838"/>
          <w:pgMar w:top="1015" w:right="1196" w:bottom="868" w:left="1259" w:header="851" w:footer="907" w:gutter="0"/>
          <w:cols w:space="720" w:num="1"/>
          <w:titlePg/>
          <w:docGrid w:type="lines" w:linePitch="286" w:charSpace="0"/>
        </w:sectPr>
      </w:pPr>
      <w:r>
        <w:rPr>
          <w:rFonts w:hint="eastAsia" w:ascii="宋体" w:hAnsi="宋体"/>
          <w:highlight w:val="none"/>
        </w:rPr>
        <w:t>日 期：________年____月____日</w:t>
      </w:r>
    </w:p>
    <w:p w14:paraId="76C64DAB">
      <w:pPr>
        <w:spacing w:before="145" w:after="145" w:line="300" w:lineRule="auto"/>
        <w:ind w:left="480" w:leftChars="200" w:firstLine="480" w:firstLineChars="200"/>
        <w:jc w:val="left"/>
        <w:rPr>
          <w:rFonts w:ascii="宋体" w:hAnsi="宋体"/>
          <w:highlight w:val="none"/>
        </w:rPr>
      </w:pPr>
    </w:p>
    <w:p w14:paraId="669F4D27">
      <w:pPr>
        <w:pStyle w:val="15"/>
        <w:ind w:firstLine="0"/>
        <w:jc w:val="left"/>
        <w:rPr>
          <w:rFonts w:ascii="宋体" w:hAnsi="宋体"/>
          <w:b/>
          <w:bCs/>
          <w:sz w:val="30"/>
          <w:szCs w:val="30"/>
          <w:highlight w:val="none"/>
        </w:rPr>
      </w:pPr>
      <w:r>
        <w:rPr>
          <w:rFonts w:hint="eastAsia" w:ascii="宋体" w:hAnsi="宋体"/>
          <w:b/>
          <w:bCs/>
          <w:sz w:val="30"/>
          <w:szCs w:val="30"/>
          <w:highlight w:val="none"/>
        </w:rPr>
        <w:t>表5</w:t>
      </w:r>
    </w:p>
    <w:p w14:paraId="423A5901">
      <w:pPr>
        <w:widowControl/>
        <w:spacing w:line="400" w:lineRule="exact"/>
        <w:jc w:val="center"/>
        <w:rPr>
          <w:rFonts w:ascii="宋体" w:hAnsi="宋体"/>
          <w:b/>
          <w:sz w:val="32"/>
          <w:szCs w:val="32"/>
          <w:highlight w:val="none"/>
        </w:rPr>
      </w:pPr>
      <w:r>
        <w:rPr>
          <w:rFonts w:hint="eastAsia" w:ascii="宋体" w:hAnsi="宋体"/>
          <w:b/>
          <w:sz w:val="32"/>
          <w:szCs w:val="32"/>
          <w:highlight w:val="none"/>
        </w:rPr>
        <w:t xml:space="preserve"> </w:t>
      </w:r>
      <w:r>
        <w:rPr>
          <w:rFonts w:hint="eastAsia" w:ascii="宋体" w:hAnsi="宋体"/>
          <w:sz w:val="36"/>
          <w:highlight w:val="none"/>
        </w:rPr>
        <w:t>中小企业声明函（货物）</w:t>
      </w:r>
    </w:p>
    <w:p w14:paraId="5EEAFD1E">
      <w:pPr>
        <w:widowControl/>
        <w:spacing w:line="400" w:lineRule="exact"/>
        <w:jc w:val="center"/>
        <w:rPr>
          <w:rFonts w:ascii="宋体" w:hAnsi="宋体"/>
          <w:sz w:val="36"/>
          <w:highlight w:val="none"/>
        </w:rPr>
      </w:pPr>
    </w:p>
    <w:p w14:paraId="07355642">
      <w:pPr>
        <w:spacing w:before="145" w:after="145" w:line="400" w:lineRule="exact"/>
        <w:ind w:firstLine="480" w:firstLineChars="200"/>
        <w:rPr>
          <w:rFonts w:ascii="宋体" w:hAnsi="宋体"/>
          <w:bCs/>
          <w:highlight w:val="none"/>
        </w:rPr>
      </w:pPr>
      <w:r>
        <w:rPr>
          <w:rFonts w:hint="eastAsia" w:ascii="宋体" w:hAnsi="宋体"/>
          <w:bCs/>
          <w:highlight w:val="none"/>
        </w:rPr>
        <w:t>本公司（联合体）郑重声明，根据《政府采购促进中小企业发展管理办法》（财库﹝2020﹞46 号）的规定，本公司（联合体）参加（</w:t>
      </w:r>
      <w:r>
        <w:rPr>
          <w:rFonts w:hint="eastAsia" w:ascii="宋体" w:hAnsi="宋体"/>
          <w:bCs/>
          <w:i/>
          <w:iCs/>
          <w:highlight w:val="none"/>
          <w:u w:val="single"/>
        </w:rPr>
        <w:t>单位名称</w:t>
      </w:r>
      <w:r>
        <w:rPr>
          <w:rFonts w:hint="eastAsia" w:ascii="宋体" w:hAnsi="宋体"/>
          <w:bCs/>
          <w:highlight w:val="none"/>
        </w:rPr>
        <w:t>）的（</w:t>
      </w:r>
      <w:r>
        <w:rPr>
          <w:rFonts w:hint="eastAsia" w:ascii="宋体" w:hAnsi="宋体"/>
          <w:bCs/>
          <w:i/>
          <w:iCs/>
          <w:highlight w:val="none"/>
          <w:u w:val="single"/>
        </w:rPr>
        <w:t>项目名称</w:t>
      </w:r>
      <w:r>
        <w:rPr>
          <w:rFonts w:hint="eastAsia" w:ascii="宋体" w:hAnsi="宋体"/>
          <w:bCs/>
          <w:highlight w:val="none"/>
        </w:rPr>
        <w:t>）采购活动，提供的货物全部由符合政策要求的中小企业制造。相关企业（含联合体中的中小企业、签订分包意向协议的中小企业）的具体情况如下：</w:t>
      </w:r>
    </w:p>
    <w:p w14:paraId="1D695299">
      <w:pPr>
        <w:spacing w:before="145" w:after="145" w:line="400" w:lineRule="exact"/>
        <w:ind w:firstLine="480" w:firstLineChars="200"/>
        <w:rPr>
          <w:rFonts w:ascii="宋体" w:hAnsi="宋体"/>
          <w:bCs/>
          <w:highlight w:val="none"/>
        </w:rPr>
      </w:pPr>
      <w:r>
        <w:rPr>
          <w:rFonts w:hint="eastAsia" w:ascii="宋体" w:hAnsi="宋体"/>
          <w:bCs/>
          <w:highlight w:val="none"/>
        </w:rPr>
        <w:t>1.（</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）行业；制造商为（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32AEE034">
      <w:pPr>
        <w:spacing w:before="145" w:after="145" w:line="400" w:lineRule="exact"/>
        <w:ind w:firstLine="480" w:firstLineChars="200"/>
        <w:rPr>
          <w:rFonts w:ascii="宋体" w:hAnsi="宋体"/>
          <w:bCs/>
          <w:highlight w:val="none"/>
        </w:rPr>
      </w:pPr>
      <w:r>
        <w:rPr>
          <w:rFonts w:hint="eastAsia" w:ascii="宋体" w:hAnsi="宋体"/>
          <w:bCs/>
          <w:highlight w:val="none"/>
        </w:rPr>
        <w:t>2.（</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）行业；制造商为（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7004790E">
      <w:pPr>
        <w:spacing w:before="145" w:after="145" w:line="400" w:lineRule="exact"/>
        <w:ind w:firstLine="480" w:firstLineChars="200"/>
        <w:rPr>
          <w:rFonts w:ascii="宋体" w:hAnsi="宋体"/>
          <w:bCs/>
          <w:highlight w:val="none"/>
        </w:rPr>
      </w:pPr>
      <w:r>
        <w:rPr>
          <w:rFonts w:hint="eastAsia" w:ascii="宋体" w:hAnsi="宋体"/>
          <w:bCs/>
          <w:highlight w:val="none"/>
        </w:rPr>
        <w:t>……</w:t>
      </w:r>
    </w:p>
    <w:p w14:paraId="01CEAFEA">
      <w:pPr>
        <w:spacing w:before="145" w:after="145" w:line="400" w:lineRule="exact"/>
        <w:ind w:firstLine="480" w:firstLineChars="200"/>
        <w:rPr>
          <w:rFonts w:ascii="宋体" w:hAnsi="宋体"/>
          <w:bCs/>
          <w:highlight w:val="none"/>
        </w:rPr>
      </w:pPr>
      <w:r>
        <w:rPr>
          <w:rFonts w:hint="eastAsia" w:ascii="宋体" w:hAnsi="宋体"/>
          <w:bCs/>
          <w:highlight w:val="none"/>
        </w:rPr>
        <w:t>以上企业，不属于大企业的分支机构，不存在控股股东为大企业的情形，也不存在与大企业的负责人为同一人的情形。</w:t>
      </w:r>
    </w:p>
    <w:p w14:paraId="4C1F3B59">
      <w:pPr>
        <w:spacing w:before="145" w:after="145" w:line="400" w:lineRule="exact"/>
        <w:ind w:firstLine="480" w:firstLineChars="200"/>
        <w:rPr>
          <w:rFonts w:ascii="宋体" w:hAnsi="宋体"/>
          <w:bCs/>
          <w:highlight w:val="none"/>
        </w:rPr>
      </w:pPr>
      <w:r>
        <w:rPr>
          <w:rFonts w:hint="eastAsia" w:ascii="宋体" w:hAnsi="宋体"/>
          <w:bCs/>
          <w:highlight w:val="none"/>
        </w:rPr>
        <w:t>本企业对上述声明内容的真实性负责。如有虚假，将依法承担相应责任。</w:t>
      </w:r>
    </w:p>
    <w:p w14:paraId="31A25164">
      <w:pPr>
        <w:spacing w:before="145" w:after="145" w:line="400" w:lineRule="exact"/>
        <w:rPr>
          <w:rFonts w:ascii="宋体" w:hAnsi="宋体"/>
          <w:bCs/>
          <w:highlight w:val="none"/>
        </w:rPr>
      </w:pPr>
    </w:p>
    <w:p w14:paraId="24B3C6DC">
      <w:pPr>
        <w:spacing w:before="145" w:after="145" w:line="400" w:lineRule="exact"/>
        <w:rPr>
          <w:rFonts w:ascii="宋体" w:hAnsi="宋体"/>
          <w:bCs/>
          <w:highlight w:val="none"/>
        </w:rPr>
      </w:pPr>
    </w:p>
    <w:p w14:paraId="41ED16D7">
      <w:pPr>
        <w:spacing w:before="145" w:after="145" w:line="400" w:lineRule="exact"/>
        <w:ind w:firstLine="4080" w:firstLineChars="1700"/>
        <w:rPr>
          <w:rFonts w:ascii="宋体" w:hAnsi="宋体"/>
          <w:bCs/>
          <w:highlight w:val="none"/>
        </w:rPr>
      </w:pPr>
      <w:r>
        <w:rPr>
          <w:rFonts w:hint="eastAsia" w:ascii="宋体" w:hAnsi="宋体"/>
          <w:bCs/>
          <w:highlight w:val="none"/>
        </w:rPr>
        <w:t>企业名称（盖章）：</w:t>
      </w:r>
    </w:p>
    <w:p w14:paraId="497AB9DA">
      <w:pPr>
        <w:spacing w:before="145" w:after="145" w:line="400" w:lineRule="exact"/>
        <w:ind w:firstLine="4080" w:firstLineChars="1700"/>
        <w:rPr>
          <w:rFonts w:ascii="宋体" w:hAnsi="宋体"/>
          <w:bCs/>
          <w:highlight w:val="none"/>
        </w:rPr>
      </w:pPr>
      <w:r>
        <w:rPr>
          <w:rFonts w:hint="eastAsia" w:ascii="宋体" w:hAnsi="宋体"/>
          <w:bCs/>
          <w:highlight w:val="none"/>
        </w:rPr>
        <w:t>日期：</w:t>
      </w:r>
    </w:p>
    <w:p w14:paraId="467E946E">
      <w:pPr>
        <w:spacing w:line="400" w:lineRule="exact"/>
        <w:ind w:left="2100"/>
        <w:rPr>
          <w:rFonts w:ascii="宋体" w:hAnsi="宋体"/>
          <w:sz w:val="21"/>
          <w:highlight w:val="none"/>
        </w:rPr>
      </w:pPr>
    </w:p>
    <w:p w14:paraId="1FEB3BD8">
      <w:pPr>
        <w:spacing w:line="400" w:lineRule="exact"/>
        <w:rPr>
          <w:rFonts w:ascii="宋体" w:hAnsi="宋体"/>
          <w:sz w:val="21"/>
          <w:highlight w:val="none"/>
        </w:rPr>
      </w:pPr>
    </w:p>
    <w:p w14:paraId="4B4120E5">
      <w:pPr>
        <w:widowControl/>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097D8A27">
      <w:pPr>
        <w:widowControl/>
        <w:numPr>
          <w:ilvl w:val="0"/>
          <w:numId w:val="20"/>
        </w:numPr>
        <w:spacing w:line="400" w:lineRule="exact"/>
        <w:ind w:firstLine="541" w:firstLineChars="300"/>
        <w:rPr>
          <w:rFonts w:ascii="宋体" w:hAnsi="宋体"/>
          <w:b/>
          <w:bCs/>
          <w:sz w:val="18"/>
          <w:szCs w:val="22"/>
          <w:highlight w:val="none"/>
        </w:rPr>
      </w:pPr>
      <w:r>
        <w:rPr>
          <w:rFonts w:hint="eastAsia" w:ascii="宋体" w:hAnsi="宋体"/>
          <w:b/>
          <w:bCs/>
          <w:sz w:val="18"/>
          <w:szCs w:val="22"/>
          <w:highlight w:val="none"/>
        </w:rPr>
        <w:t>供应商为中小企业时需提供本声明函，并完整填写从业人员、营业收入、资产总额等内容，否则评审时不能享受相应的价格扣除。</w:t>
      </w:r>
    </w:p>
    <w:p w14:paraId="3816B48C">
      <w:pPr>
        <w:ind w:left="2100"/>
        <w:rPr>
          <w:rFonts w:ascii="宋体" w:hAnsi="宋体"/>
          <w:sz w:val="21"/>
          <w:highlight w:val="none"/>
        </w:rPr>
      </w:pPr>
    </w:p>
    <w:p w14:paraId="7A4B353F">
      <w:pPr>
        <w:spacing w:line="240" w:lineRule="auto"/>
        <w:rPr>
          <w:rFonts w:ascii="宋体" w:hAnsi="宋体"/>
          <w:sz w:val="21"/>
          <w:highlight w:val="none"/>
        </w:rPr>
      </w:pPr>
    </w:p>
    <w:p w14:paraId="7CDDCCC9">
      <w:pPr>
        <w:pStyle w:val="15"/>
        <w:ind w:firstLine="0"/>
        <w:jc w:val="left"/>
        <w:rPr>
          <w:rFonts w:ascii="宋体" w:hAnsi="宋体"/>
          <w:b/>
          <w:bCs/>
          <w:sz w:val="30"/>
          <w:szCs w:val="30"/>
          <w:highlight w:val="none"/>
        </w:rPr>
      </w:pPr>
      <w:r>
        <w:rPr>
          <w:rFonts w:hint="eastAsia" w:ascii="宋体" w:hAnsi="宋体"/>
          <w:b/>
          <w:bCs/>
          <w:sz w:val="30"/>
          <w:szCs w:val="30"/>
          <w:highlight w:val="none"/>
        </w:rPr>
        <w:t>表6</w:t>
      </w:r>
    </w:p>
    <w:p w14:paraId="308DA87A">
      <w:pPr>
        <w:spacing w:line="240" w:lineRule="auto"/>
        <w:rPr>
          <w:rFonts w:ascii="宋体" w:hAnsi="宋体"/>
          <w:sz w:val="21"/>
          <w:highlight w:val="none"/>
        </w:rPr>
      </w:pPr>
    </w:p>
    <w:p w14:paraId="160449F2">
      <w:pPr>
        <w:widowControl/>
        <w:spacing w:line="400" w:lineRule="exact"/>
        <w:rPr>
          <w:rFonts w:ascii="宋体" w:hAnsi="宋体"/>
          <w:sz w:val="18"/>
          <w:highlight w:val="none"/>
        </w:rPr>
      </w:pPr>
    </w:p>
    <w:p w14:paraId="4168E35F">
      <w:pPr>
        <w:widowControl/>
        <w:spacing w:line="400" w:lineRule="exact"/>
        <w:jc w:val="center"/>
        <w:rPr>
          <w:rFonts w:ascii="宋体" w:hAnsi="宋体"/>
          <w:b/>
          <w:bCs/>
          <w:sz w:val="36"/>
          <w:szCs w:val="22"/>
          <w:highlight w:val="none"/>
        </w:rPr>
      </w:pPr>
      <w:r>
        <w:rPr>
          <w:rFonts w:hint="eastAsia" w:ascii="宋体" w:hAnsi="宋体"/>
          <w:b/>
          <w:bCs/>
          <w:sz w:val="36"/>
          <w:szCs w:val="22"/>
          <w:highlight w:val="none"/>
        </w:rPr>
        <w:t>中小企业声明函（工程、服务）</w:t>
      </w:r>
    </w:p>
    <w:p w14:paraId="145A02C1">
      <w:pPr>
        <w:widowControl/>
        <w:spacing w:line="400" w:lineRule="exact"/>
        <w:jc w:val="center"/>
        <w:rPr>
          <w:rFonts w:ascii="宋体" w:hAnsi="宋体"/>
          <w:sz w:val="36"/>
          <w:szCs w:val="22"/>
          <w:highlight w:val="none"/>
        </w:rPr>
      </w:pPr>
    </w:p>
    <w:p w14:paraId="227B06F8">
      <w:pPr>
        <w:spacing w:before="145" w:after="145" w:line="400" w:lineRule="exact"/>
        <w:ind w:firstLine="480" w:firstLineChars="200"/>
        <w:rPr>
          <w:rFonts w:ascii="宋体" w:hAnsi="宋体"/>
          <w:bCs/>
          <w:highlight w:val="none"/>
        </w:rPr>
      </w:pPr>
      <w:r>
        <w:rPr>
          <w:rFonts w:hint="eastAsia" w:ascii="宋体" w:hAnsi="宋体"/>
          <w:bCs/>
          <w:highlight w:val="none"/>
        </w:rPr>
        <w:t>本公司（联合体）郑重声明，根据《政府采购促进中小企业发展管理办法》（财库﹝2020﹞46 号）的规定，本公司（联合体）参加（</w:t>
      </w:r>
      <w:r>
        <w:rPr>
          <w:rFonts w:hint="eastAsia" w:ascii="宋体" w:hAnsi="宋体"/>
          <w:bCs/>
          <w:i/>
          <w:iCs/>
          <w:highlight w:val="none"/>
          <w:u w:val="single"/>
        </w:rPr>
        <w:t>单位名称</w:t>
      </w:r>
      <w:r>
        <w:rPr>
          <w:rFonts w:hint="eastAsia" w:ascii="宋体" w:hAnsi="宋体"/>
          <w:bCs/>
          <w:highlight w:val="none"/>
        </w:rPr>
        <w:t>）的（</w:t>
      </w:r>
      <w:r>
        <w:rPr>
          <w:rFonts w:hint="eastAsia" w:ascii="宋体" w:hAnsi="宋体"/>
          <w:bCs/>
          <w:i/>
          <w:iCs/>
          <w:highlight w:val="none"/>
          <w:u w:val="single"/>
        </w:rPr>
        <w:t>项目名称</w:t>
      </w:r>
      <w:r>
        <w:rPr>
          <w:rFonts w:hint="eastAsia" w:ascii="宋体" w:hAnsi="宋体"/>
          <w:bCs/>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C65517B">
      <w:pPr>
        <w:spacing w:before="145" w:after="145" w:line="400" w:lineRule="exact"/>
        <w:ind w:firstLine="480" w:firstLineChars="200"/>
        <w:rPr>
          <w:rFonts w:ascii="宋体" w:hAnsi="宋体"/>
          <w:bCs/>
          <w:highlight w:val="none"/>
        </w:rPr>
      </w:pPr>
      <w:r>
        <w:rPr>
          <w:rFonts w:hint="eastAsia" w:ascii="宋体" w:hAnsi="宋体"/>
          <w:bCs/>
          <w:highlight w:val="none"/>
        </w:rPr>
        <w:t>1. （</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）；承建（承接）企业为（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1DD0C148">
      <w:pPr>
        <w:spacing w:before="145" w:after="145" w:line="400" w:lineRule="exact"/>
        <w:ind w:firstLine="480" w:firstLineChars="200"/>
        <w:rPr>
          <w:rFonts w:ascii="宋体" w:hAnsi="宋体"/>
          <w:bCs/>
          <w:highlight w:val="none"/>
        </w:rPr>
      </w:pPr>
      <w:r>
        <w:rPr>
          <w:rFonts w:hint="eastAsia" w:ascii="宋体" w:hAnsi="宋体"/>
          <w:bCs/>
          <w:highlight w:val="none"/>
        </w:rPr>
        <w:t>2. （</w:t>
      </w:r>
      <w:r>
        <w:rPr>
          <w:rFonts w:hint="eastAsia" w:ascii="宋体" w:hAnsi="宋体"/>
          <w:bCs/>
          <w:i/>
          <w:iCs/>
          <w:highlight w:val="none"/>
          <w:u w:val="single"/>
        </w:rPr>
        <w:t>标的名称</w:t>
      </w:r>
      <w:r>
        <w:rPr>
          <w:rFonts w:hint="eastAsia" w:ascii="宋体" w:hAnsi="宋体"/>
          <w:bCs/>
          <w:highlight w:val="none"/>
        </w:rPr>
        <w:t>） ，属于（</w:t>
      </w:r>
      <w:r>
        <w:rPr>
          <w:rFonts w:hint="eastAsia" w:ascii="宋体" w:hAnsi="宋体"/>
          <w:bCs/>
          <w:i/>
          <w:iCs/>
          <w:highlight w:val="none"/>
          <w:u w:val="single"/>
        </w:rPr>
        <w:t>采购文件中明确的所属行业</w:t>
      </w:r>
      <w:r>
        <w:rPr>
          <w:rFonts w:hint="eastAsia" w:ascii="宋体" w:hAnsi="宋体"/>
          <w:bCs/>
          <w:highlight w:val="none"/>
        </w:rPr>
        <w:t>）；承建（承接）企业为（</w:t>
      </w:r>
      <w:r>
        <w:rPr>
          <w:rFonts w:hint="eastAsia" w:ascii="宋体" w:hAnsi="宋体"/>
          <w:bCs/>
          <w:i/>
          <w:iCs/>
          <w:highlight w:val="none"/>
          <w:u w:val="single"/>
        </w:rPr>
        <w:t>企业名称</w:t>
      </w:r>
      <w:r>
        <w:rPr>
          <w:rFonts w:hint="eastAsia" w:ascii="宋体" w:hAnsi="宋体"/>
          <w:bCs/>
          <w:highlight w:val="none"/>
        </w:rPr>
        <w:t>），从业人员</w:t>
      </w:r>
      <w:r>
        <w:rPr>
          <w:rFonts w:hint="eastAsia" w:ascii="宋体" w:hAnsi="宋体"/>
          <w:bCs/>
          <w:highlight w:val="none"/>
          <w:u w:val="single"/>
        </w:rPr>
        <w:t xml:space="preserve">     </w:t>
      </w:r>
      <w:r>
        <w:rPr>
          <w:rFonts w:hint="eastAsia" w:ascii="宋体" w:hAnsi="宋体"/>
          <w:bCs/>
          <w:highlight w:val="none"/>
        </w:rPr>
        <w:t>人，营业收入为</w:t>
      </w:r>
      <w:r>
        <w:rPr>
          <w:rFonts w:hint="eastAsia" w:ascii="宋体" w:hAnsi="宋体"/>
          <w:bCs/>
          <w:highlight w:val="none"/>
          <w:u w:val="single"/>
        </w:rPr>
        <w:t xml:space="preserve">     </w:t>
      </w:r>
      <w:r>
        <w:rPr>
          <w:rFonts w:hint="eastAsia" w:ascii="宋体" w:hAnsi="宋体"/>
          <w:bCs/>
          <w:highlight w:val="none"/>
        </w:rPr>
        <w:t>万元，资产总额为</w:t>
      </w:r>
      <w:r>
        <w:rPr>
          <w:rFonts w:hint="eastAsia" w:ascii="宋体" w:hAnsi="宋体"/>
          <w:bCs/>
          <w:highlight w:val="none"/>
          <w:u w:val="single"/>
        </w:rPr>
        <w:t xml:space="preserve">     </w:t>
      </w:r>
      <w:r>
        <w:rPr>
          <w:rFonts w:hint="eastAsia" w:ascii="宋体" w:hAnsi="宋体"/>
          <w:bCs/>
          <w:highlight w:val="none"/>
        </w:rPr>
        <w:t>万元，属于（</w:t>
      </w:r>
      <w:r>
        <w:rPr>
          <w:rFonts w:hint="eastAsia" w:ascii="宋体" w:hAnsi="宋体"/>
          <w:bCs/>
          <w:i/>
          <w:iCs/>
          <w:highlight w:val="none"/>
          <w:u w:val="single"/>
        </w:rPr>
        <w:t>中型企业、小型企业、微型企业</w:t>
      </w:r>
      <w:r>
        <w:rPr>
          <w:rFonts w:hint="eastAsia" w:ascii="宋体" w:hAnsi="宋体"/>
          <w:bCs/>
          <w:highlight w:val="none"/>
        </w:rPr>
        <w:t>）；</w:t>
      </w:r>
    </w:p>
    <w:p w14:paraId="7FDABF1A">
      <w:pPr>
        <w:spacing w:before="145" w:after="145" w:line="400" w:lineRule="exact"/>
        <w:rPr>
          <w:rFonts w:ascii="宋体" w:hAnsi="宋体"/>
          <w:bCs/>
          <w:highlight w:val="none"/>
        </w:rPr>
      </w:pPr>
      <w:r>
        <w:rPr>
          <w:rFonts w:hint="eastAsia" w:ascii="宋体" w:hAnsi="宋体"/>
          <w:bCs/>
          <w:highlight w:val="none"/>
        </w:rPr>
        <w:t>……</w:t>
      </w:r>
    </w:p>
    <w:p w14:paraId="6D716AA3">
      <w:pPr>
        <w:spacing w:before="145" w:after="145" w:line="400" w:lineRule="exact"/>
        <w:ind w:firstLine="480" w:firstLineChars="200"/>
        <w:rPr>
          <w:rFonts w:ascii="宋体" w:hAnsi="宋体"/>
          <w:bCs/>
          <w:highlight w:val="none"/>
        </w:rPr>
      </w:pPr>
      <w:r>
        <w:rPr>
          <w:rFonts w:hint="eastAsia" w:ascii="宋体" w:hAnsi="宋体"/>
          <w:bCs/>
          <w:highlight w:val="none"/>
        </w:rPr>
        <w:t>以上企业，不属于大企业的分支机构，不存在控股股东为大企业的情形，也不存在与大企业的负责人为同一人的情形。</w:t>
      </w:r>
    </w:p>
    <w:p w14:paraId="67DE1553">
      <w:pPr>
        <w:spacing w:before="145" w:after="145" w:line="400" w:lineRule="exact"/>
        <w:ind w:firstLine="480" w:firstLineChars="200"/>
        <w:rPr>
          <w:rFonts w:ascii="宋体" w:hAnsi="宋体"/>
          <w:bCs/>
          <w:highlight w:val="none"/>
        </w:rPr>
      </w:pPr>
      <w:r>
        <w:rPr>
          <w:rFonts w:hint="eastAsia" w:ascii="宋体" w:hAnsi="宋体"/>
          <w:bCs/>
          <w:highlight w:val="none"/>
        </w:rPr>
        <w:t>本企业对上述声明内容的真实性负责。如有虚假，将依法承担相应责任。</w:t>
      </w:r>
    </w:p>
    <w:p w14:paraId="2B2C0107">
      <w:pPr>
        <w:spacing w:before="145" w:after="145" w:line="400" w:lineRule="exact"/>
        <w:rPr>
          <w:rFonts w:ascii="宋体" w:hAnsi="宋体"/>
          <w:bCs/>
          <w:highlight w:val="none"/>
        </w:rPr>
      </w:pPr>
    </w:p>
    <w:p w14:paraId="71E60A12">
      <w:pPr>
        <w:spacing w:before="145" w:after="145" w:line="400" w:lineRule="exact"/>
        <w:rPr>
          <w:rFonts w:ascii="宋体" w:hAnsi="宋体"/>
          <w:bCs/>
          <w:highlight w:val="none"/>
        </w:rPr>
      </w:pPr>
    </w:p>
    <w:p w14:paraId="10A3EDCF">
      <w:pPr>
        <w:spacing w:before="145" w:after="145" w:line="400" w:lineRule="exact"/>
        <w:ind w:firstLine="4320" w:firstLineChars="1800"/>
        <w:rPr>
          <w:rFonts w:ascii="宋体" w:hAnsi="宋体"/>
          <w:bCs/>
          <w:highlight w:val="none"/>
        </w:rPr>
      </w:pPr>
      <w:r>
        <w:rPr>
          <w:rFonts w:hint="eastAsia" w:ascii="宋体" w:hAnsi="宋体"/>
          <w:bCs/>
          <w:highlight w:val="none"/>
        </w:rPr>
        <w:t>企业名称（盖章）：</w:t>
      </w:r>
    </w:p>
    <w:p w14:paraId="74FFD072">
      <w:pPr>
        <w:spacing w:before="145" w:after="145" w:line="400" w:lineRule="exact"/>
        <w:ind w:firstLine="4320" w:firstLineChars="1800"/>
        <w:rPr>
          <w:rFonts w:ascii="宋体" w:hAnsi="宋体"/>
          <w:bCs/>
          <w:highlight w:val="none"/>
        </w:rPr>
      </w:pPr>
      <w:r>
        <w:rPr>
          <w:rFonts w:hint="eastAsia" w:ascii="宋体" w:hAnsi="宋体"/>
          <w:bCs/>
          <w:highlight w:val="none"/>
        </w:rPr>
        <w:t>日期：</w:t>
      </w:r>
    </w:p>
    <w:p w14:paraId="70EEFF1A">
      <w:pPr>
        <w:spacing w:line="400" w:lineRule="exact"/>
        <w:rPr>
          <w:rFonts w:ascii="宋体" w:hAnsi="宋体"/>
          <w:sz w:val="21"/>
          <w:highlight w:val="none"/>
        </w:rPr>
      </w:pPr>
    </w:p>
    <w:p w14:paraId="3A0948AC">
      <w:pPr>
        <w:spacing w:line="400" w:lineRule="exact"/>
        <w:rPr>
          <w:rFonts w:ascii="宋体" w:hAnsi="宋体"/>
          <w:sz w:val="21"/>
          <w:highlight w:val="none"/>
        </w:rPr>
      </w:pPr>
    </w:p>
    <w:p w14:paraId="3CAF85DF">
      <w:pPr>
        <w:widowControl/>
        <w:spacing w:line="400" w:lineRule="exact"/>
        <w:rPr>
          <w:rFonts w:ascii="宋体" w:hAnsi="宋体"/>
          <w:b/>
          <w:bCs/>
          <w:sz w:val="18"/>
          <w:highlight w:val="none"/>
        </w:rPr>
      </w:pPr>
      <w:r>
        <w:rPr>
          <w:rFonts w:hint="eastAsia" w:ascii="宋体" w:hAnsi="宋体"/>
          <w:b/>
          <w:bCs/>
          <w:sz w:val="18"/>
          <w:highlight w:val="none"/>
        </w:rPr>
        <w:t>备注：1、从业人员、营业收入、资产总额填报上一年度数据，无上一年度数据的新成立企业可不填报。</w:t>
      </w:r>
    </w:p>
    <w:p w14:paraId="4B3730A1">
      <w:pPr>
        <w:widowControl/>
        <w:spacing w:line="400" w:lineRule="exact"/>
        <w:ind w:firstLine="541" w:firstLineChars="300"/>
        <w:rPr>
          <w:rFonts w:ascii="宋体" w:hAnsi="宋体"/>
          <w:b/>
          <w:bCs/>
          <w:sz w:val="18"/>
          <w:szCs w:val="22"/>
          <w:highlight w:val="none"/>
        </w:rPr>
      </w:pPr>
      <w:r>
        <w:rPr>
          <w:rFonts w:hint="eastAsia" w:ascii="宋体" w:hAnsi="宋体"/>
          <w:b/>
          <w:bCs/>
          <w:sz w:val="18"/>
          <w:szCs w:val="22"/>
          <w:highlight w:val="none"/>
        </w:rPr>
        <w:t>2.供应商为中小企业时需提供本声明函，并完整填写从业人员、营业收入、资产总额等内容，否则评审时不能享受相应的价格扣除。</w:t>
      </w:r>
    </w:p>
    <w:p w14:paraId="3985D49B">
      <w:pPr>
        <w:rPr>
          <w:rFonts w:ascii="宋体" w:hAnsi="宋体"/>
          <w:sz w:val="21"/>
          <w:highlight w:val="none"/>
        </w:rPr>
      </w:pPr>
    </w:p>
    <w:p w14:paraId="79A83AEC">
      <w:pPr>
        <w:pStyle w:val="15"/>
        <w:ind w:firstLine="0"/>
        <w:jc w:val="left"/>
        <w:rPr>
          <w:rFonts w:ascii="宋体" w:hAnsi="宋体"/>
          <w:b/>
          <w:bCs/>
          <w:sz w:val="30"/>
          <w:szCs w:val="30"/>
          <w:highlight w:val="none"/>
        </w:rPr>
      </w:pPr>
      <w:r>
        <w:rPr>
          <w:rFonts w:hint="eastAsia" w:ascii="宋体" w:hAnsi="宋体"/>
          <w:b/>
          <w:bCs/>
          <w:sz w:val="30"/>
          <w:szCs w:val="30"/>
          <w:highlight w:val="none"/>
        </w:rPr>
        <w:t>表7</w:t>
      </w:r>
    </w:p>
    <w:p w14:paraId="04F3B832">
      <w:pPr>
        <w:spacing w:before="145" w:after="145" w:line="300" w:lineRule="auto"/>
        <w:jc w:val="center"/>
        <w:rPr>
          <w:rFonts w:ascii="宋体" w:hAnsi="宋体"/>
          <w:b/>
          <w:sz w:val="32"/>
          <w:szCs w:val="32"/>
          <w:highlight w:val="none"/>
        </w:rPr>
      </w:pPr>
      <w:r>
        <w:rPr>
          <w:rFonts w:hint="eastAsia" w:ascii="宋体" w:hAnsi="宋体"/>
          <w:b/>
          <w:sz w:val="32"/>
          <w:szCs w:val="32"/>
          <w:highlight w:val="none"/>
        </w:rPr>
        <w:t>残疾人福利性单位声明函</w:t>
      </w:r>
    </w:p>
    <w:p w14:paraId="31FE5A08">
      <w:pPr>
        <w:spacing w:before="145" w:after="145" w:line="300" w:lineRule="auto"/>
        <w:ind w:firstLine="624" w:firstLineChars="200"/>
        <w:rPr>
          <w:rFonts w:ascii="宋体" w:hAnsi="宋体"/>
          <w:spacing w:val="6"/>
          <w:sz w:val="30"/>
          <w:szCs w:val="30"/>
          <w:highlight w:val="none"/>
        </w:rPr>
      </w:pPr>
    </w:p>
    <w:p w14:paraId="6141A581">
      <w:pPr>
        <w:spacing w:before="145" w:after="145" w:line="300" w:lineRule="auto"/>
        <w:ind w:firstLine="480" w:firstLineChars="200"/>
        <w:rPr>
          <w:rFonts w:ascii="宋体" w:hAnsi="宋体"/>
          <w:highlight w:val="none"/>
        </w:rPr>
      </w:pPr>
      <w:r>
        <w:rPr>
          <w:rFonts w:hint="eastAsia" w:ascii="宋体" w:hAnsi="宋体"/>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宋体" w:hAnsi="宋体"/>
          <w:highlight w:val="none"/>
          <w:u w:val="single"/>
        </w:rPr>
        <w:t xml:space="preserve">       </w:t>
      </w:r>
      <w:r>
        <w:rPr>
          <w:rFonts w:hint="eastAsia" w:ascii="宋体" w:hAnsi="宋体"/>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3B42A6B8">
      <w:pPr>
        <w:spacing w:before="145" w:after="145" w:line="300" w:lineRule="auto"/>
        <w:ind w:firstLine="480" w:firstLineChars="200"/>
        <w:rPr>
          <w:rFonts w:ascii="宋体" w:hAnsi="宋体"/>
          <w:highlight w:val="none"/>
        </w:rPr>
      </w:pPr>
      <w:r>
        <w:rPr>
          <w:rFonts w:hint="eastAsia" w:ascii="宋体" w:hAnsi="宋体"/>
          <w:highlight w:val="none"/>
        </w:rPr>
        <w:t>本单位在本次政府采购活动中提供的残疾人福利单位产品报价合计为人民币（大写）</w:t>
      </w:r>
      <w:r>
        <w:rPr>
          <w:rFonts w:hint="eastAsia" w:ascii="宋体" w:hAnsi="宋体"/>
          <w:highlight w:val="none"/>
          <w:u w:val="single"/>
        </w:rPr>
        <w:t xml:space="preserve">      </w:t>
      </w:r>
      <w:r>
        <w:rPr>
          <w:rFonts w:hint="eastAsia" w:ascii="宋体" w:hAnsi="宋体"/>
          <w:highlight w:val="none"/>
        </w:rPr>
        <w:t>圆整（￥：     ）。</w:t>
      </w:r>
    </w:p>
    <w:p w14:paraId="0221F2B8">
      <w:pPr>
        <w:spacing w:before="145" w:after="145" w:line="300" w:lineRule="auto"/>
        <w:ind w:firstLine="480" w:firstLineChars="200"/>
        <w:rPr>
          <w:rFonts w:ascii="宋体" w:hAnsi="宋体"/>
          <w:highlight w:val="none"/>
        </w:rPr>
      </w:pPr>
      <w:r>
        <w:rPr>
          <w:rFonts w:hint="eastAsia" w:ascii="宋体" w:hAnsi="宋体"/>
          <w:highlight w:val="none"/>
        </w:rPr>
        <w:t>本单位对上述声明的真实性负责。如有虚假，将依法承担相应责任。</w:t>
      </w:r>
    </w:p>
    <w:p w14:paraId="448BB494">
      <w:pPr>
        <w:spacing w:before="145" w:after="145" w:line="300" w:lineRule="auto"/>
        <w:ind w:firstLine="480" w:firstLineChars="200"/>
        <w:rPr>
          <w:rFonts w:ascii="宋体" w:hAnsi="宋体"/>
          <w:highlight w:val="none"/>
        </w:rPr>
      </w:pPr>
    </w:p>
    <w:p w14:paraId="21FF76DB">
      <w:pPr>
        <w:spacing w:before="145" w:after="145" w:line="300" w:lineRule="auto"/>
        <w:ind w:firstLine="480" w:firstLineChars="200"/>
        <w:rPr>
          <w:rFonts w:ascii="宋体" w:hAnsi="宋体"/>
          <w:highlight w:val="none"/>
        </w:rPr>
      </w:pPr>
      <w:r>
        <w:rPr>
          <w:rFonts w:hint="eastAsia" w:ascii="宋体" w:hAnsi="宋体"/>
          <w:highlight w:val="none"/>
        </w:rPr>
        <w:t>（备注：1、供应商如不提供此声明函，价格将不做相应扣除。2、中标供应商为残疾人福利单位的，此声明函将随中标结果同时公告，接受社会监督）</w:t>
      </w:r>
    </w:p>
    <w:p w14:paraId="43B8503A">
      <w:pPr>
        <w:spacing w:before="145" w:after="145" w:line="300" w:lineRule="auto"/>
        <w:ind w:firstLine="624" w:firstLineChars="200"/>
        <w:rPr>
          <w:rFonts w:ascii="宋体" w:hAnsi="宋体"/>
          <w:spacing w:val="6"/>
          <w:sz w:val="30"/>
          <w:szCs w:val="30"/>
          <w:highlight w:val="none"/>
        </w:rPr>
      </w:pPr>
    </w:p>
    <w:p w14:paraId="7A02C6F6">
      <w:pPr>
        <w:tabs>
          <w:tab w:val="left" w:pos="4860"/>
        </w:tabs>
        <w:spacing w:before="145" w:after="145" w:line="300" w:lineRule="auto"/>
        <w:ind w:right="1560" w:firstLine="624" w:firstLineChars="200"/>
        <w:jc w:val="center"/>
        <w:rPr>
          <w:rFonts w:ascii="宋体" w:hAnsi="宋体"/>
          <w:spacing w:val="6"/>
          <w:sz w:val="30"/>
          <w:szCs w:val="30"/>
          <w:highlight w:val="none"/>
        </w:rPr>
      </w:pPr>
      <w:r>
        <w:rPr>
          <w:rFonts w:hint="eastAsia" w:ascii="宋体" w:hAnsi="宋体"/>
          <w:spacing w:val="6"/>
          <w:sz w:val="30"/>
          <w:szCs w:val="30"/>
          <w:highlight w:val="none"/>
        </w:rPr>
        <w:t xml:space="preserve">             </w:t>
      </w:r>
      <w:r>
        <w:rPr>
          <w:rFonts w:hint="eastAsia" w:ascii="宋体" w:hAnsi="宋体"/>
          <w:highlight w:val="none"/>
        </w:rPr>
        <w:t xml:space="preserve">                     供应商全称（盖章）：</w:t>
      </w:r>
    </w:p>
    <w:p w14:paraId="4BD843B0">
      <w:pPr>
        <w:tabs>
          <w:tab w:val="left" w:pos="4860"/>
        </w:tabs>
        <w:spacing w:before="145" w:after="145" w:line="300" w:lineRule="auto"/>
        <w:ind w:right="1560" w:firstLine="480" w:firstLineChars="200"/>
        <w:jc w:val="center"/>
        <w:rPr>
          <w:rFonts w:ascii="宋体" w:hAnsi="宋体"/>
          <w:highlight w:val="none"/>
        </w:rPr>
      </w:pPr>
      <w:r>
        <w:rPr>
          <w:rFonts w:hint="eastAsia" w:ascii="宋体" w:hAnsi="宋体"/>
          <w:highlight w:val="none"/>
        </w:rPr>
        <w:t xml:space="preserve">                              日  期：</w:t>
      </w:r>
    </w:p>
    <w:p w14:paraId="0FA37F93">
      <w:pPr>
        <w:spacing w:before="145" w:after="145" w:line="300" w:lineRule="auto"/>
        <w:rPr>
          <w:rFonts w:ascii="宋体" w:hAnsi="宋体"/>
          <w:b/>
          <w:bCs/>
          <w:highlight w:val="none"/>
        </w:rPr>
      </w:pPr>
      <w:r>
        <w:rPr>
          <w:rFonts w:hint="eastAsia" w:ascii="宋体" w:hAnsi="宋体"/>
          <w:b/>
          <w:bCs/>
          <w:highlight w:val="none"/>
        </w:rPr>
        <w:t>（备注：供应商如未提供此声明函，价格将不做相应扣除，但磋商不会被拒绝；如未如实声明，需承担相应法律责任。）</w:t>
      </w:r>
    </w:p>
    <w:p w14:paraId="5543AB7E">
      <w:pPr>
        <w:pStyle w:val="15"/>
        <w:ind w:firstLine="0"/>
        <w:jc w:val="left"/>
        <w:rPr>
          <w:rFonts w:ascii="宋体" w:hAnsi="宋体"/>
          <w:b/>
          <w:bCs/>
          <w:sz w:val="30"/>
          <w:szCs w:val="30"/>
          <w:highlight w:val="none"/>
        </w:rPr>
      </w:pPr>
      <w:r>
        <w:rPr>
          <w:highlight w:val="none"/>
        </w:rPr>
        <w:br w:type="page"/>
      </w:r>
      <w:r>
        <w:rPr>
          <w:rFonts w:hint="eastAsia" w:ascii="宋体" w:hAnsi="宋体"/>
          <w:b/>
          <w:bCs/>
          <w:sz w:val="30"/>
          <w:szCs w:val="30"/>
          <w:highlight w:val="none"/>
        </w:rPr>
        <w:t>表8</w:t>
      </w:r>
    </w:p>
    <w:p w14:paraId="44DA574E">
      <w:pPr>
        <w:spacing w:line="240" w:lineRule="auto"/>
        <w:jc w:val="center"/>
        <w:rPr>
          <w:rFonts w:ascii="宋体" w:hAnsi="宋体"/>
          <w:b/>
          <w:bCs/>
          <w:sz w:val="32"/>
          <w:szCs w:val="32"/>
          <w:highlight w:val="none"/>
        </w:rPr>
      </w:pPr>
      <w:r>
        <w:rPr>
          <w:rFonts w:hint="eastAsia" w:ascii="宋体" w:hAnsi="宋体"/>
          <w:b/>
          <w:bCs/>
          <w:sz w:val="32"/>
          <w:szCs w:val="32"/>
          <w:highlight w:val="none"/>
        </w:rPr>
        <w:t>质疑函范本</w:t>
      </w:r>
    </w:p>
    <w:tbl>
      <w:tblPr>
        <w:tblStyle w:val="50"/>
        <w:tblW w:w="0" w:type="auto"/>
        <w:tblInd w:w="-105" w:type="dxa"/>
        <w:shd w:val="clear" w:color="auto" w:fill="FFFFFF"/>
        <w:tblLayout w:type="fixed"/>
        <w:tblCellMar>
          <w:top w:w="0" w:type="dxa"/>
          <w:left w:w="105" w:type="dxa"/>
          <w:bottom w:w="0" w:type="dxa"/>
          <w:right w:w="105" w:type="dxa"/>
        </w:tblCellMar>
      </w:tblPr>
      <w:tblGrid>
        <w:gridCol w:w="893"/>
        <w:gridCol w:w="1261"/>
        <w:gridCol w:w="694"/>
        <w:gridCol w:w="1411"/>
        <w:gridCol w:w="2159"/>
        <w:gridCol w:w="1211"/>
        <w:gridCol w:w="1534"/>
      </w:tblGrid>
      <w:tr w14:paraId="3D6CDC71">
        <w:tblPrEx>
          <w:shd w:val="clear" w:color="auto" w:fill="FFFFFF"/>
          <w:tblCellMar>
            <w:top w:w="0" w:type="dxa"/>
            <w:left w:w="105" w:type="dxa"/>
            <w:bottom w:w="0" w:type="dxa"/>
            <w:right w:w="105" w:type="dxa"/>
          </w:tblCellMar>
        </w:tblPrEx>
        <w:trPr>
          <w:trHeight w:val="390" w:hRule="atLeast"/>
        </w:trPr>
        <w:tc>
          <w:tcPr>
            <w:tcW w:w="893" w:type="dxa"/>
            <w:vMerge w:val="restart"/>
            <w:shd w:val="clear" w:color="auto" w:fill="FFFFFF"/>
            <w:tcMar>
              <w:left w:w="105" w:type="dxa"/>
              <w:right w:w="105" w:type="dxa"/>
            </w:tcMar>
            <w:vAlign w:val="center"/>
          </w:tcPr>
          <w:p w14:paraId="195D4709">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质疑项目</w:t>
            </w:r>
          </w:p>
          <w:p w14:paraId="5FC3032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基本情况</w:t>
            </w:r>
          </w:p>
        </w:tc>
        <w:tc>
          <w:tcPr>
            <w:tcW w:w="1261" w:type="dxa"/>
            <w:shd w:val="clear" w:color="auto" w:fill="FFFFFF"/>
            <w:tcMar>
              <w:left w:w="105" w:type="dxa"/>
              <w:right w:w="105" w:type="dxa"/>
            </w:tcMar>
            <w:vAlign w:val="center"/>
          </w:tcPr>
          <w:p w14:paraId="6F97832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项目名称</w:t>
            </w:r>
          </w:p>
        </w:tc>
        <w:tc>
          <w:tcPr>
            <w:tcW w:w="2105" w:type="dxa"/>
            <w:gridSpan w:val="2"/>
            <w:shd w:val="clear" w:color="auto" w:fill="FFFFFF"/>
            <w:tcMar>
              <w:left w:w="105" w:type="dxa"/>
              <w:right w:w="105" w:type="dxa"/>
            </w:tcMar>
            <w:vAlign w:val="center"/>
          </w:tcPr>
          <w:p w14:paraId="74F74454">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51CD99F0">
            <w:pPr>
              <w:rPr>
                <w:rFonts w:ascii="宋体" w:hAnsi="宋体"/>
                <w:color w:val="333333"/>
                <w:sz w:val="21"/>
                <w:highlight w:val="none"/>
              </w:rPr>
            </w:pPr>
          </w:p>
        </w:tc>
        <w:tc>
          <w:tcPr>
            <w:tcW w:w="1534" w:type="dxa"/>
            <w:shd w:val="clear" w:color="auto" w:fill="FFFFFF"/>
            <w:tcMar>
              <w:left w:w="105" w:type="dxa"/>
              <w:right w:w="105" w:type="dxa"/>
            </w:tcMar>
            <w:vAlign w:val="center"/>
          </w:tcPr>
          <w:p w14:paraId="713E6426">
            <w:pPr>
              <w:rPr>
                <w:rFonts w:ascii="宋体" w:hAnsi="宋体"/>
                <w:color w:val="333333"/>
                <w:sz w:val="21"/>
                <w:highlight w:val="none"/>
              </w:rPr>
            </w:pPr>
          </w:p>
        </w:tc>
      </w:tr>
      <w:tr w14:paraId="4F3A044F">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3F112CD9">
            <w:pPr>
              <w:rPr>
                <w:rFonts w:ascii="宋体" w:hAnsi="宋体"/>
                <w:color w:val="333333"/>
                <w:sz w:val="21"/>
                <w:highlight w:val="none"/>
              </w:rPr>
            </w:pPr>
          </w:p>
        </w:tc>
        <w:tc>
          <w:tcPr>
            <w:tcW w:w="1261" w:type="dxa"/>
            <w:shd w:val="clear" w:color="auto" w:fill="FFFFFF"/>
            <w:tcMar>
              <w:left w:w="105" w:type="dxa"/>
              <w:right w:w="105" w:type="dxa"/>
            </w:tcMar>
            <w:vAlign w:val="center"/>
          </w:tcPr>
          <w:p w14:paraId="664E4DC3">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项目编号</w:t>
            </w:r>
          </w:p>
        </w:tc>
        <w:tc>
          <w:tcPr>
            <w:tcW w:w="2105" w:type="dxa"/>
            <w:gridSpan w:val="2"/>
            <w:shd w:val="clear" w:color="auto" w:fill="FFFFFF"/>
            <w:tcMar>
              <w:left w:w="105" w:type="dxa"/>
              <w:right w:w="105" w:type="dxa"/>
            </w:tcMar>
            <w:vAlign w:val="center"/>
          </w:tcPr>
          <w:p w14:paraId="246E3D2E">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65DD22E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包 号</w:t>
            </w:r>
          </w:p>
        </w:tc>
        <w:tc>
          <w:tcPr>
            <w:tcW w:w="1534" w:type="dxa"/>
            <w:shd w:val="clear" w:color="auto" w:fill="FFFFFF"/>
            <w:tcMar>
              <w:left w:w="105" w:type="dxa"/>
              <w:right w:w="105" w:type="dxa"/>
            </w:tcMar>
            <w:vAlign w:val="center"/>
          </w:tcPr>
          <w:p w14:paraId="078D1C70">
            <w:pPr>
              <w:rPr>
                <w:rFonts w:ascii="宋体" w:hAnsi="宋体"/>
                <w:color w:val="333333"/>
                <w:sz w:val="21"/>
                <w:highlight w:val="none"/>
              </w:rPr>
            </w:pPr>
          </w:p>
        </w:tc>
      </w:tr>
      <w:tr w14:paraId="607AE1AC">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32A349C5">
            <w:pPr>
              <w:rPr>
                <w:rFonts w:ascii="宋体" w:hAnsi="宋体"/>
                <w:color w:val="333333"/>
                <w:sz w:val="21"/>
                <w:highlight w:val="none"/>
              </w:rPr>
            </w:pPr>
          </w:p>
        </w:tc>
        <w:tc>
          <w:tcPr>
            <w:tcW w:w="1261" w:type="dxa"/>
            <w:shd w:val="clear" w:color="auto" w:fill="FFFFFF"/>
            <w:tcMar>
              <w:left w:w="105" w:type="dxa"/>
              <w:right w:w="105" w:type="dxa"/>
            </w:tcMar>
            <w:vAlign w:val="center"/>
          </w:tcPr>
          <w:p w14:paraId="7E2E9BBE">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采购人名称</w:t>
            </w:r>
          </w:p>
        </w:tc>
        <w:tc>
          <w:tcPr>
            <w:tcW w:w="7009" w:type="dxa"/>
            <w:gridSpan w:val="5"/>
            <w:shd w:val="clear" w:color="auto" w:fill="FFFFFF"/>
            <w:tcMar>
              <w:left w:w="105" w:type="dxa"/>
              <w:right w:w="105" w:type="dxa"/>
            </w:tcMar>
            <w:vAlign w:val="center"/>
          </w:tcPr>
          <w:p w14:paraId="7D6B026C">
            <w:pPr>
              <w:rPr>
                <w:rFonts w:ascii="宋体" w:hAnsi="宋体"/>
                <w:color w:val="333333"/>
                <w:sz w:val="21"/>
                <w:highlight w:val="none"/>
              </w:rPr>
            </w:pPr>
          </w:p>
        </w:tc>
      </w:tr>
      <w:tr w14:paraId="7374D0A6">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20ED6A1E">
            <w:pPr>
              <w:rPr>
                <w:rFonts w:ascii="宋体" w:hAnsi="宋体"/>
                <w:color w:val="333333"/>
                <w:sz w:val="21"/>
                <w:highlight w:val="none"/>
              </w:rPr>
            </w:pPr>
          </w:p>
        </w:tc>
        <w:tc>
          <w:tcPr>
            <w:tcW w:w="1261" w:type="dxa"/>
            <w:shd w:val="clear" w:color="auto" w:fill="FFFFFF"/>
            <w:tcMar>
              <w:left w:w="105" w:type="dxa"/>
              <w:right w:w="105" w:type="dxa"/>
            </w:tcMar>
            <w:vAlign w:val="center"/>
          </w:tcPr>
          <w:p w14:paraId="555EFEB7">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采购公告时间</w:t>
            </w:r>
          </w:p>
        </w:tc>
        <w:tc>
          <w:tcPr>
            <w:tcW w:w="2105" w:type="dxa"/>
            <w:gridSpan w:val="2"/>
            <w:shd w:val="clear" w:color="auto" w:fill="FFFFFF"/>
            <w:tcMar>
              <w:left w:w="105" w:type="dxa"/>
              <w:right w:w="105" w:type="dxa"/>
            </w:tcMar>
            <w:vAlign w:val="center"/>
          </w:tcPr>
          <w:p w14:paraId="49E45007">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c>
          <w:tcPr>
            <w:tcW w:w="3370" w:type="dxa"/>
            <w:gridSpan w:val="2"/>
            <w:shd w:val="clear" w:color="auto" w:fill="FFFFFF"/>
            <w:tcMar>
              <w:left w:w="105" w:type="dxa"/>
              <w:right w:w="105" w:type="dxa"/>
            </w:tcMar>
            <w:vAlign w:val="center"/>
          </w:tcPr>
          <w:p w14:paraId="252D3D2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中标（成交）公告时间</w:t>
            </w:r>
          </w:p>
        </w:tc>
        <w:tc>
          <w:tcPr>
            <w:tcW w:w="1534" w:type="dxa"/>
            <w:shd w:val="clear" w:color="auto" w:fill="FFFFFF"/>
            <w:tcMar>
              <w:left w:w="105" w:type="dxa"/>
              <w:right w:w="105" w:type="dxa"/>
            </w:tcMar>
            <w:vAlign w:val="center"/>
          </w:tcPr>
          <w:p w14:paraId="1420DEB8">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r>
      <w:tr w14:paraId="2D4034EB">
        <w:tblPrEx>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E364CD2">
            <w:pPr>
              <w:rPr>
                <w:rFonts w:ascii="宋体" w:hAnsi="宋体"/>
                <w:color w:val="333333"/>
                <w:sz w:val="21"/>
                <w:highlight w:val="none"/>
              </w:rPr>
            </w:pPr>
          </w:p>
        </w:tc>
        <w:tc>
          <w:tcPr>
            <w:tcW w:w="1261" w:type="dxa"/>
            <w:shd w:val="clear" w:color="auto" w:fill="FFFFFF"/>
            <w:tcMar>
              <w:left w:w="105" w:type="dxa"/>
              <w:right w:w="105" w:type="dxa"/>
            </w:tcMar>
            <w:vAlign w:val="center"/>
          </w:tcPr>
          <w:p w14:paraId="21121A83">
            <w:pPr>
              <w:pStyle w:val="44"/>
              <w:spacing w:before="0" w:beforeAutospacing="0" w:after="0" w:afterAutospacing="0" w:line="30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更正公告时间</w:t>
            </w:r>
          </w:p>
          <w:p w14:paraId="108D0C43">
            <w:pPr>
              <w:pStyle w:val="44"/>
              <w:spacing w:before="0" w:beforeAutospacing="0" w:after="0" w:afterAutospacing="0" w:line="30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（包含采购文件和采购结果更正公告）</w:t>
            </w:r>
          </w:p>
        </w:tc>
        <w:tc>
          <w:tcPr>
            <w:tcW w:w="2105" w:type="dxa"/>
            <w:gridSpan w:val="2"/>
            <w:shd w:val="clear" w:color="auto" w:fill="FFFFFF"/>
            <w:tcMar>
              <w:left w:w="105" w:type="dxa"/>
              <w:right w:w="105" w:type="dxa"/>
            </w:tcMar>
            <w:vAlign w:val="center"/>
          </w:tcPr>
          <w:p w14:paraId="5D9A082F">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c>
          <w:tcPr>
            <w:tcW w:w="3370" w:type="dxa"/>
            <w:gridSpan w:val="2"/>
            <w:shd w:val="clear" w:color="auto" w:fill="FFFFFF"/>
            <w:tcMar>
              <w:left w:w="105" w:type="dxa"/>
              <w:right w:w="105" w:type="dxa"/>
            </w:tcMar>
            <w:vAlign w:val="center"/>
          </w:tcPr>
          <w:p w14:paraId="79B8FF4E">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终止公告时间（包含废标和采购任务取消）</w:t>
            </w:r>
          </w:p>
        </w:tc>
        <w:tc>
          <w:tcPr>
            <w:tcW w:w="1534" w:type="dxa"/>
            <w:shd w:val="clear" w:color="auto" w:fill="FFFFFF"/>
            <w:tcMar>
              <w:left w:w="105" w:type="dxa"/>
              <w:right w:w="105" w:type="dxa"/>
            </w:tcMar>
            <w:vAlign w:val="center"/>
          </w:tcPr>
          <w:p w14:paraId="2B178A9A">
            <w:pPr>
              <w:pStyle w:val="44"/>
              <w:spacing w:before="0" w:beforeAutospacing="0" w:after="0" w:afterAutospacing="0"/>
              <w:jc w:val="center"/>
              <w:rPr>
                <w:rFonts w:ascii="方正仿宋简体" w:hAnsi="方正仿宋简体" w:eastAsia="方正仿宋简体"/>
                <w:color w:val="333333"/>
                <w:sz w:val="21"/>
                <w:szCs w:val="21"/>
                <w:highlight w:val="none"/>
                <w:u w:val="single"/>
              </w:rPr>
            </w:pP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年</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月</w:t>
            </w:r>
            <w:r>
              <w:rPr>
                <w:rFonts w:ascii="方正仿宋简体" w:hAnsi="方正仿宋简体" w:eastAsia="方正仿宋简体"/>
                <w:color w:val="333333"/>
                <w:sz w:val="21"/>
                <w:szCs w:val="21"/>
                <w:highlight w:val="none"/>
                <w:u w:val="single"/>
              </w:rPr>
              <w:t>  </w:t>
            </w:r>
            <w:r>
              <w:rPr>
                <w:rFonts w:ascii="方正仿宋简体" w:hAnsi="方正仿宋简体" w:eastAsia="方正仿宋简体"/>
                <w:color w:val="333333"/>
                <w:sz w:val="21"/>
                <w:szCs w:val="21"/>
                <w:highlight w:val="none"/>
              </w:rPr>
              <w:t>日</w:t>
            </w:r>
          </w:p>
        </w:tc>
      </w:tr>
      <w:tr w14:paraId="2D4098A0">
        <w:tblPrEx>
          <w:tblCellMar>
            <w:top w:w="0" w:type="dxa"/>
            <w:left w:w="105" w:type="dxa"/>
            <w:bottom w:w="0" w:type="dxa"/>
            <w:right w:w="105" w:type="dxa"/>
          </w:tblCellMar>
        </w:tblPrEx>
        <w:trPr>
          <w:trHeight w:val="390" w:hRule="atLeast"/>
        </w:trPr>
        <w:tc>
          <w:tcPr>
            <w:tcW w:w="893" w:type="dxa"/>
            <w:vMerge w:val="restart"/>
            <w:shd w:val="clear" w:color="auto" w:fill="FFFFFF"/>
            <w:tcMar>
              <w:left w:w="105" w:type="dxa"/>
              <w:right w:w="105" w:type="dxa"/>
            </w:tcMar>
            <w:vAlign w:val="center"/>
          </w:tcPr>
          <w:p w14:paraId="362C523A">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质疑供应商基本信息</w:t>
            </w:r>
          </w:p>
        </w:tc>
        <w:tc>
          <w:tcPr>
            <w:tcW w:w="1261" w:type="dxa"/>
            <w:shd w:val="clear" w:color="auto" w:fill="FFFFFF"/>
            <w:tcMar>
              <w:left w:w="105" w:type="dxa"/>
              <w:right w:w="105" w:type="dxa"/>
            </w:tcMar>
            <w:vAlign w:val="center"/>
          </w:tcPr>
          <w:p w14:paraId="1A69A5A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单位名称</w:t>
            </w:r>
          </w:p>
        </w:tc>
        <w:tc>
          <w:tcPr>
            <w:tcW w:w="7009" w:type="dxa"/>
            <w:gridSpan w:val="5"/>
            <w:shd w:val="clear" w:color="auto" w:fill="FFFFFF"/>
            <w:tcMar>
              <w:left w:w="105" w:type="dxa"/>
              <w:right w:w="105" w:type="dxa"/>
            </w:tcMar>
            <w:vAlign w:val="center"/>
          </w:tcPr>
          <w:p w14:paraId="764E2245">
            <w:pPr>
              <w:rPr>
                <w:rFonts w:ascii="宋体" w:hAnsi="宋体"/>
                <w:color w:val="333333"/>
                <w:sz w:val="21"/>
                <w:highlight w:val="none"/>
              </w:rPr>
            </w:pPr>
          </w:p>
        </w:tc>
      </w:tr>
      <w:tr w14:paraId="70648DBF">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6C34200">
            <w:pPr>
              <w:rPr>
                <w:rFonts w:ascii="宋体" w:hAnsi="宋体"/>
                <w:color w:val="333333"/>
                <w:sz w:val="21"/>
                <w:highlight w:val="none"/>
              </w:rPr>
            </w:pPr>
          </w:p>
        </w:tc>
        <w:tc>
          <w:tcPr>
            <w:tcW w:w="1261" w:type="dxa"/>
            <w:shd w:val="clear" w:color="auto" w:fill="FFFFFF"/>
            <w:tcMar>
              <w:left w:w="105" w:type="dxa"/>
              <w:right w:w="105" w:type="dxa"/>
            </w:tcMar>
            <w:vAlign w:val="center"/>
          </w:tcPr>
          <w:p w14:paraId="4CBE9515">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地址</w:t>
            </w:r>
          </w:p>
        </w:tc>
        <w:tc>
          <w:tcPr>
            <w:tcW w:w="2105" w:type="dxa"/>
            <w:gridSpan w:val="2"/>
            <w:shd w:val="clear" w:color="auto" w:fill="FFFFFF"/>
            <w:tcMar>
              <w:left w:w="105" w:type="dxa"/>
              <w:right w:w="105" w:type="dxa"/>
            </w:tcMar>
            <w:vAlign w:val="center"/>
          </w:tcPr>
          <w:p w14:paraId="6B560578">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36B8E25D">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邮编</w:t>
            </w:r>
          </w:p>
        </w:tc>
        <w:tc>
          <w:tcPr>
            <w:tcW w:w="1534" w:type="dxa"/>
            <w:shd w:val="clear" w:color="auto" w:fill="FFFFFF"/>
            <w:tcMar>
              <w:left w:w="105" w:type="dxa"/>
              <w:right w:w="105" w:type="dxa"/>
            </w:tcMar>
            <w:vAlign w:val="center"/>
          </w:tcPr>
          <w:p w14:paraId="64C195C7">
            <w:pPr>
              <w:rPr>
                <w:rFonts w:ascii="宋体" w:hAnsi="宋体"/>
                <w:color w:val="333333"/>
                <w:sz w:val="21"/>
                <w:highlight w:val="none"/>
              </w:rPr>
            </w:pPr>
          </w:p>
        </w:tc>
      </w:tr>
      <w:tr w14:paraId="7A7E4D06">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C089432">
            <w:pPr>
              <w:rPr>
                <w:rFonts w:ascii="宋体" w:hAnsi="宋体"/>
                <w:color w:val="333333"/>
                <w:sz w:val="21"/>
                <w:highlight w:val="none"/>
              </w:rPr>
            </w:pPr>
          </w:p>
        </w:tc>
        <w:tc>
          <w:tcPr>
            <w:tcW w:w="1261" w:type="dxa"/>
            <w:shd w:val="clear" w:color="auto" w:fill="FFFFFF"/>
            <w:tcMar>
              <w:left w:w="105" w:type="dxa"/>
              <w:right w:w="105" w:type="dxa"/>
            </w:tcMar>
            <w:vAlign w:val="center"/>
          </w:tcPr>
          <w:p w14:paraId="759DB43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联系人</w:t>
            </w:r>
          </w:p>
        </w:tc>
        <w:tc>
          <w:tcPr>
            <w:tcW w:w="2105" w:type="dxa"/>
            <w:gridSpan w:val="2"/>
            <w:shd w:val="clear" w:color="auto" w:fill="FFFFFF"/>
            <w:tcMar>
              <w:left w:w="105" w:type="dxa"/>
              <w:right w:w="105" w:type="dxa"/>
            </w:tcMar>
            <w:vAlign w:val="center"/>
          </w:tcPr>
          <w:p w14:paraId="7C66241F">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0764325F">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联系电话</w:t>
            </w:r>
          </w:p>
        </w:tc>
        <w:tc>
          <w:tcPr>
            <w:tcW w:w="1534" w:type="dxa"/>
            <w:shd w:val="clear" w:color="auto" w:fill="FFFFFF"/>
            <w:tcMar>
              <w:left w:w="105" w:type="dxa"/>
              <w:right w:w="105" w:type="dxa"/>
            </w:tcMar>
            <w:vAlign w:val="center"/>
          </w:tcPr>
          <w:p w14:paraId="0E398DE3">
            <w:pPr>
              <w:rPr>
                <w:rFonts w:ascii="宋体" w:hAnsi="宋体"/>
                <w:color w:val="333333"/>
                <w:sz w:val="21"/>
                <w:highlight w:val="none"/>
              </w:rPr>
            </w:pPr>
          </w:p>
        </w:tc>
      </w:tr>
      <w:tr w14:paraId="2CD8FA42">
        <w:tblPrEx>
          <w:shd w:val="clear" w:color="auto" w:fill="FFFFFF"/>
          <w:tblCellMar>
            <w:top w:w="0" w:type="dxa"/>
            <w:left w:w="105" w:type="dxa"/>
            <w:bottom w:w="0" w:type="dxa"/>
            <w:right w:w="105" w:type="dxa"/>
          </w:tblCellMar>
        </w:tblPrEx>
        <w:trPr>
          <w:trHeight w:val="390" w:hRule="atLeast"/>
        </w:trPr>
        <w:tc>
          <w:tcPr>
            <w:tcW w:w="893" w:type="dxa"/>
            <w:vMerge w:val="continue"/>
            <w:shd w:val="clear" w:color="auto" w:fill="FFFFFF"/>
            <w:tcMar>
              <w:left w:w="105" w:type="dxa"/>
              <w:right w:w="105" w:type="dxa"/>
            </w:tcMar>
            <w:vAlign w:val="center"/>
          </w:tcPr>
          <w:p w14:paraId="5D8544FB">
            <w:pPr>
              <w:rPr>
                <w:rFonts w:ascii="宋体" w:hAnsi="宋体"/>
                <w:color w:val="333333"/>
                <w:sz w:val="21"/>
                <w:highlight w:val="none"/>
              </w:rPr>
            </w:pPr>
          </w:p>
        </w:tc>
        <w:tc>
          <w:tcPr>
            <w:tcW w:w="1261" w:type="dxa"/>
            <w:shd w:val="clear" w:color="auto" w:fill="FFFFFF"/>
            <w:tcMar>
              <w:left w:w="105" w:type="dxa"/>
              <w:right w:w="105" w:type="dxa"/>
            </w:tcMar>
            <w:vAlign w:val="center"/>
          </w:tcPr>
          <w:p w14:paraId="0DA867DA">
            <w:pPr>
              <w:pStyle w:val="44"/>
              <w:spacing w:before="0" w:beforeAutospacing="0" w:after="0" w:afterAutospacing="0" w:line="240" w:lineRule="atLeast"/>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授权代表</w:t>
            </w:r>
          </w:p>
        </w:tc>
        <w:tc>
          <w:tcPr>
            <w:tcW w:w="2105" w:type="dxa"/>
            <w:gridSpan w:val="2"/>
            <w:shd w:val="clear" w:color="auto" w:fill="FFFFFF"/>
            <w:tcMar>
              <w:left w:w="105" w:type="dxa"/>
              <w:right w:w="105" w:type="dxa"/>
            </w:tcMar>
            <w:vAlign w:val="center"/>
          </w:tcPr>
          <w:p w14:paraId="6062695E">
            <w:pPr>
              <w:rPr>
                <w:rFonts w:ascii="宋体" w:hAnsi="宋体"/>
                <w:color w:val="333333"/>
                <w:sz w:val="21"/>
                <w:highlight w:val="none"/>
              </w:rPr>
            </w:pPr>
          </w:p>
        </w:tc>
        <w:tc>
          <w:tcPr>
            <w:tcW w:w="3370" w:type="dxa"/>
            <w:gridSpan w:val="2"/>
            <w:shd w:val="clear" w:color="auto" w:fill="FFFFFF"/>
            <w:tcMar>
              <w:left w:w="105" w:type="dxa"/>
              <w:right w:w="105" w:type="dxa"/>
            </w:tcMar>
            <w:vAlign w:val="center"/>
          </w:tcPr>
          <w:p w14:paraId="6CE6ED16">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联系电话</w:t>
            </w:r>
          </w:p>
        </w:tc>
        <w:tc>
          <w:tcPr>
            <w:tcW w:w="1534" w:type="dxa"/>
            <w:shd w:val="clear" w:color="auto" w:fill="FFFFFF"/>
            <w:tcMar>
              <w:left w:w="105" w:type="dxa"/>
              <w:right w:w="105" w:type="dxa"/>
            </w:tcMar>
            <w:vAlign w:val="center"/>
          </w:tcPr>
          <w:p w14:paraId="5DF5B04E">
            <w:pPr>
              <w:rPr>
                <w:rFonts w:ascii="宋体" w:hAnsi="宋体"/>
                <w:color w:val="333333"/>
                <w:sz w:val="21"/>
                <w:highlight w:val="none"/>
              </w:rPr>
            </w:pPr>
          </w:p>
        </w:tc>
      </w:tr>
      <w:tr w14:paraId="34C66915">
        <w:tblPrEx>
          <w:shd w:val="clear" w:color="auto" w:fill="FFFFFF"/>
          <w:tblCellMar>
            <w:top w:w="0" w:type="dxa"/>
            <w:left w:w="105" w:type="dxa"/>
            <w:bottom w:w="0" w:type="dxa"/>
            <w:right w:w="105" w:type="dxa"/>
          </w:tblCellMar>
        </w:tblPrEx>
        <w:tc>
          <w:tcPr>
            <w:tcW w:w="893" w:type="dxa"/>
            <w:vMerge w:val="restart"/>
            <w:shd w:val="clear" w:color="auto" w:fill="FFFFFF"/>
            <w:tcMar>
              <w:left w:w="105" w:type="dxa"/>
              <w:right w:w="105" w:type="dxa"/>
            </w:tcMar>
            <w:vAlign w:val="center"/>
          </w:tcPr>
          <w:p w14:paraId="5725CBF8">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质疑事项及相关请求（纸张不够另附）</w:t>
            </w:r>
          </w:p>
        </w:tc>
        <w:tc>
          <w:tcPr>
            <w:tcW w:w="1261" w:type="dxa"/>
            <w:shd w:val="clear" w:color="auto" w:fill="FFFFFF"/>
            <w:tcMar>
              <w:left w:w="105" w:type="dxa"/>
              <w:right w:w="105" w:type="dxa"/>
            </w:tcMar>
            <w:vAlign w:val="center"/>
          </w:tcPr>
          <w:p w14:paraId="4B40CB9C">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分    类</w:t>
            </w:r>
          </w:p>
        </w:tc>
        <w:tc>
          <w:tcPr>
            <w:tcW w:w="7009" w:type="dxa"/>
            <w:gridSpan w:val="5"/>
            <w:shd w:val="clear" w:color="auto" w:fill="FFFFFF"/>
            <w:tcMar>
              <w:left w:w="105" w:type="dxa"/>
              <w:right w:w="105" w:type="dxa"/>
            </w:tcMar>
          </w:tcPr>
          <w:p w14:paraId="0C417CB6">
            <w:pPr>
              <w:pStyle w:val="44"/>
              <w:spacing w:before="0" w:beforeAutospacing="0" w:after="0" w:afterAutospacing="0"/>
              <w:jc w:val="both"/>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 采购文件 □ 采购过程 □ 中标或成交结果</w:t>
            </w:r>
          </w:p>
        </w:tc>
      </w:tr>
      <w:tr w14:paraId="666C2E64">
        <w:tblPrEx>
          <w:tblCellMar>
            <w:top w:w="0" w:type="dxa"/>
            <w:left w:w="105" w:type="dxa"/>
            <w:bottom w:w="0" w:type="dxa"/>
            <w:right w:w="105" w:type="dxa"/>
          </w:tblCellMar>
        </w:tblPrEx>
        <w:trPr>
          <w:trHeight w:val="1125" w:hRule="atLeast"/>
        </w:trPr>
        <w:tc>
          <w:tcPr>
            <w:tcW w:w="893" w:type="dxa"/>
            <w:vMerge w:val="continue"/>
            <w:shd w:val="clear" w:color="auto" w:fill="FFFFFF"/>
            <w:tcMar>
              <w:left w:w="105" w:type="dxa"/>
              <w:right w:w="105" w:type="dxa"/>
            </w:tcMar>
            <w:vAlign w:val="center"/>
          </w:tcPr>
          <w:p w14:paraId="37CEFD0B">
            <w:pPr>
              <w:rPr>
                <w:rFonts w:ascii="宋体" w:hAnsi="宋体"/>
                <w:color w:val="333333"/>
                <w:sz w:val="21"/>
                <w:highlight w:val="none"/>
              </w:rPr>
            </w:pPr>
          </w:p>
        </w:tc>
        <w:tc>
          <w:tcPr>
            <w:tcW w:w="8270" w:type="dxa"/>
            <w:gridSpan w:val="6"/>
            <w:shd w:val="clear" w:color="auto" w:fill="FFFFFF"/>
            <w:tcMar>
              <w:left w:w="105" w:type="dxa"/>
              <w:right w:w="105" w:type="dxa"/>
            </w:tcMar>
          </w:tcPr>
          <w:p w14:paraId="23CDA43B">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请逐条列明质疑事项、事实依据和法律依据，并提供必要的证明材料。</w:t>
            </w:r>
          </w:p>
          <w:p w14:paraId="79AC0C47">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w:t>
            </w:r>
            <w:r>
              <w:rPr>
                <w:rFonts w:hint="eastAsia"/>
                <w:color w:val="333333"/>
                <w:sz w:val="21"/>
                <w:szCs w:val="21"/>
                <w:highlight w:val="none"/>
              </w:rPr>
              <w:t>1</w:t>
            </w:r>
            <w:r>
              <w:rPr>
                <w:rFonts w:ascii="方正仿宋简体" w:hAnsi="方正仿宋简体" w:eastAsia="方正仿宋简体"/>
                <w:color w:val="333333"/>
                <w:sz w:val="21"/>
                <w:szCs w:val="21"/>
                <w:highlight w:val="none"/>
              </w:rPr>
              <w:t>：</w:t>
            </w:r>
          </w:p>
          <w:p w14:paraId="6323841D">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事实依据：</w:t>
            </w:r>
          </w:p>
          <w:p w14:paraId="20E788DB">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法律依据：</w:t>
            </w:r>
          </w:p>
          <w:p w14:paraId="10CFACAE">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相关请求：</w:t>
            </w:r>
          </w:p>
          <w:p w14:paraId="10F5EC93">
            <w:pPr>
              <w:pStyle w:val="44"/>
              <w:spacing w:before="0" w:beforeAutospacing="0" w:after="0" w:afterAutospacing="0"/>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质疑事项</w:t>
            </w:r>
            <w:r>
              <w:rPr>
                <w:rFonts w:hint="eastAsia"/>
                <w:color w:val="333333"/>
                <w:sz w:val="21"/>
                <w:szCs w:val="21"/>
                <w:highlight w:val="none"/>
              </w:rPr>
              <w:t>2</w:t>
            </w:r>
          </w:p>
          <w:p w14:paraId="2F6E55C1">
            <w:pPr>
              <w:pStyle w:val="44"/>
              <w:spacing w:before="0" w:beforeAutospacing="0" w:after="0" w:afterAutospacing="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w:t>
            </w:r>
          </w:p>
        </w:tc>
      </w:tr>
      <w:tr w14:paraId="32DCA367">
        <w:tblPrEx>
          <w:tblCellMar>
            <w:top w:w="0" w:type="dxa"/>
            <w:left w:w="105" w:type="dxa"/>
            <w:bottom w:w="0" w:type="dxa"/>
            <w:right w:w="105" w:type="dxa"/>
          </w:tblCellMar>
        </w:tblPrEx>
        <w:trPr>
          <w:trHeight w:val="435" w:hRule="atLeast"/>
        </w:trPr>
        <w:tc>
          <w:tcPr>
            <w:tcW w:w="893" w:type="dxa"/>
            <w:vMerge w:val="restart"/>
            <w:shd w:val="clear" w:color="auto" w:fill="FFFFFF"/>
            <w:tcMar>
              <w:left w:w="105" w:type="dxa"/>
              <w:right w:w="105" w:type="dxa"/>
            </w:tcMar>
            <w:vAlign w:val="center"/>
          </w:tcPr>
          <w:p w14:paraId="6D528065">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签字</w:t>
            </w:r>
          </w:p>
          <w:p w14:paraId="6401BAE4">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或盖人名章</w:t>
            </w:r>
          </w:p>
        </w:tc>
        <w:tc>
          <w:tcPr>
            <w:tcW w:w="1955" w:type="dxa"/>
            <w:gridSpan w:val="2"/>
            <w:vMerge w:val="restart"/>
            <w:shd w:val="clear" w:color="auto" w:fill="FFFFFF"/>
            <w:tcMar>
              <w:left w:w="105" w:type="dxa"/>
              <w:right w:w="105" w:type="dxa"/>
            </w:tcMar>
            <w:vAlign w:val="center"/>
          </w:tcPr>
          <w:p w14:paraId="1554087C">
            <w:pPr>
              <w:rPr>
                <w:rFonts w:ascii="宋体" w:hAnsi="宋体"/>
                <w:color w:val="333333"/>
                <w:sz w:val="21"/>
                <w:highlight w:val="none"/>
              </w:rPr>
            </w:pPr>
          </w:p>
        </w:tc>
        <w:tc>
          <w:tcPr>
            <w:tcW w:w="3570" w:type="dxa"/>
            <w:gridSpan w:val="2"/>
            <w:shd w:val="clear" w:color="auto" w:fill="FFFFFF"/>
            <w:tcMar>
              <w:left w:w="105" w:type="dxa"/>
              <w:right w:w="105" w:type="dxa"/>
            </w:tcMar>
            <w:vAlign w:val="center"/>
          </w:tcPr>
          <w:p w14:paraId="5B3B9AB0">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公章</w:t>
            </w:r>
          </w:p>
        </w:tc>
        <w:tc>
          <w:tcPr>
            <w:tcW w:w="2745" w:type="dxa"/>
            <w:gridSpan w:val="2"/>
            <w:shd w:val="clear" w:color="auto" w:fill="FFFFFF"/>
            <w:tcMar>
              <w:left w:w="105" w:type="dxa"/>
              <w:right w:w="105" w:type="dxa"/>
            </w:tcMar>
          </w:tcPr>
          <w:p w14:paraId="6F6456B0">
            <w:pPr>
              <w:rPr>
                <w:rFonts w:ascii="宋体" w:hAnsi="宋体"/>
                <w:color w:val="333333"/>
                <w:sz w:val="21"/>
                <w:highlight w:val="none"/>
              </w:rPr>
            </w:pPr>
          </w:p>
        </w:tc>
      </w:tr>
      <w:tr w14:paraId="4918BB08">
        <w:tblPrEx>
          <w:shd w:val="clear" w:color="auto" w:fill="FFFFFF"/>
          <w:tblCellMar>
            <w:top w:w="0" w:type="dxa"/>
            <w:left w:w="105" w:type="dxa"/>
            <w:bottom w:w="0" w:type="dxa"/>
            <w:right w:w="105" w:type="dxa"/>
          </w:tblCellMar>
        </w:tblPrEx>
        <w:trPr>
          <w:trHeight w:val="360" w:hRule="atLeast"/>
        </w:trPr>
        <w:tc>
          <w:tcPr>
            <w:tcW w:w="893" w:type="dxa"/>
            <w:vMerge w:val="continue"/>
            <w:shd w:val="clear" w:color="auto" w:fill="FFFFFF"/>
            <w:tcMar>
              <w:left w:w="105" w:type="dxa"/>
              <w:right w:w="105" w:type="dxa"/>
            </w:tcMar>
            <w:vAlign w:val="center"/>
          </w:tcPr>
          <w:p w14:paraId="33CA991B">
            <w:pPr>
              <w:rPr>
                <w:rFonts w:ascii="宋体" w:hAnsi="宋体"/>
                <w:color w:val="333333"/>
                <w:sz w:val="21"/>
                <w:highlight w:val="none"/>
              </w:rPr>
            </w:pPr>
          </w:p>
        </w:tc>
        <w:tc>
          <w:tcPr>
            <w:tcW w:w="1955" w:type="dxa"/>
            <w:gridSpan w:val="2"/>
            <w:vMerge w:val="continue"/>
            <w:shd w:val="clear" w:color="auto" w:fill="FFFFFF"/>
            <w:tcMar>
              <w:left w:w="105" w:type="dxa"/>
              <w:right w:w="105" w:type="dxa"/>
            </w:tcMar>
            <w:vAlign w:val="center"/>
          </w:tcPr>
          <w:p w14:paraId="5A704EEC">
            <w:pPr>
              <w:rPr>
                <w:rFonts w:ascii="宋体" w:hAnsi="宋体"/>
                <w:color w:val="333333"/>
                <w:sz w:val="21"/>
                <w:highlight w:val="none"/>
              </w:rPr>
            </w:pPr>
          </w:p>
        </w:tc>
        <w:tc>
          <w:tcPr>
            <w:tcW w:w="3570" w:type="dxa"/>
            <w:gridSpan w:val="2"/>
            <w:shd w:val="clear" w:color="auto" w:fill="FFFFFF"/>
            <w:tcMar>
              <w:left w:w="105" w:type="dxa"/>
              <w:right w:w="105" w:type="dxa"/>
            </w:tcMar>
            <w:vAlign w:val="center"/>
          </w:tcPr>
          <w:p w14:paraId="4F90506B">
            <w:pPr>
              <w:pStyle w:val="44"/>
              <w:spacing w:before="0" w:beforeAutospacing="0" w:after="0" w:afterAutospacing="0"/>
              <w:jc w:val="center"/>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日期</w:t>
            </w:r>
          </w:p>
        </w:tc>
        <w:tc>
          <w:tcPr>
            <w:tcW w:w="2745" w:type="dxa"/>
            <w:gridSpan w:val="2"/>
            <w:shd w:val="clear" w:color="auto" w:fill="FFFFFF"/>
            <w:tcMar>
              <w:left w:w="105" w:type="dxa"/>
              <w:right w:w="105" w:type="dxa"/>
            </w:tcMar>
            <w:vAlign w:val="center"/>
          </w:tcPr>
          <w:p w14:paraId="4258220F">
            <w:pPr>
              <w:rPr>
                <w:rFonts w:ascii="宋体" w:hAnsi="宋体"/>
                <w:color w:val="333333"/>
                <w:sz w:val="21"/>
                <w:highlight w:val="none"/>
              </w:rPr>
            </w:pPr>
          </w:p>
        </w:tc>
      </w:tr>
      <w:tr w14:paraId="45FF611B">
        <w:tblPrEx>
          <w:shd w:val="clear" w:color="auto" w:fill="FFFFFF"/>
          <w:tblCellMar>
            <w:top w:w="0" w:type="dxa"/>
            <w:left w:w="105" w:type="dxa"/>
            <w:bottom w:w="0" w:type="dxa"/>
            <w:right w:w="105" w:type="dxa"/>
          </w:tblCellMar>
        </w:tblPrEx>
        <w:trPr>
          <w:trHeight w:val="570" w:hRule="atLeast"/>
        </w:trPr>
        <w:tc>
          <w:tcPr>
            <w:tcW w:w="9163" w:type="dxa"/>
            <w:gridSpan w:val="7"/>
            <w:shd w:val="clear" w:color="auto" w:fill="FFFFFF"/>
            <w:tcMar>
              <w:left w:w="105" w:type="dxa"/>
              <w:right w:w="105" w:type="dxa"/>
            </w:tcMar>
            <w:vAlign w:val="center"/>
          </w:tcPr>
          <w:p w14:paraId="589058A8">
            <w:pPr>
              <w:pStyle w:val="44"/>
              <w:spacing w:before="0" w:beforeAutospacing="0" w:after="0" w:afterAutospacing="0" w:line="400" w:lineRule="exact"/>
              <w:rPr>
                <w:rFonts w:ascii="方正仿宋简体" w:hAnsi="方正仿宋简体" w:eastAsia="方正仿宋简体"/>
                <w:color w:val="333333"/>
                <w:sz w:val="21"/>
                <w:szCs w:val="21"/>
                <w:highlight w:val="none"/>
              </w:rPr>
            </w:pPr>
            <w:r>
              <w:rPr>
                <w:rFonts w:ascii="方正仿宋简体" w:hAnsi="方正仿宋简体" w:eastAsia="方正仿宋简体"/>
                <w:color w:val="333333"/>
                <w:sz w:val="21"/>
                <w:szCs w:val="21"/>
                <w:highlight w:val="none"/>
              </w:rPr>
              <w:t>质疑函制作说明：</w:t>
            </w:r>
          </w:p>
          <w:p w14:paraId="55F77D4A">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1.</w:t>
            </w:r>
            <w:r>
              <w:rPr>
                <w:rFonts w:ascii="方正仿宋简体" w:hAnsi="方正仿宋简体" w:eastAsia="方正仿宋简体"/>
                <w:color w:val="333333"/>
                <w:sz w:val="21"/>
                <w:szCs w:val="21"/>
                <w:highlight w:val="none"/>
              </w:rPr>
              <w:t>供应商提出质疑时，应提交质疑函和必要的证明材料</w:t>
            </w:r>
            <w:r>
              <w:rPr>
                <w:rFonts w:hint="eastAsia" w:ascii="方正仿宋简体" w:hAnsi="方正仿宋简体" w:eastAsia="方正仿宋简体"/>
                <w:color w:val="333333"/>
                <w:sz w:val="21"/>
                <w:szCs w:val="21"/>
                <w:highlight w:val="none"/>
              </w:rPr>
              <w:t>或有效线索</w:t>
            </w:r>
            <w:r>
              <w:rPr>
                <w:rFonts w:ascii="方正仿宋简体" w:hAnsi="方正仿宋简体" w:eastAsia="方正仿宋简体"/>
                <w:color w:val="333333"/>
                <w:sz w:val="21"/>
                <w:szCs w:val="21"/>
                <w:highlight w:val="none"/>
              </w:rPr>
              <w:t>；质疑函存在《</w:t>
            </w:r>
            <w:r>
              <w:rPr>
                <w:rFonts w:hint="eastAsia" w:ascii="方正仿宋简体" w:hAnsi="方正仿宋简体" w:eastAsia="方正仿宋简体"/>
                <w:color w:val="333333"/>
                <w:sz w:val="21"/>
                <w:szCs w:val="21"/>
                <w:highlight w:val="none"/>
              </w:rPr>
              <w:t>自治区政务服务和公共资源交易中心公共资源交易质疑异议投诉举报处理实施细则</w:t>
            </w:r>
            <w:r>
              <w:rPr>
                <w:rFonts w:ascii="方正仿宋简体" w:hAnsi="方正仿宋简体" w:eastAsia="方正仿宋简体"/>
                <w:color w:val="333333"/>
                <w:sz w:val="21"/>
                <w:szCs w:val="21"/>
                <w:highlight w:val="none"/>
              </w:rPr>
              <w:t>》（新政资内发〔202</w:t>
            </w:r>
            <w:r>
              <w:rPr>
                <w:rFonts w:hint="eastAsia" w:ascii="方正仿宋简体" w:hAnsi="方正仿宋简体" w:eastAsia="方正仿宋简体"/>
                <w:color w:val="333333"/>
                <w:sz w:val="21"/>
                <w:szCs w:val="21"/>
                <w:highlight w:val="none"/>
              </w:rPr>
              <w:t>2</w:t>
            </w:r>
            <w:r>
              <w:rPr>
                <w:rFonts w:ascii="方正仿宋简体" w:hAnsi="方正仿宋简体" w:eastAsia="方正仿宋简体"/>
                <w:color w:val="333333"/>
                <w:sz w:val="21"/>
                <w:szCs w:val="21"/>
                <w:highlight w:val="none"/>
              </w:rPr>
              <w:t>〕</w:t>
            </w:r>
            <w:r>
              <w:rPr>
                <w:rFonts w:hint="eastAsia" w:ascii="方正仿宋简体" w:hAnsi="方正仿宋简体" w:eastAsia="方正仿宋简体"/>
                <w:color w:val="333333"/>
                <w:sz w:val="21"/>
                <w:szCs w:val="21"/>
                <w:highlight w:val="none"/>
              </w:rPr>
              <w:t>12</w:t>
            </w:r>
            <w:r>
              <w:rPr>
                <w:rFonts w:ascii="方正仿宋简体" w:hAnsi="方正仿宋简体" w:eastAsia="方正仿宋简体"/>
                <w:color w:val="333333"/>
                <w:sz w:val="21"/>
                <w:szCs w:val="21"/>
                <w:highlight w:val="none"/>
              </w:rPr>
              <w:t>号）第十</w:t>
            </w:r>
            <w:r>
              <w:rPr>
                <w:rFonts w:hint="eastAsia" w:ascii="方正仿宋简体" w:hAnsi="方正仿宋简体" w:eastAsia="方正仿宋简体"/>
                <w:color w:val="333333"/>
                <w:sz w:val="21"/>
                <w:szCs w:val="21"/>
                <w:highlight w:val="none"/>
              </w:rPr>
              <w:t>四</w:t>
            </w:r>
            <w:r>
              <w:rPr>
                <w:rFonts w:ascii="方正仿宋简体" w:hAnsi="方正仿宋简体" w:eastAsia="方正仿宋简体"/>
                <w:color w:val="333333"/>
                <w:sz w:val="21"/>
                <w:szCs w:val="21"/>
                <w:highlight w:val="none"/>
              </w:rPr>
              <w:t>条所列情形的，</w:t>
            </w:r>
            <w:r>
              <w:rPr>
                <w:rFonts w:hint="eastAsia" w:ascii="方正仿宋简体" w:hAnsi="方正仿宋简体" w:eastAsia="方正仿宋简体"/>
                <w:color w:val="333333"/>
                <w:sz w:val="21"/>
                <w:szCs w:val="21"/>
                <w:highlight w:val="none"/>
              </w:rPr>
              <w:t>交易</w:t>
            </w:r>
            <w:r>
              <w:rPr>
                <w:rFonts w:ascii="方正仿宋简体" w:hAnsi="方正仿宋简体" w:eastAsia="方正仿宋简体"/>
                <w:color w:val="333333"/>
                <w:sz w:val="21"/>
                <w:szCs w:val="21"/>
                <w:highlight w:val="none"/>
              </w:rPr>
              <w:t>中心不予受理。</w:t>
            </w:r>
          </w:p>
          <w:p w14:paraId="161F839A">
            <w:pPr>
              <w:pStyle w:val="44"/>
              <w:shd w:val="clear" w:color="auto" w:fill="FFFFFF"/>
              <w:spacing w:before="0" w:beforeAutospacing="0" w:after="0" w:afterAutospacing="0" w:line="400" w:lineRule="exact"/>
              <w:ind w:firstLine="420" w:firstLineChars="200"/>
              <w:jc w:val="both"/>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2.</w:t>
            </w:r>
            <w:r>
              <w:rPr>
                <w:rFonts w:ascii="方正仿宋简体" w:hAnsi="方正仿宋简体" w:eastAsia="方正仿宋简体"/>
                <w:color w:val="333333"/>
                <w:sz w:val="21"/>
                <w:szCs w:val="21"/>
                <w:highlight w:val="none"/>
              </w:rPr>
              <w:t>质疑函的质疑事项应具体、明确，并有必要的事实依据和法律依据</w:t>
            </w:r>
            <w:r>
              <w:rPr>
                <w:rFonts w:hint="eastAsia" w:ascii="方正仿宋简体" w:hAnsi="方正仿宋简体" w:eastAsia="方正仿宋简体"/>
                <w:color w:val="333333"/>
                <w:sz w:val="21"/>
                <w:szCs w:val="21"/>
                <w:highlight w:val="none"/>
              </w:rPr>
              <w:t>。</w:t>
            </w:r>
          </w:p>
          <w:p w14:paraId="6100A35D">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3.</w:t>
            </w:r>
            <w:r>
              <w:rPr>
                <w:rFonts w:ascii="方正仿宋简体" w:hAnsi="方正仿宋简体" w:eastAsia="方正仿宋简体"/>
                <w:color w:val="333333"/>
                <w:sz w:val="21"/>
                <w:szCs w:val="21"/>
                <w:highlight w:val="none"/>
              </w:rPr>
              <w:t>质疑函的质疑请求应与质疑事项相关。</w:t>
            </w:r>
          </w:p>
          <w:p w14:paraId="5770F210">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14:paraId="7EF63249">
            <w:pPr>
              <w:pStyle w:val="44"/>
              <w:spacing w:before="0" w:beforeAutospacing="0" w:after="0" w:afterAutospacing="0" w:line="400" w:lineRule="exact"/>
              <w:ind w:firstLine="420" w:firstLineChars="200"/>
              <w:rPr>
                <w:rFonts w:ascii="方正仿宋简体" w:hAnsi="方正仿宋简体" w:eastAsia="方正仿宋简体"/>
                <w:color w:val="333333"/>
                <w:sz w:val="21"/>
                <w:szCs w:val="21"/>
                <w:highlight w:val="none"/>
              </w:rPr>
            </w:pPr>
            <w:r>
              <w:rPr>
                <w:rFonts w:hint="eastAsia" w:ascii="方正仿宋简体" w:hAnsi="方正仿宋简体" w:eastAsia="方正仿宋简体"/>
                <w:color w:val="333333"/>
                <w:sz w:val="21"/>
                <w:szCs w:val="21"/>
                <w:highlight w:val="none"/>
              </w:rPr>
              <w:t>5.</w:t>
            </w:r>
            <w:r>
              <w:rPr>
                <w:rFonts w:ascii="方正仿宋简体" w:hAnsi="方正仿宋简体" w:eastAsia="方正仿宋简体"/>
                <w:color w:val="333333"/>
                <w:sz w:val="21"/>
                <w:szCs w:val="21"/>
                <w:highlight w:val="none"/>
              </w:rPr>
              <w:t>质疑供应商若委托代理人进行质疑的，质疑函应按要求列明</w:t>
            </w:r>
            <w:r>
              <w:rPr>
                <w:rFonts w:hint="eastAsia" w:ascii="方正仿宋简体" w:hAnsi="方正仿宋简体" w:eastAsia="方正仿宋简体"/>
                <w:color w:val="333333"/>
                <w:sz w:val="21"/>
                <w:szCs w:val="21"/>
                <w:highlight w:val="none"/>
              </w:rPr>
              <w:t>“</w:t>
            </w:r>
            <w:r>
              <w:rPr>
                <w:rFonts w:ascii="方正仿宋简体" w:hAnsi="方正仿宋简体" w:eastAsia="方正仿宋简体"/>
                <w:color w:val="333333"/>
                <w:sz w:val="21"/>
                <w:szCs w:val="21"/>
                <w:highlight w:val="none"/>
              </w:rPr>
              <w:t>授权代表”的有关内容，并在附件中提交由质疑供应商签署的授权委托书。授权委托书应载明代理人的姓名或者名称、代理事项、具体权限、期限和相关事项。</w:t>
            </w:r>
          </w:p>
          <w:p w14:paraId="59E63E8A">
            <w:pPr>
              <w:pStyle w:val="44"/>
              <w:spacing w:before="0" w:beforeAutospacing="0" w:after="0" w:afterAutospacing="0" w:line="400" w:lineRule="exact"/>
              <w:ind w:firstLine="420" w:firstLineChars="200"/>
              <w:rPr>
                <w:color w:val="333333"/>
                <w:sz w:val="21"/>
                <w:szCs w:val="21"/>
                <w:highlight w:val="none"/>
              </w:rPr>
            </w:pPr>
            <w:r>
              <w:rPr>
                <w:rFonts w:hint="eastAsia"/>
                <w:color w:val="333333"/>
                <w:sz w:val="21"/>
                <w:szCs w:val="21"/>
                <w:highlight w:val="none"/>
              </w:rPr>
              <w:t>6.</w:t>
            </w:r>
            <w:r>
              <w:rPr>
                <w:rFonts w:ascii="方正仿宋简体" w:hAnsi="方正仿宋简体" w:eastAsia="方正仿宋简体"/>
                <w:color w:val="333333"/>
                <w:sz w:val="21"/>
                <w:szCs w:val="21"/>
                <w:highlight w:val="none"/>
              </w:rPr>
              <w:t>质疑供应商为自然人的，质疑函应由本人签字</w:t>
            </w:r>
            <w:r>
              <w:rPr>
                <w:rFonts w:hint="eastAsia" w:ascii="方正仿宋简体" w:hAnsi="方正仿宋简体" w:eastAsia="方正仿宋简体"/>
                <w:color w:val="333333"/>
                <w:sz w:val="21"/>
                <w:szCs w:val="21"/>
                <w:highlight w:val="none"/>
              </w:rPr>
              <w:t>，提供本人及代理人身份证复印件，并在复印件上签字</w:t>
            </w:r>
            <w:r>
              <w:rPr>
                <w:rFonts w:ascii="方正仿宋简体" w:hAnsi="方正仿宋简体" w:eastAsia="方正仿宋简体"/>
                <w:color w:val="333333"/>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olor w:val="333333"/>
                <w:sz w:val="21"/>
                <w:szCs w:val="21"/>
                <w:highlight w:val="none"/>
              </w:rPr>
              <w:t>，同时提供法人证书（营业执照）复印件、代理人身份证复印件并加盖法人公章</w:t>
            </w:r>
            <w:r>
              <w:rPr>
                <w:rFonts w:ascii="方正仿宋简体" w:hAnsi="方正仿宋简体" w:eastAsia="方正仿宋简体"/>
                <w:color w:val="333333"/>
                <w:sz w:val="21"/>
                <w:szCs w:val="21"/>
                <w:highlight w:val="none"/>
              </w:rPr>
              <w:t>。</w:t>
            </w:r>
          </w:p>
          <w:p w14:paraId="69238B05">
            <w:pPr>
              <w:widowControl/>
              <w:spacing w:line="400" w:lineRule="exact"/>
              <w:ind w:firstLine="422" w:firstLineChars="200"/>
              <w:jc w:val="left"/>
              <w:rPr>
                <w:rFonts w:ascii="方正仿宋简体" w:hAnsi="方正仿宋简体" w:eastAsia="方正仿宋简体"/>
                <w:b/>
                <w:bCs/>
                <w:color w:val="333333"/>
                <w:kern w:val="0"/>
                <w:sz w:val="21"/>
                <w:highlight w:val="none"/>
              </w:rPr>
            </w:pPr>
            <w:r>
              <w:rPr>
                <w:rFonts w:hint="eastAsia" w:ascii="方正仿宋简体" w:hAnsi="方正仿宋简体" w:eastAsia="方正仿宋简体"/>
                <w:b/>
                <w:bCs/>
                <w:color w:val="333333"/>
                <w:kern w:val="0"/>
                <w:sz w:val="21"/>
                <w:highlight w:val="none"/>
              </w:rPr>
              <w:t>7.质疑函份数要求：一式四份</w:t>
            </w:r>
            <w:r>
              <w:rPr>
                <w:rFonts w:hint="eastAsia" w:ascii="方正仿宋简体" w:hAnsi="方正仿宋简体" w:eastAsia="方正仿宋简体"/>
                <w:color w:val="333333"/>
                <w:kern w:val="0"/>
                <w:sz w:val="21"/>
                <w:highlight w:val="none"/>
              </w:rPr>
              <w:t>。</w:t>
            </w:r>
          </w:p>
        </w:tc>
      </w:tr>
    </w:tbl>
    <w:p w14:paraId="63351413">
      <w:pPr>
        <w:pStyle w:val="44"/>
        <w:shd w:val="clear" w:color="auto" w:fill="FFFFFF"/>
        <w:spacing w:before="0" w:beforeAutospacing="0" w:after="0" w:afterAutospacing="0" w:line="600" w:lineRule="atLeast"/>
        <w:rPr>
          <w:color w:val="333333"/>
          <w:sz w:val="31"/>
          <w:szCs w:val="31"/>
          <w:highlight w:val="none"/>
          <w:shd w:val="clear" w:color="auto" w:fill="FFFFFF"/>
        </w:rPr>
      </w:pPr>
      <w:r>
        <w:rPr>
          <w:rFonts w:hint="eastAsia"/>
          <w:color w:val="333333"/>
          <w:sz w:val="31"/>
          <w:szCs w:val="31"/>
          <w:highlight w:val="none"/>
          <w:shd w:val="clear" w:color="auto" w:fill="FFFFFF"/>
        </w:rPr>
        <w:t> </w:t>
      </w:r>
    </w:p>
    <w:p w14:paraId="7E963993">
      <w:pPr>
        <w:jc w:val="center"/>
        <w:rPr>
          <w:rFonts w:ascii="宋体" w:hAnsi="宋体"/>
          <w:b/>
          <w:bCs/>
          <w:color w:val="000000"/>
          <w:sz w:val="32"/>
          <w:szCs w:val="32"/>
          <w:highlight w:val="none"/>
        </w:rPr>
      </w:pPr>
    </w:p>
    <w:p w14:paraId="70CF6133">
      <w:pPr>
        <w:rPr>
          <w:highlight w:val="none"/>
        </w:rPr>
      </w:pPr>
    </w:p>
    <w:p w14:paraId="42D9D2A0">
      <w:pPr>
        <w:pStyle w:val="2"/>
        <w:rPr>
          <w:highlight w:val="none"/>
        </w:rPr>
      </w:pPr>
    </w:p>
    <w:p w14:paraId="166BAB8C">
      <w:pPr>
        <w:rPr>
          <w:highlight w:val="none"/>
        </w:rPr>
      </w:pPr>
    </w:p>
    <w:p w14:paraId="61579D55">
      <w:pPr>
        <w:pStyle w:val="2"/>
        <w:rPr>
          <w:highlight w:val="none"/>
        </w:rPr>
      </w:pPr>
    </w:p>
    <w:p w14:paraId="1BFA5381">
      <w:pPr>
        <w:rPr>
          <w:highlight w:val="none"/>
        </w:rPr>
      </w:pPr>
    </w:p>
    <w:p w14:paraId="52434A5C">
      <w:pPr>
        <w:pStyle w:val="2"/>
        <w:rPr>
          <w:highlight w:val="none"/>
        </w:rPr>
      </w:pPr>
    </w:p>
    <w:p w14:paraId="74BB5BF1">
      <w:pPr>
        <w:rPr>
          <w:highlight w:val="none"/>
        </w:rPr>
      </w:pPr>
    </w:p>
    <w:p w14:paraId="344A0CDC">
      <w:pPr>
        <w:pStyle w:val="2"/>
        <w:rPr>
          <w:highlight w:val="none"/>
        </w:rPr>
      </w:pPr>
    </w:p>
    <w:p w14:paraId="38590AAD">
      <w:pPr>
        <w:rPr>
          <w:highlight w:val="none"/>
        </w:rPr>
      </w:pPr>
    </w:p>
    <w:p w14:paraId="0DE42B11">
      <w:pPr>
        <w:pStyle w:val="2"/>
        <w:rPr>
          <w:highlight w:val="none"/>
        </w:rPr>
      </w:pPr>
    </w:p>
    <w:p w14:paraId="23AAE776">
      <w:pPr>
        <w:rPr>
          <w:highlight w:val="none"/>
        </w:rPr>
      </w:pPr>
    </w:p>
    <w:p w14:paraId="015BA526">
      <w:pPr>
        <w:jc w:val="left"/>
        <w:rPr>
          <w:rFonts w:ascii="宋体" w:hAnsi="宋体"/>
          <w:sz w:val="30"/>
          <w:szCs w:val="30"/>
          <w:highlight w:val="none"/>
        </w:rPr>
      </w:pPr>
    </w:p>
    <w:p w14:paraId="24D52C0B">
      <w:pPr>
        <w:jc w:val="left"/>
        <w:rPr>
          <w:rFonts w:ascii="宋体" w:hAnsi="宋体"/>
          <w:sz w:val="30"/>
          <w:szCs w:val="30"/>
          <w:highlight w:val="none"/>
        </w:rPr>
      </w:pPr>
    </w:p>
    <w:p w14:paraId="773D2456">
      <w:pPr>
        <w:jc w:val="left"/>
        <w:rPr>
          <w:rFonts w:ascii="宋体" w:hAnsi="宋体"/>
          <w:sz w:val="30"/>
          <w:szCs w:val="30"/>
          <w:highlight w:val="none"/>
        </w:rPr>
      </w:pPr>
    </w:p>
    <w:p w14:paraId="526A838D">
      <w:pPr>
        <w:jc w:val="left"/>
        <w:rPr>
          <w:rFonts w:ascii="宋体" w:hAnsi="宋体"/>
          <w:sz w:val="30"/>
          <w:szCs w:val="30"/>
          <w:highlight w:val="none"/>
        </w:rPr>
      </w:pPr>
    </w:p>
    <w:p w14:paraId="416A706D">
      <w:pPr>
        <w:jc w:val="left"/>
        <w:rPr>
          <w:rFonts w:ascii="宋体" w:hAnsi="宋体"/>
          <w:sz w:val="30"/>
          <w:szCs w:val="30"/>
          <w:highlight w:val="none"/>
        </w:rPr>
      </w:pPr>
    </w:p>
    <w:p w14:paraId="73F648DA">
      <w:pPr>
        <w:jc w:val="left"/>
        <w:rPr>
          <w:rFonts w:ascii="宋体" w:hAnsi="宋体"/>
          <w:sz w:val="30"/>
          <w:szCs w:val="30"/>
          <w:highlight w:val="none"/>
        </w:rPr>
      </w:pPr>
    </w:p>
    <w:p w14:paraId="707EB29B">
      <w:pPr>
        <w:jc w:val="left"/>
        <w:rPr>
          <w:rFonts w:ascii="宋体" w:hAnsi="宋体"/>
          <w:sz w:val="30"/>
          <w:szCs w:val="30"/>
          <w:highlight w:val="none"/>
        </w:rPr>
      </w:pPr>
    </w:p>
    <w:p w14:paraId="420D7F0C">
      <w:pPr>
        <w:jc w:val="left"/>
        <w:rPr>
          <w:rFonts w:ascii="宋体" w:hAnsi="宋体"/>
          <w:sz w:val="30"/>
          <w:szCs w:val="30"/>
          <w:highlight w:val="none"/>
        </w:rPr>
      </w:pPr>
    </w:p>
    <w:p w14:paraId="04E64EB5">
      <w:pPr>
        <w:jc w:val="left"/>
        <w:rPr>
          <w:rFonts w:ascii="宋体" w:hAnsi="宋体"/>
          <w:sz w:val="30"/>
          <w:szCs w:val="30"/>
          <w:highlight w:val="none"/>
        </w:rPr>
      </w:pPr>
    </w:p>
    <w:p w14:paraId="19F425A5">
      <w:pPr>
        <w:jc w:val="left"/>
        <w:rPr>
          <w:rFonts w:ascii="宋体" w:hAnsi="宋体"/>
          <w:sz w:val="28"/>
          <w:szCs w:val="28"/>
          <w:highlight w:val="none"/>
        </w:rPr>
      </w:pPr>
      <w:r>
        <w:rPr>
          <w:rFonts w:hint="eastAsia" w:ascii="宋体" w:hAnsi="宋体"/>
          <w:sz w:val="28"/>
          <w:szCs w:val="28"/>
          <w:highlight w:val="none"/>
        </w:rPr>
        <w:t>表9</w:t>
      </w:r>
    </w:p>
    <w:p w14:paraId="18B80068">
      <w:pPr>
        <w:pStyle w:val="44"/>
        <w:spacing w:before="40" w:beforeAutospacing="0" w:after="40" w:afterAutospacing="0"/>
        <w:jc w:val="center"/>
        <w:rPr>
          <w:rStyle w:val="53"/>
          <w:color w:val="333333"/>
          <w:sz w:val="32"/>
          <w:szCs w:val="32"/>
          <w:highlight w:val="none"/>
        </w:rPr>
      </w:pPr>
      <w:r>
        <w:rPr>
          <w:rStyle w:val="53"/>
          <w:rFonts w:hint="eastAsia"/>
          <w:color w:val="333333"/>
          <w:sz w:val="32"/>
          <w:szCs w:val="32"/>
          <w:highlight w:val="none"/>
        </w:rPr>
        <w:t>关于符合本国产品标准的声明函</w:t>
      </w:r>
    </w:p>
    <w:p w14:paraId="6E1C5F81">
      <w:pPr>
        <w:pStyle w:val="44"/>
        <w:spacing w:before="0" w:beforeAutospacing="0" w:after="0" w:afterAutospacing="0" w:line="0" w:lineRule="atLeast"/>
        <w:ind w:firstLine="420"/>
        <w:rPr>
          <w:rFonts w:ascii="方正魏碑_GBK" w:hAnsi="方正魏碑_GBK" w:eastAsia="方正魏碑_GBK"/>
          <w:color w:val="000000"/>
          <w:highlight w:val="none"/>
        </w:rPr>
      </w:pPr>
      <w:r>
        <w:rPr>
          <w:rFonts w:hint="eastAsia" w:ascii="方正魏碑_GBK" w:hAnsi="方正魏碑_GBK" w:eastAsia="方正魏碑_GBK"/>
          <w:color w:val="000000"/>
          <w:highlight w:val="none"/>
        </w:rPr>
        <w:t>本公司（单位）郑重声明，根据《国务院办公厅关于在政府采购中实施本国产品标准及相关政策的通知》（国办发〔2025〕34号）的规定，本公司（单位）提供的以下产品属于本国产品。具体情况如下：</w:t>
      </w:r>
    </w:p>
    <w:p w14:paraId="6C6F3EE7">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1.</w:t>
      </w:r>
      <w:r>
        <w:rPr>
          <w:rStyle w:val="55"/>
          <w:rFonts w:hint="eastAsia" w:ascii="方正魏碑_GBK" w:hAnsi="方正魏碑_GBK" w:eastAsia="方正魏碑_GBK"/>
          <w:i w:val="0"/>
          <w:iCs w:val="0"/>
          <w:color w:val="000000"/>
          <w:highlight w:val="none"/>
          <w:u w:val="single"/>
          <w:shd w:val="clear" w:color="auto" w:fill="FFFFFF"/>
        </w:rPr>
        <w:t>（产品名称1）</w:t>
      </w:r>
      <w:r>
        <w:rPr>
          <w:rStyle w:val="55"/>
          <w:rFonts w:hint="eastAsia" w:ascii="方正魏碑_GBK" w:hAnsi="方正魏碑_GBK" w:eastAsia="方正魏碑_GBK"/>
          <w:i w:val="0"/>
          <w:iCs w:val="0"/>
          <w:color w:val="000000"/>
          <w:highlight w:val="none"/>
          <w:shd w:val="clear" w:color="auto" w:fill="FFFFFF"/>
          <w:vertAlign w:val="superscript"/>
        </w:rPr>
        <w:t>1</w:t>
      </w:r>
      <w:r>
        <w:rPr>
          <w:rFonts w:hint="eastAsia" w:ascii="方正魏碑_GBK" w:hAnsi="方正魏碑_GBK" w:eastAsia="方正魏碑_GBK"/>
          <w:color w:val="000000"/>
          <w:highlight w:val="none"/>
          <w:shd w:val="clear" w:color="auto" w:fill="FFFFFF"/>
        </w:rPr>
        <w:t>，生产厂为</w:t>
      </w:r>
      <w:r>
        <w:rPr>
          <w:rStyle w:val="55"/>
          <w:rFonts w:hint="eastAsia" w:ascii="方正魏碑_GBK" w:hAnsi="方正魏碑_GBK" w:eastAsia="方正魏碑_GBK"/>
          <w:i w:val="0"/>
          <w:iCs w:val="0"/>
          <w:color w:val="000000"/>
          <w:highlight w:val="none"/>
          <w:u w:val="single"/>
          <w:shd w:val="clear" w:color="auto" w:fill="FFFFFF"/>
        </w:rPr>
        <w:t>（厂名）</w:t>
      </w:r>
      <w:r>
        <w:rPr>
          <w:rStyle w:val="55"/>
          <w:rFonts w:hint="eastAsia" w:ascii="方正魏碑_GBK" w:hAnsi="方正魏碑_GBK" w:eastAsia="方正魏碑_GBK"/>
          <w:i w:val="0"/>
          <w:iCs w:val="0"/>
          <w:color w:val="000000"/>
          <w:highlight w:val="none"/>
          <w:shd w:val="clear" w:color="auto" w:fill="FFFFFF"/>
          <w:vertAlign w:val="superscript"/>
        </w:rPr>
        <w:t>2</w:t>
      </w:r>
      <w:r>
        <w:rPr>
          <w:rFonts w:hint="eastAsia" w:ascii="方正魏碑_GBK" w:hAnsi="方正魏碑_GBK" w:eastAsia="方正魏碑_GBK"/>
          <w:color w:val="000000"/>
          <w:highlight w:val="none"/>
          <w:shd w:val="clear" w:color="auto" w:fill="FFFFFF"/>
        </w:rPr>
        <w:t>，厂址为</w:t>
      </w:r>
      <w:r>
        <w:rPr>
          <w:rStyle w:val="55"/>
          <w:rFonts w:hint="eastAsia" w:ascii="方正魏碑_GBK" w:hAnsi="方正魏碑_GBK" w:eastAsia="方正魏碑_GBK"/>
          <w:i w:val="0"/>
          <w:iCs w:val="0"/>
          <w:color w:val="000000"/>
          <w:highlight w:val="none"/>
          <w:u w:val="single"/>
          <w:shd w:val="clear" w:color="auto" w:fill="FFFFFF"/>
        </w:rPr>
        <w:t>（生产厂址）</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的中国境内生产的组件成本占比≥</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3</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4</w:t>
      </w:r>
      <w:r>
        <w:rPr>
          <w:rFonts w:hint="eastAsia" w:ascii="方正魏碑_GBK" w:hAnsi="方正魏碑_GBK" w:eastAsia="方正魏碑_GBK"/>
          <w:color w:val="000000"/>
          <w:highlight w:val="none"/>
          <w:shd w:val="clear" w:color="auto" w:fill="FFFFFF"/>
        </w:rPr>
        <w:t>在中国境内生产。</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shd w:val="clear" w:color="auto" w:fill="FFFFFF"/>
          <w:vertAlign w:val="superscript"/>
        </w:rPr>
        <w:t>5</w:t>
      </w:r>
      <w:r>
        <w:rPr>
          <w:rFonts w:hint="eastAsia" w:ascii="方正魏碑_GBK" w:hAnsi="方正魏碑_GBK" w:eastAsia="方正魏碑_GBK"/>
          <w:color w:val="000000"/>
          <w:highlight w:val="none"/>
          <w:shd w:val="clear" w:color="auto" w:fill="FFFFFF"/>
        </w:rPr>
        <w:t>在中国境内完成。</w:t>
      </w:r>
    </w:p>
    <w:p w14:paraId="604465B2">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2.</w:t>
      </w:r>
      <w:r>
        <w:rPr>
          <w:rStyle w:val="55"/>
          <w:rFonts w:hint="eastAsia" w:ascii="方正魏碑_GBK" w:hAnsi="方正魏碑_GBK" w:eastAsia="方正魏碑_GBK"/>
          <w:i w:val="0"/>
          <w:iCs w:val="0"/>
          <w:color w:val="000000"/>
          <w:highlight w:val="none"/>
          <w:u w:val="single"/>
          <w:shd w:val="clear" w:color="auto" w:fill="FFFFFF"/>
        </w:rPr>
        <w:t>（产品名称2）</w:t>
      </w:r>
      <w:r>
        <w:rPr>
          <w:rFonts w:hint="eastAsia" w:ascii="方正魏碑_GBK" w:hAnsi="方正魏碑_GBK" w:eastAsia="方正魏碑_GBK"/>
          <w:color w:val="000000"/>
          <w:highlight w:val="none"/>
          <w:shd w:val="clear" w:color="auto" w:fill="FFFFFF"/>
        </w:rPr>
        <w:t>，生产厂为</w:t>
      </w:r>
      <w:r>
        <w:rPr>
          <w:rStyle w:val="55"/>
          <w:rFonts w:hint="eastAsia" w:ascii="方正魏碑_GBK" w:hAnsi="方正魏碑_GBK" w:eastAsia="方正魏碑_GBK"/>
          <w:i w:val="0"/>
          <w:iCs w:val="0"/>
          <w:color w:val="000000"/>
          <w:highlight w:val="none"/>
          <w:u w:val="single"/>
          <w:shd w:val="clear" w:color="auto" w:fill="FFFFFF"/>
        </w:rPr>
        <w:t>（厂名）</w:t>
      </w:r>
      <w:r>
        <w:rPr>
          <w:rFonts w:hint="eastAsia" w:ascii="方正魏碑_GBK" w:hAnsi="方正魏碑_GBK" w:eastAsia="方正魏碑_GBK"/>
          <w:color w:val="000000"/>
          <w:highlight w:val="none"/>
          <w:shd w:val="clear" w:color="auto" w:fill="FFFFFF"/>
        </w:rPr>
        <w:t>，厂址为</w:t>
      </w:r>
      <w:r>
        <w:rPr>
          <w:rStyle w:val="55"/>
          <w:rFonts w:hint="eastAsia" w:ascii="方正魏碑_GBK" w:hAnsi="方正魏碑_GBK" w:eastAsia="方正魏碑_GBK"/>
          <w:i w:val="0"/>
          <w:iCs w:val="0"/>
          <w:color w:val="000000"/>
          <w:highlight w:val="none"/>
          <w:u w:val="single"/>
          <w:shd w:val="clear" w:color="auto" w:fill="FFFFFF"/>
        </w:rPr>
        <w:t>（生产厂址）</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的中国境内生产的组件成本占比≥</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在中国境内生产。</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的</w:t>
      </w:r>
      <w:r>
        <w:rPr>
          <w:rFonts w:hint="eastAsia" w:ascii="方正魏碑_GBK" w:hAnsi="方正魏碑_GBK" w:eastAsia="方正魏碑_GBK"/>
          <w:color w:val="000000"/>
          <w:highlight w:val="none"/>
          <w:u w:val="single"/>
          <w:shd w:val="clear" w:color="auto" w:fill="FFFFFF"/>
        </w:rPr>
        <w:t xml:space="preserve">  </w:t>
      </w:r>
      <w:r>
        <w:rPr>
          <w:rStyle w:val="55"/>
          <w:rFonts w:hint="eastAsia" w:ascii="方正魏碑_GBK" w:hAnsi="方正魏碑_GBK" w:eastAsia="方正魏碑_GBK"/>
          <w:i w:val="0"/>
          <w:iCs w:val="0"/>
          <w:color w:val="000000"/>
          <w:highlight w:val="none"/>
          <w:u w:val="single"/>
          <w:shd w:val="clear" w:color="auto" w:fill="FFFFFF"/>
        </w:rPr>
        <w:t xml:space="preserve">/  </w:t>
      </w:r>
      <w:r>
        <w:rPr>
          <w:rFonts w:hint="eastAsia" w:ascii="方正魏碑_GBK" w:hAnsi="方正魏碑_GBK" w:eastAsia="方正魏碑_GBK"/>
          <w:color w:val="000000"/>
          <w:highlight w:val="none"/>
          <w:shd w:val="clear" w:color="auto" w:fill="FFFFFF"/>
        </w:rPr>
        <w:t>在中国境内完成。</w:t>
      </w:r>
    </w:p>
    <w:p w14:paraId="75A832DF">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w:t>
      </w:r>
    </w:p>
    <w:p w14:paraId="7867E206">
      <w:pPr>
        <w:pStyle w:val="44"/>
        <w:spacing w:before="30" w:beforeAutospacing="0" w:after="30" w:afterAutospacing="0" w:line="0" w:lineRule="atLeast"/>
        <w:ind w:firstLine="420"/>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本公司（单位）对上述声明内容的真实性负责。如有虚假，愿承担相应法律责任。</w:t>
      </w:r>
    </w:p>
    <w:p w14:paraId="1E1B6680">
      <w:pPr>
        <w:pStyle w:val="44"/>
        <w:spacing w:before="30" w:beforeAutospacing="0" w:after="30" w:afterAutospacing="0" w:line="0" w:lineRule="atLeast"/>
        <w:rPr>
          <w:rFonts w:ascii="方正魏碑_GBK" w:hAnsi="方正魏碑_GBK" w:eastAsia="方正魏碑_GBK"/>
          <w:color w:val="000000"/>
          <w:highlight w:val="none"/>
        </w:rPr>
      </w:pPr>
    </w:p>
    <w:p w14:paraId="321A3EA9">
      <w:pPr>
        <w:pStyle w:val="44"/>
        <w:spacing w:before="30" w:beforeAutospacing="0" w:after="30" w:afterAutospacing="0" w:line="0" w:lineRule="atLeast"/>
        <w:jc w:val="right"/>
        <w:rPr>
          <w:rFonts w:ascii="方正魏碑_GBK" w:hAnsi="方正魏碑_GBK" w:eastAsia="方正魏碑_GBK"/>
          <w:color w:val="000000"/>
          <w:highlight w:val="none"/>
          <w:shd w:val="clear" w:color="auto" w:fill="FFFFFF"/>
        </w:rPr>
      </w:pPr>
      <w:r>
        <w:rPr>
          <w:rFonts w:hint="eastAsia" w:ascii="方正魏碑_GBK" w:hAnsi="方正魏碑_GBK" w:eastAsia="方正魏碑_GBK"/>
          <w:color w:val="000000"/>
          <w:highlight w:val="none"/>
          <w:shd w:val="clear" w:color="auto" w:fill="FFFFFF"/>
        </w:rPr>
        <w:t xml:space="preserve">    公司（单位）名称（加盖CA电子公章）：</w:t>
      </w:r>
      <w:r>
        <w:rPr>
          <w:rFonts w:hint="eastAsia" w:ascii="方正魏碑_GBK" w:hAnsi="方正魏碑_GBK" w:eastAsia="方正魏碑_GBK"/>
          <w:color w:val="0000FF"/>
          <w:highlight w:val="none"/>
          <w:shd w:val="clear" w:color="auto" w:fill="FFFFFF"/>
        </w:rPr>
        <w:t>　        </w:t>
      </w:r>
    </w:p>
    <w:p w14:paraId="6533FC02">
      <w:pPr>
        <w:pStyle w:val="44"/>
        <w:spacing w:before="40" w:beforeAutospacing="0" w:after="40" w:afterAutospacing="0"/>
        <w:jc w:val="right"/>
        <w:rPr>
          <w:rFonts w:ascii="方正魏碑_GBK" w:hAnsi="方正魏碑_GBK" w:eastAsia="方正魏碑_GBK"/>
          <w:color w:val="0000FF"/>
          <w:highlight w:val="none"/>
          <w:shd w:val="clear" w:color="auto" w:fill="FFFFFF"/>
        </w:rPr>
      </w:pPr>
      <w:r>
        <w:rPr>
          <w:rFonts w:hint="eastAsia" w:ascii="方正魏碑_GBK" w:hAnsi="方正魏碑_GBK" w:eastAsia="方正魏碑_GBK"/>
          <w:color w:val="0000FF"/>
          <w:highlight w:val="none"/>
          <w:shd w:val="clear" w:color="auto" w:fill="FFFFFF"/>
        </w:rPr>
        <w:t xml:space="preserve">        </w:t>
      </w:r>
      <w:r>
        <w:rPr>
          <w:rFonts w:hint="eastAsia" w:ascii="方正魏碑_GBK" w:hAnsi="方正魏碑_GBK" w:eastAsia="方正魏碑_GBK"/>
          <w:color w:val="000000"/>
          <w:highlight w:val="none"/>
          <w:shd w:val="clear" w:color="auto" w:fill="FFFFFF"/>
        </w:rPr>
        <w:t xml:space="preserve"> 日期：　     年　  月　  日       </w:t>
      </w:r>
    </w:p>
    <w:p w14:paraId="5734FCE0">
      <w:pPr>
        <w:pStyle w:val="44"/>
        <w:spacing w:before="40" w:beforeAutospacing="0" w:after="40" w:afterAutospacing="0"/>
        <w:rPr>
          <w:color w:val="333333"/>
          <w:highlight w:val="none"/>
        </w:rPr>
      </w:pPr>
      <w:r>
        <w:rPr>
          <w:rFonts w:hint="eastAsia"/>
          <w:color w:val="333333"/>
          <w:highlight w:val="none"/>
        </w:rPr>
        <w:t>__________________</w:t>
      </w:r>
    </w:p>
    <w:p w14:paraId="118E4504">
      <w:pPr>
        <w:pStyle w:val="44"/>
        <w:spacing w:before="40" w:beforeAutospacing="0" w:after="40" w:afterAutospacing="0"/>
        <w:ind w:firstLine="420"/>
        <w:rPr>
          <w:b/>
          <w:bCs/>
          <w:color w:val="333333"/>
          <w:highlight w:val="none"/>
        </w:rPr>
      </w:pPr>
      <w:r>
        <w:rPr>
          <w:rFonts w:hint="eastAsia"/>
          <w:b/>
          <w:bCs/>
          <w:color w:val="333333"/>
          <w:highlight w:val="none"/>
        </w:rPr>
        <w:t>1.产品如有型号，请在“产品名称”栏一并填写。</w:t>
      </w:r>
    </w:p>
    <w:p w14:paraId="42EA802E">
      <w:pPr>
        <w:pStyle w:val="44"/>
        <w:spacing w:before="40" w:beforeAutospacing="0" w:after="40" w:afterAutospacing="0"/>
        <w:ind w:firstLine="420"/>
        <w:rPr>
          <w:b/>
          <w:bCs/>
          <w:color w:val="333333"/>
          <w:highlight w:val="none"/>
        </w:rPr>
      </w:pPr>
      <w:r>
        <w:rPr>
          <w:rFonts w:hint="eastAsia"/>
          <w:b/>
          <w:bCs/>
          <w:color w:val="333333"/>
          <w:highlight w:val="none"/>
        </w:rPr>
        <w:t>2.生产厂名与厂址应与生产厂营业执照载明的相关信息保持一致。</w:t>
      </w:r>
    </w:p>
    <w:p w14:paraId="1C78E3D9">
      <w:pPr>
        <w:pStyle w:val="44"/>
        <w:spacing w:before="40" w:beforeAutospacing="0" w:after="40" w:afterAutospacing="0"/>
        <w:ind w:firstLine="420"/>
        <w:rPr>
          <w:b/>
          <w:bCs/>
          <w:color w:val="333333"/>
          <w:highlight w:val="none"/>
        </w:rPr>
      </w:pPr>
      <w:r>
        <w:rPr>
          <w:rFonts w:hint="eastAsia"/>
          <w:b/>
          <w:bCs/>
          <w:color w:val="333333"/>
          <w:highlight w:val="none"/>
        </w:rPr>
        <w:t>3.该产品的中国境内生产的组件成本占比相关要求实施前，“规定比例”栏可不填，下同。</w:t>
      </w:r>
    </w:p>
    <w:p w14:paraId="5DA1C53B">
      <w:pPr>
        <w:pStyle w:val="44"/>
        <w:spacing w:before="40" w:beforeAutospacing="0" w:after="40" w:afterAutospacing="0"/>
        <w:ind w:firstLine="420"/>
        <w:rPr>
          <w:b/>
          <w:bCs/>
          <w:color w:val="333333"/>
          <w:highlight w:val="none"/>
        </w:rPr>
      </w:pPr>
      <w:r>
        <w:rPr>
          <w:rFonts w:hint="eastAsia"/>
          <w:b/>
          <w:bCs/>
          <w:color w:val="333333"/>
          <w:highlight w:val="none"/>
        </w:rPr>
        <w:t>4.该产品的关键组件要求实施前，“关键组件”栏可不填，下同。</w:t>
      </w:r>
    </w:p>
    <w:p w14:paraId="0DF40CF4">
      <w:pPr>
        <w:pStyle w:val="44"/>
        <w:spacing w:before="40" w:beforeAutospacing="0" w:after="40" w:afterAutospacing="0"/>
        <w:ind w:firstLine="420"/>
        <w:rPr>
          <w:b/>
          <w:bCs/>
          <w:color w:val="333333"/>
          <w:highlight w:val="none"/>
        </w:rPr>
      </w:pPr>
      <w:r>
        <w:rPr>
          <w:rFonts w:hint="eastAsia"/>
          <w:b/>
          <w:bCs/>
          <w:color w:val="333333"/>
          <w:highlight w:val="none"/>
        </w:rPr>
        <w:t>5.该产品的关键工序要求实施前，“关键工序”栏可不填，下同。</w:t>
      </w:r>
    </w:p>
    <w:p w14:paraId="053EF597">
      <w:pPr>
        <w:pStyle w:val="44"/>
        <w:spacing w:before="40" w:beforeAutospacing="0" w:after="40" w:afterAutospacing="0"/>
        <w:ind w:firstLine="420"/>
        <w:rPr>
          <w:b/>
          <w:bCs/>
          <w:color w:val="333333"/>
          <w:highlight w:val="none"/>
        </w:rPr>
      </w:pPr>
      <w:r>
        <w:rPr>
          <w:rFonts w:hint="eastAsia"/>
          <w:b/>
          <w:bCs/>
          <w:color w:val="333333"/>
          <w:highlight w:val="none"/>
        </w:rPr>
        <w:t>6.《声明函》中标注“  /  ”的地方无需填写。</w:t>
      </w:r>
    </w:p>
    <w:p w14:paraId="74A22987">
      <w:pPr>
        <w:pStyle w:val="233"/>
        <w:spacing w:line="0" w:lineRule="atLeast"/>
        <w:ind w:firstLine="440" w:firstLineChars="200"/>
        <w:rPr>
          <w:rFonts w:ascii="宋体" w:hAnsi="宋体"/>
          <w:color w:val="000000"/>
          <w:kern w:val="2"/>
          <w:sz w:val="22"/>
          <w:szCs w:val="22"/>
          <w:highlight w:val="none"/>
        </w:rPr>
      </w:pPr>
      <w:r>
        <w:rPr>
          <w:rFonts w:hint="eastAsia" w:ascii="宋体" w:hAnsi="宋体"/>
          <w:color w:val="000000"/>
          <w:kern w:val="2"/>
          <w:sz w:val="22"/>
          <w:szCs w:val="22"/>
          <w:highlight w:val="none"/>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sectPr>
      <w:footerReference r:id="rId9" w:type="first"/>
      <w:footerReference r:id="rId7" w:type="default"/>
      <w:footerReference r:id="rId8" w:type="even"/>
      <w:pgSz w:w="11906" w:h="16838"/>
      <w:pgMar w:top="1418" w:right="1588" w:bottom="1418" w:left="1365" w:header="851" w:footer="907" w:gutter="0"/>
      <w:cols w:space="720" w:num="1"/>
      <w:titlePg/>
      <w:docGrid w:type="lines"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30304000000000000"/>
    <w:charset w:val="B1"/>
    <w:family w:val="auto"/>
    <w:pitch w:val="default"/>
    <w:sig w:usb0="E7FFAEFF" w:usb1="F9FFFFFF" w:usb2="000FFDFF" w:usb3="00000000" w:csb0="603F01FF" w:csb1="FFFF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国标宋体-超大字符集扩">
    <w:panose1 w:val="00000500000000000000"/>
    <w:charset w:val="86"/>
    <w:family w:val="auto"/>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细黑">
    <w:panose1 w:val="02010600040101010101"/>
    <w:charset w:val="86"/>
    <w:family w:val="auto"/>
    <w:pitch w:val="default"/>
    <w:sig w:usb0="00000287" w:usb1="080F0000" w:usb2="00000000" w:usb3="00000000" w:csb0="0004009F" w:csb1="DFD7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Century Schoolbook">
    <w:altName w:val="FreeSerif"/>
    <w:panose1 w:val="02040604050505020304"/>
    <w:charset w:val="00"/>
    <w:family w:val="roman"/>
    <w:pitch w:val="default"/>
    <w:sig w:usb0="00000000" w:usb1="00000000" w:usb2="00000000" w:usb3="00000000" w:csb0="0000009F" w:csb1="00000000"/>
  </w:font>
  <w:font w:name="仿宋">
    <w:altName w:val="宋体"/>
    <w:panose1 w:val="02010609060101010101"/>
    <w:charset w:val="86"/>
    <w:family w:val="modern"/>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3000509000000000000"/>
    <w:charset w:val="86"/>
    <w:family w:val="script"/>
    <w:pitch w:val="default"/>
    <w:sig w:usb0="00000001" w:usb1="080E0000" w:usb2="00000000" w:usb3="00000000" w:csb0="00040000" w:csb1="00000000"/>
  </w:font>
  <w:font w:name="宋体;SimSun">
    <w:altName w:val="宋体"/>
    <w:panose1 w:val="00000000000000000000"/>
    <w:charset w:val="00"/>
    <w:family w:val="auto"/>
    <w:pitch w:val="default"/>
    <w:sig w:usb0="00000000" w:usb1="00000000" w:usb2="00000000" w:usb3="00000000" w:csb0="00000000" w:csb1="00000000"/>
  </w:font>
  <w:font w:name="方正魏碑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C6BC">
    <w:pPr>
      <w:pStyle w:val="3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206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A14C1FB">
                          <w:pPr>
                            <w:pStyle w:val="30"/>
                            <w:tabs>
                              <w:tab w:val="clear" w:pos="4153"/>
                              <w:tab w:val="clear" w:pos="8306"/>
                            </w:tabs>
                          </w:pPr>
                          <w:r>
                            <w:fldChar w:fldCharType="begin"/>
                          </w:r>
                          <w:r>
                            <w:instrText xml:space="preserve"> PAGE  \* MERGEFORMAT </w:instrText>
                          </w:r>
                          <w:r>
                            <w:fldChar w:fldCharType="separate"/>
                          </w:r>
                          <w:r>
                            <w:t>34</w:t>
                          </w:r>
                          <w:r>
                            <w:fldChar w:fldCharType="end"/>
                          </w:r>
                        </w:p>
                        <w:p w14:paraId="4B1D6622"/>
                      </w:txbxContent>
                    </wps:txbx>
                    <wps:bodyPr rot="0" vert="horz" wrap="square" lIns="91440" tIns="45720" rIns="91440" bIns="45720" anchor="t" anchorCtr="0"/>
                  </wps:wsp>
                </a:graphicData>
              </a:graphic>
            </wp:anchor>
          </w:drawing>
        </mc:Choice>
        <mc:Fallback>
          <w:pict>
            <v:rect id="_x0000_s206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aeeOboBAACGAwAADgAAAAAAAAABACAAAAAiAQAAZHJzL2Uyb0RvYy54bWxQSwUGAAAA&#10;AAYABgBZAQAATgUAAAAA&#10;">
              <v:fill on="f" focussize="0,0"/>
              <v:stroke on="f"/>
              <v:imagedata o:title=""/>
              <o:lock v:ext="edit" aspectratio="f"/>
              <v:textbox>
                <w:txbxContent>
                  <w:p w14:paraId="2A14C1FB">
                    <w:pPr>
                      <w:pStyle w:val="30"/>
                      <w:tabs>
                        <w:tab w:val="clear" w:pos="4153"/>
                        <w:tab w:val="clear" w:pos="8306"/>
                      </w:tabs>
                    </w:pPr>
                    <w:r>
                      <w:fldChar w:fldCharType="begin"/>
                    </w:r>
                    <w:r>
                      <w:instrText xml:space="preserve"> PAGE  \* MERGEFORMAT </w:instrText>
                    </w:r>
                    <w:r>
                      <w:fldChar w:fldCharType="separate"/>
                    </w:r>
                    <w:r>
                      <w:t>34</w:t>
                    </w:r>
                    <w:r>
                      <w:fldChar w:fldCharType="end"/>
                    </w:r>
                  </w:p>
                  <w:p w14:paraId="4B1D6622"/>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2682">
    <w:pPr>
      <w:pStyle w:val="30"/>
      <w:tabs>
        <w:tab w:val="clear" w:pos="4153"/>
        <w:tab w:val="clear" w:pos="8306"/>
      </w:tabs>
      <w:spacing w:line="240" w:lineRule="auto"/>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206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D6F0B0A">
                          <w:pPr>
                            <w:pStyle w:val="30"/>
                            <w:tabs>
                              <w:tab w:val="clear" w:pos="4153"/>
                              <w:tab w:val="clear" w:pos="8306"/>
                            </w:tabs>
                            <w:spacing w:line="240" w:lineRule="auto"/>
                            <w:jc w:val="center"/>
                          </w:pPr>
                          <w:r>
                            <w:fldChar w:fldCharType="begin"/>
                          </w:r>
                          <w:r>
                            <w:instrText xml:space="preserve"> PAGE   \* MERGEFORMAT </w:instrText>
                          </w:r>
                          <w:r>
                            <w:fldChar w:fldCharType="separate"/>
                          </w:r>
                          <w:r>
                            <w:rPr>
                              <w:lang w:val="zh-CN"/>
                            </w:rPr>
                            <w:t>1</w:t>
                          </w:r>
                          <w:r>
                            <w:fldChar w:fldCharType="end"/>
                          </w:r>
                        </w:p>
                        <w:p w14:paraId="42093727"/>
                      </w:txbxContent>
                    </wps:txbx>
                    <wps:bodyPr rot="0" vert="horz" wrap="square" lIns="91440" tIns="45720" rIns="91440" bIns="45720" anchor="t" anchorCtr="0"/>
                  </wps:wsp>
                </a:graphicData>
              </a:graphic>
            </wp:anchor>
          </w:drawing>
        </mc:Choice>
        <mc:Fallback>
          <w:pict>
            <v:rect id="_x0000_s206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PSgo6W7AQAAhgMAAA4AAAAAAAAAAQAgAAAAIgEAAGRycy9lMm9Eb2MueG1sUEsFBgAA&#10;AAAGAAYAWQEAAE8FAAAAAA==&#10;">
              <v:fill on="f" focussize="0,0"/>
              <v:stroke on="f"/>
              <v:imagedata o:title=""/>
              <o:lock v:ext="edit" aspectratio="f"/>
              <v:textbox>
                <w:txbxContent>
                  <w:p w14:paraId="6D6F0B0A">
                    <w:pPr>
                      <w:pStyle w:val="30"/>
                      <w:tabs>
                        <w:tab w:val="clear" w:pos="4153"/>
                        <w:tab w:val="clear" w:pos="8306"/>
                      </w:tabs>
                      <w:spacing w:line="240" w:lineRule="auto"/>
                      <w:jc w:val="center"/>
                    </w:pPr>
                    <w:r>
                      <w:fldChar w:fldCharType="begin"/>
                    </w:r>
                    <w:r>
                      <w:instrText xml:space="preserve"> PAGE   \* MERGEFORMAT </w:instrText>
                    </w:r>
                    <w:r>
                      <w:fldChar w:fldCharType="separate"/>
                    </w:r>
                    <w:r>
                      <w:rPr>
                        <w:lang w:val="zh-CN"/>
                      </w:rPr>
                      <w:t>1</w:t>
                    </w:r>
                    <w:r>
                      <w:fldChar w:fldCharType="end"/>
                    </w:r>
                  </w:p>
                  <w:p w14:paraId="4209372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2BE1">
    <w:pPr>
      <w:pStyle w:val="3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206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D30EF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p w14:paraId="7A13A1B3"/>
                      </w:txbxContent>
                    </wps:txbx>
                    <wps:bodyPr rot="0" vert="horz" wrap="square" lIns="91440" tIns="45720" rIns="91440" bIns="45720" anchor="t" anchorCtr="0"/>
                  </wps:wsp>
                </a:graphicData>
              </a:graphic>
            </wp:anchor>
          </w:drawing>
        </mc:Choice>
        <mc:Fallback>
          <w:pict>
            <v:rect id="_x0000_s206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GzwTTAAAABQEAAA8AAAAAAAAAAQAgAAAAIgAAAGRycy9kb3ducmV2LnhtbFBLAQIUABQA&#10;AAAIAIdO4kA/p0QVvAEAAIcDAAAOAAAAAAAAAAEAIAAAACIBAABkcnMvZTJvRG9jLnhtbFBLBQYA&#10;AAAABgAGAFkBAABQBQAAAAA=&#10;">
              <v:fill on="f" focussize="0,0"/>
              <v:stroke on="f"/>
              <v:imagedata o:title=""/>
              <o:lock v:ext="edit" aspectratio="f"/>
              <v:textbox>
                <w:txbxContent>
                  <w:p w14:paraId="4D30EF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p w14:paraId="7A13A1B3"/>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CC7B">
    <w:pPr>
      <w:pStyle w:val="30"/>
      <w:framePr w:wrap="around" w:vAnchor="text" w:hAnchor="margin" w:xAlign="center" w:y="1"/>
      <w:tabs>
        <w:tab w:val="clear" w:pos="4153"/>
        <w:tab w:val="clear" w:pos="8306"/>
      </w:tabs>
    </w:pPr>
    <w:r>
      <w:fldChar w:fldCharType="begin"/>
    </w:r>
    <w:r>
      <w:rPr>
        <w:rStyle w:val="54"/>
      </w:rPr>
      <w:instrText xml:space="preserve">PAGE  </w:instrText>
    </w:r>
    <w:r>
      <w:fldChar w:fldCharType="separate"/>
    </w:r>
    <w:r>
      <w:rPr>
        <w:rStyle w:val="54"/>
      </w:rPr>
      <w:t>1</w:t>
    </w:r>
    <w:r>
      <w:fldChar w:fldCharType="end"/>
    </w:r>
  </w:p>
  <w:p w14:paraId="158B50C1">
    <w:pPr>
      <w:pStyle w:val="3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537A">
    <w:pPr>
      <w:pStyle w:val="30"/>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_x0000_s206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414F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p w14:paraId="7116EBE2"/>
                      </w:txbxContent>
                    </wps:txbx>
                    <wps:bodyPr rot="0" vert="horz" wrap="square" lIns="91440" tIns="45720" rIns="91440" bIns="45720" anchor="t" anchorCtr="0"/>
                  </wps:wsp>
                </a:graphicData>
              </a:graphic>
            </wp:anchor>
          </w:drawing>
        </mc:Choice>
        <mc:Fallback>
          <w:pict>
            <v:rect id="_x0000_s206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EzZo37oBAACHAwAADgAAAAAAAAABACAAAAAiAQAAZHJzL2Uyb0RvYy54bWxQSwUGAAAA&#10;AAYABgBZAQAATgUAAAAA&#10;">
              <v:fill on="f" focussize="0,0"/>
              <v:stroke on="f"/>
              <v:imagedata o:title=""/>
              <o:lock v:ext="edit" aspectratio="f"/>
              <v:textbox>
                <w:txbxContent>
                  <w:p w14:paraId="7414FC6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p w14:paraId="7116EBE2"/>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A2A3BEC8"/>
    <w:multiLevelType w:val="singleLevel"/>
    <w:tmpl w:val="A2A3BEC8"/>
    <w:lvl w:ilvl="0" w:tentative="0">
      <w:start w:val="1"/>
      <w:numFmt w:val="chineseCounting"/>
      <w:suff w:val="space"/>
      <w:lvlText w:val="第%1章"/>
      <w:lvlJc w:val="left"/>
      <w:rPr>
        <w:rFonts w:hint="eastAsia"/>
      </w:rPr>
    </w:lvl>
  </w:abstractNum>
  <w:abstractNum w:abstractNumId="2">
    <w:nsid w:val="E2DDDB29"/>
    <w:multiLevelType w:val="singleLevel"/>
    <w:tmpl w:val="E2DDDB29"/>
    <w:lvl w:ilvl="0" w:tentative="0">
      <w:start w:val="1"/>
      <w:numFmt w:val="decimal"/>
      <w:lvlText w:val="%1."/>
      <w:lvlJc w:val="left"/>
      <w:pPr>
        <w:tabs>
          <w:tab w:val="left" w:pos="312"/>
        </w:tabs>
      </w:pPr>
    </w:lvl>
  </w:abstractNum>
  <w:abstractNum w:abstractNumId="3">
    <w:nsid w:val="EFB2EA4C"/>
    <w:multiLevelType w:val="singleLevel"/>
    <w:tmpl w:val="EFB2EA4C"/>
    <w:lvl w:ilvl="0" w:tentative="0">
      <w:start w:val="1"/>
      <w:numFmt w:val="decimal"/>
      <w:lvlText w:val="%1."/>
      <w:lvlJc w:val="left"/>
      <w:pPr>
        <w:tabs>
          <w:tab w:val="left" w:pos="312"/>
        </w:tabs>
      </w:pPr>
    </w:lvl>
  </w:abstractNum>
  <w:abstractNum w:abstractNumId="4">
    <w:nsid w:val="F3E6ED7F"/>
    <w:multiLevelType w:val="singleLevel"/>
    <w:tmpl w:val="F3E6ED7F"/>
    <w:lvl w:ilvl="0" w:tentative="0">
      <w:start w:val="3"/>
      <w:numFmt w:val="chineseCounting"/>
      <w:suff w:val="nothing"/>
      <w:lvlText w:val="%1、"/>
      <w:lvlJc w:val="left"/>
      <w:rPr>
        <w:rFonts w:hint="eastAsia"/>
      </w:rPr>
    </w:lvl>
  </w:abstractNum>
  <w:abstractNum w:abstractNumId="5">
    <w:nsid w:val="FDBF0D3E"/>
    <w:multiLevelType w:val="singleLevel"/>
    <w:tmpl w:val="FDBF0D3E"/>
    <w:lvl w:ilvl="0" w:tentative="0">
      <w:start w:val="1"/>
      <w:numFmt w:val="decimal"/>
      <w:suff w:val="nothing"/>
      <w:lvlText w:val="%1、"/>
      <w:lvlJc w:val="left"/>
    </w:lvl>
  </w:abstractNum>
  <w:abstractNum w:abstractNumId="6">
    <w:nsid w:val="FFED1828"/>
    <w:multiLevelType w:val="singleLevel"/>
    <w:tmpl w:val="FFED1828"/>
    <w:lvl w:ilvl="0" w:tentative="0">
      <w:start w:val="1"/>
      <w:numFmt w:val="decimal"/>
      <w:suff w:val="nothing"/>
      <w:lvlText w:val="%1、"/>
      <w:lvlJc w:val="left"/>
    </w:lvl>
  </w:abstractNum>
  <w:abstractNum w:abstractNumId="7">
    <w:nsid w:val="00000004"/>
    <w:multiLevelType w:val="singleLevel"/>
    <w:tmpl w:val="00000004"/>
    <w:lvl w:ilvl="0" w:tentative="0">
      <w:start w:val="8"/>
      <w:numFmt w:val="chineseCounting"/>
      <w:suff w:val="nothing"/>
      <w:lvlText w:val="%1、"/>
      <w:lvlJc w:val="left"/>
      <w:rPr>
        <w:rFonts w:hint="eastAsia"/>
      </w:rPr>
    </w:lvl>
  </w:abstractNum>
  <w:abstractNum w:abstractNumId="8">
    <w:nsid w:val="00000008"/>
    <w:multiLevelType w:val="multilevel"/>
    <w:tmpl w:val="00000008"/>
    <w:lvl w:ilvl="0" w:tentative="0">
      <w:start w:val="1"/>
      <w:numFmt w:val="decimal"/>
      <w:pStyle w:val="150"/>
      <w:lvlText w:val="（%1）"/>
      <w:lvlJc w:val="left"/>
      <w:pPr>
        <w:ind w:left="1155" w:hanging="420"/>
      </w:pPr>
      <w:rPr>
        <w:rFonts w:ascii="Times New Roman" w:hAnsi="Times New Roman"/>
        <w:lang w:val="en-US"/>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9">
    <w:nsid w:val="0000000E"/>
    <w:multiLevelType w:val="singleLevel"/>
    <w:tmpl w:val="0000000E"/>
    <w:lvl w:ilvl="0" w:tentative="0">
      <w:start w:val="1"/>
      <w:numFmt w:val="decimal"/>
      <w:pStyle w:val="159"/>
      <w:lvlText w:val="%1."/>
      <w:lvlJc w:val="left"/>
      <w:pPr>
        <w:tabs>
          <w:tab w:val="left" w:pos="680"/>
        </w:tabs>
        <w:ind w:left="0" w:firstLine="284"/>
      </w:pPr>
      <w:rPr>
        <w:rFonts w:hint="eastAsia"/>
      </w:rPr>
    </w:lvl>
  </w:abstractNum>
  <w:abstractNum w:abstractNumId="10">
    <w:nsid w:val="00000016"/>
    <w:multiLevelType w:val="multilevel"/>
    <w:tmpl w:val="00000016"/>
    <w:lvl w:ilvl="0" w:tentative="0">
      <w:start w:val="1"/>
      <w:numFmt w:val="bullet"/>
      <w:pStyle w:val="108"/>
      <w:lvlText w:val=""/>
      <w:lvlJc w:val="left"/>
      <w:pPr>
        <w:ind w:left="980" w:hanging="420"/>
      </w:pPr>
      <w:rPr>
        <w:rFonts w:ascii="Wingdings" w:hAnsi="Wingdings"/>
      </w:rPr>
    </w:lvl>
    <w:lvl w:ilvl="1" w:tentative="0">
      <w:start w:val="1"/>
      <w:numFmt w:val="bullet"/>
      <w:lvlText w:val=""/>
      <w:lvlJc w:val="left"/>
      <w:pPr>
        <w:ind w:left="1400" w:hanging="420"/>
      </w:pPr>
      <w:rPr>
        <w:rFonts w:ascii="Wingdings" w:hAnsi="Wingdings"/>
      </w:rPr>
    </w:lvl>
    <w:lvl w:ilvl="2" w:tentative="0">
      <w:start w:val="1"/>
      <w:numFmt w:val="bullet"/>
      <w:lvlText w:val=""/>
      <w:lvlJc w:val="left"/>
      <w:pPr>
        <w:ind w:left="1820" w:hanging="420"/>
      </w:pPr>
      <w:rPr>
        <w:rFonts w:ascii="Wingdings" w:hAnsi="Wingdings"/>
      </w:rPr>
    </w:lvl>
    <w:lvl w:ilvl="3" w:tentative="0">
      <w:start w:val="1"/>
      <w:numFmt w:val="bullet"/>
      <w:lvlText w:val=""/>
      <w:lvlJc w:val="left"/>
      <w:pPr>
        <w:ind w:left="2240" w:hanging="420"/>
      </w:pPr>
      <w:rPr>
        <w:rFonts w:ascii="Wingdings" w:hAnsi="Wingdings"/>
      </w:rPr>
    </w:lvl>
    <w:lvl w:ilvl="4" w:tentative="0">
      <w:start w:val="1"/>
      <w:numFmt w:val="bullet"/>
      <w:lvlText w:val=""/>
      <w:lvlJc w:val="left"/>
      <w:pPr>
        <w:ind w:left="2660" w:hanging="420"/>
      </w:pPr>
      <w:rPr>
        <w:rFonts w:ascii="Wingdings" w:hAnsi="Wingdings"/>
      </w:rPr>
    </w:lvl>
    <w:lvl w:ilvl="5" w:tentative="0">
      <w:start w:val="1"/>
      <w:numFmt w:val="bullet"/>
      <w:lvlText w:val=""/>
      <w:lvlJc w:val="left"/>
      <w:pPr>
        <w:ind w:left="3080" w:hanging="420"/>
      </w:pPr>
      <w:rPr>
        <w:rFonts w:ascii="Wingdings" w:hAnsi="Wingdings"/>
      </w:rPr>
    </w:lvl>
    <w:lvl w:ilvl="6" w:tentative="0">
      <w:start w:val="1"/>
      <w:numFmt w:val="bullet"/>
      <w:lvlText w:val=""/>
      <w:lvlJc w:val="left"/>
      <w:pPr>
        <w:ind w:left="3500" w:hanging="420"/>
      </w:pPr>
      <w:rPr>
        <w:rFonts w:ascii="Wingdings" w:hAnsi="Wingdings"/>
      </w:rPr>
    </w:lvl>
    <w:lvl w:ilvl="7" w:tentative="0">
      <w:start w:val="1"/>
      <w:numFmt w:val="bullet"/>
      <w:lvlText w:val=""/>
      <w:lvlJc w:val="left"/>
      <w:pPr>
        <w:ind w:left="3920" w:hanging="420"/>
      </w:pPr>
      <w:rPr>
        <w:rFonts w:ascii="Wingdings" w:hAnsi="Wingdings"/>
      </w:rPr>
    </w:lvl>
    <w:lvl w:ilvl="8" w:tentative="0">
      <w:start w:val="1"/>
      <w:numFmt w:val="bullet"/>
      <w:lvlText w:val=""/>
      <w:lvlJc w:val="left"/>
      <w:pPr>
        <w:ind w:left="4340" w:hanging="420"/>
      </w:pPr>
      <w:rPr>
        <w:rFonts w:ascii="Wingdings" w:hAnsi="Wingdings"/>
      </w:rPr>
    </w:lvl>
  </w:abstractNum>
  <w:abstractNum w:abstractNumId="11">
    <w:nsid w:val="0000001D"/>
    <w:multiLevelType w:val="multilevel"/>
    <w:tmpl w:val="0000001D"/>
    <w:lvl w:ilvl="0" w:tentative="0">
      <w:start w:val="1"/>
      <w:numFmt w:val="decimal"/>
      <w:pStyle w:val="115"/>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06784D56"/>
    <w:multiLevelType w:val="singleLevel"/>
    <w:tmpl w:val="06784D56"/>
    <w:lvl w:ilvl="0" w:tentative="0">
      <w:start w:val="1"/>
      <w:numFmt w:val="upperLetter"/>
      <w:pStyle w:val="186"/>
      <w:lvlText w:val="附录%1."/>
      <w:lvlJc w:val="left"/>
      <w:pPr>
        <w:tabs>
          <w:tab w:val="left" w:pos="907"/>
        </w:tabs>
        <w:ind w:left="907" w:hanging="907"/>
      </w:pPr>
      <w:rPr>
        <w:rFonts w:hint="eastAsia"/>
      </w:rPr>
    </w:lvl>
  </w:abstractNum>
  <w:abstractNum w:abstractNumId="13">
    <w:nsid w:val="25090165"/>
    <w:multiLevelType w:val="multilevel"/>
    <w:tmpl w:val="25090165"/>
    <w:lvl w:ilvl="0" w:tentative="0">
      <w:start w:val="1"/>
      <w:numFmt w:val="decimal"/>
      <w:suff w:val="nothing"/>
      <w:lvlText w:val=""/>
      <w:lvlJc w:val="left"/>
    </w:lvl>
    <w:lvl w:ilvl="1" w:tentative="0">
      <w:start w:val="1"/>
      <w:numFmt w:val="decimal"/>
      <w:pStyle w:val="237"/>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14">
    <w:nsid w:val="420C153B"/>
    <w:multiLevelType w:val="multilevel"/>
    <w:tmpl w:val="420C153B"/>
    <w:lvl w:ilvl="0" w:tentative="0">
      <w:start w:val="1"/>
      <w:numFmt w:val="decimal"/>
      <w:pStyle w:val="10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5C14845"/>
    <w:multiLevelType w:val="multilevel"/>
    <w:tmpl w:val="45C14845"/>
    <w:lvl w:ilvl="0" w:tentative="0">
      <w:start w:val="1"/>
      <w:numFmt w:val="bullet"/>
      <w:pStyle w:val="120"/>
      <w:lvlText w:val=""/>
      <w:lvlJc w:val="left"/>
      <w:pPr>
        <w:tabs>
          <w:tab w:val="left" w:pos="900"/>
        </w:tabs>
        <w:ind w:left="900" w:hanging="420"/>
      </w:pPr>
      <w:rPr>
        <w:rFonts w:ascii="Wingdings" w:hAnsi="Wingdings"/>
      </w:rPr>
    </w:lvl>
    <w:lvl w:ilvl="1" w:tentative="0">
      <w:start w:val="1"/>
      <w:numFmt w:val="bullet"/>
      <w:lvlText w:val=""/>
      <w:lvlJc w:val="left"/>
      <w:pPr>
        <w:tabs>
          <w:tab w:val="left" w:pos="1320"/>
        </w:tabs>
        <w:ind w:left="1320" w:hanging="420"/>
      </w:pPr>
      <w:rPr>
        <w:rFonts w:ascii="Wingdings" w:hAnsi="Wingdings"/>
      </w:rPr>
    </w:lvl>
    <w:lvl w:ilvl="2" w:tentative="0">
      <w:start w:val="1"/>
      <w:numFmt w:val="bullet"/>
      <w:lvlText w:val=""/>
      <w:lvlJc w:val="left"/>
      <w:pPr>
        <w:tabs>
          <w:tab w:val="left" w:pos="1740"/>
        </w:tabs>
        <w:ind w:left="1740" w:hanging="420"/>
      </w:pPr>
      <w:rPr>
        <w:rFonts w:ascii="Wingdings" w:hAnsi="Wingdings"/>
      </w:rPr>
    </w:lvl>
    <w:lvl w:ilvl="3" w:tentative="0">
      <w:start w:val="1"/>
      <w:numFmt w:val="bullet"/>
      <w:lvlText w:val=""/>
      <w:lvlJc w:val="left"/>
      <w:pPr>
        <w:tabs>
          <w:tab w:val="left" w:pos="2160"/>
        </w:tabs>
        <w:ind w:left="2160" w:hanging="420"/>
      </w:pPr>
      <w:rPr>
        <w:rFonts w:ascii="Wingdings" w:hAnsi="Wingdings"/>
      </w:rPr>
    </w:lvl>
    <w:lvl w:ilvl="4" w:tentative="0">
      <w:start w:val="1"/>
      <w:numFmt w:val="bullet"/>
      <w:lvlText w:val=""/>
      <w:lvlJc w:val="left"/>
      <w:pPr>
        <w:tabs>
          <w:tab w:val="left" w:pos="2580"/>
        </w:tabs>
        <w:ind w:left="2580" w:hanging="420"/>
      </w:pPr>
      <w:rPr>
        <w:rFonts w:ascii="Wingdings" w:hAnsi="Wingdings"/>
      </w:rPr>
    </w:lvl>
    <w:lvl w:ilvl="5" w:tentative="0">
      <w:start w:val="1"/>
      <w:numFmt w:val="bullet"/>
      <w:lvlText w:val=""/>
      <w:lvlJc w:val="left"/>
      <w:pPr>
        <w:tabs>
          <w:tab w:val="left" w:pos="3000"/>
        </w:tabs>
        <w:ind w:left="3000" w:hanging="420"/>
      </w:pPr>
      <w:rPr>
        <w:rFonts w:ascii="Wingdings" w:hAnsi="Wingdings"/>
      </w:rPr>
    </w:lvl>
    <w:lvl w:ilvl="6" w:tentative="0">
      <w:start w:val="1"/>
      <w:numFmt w:val="bullet"/>
      <w:lvlText w:val=""/>
      <w:lvlJc w:val="left"/>
      <w:pPr>
        <w:tabs>
          <w:tab w:val="left" w:pos="3420"/>
        </w:tabs>
        <w:ind w:left="3420" w:hanging="420"/>
      </w:pPr>
      <w:rPr>
        <w:rFonts w:ascii="Wingdings" w:hAnsi="Wingdings"/>
      </w:rPr>
    </w:lvl>
    <w:lvl w:ilvl="7" w:tentative="0">
      <w:start w:val="1"/>
      <w:numFmt w:val="bullet"/>
      <w:lvlText w:val=""/>
      <w:lvlJc w:val="left"/>
      <w:pPr>
        <w:tabs>
          <w:tab w:val="left" w:pos="3840"/>
        </w:tabs>
        <w:ind w:left="3840" w:hanging="420"/>
      </w:pPr>
      <w:rPr>
        <w:rFonts w:ascii="Wingdings" w:hAnsi="Wingdings"/>
      </w:rPr>
    </w:lvl>
    <w:lvl w:ilvl="8" w:tentative="0">
      <w:start w:val="1"/>
      <w:numFmt w:val="bullet"/>
      <w:lvlText w:val=""/>
      <w:lvlJc w:val="left"/>
      <w:pPr>
        <w:tabs>
          <w:tab w:val="left" w:pos="4260"/>
        </w:tabs>
        <w:ind w:left="4260" w:hanging="420"/>
      </w:pPr>
      <w:rPr>
        <w:rFonts w:ascii="Wingdings" w:hAnsi="Wingdings"/>
      </w:rPr>
    </w:lvl>
  </w:abstractNum>
  <w:abstractNum w:abstractNumId="16">
    <w:nsid w:val="57DB093B"/>
    <w:multiLevelType w:val="singleLevel"/>
    <w:tmpl w:val="57DB093B"/>
    <w:lvl w:ilvl="0" w:tentative="0">
      <w:start w:val="1"/>
      <w:numFmt w:val="decimal"/>
      <w:suff w:val="nothing"/>
      <w:lvlText w:val="%1、"/>
      <w:lvlJc w:val="left"/>
    </w:lvl>
  </w:abstractNum>
  <w:abstractNum w:abstractNumId="17">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9"/>
      <w:suff w:val="nothing"/>
      <w:lvlText w:val=""/>
      <w:lvlJc w:val="left"/>
      <w:pPr>
        <w:ind w:left="0" w:firstLine="0"/>
      </w:pPr>
      <w:rPr>
        <w:rFonts w:hint="eastAsia"/>
      </w:rPr>
    </w:lvl>
    <w:lvl w:ilvl="6" w:tentative="0">
      <w:start w:val="1"/>
      <w:numFmt w:val="decimal"/>
      <w:pStyle w:val="10"/>
      <w:suff w:val="nothing"/>
      <w:lvlText w:val=""/>
      <w:lvlJc w:val="left"/>
      <w:pPr>
        <w:ind w:left="0" w:firstLine="0"/>
      </w:pPr>
      <w:rPr>
        <w:rFonts w:hint="eastAsia"/>
      </w:rPr>
    </w:lvl>
    <w:lvl w:ilvl="7" w:tentative="0">
      <w:start w:val="1"/>
      <w:numFmt w:val="decimal"/>
      <w:pStyle w:val="11"/>
      <w:suff w:val="nothing"/>
      <w:lvlText w:val=""/>
      <w:lvlJc w:val="left"/>
      <w:pPr>
        <w:ind w:left="0" w:firstLine="0"/>
      </w:pPr>
      <w:rPr>
        <w:rFonts w:hint="eastAsia"/>
      </w:rPr>
    </w:lvl>
    <w:lvl w:ilvl="8" w:tentative="0">
      <w:start w:val="1"/>
      <w:numFmt w:val="decimal"/>
      <w:pStyle w:val="12"/>
      <w:suff w:val="nothing"/>
      <w:lvlText w:val=""/>
      <w:lvlJc w:val="left"/>
      <w:pPr>
        <w:ind w:left="0" w:firstLine="0"/>
      </w:pPr>
      <w:rPr>
        <w:rFonts w:hint="eastAsia"/>
      </w:rPr>
    </w:lvl>
  </w:abstractNum>
  <w:abstractNum w:abstractNumId="18">
    <w:nsid w:val="730719B5"/>
    <w:multiLevelType w:val="multilevel"/>
    <w:tmpl w:val="730719B5"/>
    <w:lvl w:ilvl="0" w:tentative="0">
      <w:start w:val="1"/>
      <w:numFmt w:val="decimal"/>
      <w:pStyle w:val="162"/>
      <w:suff w:val="space"/>
      <w:lvlText w:val="第%1章"/>
      <w:lvlJc w:val="left"/>
      <w:pPr>
        <w:ind w:left="567" w:firstLine="0"/>
      </w:pPr>
      <w:rPr>
        <w:rFonts w:hint="eastAsia" w:ascii="黑体" w:eastAsia="黑体"/>
        <w:b w:val="0"/>
        <w:i w:val="0"/>
      </w:rPr>
    </w:lvl>
    <w:lvl w:ilvl="1" w:tentative="0">
      <w:start w:val="1"/>
      <w:numFmt w:val="decimal"/>
      <w:pStyle w:val="161"/>
      <w:suff w:val="space"/>
      <w:lvlText w:val="%1.%2"/>
      <w:lvlJc w:val="left"/>
      <w:pPr>
        <w:ind w:left="426" w:firstLine="0"/>
      </w:pPr>
      <w:rPr>
        <w:rFonts w:hint="eastAsia" w:ascii="黑体" w:eastAsia="黑体"/>
        <w:b w:val="0"/>
        <w:i w:val="0"/>
      </w:rPr>
    </w:lvl>
    <w:lvl w:ilvl="2" w:tentative="0">
      <w:start w:val="1"/>
      <w:numFmt w:val="decimal"/>
      <w:pStyle w:val="209"/>
      <w:suff w:val="space"/>
      <w:lvlText w:val="%1.%2.%3"/>
      <w:lvlJc w:val="left"/>
      <w:pPr>
        <w:ind w:left="-54" w:firstLine="0"/>
      </w:pPr>
      <w:rPr>
        <w:rFonts w:hint="eastAsia" w:ascii="黑体" w:eastAsia="黑体"/>
        <w:b w:val="0"/>
        <w:i w:val="0"/>
      </w:rPr>
    </w:lvl>
    <w:lvl w:ilvl="3" w:tentative="0">
      <w:start w:val="1"/>
      <w:numFmt w:val="decimal"/>
      <w:pStyle w:val="171"/>
      <w:suff w:val="space"/>
      <w:lvlText w:val="%1.%2.%3.%4"/>
      <w:lvlJc w:val="left"/>
      <w:pPr>
        <w:ind w:left="-54" w:firstLine="0"/>
      </w:pPr>
      <w:rPr>
        <w:rFonts w:hint="eastAsia" w:ascii="黑体" w:eastAsia="黑体"/>
        <w:b w:val="0"/>
        <w:i w:val="0"/>
      </w:rPr>
    </w:lvl>
    <w:lvl w:ilvl="4" w:tentative="0">
      <w:start w:val="1"/>
      <w:numFmt w:val="decimal"/>
      <w:pStyle w:val="170"/>
      <w:suff w:val="space"/>
      <w:lvlText w:val="%1.%2.%3.%4.%5"/>
      <w:lvlJc w:val="left"/>
      <w:pPr>
        <w:ind w:left="851" w:firstLine="0"/>
      </w:pPr>
      <w:rPr>
        <w:rFonts w:hint="eastAsia" w:ascii="黑体" w:eastAsia="黑体"/>
        <w:b w:val="0"/>
        <w:i w:val="0"/>
      </w:rPr>
    </w:lvl>
    <w:lvl w:ilvl="5" w:tentative="0">
      <w:start w:val="1"/>
      <w:numFmt w:val="decimal"/>
      <w:pStyle w:val="177"/>
      <w:suff w:val="space"/>
      <w:lvlText w:val="%1.%2.%3.%4.%5.%6"/>
      <w:lvlJc w:val="left"/>
      <w:pPr>
        <w:ind w:left="-54" w:firstLine="0"/>
      </w:pPr>
      <w:rPr>
        <w:rFonts w:hint="eastAsia" w:ascii="黑体" w:eastAsia="黑体"/>
        <w:b w:val="0"/>
        <w:i w:val="0"/>
      </w:rPr>
    </w:lvl>
    <w:lvl w:ilvl="6" w:tentative="0">
      <w:start w:val="1"/>
      <w:numFmt w:val="decimal"/>
      <w:suff w:val="nothing"/>
      <w:lvlText w:val=""/>
      <w:lvlJc w:val="left"/>
      <w:pPr>
        <w:ind w:left="-54" w:firstLine="0"/>
      </w:pPr>
      <w:rPr>
        <w:rFonts w:hint="eastAsia"/>
      </w:rPr>
    </w:lvl>
    <w:lvl w:ilvl="7" w:tentative="0">
      <w:start w:val="1"/>
      <w:numFmt w:val="decimal"/>
      <w:suff w:val="nothing"/>
      <w:lvlText w:val=""/>
      <w:lvlJc w:val="left"/>
      <w:pPr>
        <w:ind w:left="-54" w:firstLine="0"/>
      </w:pPr>
      <w:rPr>
        <w:rFonts w:hint="eastAsia"/>
      </w:rPr>
    </w:lvl>
    <w:lvl w:ilvl="8" w:tentative="0">
      <w:start w:val="1"/>
      <w:numFmt w:val="decimal"/>
      <w:suff w:val="nothing"/>
      <w:lvlText w:val=""/>
      <w:lvlJc w:val="left"/>
      <w:pPr>
        <w:ind w:left="-54" w:firstLine="0"/>
      </w:pPr>
      <w:rPr>
        <w:rFonts w:hint="eastAsia"/>
      </w:rPr>
    </w:lvl>
  </w:abstractNum>
  <w:abstractNum w:abstractNumId="19">
    <w:nsid w:val="7DFE505A"/>
    <w:multiLevelType w:val="singleLevel"/>
    <w:tmpl w:val="7DFE505A"/>
    <w:lvl w:ilvl="0" w:tentative="0">
      <w:start w:val="6"/>
      <w:numFmt w:val="chineseCounting"/>
      <w:suff w:val="nothing"/>
      <w:lvlText w:val="%1、"/>
      <w:lvlJc w:val="left"/>
      <w:rPr>
        <w:rFonts w:hint="eastAsia"/>
      </w:rPr>
    </w:lvl>
  </w:abstractNum>
  <w:num w:numId="1">
    <w:abstractNumId w:val="17"/>
  </w:num>
  <w:num w:numId="2">
    <w:abstractNumId w:val="14"/>
  </w:num>
  <w:num w:numId="3">
    <w:abstractNumId w:val="10"/>
  </w:num>
  <w:num w:numId="4">
    <w:abstractNumId w:val="11"/>
  </w:num>
  <w:num w:numId="5">
    <w:abstractNumId w:val="15"/>
  </w:num>
  <w:num w:numId="6">
    <w:abstractNumId w:val="8"/>
  </w:num>
  <w:num w:numId="7">
    <w:abstractNumId w:val="9"/>
  </w:num>
  <w:num w:numId="8">
    <w:abstractNumId w:val="18"/>
  </w:num>
  <w:num w:numId="9">
    <w:abstractNumId w:val="12"/>
  </w:num>
  <w:num w:numId="10">
    <w:abstractNumId w:val="13"/>
  </w:num>
  <w:num w:numId="11">
    <w:abstractNumId w:val="1"/>
  </w:num>
  <w:num w:numId="12">
    <w:abstractNumId w:val="19"/>
  </w:num>
  <w:num w:numId="13">
    <w:abstractNumId w:val="3"/>
  </w:num>
  <w:num w:numId="14">
    <w:abstractNumId w:val="5"/>
  </w:num>
  <w:num w:numId="15">
    <w:abstractNumId w:val="16"/>
  </w:num>
  <w:num w:numId="16">
    <w:abstractNumId w:val="6"/>
  </w:num>
  <w:num w:numId="17">
    <w:abstractNumId w:val="4"/>
  </w:num>
  <w:num w:numId="18">
    <w:abstractNumId w:val="2"/>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5"/>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6"/>
    <w:rsid w:val="004E6C0E"/>
    <w:rsid w:val="00530016"/>
    <w:rsid w:val="005F4C05"/>
    <w:rsid w:val="00973716"/>
    <w:rsid w:val="009843EF"/>
    <w:rsid w:val="00A55466"/>
    <w:rsid w:val="00DA4520"/>
    <w:rsid w:val="1808698D"/>
    <w:rsid w:val="1FEDA442"/>
    <w:rsid w:val="34EEB595"/>
    <w:rsid w:val="37B70FB8"/>
    <w:rsid w:val="69F14AB6"/>
    <w:rsid w:val="6FEF08BD"/>
    <w:rsid w:val="72FF0D99"/>
    <w:rsid w:val="75B71D08"/>
    <w:rsid w:val="77FE005C"/>
    <w:rsid w:val="7DFFF33F"/>
    <w:rsid w:val="7F74A475"/>
    <w:rsid w:val="7FFF8F66"/>
    <w:rsid w:val="9FFD297F"/>
    <w:rsid w:val="ABFF3A6F"/>
    <w:rsid w:val="BBD9DC74"/>
    <w:rsid w:val="D96F9C14"/>
    <w:rsid w:val="DDFFE8C7"/>
    <w:rsid w:val="DFE35962"/>
    <w:rsid w:val="DFFF3A49"/>
    <w:rsid w:val="EBF2BDBE"/>
    <w:rsid w:val="EFBB4607"/>
    <w:rsid w:val="FBBB8C31"/>
    <w:rsid w:val="FF574BA7"/>
    <w:rsid w:val="FF758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semiHidden="0"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4">
    <w:name w:val="heading 1"/>
    <w:basedOn w:val="1"/>
    <w:link w:val="60"/>
    <w:qFormat/>
    <w:uiPriority w:val="0"/>
    <w:pPr>
      <w:keepNext/>
      <w:jc w:val="center"/>
      <w:outlineLvl w:val="0"/>
    </w:pPr>
    <w:rPr>
      <w:rFonts w:ascii="楷体_GB2312" w:eastAsia="楷体_GB2312"/>
      <w:sz w:val="28"/>
      <w:szCs w:val="28"/>
    </w:rPr>
  </w:style>
  <w:style w:type="paragraph" w:styleId="5">
    <w:name w:val="heading 2"/>
    <w:basedOn w:val="1"/>
    <w:link w:val="61"/>
    <w:qFormat/>
    <w:uiPriority w:val="0"/>
    <w:pPr>
      <w:keepNext/>
      <w:keepLines/>
      <w:spacing w:before="260" w:after="260" w:line="416" w:lineRule="auto"/>
      <w:jc w:val="center"/>
      <w:outlineLvl w:val="1"/>
    </w:pPr>
    <w:rPr>
      <w:rFonts w:ascii="Arial" w:hAnsi="Arial" w:eastAsia="幼圆"/>
      <w:b/>
      <w:bCs/>
      <w:sz w:val="44"/>
      <w:szCs w:val="44"/>
    </w:rPr>
  </w:style>
  <w:style w:type="paragraph" w:styleId="6">
    <w:name w:val="heading 3"/>
    <w:basedOn w:val="1"/>
    <w:link w:val="62"/>
    <w:qFormat/>
    <w:uiPriority w:val="0"/>
    <w:pPr>
      <w:keepNext/>
      <w:keepLines/>
      <w:spacing w:before="260" w:after="260" w:line="416" w:lineRule="auto"/>
      <w:outlineLvl w:val="2"/>
    </w:pPr>
    <w:rPr>
      <w:b/>
      <w:bCs/>
      <w:sz w:val="32"/>
      <w:szCs w:val="32"/>
    </w:rPr>
  </w:style>
  <w:style w:type="paragraph" w:styleId="7">
    <w:name w:val="heading 4"/>
    <w:basedOn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link w:val="65"/>
    <w:qFormat/>
    <w:uiPriority w:val="0"/>
    <w:pPr>
      <w:keepNext/>
      <w:autoSpaceDE w:val="0"/>
      <w:autoSpaceDN w:val="0"/>
      <w:outlineLvl w:val="4"/>
    </w:pPr>
    <w:rPr>
      <w:rFonts w:ascii="宋体"/>
      <w:color w:val="000000"/>
      <w:kern w:val="0"/>
      <w:sz w:val="28"/>
      <w:szCs w:val="28"/>
    </w:rPr>
  </w:style>
  <w:style w:type="paragraph" w:styleId="9">
    <w:name w:val="heading 6"/>
    <w:basedOn w:val="1"/>
    <w:link w:val="66"/>
    <w:qFormat/>
    <w:uiPriority w:val="0"/>
    <w:pPr>
      <w:keepNext/>
      <w:keepLines/>
      <w:numPr>
        <w:ilvl w:val="5"/>
        <w:numId w:val="1"/>
      </w:numPr>
      <w:spacing w:before="240" w:after="64" w:line="320" w:lineRule="auto"/>
      <w:outlineLvl w:val="5"/>
    </w:pPr>
    <w:rPr>
      <w:rFonts w:ascii="Arial" w:hAnsi="Arial" w:eastAsia="黑体"/>
      <w:b/>
      <w:bCs/>
      <w:szCs w:val="24"/>
    </w:rPr>
  </w:style>
  <w:style w:type="paragraph" w:styleId="10">
    <w:name w:val="heading 7"/>
    <w:basedOn w:val="1"/>
    <w:link w:val="67"/>
    <w:qFormat/>
    <w:uiPriority w:val="0"/>
    <w:pPr>
      <w:keepNext/>
      <w:keepLines/>
      <w:numPr>
        <w:ilvl w:val="6"/>
        <w:numId w:val="1"/>
      </w:numPr>
      <w:spacing w:before="240" w:after="64" w:line="320" w:lineRule="auto"/>
      <w:outlineLvl w:val="6"/>
    </w:pPr>
    <w:rPr>
      <w:b/>
      <w:bCs/>
      <w:szCs w:val="24"/>
    </w:rPr>
  </w:style>
  <w:style w:type="paragraph" w:styleId="11">
    <w:name w:val="heading 8"/>
    <w:basedOn w:val="1"/>
    <w:link w:val="68"/>
    <w:qFormat/>
    <w:uiPriority w:val="0"/>
    <w:pPr>
      <w:keepNext/>
      <w:keepLines/>
      <w:numPr>
        <w:ilvl w:val="7"/>
        <w:numId w:val="1"/>
      </w:numPr>
      <w:spacing w:before="240" w:after="64" w:line="320" w:lineRule="auto"/>
      <w:outlineLvl w:val="7"/>
    </w:pPr>
    <w:rPr>
      <w:rFonts w:ascii="Arial" w:hAnsi="Arial" w:eastAsia="黑体"/>
      <w:szCs w:val="24"/>
    </w:rPr>
  </w:style>
  <w:style w:type="paragraph" w:styleId="12">
    <w:name w:val="heading 9"/>
    <w:basedOn w:val="1"/>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macro"/>
    <w:link w:val="5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qFormat/>
    <w:uiPriority w:val="0"/>
    <w:pPr>
      <w:ind w:left="1260"/>
      <w:jc w:val="left"/>
    </w:pPr>
  </w:style>
  <w:style w:type="paragraph" w:styleId="15">
    <w:name w:val="Normal Indent"/>
    <w:basedOn w:val="1"/>
    <w:link w:val="64"/>
    <w:qFormat/>
    <w:uiPriority w:val="0"/>
    <w:pPr>
      <w:spacing w:line="240" w:lineRule="auto"/>
      <w:ind w:firstLine="420"/>
    </w:pPr>
    <w:rPr>
      <w:rFonts w:ascii="Calibri" w:hAnsi="Calibri"/>
      <w:kern w:val="0"/>
      <w:sz w:val="20"/>
      <w:szCs w:val="24"/>
    </w:rPr>
  </w:style>
  <w:style w:type="paragraph" w:styleId="16">
    <w:name w:val="caption"/>
    <w:basedOn w:val="1"/>
    <w:qFormat/>
    <w:uiPriority w:val="0"/>
    <w:pPr>
      <w:spacing w:before="152" w:after="160"/>
    </w:pPr>
    <w:rPr>
      <w:rFonts w:ascii="Arial" w:hAnsi="Arial" w:eastAsia="黑体"/>
      <w:sz w:val="20"/>
      <w:szCs w:val="20"/>
    </w:rPr>
  </w:style>
  <w:style w:type="paragraph" w:styleId="17">
    <w:name w:val="Document Map"/>
    <w:basedOn w:val="1"/>
    <w:link w:val="112"/>
    <w:qFormat/>
    <w:uiPriority w:val="0"/>
    <w:pPr>
      <w:shd w:val="clear" w:color="auto" w:fill="000080"/>
      <w:spacing w:line="240" w:lineRule="auto"/>
    </w:pPr>
    <w:rPr>
      <w:kern w:val="0"/>
      <w:sz w:val="28"/>
      <w:szCs w:val="20"/>
      <w:shd w:val="clear" w:color="auto" w:fill="000080"/>
    </w:rPr>
  </w:style>
  <w:style w:type="paragraph" w:styleId="18">
    <w:name w:val="annotation text"/>
    <w:basedOn w:val="1"/>
    <w:link w:val="71"/>
    <w:qFormat/>
    <w:uiPriority w:val="0"/>
    <w:pPr>
      <w:jc w:val="left"/>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link w:val="72"/>
    <w:qFormat/>
    <w:uiPriority w:val="0"/>
    <w:rPr>
      <w:rFonts w:ascii="楷体_GB2312" w:hAnsi="Arial" w:eastAsia="楷体_GB2312"/>
      <w:sz w:val="28"/>
      <w:szCs w:val="28"/>
    </w:rPr>
  </w:style>
  <w:style w:type="paragraph" w:styleId="21">
    <w:name w:val="Body Text Indent"/>
    <w:basedOn w:val="1"/>
    <w:link w:val="111"/>
    <w:qFormat/>
    <w:uiPriority w:val="0"/>
    <w:pPr>
      <w:spacing w:after="120" w:line="240" w:lineRule="auto"/>
      <w:ind w:left="420" w:leftChars="200"/>
    </w:pPr>
    <w:rPr>
      <w:rFonts w:ascii="Calibri" w:hAnsi="Calibri"/>
      <w:kern w:val="0"/>
      <w:sz w:val="20"/>
      <w:szCs w:val="24"/>
    </w:rPr>
  </w:style>
  <w:style w:type="paragraph" w:styleId="22">
    <w:name w:val="List 2"/>
    <w:basedOn w:val="1"/>
    <w:qFormat/>
    <w:uiPriority w:val="0"/>
    <w:pPr>
      <w:ind w:left="100" w:leftChars="200" w:hanging="200" w:hangingChars="200"/>
    </w:pPr>
  </w:style>
  <w:style w:type="paragraph" w:styleId="23">
    <w:name w:val="toc 5"/>
    <w:basedOn w:val="1"/>
    <w:qFormat/>
    <w:uiPriority w:val="0"/>
    <w:pPr>
      <w:ind w:left="840"/>
      <w:jc w:val="left"/>
    </w:pPr>
  </w:style>
  <w:style w:type="paragraph" w:styleId="24">
    <w:name w:val="toc 3"/>
    <w:basedOn w:val="1"/>
    <w:qFormat/>
    <w:uiPriority w:val="0"/>
    <w:pPr>
      <w:ind w:left="420"/>
      <w:jc w:val="left"/>
    </w:pPr>
    <w:rPr>
      <w:i/>
      <w:iCs/>
      <w:szCs w:val="24"/>
    </w:rPr>
  </w:style>
  <w:style w:type="paragraph" w:styleId="25">
    <w:name w:val="Plain Text"/>
    <w:basedOn w:val="1"/>
    <w:link w:val="75"/>
    <w:qFormat/>
    <w:uiPriority w:val="0"/>
    <w:pPr>
      <w:spacing w:line="240" w:lineRule="auto"/>
    </w:pPr>
    <w:rPr>
      <w:rFonts w:ascii="宋体" w:hAnsi="Courier New"/>
      <w:kern w:val="0"/>
      <w:sz w:val="20"/>
      <w:szCs w:val="20"/>
    </w:rPr>
  </w:style>
  <w:style w:type="paragraph" w:styleId="26">
    <w:name w:val="toc 8"/>
    <w:basedOn w:val="1"/>
    <w:qFormat/>
    <w:uiPriority w:val="0"/>
    <w:pPr>
      <w:ind w:left="1470"/>
      <w:jc w:val="left"/>
    </w:pPr>
  </w:style>
  <w:style w:type="paragraph" w:styleId="27">
    <w:name w:val="Date"/>
    <w:basedOn w:val="1"/>
    <w:link w:val="127"/>
    <w:qFormat/>
    <w:uiPriority w:val="0"/>
    <w:pPr>
      <w:spacing w:line="240" w:lineRule="auto"/>
    </w:pPr>
    <w:rPr>
      <w:kern w:val="0"/>
      <w:sz w:val="20"/>
      <w:szCs w:val="24"/>
    </w:rPr>
  </w:style>
  <w:style w:type="paragraph" w:styleId="28">
    <w:name w:val="Body Text Indent 2"/>
    <w:basedOn w:val="1"/>
    <w:link w:val="77"/>
    <w:qFormat/>
    <w:uiPriority w:val="0"/>
    <w:pPr>
      <w:autoSpaceDE w:val="0"/>
      <w:autoSpaceDN w:val="0"/>
      <w:spacing w:line="480" w:lineRule="atLeast"/>
      <w:ind w:firstLine="567"/>
    </w:pPr>
    <w:rPr>
      <w:rFonts w:ascii="仿宋_GB2312" w:eastAsia="仿宋_GB2312"/>
      <w:kern w:val="0"/>
      <w:sz w:val="28"/>
      <w:szCs w:val="20"/>
    </w:rPr>
  </w:style>
  <w:style w:type="paragraph" w:styleId="29">
    <w:name w:val="Balloon Text"/>
    <w:basedOn w:val="1"/>
    <w:link w:val="78"/>
    <w:qFormat/>
    <w:uiPriority w:val="0"/>
    <w:rPr>
      <w:sz w:val="18"/>
      <w:szCs w:val="18"/>
    </w:rPr>
  </w:style>
  <w:style w:type="paragraph" w:styleId="30">
    <w:name w:val="footer"/>
    <w:basedOn w:val="1"/>
    <w:link w:val="79"/>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qFormat/>
    <w:uiPriority w:val="0"/>
    <w:pPr>
      <w:tabs>
        <w:tab w:val="right" w:leader="dot" w:pos="8720"/>
      </w:tabs>
      <w:spacing w:before="120" w:after="120" w:line="400" w:lineRule="exact"/>
      <w:jc w:val="left"/>
    </w:pPr>
    <w:rPr>
      <w:rFonts w:ascii="宋体" w:hAnsi="宋体"/>
      <w:caps/>
      <w:szCs w:val="24"/>
    </w:rPr>
  </w:style>
  <w:style w:type="paragraph" w:styleId="33">
    <w:name w:val="toc 4"/>
    <w:basedOn w:val="1"/>
    <w:qFormat/>
    <w:uiPriority w:val="0"/>
    <w:pPr>
      <w:ind w:left="630"/>
      <w:jc w:val="left"/>
    </w:pPr>
  </w:style>
  <w:style w:type="paragraph" w:styleId="34">
    <w:name w:val="index heading"/>
    <w:basedOn w:val="1"/>
    <w:qFormat/>
    <w:uiPriority w:val="0"/>
    <w:pPr>
      <w:spacing w:line="240" w:lineRule="auto"/>
    </w:pPr>
    <w:rPr>
      <w:sz w:val="21"/>
      <w:szCs w:val="24"/>
    </w:rPr>
  </w:style>
  <w:style w:type="paragraph" w:styleId="35">
    <w:name w:val="Subtitle"/>
    <w:basedOn w:val="1"/>
    <w:link w:val="81"/>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style>
  <w:style w:type="paragraph" w:styleId="37">
    <w:name w:val="footnote text"/>
    <w:basedOn w:val="1"/>
    <w:link w:val="82"/>
    <w:qFormat/>
    <w:uiPriority w:val="0"/>
    <w:pPr>
      <w:snapToGrid w:val="0"/>
      <w:spacing w:line="240" w:lineRule="auto"/>
      <w:jc w:val="left"/>
    </w:pPr>
    <w:rPr>
      <w:kern w:val="0"/>
      <w:sz w:val="18"/>
      <w:szCs w:val="18"/>
    </w:rPr>
  </w:style>
  <w:style w:type="paragraph" w:styleId="38">
    <w:name w:val="toc 6"/>
    <w:basedOn w:val="1"/>
    <w:qFormat/>
    <w:uiPriority w:val="0"/>
    <w:pPr>
      <w:ind w:left="1050"/>
      <w:jc w:val="left"/>
    </w:pPr>
  </w:style>
  <w:style w:type="paragraph" w:styleId="39">
    <w:name w:val="Body Text Indent 3"/>
    <w:basedOn w:val="1"/>
    <w:link w:val="116"/>
    <w:qFormat/>
    <w:uiPriority w:val="0"/>
    <w:pPr>
      <w:spacing w:line="240" w:lineRule="auto"/>
      <w:ind w:firstLine="524"/>
    </w:pPr>
    <w:rPr>
      <w:rFonts w:ascii="宋体"/>
      <w:color w:val="FF00FF"/>
      <w:kern w:val="0"/>
      <w:sz w:val="28"/>
      <w:szCs w:val="24"/>
    </w:rPr>
  </w:style>
  <w:style w:type="paragraph" w:styleId="40">
    <w:name w:val="table of figures"/>
    <w:basedOn w:val="1"/>
    <w:semiHidden/>
    <w:qFormat/>
    <w:uiPriority w:val="0"/>
    <w:pPr>
      <w:ind w:left="840" w:hanging="420"/>
    </w:pPr>
  </w:style>
  <w:style w:type="paragraph" w:styleId="41">
    <w:name w:val="toc 2"/>
    <w:basedOn w:val="1"/>
    <w:qFormat/>
    <w:uiPriority w:val="0"/>
    <w:pPr>
      <w:ind w:left="210"/>
      <w:jc w:val="left"/>
    </w:pPr>
    <w:rPr>
      <w:szCs w:val="24"/>
    </w:rPr>
  </w:style>
  <w:style w:type="paragraph" w:styleId="42">
    <w:name w:val="toc 9"/>
    <w:basedOn w:val="1"/>
    <w:qFormat/>
    <w:uiPriority w:val="0"/>
    <w:pPr>
      <w:ind w:left="1680"/>
      <w:jc w:val="left"/>
    </w:pPr>
  </w:style>
  <w:style w:type="paragraph" w:styleId="43">
    <w:name w:val="Body Text 2"/>
    <w:basedOn w:val="1"/>
    <w:qFormat/>
    <w:uiPriority w:val="0"/>
    <w:pPr>
      <w:widowControl/>
      <w:jc w:val="center"/>
    </w:pPr>
    <w:rPr>
      <w:rFonts w:ascii="楷体_GB2312" w:eastAsia="楷体_GB2312"/>
      <w:sz w:val="28"/>
      <w:szCs w:val="28"/>
    </w:rPr>
  </w:style>
  <w:style w:type="paragraph" w:styleId="44">
    <w:name w:val="Normal (Web)"/>
    <w:basedOn w:val="1"/>
    <w:qFormat/>
    <w:uiPriority w:val="0"/>
    <w:pPr>
      <w:widowControl/>
      <w:spacing w:before="100" w:beforeAutospacing="1" w:after="100" w:afterAutospacing="1" w:line="240" w:lineRule="auto"/>
      <w:jc w:val="left"/>
    </w:pPr>
    <w:rPr>
      <w:rFonts w:ascii="宋体" w:hAnsi="宋体"/>
      <w:kern w:val="0"/>
      <w:szCs w:val="24"/>
    </w:rPr>
  </w:style>
  <w:style w:type="paragraph" w:styleId="45">
    <w:name w:val="index 1"/>
    <w:basedOn w:val="1"/>
    <w:qFormat/>
    <w:uiPriority w:val="0"/>
    <w:pPr>
      <w:spacing w:line="240" w:lineRule="auto"/>
      <w:jc w:val="center"/>
    </w:pPr>
    <w:rPr>
      <w:b/>
      <w:color w:val="0000FF"/>
      <w:kern w:val="0"/>
      <w:sz w:val="28"/>
      <w:szCs w:val="20"/>
    </w:rPr>
  </w:style>
  <w:style w:type="paragraph" w:styleId="46">
    <w:name w:val="Title"/>
    <w:basedOn w:val="1"/>
    <w:link w:val="84"/>
    <w:qFormat/>
    <w:uiPriority w:val="0"/>
    <w:pPr>
      <w:spacing w:before="240" w:after="60" w:line="240" w:lineRule="auto"/>
      <w:jc w:val="center"/>
      <w:outlineLvl w:val="0"/>
    </w:pPr>
    <w:rPr>
      <w:rFonts w:ascii="Cambria" w:hAnsi="Cambria"/>
      <w:b/>
      <w:bCs/>
      <w:kern w:val="0"/>
      <w:sz w:val="32"/>
      <w:szCs w:val="32"/>
    </w:rPr>
  </w:style>
  <w:style w:type="paragraph" w:styleId="47">
    <w:name w:val="annotation subject"/>
    <w:basedOn w:val="18"/>
    <w:link w:val="98"/>
    <w:qFormat/>
    <w:uiPriority w:val="0"/>
    <w:pPr>
      <w:spacing w:line="240" w:lineRule="auto"/>
    </w:pPr>
    <w:rPr>
      <w:b/>
      <w:bCs/>
      <w:kern w:val="0"/>
      <w:sz w:val="20"/>
      <w:szCs w:val="24"/>
    </w:rPr>
  </w:style>
  <w:style w:type="paragraph" w:styleId="48">
    <w:name w:val="Body Text First Indent"/>
    <w:basedOn w:val="20"/>
    <w:link w:val="118"/>
    <w:qFormat/>
    <w:uiPriority w:val="0"/>
    <w:pPr>
      <w:spacing w:after="120" w:line="240" w:lineRule="auto"/>
      <w:ind w:firstLine="420" w:firstLineChars="100"/>
    </w:pPr>
    <w:rPr>
      <w:rFonts w:ascii="Calibri" w:hAnsi="Calibri" w:eastAsia="宋体"/>
      <w:kern w:val="0"/>
      <w:sz w:val="20"/>
      <w:szCs w:val="24"/>
    </w:rPr>
  </w:style>
  <w:style w:type="paragraph" w:styleId="49">
    <w:name w:val="Body Text First Indent 2"/>
    <w:basedOn w:val="21"/>
    <w:qFormat/>
    <w:uiPriority w:val="0"/>
    <w:pPr>
      <w:spacing w:line="360" w:lineRule="auto"/>
      <w:ind w:firstLine="420" w:firstLineChars="200"/>
    </w:pPr>
    <w:rPr>
      <w:rFonts w:ascii="宋体" w:hAnsi="宋体"/>
      <w:sz w:val="21"/>
      <w:szCs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Emphasis"/>
    <w:basedOn w:val="52"/>
    <w:qFormat/>
    <w:uiPriority w:val="0"/>
    <w:rPr>
      <w:i/>
      <w:iCs/>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customStyle="1" w:styleId="59">
    <w:name w:val="宏文本 字符"/>
    <w:link w:val="3"/>
    <w:qFormat/>
    <w:uiPriority w:val="0"/>
    <w:rPr>
      <w:rFonts w:ascii="Courier New" w:hAnsi="Courier New"/>
      <w:kern w:val="2"/>
      <w:sz w:val="24"/>
      <w:szCs w:val="24"/>
      <w:lang w:val="en-US" w:eastAsia="zh-CN" w:bidi="ar-SA"/>
    </w:rPr>
  </w:style>
  <w:style w:type="character" w:customStyle="1" w:styleId="60">
    <w:name w:val="标题 1 字符"/>
    <w:link w:val="4"/>
    <w:qFormat/>
    <w:uiPriority w:val="0"/>
    <w:rPr>
      <w:rFonts w:ascii="楷体_GB2312" w:eastAsia="楷体_GB2312"/>
      <w:kern w:val="2"/>
      <w:sz w:val="28"/>
      <w:szCs w:val="28"/>
    </w:rPr>
  </w:style>
  <w:style w:type="character" w:customStyle="1" w:styleId="61">
    <w:name w:val="标题 2 字符1"/>
    <w:link w:val="5"/>
    <w:qFormat/>
    <w:uiPriority w:val="0"/>
    <w:rPr>
      <w:rFonts w:ascii="Arial" w:hAnsi="Arial" w:eastAsia="幼圆"/>
      <w:b/>
      <w:bCs/>
      <w:kern w:val="2"/>
      <w:sz w:val="44"/>
      <w:szCs w:val="44"/>
    </w:rPr>
  </w:style>
  <w:style w:type="character" w:customStyle="1" w:styleId="62">
    <w:name w:val="标题 3 字符"/>
    <w:link w:val="6"/>
    <w:qFormat/>
    <w:uiPriority w:val="0"/>
    <w:rPr>
      <w:b/>
      <w:bCs/>
      <w:kern w:val="2"/>
      <w:sz w:val="32"/>
      <w:szCs w:val="32"/>
    </w:rPr>
  </w:style>
  <w:style w:type="character" w:customStyle="1" w:styleId="63">
    <w:name w:val="标题 4 字符"/>
    <w:link w:val="7"/>
    <w:qFormat/>
    <w:uiPriority w:val="0"/>
    <w:rPr>
      <w:rFonts w:ascii="Arial" w:hAnsi="Arial" w:eastAsia="黑体"/>
      <w:b/>
      <w:bCs/>
      <w:kern w:val="2"/>
      <w:sz w:val="28"/>
      <w:szCs w:val="28"/>
    </w:rPr>
  </w:style>
  <w:style w:type="character" w:customStyle="1" w:styleId="64">
    <w:name w:val="正文缩进 字符1"/>
    <w:link w:val="15"/>
    <w:qFormat/>
    <w:uiPriority w:val="0"/>
    <w:rPr>
      <w:rFonts w:eastAsia="宋体"/>
      <w:kern w:val="2"/>
      <w:sz w:val="21"/>
      <w:szCs w:val="21"/>
      <w:lang w:val="en-US" w:eastAsia="zh-CN" w:bidi="ar-SA"/>
    </w:rPr>
  </w:style>
  <w:style w:type="character" w:customStyle="1" w:styleId="65">
    <w:name w:val="标题 5 字符"/>
    <w:link w:val="8"/>
    <w:qFormat/>
    <w:uiPriority w:val="0"/>
    <w:rPr>
      <w:rFonts w:ascii="宋体"/>
      <w:color w:val="000000"/>
      <w:sz w:val="28"/>
      <w:szCs w:val="28"/>
    </w:rPr>
  </w:style>
  <w:style w:type="character" w:customStyle="1" w:styleId="66">
    <w:name w:val="标题 6 字符"/>
    <w:link w:val="9"/>
    <w:qFormat/>
    <w:uiPriority w:val="0"/>
    <w:rPr>
      <w:rFonts w:ascii="Arial" w:hAnsi="Arial" w:eastAsia="黑体"/>
      <w:b/>
      <w:bCs/>
      <w:kern w:val="2"/>
      <w:sz w:val="24"/>
      <w:szCs w:val="24"/>
    </w:rPr>
  </w:style>
  <w:style w:type="character" w:customStyle="1" w:styleId="67">
    <w:name w:val="标题 7 字符"/>
    <w:link w:val="10"/>
    <w:qFormat/>
    <w:uiPriority w:val="0"/>
    <w:rPr>
      <w:b/>
      <w:bCs/>
      <w:kern w:val="2"/>
      <w:sz w:val="24"/>
      <w:szCs w:val="24"/>
    </w:rPr>
  </w:style>
  <w:style w:type="character" w:customStyle="1" w:styleId="68">
    <w:name w:val="标题 8 字符"/>
    <w:link w:val="11"/>
    <w:qFormat/>
    <w:uiPriority w:val="0"/>
    <w:rPr>
      <w:rFonts w:ascii="Arial" w:hAnsi="Arial" w:eastAsia="黑体"/>
      <w:kern w:val="2"/>
      <w:sz w:val="24"/>
      <w:szCs w:val="24"/>
    </w:rPr>
  </w:style>
  <w:style w:type="character" w:customStyle="1" w:styleId="69">
    <w:name w:val="标题 9 字符"/>
    <w:link w:val="12"/>
    <w:qFormat/>
    <w:uiPriority w:val="0"/>
    <w:rPr>
      <w:rFonts w:ascii="Arial" w:hAnsi="Arial" w:eastAsia="黑体"/>
      <w:kern w:val="2"/>
      <w:sz w:val="24"/>
      <w:szCs w:val="21"/>
    </w:rPr>
  </w:style>
  <w:style w:type="character" w:customStyle="1" w:styleId="70">
    <w:name w:val="文档结构图 Char1"/>
    <w:qFormat/>
    <w:uiPriority w:val="0"/>
    <w:rPr>
      <w:kern w:val="2"/>
      <w:sz w:val="24"/>
      <w:szCs w:val="21"/>
      <w:shd w:val="clear" w:color="auto" w:fill="000080"/>
    </w:rPr>
  </w:style>
  <w:style w:type="character" w:customStyle="1" w:styleId="71">
    <w:name w:val="批注文字 字符"/>
    <w:link w:val="18"/>
    <w:qFormat/>
    <w:uiPriority w:val="0"/>
    <w:rPr>
      <w:kern w:val="2"/>
      <w:sz w:val="24"/>
      <w:szCs w:val="21"/>
    </w:rPr>
  </w:style>
  <w:style w:type="character" w:customStyle="1" w:styleId="72">
    <w:name w:val="正文文本 字符"/>
    <w:link w:val="20"/>
    <w:qFormat/>
    <w:uiPriority w:val="0"/>
    <w:rPr>
      <w:rFonts w:ascii="楷体_GB2312" w:hAnsi="Arial" w:eastAsia="楷体_GB2312"/>
      <w:kern w:val="2"/>
      <w:sz w:val="28"/>
      <w:szCs w:val="28"/>
    </w:rPr>
  </w:style>
  <w:style w:type="character" w:customStyle="1" w:styleId="73">
    <w:name w:val="正文首行缩进 Char1"/>
    <w:qFormat/>
    <w:uiPriority w:val="0"/>
    <w:rPr>
      <w:rFonts w:ascii="仿宋_GB2312" w:eastAsia="仿宋_GB2312"/>
      <w:kern w:val="2"/>
      <w:sz w:val="30"/>
      <w:szCs w:val="30"/>
    </w:rPr>
  </w:style>
  <w:style w:type="character" w:customStyle="1" w:styleId="74">
    <w:name w:val="正文文本缩进 Char1"/>
    <w:qFormat/>
    <w:uiPriority w:val="0"/>
    <w:rPr>
      <w:rFonts w:ascii="楷体_GB2312" w:eastAsia="楷体_GB2312"/>
      <w:kern w:val="2"/>
      <w:sz w:val="32"/>
      <w:szCs w:val="32"/>
    </w:rPr>
  </w:style>
  <w:style w:type="character" w:customStyle="1" w:styleId="75">
    <w:name w:val="纯文本 字符"/>
    <w:link w:val="25"/>
    <w:qFormat/>
    <w:uiPriority w:val="0"/>
    <w:rPr>
      <w:rFonts w:ascii="宋体" w:hAnsi="Courier New"/>
      <w:kern w:val="2"/>
      <w:sz w:val="24"/>
      <w:szCs w:val="21"/>
    </w:rPr>
  </w:style>
  <w:style w:type="character" w:customStyle="1" w:styleId="76">
    <w:name w:val="日期 Char1"/>
    <w:qFormat/>
    <w:uiPriority w:val="0"/>
    <w:rPr>
      <w:kern w:val="2"/>
      <w:sz w:val="24"/>
      <w:szCs w:val="24"/>
    </w:rPr>
  </w:style>
  <w:style w:type="character" w:customStyle="1" w:styleId="77">
    <w:name w:val="正文文本缩进 2 字符"/>
    <w:link w:val="28"/>
    <w:qFormat/>
    <w:uiPriority w:val="0"/>
    <w:rPr>
      <w:rFonts w:ascii="Arial" w:hAnsi="Arial" w:eastAsia="仿宋_GB2312"/>
      <w:kern w:val="2"/>
      <w:sz w:val="32"/>
      <w:szCs w:val="32"/>
    </w:rPr>
  </w:style>
  <w:style w:type="character" w:customStyle="1" w:styleId="78">
    <w:name w:val="批注框文本 字符"/>
    <w:link w:val="29"/>
    <w:qFormat/>
    <w:uiPriority w:val="0"/>
    <w:rPr>
      <w:kern w:val="2"/>
      <w:sz w:val="18"/>
      <w:szCs w:val="18"/>
    </w:rPr>
  </w:style>
  <w:style w:type="character" w:customStyle="1" w:styleId="79">
    <w:name w:val="页脚 字符"/>
    <w:link w:val="30"/>
    <w:qFormat/>
    <w:uiPriority w:val="0"/>
    <w:rPr>
      <w:kern w:val="2"/>
      <w:sz w:val="18"/>
      <w:szCs w:val="18"/>
    </w:rPr>
  </w:style>
  <w:style w:type="character" w:customStyle="1" w:styleId="80">
    <w:name w:val="页眉 字符"/>
    <w:link w:val="31"/>
    <w:qFormat/>
    <w:uiPriority w:val="0"/>
    <w:rPr>
      <w:kern w:val="2"/>
      <w:sz w:val="18"/>
      <w:szCs w:val="18"/>
    </w:rPr>
  </w:style>
  <w:style w:type="character" w:customStyle="1" w:styleId="81">
    <w:name w:val="副标题 字符"/>
    <w:link w:val="35"/>
    <w:qFormat/>
    <w:uiPriority w:val="0"/>
    <w:rPr>
      <w:rFonts w:ascii="Cambria" w:hAnsi="Cambria"/>
      <w:b/>
      <w:bCs/>
      <w:kern w:val="28"/>
      <w:sz w:val="32"/>
      <w:szCs w:val="32"/>
    </w:rPr>
  </w:style>
  <w:style w:type="character" w:customStyle="1" w:styleId="82">
    <w:name w:val="脚注文本 字符"/>
    <w:link w:val="37"/>
    <w:qFormat/>
    <w:uiPriority w:val="0"/>
    <w:rPr>
      <w:sz w:val="18"/>
      <w:szCs w:val="18"/>
    </w:rPr>
  </w:style>
  <w:style w:type="character" w:customStyle="1" w:styleId="83">
    <w:name w:val="正文文本缩进 3 Char1"/>
    <w:qFormat/>
    <w:uiPriority w:val="0"/>
    <w:rPr>
      <w:rFonts w:ascii="Arial" w:hAnsi="Arial" w:eastAsia="仿宋_GB2312"/>
      <w:color w:val="FFFF00"/>
      <w:kern w:val="2"/>
      <w:sz w:val="32"/>
      <w:szCs w:val="32"/>
    </w:rPr>
  </w:style>
  <w:style w:type="character" w:customStyle="1" w:styleId="84">
    <w:name w:val="标题 字符"/>
    <w:link w:val="46"/>
    <w:qFormat/>
    <w:uiPriority w:val="0"/>
    <w:rPr>
      <w:rFonts w:ascii="Cambria" w:hAnsi="Cambria"/>
      <w:b/>
      <w:bCs/>
      <w:sz w:val="32"/>
      <w:szCs w:val="32"/>
    </w:rPr>
  </w:style>
  <w:style w:type="character" w:customStyle="1" w:styleId="85">
    <w:name w:val="批注主题 Char1"/>
    <w:qFormat/>
    <w:uiPriority w:val="0"/>
    <w:rPr>
      <w:b/>
      <w:bCs/>
      <w:kern w:val="2"/>
      <w:sz w:val="24"/>
      <w:szCs w:val="21"/>
    </w:rPr>
  </w:style>
  <w:style w:type="table" w:customStyle="1" w:styleId="86">
    <w:name w:val="彩色列表 - 强调文字颜色 11"/>
    <w:qFormat/>
    <w:uiPriority w:val="0"/>
    <w:pPr>
      <w:ind w:left="720"/>
      <w:contextualSpacing/>
    </w:pPr>
    <w:rPr>
      <w:rFonts w:ascii="Calibri" w:hAnsi="Calibri"/>
      <w:szCs w:val="24"/>
      <w:lang w:eastAsia="en-US" w:bidi="en-US"/>
    </w:rPr>
    <w:tblPr>
      <w:tblCellMar>
        <w:top w:w="0" w:type="dxa"/>
        <w:left w:w="0" w:type="dxa"/>
        <w:bottom w:w="0" w:type="dxa"/>
        <w:right w:w="0" w:type="dxa"/>
      </w:tblCellMar>
    </w:tblPr>
  </w:style>
  <w:style w:type="character" w:customStyle="1" w:styleId="87">
    <w:name w:val="已访问的超链接1"/>
    <w:qFormat/>
    <w:uiPriority w:val="0"/>
    <w:rPr>
      <w:color w:val="800080"/>
      <w:u w:val="single"/>
    </w:rPr>
  </w:style>
  <w:style w:type="paragraph" w:customStyle="1" w:styleId="88">
    <w:name w:val="样式2"/>
    <w:basedOn w:val="1"/>
    <w:link w:val="89"/>
    <w:qFormat/>
    <w:uiPriority w:val="0"/>
    <w:pPr>
      <w:tabs>
        <w:tab w:val="left" w:pos="5604"/>
      </w:tabs>
      <w:snapToGrid w:val="0"/>
      <w:spacing w:before="156" w:after="156"/>
      <w:ind w:firstLine="560" w:firstLineChars="200"/>
    </w:pPr>
    <w:rPr>
      <w:kern w:val="24"/>
      <w:sz w:val="28"/>
      <w:szCs w:val="28"/>
    </w:rPr>
  </w:style>
  <w:style w:type="character" w:customStyle="1" w:styleId="89">
    <w:name w:val="样式2 Char"/>
    <w:link w:val="88"/>
    <w:qFormat/>
    <w:uiPriority w:val="0"/>
    <w:rPr>
      <w:kern w:val="24"/>
      <w:sz w:val="28"/>
      <w:szCs w:val="28"/>
    </w:rPr>
  </w:style>
  <w:style w:type="character" w:customStyle="1" w:styleId="90">
    <w:name w:val="正文 Char"/>
    <w:link w:val="91"/>
    <w:qFormat/>
    <w:uiPriority w:val="0"/>
    <w:rPr>
      <w:rFonts w:hAnsi="Arial"/>
      <w:kern w:val="2"/>
      <w:sz w:val="28"/>
      <w:szCs w:val="28"/>
      <w:lang w:val="en-US" w:eastAsia="zh-CN" w:bidi="ar-SA"/>
    </w:rPr>
  </w:style>
  <w:style w:type="paragraph" w:customStyle="1" w:styleId="91">
    <w:name w:val="正文1"/>
    <w:link w:val="90"/>
    <w:qFormat/>
    <w:uiPriority w:val="0"/>
    <w:pPr>
      <w:widowControl w:val="0"/>
      <w:ind w:firstLine="560" w:firstLineChars="200"/>
      <w:jc w:val="both"/>
    </w:pPr>
    <w:rPr>
      <w:rFonts w:ascii="Times New Roman" w:hAnsi="Arial" w:eastAsia="宋体" w:cs="Times New Roman"/>
      <w:kern w:val="2"/>
      <w:sz w:val="28"/>
      <w:szCs w:val="28"/>
      <w:lang w:val="en-US" w:eastAsia="zh-CN" w:bidi="ar-SA"/>
    </w:rPr>
  </w:style>
  <w:style w:type="character" w:customStyle="1" w:styleId="92">
    <w:name w:val="font31"/>
    <w:basedOn w:val="52"/>
    <w:qFormat/>
    <w:uiPriority w:val="0"/>
    <w:rPr>
      <w:rFonts w:hint="eastAsia" w:ascii="黑体" w:hAnsi="宋体" w:eastAsia="黑体"/>
      <w:color w:val="000000"/>
      <w:sz w:val="44"/>
      <w:szCs w:val="44"/>
      <w:u w:val="none"/>
    </w:rPr>
  </w:style>
  <w:style w:type="character" w:customStyle="1" w:styleId="93">
    <w:name w:val="bookmark-item"/>
    <w:basedOn w:val="52"/>
    <w:qFormat/>
    <w:uiPriority w:val="0"/>
  </w:style>
  <w:style w:type="character" w:customStyle="1" w:styleId="94">
    <w:name w:val="彩色列表 - 着色 1 字符"/>
    <w:qFormat/>
    <w:uiPriority w:val="0"/>
    <w:rPr>
      <w:rFonts w:ascii="Calibri" w:hAnsi="Calibri"/>
      <w:sz w:val="24"/>
      <w:szCs w:val="24"/>
      <w:lang w:eastAsia="en-US" w:bidi="en-US"/>
    </w:rPr>
  </w:style>
  <w:style w:type="character" w:customStyle="1" w:styleId="95">
    <w:name w:val="hei1"/>
    <w:qFormat/>
    <w:uiPriority w:val="0"/>
    <w:rPr>
      <w:color w:val="000000"/>
      <w:sz w:val="18"/>
      <w:szCs w:val="18"/>
      <w:u w:val="none"/>
    </w:rPr>
  </w:style>
  <w:style w:type="character" w:customStyle="1" w:styleId="96">
    <w:name w:val="我的正文 Char"/>
    <w:link w:val="97"/>
    <w:qFormat/>
    <w:uiPriority w:val="0"/>
    <w:rPr>
      <w:rFonts w:eastAsia="仿宋_GB2312"/>
      <w:kern w:val="2"/>
      <w:sz w:val="28"/>
      <w:szCs w:val="28"/>
    </w:rPr>
  </w:style>
  <w:style w:type="paragraph" w:customStyle="1" w:styleId="97">
    <w:name w:val="我的正文"/>
    <w:basedOn w:val="1"/>
    <w:link w:val="96"/>
    <w:qFormat/>
    <w:uiPriority w:val="0"/>
    <w:pPr>
      <w:widowControl/>
      <w:ind w:firstLine="200" w:firstLineChars="200"/>
    </w:pPr>
    <w:rPr>
      <w:rFonts w:eastAsia="仿宋_GB2312"/>
      <w:sz w:val="28"/>
      <w:szCs w:val="28"/>
    </w:rPr>
  </w:style>
  <w:style w:type="character" w:customStyle="1" w:styleId="98">
    <w:name w:val="批注主题 字符"/>
    <w:link w:val="47"/>
    <w:qFormat/>
    <w:uiPriority w:val="0"/>
    <w:rPr>
      <w:b/>
      <w:bCs/>
      <w:szCs w:val="24"/>
    </w:rPr>
  </w:style>
  <w:style w:type="character" w:customStyle="1" w:styleId="99">
    <w:name w:val="研究报告正文 Char"/>
    <w:link w:val="100"/>
    <w:qFormat/>
    <w:uiPriority w:val="0"/>
    <w:rPr>
      <w:sz w:val="28"/>
      <w:szCs w:val="24"/>
    </w:rPr>
  </w:style>
  <w:style w:type="paragraph" w:customStyle="1" w:styleId="100">
    <w:name w:val="研究报告正文"/>
    <w:basedOn w:val="1"/>
    <w:link w:val="99"/>
    <w:qFormat/>
    <w:uiPriority w:val="0"/>
    <w:pPr>
      <w:spacing w:before="62" w:after="62"/>
      <w:ind w:firstLine="200" w:firstLineChars="200"/>
    </w:pPr>
    <w:rPr>
      <w:kern w:val="0"/>
      <w:sz w:val="28"/>
      <w:szCs w:val="24"/>
    </w:rPr>
  </w:style>
  <w:style w:type="character" w:customStyle="1" w:styleId="101">
    <w:name w:val="html_txt1"/>
    <w:qFormat/>
    <w:uiPriority w:val="0"/>
    <w:rPr>
      <w:color w:val="000000"/>
    </w:rPr>
  </w:style>
  <w:style w:type="character" w:customStyle="1" w:styleId="102">
    <w:name w:val="html_tag1"/>
    <w:qFormat/>
    <w:uiPriority w:val="0"/>
    <w:rPr>
      <w:color w:val="0000FF"/>
    </w:rPr>
  </w:style>
  <w:style w:type="character" w:customStyle="1" w:styleId="103">
    <w:name w:val="样式1 Char"/>
    <w:link w:val="104"/>
    <w:qFormat/>
    <w:uiPriority w:val="0"/>
    <w:rPr>
      <w:rFonts w:ascii="宋体" w:hAnsi="宋体"/>
      <w:sz w:val="24"/>
      <w:szCs w:val="21"/>
    </w:rPr>
  </w:style>
  <w:style w:type="paragraph" w:customStyle="1" w:styleId="104">
    <w:name w:val="样式1"/>
    <w:basedOn w:val="1"/>
    <w:link w:val="103"/>
    <w:qFormat/>
    <w:uiPriority w:val="0"/>
    <w:pPr>
      <w:numPr>
        <w:ilvl w:val="0"/>
        <w:numId w:val="2"/>
      </w:numPr>
      <w:tabs>
        <w:tab w:val="clear" w:pos="709"/>
      </w:tabs>
    </w:pPr>
    <w:rPr>
      <w:rFonts w:ascii="宋体" w:hAnsi="宋体"/>
      <w:kern w:val="0"/>
    </w:rPr>
  </w:style>
  <w:style w:type="character" w:customStyle="1" w:styleId="105">
    <w:name w:val="工可正文 Char"/>
    <w:link w:val="106"/>
    <w:qFormat/>
    <w:uiPriority w:val="0"/>
    <w:rPr>
      <w:rFonts w:ascii="宋体" w:hAnsi="Courier New"/>
      <w:sz w:val="28"/>
    </w:rPr>
  </w:style>
  <w:style w:type="paragraph" w:customStyle="1" w:styleId="106">
    <w:name w:val="工可正文"/>
    <w:basedOn w:val="25"/>
    <w:link w:val="105"/>
    <w:qFormat/>
    <w:uiPriority w:val="0"/>
    <w:pPr>
      <w:ind w:firstLine="560" w:firstLineChars="200"/>
    </w:pPr>
    <w:rPr>
      <w:sz w:val="28"/>
    </w:rPr>
  </w:style>
  <w:style w:type="character" w:customStyle="1" w:styleId="107">
    <w:name w:val="小条目 Char"/>
    <w:link w:val="108"/>
    <w:qFormat/>
    <w:uiPriority w:val="0"/>
    <w:rPr>
      <w:rFonts w:ascii="宋体" w:hAnsi="Courier New"/>
      <w:sz w:val="28"/>
      <w:szCs w:val="24"/>
    </w:rPr>
  </w:style>
  <w:style w:type="paragraph" w:customStyle="1" w:styleId="108">
    <w:name w:val="小条目"/>
    <w:basedOn w:val="106"/>
    <w:link w:val="107"/>
    <w:qFormat/>
    <w:uiPriority w:val="0"/>
    <w:pPr>
      <w:numPr>
        <w:ilvl w:val="0"/>
        <w:numId w:val="3"/>
      </w:numPr>
      <w:ind w:firstLine="0" w:firstLineChars="0"/>
    </w:pPr>
    <w:rPr>
      <w:szCs w:val="24"/>
    </w:rPr>
  </w:style>
  <w:style w:type="character" w:customStyle="1" w:styleId="109">
    <w:name w:val="标题 2 字符"/>
    <w:qFormat/>
    <w:uiPriority w:val="0"/>
    <w:rPr>
      <w:rFonts w:ascii="Arial" w:hAnsi="Arial" w:eastAsia="幼圆"/>
      <w:b/>
      <w:bCs/>
      <w:kern w:val="2"/>
      <w:sz w:val="44"/>
      <w:szCs w:val="44"/>
    </w:rPr>
  </w:style>
  <w:style w:type="character" w:customStyle="1" w:styleId="110">
    <w:name w:val="font5 Char"/>
    <w:qFormat/>
    <w:uiPriority w:val="0"/>
    <w:rPr>
      <w:rFonts w:ascii="宋体" w:hAnsi="宋体" w:eastAsia="宋体"/>
      <w:sz w:val="28"/>
      <w:szCs w:val="28"/>
      <w:lang w:val="en-US" w:eastAsia="zh-CN" w:bidi="ar-SA"/>
    </w:rPr>
  </w:style>
  <w:style w:type="character" w:customStyle="1" w:styleId="111">
    <w:name w:val="正文文本缩进 字符"/>
    <w:link w:val="21"/>
    <w:qFormat/>
    <w:uiPriority w:val="0"/>
    <w:rPr>
      <w:rFonts w:ascii="Calibri" w:hAnsi="Calibri"/>
      <w:szCs w:val="24"/>
    </w:rPr>
  </w:style>
  <w:style w:type="character" w:customStyle="1" w:styleId="112">
    <w:name w:val="文档结构图 字符"/>
    <w:link w:val="17"/>
    <w:qFormat/>
    <w:uiPriority w:val="0"/>
    <w:rPr>
      <w:sz w:val="28"/>
      <w:shd w:val="clear" w:color="auto" w:fill="000080"/>
    </w:rPr>
  </w:style>
  <w:style w:type="character" w:customStyle="1" w:styleId="113">
    <w:name w:val="font61"/>
    <w:basedOn w:val="52"/>
    <w:qFormat/>
    <w:uiPriority w:val="0"/>
    <w:rPr>
      <w:rFonts w:hint="eastAsia" w:ascii="宋体" w:hAnsi="宋体" w:eastAsia="宋体"/>
      <w:color w:val="000000"/>
      <w:sz w:val="20"/>
      <w:szCs w:val="20"/>
      <w:u w:val="none"/>
    </w:rPr>
  </w:style>
  <w:style w:type="character" w:customStyle="1" w:styleId="114">
    <w:name w:val="二级小编号 Char"/>
    <w:link w:val="115"/>
    <w:qFormat/>
    <w:uiPriority w:val="0"/>
    <w:rPr>
      <w:sz w:val="28"/>
      <w:szCs w:val="28"/>
    </w:rPr>
  </w:style>
  <w:style w:type="paragraph" w:customStyle="1" w:styleId="115">
    <w:name w:val="二级小编号"/>
    <w:basedOn w:val="21"/>
    <w:link w:val="114"/>
    <w:qFormat/>
    <w:uiPriority w:val="0"/>
    <w:pPr>
      <w:numPr>
        <w:ilvl w:val="0"/>
        <w:numId w:val="4"/>
      </w:numPr>
      <w:tabs>
        <w:tab w:val="left" w:pos="1440"/>
      </w:tabs>
      <w:spacing w:after="0"/>
      <w:ind w:left="1440" w:leftChars="0" w:hanging="1440"/>
    </w:pPr>
    <w:rPr>
      <w:rFonts w:ascii="Times New Roman" w:hAnsi="Times New Roman"/>
      <w:sz w:val="28"/>
      <w:szCs w:val="28"/>
    </w:rPr>
  </w:style>
  <w:style w:type="character" w:customStyle="1" w:styleId="116">
    <w:name w:val="正文文本缩进 3 字符"/>
    <w:link w:val="39"/>
    <w:qFormat/>
    <w:uiPriority w:val="0"/>
    <w:rPr>
      <w:rFonts w:ascii="宋体"/>
      <w:color w:val="FF00FF"/>
      <w:sz w:val="28"/>
      <w:szCs w:val="24"/>
    </w:rPr>
  </w:style>
  <w:style w:type="character" w:customStyle="1" w:styleId="117">
    <w:name w:val="脚注文本 Char1"/>
    <w:qFormat/>
    <w:uiPriority w:val="0"/>
    <w:rPr>
      <w:kern w:val="2"/>
      <w:sz w:val="18"/>
      <w:szCs w:val="18"/>
    </w:rPr>
  </w:style>
  <w:style w:type="character" w:customStyle="1" w:styleId="118">
    <w:name w:val="正文首行缩进 字符"/>
    <w:link w:val="48"/>
    <w:qFormat/>
    <w:uiPriority w:val="0"/>
    <w:rPr>
      <w:rFonts w:ascii="Calibri" w:hAnsi="Calibri"/>
      <w:szCs w:val="24"/>
    </w:rPr>
  </w:style>
  <w:style w:type="character" w:customStyle="1" w:styleId="119">
    <w:name w:val="我的列表 Char"/>
    <w:link w:val="120"/>
    <w:qFormat/>
    <w:uiPriority w:val="0"/>
    <w:rPr>
      <w:rFonts w:ascii="仿宋_GB2312" w:hAnsi="Arial" w:eastAsia="仿宋_GB2312"/>
      <w:kern w:val="2"/>
      <w:sz w:val="28"/>
      <w:szCs w:val="18"/>
    </w:rPr>
  </w:style>
  <w:style w:type="paragraph" w:customStyle="1" w:styleId="120">
    <w:name w:val="我的列表"/>
    <w:basedOn w:val="97"/>
    <w:link w:val="119"/>
    <w:qFormat/>
    <w:uiPriority w:val="0"/>
    <w:pPr>
      <w:numPr>
        <w:ilvl w:val="0"/>
        <w:numId w:val="5"/>
      </w:numPr>
      <w:tabs>
        <w:tab w:val="clear" w:pos="900"/>
      </w:tabs>
      <w:spacing w:line="240" w:lineRule="auto"/>
      <w:ind w:firstLine="0" w:firstLineChars="0"/>
    </w:pPr>
    <w:rPr>
      <w:rFonts w:ascii="仿宋_GB2312" w:hAnsi="Arial"/>
      <w:szCs w:val="18"/>
    </w:rPr>
  </w:style>
  <w:style w:type="character" w:customStyle="1" w:styleId="121">
    <w:name w:val="font91"/>
    <w:basedOn w:val="52"/>
    <w:qFormat/>
    <w:uiPriority w:val="0"/>
    <w:rPr>
      <w:rFonts w:hint="eastAsia" w:ascii="宋体" w:hAnsi="宋体" w:eastAsia="宋体"/>
      <w:color w:val="000000"/>
      <w:sz w:val="20"/>
      <w:szCs w:val="20"/>
      <w:u w:val="none"/>
    </w:rPr>
  </w:style>
  <w:style w:type="character" w:customStyle="1" w:styleId="122">
    <w:name w:val="正文缩进 字符"/>
    <w:qFormat/>
    <w:uiPriority w:val="0"/>
    <w:rPr>
      <w:rFonts w:eastAsia="宋体"/>
      <w:kern w:val="2"/>
      <w:sz w:val="21"/>
      <w:szCs w:val="21"/>
      <w:lang w:val="en-US" w:eastAsia="zh-CN" w:bidi="ar-SA"/>
    </w:rPr>
  </w:style>
  <w:style w:type="character" w:customStyle="1" w:styleId="123">
    <w:name w:val="列表段落 字符"/>
    <w:qFormat/>
    <w:uiPriority w:val="0"/>
    <w:rPr>
      <w:rFonts w:ascii="Calibri" w:hAnsi="Calibri"/>
      <w:sz w:val="24"/>
      <w:szCs w:val="24"/>
      <w:lang w:eastAsia="en-US" w:bidi="en-US"/>
    </w:rPr>
  </w:style>
  <w:style w:type="character" w:customStyle="1" w:styleId="124">
    <w:name w:val="font21"/>
    <w:basedOn w:val="52"/>
    <w:qFormat/>
    <w:uiPriority w:val="0"/>
    <w:rPr>
      <w:rFonts w:ascii="Calibri" w:hAnsi="Calibri"/>
      <w:color w:val="000000"/>
      <w:sz w:val="20"/>
      <w:szCs w:val="20"/>
      <w:u w:val="none"/>
    </w:rPr>
  </w:style>
  <w:style w:type="character" w:customStyle="1" w:styleId="125">
    <w:name w:val="apple-style-span"/>
    <w:basedOn w:val="52"/>
    <w:qFormat/>
    <w:uiPriority w:val="0"/>
  </w:style>
  <w:style w:type="character" w:customStyle="1" w:styleId="126">
    <w:name w:val="工可正文 Char Char"/>
    <w:qFormat/>
    <w:uiPriority w:val="0"/>
    <w:rPr>
      <w:rFonts w:ascii="宋体" w:hAnsi="Courier New" w:eastAsia="宋体"/>
      <w:kern w:val="0"/>
      <w:sz w:val="28"/>
      <w:szCs w:val="20"/>
    </w:rPr>
  </w:style>
  <w:style w:type="character" w:customStyle="1" w:styleId="127">
    <w:name w:val="日期 字符"/>
    <w:link w:val="27"/>
    <w:qFormat/>
    <w:uiPriority w:val="0"/>
    <w:rPr>
      <w:szCs w:val="24"/>
    </w:rPr>
  </w:style>
  <w:style w:type="character" w:customStyle="1" w:styleId="128">
    <w:name w:val="二级目录 Char"/>
    <w:link w:val="129"/>
    <w:qFormat/>
    <w:uiPriority w:val="0"/>
    <w:rPr>
      <w:b/>
      <w:kern w:val="2"/>
      <w:sz w:val="30"/>
      <w:szCs w:val="28"/>
      <w:lang w:val="en-US" w:eastAsia="zh-CN" w:bidi="ar-SA"/>
    </w:rPr>
  </w:style>
  <w:style w:type="paragraph" w:customStyle="1" w:styleId="129">
    <w:name w:val="二级目录"/>
    <w:link w:val="128"/>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130">
    <w:name w:val="副标题 Char1"/>
    <w:qFormat/>
    <w:uiPriority w:val="0"/>
    <w:rPr>
      <w:rFonts w:ascii="Cambria" w:hAnsi="Cambria"/>
      <w:b/>
      <w:bCs/>
      <w:kern w:val="28"/>
      <w:sz w:val="32"/>
      <w:szCs w:val="32"/>
    </w:rPr>
  </w:style>
  <w:style w:type="character" w:customStyle="1" w:styleId="131">
    <w:name w:val="无间隔 字符"/>
    <w:link w:val="132"/>
    <w:qFormat/>
    <w:uiPriority w:val="0"/>
    <w:rPr>
      <w:kern w:val="2"/>
      <w:sz w:val="22"/>
      <w:szCs w:val="22"/>
      <w:lang w:val="en-US" w:eastAsia="zh-CN" w:bidi="ar-SA"/>
    </w:rPr>
  </w:style>
  <w:style w:type="paragraph" w:styleId="132">
    <w:name w:val="No Spacing"/>
    <w:link w:val="131"/>
    <w:qFormat/>
    <w:uiPriority w:val="0"/>
    <w:rPr>
      <w:rFonts w:ascii="Times New Roman" w:hAnsi="Times New Roman" w:eastAsia="宋体" w:cs="Times New Roman"/>
      <w:kern w:val="2"/>
      <w:sz w:val="22"/>
      <w:szCs w:val="22"/>
      <w:lang w:val="en-US" w:eastAsia="zh-CN" w:bidi="ar-SA"/>
    </w:rPr>
  </w:style>
  <w:style w:type="character" w:customStyle="1" w:styleId="133">
    <w:name w:val="批注引用1"/>
    <w:qFormat/>
    <w:uiPriority w:val="0"/>
    <w:rPr>
      <w:sz w:val="21"/>
      <w:szCs w:val="21"/>
    </w:rPr>
  </w:style>
  <w:style w:type="character" w:customStyle="1" w:styleId="134">
    <w:name w:val="标题 Char1"/>
    <w:qFormat/>
    <w:uiPriority w:val="0"/>
    <w:rPr>
      <w:rFonts w:ascii="Cambria" w:hAnsi="Cambria"/>
      <w:b/>
      <w:bCs/>
      <w:kern w:val="2"/>
      <w:sz w:val="32"/>
      <w:szCs w:val="32"/>
    </w:rPr>
  </w:style>
  <w:style w:type="character" w:customStyle="1" w:styleId="135">
    <w:name w:val="font51"/>
    <w:basedOn w:val="52"/>
    <w:qFormat/>
    <w:uiPriority w:val="0"/>
    <w:rPr>
      <w:rFonts w:hint="eastAsia" w:ascii="宋体" w:hAnsi="宋体" w:eastAsia="宋体"/>
      <w:color w:val="000000"/>
      <w:sz w:val="24"/>
      <w:szCs w:val="24"/>
      <w:u w:val="none"/>
    </w:rPr>
  </w:style>
  <w:style w:type="character" w:customStyle="1" w:styleId="136">
    <w:name w:val="font41"/>
    <w:basedOn w:val="52"/>
    <w:qFormat/>
    <w:uiPriority w:val="0"/>
    <w:rPr>
      <w:rFonts w:hint="eastAsia" w:ascii="黑体" w:hAnsi="宋体" w:eastAsia="黑体"/>
      <w:color w:val="000000"/>
      <w:sz w:val="40"/>
      <w:szCs w:val="40"/>
      <w:u w:val="none"/>
    </w:rPr>
  </w:style>
  <w:style w:type="character" w:customStyle="1" w:styleId="137">
    <w:name w:val="一级小编号 Char"/>
    <w:link w:val="138"/>
    <w:qFormat/>
    <w:uiPriority w:val="0"/>
    <w:rPr>
      <w:rFonts w:ascii="宋体" w:hAnsi="Courier New"/>
      <w:b/>
      <w:kern w:val="2"/>
      <w:sz w:val="28"/>
      <w:szCs w:val="24"/>
      <w:lang w:val="en-US" w:eastAsia="zh-CN" w:bidi="ar-SA"/>
    </w:rPr>
  </w:style>
  <w:style w:type="paragraph" w:customStyle="1" w:styleId="138">
    <w:name w:val="一级小编号"/>
    <w:link w:val="137"/>
    <w:qFormat/>
    <w:uiPriority w:val="0"/>
    <w:rPr>
      <w:rFonts w:ascii="宋体" w:hAnsi="Courier New" w:eastAsia="宋体" w:cs="Times New Roman"/>
      <w:b/>
      <w:kern w:val="2"/>
      <w:sz w:val="28"/>
      <w:szCs w:val="24"/>
      <w:lang w:val="en-US" w:eastAsia="zh-CN" w:bidi="ar-SA"/>
    </w:rPr>
  </w:style>
  <w:style w:type="character" w:customStyle="1" w:styleId="139">
    <w:name w:val="图注 Char"/>
    <w:link w:val="140"/>
    <w:qFormat/>
    <w:uiPriority w:val="0"/>
    <w:rPr>
      <w:rFonts w:ascii="宋体" w:hAnsi="宋体"/>
      <w:sz w:val="24"/>
      <w:szCs w:val="24"/>
    </w:rPr>
  </w:style>
  <w:style w:type="paragraph" w:customStyle="1" w:styleId="140">
    <w:name w:val="图注"/>
    <w:basedOn w:val="1"/>
    <w:link w:val="139"/>
    <w:qFormat/>
    <w:uiPriority w:val="0"/>
    <w:pPr>
      <w:spacing w:line="240" w:lineRule="auto"/>
      <w:jc w:val="center"/>
      <w:outlineLvl w:val="4"/>
    </w:pPr>
    <w:rPr>
      <w:rFonts w:ascii="宋体" w:hAnsi="宋体"/>
      <w:kern w:val="0"/>
      <w:szCs w:val="24"/>
    </w:rPr>
  </w:style>
  <w:style w:type="paragraph" w:customStyle="1" w:styleId="141">
    <w:name w:val="标题3"/>
    <w:basedOn w:val="1"/>
    <w:qFormat/>
    <w:uiPriority w:val="0"/>
    <w:pPr>
      <w:autoSpaceDE w:val="0"/>
      <w:autoSpaceDN w:val="0"/>
      <w:snapToGrid w:val="0"/>
      <w:spacing w:line="590" w:lineRule="atLeast"/>
      <w:ind w:firstLine="624"/>
    </w:pPr>
    <w:rPr>
      <w:rFonts w:ascii="方正黑体_GBK" w:eastAsia="方正黑体_GBK"/>
      <w:kern w:val="0"/>
      <w:sz w:val="32"/>
      <w:szCs w:val="32"/>
    </w:rPr>
  </w:style>
  <w:style w:type="paragraph" w:customStyle="1" w:styleId="142">
    <w:name w:val="Char"/>
    <w:basedOn w:val="17"/>
    <w:qFormat/>
    <w:uiPriority w:val="0"/>
    <w:rPr>
      <w:rFonts w:ascii="Tahoma" w:hAnsi="Tahoma"/>
      <w:sz w:val="24"/>
      <w:szCs w:val="24"/>
    </w:rPr>
  </w:style>
  <w:style w:type="paragraph" w:customStyle="1" w:styleId="143">
    <w:name w:val="样式 首行缩进:  0 字符"/>
    <w:basedOn w:val="1"/>
    <w:qFormat/>
    <w:uiPriority w:val="0"/>
    <w:pPr>
      <w:spacing w:line="480" w:lineRule="exact"/>
      <w:ind w:firstLine="680"/>
    </w:pPr>
    <w:rPr>
      <w:kern w:val="16"/>
      <w:sz w:val="28"/>
      <w:szCs w:val="20"/>
    </w:rPr>
  </w:style>
  <w:style w:type="paragraph" w:customStyle="1" w:styleId="144">
    <w:name w:val="文档结构图1"/>
    <w:basedOn w:val="1"/>
    <w:qFormat/>
    <w:uiPriority w:val="0"/>
    <w:pPr>
      <w:shd w:val="clear" w:color="auto" w:fill="000080"/>
      <w:spacing w:line="240" w:lineRule="auto"/>
    </w:pPr>
    <w:rPr>
      <w:rFonts w:ascii="Calibri" w:hAnsi="Calibri"/>
      <w:sz w:val="28"/>
      <w:szCs w:val="22"/>
      <w:shd w:val="clear" w:color="auto" w:fill="000080"/>
    </w:rPr>
  </w:style>
  <w:style w:type="paragraph" w:customStyle="1" w:styleId="145">
    <w:name w:val="@图片"/>
    <w:qFormat/>
    <w:uiPriority w:val="0"/>
    <w:pPr>
      <w:jc w:val="center"/>
    </w:pPr>
    <w:rPr>
      <w:rFonts w:ascii="Calibri" w:hAnsi="Calibri" w:eastAsia="宋体" w:cs="Times New Roman"/>
      <w:kern w:val="2"/>
      <w:sz w:val="21"/>
      <w:szCs w:val="22"/>
      <w:lang w:val="en-US" w:eastAsia="zh-CN" w:bidi="ar-SA"/>
    </w:rPr>
  </w:style>
  <w:style w:type="paragraph" w:customStyle="1" w:styleId="146">
    <w:name w:val="缺省文本"/>
    <w:basedOn w:val="1"/>
    <w:qFormat/>
    <w:uiPriority w:val="0"/>
    <w:pPr>
      <w:widowControl/>
      <w:tabs>
        <w:tab w:val="left" w:pos="360"/>
      </w:tabs>
      <w:autoSpaceDE w:val="0"/>
      <w:autoSpaceDN w:val="0"/>
      <w:spacing w:line="240" w:lineRule="auto"/>
      <w:jc w:val="left"/>
    </w:pPr>
    <w:rPr>
      <w:kern w:val="0"/>
      <w:szCs w:val="20"/>
    </w:rPr>
  </w:style>
  <w:style w:type="paragraph" w:customStyle="1" w:styleId="147">
    <w:name w:val="table_lines"/>
    <w:basedOn w:val="1"/>
    <w:qFormat/>
    <w:uiPriority w:val="0"/>
    <w:pPr>
      <w:widowControl/>
      <w:jc w:val="left"/>
    </w:pPr>
    <w:rPr>
      <w:kern w:val="0"/>
      <w:sz w:val="20"/>
      <w:szCs w:val="20"/>
      <w:lang w:val="de-DE" w:eastAsia="de-DE"/>
    </w:rPr>
  </w:style>
  <w:style w:type="paragraph" w:customStyle="1" w:styleId="148">
    <w:name w:val="TOC 标题1"/>
    <w:basedOn w:val="4"/>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149">
    <w:name w:val="正文首行缩进1"/>
    <w:basedOn w:val="20"/>
    <w:qFormat/>
    <w:uiPriority w:val="0"/>
    <w:pPr>
      <w:spacing w:after="120" w:line="240" w:lineRule="auto"/>
      <w:ind w:firstLine="420" w:firstLineChars="100"/>
    </w:pPr>
    <w:rPr>
      <w:rFonts w:ascii="Calibri" w:hAnsi="Calibri" w:eastAsia="宋体"/>
      <w:sz w:val="21"/>
      <w:szCs w:val="24"/>
    </w:rPr>
  </w:style>
  <w:style w:type="paragraph" w:customStyle="1" w:styleId="150">
    <w:name w:val="工可大编号"/>
    <w:basedOn w:val="1"/>
    <w:qFormat/>
    <w:uiPriority w:val="0"/>
    <w:pPr>
      <w:numPr>
        <w:ilvl w:val="0"/>
        <w:numId w:val="6"/>
      </w:numPr>
      <w:tabs>
        <w:tab w:val="left" w:pos="360"/>
      </w:tabs>
      <w:spacing w:line="240" w:lineRule="auto"/>
    </w:pPr>
    <w:rPr>
      <w:kern w:val="0"/>
      <w:sz w:val="28"/>
      <w:szCs w:val="22"/>
    </w:rPr>
  </w:style>
  <w:style w:type="paragraph" w:customStyle="1" w:styleId="151">
    <w:name w:val="规划正文"/>
    <w:basedOn w:val="1"/>
    <w:qFormat/>
    <w:uiPriority w:val="0"/>
    <w:pPr>
      <w:widowControl/>
      <w:ind w:firstLine="200"/>
      <w:jc w:val="left"/>
    </w:pPr>
    <w:rPr>
      <w:kern w:val="0"/>
      <w:sz w:val="28"/>
      <w:szCs w:val="20"/>
    </w:rPr>
  </w:style>
  <w:style w:type="paragraph" w:customStyle="1" w:styleId="152">
    <w:name w:val="Char Char Char"/>
    <w:basedOn w:val="1"/>
    <w:qFormat/>
    <w:uiPriority w:val="0"/>
    <w:pPr>
      <w:spacing w:line="240" w:lineRule="auto"/>
    </w:pPr>
    <w:rPr>
      <w:rFonts w:ascii="Tahoma" w:hAnsi="Tahoma"/>
      <w:szCs w:val="24"/>
    </w:rPr>
  </w:style>
  <w:style w:type="paragraph" w:customStyle="1" w:styleId="153">
    <w:name w:val="默认段落字体 Para Char Char Char Char Char Char Char Char Char Char Char Char Char Char"/>
    <w:qFormat/>
    <w:uiPriority w:val="0"/>
    <w:pPr>
      <w:shd w:val="clear" w:color="auto" w:fill="000080"/>
    </w:pPr>
    <w:rPr>
      <w:rFonts w:ascii="Tahoma" w:hAnsi="Tahoma" w:eastAsia="宋体" w:cs="Times New Roman"/>
      <w:sz w:val="24"/>
      <w:lang w:val="en-US" w:eastAsia="zh-CN" w:bidi="ar-SA"/>
    </w:rPr>
  </w:style>
  <w:style w:type="paragraph" w:customStyle="1" w:styleId="154">
    <w:name w:val="Revision"/>
    <w:qFormat/>
    <w:uiPriority w:val="0"/>
    <w:rPr>
      <w:rFonts w:ascii="Times New Roman" w:hAnsi="Times New Roman" w:eastAsia="宋体" w:cs="Times New Roman"/>
      <w:kern w:val="2"/>
      <w:sz w:val="21"/>
      <w:szCs w:val="24"/>
      <w:lang w:val="en-US" w:eastAsia="zh-CN" w:bidi="ar-SA"/>
    </w:rPr>
  </w:style>
  <w:style w:type="paragraph" w:customStyle="1" w:styleId="155">
    <w:name w:val="表格标题"/>
    <w:basedOn w:val="1"/>
    <w:qFormat/>
    <w:uiPriority w:val="0"/>
    <w:pPr>
      <w:spacing w:line="240" w:lineRule="auto"/>
      <w:ind w:left="980" w:hanging="420"/>
      <w:jc w:val="center"/>
    </w:pPr>
    <w:rPr>
      <w:rFonts w:ascii="宋体" w:hAnsi="宋体"/>
      <w:b/>
      <w:bCs/>
      <w:sz w:val="18"/>
      <w:szCs w:val="18"/>
    </w:rPr>
  </w:style>
  <w:style w:type="paragraph" w:customStyle="1" w:styleId="156">
    <w:name w:val="日期1"/>
    <w:basedOn w:val="1"/>
    <w:qFormat/>
    <w:uiPriority w:val="0"/>
    <w:pPr>
      <w:spacing w:line="240" w:lineRule="auto"/>
    </w:pPr>
    <w:rPr>
      <w:rFonts w:ascii="Calibri" w:hAnsi="Calibri"/>
      <w:sz w:val="21"/>
      <w:szCs w:val="24"/>
    </w:rPr>
  </w:style>
  <w:style w:type="paragraph" w:customStyle="1" w:styleId="157">
    <w:name w:val="网格表 31"/>
    <w:basedOn w:val="4"/>
    <w:qFormat/>
    <w:uiPriority w:val="0"/>
    <w:pPr>
      <w:keepLines/>
      <w:pageBreakBefore/>
      <w:widowControl/>
      <w:spacing w:before="480" w:line="276" w:lineRule="auto"/>
      <w:jc w:val="left"/>
      <w:outlineLvl w:val="9"/>
    </w:pPr>
    <w:rPr>
      <w:rFonts w:ascii="Cambria" w:hAnsi="Cambria" w:eastAsia="黑体"/>
      <w:b/>
      <w:bCs/>
      <w:color w:val="365F91"/>
      <w:kern w:val="0"/>
    </w:rPr>
  </w:style>
  <w:style w:type="paragraph" w:customStyle="1" w:styleId="158">
    <w:name w:val="我的图片"/>
    <w:basedOn w:val="97"/>
    <w:qFormat/>
    <w:uiPriority w:val="0"/>
    <w:pPr>
      <w:widowControl w:val="0"/>
      <w:ind w:firstLine="0" w:firstLineChars="0"/>
      <w:jc w:val="center"/>
    </w:pPr>
    <w:rPr>
      <w:rFonts w:ascii="仿宋_GB2312" w:hAnsi="宋体" w:eastAsia="楷体_GB2312"/>
      <w:szCs w:val="24"/>
    </w:rPr>
  </w:style>
  <w:style w:type="paragraph" w:customStyle="1" w:styleId="159">
    <w:name w:val="列表1"/>
    <w:basedOn w:val="1"/>
    <w:qFormat/>
    <w:uiPriority w:val="0"/>
    <w:pPr>
      <w:numPr>
        <w:ilvl w:val="0"/>
        <w:numId w:val="7"/>
      </w:numPr>
      <w:tabs>
        <w:tab w:val="clear" w:pos="680"/>
      </w:tabs>
      <w:spacing w:line="240" w:lineRule="auto"/>
    </w:pPr>
    <w:rPr>
      <w:rFonts w:ascii="Arial" w:hAnsi="Arial"/>
      <w:sz w:val="28"/>
      <w:szCs w:val="28"/>
    </w:rPr>
  </w:style>
  <w:style w:type="paragraph" w:customStyle="1" w:styleId="160">
    <w:name w:val="正文文本缩进 21"/>
    <w:basedOn w:val="1"/>
    <w:qFormat/>
    <w:uiPriority w:val="0"/>
    <w:pPr>
      <w:autoSpaceDE w:val="0"/>
      <w:autoSpaceDN w:val="0"/>
      <w:spacing w:line="480" w:lineRule="atLeast"/>
      <w:ind w:firstLine="567"/>
    </w:pPr>
    <w:rPr>
      <w:rFonts w:ascii="仿宋_GB2312" w:eastAsia="仿宋_GB2312"/>
      <w:kern w:val="0"/>
      <w:sz w:val="28"/>
      <w:szCs w:val="20"/>
    </w:rPr>
  </w:style>
  <w:style w:type="paragraph" w:customStyle="1" w:styleId="161">
    <w:name w:val="GP标题2"/>
    <w:basedOn w:val="1"/>
    <w:qFormat/>
    <w:uiPriority w:val="0"/>
    <w:pPr>
      <w:numPr>
        <w:ilvl w:val="1"/>
        <w:numId w:val="8"/>
      </w:numPr>
      <w:spacing w:before="156" w:after="156" w:line="300" w:lineRule="auto"/>
      <w:outlineLvl w:val="1"/>
    </w:pPr>
    <w:rPr>
      <w:rFonts w:ascii="华文细黑" w:hAnsi="华文细黑" w:eastAsia="华文细黑"/>
      <w:b/>
      <w:sz w:val="32"/>
    </w:rPr>
  </w:style>
  <w:style w:type="paragraph" w:customStyle="1" w:styleId="162">
    <w:name w:val="GP标题1"/>
    <w:basedOn w:val="1"/>
    <w:qFormat/>
    <w:uiPriority w:val="0"/>
    <w:pPr>
      <w:numPr>
        <w:ilvl w:val="0"/>
        <w:numId w:val="8"/>
      </w:numPr>
      <w:jc w:val="center"/>
      <w:outlineLvl w:val="0"/>
    </w:pPr>
    <w:rPr>
      <w:rFonts w:ascii="黑体" w:hAnsi="黑体" w:eastAsia="黑体"/>
      <w:b/>
      <w:sz w:val="36"/>
    </w:rPr>
  </w:style>
  <w:style w:type="paragraph" w:customStyle="1" w:styleId="163">
    <w:name w:val="标题2 Char Char Char"/>
    <w:basedOn w:val="5"/>
    <w:qFormat/>
    <w:uiPriority w:val="0"/>
    <w:pPr>
      <w:spacing w:before="156" w:after="156" w:line="360" w:lineRule="auto"/>
      <w:jc w:val="left"/>
    </w:pPr>
    <w:rPr>
      <w:rFonts w:eastAsia="宋体"/>
      <w:kern w:val="0"/>
      <w:sz w:val="28"/>
      <w:szCs w:val="32"/>
    </w:rPr>
  </w:style>
  <w:style w:type="paragraph" w:customStyle="1" w:styleId="164">
    <w:name w:val="Char11"/>
    <w:basedOn w:val="1"/>
    <w:qFormat/>
    <w:uiPriority w:val="0"/>
    <w:pPr>
      <w:tabs>
        <w:tab w:val="left" w:pos="360"/>
      </w:tabs>
    </w:pPr>
    <w:rPr>
      <w:szCs w:val="24"/>
    </w:rPr>
  </w:style>
  <w:style w:type="paragraph" w:customStyle="1" w:styleId="165">
    <w:name w:val="我的修改正文"/>
    <w:basedOn w:val="20"/>
    <w:qFormat/>
    <w:uiPriority w:val="0"/>
    <w:pPr>
      <w:ind w:firstLine="200" w:firstLineChars="200"/>
      <w:jc w:val="left"/>
    </w:pPr>
    <w:rPr>
      <w:rFonts w:ascii="Calibri" w:hAnsi="Calibri" w:eastAsia="宋体"/>
      <w:kern w:val="0"/>
      <w:szCs w:val="20"/>
    </w:rPr>
  </w:style>
  <w:style w:type="paragraph" w:customStyle="1" w:styleId="166">
    <w:name w:val="默认段落字体 Para Char Char Char Char Char Char Char"/>
    <w:basedOn w:val="1"/>
    <w:qFormat/>
    <w:uiPriority w:val="0"/>
    <w:pPr>
      <w:spacing w:line="240" w:lineRule="auto"/>
    </w:pPr>
    <w:rPr>
      <w:rFonts w:ascii="Tahoma" w:hAnsi="Tahoma"/>
      <w:szCs w:val="20"/>
    </w:rPr>
  </w:style>
  <w:style w:type="paragraph" w:customStyle="1" w:styleId="167">
    <w:name w:val="4"/>
    <w:basedOn w:val="1"/>
    <w:qFormat/>
    <w:uiPriority w:val="0"/>
    <w:pPr>
      <w:ind w:firstLine="420"/>
    </w:pPr>
    <w:rPr>
      <w:color w:val="FF0000"/>
      <w:szCs w:val="24"/>
    </w:rPr>
  </w:style>
  <w:style w:type="paragraph" w:customStyle="1" w:styleId="16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69">
    <w:name w:val="默认段落字体 Para Char"/>
    <w:basedOn w:val="1"/>
    <w:qFormat/>
    <w:uiPriority w:val="0"/>
    <w:pPr>
      <w:spacing w:line="240" w:lineRule="auto"/>
    </w:pPr>
    <w:rPr>
      <w:sz w:val="21"/>
      <w:szCs w:val="24"/>
    </w:rPr>
  </w:style>
  <w:style w:type="paragraph" w:customStyle="1" w:styleId="170">
    <w:name w:val="GP标题5"/>
    <w:basedOn w:val="1"/>
    <w:qFormat/>
    <w:uiPriority w:val="0"/>
    <w:pPr>
      <w:numPr>
        <w:ilvl w:val="4"/>
        <w:numId w:val="8"/>
      </w:numPr>
      <w:spacing w:before="156" w:after="156"/>
      <w:outlineLvl w:val="4"/>
    </w:pPr>
    <w:rPr>
      <w:rFonts w:ascii="华文细黑" w:hAnsi="华文细黑" w:eastAsia="华文细黑"/>
      <w:b/>
    </w:rPr>
  </w:style>
  <w:style w:type="paragraph" w:customStyle="1" w:styleId="171">
    <w:name w:val="GP标题4"/>
    <w:basedOn w:val="1"/>
    <w:qFormat/>
    <w:uiPriority w:val="0"/>
    <w:pPr>
      <w:numPr>
        <w:ilvl w:val="3"/>
        <w:numId w:val="8"/>
      </w:numPr>
      <w:outlineLvl w:val="3"/>
    </w:pPr>
    <w:rPr>
      <w:rFonts w:ascii="华文细黑" w:hAnsi="华文细黑" w:eastAsia="华文细黑"/>
      <w:sz w:val="28"/>
    </w:rPr>
  </w:style>
  <w:style w:type="paragraph" w:customStyle="1" w:styleId="172">
    <w:name w:val="我的标题6"/>
    <w:basedOn w:val="1"/>
    <w:qFormat/>
    <w:uiPriority w:val="0"/>
    <w:pPr>
      <w:keepNext/>
      <w:widowControl/>
      <w:ind w:firstLine="200" w:firstLineChars="200"/>
      <w:outlineLvl w:val="5"/>
    </w:pPr>
    <w:rPr>
      <w:rFonts w:ascii="仿宋_GB2312" w:hAnsi="Arial" w:eastAsia="仿宋_GB2312"/>
      <w:b/>
      <w:sz w:val="28"/>
      <w:szCs w:val="18"/>
    </w:rPr>
  </w:style>
  <w:style w:type="paragraph" w:customStyle="1" w:styleId="173">
    <w:name w:val="@@正文"/>
    <w:qFormat/>
    <w:uiPriority w:val="0"/>
    <w:pPr>
      <w:spacing w:line="360" w:lineRule="auto"/>
      <w:ind w:firstLine="200" w:firstLineChars="200"/>
    </w:pPr>
    <w:rPr>
      <w:rFonts w:ascii="Calibri" w:hAnsi="Calibri" w:eastAsia="仿宋_GB2312" w:cs="Times New Roman"/>
      <w:kern w:val="2"/>
      <w:sz w:val="28"/>
      <w:szCs w:val="22"/>
      <w:lang w:val="en-US" w:eastAsia="zh-CN" w:bidi="ar-SA"/>
    </w:rPr>
  </w:style>
  <w:style w:type="paragraph" w:customStyle="1" w:styleId="174">
    <w:name w:val="Char2"/>
    <w:basedOn w:val="1"/>
    <w:qFormat/>
    <w:uiPriority w:val="0"/>
    <w:pPr>
      <w:widowControl/>
      <w:spacing w:after="160" w:line="240" w:lineRule="exact"/>
      <w:jc w:val="left"/>
    </w:pPr>
    <w:rPr>
      <w:rFonts w:ascii="Arial" w:hAnsi="Arial"/>
      <w:kern w:val="0"/>
      <w:sz w:val="22"/>
      <w:szCs w:val="22"/>
      <w:lang w:eastAsia="en-US"/>
    </w:rPr>
  </w:style>
  <w:style w:type="paragraph" w:customStyle="1" w:styleId="175">
    <w:name w:val="my正文"/>
    <w:basedOn w:val="1"/>
    <w:qFormat/>
    <w:uiPriority w:val="0"/>
    <w:pPr>
      <w:ind w:firstLine="480" w:firstLineChars="200"/>
    </w:pPr>
    <w:rPr>
      <w:szCs w:val="24"/>
    </w:rPr>
  </w:style>
  <w:style w:type="paragraph" w:customStyle="1" w:styleId="176">
    <w:name w:val="修订1"/>
    <w:qFormat/>
    <w:uiPriority w:val="0"/>
    <w:rPr>
      <w:rFonts w:ascii="Times New Roman" w:hAnsi="Times New Roman" w:eastAsia="宋体" w:cs="Times New Roman"/>
      <w:kern w:val="2"/>
      <w:sz w:val="21"/>
      <w:szCs w:val="24"/>
      <w:lang w:val="en-US" w:eastAsia="zh-CN" w:bidi="ar-SA"/>
    </w:rPr>
  </w:style>
  <w:style w:type="paragraph" w:customStyle="1" w:styleId="177">
    <w:name w:val="GP标题6"/>
    <w:basedOn w:val="1"/>
    <w:qFormat/>
    <w:uiPriority w:val="0"/>
    <w:pPr>
      <w:numPr>
        <w:ilvl w:val="5"/>
        <w:numId w:val="8"/>
      </w:numPr>
      <w:spacing w:before="156" w:after="156"/>
      <w:outlineLvl w:val="5"/>
    </w:pPr>
    <w:rPr>
      <w:rFonts w:ascii="华文细黑" w:eastAsia="华文细黑"/>
      <w:b/>
    </w:rPr>
  </w:style>
  <w:style w:type="paragraph" w:customStyle="1" w:styleId="178">
    <w:name w:val="样式4"/>
    <w:basedOn w:val="1"/>
    <w:qFormat/>
    <w:uiPriority w:val="0"/>
    <w:pPr>
      <w:spacing w:line="240" w:lineRule="auto"/>
      <w:ind w:hanging="2"/>
      <w:jc w:val="center"/>
    </w:pPr>
    <w:rPr>
      <w:spacing w:val="-12"/>
      <w:szCs w:val="24"/>
    </w:rPr>
  </w:style>
  <w:style w:type="paragraph" w:customStyle="1" w:styleId="179">
    <w:name w:val="BT Char Char Char"/>
    <w:basedOn w:val="1"/>
    <w:qFormat/>
    <w:uiPriority w:val="0"/>
    <w:pPr>
      <w:spacing w:line="240" w:lineRule="auto"/>
    </w:pPr>
    <w:rPr>
      <w:sz w:val="28"/>
      <w:szCs w:val="28"/>
    </w:rPr>
  </w:style>
  <w:style w:type="paragraph" w:customStyle="1" w:styleId="180">
    <w:name w:val="中等深浅网格 21"/>
    <w:qFormat/>
    <w:uiPriority w:val="0"/>
    <w:rPr>
      <w:rFonts w:ascii="Calibri" w:hAnsi="Calibri" w:eastAsia="宋体" w:cs="Times New Roman"/>
      <w:sz w:val="22"/>
      <w:szCs w:val="22"/>
      <w:lang w:val="en-US" w:eastAsia="zh-CN" w:bidi="ar-SA"/>
    </w:rPr>
  </w:style>
  <w:style w:type="paragraph" w:customStyle="1" w:styleId="181">
    <w:name w:val="Char1 Char Char Char Char Char Char"/>
    <w:basedOn w:val="1"/>
    <w:qFormat/>
    <w:uiPriority w:val="0"/>
    <w:pPr>
      <w:spacing w:line="240" w:lineRule="auto"/>
    </w:pPr>
    <w:rPr>
      <w:kern w:val="1"/>
      <w:sz w:val="21"/>
      <w:szCs w:val="24"/>
      <w:lang w:eastAsia="ar-SA"/>
    </w:rPr>
  </w:style>
  <w:style w:type="paragraph" w:customStyle="1" w:styleId="182">
    <w:name w:val="默认段落字体 Para Char Char Char Char"/>
    <w:basedOn w:val="1"/>
    <w:qFormat/>
    <w:uiPriority w:val="0"/>
    <w:pPr>
      <w:spacing w:line="240" w:lineRule="auto"/>
    </w:pPr>
    <w:rPr>
      <w:szCs w:val="24"/>
    </w:rPr>
  </w:style>
  <w:style w:type="paragraph" w:customStyle="1" w:styleId="183">
    <w:name w:val="普通 (Web)"/>
    <w:basedOn w:val="1"/>
    <w:qFormat/>
    <w:uiPriority w:val="0"/>
    <w:pPr>
      <w:widowControl/>
      <w:spacing w:before="100" w:beforeAutospacing="1" w:after="100" w:afterAutospacing="1"/>
      <w:jc w:val="left"/>
    </w:pPr>
    <w:rPr>
      <w:rFonts w:ascii="宋体" w:hAnsi="宋体"/>
      <w:kern w:val="0"/>
      <w:szCs w:val="24"/>
    </w:rPr>
  </w:style>
  <w:style w:type="paragraph" w:customStyle="1" w:styleId="184">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85">
    <w:name w:val="Char Char Char Char Char Char Char"/>
    <w:basedOn w:val="17"/>
    <w:qFormat/>
    <w:uiPriority w:val="0"/>
    <w:pPr>
      <w:snapToGrid w:val="0"/>
      <w:spacing w:line="360" w:lineRule="auto"/>
    </w:pPr>
    <w:rPr>
      <w:rFonts w:ascii="Tahoma" w:hAnsi="Tahoma"/>
      <w:sz w:val="24"/>
      <w:szCs w:val="24"/>
    </w:rPr>
  </w:style>
  <w:style w:type="paragraph" w:customStyle="1" w:styleId="186">
    <w:name w:val="附录1"/>
    <w:qFormat/>
    <w:uiPriority w:val="0"/>
    <w:pPr>
      <w:numPr>
        <w:ilvl w:val="0"/>
        <w:numId w:val="9"/>
      </w:numPr>
      <w:tabs>
        <w:tab w:val="clear" w:pos="907"/>
      </w:tabs>
      <w:snapToGrid w:val="0"/>
      <w:spacing w:before="240" w:line="600" w:lineRule="atLeast"/>
    </w:pPr>
    <w:rPr>
      <w:rFonts w:ascii="Times New Roman" w:hAnsi="Times New Roman" w:eastAsia="宋体" w:cs="Times New Roman"/>
      <w:b/>
      <w:i/>
      <w:sz w:val="28"/>
      <w:lang w:val="en-US" w:eastAsia="zh-CN" w:bidi="ar-SA"/>
    </w:rPr>
  </w:style>
  <w:style w:type="paragraph" w:customStyle="1" w:styleId="187">
    <w:name w:val="文档正文 Char"/>
    <w:basedOn w:val="1"/>
    <w:qFormat/>
    <w:uiPriority w:val="0"/>
    <w:pPr>
      <w:spacing w:line="500" w:lineRule="exact"/>
      <w:ind w:firstLine="567"/>
    </w:pPr>
    <w:rPr>
      <w:rFonts w:ascii="仿宋_GB2312" w:eastAsia="仿宋_GB2312"/>
      <w:sz w:val="28"/>
      <w:szCs w:val="24"/>
    </w:rPr>
  </w:style>
  <w:style w:type="paragraph" w:customStyle="1" w:styleId="188">
    <w:name w:val="Body Text(ch)"/>
    <w:basedOn w:val="1"/>
    <w:qFormat/>
    <w:uiPriority w:val="0"/>
    <w:pPr>
      <w:spacing w:after="120"/>
    </w:pPr>
    <w:rPr>
      <w:rFonts w:ascii="宋体" w:hAnsi="Arial"/>
      <w:bCs/>
      <w:iCs/>
      <w:szCs w:val="24"/>
    </w:rPr>
  </w:style>
  <w:style w:type="paragraph" w:customStyle="1" w:styleId="189">
    <w:name w:val="无间隔1"/>
    <w:qFormat/>
    <w:uiPriority w:val="0"/>
    <w:rPr>
      <w:rFonts w:ascii="Calibri" w:hAnsi="Calibri" w:eastAsia="宋体" w:cs="Times New Roman"/>
      <w:kern w:val="2"/>
      <w:sz w:val="22"/>
      <w:szCs w:val="22"/>
      <w:lang w:val="en-US" w:eastAsia="zh-CN" w:bidi="ar-SA"/>
    </w:rPr>
  </w:style>
  <w:style w:type="paragraph" w:customStyle="1" w:styleId="190">
    <w:name w:val="普通(网站)1"/>
    <w:basedOn w:val="1"/>
    <w:qFormat/>
    <w:uiPriority w:val="0"/>
    <w:pPr>
      <w:widowControl/>
      <w:spacing w:before="100" w:beforeAutospacing="1" w:after="100" w:afterAutospacing="1" w:line="240" w:lineRule="auto"/>
      <w:jc w:val="left"/>
    </w:pPr>
    <w:rPr>
      <w:rFonts w:ascii="宋体" w:hAnsi="宋体"/>
      <w:kern w:val="0"/>
      <w:szCs w:val="24"/>
    </w:rPr>
  </w:style>
  <w:style w:type="paragraph" w:customStyle="1" w:styleId="19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Cs w:val="24"/>
    </w:rPr>
  </w:style>
  <w:style w:type="paragraph" w:customStyle="1" w:styleId="192">
    <w:name w:val="Char Char Char Char Char Char Char Char Char Char"/>
    <w:basedOn w:val="1"/>
    <w:qFormat/>
    <w:uiPriority w:val="0"/>
    <w:rPr>
      <w:kern w:val="0"/>
      <w:szCs w:val="20"/>
    </w:rPr>
  </w:style>
  <w:style w:type="paragraph" w:customStyle="1" w:styleId="193">
    <w:name w:val="Char1 Char Char Char Char Char Char1"/>
    <w:basedOn w:val="1"/>
    <w:qFormat/>
    <w:uiPriority w:val="0"/>
    <w:pPr>
      <w:spacing w:line="240" w:lineRule="auto"/>
    </w:pPr>
    <w:rPr>
      <w:kern w:val="1"/>
      <w:sz w:val="21"/>
      <w:szCs w:val="24"/>
      <w:lang w:eastAsia="ar-SA"/>
    </w:rPr>
  </w:style>
  <w:style w:type="paragraph" w:customStyle="1" w:styleId="19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Cs w:val="24"/>
    </w:rPr>
  </w:style>
  <w:style w:type="paragraph" w:customStyle="1" w:styleId="195">
    <w:name w:val="Char Char Char Char"/>
    <w:basedOn w:val="17"/>
    <w:qFormat/>
    <w:uiPriority w:val="0"/>
    <w:pPr>
      <w:snapToGrid w:val="0"/>
      <w:spacing w:line="360" w:lineRule="auto"/>
    </w:pPr>
    <w:rPr>
      <w:rFonts w:ascii="Tahoma" w:hAnsi="Tahoma"/>
      <w:sz w:val="24"/>
      <w:szCs w:val="24"/>
    </w:rPr>
  </w:style>
  <w:style w:type="paragraph" w:customStyle="1" w:styleId="196">
    <w:name w:val="样式 工可正文 + 首行缩进:  2 字符1"/>
    <w:basedOn w:val="1"/>
    <w:qFormat/>
    <w:uiPriority w:val="0"/>
    <w:pPr>
      <w:spacing w:line="360" w:lineRule="atLeast"/>
      <w:ind w:firstLine="480"/>
    </w:pPr>
    <w:rPr>
      <w:szCs w:val="20"/>
    </w:rPr>
  </w:style>
  <w:style w:type="paragraph" w:customStyle="1" w:styleId="197">
    <w:name w:val="表格文字"/>
    <w:basedOn w:val="1"/>
    <w:qFormat/>
    <w:uiPriority w:val="0"/>
    <w:pPr>
      <w:spacing w:line="240" w:lineRule="auto"/>
      <w:jc w:val="left"/>
    </w:pPr>
    <w:rPr>
      <w:rFonts w:ascii="宋体" w:hAnsi="宋体"/>
      <w:sz w:val="18"/>
      <w:szCs w:val="18"/>
    </w:rPr>
  </w:style>
  <w:style w:type="paragraph" w:customStyle="1" w:styleId="19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199">
    <w:name w:val="文档正文"/>
    <w:basedOn w:val="15"/>
    <w:qFormat/>
    <w:uiPriority w:val="0"/>
    <w:pPr>
      <w:spacing w:line="480" w:lineRule="atLeast"/>
      <w:ind w:firstLine="567"/>
    </w:pPr>
    <w:rPr>
      <w:rFonts w:ascii="长城仿宋" w:eastAsia="长城仿宋"/>
      <w:sz w:val="28"/>
      <w:szCs w:val="20"/>
    </w:rPr>
  </w:style>
  <w:style w:type="paragraph" w:customStyle="1" w:styleId="200">
    <w:name w:val="Char3"/>
    <w:basedOn w:val="17"/>
    <w:qFormat/>
    <w:uiPriority w:val="0"/>
    <w:pPr>
      <w:snapToGrid w:val="0"/>
      <w:spacing w:line="360" w:lineRule="auto"/>
    </w:pPr>
    <w:rPr>
      <w:rFonts w:ascii="Tahoma" w:hAnsi="Tahoma"/>
      <w:sz w:val="24"/>
      <w:szCs w:val="24"/>
    </w:rPr>
  </w:style>
  <w:style w:type="paragraph" w:customStyle="1" w:styleId="201">
    <w:name w:val="a"/>
    <w:basedOn w:val="1"/>
    <w:qFormat/>
    <w:uiPriority w:val="0"/>
    <w:pPr>
      <w:widowControl/>
      <w:spacing w:before="100" w:beforeAutospacing="1" w:after="100" w:afterAutospacing="1" w:line="240" w:lineRule="auto"/>
      <w:jc w:val="left"/>
    </w:pPr>
    <w:rPr>
      <w:rFonts w:ascii="宋体" w:hAnsi="宋体"/>
      <w:kern w:val="0"/>
      <w:szCs w:val="24"/>
    </w:rPr>
  </w:style>
  <w:style w:type="paragraph" w:customStyle="1" w:styleId="202">
    <w:name w:val="纯文本1"/>
    <w:basedOn w:val="1"/>
    <w:qFormat/>
    <w:uiPriority w:val="0"/>
    <w:pPr>
      <w:spacing w:line="240" w:lineRule="auto"/>
    </w:pPr>
    <w:rPr>
      <w:rFonts w:ascii="宋体" w:hAnsi="Courier New"/>
      <w:sz w:val="21"/>
      <w:szCs w:val="20"/>
    </w:rPr>
  </w:style>
  <w:style w:type="paragraph" w:customStyle="1" w:styleId="203">
    <w:name w:val="列出段落1"/>
    <w:basedOn w:val="1"/>
    <w:qFormat/>
    <w:uiPriority w:val="0"/>
    <w:pPr>
      <w:spacing w:line="240" w:lineRule="auto"/>
      <w:ind w:firstLine="420" w:firstLineChars="200"/>
    </w:pPr>
    <w:rPr>
      <w:sz w:val="21"/>
      <w:szCs w:val="24"/>
    </w:rPr>
  </w:style>
  <w:style w:type="paragraph" w:customStyle="1" w:styleId="204">
    <w:name w:val="Char Char Char1"/>
    <w:basedOn w:val="1"/>
    <w:qFormat/>
    <w:uiPriority w:val="0"/>
    <w:rPr>
      <w:rFonts w:ascii="Tahoma" w:hAnsi="Tahoma"/>
      <w:szCs w:val="20"/>
    </w:rPr>
  </w:style>
  <w:style w:type="paragraph" w:customStyle="1" w:styleId="205">
    <w:name w:val="书 正文"/>
    <w:basedOn w:val="1"/>
    <w:qFormat/>
    <w:uiPriority w:val="0"/>
    <w:pPr>
      <w:spacing w:line="300" w:lineRule="auto"/>
      <w:ind w:firstLine="425"/>
    </w:pPr>
    <w:rPr>
      <w:rFonts w:ascii="宋体"/>
      <w:sz w:val="21"/>
    </w:rPr>
  </w:style>
  <w:style w:type="paragraph" w:customStyle="1" w:styleId="206">
    <w:name w:val="批注主题1"/>
    <w:basedOn w:val="18"/>
    <w:qFormat/>
    <w:uiPriority w:val="0"/>
    <w:pPr>
      <w:spacing w:line="240" w:lineRule="auto"/>
    </w:pPr>
    <w:rPr>
      <w:rFonts w:ascii="Calibri" w:hAnsi="Calibri"/>
      <w:b/>
      <w:bCs/>
      <w:sz w:val="21"/>
      <w:szCs w:val="24"/>
    </w:rPr>
  </w:style>
  <w:style w:type="paragraph" w:customStyle="1" w:styleId="207">
    <w:name w:val="正文2"/>
    <w:basedOn w:val="1"/>
    <w:qFormat/>
    <w:uiPriority w:val="0"/>
    <w:pPr>
      <w:widowControl/>
      <w:spacing w:after="160"/>
      <w:ind w:firstLine="200" w:firstLineChars="200"/>
      <w:jc w:val="left"/>
    </w:pPr>
    <w:rPr>
      <w:rFonts w:ascii="Verdana" w:hAnsi="Verdana" w:eastAsia="黑体"/>
      <w:kern w:val="0"/>
      <w:sz w:val="21"/>
      <w:szCs w:val="20"/>
      <w:lang w:eastAsia="en-US"/>
    </w:rPr>
  </w:style>
  <w:style w:type="paragraph" w:customStyle="1" w:styleId="208">
    <w:name w:val="报告正文"/>
    <w:basedOn w:val="1"/>
    <w:qFormat/>
    <w:uiPriority w:val="0"/>
    <w:pPr>
      <w:widowControl/>
      <w:overflowPunct w:val="0"/>
      <w:autoSpaceDE w:val="0"/>
      <w:autoSpaceDN w:val="0"/>
      <w:spacing w:after="80" w:line="480" w:lineRule="auto"/>
      <w:ind w:right="210" w:rightChars="100" w:firstLine="420"/>
    </w:pPr>
    <w:rPr>
      <w:rFonts w:ascii="宋体" w:hAnsi="宋体"/>
      <w:kern w:val="0"/>
      <w:szCs w:val="20"/>
    </w:rPr>
  </w:style>
  <w:style w:type="paragraph" w:customStyle="1" w:styleId="209">
    <w:name w:val="GP标题3"/>
    <w:basedOn w:val="1"/>
    <w:qFormat/>
    <w:uiPriority w:val="0"/>
    <w:pPr>
      <w:numPr>
        <w:ilvl w:val="2"/>
        <w:numId w:val="8"/>
      </w:numPr>
      <w:outlineLvl w:val="2"/>
    </w:pPr>
    <w:rPr>
      <w:rFonts w:ascii="华文细黑" w:hAnsi="华文细黑" w:eastAsia="华文细黑"/>
      <w:b/>
      <w:sz w:val="30"/>
    </w:rPr>
  </w:style>
  <w:style w:type="paragraph" w:customStyle="1" w:styleId="210">
    <w:name w:val="标书正文样式"/>
    <w:basedOn w:val="1"/>
    <w:qFormat/>
    <w:uiPriority w:val="0"/>
    <w:pPr>
      <w:ind w:firstLine="560" w:firstLineChars="200"/>
    </w:pPr>
    <w:rPr>
      <w:rFonts w:eastAsia="仿宋_GB2312"/>
      <w:sz w:val="28"/>
      <w:szCs w:val="28"/>
    </w:rPr>
  </w:style>
  <w:style w:type="paragraph" w:customStyle="1" w:styleId="211">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13">
    <w:name w:val="样式 宋体 小四 行距: 1.5 倍行距"/>
    <w:basedOn w:val="1"/>
    <w:qFormat/>
    <w:uiPriority w:val="0"/>
    <w:pPr>
      <w:spacing w:line="240" w:lineRule="auto"/>
    </w:pPr>
    <w:rPr>
      <w:rFonts w:ascii="宋体" w:hAnsi="宋体"/>
      <w:szCs w:val="20"/>
    </w:rPr>
  </w:style>
  <w:style w:type="paragraph" w:customStyle="1" w:styleId="214">
    <w:name w:val="简单回函地址"/>
    <w:basedOn w:val="1"/>
    <w:qFormat/>
    <w:uiPriority w:val="0"/>
    <w:pPr>
      <w:spacing w:line="312" w:lineRule="atLeast"/>
    </w:pPr>
    <w:rPr>
      <w:rFonts w:ascii="宋体" w:hAnsi="Century Schoolbook"/>
      <w:kern w:val="28"/>
      <w:sz w:val="28"/>
      <w:szCs w:val="20"/>
    </w:rPr>
  </w:style>
  <w:style w:type="paragraph" w:customStyle="1" w:styleId="21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6">
    <w:name w:val="Char Char Char Char Char Char Char Char Char"/>
    <w:basedOn w:val="1"/>
    <w:qFormat/>
    <w:uiPriority w:val="0"/>
    <w:pPr>
      <w:snapToGrid w:val="0"/>
    </w:pPr>
    <w:rPr>
      <w:rFonts w:ascii="Tahoma" w:hAnsi="Tahoma"/>
      <w:szCs w:val="20"/>
    </w:rPr>
  </w:style>
  <w:style w:type="paragraph" w:customStyle="1" w:styleId="217">
    <w:name w:val="Char1"/>
    <w:basedOn w:val="1"/>
    <w:qFormat/>
    <w:uiPriority w:val="0"/>
    <w:pPr>
      <w:tabs>
        <w:tab w:val="left" w:pos="360"/>
      </w:tabs>
      <w:spacing w:line="240" w:lineRule="auto"/>
      <w:ind w:left="360" w:hanging="360" w:hangingChars="200"/>
    </w:pPr>
    <w:rPr>
      <w:szCs w:val="24"/>
    </w:rPr>
  </w:style>
  <w:style w:type="paragraph" w:customStyle="1" w:styleId="218">
    <w:name w:val="图标"/>
    <w:basedOn w:val="1"/>
    <w:qFormat/>
    <w:uiPriority w:val="0"/>
    <w:pPr>
      <w:tabs>
        <w:tab w:val="left" w:pos="567"/>
        <w:tab w:val="left" w:pos="840"/>
      </w:tabs>
      <w:autoSpaceDE w:val="0"/>
      <w:autoSpaceDN w:val="0"/>
      <w:snapToGrid w:val="0"/>
      <w:spacing w:before="120" w:after="120" w:line="320" w:lineRule="atLeast"/>
      <w:ind w:left="840" w:hanging="420"/>
      <w:jc w:val="center"/>
    </w:pPr>
    <w:rPr>
      <w:rFonts w:eastAsia="仿宋_GB2312"/>
      <w:kern w:val="0"/>
      <w:szCs w:val="20"/>
    </w:rPr>
  </w:style>
  <w:style w:type="paragraph" w:customStyle="1" w:styleId="219">
    <w:name w:val="text2"/>
    <w:basedOn w:val="1"/>
    <w:qFormat/>
    <w:uiPriority w:val="0"/>
    <w:pPr>
      <w:widowControl/>
      <w:spacing w:before="100" w:beforeAutospacing="1" w:after="100" w:afterAutospacing="1" w:line="240" w:lineRule="auto"/>
      <w:jc w:val="left"/>
    </w:pPr>
    <w:rPr>
      <w:rFonts w:ascii="宋体" w:hAnsi="宋体"/>
      <w:color w:val="333366"/>
      <w:kern w:val="0"/>
      <w:sz w:val="18"/>
      <w:szCs w:val="18"/>
    </w:rPr>
  </w:style>
  <w:style w:type="paragraph" w:customStyle="1" w:styleId="220">
    <w:name w:val="一级目录"/>
    <w:qFormat/>
    <w:uiPriority w:val="0"/>
    <w:pPr>
      <w:spacing w:after="100"/>
      <w:jc w:val="center"/>
      <w:outlineLvl w:val="0"/>
    </w:pPr>
    <w:rPr>
      <w:rFonts w:ascii="黑体" w:hAnsi="Times New Roman" w:eastAsia="黑体" w:cs="Times New Roman"/>
      <w:b/>
      <w:kern w:val="2"/>
      <w:sz w:val="44"/>
      <w:szCs w:val="44"/>
      <w:lang w:val="en-US" w:eastAsia="zh-CN" w:bidi="ar-SA"/>
    </w:rPr>
  </w:style>
  <w:style w:type="paragraph" w:customStyle="1" w:styleId="221">
    <w:name w:val="我的表格文字"/>
    <w:basedOn w:val="97"/>
    <w:qFormat/>
    <w:uiPriority w:val="0"/>
    <w:pPr>
      <w:spacing w:line="240" w:lineRule="auto"/>
      <w:ind w:firstLine="0" w:firstLineChars="0"/>
    </w:pPr>
    <w:rPr>
      <w:rFonts w:ascii="仿宋_GB2312" w:hAnsi="Arial"/>
      <w:szCs w:val="18"/>
    </w:rPr>
  </w:style>
  <w:style w:type="paragraph" w:customStyle="1" w:styleId="222">
    <w:name w:val="表格正文"/>
    <w:basedOn w:val="1"/>
    <w:qFormat/>
    <w:uiPriority w:val="0"/>
    <w:pPr>
      <w:spacing w:line="240" w:lineRule="auto"/>
    </w:pPr>
    <w:rPr>
      <w:rFonts w:eastAsia="仿宋"/>
      <w:sz w:val="28"/>
      <w:szCs w:val="24"/>
    </w:rPr>
  </w:style>
  <w:style w:type="paragraph" w:customStyle="1" w:styleId="223">
    <w:name w:val="正文文本缩进 31"/>
    <w:basedOn w:val="1"/>
    <w:qFormat/>
    <w:uiPriority w:val="0"/>
    <w:pPr>
      <w:spacing w:line="240" w:lineRule="auto"/>
      <w:ind w:firstLine="524"/>
    </w:pPr>
    <w:rPr>
      <w:rFonts w:ascii="宋体" w:hAnsi="Calibri"/>
      <w:color w:val="FF00FF"/>
      <w:sz w:val="28"/>
      <w:szCs w:val="24"/>
    </w:rPr>
  </w:style>
  <w:style w:type="paragraph" w:customStyle="1" w:styleId="224">
    <w:name w:val="正文文本缩进1"/>
    <w:basedOn w:val="1"/>
    <w:qFormat/>
    <w:uiPriority w:val="0"/>
    <w:pPr>
      <w:spacing w:after="120" w:line="240" w:lineRule="auto"/>
      <w:ind w:left="420" w:leftChars="200"/>
    </w:pPr>
    <w:rPr>
      <w:rFonts w:ascii="Calibri" w:hAnsi="Calibri"/>
      <w:kern w:val="0"/>
      <w:sz w:val="20"/>
      <w:szCs w:val="24"/>
    </w:rPr>
  </w:style>
  <w:style w:type="paragraph" w:customStyle="1" w:styleId="2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4"/>
    </w:rPr>
  </w:style>
  <w:style w:type="paragraph" w:customStyle="1" w:styleId="226">
    <w:name w:val="索引 11"/>
    <w:basedOn w:val="1"/>
    <w:qFormat/>
    <w:uiPriority w:val="0"/>
    <w:pPr>
      <w:spacing w:line="240" w:lineRule="auto"/>
      <w:jc w:val="center"/>
    </w:pPr>
    <w:rPr>
      <w:b/>
      <w:color w:val="0000FF"/>
      <w:kern w:val="0"/>
      <w:sz w:val="28"/>
      <w:szCs w:val="20"/>
    </w:rPr>
  </w:style>
  <w:style w:type="paragraph" w:customStyle="1" w:styleId="227">
    <w:name w:val="xl25"/>
    <w:basedOn w:val="1"/>
    <w:qFormat/>
    <w:uiPriority w:val="0"/>
    <w:pPr>
      <w:widowControl/>
      <w:spacing w:before="100" w:beforeAutospacing="1" w:after="100" w:afterAutospacing="1"/>
      <w:jc w:val="center"/>
    </w:pPr>
    <w:rPr>
      <w:rFonts w:ascii="Arial Unicode MS" w:hAnsi="Arial Unicode MS" w:eastAsia="Arial Unicode MS"/>
      <w:kern w:val="0"/>
      <w:szCs w:val="24"/>
    </w:rPr>
  </w:style>
  <w:style w:type="paragraph" w:customStyle="1" w:styleId="22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Cs w:val="24"/>
    </w:rPr>
  </w:style>
  <w:style w:type="paragraph" w:customStyle="1" w:styleId="229">
    <w:name w:val="标题1"/>
    <w:basedOn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230">
    <w:name w:val="Char Char Char Char1"/>
    <w:basedOn w:val="17"/>
    <w:qFormat/>
    <w:uiPriority w:val="0"/>
    <w:pPr>
      <w:snapToGrid w:val="0"/>
      <w:spacing w:line="360" w:lineRule="auto"/>
    </w:pPr>
    <w:rPr>
      <w:rFonts w:ascii="Tahoma" w:hAnsi="Tahoma"/>
      <w:sz w:val="24"/>
      <w:szCs w:val="24"/>
    </w:rPr>
  </w:style>
  <w:style w:type="paragraph" w:styleId="231">
    <w:name w:val="List Paragraph"/>
    <w:basedOn w:val="1"/>
    <w:qFormat/>
    <w:uiPriority w:val="0"/>
    <w:pPr>
      <w:spacing w:line="240" w:lineRule="auto"/>
      <w:ind w:firstLine="420" w:firstLineChars="200"/>
    </w:pPr>
    <w:rPr>
      <w:sz w:val="21"/>
      <w:szCs w:val="24"/>
    </w:rPr>
  </w:style>
  <w:style w:type="paragraph" w:customStyle="1" w:styleId="232">
    <w:name w:val="table_1stline"/>
    <w:basedOn w:val="1"/>
    <w:qFormat/>
    <w:uiPriority w:val="0"/>
    <w:pPr>
      <w:widowControl/>
      <w:spacing w:before="120"/>
      <w:jc w:val="left"/>
    </w:pPr>
    <w:rPr>
      <w:bCs/>
      <w:kern w:val="0"/>
      <w:sz w:val="20"/>
      <w:szCs w:val="20"/>
      <w:lang w:val="de-DE" w:eastAsia="de-DE"/>
    </w:rPr>
  </w:style>
  <w:style w:type="paragraph" w:customStyle="1" w:styleId="233">
    <w:name w:val="普通正文"/>
    <w:basedOn w:val="1"/>
    <w:qFormat/>
    <w:uiPriority w:val="0"/>
    <w:pPr>
      <w:spacing w:before="120" w:after="120"/>
      <w:ind w:firstLine="480"/>
      <w:jc w:val="left"/>
    </w:pPr>
    <w:rPr>
      <w:rFonts w:ascii="Arial" w:hAnsi="Arial"/>
      <w:kern w:val="0"/>
      <w:szCs w:val="24"/>
    </w:rPr>
  </w:style>
  <w:style w:type="paragraph" w:customStyle="1" w:styleId="23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235">
    <w:name w:val="TOC Heading"/>
    <w:basedOn w:val="4"/>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23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Heading 21"/>
    <w:basedOn w:val="1"/>
    <w:qFormat/>
    <w:uiPriority w:val="0"/>
    <w:pPr>
      <w:widowControl/>
      <w:numPr>
        <w:ilvl w:val="1"/>
        <w:numId w:val="10"/>
      </w:numPr>
      <w:spacing w:before="280" w:after="280"/>
      <w:jc w:val="left"/>
      <w:outlineLvl w:val="1"/>
    </w:pPr>
    <w:rPr>
      <w:rFonts w:ascii="宋体;SimSun" w:hAnsi="宋体;SimSun"/>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15100</Words>
  <Characters>16242</Characters>
  <Lines>203</Lines>
  <Paragraphs>57</Paragraphs>
  <TotalTime>10</TotalTime>
  <ScaleCrop>false</ScaleCrop>
  <LinksUpToDate>false</LinksUpToDate>
  <CharactersWithSpaces>16766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2026-04-25T18:46:00Z</dcterms:created>
  <dc:creator>Lenovo</dc:creator>
  <cp:lastModifiedBy>user</cp:lastModifiedBy>
  <dcterms:modified xsi:type="dcterms:W3CDTF">2026-05-07T12:55:39Z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55E394D374054C738B941CD7B6E70CE2_13</vt:lpwstr>
  </property>
  <property fmtid="{D5CDD505-2E9C-101B-9397-08002B2CF9AE}" pid="4" name="KSOTemplateDocerSaveRecord">
    <vt:lpwstr>eyJoZGlkIjoiMjM4NDhjMTkxY2FlMWQ5MGNlN2U5MzY1MDMwOWFkMmIiLCJ1c2VySWQiOiIzNTQ1MjI0NjYifQ==</vt:lpwstr>
  </property>
</Properties>
</file>