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DEEC2">
      <w:pPr>
        <w:wordWrap w:val="0"/>
        <w:spacing w:line="360" w:lineRule="auto"/>
        <w:ind w:firstLine="5460" w:firstLineChars="1950"/>
        <w:jc w:val="right"/>
        <w:rPr>
          <w:rFonts w:hint="default" w:eastAsia="宋体"/>
          <w:b/>
          <w:sz w:val="28"/>
          <w:szCs w:val="28"/>
          <w:highlight w:val="none"/>
          <w:lang w:val="en-US" w:eastAsia="zh-CN"/>
        </w:rPr>
      </w:pPr>
      <w:r>
        <w:rPr>
          <w:b/>
          <w:sz w:val="28"/>
          <w:szCs w:val="28"/>
          <w:highlight w:val="none"/>
        </w:rPr>
        <w:t>项目编号：</w:t>
      </w:r>
      <w:r>
        <w:rPr>
          <w:rFonts w:hint="eastAsia"/>
          <w:b/>
          <w:sz w:val="28"/>
          <w:szCs w:val="28"/>
          <w:highlight w:val="none"/>
          <w:lang w:val="en-US" w:eastAsia="zh-CN"/>
        </w:rPr>
        <w:t>KCS2026-WT045</w:t>
      </w:r>
    </w:p>
    <w:p w14:paraId="1C73F702">
      <w:pPr>
        <w:spacing w:line="360" w:lineRule="auto"/>
        <w:ind w:right="560" w:firstLine="5460" w:firstLineChars="1950"/>
        <w:rPr>
          <w:b/>
          <w:sz w:val="28"/>
          <w:szCs w:val="28"/>
          <w:highlight w:val="none"/>
        </w:rPr>
      </w:pPr>
    </w:p>
    <w:p w14:paraId="2AE40E1A">
      <w:pPr>
        <w:spacing w:line="360" w:lineRule="auto"/>
        <w:jc w:val="center"/>
        <w:rPr>
          <w:rFonts w:hint="eastAsia" w:eastAsia="宋体"/>
          <w:b/>
          <w:spacing w:val="80"/>
          <w:sz w:val="22"/>
          <w:szCs w:val="22"/>
          <w:highlight w:val="none"/>
          <w:lang w:eastAsia="zh-CN"/>
        </w:rPr>
      </w:pPr>
      <w:r>
        <w:rPr>
          <w:rFonts w:hint="eastAsia"/>
          <w:b/>
          <w:bCs/>
          <w:sz w:val="52"/>
          <w:szCs w:val="52"/>
          <w:highlight w:val="none"/>
          <w:lang w:eastAsia="zh-CN"/>
        </w:rPr>
        <w:t>库车市沉浸式文旅体验项目</w:t>
      </w:r>
    </w:p>
    <w:p w14:paraId="620D6E78">
      <w:pPr>
        <w:spacing w:line="360" w:lineRule="auto"/>
        <w:jc w:val="center"/>
        <w:rPr>
          <w:b/>
          <w:spacing w:val="80"/>
          <w:sz w:val="24"/>
          <w:highlight w:val="none"/>
        </w:rPr>
      </w:pPr>
    </w:p>
    <w:p w14:paraId="31DC2DF3">
      <w:pPr>
        <w:spacing w:line="360" w:lineRule="auto"/>
        <w:jc w:val="center"/>
        <w:rPr>
          <w:b/>
          <w:spacing w:val="80"/>
          <w:sz w:val="98"/>
          <w:szCs w:val="84"/>
          <w:highlight w:val="none"/>
        </w:rPr>
      </w:pPr>
    </w:p>
    <w:p w14:paraId="0CD85650">
      <w:pPr>
        <w:spacing w:line="360" w:lineRule="auto"/>
        <w:jc w:val="center"/>
        <w:rPr>
          <w:b/>
          <w:spacing w:val="80"/>
          <w:sz w:val="100"/>
          <w:szCs w:val="100"/>
          <w:highlight w:val="none"/>
        </w:rPr>
      </w:pPr>
    </w:p>
    <w:p w14:paraId="6E8DCAF8">
      <w:pPr>
        <w:spacing w:line="360" w:lineRule="auto"/>
        <w:jc w:val="center"/>
        <w:rPr>
          <w:b/>
          <w:spacing w:val="80"/>
          <w:sz w:val="100"/>
          <w:szCs w:val="100"/>
          <w:highlight w:val="none"/>
        </w:rPr>
      </w:pPr>
      <w:r>
        <w:rPr>
          <w:b/>
          <w:spacing w:val="80"/>
          <w:sz w:val="100"/>
          <w:szCs w:val="100"/>
          <w:highlight w:val="none"/>
        </w:rPr>
        <w:t>招 标 文 件</w:t>
      </w:r>
    </w:p>
    <w:p w14:paraId="50F69CF4">
      <w:pPr>
        <w:spacing w:line="500" w:lineRule="exact"/>
        <w:rPr>
          <w:sz w:val="24"/>
          <w:highlight w:val="none"/>
        </w:rPr>
      </w:pPr>
    </w:p>
    <w:p w14:paraId="10A7680B">
      <w:pPr>
        <w:spacing w:line="500" w:lineRule="exact"/>
        <w:jc w:val="center"/>
        <w:rPr>
          <w:sz w:val="24"/>
          <w:highlight w:val="none"/>
        </w:rPr>
      </w:pPr>
    </w:p>
    <w:p w14:paraId="1246BC48">
      <w:pPr>
        <w:spacing w:line="500" w:lineRule="exact"/>
        <w:jc w:val="center"/>
        <w:rPr>
          <w:sz w:val="24"/>
          <w:highlight w:val="none"/>
        </w:rPr>
      </w:pPr>
    </w:p>
    <w:p w14:paraId="76C5C6D3">
      <w:pPr>
        <w:spacing w:line="500" w:lineRule="exact"/>
        <w:jc w:val="center"/>
        <w:rPr>
          <w:sz w:val="24"/>
          <w:highlight w:val="none"/>
        </w:rPr>
      </w:pPr>
    </w:p>
    <w:p w14:paraId="01672B50">
      <w:pPr>
        <w:spacing w:line="500" w:lineRule="exact"/>
        <w:jc w:val="left"/>
        <w:rPr>
          <w:sz w:val="24"/>
          <w:highlight w:val="none"/>
        </w:rPr>
      </w:pPr>
    </w:p>
    <w:p w14:paraId="2022259D">
      <w:pPr>
        <w:spacing w:line="500" w:lineRule="exact"/>
        <w:jc w:val="left"/>
        <w:rPr>
          <w:sz w:val="24"/>
          <w:highlight w:val="none"/>
        </w:rPr>
      </w:pPr>
    </w:p>
    <w:p w14:paraId="08210C89">
      <w:pPr>
        <w:spacing w:line="500" w:lineRule="exact"/>
        <w:ind w:firstLine="2240" w:firstLineChars="700"/>
        <w:jc w:val="left"/>
        <w:rPr>
          <w:b/>
          <w:sz w:val="32"/>
          <w:szCs w:val="32"/>
          <w:highlight w:val="none"/>
        </w:rPr>
      </w:pPr>
    </w:p>
    <w:p w14:paraId="6CB3F909">
      <w:pPr>
        <w:spacing w:line="500" w:lineRule="exact"/>
        <w:ind w:firstLine="2240" w:firstLineChars="700"/>
        <w:jc w:val="left"/>
        <w:rPr>
          <w:b/>
          <w:sz w:val="32"/>
          <w:szCs w:val="32"/>
          <w:highlight w:val="none"/>
        </w:rPr>
      </w:pPr>
    </w:p>
    <w:p w14:paraId="32006BB4">
      <w:pPr>
        <w:spacing w:line="500" w:lineRule="exact"/>
        <w:jc w:val="center"/>
        <w:rPr>
          <w:b/>
          <w:sz w:val="32"/>
          <w:szCs w:val="32"/>
          <w:highlight w:val="none"/>
        </w:rPr>
      </w:pPr>
      <w:r>
        <w:rPr>
          <w:b/>
          <w:sz w:val="32"/>
          <w:szCs w:val="32"/>
          <w:highlight w:val="none"/>
        </w:rPr>
        <w:t>采购人：</w:t>
      </w:r>
      <w:r>
        <w:rPr>
          <w:rFonts w:hint="eastAsia"/>
          <w:b/>
          <w:sz w:val="32"/>
          <w:szCs w:val="32"/>
          <w:highlight w:val="none"/>
          <w:lang w:eastAsia="zh-CN"/>
        </w:rPr>
        <w:t>库车市文化体育广播电视和旅游局</w:t>
      </w:r>
    </w:p>
    <w:p w14:paraId="03373BFA">
      <w:pPr>
        <w:spacing w:line="500" w:lineRule="exact"/>
        <w:ind w:firstLine="465"/>
        <w:jc w:val="center"/>
        <w:rPr>
          <w:b/>
          <w:sz w:val="32"/>
          <w:szCs w:val="32"/>
          <w:highlight w:val="none"/>
        </w:rPr>
      </w:pPr>
    </w:p>
    <w:p w14:paraId="6061AE60">
      <w:pPr>
        <w:spacing w:line="500" w:lineRule="exact"/>
        <w:jc w:val="center"/>
        <w:rPr>
          <w:rFonts w:hint="eastAsia" w:eastAsia="宋体"/>
          <w:b/>
          <w:sz w:val="32"/>
          <w:szCs w:val="32"/>
          <w:highlight w:val="none"/>
          <w:lang w:eastAsia="zh-CN"/>
        </w:rPr>
      </w:pPr>
      <w:r>
        <w:rPr>
          <w:b/>
          <w:sz w:val="32"/>
          <w:szCs w:val="32"/>
          <w:highlight w:val="none"/>
        </w:rPr>
        <w:t>代理机构：</w:t>
      </w:r>
      <w:r>
        <w:rPr>
          <w:rFonts w:hint="eastAsia"/>
          <w:b/>
          <w:sz w:val="32"/>
          <w:szCs w:val="32"/>
          <w:highlight w:val="none"/>
          <w:lang w:eastAsia="zh-CN"/>
        </w:rPr>
        <w:t>新疆经开项目管理有限公司</w:t>
      </w:r>
    </w:p>
    <w:p w14:paraId="65B1524D">
      <w:pPr>
        <w:spacing w:line="500" w:lineRule="exact"/>
        <w:jc w:val="center"/>
        <w:rPr>
          <w:b/>
          <w:sz w:val="32"/>
          <w:szCs w:val="32"/>
          <w:highlight w:val="none"/>
        </w:rPr>
      </w:pPr>
    </w:p>
    <w:p w14:paraId="1DB22731">
      <w:pPr>
        <w:spacing w:line="500" w:lineRule="exact"/>
        <w:jc w:val="center"/>
        <w:rPr>
          <w:b/>
          <w:sz w:val="32"/>
          <w:szCs w:val="32"/>
          <w:highlight w:val="none"/>
        </w:rPr>
      </w:pPr>
      <w:r>
        <w:rPr>
          <w:rFonts w:hint="eastAsia"/>
          <w:b/>
          <w:sz w:val="32"/>
          <w:szCs w:val="32"/>
          <w:highlight w:val="none"/>
          <w:lang w:val="en-US" w:eastAsia="zh-CN"/>
        </w:rPr>
        <w:t>2026</w:t>
      </w:r>
      <w:r>
        <w:rPr>
          <w:b/>
          <w:sz w:val="32"/>
          <w:szCs w:val="32"/>
          <w:highlight w:val="none"/>
        </w:rPr>
        <w:t>年</w:t>
      </w:r>
      <w:r>
        <w:rPr>
          <w:rFonts w:hint="eastAsia"/>
          <w:b/>
          <w:sz w:val="32"/>
          <w:szCs w:val="32"/>
          <w:highlight w:val="none"/>
          <w:lang w:val="en-US" w:eastAsia="zh-CN"/>
        </w:rPr>
        <w:t>4</w:t>
      </w:r>
      <w:r>
        <w:rPr>
          <w:b/>
          <w:sz w:val="32"/>
          <w:szCs w:val="32"/>
          <w:highlight w:val="none"/>
        </w:rPr>
        <w:t>月</w:t>
      </w:r>
    </w:p>
    <w:p w14:paraId="4340E4C8">
      <w:pPr>
        <w:spacing w:line="440" w:lineRule="exact"/>
        <w:jc w:val="center"/>
        <w:rPr>
          <w:b/>
          <w:sz w:val="44"/>
          <w:szCs w:val="44"/>
          <w:highlight w:val="none"/>
        </w:rPr>
        <w:sectPr>
          <w:footerReference r:id="rId4" w:type="first"/>
          <w:headerReference r:id="rId3" w:type="default"/>
          <w:pgSz w:w="11906" w:h="16838"/>
          <w:pgMar w:top="993" w:right="1080" w:bottom="1440" w:left="1080" w:header="4" w:footer="567" w:gutter="0"/>
          <w:pgNumType w:fmt="decimal" w:start="0"/>
          <w:cols w:space="720" w:num="1"/>
          <w:titlePg/>
          <w:docGrid w:type="linesAndChars" w:linePitch="312" w:charSpace="0"/>
        </w:sectPr>
      </w:pPr>
    </w:p>
    <w:p w14:paraId="12700D25">
      <w:pPr>
        <w:rPr>
          <w:b/>
          <w:sz w:val="44"/>
          <w:szCs w:val="44"/>
          <w:highlight w:val="none"/>
        </w:rPr>
      </w:pPr>
      <w:r>
        <w:rPr>
          <w:b/>
          <w:sz w:val="44"/>
          <w:szCs w:val="44"/>
          <w:highlight w:val="none"/>
        </w:rPr>
        <w:br w:type="page"/>
      </w:r>
    </w:p>
    <w:p w14:paraId="5FFD097F">
      <w:pPr>
        <w:spacing w:line="440" w:lineRule="exact"/>
        <w:jc w:val="center"/>
        <w:rPr>
          <w:b/>
          <w:sz w:val="44"/>
          <w:szCs w:val="44"/>
          <w:highlight w:val="none"/>
        </w:rPr>
      </w:pPr>
      <w:r>
        <w:rPr>
          <w:b/>
          <w:sz w:val="44"/>
          <w:szCs w:val="44"/>
          <w:highlight w:val="none"/>
        </w:rPr>
        <w:t>目   录</w:t>
      </w:r>
    </w:p>
    <w:p w14:paraId="740B6BC5">
      <w:pPr>
        <w:pStyle w:val="19"/>
        <w:tabs>
          <w:tab w:val="right" w:leader="dot" w:pos="9746"/>
        </w:tabs>
        <w:spacing w:line="480" w:lineRule="auto"/>
        <w:rPr>
          <w:highlight w:val="none"/>
        </w:rPr>
      </w:pPr>
      <w:r>
        <w:rPr>
          <w:rFonts w:cs="Times New Roman"/>
          <w:sz w:val="24"/>
          <w:szCs w:val="24"/>
          <w:highlight w:val="none"/>
        </w:rPr>
        <w:fldChar w:fldCharType="begin"/>
      </w:r>
      <w:r>
        <w:rPr>
          <w:rFonts w:cs="Times New Roman"/>
          <w:sz w:val="24"/>
          <w:szCs w:val="24"/>
          <w:highlight w:val="none"/>
        </w:rPr>
        <w:instrText xml:space="preserve"> TOC \o "1-2" \h \z \u </w:instrText>
      </w:r>
      <w:r>
        <w:rPr>
          <w:rFonts w:cs="Times New Roman"/>
          <w:sz w:val="24"/>
          <w:szCs w:val="24"/>
          <w:highlight w:val="none"/>
        </w:rPr>
        <w:fldChar w:fldCharType="separate"/>
      </w:r>
      <w:r>
        <w:rPr>
          <w:rFonts w:cs="Times New Roman"/>
          <w:szCs w:val="24"/>
          <w:highlight w:val="none"/>
        </w:rPr>
        <w:fldChar w:fldCharType="begin"/>
      </w:r>
      <w:r>
        <w:rPr>
          <w:rFonts w:cs="Times New Roman"/>
          <w:szCs w:val="24"/>
          <w:highlight w:val="none"/>
        </w:rPr>
        <w:instrText xml:space="preserve"> HYPERLINK \l _Toc7927 </w:instrText>
      </w:r>
      <w:r>
        <w:rPr>
          <w:rFonts w:cs="Times New Roman"/>
          <w:szCs w:val="24"/>
          <w:highlight w:val="none"/>
        </w:rPr>
        <w:fldChar w:fldCharType="separate"/>
      </w:r>
      <w:r>
        <w:rPr>
          <w:szCs w:val="32"/>
          <w:highlight w:val="none"/>
        </w:rPr>
        <w:t>第一部分  投标人须知前附表</w:t>
      </w:r>
      <w:r>
        <w:rPr>
          <w:highlight w:val="none"/>
        </w:rPr>
        <w:tab/>
      </w:r>
      <w:r>
        <w:rPr>
          <w:highlight w:val="none"/>
        </w:rPr>
        <w:fldChar w:fldCharType="begin"/>
      </w:r>
      <w:r>
        <w:rPr>
          <w:highlight w:val="none"/>
        </w:rPr>
        <w:instrText xml:space="preserve"> PAGEREF _Toc7927 \h </w:instrText>
      </w:r>
      <w:r>
        <w:rPr>
          <w:highlight w:val="none"/>
        </w:rPr>
        <w:fldChar w:fldCharType="separate"/>
      </w:r>
      <w:r>
        <w:rPr>
          <w:highlight w:val="none"/>
        </w:rPr>
        <w:t>1</w:t>
      </w:r>
      <w:r>
        <w:rPr>
          <w:highlight w:val="none"/>
        </w:rPr>
        <w:fldChar w:fldCharType="end"/>
      </w:r>
      <w:r>
        <w:rPr>
          <w:rFonts w:cs="Times New Roman"/>
          <w:szCs w:val="24"/>
          <w:highlight w:val="none"/>
        </w:rPr>
        <w:fldChar w:fldCharType="end"/>
      </w:r>
    </w:p>
    <w:p w14:paraId="63DEBE60">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_Toc6320 </w:instrText>
      </w:r>
      <w:r>
        <w:rPr>
          <w:szCs w:val="24"/>
          <w:highlight w:val="none"/>
        </w:rPr>
        <w:fldChar w:fldCharType="separate"/>
      </w:r>
      <w:r>
        <w:rPr>
          <w:szCs w:val="32"/>
          <w:highlight w:val="none"/>
        </w:rPr>
        <w:t>第二部分  投标人须知</w:t>
      </w:r>
      <w:r>
        <w:rPr>
          <w:highlight w:val="none"/>
        </w:rPr>
        <w:tab/>
      </w:r>
      <w:r>
        <w:rPr>
          <w:highlight w:val="none"/>
        </w:rPr>
        <w:fldChar w:fldCharType="begin"/>
      </w:r>
      <w:r>
        <w:rPr>
          <w:highlight w:val="none"/>
        </w:rPr>
        <w:instrText xml:space="preserve"> PAGEREF _Toc6320 \h </w:instrText>
      </w:r>
      <w:r>
        <w:rPr>
          <w:highlight w:val="none"/>
        </w:rPr>
        <w:fldChar w:fldCharType="separate"/>
      </w:r>
      <w:r>
        <w:rPr>
          <w:highlight w:val="none"/>
        </w:rPr>
        <w:t>10</w:t>
      </w:r>
      <w:r>
        <w:rPr>
          <w:highlight w:val="none"/>
        </w:rPr>
        <w:fldChar w:fldCharType="end"/>
      </w:r>
      <w:r>
        <w:rPr>
          <w:szCs w:val="24"/>
          <w:highlight w:val="none"/>
        </w:rPr>
        <w:fldChar w:fldCharType="end"/>
      </w:r>
    </w:p>
    <w:p w14:paraId="29FAC4F4">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_Toc2009 </w:instrText>
      </w:r>
      <w:r>
        <w:rPr>
          <w:szCs w:val="24"/>
          <w:highlight w:val="none"/>
        </w:rPr>
        <w:fldChar w:fldCharType="separate"/>
      </w:r>
      <w:r>
        <w:rPr>
          <w:rFonts w:hint="eastAsia" w:ascii="宋体" w:hAnsi="宋体" w:cs="宋体"/>
          <w:szCs w:val="32"/>
          <w:highlight w:val="none"/>
        </w:rPr>
        <w:t>第三部分  投标说明</w:t>
      </w:r>
      <w:r>
        <w:rPr>
          <w:highlight w:val="none"/>
        </w:rPr>
        <w:tab/>
      </w:r>
      <w:r>
        <w:rPr>
          <w:highlight w:val="none"/>
        </w:rPr>
        <w:fldChar w:fldCharType="begin"/>
      </w:r>
      <w:r>
        <w:rPr>
          <w:highlight w:val="none"/>
        </w:rPr>
        <w:instrText xml:space="preserve"> PAGEREF _Toc2009 \h </w:instrText>
      </w:r>
      <w:r>
        <w:rPr>
          <w:highlight w:val="none"/>
        </w:rPr>
        <w:fldChar w:fldCharType="separate"/>
      </w:r>
      <w:r>
        <w:rPr>
          <w:highlight w:val="none"/>
        </w:rPr>
        <w:t>14</w:t>
      </w:r>
      <w:r>
        <w:rPr>
          <w:highlight w:val="none"/>
        </w:rPr>
        <w:fldChar w:fldCharType="end"/>
      </w:r>
      <w:r>
        <w:rPr>
          <w:szCs w:val="24"/>
          <w:highlight w:val="none"/>
        </w:rPr>
        <w:fldChar w:fldCharType="end"/>
      </w:r>
    </w:p>
    <w:p w14:paraId="0AE0364F">
      <w:pPr>
        <w:pStyle w:val="21"/>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_Toc16661 </w:instrText>
      </w:r>
      <w:r>
        <w:rPr>
          <w:szCs w:val="24"/>
          <w:highlight w:val="none"/>
        </w:rPr>
        <w:fldChar w:fldCharType="separate"/>
      </w:r>
      <w:r>
        <w:rPr>
          <w:rFonts w:hint="eastAsia" w:ascii="宋体" w:hAnsi="宋体" w:cs="宋体"/>
          <w:szCs w:val="28"/>
          <w:highlight w:val="none"/>
        </w:rPr>
        <w:t>第一章  投标人资格要求</w:t>
      </w:r>
      <w:r>
        <w:rPr>
          <w:highlight w:val="none"/>
        </w:rPr>
        <w:tab/>
      </w:r>
      <w:r>
        <w:rPr>
          <w:highlight w:val="none"/>
        </w:rPr>
        <w:fldChar w:fldCharType="begin"/>
      </w:r>
      <w:r>
        <w:rPr>
          <w:highlight w:val="none"/>
        </w:rPr>
        <w:instrText xml:space="preserve"> PAGEREF _Toc16661 \h </w:instrText>
      </w:r>
      <w:r>
        <w:rPr>
          <w:highlight w:val="none"/>
        </w:rPr>
        <w:fldChar w:fldCharType="separate"/>
      </w:r>
      <w:r>
        <w:rPr>
          <w:highlight w:val="none"/>
        </w:rPr>
        <w:t>14</w:t>
      </w:r>
      <w:r>
        <w:rPr>
          <w:highlight w:val="none"/>
        </w:rPr>
        <w:fldChar w:fldCharType="end"/>
      </w:r>
      <w:r>
        <w:rPr>
          <w:szCs w:val="24"/>
          <w:highlight w:val="none"/>
        </w:rPr>
        <w:fldChar w:fldCharType="end"/>
      </w:r>
    </w:p>
    <w:p w14:paraId="22708465">
      <w:pPr>
        <w:pStyle w:val="21"/>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_Toc28206 </w:instrText>
      </w:r>
      <w:r>
        <w:rPr>
          <w:szCs w:val="24"/>
          <w:highlight w:val="none"/>
        </w:rPr>
        <w:fldChar w:fldCharType="separate"/>
      </w:r>
      <w:r>
        <w:rPr>
          <w:rFonts w:hint="eastAsia" w:ascii="宋体" w:hAnsi="宋体" w:cs="宋体"/>
          <w:szCs w:val="28"/>
          <w:highlight w:val="none"/>
        </w:rPr>
        <w:t>第二章  投标文件的编写及编制顺序</w:t>
      </w:r>
      <w:r>
        <w:rPr>
          <w:highlight w:val="none"/>
        </w:rPr>
        <w:tab/>
      </w:r>
      <w:r>
        <w:rPr>
          <w:highlight w:val="none"/>
        </w:rPr>
        <w:fldChar w:fldCharType="begin"/>
      </w:r>
      <w:r>
        <w:rPr>
          <w:highlight w:val="none"/>
        </w:rPr>
        <w:instrText xml:space="preserve"> PAGEREF _Toc28206 \h </w:instrText>
      </w:r>
      <w:r>
        <w:rPr>
          <w:highlight w:val="none"/>
        </w:rPr>
        <w:fldChar w:fldCharType="separate"/>
      </w:r>
      <w:r>
        <w:rPr>
          <w:highlight w:val="none"/>
        </w:rPr>
        <w:t>14</w:t>
      </w:r>
      <w:r>
        <w:rPr>
          <w:highlight w:val="none"/>
        </w:rPr>
        <w:fldChar w:fldCharType="end"/>
      </w:r>
      <w:r>
        <w:rPr>
          <w:szCs w:val="24"/>
          <w:highlight w:val="none"/>
        </w:rPr>
        <w:fldChar w:fldCharType="end"/>
      </w:r>
    </w:p>
    <w:p w14:paraId="5B3C4B9D">
      <w:pPr>
        <w:pStyle w:val="21"/>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_Toc21933 </w:instrText>
      </w:r>
      <w:r>
        <w:rPr>
          <w:szCs w:val="24"/>
          <w:highlight w:val="none"/>
        </w:rPr>
        <w:fldChar w:fldCharType="separate"/>
      </w:r>
      <w:r>
        <w:rPr>
          <w:rFonts w:hint="eastAsia" w:ascii="宋体" w:hAnsi="宋体" w:cs="宋体"/>
          <w:szCs w:val="28"/>
          <w:highlight w:val="none"/>
        </w:rPr>
        <w:t>第三章  投标文件的递交</w:t>
      </w:r>
      <w:r>
        <w:rPr>
          <w:highlight w:val="none"/>
        </w:rPr>
        <w:tab/>
      </w:r>
      <w:r>
        <w:rPr>
          <w:highlight w:val="none"/>
        </w:rPr>
        <w:fldChar w:fldCharType="begin"/>
      </w:r>
      <w:r>
        <w:rPr>
          <w:highlight w:val="none"/>
        </w:rPr>
        <w:instrText xml:space="preserve"> PAGEREF _Toc21933 \h </w:instrText>
      </w:r>
      <w:r>
        <w:rPr>
          <w:highlight w:val="none"/>
        </w:rPr>
        <w:fldChar w:fldCharType="separate"/>
      </w:r>
      <w:r>
        <w:rPr>
          <w:highlight w:val="none"/>
        </w:rPr>
        <w:t>18</w:t>
      </w:r>
      <w:r>
        <w:rPr>
          <w:highlight w:val="none"/>
        </w:rPr>
        <w:fldChar w:fldCharType="end"/>
      </w:r>
      <w:r>
        <w:rPr>
          <w:szCs w:val="24"/>
          <w:highlight w:val="none"/>
        </w:rPr>
        <w:fldChar w:fldCharType="end"/>
      </w:r>
    </w:p>
    <w:p w14:paraId="61D2C0A7">
      <w:pPr>
        <w:pStyle w:val="21"/>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_Toc10048 </w:instrText>
      </w:r>
      <w:r>
        <w:rPr>
          <w:szCs w:val="24"/>
          <w:highlight w:val="none"/>
        </w:rPr>
        <w:fldChar w:fldCharType="separate"/>
      </w:r>
      <w:r>
        <w:rPr>
          <w:rFonts w:hint="eastAsia" w:ascii="宋体" w:hAnsi="宋体" w:cs="宋体"/>
          <w:szCs w:val="28"/>
          <w:highlight w:val="none"/>
        </w:rPr>
        <w:t>第四章  开标</w:t>
      </w:r>
      <w:r>
        <w:rPr>
          <w:rFonts w:hint="eastAsia" w:ascii="宋体" w:hAnsi="宋体" w:cs="宋体"/>
          <w:szCs w:val="28"/>
          <w:highlight w:val="none"/>
          <w:lang w:eastAsia="zh-CN"/>
        </w:rPr>
        <w:t>（</w:t>
      </w:r>
      <w:r>
        <w:rPr>
          <w:rFonts w:hint="eastAsia" w:ascii="宋体" w:hAnsi="宋体" w:cs="宋体"/>
          <w:szCs w:val="28"/>
          <w:highlight w:val="none"/>
        </w:rPr>
        <w:t>政采云不见面开标</w:t>
      </w:r>
      <w:r>
        <w:rPr>
          <w:rFonts w:hint="eastAsia" w:ascii="宋体" w:hAnsi="宋体" w:cs="宋体"/>
          <w:szCs w:val="28"/>
          <w:highlight w:val="none"/>
          <w:lang w:eastAsia="zh-CN"/>
        </w:rPr>
        <w:t>）</w:t>
      </w:r>
      <w:r>
        <w:rPr>
          <w:highlight w:val="none"/>
        </w:rPr>
        <w:tab/>
      </w:r>
      <w:r>
        <w:rPr>
          <w:highlight w:val="none"/>
        </w:rPr>
        <w:fldChar w:fldCharType="begin"/>
      </w:r>
      <w:r>
        <w:rPr>
          <w:highlight w:val="none"/>
        </w:rPr>
        <w:instrText xml:space="preserve"> PAGEREF _Toc10048 \h </w:instrText>
      </w:r>
      <w:r>
        <w:rPr>
          <w:highlight w:val="none"/>
        </w:rPr>
        <w:fldChar w:fldCharType="separate"/>
      </w:r>
      <w:r>
        <w:rPr>
          <w:highlight w:val="none"/>
        </w:rPr>
        <w:t>19</w:t>
      </w:r>
      <w:r>
        <w:rPr>
          <w:highlight w:val="none"/>
        </w:rPr>
        <w:fldChar w:fldCharType="end"/>
      </w:r>
      <w:r>
        <w:rPr>
          <w:szCs w:val="24"/>
          <w:highlight w:val="none"/>
        </w:rPr>
        <w:fldChar w:fldCharType="end"/>
      </w:r>
    </w:p>
    <w:p w14:paraId="3943763A">
      <w:pPr>
        <w:pStyle w:val="21"/>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_Toc23811 </w:instrText>
      </w:r>
      <w:r>
        <w:rPr>
          <w:szCs w:val="24"/>
          <w:highlight w:val="none"/>
        </w:rPr>
        <w:fldChar w:fldCharType="separate"/>
      </w:r>
      <w:r>
        <w:rPr>
          <w:rFonts w:hint="eastAsia" w:ascii="宋体" w:hAnsi="宋体" w:cs="宋体"/>
          <w:szCs w:val="28"/>
          <w:highlight w:val="none"/>
        </w:rPr>
        <w:t>第五章  定标</w:t>
      </w:r>
      <w:r>
        <w:rPr>
          <w:highlight w:val="none"/>
        </w:rPr>
        <w:tab/>
      </w:r>
      <w:r>
        <w:rPr>
          <w:highlight w:val="none"/>
        </w:rPr>
        <w:fldChar w:fldCharType="begin"/>
      </w:r>
      <w:r>
        <w:rPr>
          <w:highlight w:val="none"/>
        </w:rPr>
        <w:instrText xml:space="preserve"> PAGEREF _Toc23811 \h </w:instrText>
      </w:r>
      <w:r>
        <w:rPr>
          <w:highlight w:val="none"/>
        </w:rPr>
        <w:fldChar w:fldCharType="separate"/>
      </w:r>
      <w:r>
        <w:rPr>
          <w:highlight w:val="none"/>
        </w:rPr>
        <w:t>20</w:t>
      </w:r>
      <w:r>
        <w:rPr>
          <w:highlight w:val="none"/>
        </w:rPr>
        <w:fldChar w:fldCharType="end"/>
      </w:r>
      <w:r>
        <w:rPr>
          <w:szCs w:val="24"/>
          <w:highlight w:val="none"/>
        </w:rPr>
        <w:fldChar w:fldCharType="end"/>
      </w:r>
    </w:p>
    <w:p w14:paraId="5CA79EF1">
      <w:pPr>
        <w:pStyle w:val="21"/>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_Toc13364 </w:instrText>
      </w:r>
      <w:r>
        <w:rPr>
          <w:szCs w:val="24"/>
          <w:highlight w:val="none"/>
        </w:rPr>
        <w:fldChar w:fldCharType="separate"/>
      </w:r>
      <w:r>
        <w:rPr>
          <w:rFonts w:hint="eastAsia" w:ascii="宋体" w:hAnsi="宋体" w:cs="宋体"/>
          <w:szCs w:val="28"/>
          <w:highlight w:val="none"/>
        </w:rPr>
        <w:t>第六章  授予合同</w:t>
      </w:r>
      <w:r>
        <w:rPr>
          <w:highlight w:val="none"/>
        </w:rPr>
        <w:tab/>
      </w:r>
      <w:r>
        <w:rPr>
          <w:highlight w:val="none"/>
        </w:rPr>
        <w:fldChar w:fldCharType="begin"/>
      </w:r>
      <w:r>
        <w:rPr>
          <w:highlight w:val="none"/>
        </w:rPr>
        <w:instrText xml:space="preserve"> PAGEREF _Toc13364 \h </w:instrText>
      </w:r>
      <w:r>
        <w:rPr>
          <w:highlight w:val="none"/>
        </w:rPr>
        <w:fldChar w:fldCharType="separate"/>
      </w:r>
      <w:r>
        <w:rPr>
          <w:highlight w:val="none"/>
        </w:rPr>
        <w:t>24</w:t>
      </w:r>
      <w:r>
        <w:rPr>
          <w:highlight w:val="none"/>
        </w:rPr>
        <w:fldChar w:fldCharType="end"/>
      </w:r>
      <w:r>
        <w:rPr>
          <w:szCs w:val="24"/>
          <w:highlight w:val="none"/>
        </w:rPr>
        <w:fldChar w:fldCharType="end"/>
      </w:r>
    </w:p>
    <w:p w14:paraId="669EE4ED">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_Toc7527 </w:instrText>
      </w:r>
      <w:r>
        <w:rPr>
          <w:szCs w:val="24"/>
          <w:highlight w:val="none"/>
        </w:rPr>
        <w:fldChar w:fldCharType="separate"/>
      </w:r>
      <w:r>
        <w:rPr>
          <w:szCs w:val="32"/>
          <w:highlight w:val="none"/>
        </w:rPr>
        <w:t xml:space="preserve">第四部分  </w:t>
      </w:r>
      <w:r>
        <w:rPr>
          <w:rFonts w:hint="eastAsia"/>
          <w:szCs w:val="32"/>
          <w:highlight w:val="none"/>
          <w:lang w:eastAsia="zh-CN"/>
        </w:rPr>
        <w:t>采购需求</w:t>
      </w:r>
      <w:r>
        <w:rPr>
          <w:highlight w:val="none"/>
        </w:rPr>
        <w:tab/>
      </w:r>
      <w:r>
        <w:rPr>
          <w:highlight w:val="none"/>
        </w:rPr>
        <w:fldChar w:fldCharType="begin"/>
      </w:r>
      <w:r>
        <w:rPr>
          <w:highlight w:val="none"/>
        </w:rPr>
        <w:instrText xml:space="preserve"> PAGEREF _Toc7527 \h </w:instrText>
      </w:r>
      <w:r>
        <w:rPr>
          <w:highlight w:val="none"/>
        </w:rPr>
        <w:fldChar w:fldCharType="separate"/>
      </w:r>
      <w:r>
        <w:rPr>
          <w:highlight w:val="none"/>
        </w:rPr>
        <w:t>27</w:t>
      </w:r>
      <w:r>
        <w:rPr>
          <w:highlight w:val="none"/>
        </w:rPr>
        <w:fldChar w:fldCharType="end"/>
      </w:r>
      <w:r>
        <w:rPr>
          <w:szCs w:val="24"/>
          <w:highlight w:val="none"/>
        </w:rPr>
        <w:fldChar w:fldCharType="end"/>
      </w:r>
    </w:p>
    <w:p w14:paraId="4C6B837F">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_Toc9809 </w:instrText>
      </w:r>
      <w:r>
        <w:rPr>
          <w:szCs w:val="24"/>
          <w:highlight w:val="none"/>
        </w:rPr>
        <w:fldChar w:fldCharType="separate"/>
      </w:r>
      <w:r>
        <w:rPr>
          <w:szCs w:val="32"/>
          <w:highlight w:val="none"/>
        </w:rPr>
        <w:t>第五部分  合同条款</w:t>
      </w:r>
      <w:r>
        <w:rPr>
          <w:highlight w:val="none"/>
        </w:rPr>
        <w:tab/>
      </w:r>
      <w:r>
        <w:rPr>
          <w:highlight w:val="none"/>
        </w:rPr>
        <w:fldChar w:fldCharType="begin"/>
      </w:r>
      <w:r>
        <w:rPr>
          <w:highlight w:val="none"/>
        </w:rPr>
        <w:instrText xml:space="preserve"> PAGEREF _Toc9809 \h </w:instrText>
      </w:r>
      <w:r>
        <w:rPr>
          <w:highlight w:val="none"/>
        </w:rPr>
        <w:fldChar w:fldCharType="separate"/>
      </w:r>
      <w:r>
        <w:rPr>
          <w:highlight w:val="none"/>
        </w:rPr>
        <w:t>28</w:t>
      </w:r>
      <w:r>
        <w:rPr>
          <w:highlight w:val="none"/>
        </w:rPr>
        <w:fldChar w:fldCharType="end"/>
      </w:r>
      <w:r>
        <w:rPr>
          <w:szCs w:val="24"/>
          <w:highlight w:val="none"/>
        </w:rPr>
        <w:fldChar w:fldCharType="end"/>
      </w:r>
    </w:p>
    <w:p w14:paraId="0A3A736C">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_Toc9321 </w:instrText>
      </w:r>
      <w:r>
        <w:rPr>
          <w:szCs w:val="24"/>
          <w:highlight w:val="none"/>
        </w:rPr>
        <w:fldChar w:fldCharType="separate"/>
      </w:r>
      <w:r>
        <w:rPr>
          <w:szCs w:val="32"/>
          <w:highlight w:val="none"/>
        </w:rPr>
        <w:t xml:space="preserve">第六部分 </w:t>
      </w:r>
      <w:r>
        <w:rPr>
          <w:rFonts w:hint="eastAsia"/>
          <w:szCs w:val="32"/>
          <w:highlight w:val="none"/>
          <w:lang w:eastAsia="zh-CN"/>
        </w:rPr>
        <w:t>投标文件格式</w:t>
      </w:r>
      <w:r>
        <w:rPr>
          <w:highlight w:val="none"/>
        </w:rPr>
        <w:tab/>
      </w:r>
      <w:r>
        <w:rPr>
          <w:highlight w:val="none"/>
        </w:rPr>
        <w:fldChar w:fldCharType="begin"/>
      </w:r>
      <w:r>
        <w:rPr>
          <w:highlight w:val="none"/>
        </w:rPr>
        <w:instrText xml:space="preserve"> PAGEREF _Toc9321 \h </w:instrText>
      </w:r>
      <w:r>
        <w:rPr>
          <w:highlight w:val="none"/>
        </w:rPr>
        <w:fldChar w:fldCharType="separate"/>
      </w:r>
      <w:r>
        <w:rPr>
          <w:highlight w:val="none"/>
        </w:rPr>
        <w:t>41</w:t>
      </w:r>
      <w:r>
        <w:rPr>
          <w:highlight w:val="none"/>
        </w:rPr>
        <w:fldChar w:fldCharType="end"/>
      </w:r>
      <w:r>
        <w:rPr>
          <w:szCs w:val="24"/>
          <w:highlight w:val="none"/>
        </w:rPr>
        <w:fldChar w:fldCharType="end"/>
      </w:r>
    </w:p>
    <w:p w14:paraId="4BAE2BA9">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_Toc7351 </w:instrText>
      </w:r>
      <w:r>
        <w:rPr>
          <w:szCs w:val="24"/>
          <w:highlight w:val="none"/>
        </w:rPr>
        <w:fldChar w:fldCharType="separate"/>
      </w:r>
      <w:r>
        <w:rPr>
          <w:szCs w:val="32"/>
          <w:highlight w:val="none"/>
        </w:rPr>
        <w:t>第七部分  评标办法和细则</w:t>
      </w:r>
      <w:r>
        <w:rPr>
          <w:highlight w:val="none"/>
        </w:rPr>
        <w:tab/>
      </w:r>
      <w:r>
        <w:rPr>
          <w:highlight w:val="none"/>
        </w:rPr>
        <w:fldChar w:fldCharType="begin"/>
      </w:r>
      <w:r>
        <w:rPr>
          <w:highlight w:val="none"/>
        </w:rPr>
        <w:instrText xml:space="preserve"> PAGEREF _Toc7351 \h </w:instrText>
      </w:r>
      <w:r>
        <w:rPr>
          <w:highlight w:val="none"/>
        </w:rPr>
        <w:fldChar w:fldCharType="separate"/>
      </w:r>
      <w:r>
        <w:rPr>
          <w:highlight w:val="none"/>
        </w:rPr>
        <w:t>65</w:t>
      </w:r>
      <w:r>
        <w:rPr>
          <w:highlight w:val="none"/>
        </w:rPr>
        <w:fldChar w:fldCharType="end"/>
      </w:r>
      <w:r>
        <w:rPr>
          <w:szCs w:val="24"/>
          <w:highlight w:val="none"/>
        </w:rPr>
        <w:fldChar w:fldCharType="end"/>
      </w:r>
    </w:p>
    <w:p w14:paraId="49D8336E">
      <w:pPr>
        <w:pStyle w:val="19"/>
        <w:tabs>
          <w:tab w:val="right" w:leader="dot" w:pos="9746"/>
        </w:tabs>
        <w:spacing w:line="480" w:lineRule="auto"/>
        <w:rPr>
          <w:highlight w:val="none"/>
        </w:rPr>
      </w:pPr>
      <w:r>
        <w:rPr>
          <w:szCs w:val="24"/>
          <w:highlight w:val="none"/>
        </w:rPr>
        <w:fldChar w:fldCharType="begin"/>
      </w:r>
      <w:r>
        <w:rPr>
          <w:szCs w:val="24"/>
          <w:highlight w:val="none"/>
        </w:rPr>
        <w:instrText xml:space="preserve"> HYPERLINK \l _Toc576 </w:instrText>
      </w:r>
      <w:r>
        <w:rPr>
          <w:szCs w:val="24"/>
          <w:highlight w:val="none"/>
        </w:rPr>
        <w:fldChar w:fldCharType="separate"/>
      </w:r>
      <w:r>
        <w:rPr>
          <w:rFonts w:hint="eastAsia"/>
          <w:szCs w:val="32"/>
          <w:highlight w:val="none"/>
          <w:lang w:eastAsia="zh-CN"/>
        </w:rPr>
        <w:t>第八部分</w:t>
      </w:r>
      <w:r>
        <w:rPr>
          <w:rFonts w:hint="eastAsia"/>
          <w:szCs w:val="32"/>
          <w:highlight w:val="none"/>
          <w:lang w:val="en-US" w:eastAsia="zh-CN"/>
        </w:rPr>
        <w:t xml:space="preserve">  </w:t>
      </w:r>
      <w:r>
        <w:rPr>
          <w:rFonts w:hint="eastAsia"/>
          <w:szCs w:val="32"/>
          <w:highlight w:val="none"/>
        </w:rPr>
        <w:t>政府采购项目招标代理协议书</w:t>
      </w:r>
      <w:r>
        <w:rPr>
          <w:highlight w:val="none"/>
        </w:rPr>
        <w:tab/>
      </w:r>
      <w:r>
        <w:rPr>
          <w:highlight w:val="none"/>
        </w:rPr>
        <w:fldChar w:fldCharType="begin"/>
      </w:r>
      <w:r>
        <w:rPr>
          <w:highlight w:val="none"/>
        </w:rPr>
        <w:instrText xml:space="preserve"> PAGEREF _Toc576 \h </w:instrText>
      </w:r>
      <w:r>
        <w:rPr>
          <w:highlight w:val="none"/>
        </w:rPr>
        <w:fldChar w:fldCharType="separate"/>
      </w:r>
      <w:r>
        <w:rPr>
          <w:highlight w:val="none"/>
        </w:rPr>
        <w:t>74</w:t>
      </w:r>
      <w:r>
        <w:rPr>
          <w:highlight w:val="none"/>
        </w:rPr>
        <w:fldChar w:fldCharType="end"/>
      </w:r>
      <w:r>
        <w:rPr>
          <w:szCs w:val="24"/>
          <w:highlight w:val="none"/>
        </w:rPr>
        <w:fldChar w:fldCharType="end"/>
      </w:r>
    </w:p>
    <w:p w14:paraId="5FEA2FC6">
      <w:pPr>
        <w:pStyle w:val="19"/>
        <w:tabs>
          <w:tab w:val="right" w:leader="dot" w:pos="9736"/>
        </w:tabs>
        <w:spacing w:line="480" w:lineRule="auto"/>
        <w:rPr>
          <w:rFonts w:hint="eastAsia" w:eastAsia="宋体" w:asciiTheme="minorHAnsi" w:hAnsiTheme="minorHAnsi" w:cstheme="minorBidi"/>
          <w:sz w:val="28"/>
          <w:szCs w:val="28"/>
          <w:highlight w:val="none"/>
          <w:lang w:val="en-US" w:eastAsia="zh-CN" w:bidi="ar-SA"/>
        </w:rPr>
      </w:pPr>
      <w:r>
        <w:rPr>
          <w:szCs w:val="24"/>
          <w:highlight w:val="none"/>
        </w:rPr>
        <w:fldChar w:fldCharType="end"/>
      </w:r>
    </w:p>
    <w:p w14:paraId="3F8C1C70">
      <w:pPr>
        <w:adjustRightInd w:val="0"/>
        <w:snapToGrid w:val="0"/>
        <w:spacing w:after="100" w:afterAutospacing="1" w:line="360" w:lineRule="auto"/>
        <w:jc w:val="center"/>
        <w:rPr>
          <w:b/>
          <w:sz w:val="28"/>
          <w:szCs w:val="28"/>
          <w:highlight w:val="none"/>
        </w:rPr>
        <w:sectPr>
          <w:footerReference r:id="rId6" w:type="first"/>
          <w:footerReference r:id="rId5" w:type="default"/>
          <w:pgSz w:w="11906" w:h="16838"/>
          <w:pgMar w:top="993" w:right="1080" w:bottom="1440" w:left="1080" w:header="4" w:footer="567" w:gutter="0"/>
          <w:pgNumType w:fmt="decimal" w:start="1"/>
          <w:cols w:space="720" w:num="1"/>
          <w:docGrid w:type="linesAndChars" w:linePitch="312" w:charSpace="0"/>
        </w:sectPr>
      </w:pPr>
    </w:p>
    <w:p w14:paraId="50401C14">
      <w:pPr>
        <w:adjustRightInd w:val="0"/>
        <w:snapToGrid w:val="0"/>
        <w:spacing w:after="100" w:afterAutospacing="1" w:line="240" w:lineRule="auto"/>
        <w:jc w:val="center"/>
        <w:rPr>
          <w:rFonts w:hint="eastAsia" w:ascii="宋体" w:hAnsi="宋体" w:eastAsia="宋体" w:cs="宋体"/>
          <w:b/>
          <w:bCs/>
          <w:sz w:val="32"/>
          <w:szCs w:val="32"/>
          <w:highlight w:val="none"/>
        </w:rPr>
      </w:pPr>
      <w:bookmarkStart w:id="0" w:name="_Toc7927"/>
      <w:r>
        <w:rPr>
          <w:rFonts w:hint="eastAsia" w:ascii="宋体" w:hAnsi="宋体" w:cs="宋体"/>
          <w:b/>
          <w:sz w:val="32"/>
          <w:szCs w:val="32"/>
          <w:highlight w:val="none"/>
          <w:lang w:eastAsia="zh-CN"/>
        </w:rPr>
        <w:t>库车市沉浸式文旅体验项目</w:t>
      </w:r>
      <w:r>
        <w:rPr>
          <w:rFonts w:hint="eastAsia" w:ascii="宋体" w:hAnsi="宋体" w:eastAsia="宋体" w:cs="宋体"/>
          <w:b/>
          <w:sz w:val="32"/>
          <w:szCs w:val="32"/>
          <w:highlight w:val="none"/>
          <w:lang w:eastAsia="zh-CN"/>
        </w:rPr>
        <w:t>公开</w:t>
      </w:r>
      <w:r>
        <w:rPr>
          <w:rFonts w:hint="eastAsia" w:ascii="宋体" w:hAnsi="宋体" w:eastAsia="宋体" w:cs="宋体"/>
          <w:b/>
          <w:sz w:val="32"/>
          <w:szCs w:val="32"/>
          <w:highlight w:val="none"/>
        </w:rPr>
        <w:t>招标公告</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1223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noWrap w:val="0"/>
            <w:vAlign w:val="top"/>
          </w:tcPr>
          <w:p w14:paraId="312C9C1C">
            <w:pPr>
              <w:pStyle w:val="2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项目概况</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w:t>
            </w:r>
            <w:r>
              <w:rPr>
                <w:rFonts w:hint="eastAsia" w:cs="宋体"/>
                <w:color w:val="333333"/>
                <w:sz w:val="24"/>
                <w:szCs w:val="24"/>
                <w:highlight w:val="none"/>
                <w:u w:val="single"/>
                <w:shd w:val="clear" w:color="auto" w:fill="FFFFFF"/>
                <w:lang w:eastAsia="zh-CN"/>
              </w:rPr>
              <w:t>库车市沉浸式文旅体验项目</w:t>
            </w:r>
            <w:r>
              <w:rPr>
                <w:rFonts w:hint="eastAsia" w:ascii="宋体" w:hAnsi="宋体" w:eastAsia="宋体" w:cs="宋体"/>
                <w:color w:val="333333"/>
                <w:sz w:val="24"/>
                <w:szCs w:val="24"/>
                <w:highlight w:val="none"/>
                <w:shd w:val="clear" w:color="auto" w:fill="FFFFFF"/>
              </w:rPr>
              <w:t>的潜在</w:t>
            </w:r>
            <w:r>
              <w:rPr>
                <w:rFonts w:hint="eastAsia" w:ascii="宋体" w:hAnsi="宋体" w:eastAsia="宋体" w:cs="宋体"/>
                <w:color w:val="333333"/>
                <w:sz w:val="24"/>
                <w:szCs w:val="24"/>
                <w:highlight w:val="none"/>
                <w:shd w:val="clear" w:color="auto" w:fill="FFFFFF"/>
                <w:lang w:eastAsia="zh-CN"/>
              </w:rPr>
              <w:t>投标人</w:t>
            </w:r>
            <w:r>
              <w:rPr>
                <w:rFonts w:hint="eastAsia" w:ascii="宋体" w:hAnsi="宋体" w:eastAsia="宋体" w:cs="宋体"/>
                <w:color w:val="333333"/>
                <w:sz w:val="24"/>
                <w:szCs w:val="24"/>
                <w:highlight w:val="none"/>
                <w:shd w:val="clear" w:color="auto" w:fill="FFFFFF"/>
              </w:rPr>
              <w:t>应在</w:t>
            </w:r>
            <w:r>
              <w:rPr>
                <w:rFonts w:hint="eastAsia" w:ascii="宋体" w:hAnsi="宋体" w:eastAsia="宋体" w:cs="宋体"/>
                <w:color w:val="333333"/>
                <w:sz w:val="24"/>
                <w:szCs w:val="24"/>
                <w:highlight w:val="none"/>
                <w:u w:val="single"/>
                <w:shd w:val="clear" w:color="auto" w:fill="FFFFFF"/>
              </w:rPr>
              <w:t>政采云平台</w:t>
            </w:r>
            <w:r>
              <w:rPr>
                <w:rFonts w:hint="eastAsia" w:ascii="宋体" w:hAnsi="宋体" w:eastAsia="宋体" w:cs="宋体"/>
                <w:color w:val="333333"/>
                <w:sz w:val="24"/>
                <w:szCs w:val="24"/>
                <w:highlight w:val="none"/>
                <w:shd w:val="clear" w:color="auto" w:fill="FFFFFF"/>
              </w:rPr>
              <w:t>获取（下载）</w:t>
            </w:r>
            <w:r>
              <w:rPr>
                <w:rFonts w:hint="eastAsia" w:ascii="宋体" w:hAnsi="宋体" w:eastAsia="宋体" w:cs="宋体"/>
                <w:color w:val="333333"/>
                <w:sz w:val="24"/>
                <w:szCs w:val="24"/>
                <w:highlight w:val="none"/>
                <w:shd w:val="clear" w:color="auto" w:fill="FFFFFF"/>
                <w:lang w:eastAsia="zh-CN"/>
              </w:rPr>
              <w:t>招标</w:t>
            </w:r>
            <w:r>
              <w:rPr>
                <w:rFonts w:hint="eastAsia" w:ascii="宋体" w:hAnsi="宋体" w:eastAsia="宋体" w:cs="宋体"/>
                <w:color w:val="333333"/>
                <w:sz w:val="24"/>
                <w:szCs w:val="24"/>
                <w:highlight w:val="none"/>
                <w:shd w:val="clear" w:color="auto" w:fill="FFFFFF"/>
              </w:rPr>
              <w:t>文件，并于</w:t>
            </w:r>
            <w:r>
              <w:rPr>
                <w:rFonts w:hint="eastAsia" w:ascii="宋体" w:hAnsi="宋体" w:eastAsia="宋体" w:cs="宋体"/>
                <w:color w:val="333333"/>
                <w:sz w:val="24"/>
                <w:szCs w:val="24"/>
                <w:highlight w:val="none"/>
                <w:u w:val="single"/>
                <w:shd w:val="clear" w:color="auto" w:fill="FFFFFF"/>
              </w:rPr>
              <w:t>202</w:t>
            </w:r>
            <w:r>
              <w:rPr>
                <w:rFonts w:hint="eastAsia" w:cs="宋体"/>
                <w:color w:val="333333"/>
                <w:sz w:val="24"/>
                <w:szCs w:val="24"/>
                <w:highlight w:val="none"/>
                <w:u w:val="single"/>
                <w:shd w:val="clear" w:color="auto" w:fill="FFFFFF"/>
                <w:lang w:val="en-US" w:eastAsia="zh-CN"/>
              </w:rPr>
              <w:t>6</w:t>
            </w:r>
            <w:r>
              <w:rPr>
                <w:rFonts w:hint="eastAsia" w:ascii="宋体" w:hAnsi="宋体" w:eastAsia="宋体" w:cs="宋体"/>
                <w:color w:val="333333"/>
                <w:sz w:val="24"/>
                <w:szCs w:val="24"/>
                <w:highlight w:val="none"/>
                <w:u w:val="single"/>
                <w:shd w:val="clear" w:color="auto" w:fill="FFFFFF"/>
              </w:rPr>
              <w:t>年</w:t>
            </w:r>
            <w:r>
              <w:rPr>
                <w:rFonts w:hint="eastAsia" w:cs="宋体"/>
                <w:color w:val="333333"/>
                <w:sz w:val="24"/>
                <w:szCs w:val="24"/>
                <w:highlight w:val="none"/>
                <w:u w:val="single"/>
                <w:shd w:val="clear" w:color="auto" w:fill="FFFFFF"/>
                <w:lang w:val="en-US" w:eastAsia="zh-CN"/>
              </w:rPr>
              <w:t>5</w:t>
            </w:r>
            <w:r>
              <w:rPr>
                <w:rFonts w:hint="eastAsia" w:ascii="宋体" w:hAnsi="宋体" w:eastAsia="宋体" w:cs="宋体"/>
                <w:color w:val="333333"/>
                <w:sz w:val="24"/>
                <w:szCs w:val="24"/>
                <w:highlight w:val="none"/>
                <w:u w:val="single"/>
                <w:shd w:val="clear" w:color="auto" w:fill="FFFFFF"/>
              </w:rPr>
              <w:t>月</w:t>
            </w:r>
            <w:r>
              <w:rPr>
                <w:rFonts w:hint="eastAsia" w:cs="宋体"/>
                <w:color w:val="333333"/>
                <w:sz w:val="24"/>
                <w:szCs w:val="24"/>
                <w:highlight w:val="none"/>
                <w:u w:val="single"/>
                <w:shd w:val="clear" w:color="auto" w:fill="FFFFFF"/>
                <w:lang w:val="en-US" w:eastAsia="zh-CN"/>
              </w:rPr>
              <w:t>6</w:t>
            </w:r>
            <w:r>
              <w:rPr>
                <w:rFonts w:hint="eastAsia" w:ascii="宋体" w:hAnsi="宋体" w:eastAsia="宋体" w:cs="宋体"/>
                <w:color w:val="333333"/>
                <w:sz w:val="24"/>
                <w:szCs w:val="24"/>
                <w:highlight w:val="none"/>
                <w:u w:val="single"/>
                <w:shd w:val="clear" w:color="auto" w:fill="FFFFFF"/>
              </w:rPr>
              <w:t>日1</w:t>
            </w:r>
            <w:r>
              <w:rPr>
                <w:rFonts w:hint="eastAsia" w:cs="宋体"/>
                <w:color w:val="333333"/>
                <w:sz w:val="24"/>
                <w:szCs w:val="24"/>
                <w:highlight w:val="none"/>
                <w:u w:val="single"/>
                <w:shd w:val="clear" w:color="auto" w:fill="FFFFFF"/>
                <w:lang w:val="en-US" w:eastAsia="zh-CN"/>
              </w:rPr>
              <w:t>6</w:t>
            </w:r>
            <w:r>
              <w:rPr>
                <w:rFonts w:hint="eastAsia" w:ascii="宋体" w:hAnsi="宋体" w:eastAsia="宋体" w:cs="宋体"/>
                <w:color w:val="333333"/>
                <w:sz w:val="24"/>
                <w:szCs w:val="24"/>
                <w:highlight w:val="none"/>
                <w:u w:val="single"/>
                <w:shd w:val="clear" w:color="auto" w:fill="FFFFFF"/>
              </w:rPr>
              <w:t>点</w:t>
            </w:r>
            <w:r>
              <w:rPr>
                <w:rFonts w:hint="eastAsia" w:eastAsia="宋体" w:cs="宋体"/>
                <w:color w:val="333333"/>
                <w:sz w:val="24"/>
                <w:szCs w:val="24"/>
                <w:highlight w:val="none"/>
                <w:u w:val="single"/>
                <w:shd w:val="clear" w:color="auto" w:fill="FFFFFF"/>
                <w:lang w:val="en-US" w:eastAsia="zh-CN"/>
              </w:rPr>
              <w:t>3</w:t>
            </w:r>
            <w:r>
              <w:rPr>
                <w:rFonts w:hint="eastAsia" w:ascii="宋体" w:hAnsi="宋体" w:eastAsia="宋体" w:cs="宋体"/>
                <w:color w:val="333333"/>
                <w:sz w:val="24"/>
                <w:szCs w:val="24"/>
                <w:highlight w:val="none"/>
                <w:u w:val="single"/>
                <w:shd w:val="clear" w:color="auto" w:fill="FFFFFF"/>
                <w:lang w:val="en-US" w:eastAsia="zh-CN"/>
              </w:rPr>
              <w:t>0</w:t>
            </w:r>
            <w:r>
              <w:rPr>
                <w:rFonts w:hint="eastAsia" w:ascii="宋体" w:hAnsi="宋体" w:eastAsia="宋体" w:cs="宋体"/>
                <w:color w:val="333333"/>
                <w:sz w:val="24"/>
                <w:szCs w:val="24"/>
                <w:highlight w:val="none"/>
                <w:u w:val="single"/>
                <w:shd w:val="clear" w:color="auto" w:fill="FFFFFF"/>
              </w:rPr>
              <w:t>分</w:t>
            </w:r>
            <w:r>
              <w:rPr>
                <w:rFonts w:hint="eastAsia" w:ascii="宋体" w:hAnsi="宋体" w:eastAsia="宋体" w:cs="宋体"/>
                <w:color w:val="333333"/>
                <w:sz w:val="24"/>
                <w:szCs w:val="24"/>
                <w:highlight w:val="none"/>
                <w:shd w:val="clear" w:color="auto" w:fill="FFFFFF"/>
              </w:rPr>
              <w:t>（北京时间）前</w:t>
            </w:r>
            <w:r>
              <w:rPr>
                <w:rFonts w:hint="eastAsia" w:ascii="宋体" w:hAnsi="宋体" w:eastAsia="宋体" w:cs="宋体"/>
                <w:color w:val="333333"/>
                <w:sz w:val="24"/>
                <w:szCs w:val="24"/>
                <w:highlight w:val="none"/>
                <w:shd w:val="clear" w:color="auto" w:fill="FFFFFF"/>
                <w:lang w:eastAsia="zh-CN"/>
              </w:rPr>
              <w:t>递</w:t>
            </w:r>
            <w:r>
              <w:rPr>
                <w:rFonts w:hint="eastAsia" w:ascii="宋体" w:hAnsi="宋体" w:eastAsia="宋体" w:cs="宋体"/>
                <w:color w:val="333333"/>
                <w:sz w:val="24"/>
                <w:szCs w:val="24"/>
                <w:highlight w:val="none"/>
                <w:shd w:val="clear" w:color="auto" w:fill="FFFFFF"/>
              </w:rPr>
              <w:t>交</w:t>
            </w:r>
            <w:r>
              <w:rPr>
                <w:rFonts w:hint="eastAsia" w:ascii="宋体" w:hAnsi="宋体" w:eastAsia="宋体" w:cs="宋体"/>
                <w:color w:val="333333"/>
                <w:sz w:val="24"/>
                <w:szCs w:val="24"/>
                <w:highlight w:val="none"/>
                <w:shd w:val="clear" w:color="auto" w:fill="FFFFFF"/>
                <w:lang w:eastAsia="zh-CN"/>
              </w:rPr>
              <w:t>投标</w:t>
            </w:r>
            <w:r>
              <w:rPr>
                <w:rFonts w:hint="eastAsia" w:ascii="宋体" w:hAnsi="宋体" w:eastAsia="宋体" w:cs="宋体"/>
                <w:color w:val="333333"/>
                <w:sz w:val="24"/>
                <w:szCs w:val="24"/>
                <w:highlight w:val="none"/>
                <w:shd w:val="clear" w:color="auto" w:fill="FFFFFF"/>
              </w:rPr>
              <w:t>文件。</w:t>
            </w:r>
          </w:p>
        </w:tc>
      </w:tr>
    </w:tbl>
    <w:p w14:paraId="6B9DD5D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sz w:val="24"/>
          <w:szCs w:val="24"/>
          <w:highlight w:val="none"/>
        </w:rPr>
      </w:pPr>
      <w:r>
        <w:rPr>
          <w:rFonts w:hint="eastAsia" w:ascii="宋体" w:hAnsi="宋体" w:eastAsia="宋体" w:cs="宋体"/>
          <w:b/>
          <w:bCs/>
          <w:color w:val="333333"/>
          <w:sz w:val="24"/>
          <w:szCs w:val="24"/>
          <w:highlight w:val="none"/>
          <w:shd w:val="clear" w:color="auto" w:fill="FFFFFF"/>
        </w:rPr>
        <w:t>一、项目基本情况</w:t>
      </w:r>
    </w:p>
    <w:p w14:paraId="6EE64BE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项目编号：</w:t>
      </w:r>
      <w:r>
        <w:rPr>
          <w:rFonts w:hint="eastAsia" w:cs="宋体"/>
          <w:color w:val="333333"/>
          <w:sz w:val="24"/>
          <w:szCs w:val="24"/>
          <w:highlight w:val="none"/>
          <w:shd w:val="clear" w:color="auto" w:fill="FFFFFF"/>
          <w:lang w:val="en-US" w:eastAsia="zh-CN"/>
        </w:rPr>
        <w:t>KCS2026-WT045</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项目名称：</w:t>
      </w:r>
      <w:r>
        <w:rPr>
          <w:rFonts w:hint="eastAsia" w:cs="宋体"/>
          <w:color w:val="333333"/>
          <w:sz w:val="24"/>
          <w:szCs w:val="24"/>
          <w:highlight w:val="none"/>
          <w:shd w:val="clear" w:color="auto" w:fill="FFFFFF"/>
          <w:lang w:eastAsia="zh-CN"/>
        </w:rPr>
        <w:t>库车市沉浸式文旅体验项目</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采购方式：</w:t>
      </w:r>
      <w:r>
        <w:rPr>
          <w:rFonts w:hint="eastAsia" w:ascii="宋体" w:hAnsi="宋体" w:eastAsia="宋体" w:cs="宋体"/>
          <w:color w:val="333333"/>
          <w:sz w:val="24"/>
          <w:szCs w:val="24"/>
          <w:highlight w:val="none"/>
          <w:shd w:val="clear" w:color="auto" w:fill="FFFFFF"/>
          <w:lang w:eastAsia="zh-CN"/>
        </w:rPr>
        <w:t>公开招标</w:t>
      </w:r>
      <w:r>
        <w:rPr>
          <w:rFonts w:hint="eastAsia" w:ascii="宋体" w:hAnsi="宋体" w:eastAsia="宋体" w:cs="宋体"/>
          <w:color w:val="333333"/>
          <w:sz w:val="24"/>
          <w:szCs w:val="24"/>
          <w:highlight w:val="none"/>
          <w:shd w:val="clear" w:color="auto" w:fill="FFFFFF"/>
        </w:rPr>
        <w:t xml:space="preserve"> </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预算金额：</w:t>
      </w:r>
      <w:r>
        <w:rPr>
          <w:rFonts w:hint="eastAsia" w:cs="宋体"/>
          <w:color w:val="333333"/>
          <w:sz w:val="24"/>
          <w:szCs w:val="24"/>
          <w:highlight w:val="none"/>
          <w:shd w:val="clear" w:color="auto" w:fill="FFFFFF"/>
          <w:lang w:val="en-US" w:eastAsia="zh-CN"/>
        </w:rPr>
        <w:t>40000</w:t>
      </w:r>
      <w:r>
        <w:rPr>
          <w:rFonts w:hint="eastAsia" w:ascii="宋体" w:hAnsi="宋体" w:eastAsia="宋体" w:cs="宋体"/>
          <w:color w:val="333333"/>
          <w:sz w:val="24"/>
          <w:szCs w:val="24"/>
          <w:highlight w:val="none"/>
          <w:shd w:val="clear" w:color="auto" w:fill="FFFFFF"/>
          <w:lang w:val="en-US" w:eastAsia="zh-CN"/>
        </w:rPr>
        <w:t>00.00元</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最高限价：</w:t>
      </w:r>
      <w:r>
        <w:rPr>
          <w:rFonts w:hint="eastAsia" w:cs="宋体"/>
          <w:color w:val="333333"/>
          <w:sz w:val="24"/>
          <w:szCs w:val="24"/>
          <w:highlight w:val="none"/>
          <w:shd w:val="clear" w:color="auto" w:fill="FFFFFF"/>
          <w:lang w:val="en-US" w:eastAsia="zh-CN"/>
        </w:rPr>
        <w:t>40000</w:t>
      </w:r>
      <w:r>
        <w:rPr>
          <w:rFonts w:hint="eastAsia" w:ascii="宋体" w:hAnsi="宋体" w:eastAsia="宋体" w:cs="宋体"/>
          <w:color w:val="333333"/>
          <w:sz w:val="24"/>
          <w:szCs w:val="24"/>
          <w:highlight w:val="none"/>
          <w:shd w:val="clear" w:color="auto" w:fill="FFFFFF"/>
          <w:lang w:val="en-US" w:eastAsia="zh-CN"/>
        </w:rPr>
        <w:t>00.00元</w:t>
      </w:r>
    </w:p>
    <w:p w14:paraId="0D4C7EFB">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lang w:eastAsia="zh-CN"/>
        </w:rPr>
      </w:pPr>
      <w:r>
        <w:rPr>
          <w:rFonts w:hint="eastAsia" w:cs="宋体"/>
          <w:color w:val="333333"/>
          <w:sz w:val="24"/>
          <w:szCs w:val="24"/>
          <w:highlight w:val="none"/>
          <w:shd w:val="clear" w:color="auto" w:fill="FFFFFF"/>
          <w:lang w:val="en-US" w:eastAsia="zh-CN"/>
        </w:rPr>
        <w:t>采购需求：为突破季节、天气与地理限制，打造四季皆宜的沉浸式旅游体验空间，以“穿越时空的独库之旅”为核心概念，通过VR、AR、XR等数字技术手段，在库车市部署VR/AR设备，展现独库公路沿线的四季美景与多变气候，从雪山冰川到草原湖泊，从峡谷森林到戈壁荒漠，通过数字技术强化景观的视觉冲击力。</w:t>
      </w:r>
      <w:r>
        <w:rPr>
          <w:rFonts w:hint="eastAsia" w:ascii="宋体" w:hAnsi="宋体" w:eastAsia="宋体" w:cs="宋体"/>
          <w:color w:val="333333"/>
          <w:sz w:val="24"/>
          <w:szCs w:val="24"/>
          <w:highlight w:val="none"/>
          <w:shd w:val="clear" w:color="auto" w:fill="FFFFFF"/>
          <w:lang w:val="en-US" w:eastAsia="zh-CN"/>
        </w:rPr>
        <w:t>（具体详见</w:t>
      </w:r>
      <w:r>
        <w:rPr>
          <w:rFonts w:hint="eastAsia" w:ascii="宋体" w:hAnsi="宋体" w:cs="宋体"/>
          <w:color w:val="333333"/>
          <w:sz w:val="24"/>
          <w:szCs w:val="24"/>
          <w:highlight w:val="none"/>
          <w:shd w:val="clear" w:color="auto" w:fill="FFFFFF"/>
          <w:lang w:val="en-US" w:eastAsia="zh-CN"/>
        </w:rPr>
        <w:t>采购需求</w:t>
      </w:r>
      <w:r>
        <w:rPr>
          <w:rFonts w:hint="eastAsia" w:ascii="宋体" w:hAnsi="宋体" w:eastAsia="宋体" w:cs="宋体"/>
          <w:color w:val="333333"/>
          <w:sz w:val="24"/>
          <w:szCs w:val="24"/>
          <w:highlight w:val="none"/>
          <w:shd w:val="clear" w:color="auto" w:fill="FFFFFF"/>
          <w:lang w:val="en-US" w:eastAsia="zh-CN"/>
        </w:rPr>
        <w:t>）</w:t>
      </w:r>
      <w:r>
        <w:rPr>
          <w:rFonts w:hint="eastAsia" w:ascii="宋体" w:hAnsi="宋体" w:eastAsia="宋体" w:cs="宋体"/>
          <w:color w:val="333333"/>
          <w:sz w:val="24"/>
          <w:szCs w:val="24"/>
          <w:highlight w:val="none"/>
          <w:shd w:val="clear" w:color="auto" w:fill="FFFFFF"/>
          <w:lang w:eastAsia="zh-CN"/>
        </w:rPr>
        <w:t>。</w:t>
      </w:r>
    </w:p>
    <w:p w14:paraId="270BA27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合同履行期限：本项目服务期限</w:t>
      </w:r>
      <w:r>
        <w:rPr>
          <w:rFonts w:hint="eastAsia" w:ascii="宋体" w:hAnsi="宋体" w:eastAsia="宋体" w:cs="宋体"/>
          <w:color w:val="333333"/>
          <w:sz w:val="24"/>
          <w:szCs w:val="24"/>
          <w:highlight w:val="none"/>
          <w:shd w:val="clear" w:color="auto" w:fill="FFFFFF"/>
          <w:lang w:val="en-US" w:eastAsia="zh-CN"/>
        </w:rPr>
        <w:t>4个月</w:t>
      </w:r>
      <w:r>
        <w:rPr>
          <w:rFonts w:hint="eastAsia" w:ascii="宋体" w:hAnsi="宋体" w:eastAsia="宋体" w:cs="宋体"/>
          <w:color w:val="333333"/>
          <w:sz w:val="24"/>
          <w:szCs w:val="24"/>
          <w:highlight w:val="none"/>
          <w:shd w:val="clear" w:color="auto" w:fill="FFFFFF"/>
        </w:rPr>
        <w:t>，具体按照甲乙双方签订的合同日期执行</w:t>
      </w:r>
      <w:r>
        <w:rPr>
          <w:rFonts w:hint="eastAsia" w:ascii="宋体" w:hAnsi="宋体" w:eastAsia="宋体" w:cs="宋体"/>
          <w:sz w:val="24"/>
          <w:szCs w:val="24"/>
          <w:highlight w:val="none"/>
          <w:lang w:val="en-US" w:eastAsia="zh-CN"/>
        </w:rPr>
        <w:t>。</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本项目不接受联合体。</w:t>
      </w:r>
    </w:p>
    <w:p w14:paraId="79A615CE">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left="437" w:leftChars="208" w:firstLine="0" w:firstLineChars="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二、申请人的资格要求</w:t>
      </w:r>
      <w:r>
        <w:rPr>
          <w:rFonts w:hint="eastAsia" w:ascii="宋体" w:hAnsi="宋体" w:eastAsia="宋体" w:cs="宋体"/>
          <w:color w:val="333333"/>
          <w:sz w:val="24"/>
          <w:szCs w:val="24"/>
          <w:highlight w:val="none"/>
          <w:shd w:val="clear" w:color="auto" w:fill="FFFFFF"/>
        </w:rPr>
        <w:t>：</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1.满足《中华人民共和国政府采购法》第二十二条规定；</w:t>
      </w:r>
    </w:p>
    <w:p w14:paraId="4175E67A">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2.落实政府采购政策需满足的资格要求：</w:t>
      </w:r>
      <w:r>
        <w:rPr>
          <w:rFonts w:hint="eastAsia" w:cs="宋体"/>
          <w:color w:val="333333"/>
          <w:sz w:val="24"/>
          <w:szCs w:val="24"/>
          <w:highlight w:val="none"/>
          <w:shd w:val="clear" w:color="auto" w:fill="FFFFFF"/>
          <w:lang w:val="en-US" w:eastAsia="zh-CN"/>
        </w:rPr>
        <w:t>本项目专门面向中小企业</w:t>
      </w:r>
    </w:p>
    <w:p w14:paraId="648C60D3">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本项目的特定资格要求：</w:t>
      </w:r>
    </w:p>
    <w:p w14:paraId="0203F923">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eastAsia="zh-CN"/>
        </w:rPr>
        <w:t>有效经年检</w:t>
      </w:r>
      <w:r>
        <w:rPr>
          <w:rFonts w:hint="eastAsia" w:cs="宋体"/>
          <w:color w:val="333333"/>
          <w:sz w:val="24"/>
          <w:szCs w:val="24"/>
          <w:highlight w:val="none"/>
          <w:shd w:val="clear" w:color="auto" w:fill="FFFFFF"/>
          <w:lang w:eastAsia="zh-CN"/>
        </w:rPr>
        <w:t>合格</w:t>
      </w:r>
      <w:r>
        <w:rPr>
          <w:rFonts w:hint="eastAsia" w:ascii="宋体" w:hAnsi="宋体" w:eastAsia="宋体" w:cs="宋体"/>
          <w:color w:val="333333"/>
          <w:sz w:val="24"/>
          <w:szCs w:val="24"/>
          <w:highlight w:val="none"/>
          <w:shd w:val="clear" w:color="auto" w:fill="FFFFFF"/>
          <w:lang w:eastAsia="zh-CN"/>
        </w:rPr>
        <w:t>的营业执照；</w:t>
      </w:r>
    </w:p>
    <w:p w14:paraId="1AC0D96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w:t>
      </w:r>
      <w:r>
        <w:rPr>
          <w:rFonts w:hint="eastAsia"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）法人代表或其委托代理人应提供本人身份证，委托代理人还应提供《法人代表授权委托书》</w:t>
      </w:r>
      <w:r>
        <w:rPr>
          <w:rFonts w:hint="eastAsia" w:ascii="宋体" w:hAnsi="宋体" w:eastAsia="宋体" w:cs="宋体"/>
          <w:color w:val="333333"/>
          <w:sz w:val="24"/>
          <w:szCs w:val="24"/>
          <w:highlight w:val="none"/>
          <w:shd w:val="clear" w:color="auto" w:fill="FFFFFF"/>
          <w:lang w:eastAsia="zh-CN"/>
        </w:rPr>
        <w:t>；</w:t>
      </w:r>
    </w:p>
    <w:p w14:paraId="1230D3E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lang w:eastAsia="zh-CN"/>
        </w:rPr>
        <w:t>（</w:t>
      </w:r>
      <w:r>
        <w:rPr>
          <w:rFonts w:hint="eastAsia"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lang w:eastAsia="zh-CN"/>
        </w:rPr>
        <w:t>）提供2023年至2025年任意一年的财务审计报告或财务报表（成立不足一年的提供成立至今的财务报表，包含资产负债表、现金流量表、利润表）；</w:t>
      </w:r>
    </w:p>
    <w:p w14:paraId="18B68491">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lang w:val="en-US" w:eastAsia="zh-CN"/>
        </w:rPr>
        <w:t>（</w:t>
      </w:r>
      <w:r>
        <w:rPr>
          <w:rFonts w:hint="eastAsia" w:cs="宋体"/>
          <w:color w:val="333333"/>
          <w:sz w:val="24"/>
          <w:szCs w:val="24"/>
          <w:highlight w:val="none"/>
          <w:shd w:val="clear" w:color="auto" w:fill="FFFFFF"/>
          <w:lang w:val="en-US" w:eastAsia="zh-CN"/>
        </w:rPr>
        <w:t>4</w:t>
      </w:r>
      <w:r>
        <w:rPr>
          <w:rFonts w:hint="eastAsia" w:ascii="宋体" w:hAnsi="宋体" w:eastAsia="宋体" w:cs="宋体"/>
          <w:color w:val="333333"/>
          <w:sz w:val="24"/>
          <w:szCs w:val="24"/>
          <w:highlight w:val="none"/>
          <w:shd w:val="clear" w:color="auto" w:fill="FFFFFF"/>
          <w:lang w:val="en-US" w:eastAsia="zh-CN"/>
        </w:rPr>
        <w:t>）有依法缴纳税收和社会保障资金的良好纪录，提供202</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lang w:val="en-US" w:eastAsia="zh-CN"/>
        </w:rPr>
        <w:t>年内任意一个月完税、缴纳社保证明原件或复印件加盖公章（公司成立不到三个月的从成立之日起）；</w:t>
      </w:r>
    </w:p>
    <w:p w14:paraId="607C8969">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0" w:firstLineChars="2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w:t>
      </w:r>
      <w:r>
        <w:rPr>
          <w:rFonts w:hint="eastAsia"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）供应商未被信用中国（www.creditchina.gov.cn）列入失信被执行人、重大税收违法案件当事人名单；未被中国政府采购网（www.ccgp.gov.cn）列入政府采购严重违法失信行为记录名单。</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）与</w:t>
      </w:r>
      <w:r>
        <w:rPr>
          <w:rFonts w:hint="eastAsia" w:ascii="宋体" w:hAnsi="宋体" w:eastAsia="宋体" w:cs="宋体"/>
          <w:color w:val="333333"/>
          <w:sz w:val="24"/>
          <w:szCs w:val="24"/>
          <w:highlight w:val="none"/>
          <w:shd w:val="clear" w:color="auto" w:fill="FFFFFF"/>
          <w:lang w:eastAsia="zh-CN"/>
        </w:rPr>
        <w:t>采购人</w:t>
      </w:r>
      <w:r>
        <w:rPr>
          <w:rFonts w:hint="eastAsia" w:ascii="宋体" w:hAnsi="宋体" w:eastAsia="宋体" w:cs="宋体"/>
          <w:color w:val="333333"/>
          <w:sz w:val="24"/>
          <w:szCs w:val="24"/>
          <w:highlight w:val="none"/>
          <w:shd w:val="clear" w:color="auto" w:fill="FFFFFF"/>
        </w:rPr>
        <w:t>存在利害关系可能影响</w:t>
      </w:r>
      <w:r>
        <w:rPr>
          <w:rFonts w:hint="eastAsia" w:ascii="宋体" w:hAnsi="宋体" w:eastAsia="宋体" w:cs="宋体"/>
          <w:color w:val="333333"/>
          <w:sz w:val="24"/>
          <w:szCs w:val="24"/>
          <w:highlight w:val="none"/>
          <w:shd w:val="clear" w:color="auto" w:fill="FFFFFF"/>
          <w:lang w:eastAsia="zh-CN"/>
        </w:rPr>
        <w:t>采购</w:t>
      </w:r>
      <w:r>
        <w:rPr>
          <w:rFonts w:hint="eastAsia" w:ascii="宋体" w:hAnsi="宋体" w:eastAsia="宋体" w:cs="宋体"/>
          <w:color w:val="333333"/>
          <w:sz w:val="24"/>
          <w:szCs w:val="24"/>
          <w:highlight w:val="none"/>
          <w:shd w:val="clear" w:color="auto" w:fill="FFFFFF"/>
        </w:rPr>
        <w:t>公正性的单位，不得参加</w:t>
      </w:r>
      <w:r>
        <w:rPr>
          <w:rFonts w:hint="eastAsia" w:cs="宋体"/>
          <w:color w:val="333333"/>
          <w:sz w:val="24"/>
          <w:szCs w:val="24"/>
          <w:highlight w:val="none"/>
          <w:shd w:val="clear" w:color="auto" w:fill="FFFFFF"/>
          <w:lang w:val="en-US" w:eastAsia="zh-CN"/>
        </w:rPr>
        <w:t>投标</w:t>
      </w:r>
      <w:r>
        <w:rPr>
          <w:rFonts w:hint="eastAsia" w:ascii="宋体" w:hAnsi="宋体" w:eastAsia="宋体" w:cs="宋体"/>
          <w:color w:val="333333"/>
          <w:sz w:val="24"/>
          <w:szCs w:val="24"/>
          <w:highlight w:val="none"/>
          <w:shd w:val="clear" w:color="auto" w:fill="FFFFFF"/>
        </w:rPr>
        <w:t>。单位负责人为同一人或者存在直接控股、管理关系的不同供应商，不得参加同一合同项下的政府采购活动</w:t>
      </w:r>
      <w:r>
        <w:rPr>
          <w:rFonts w:hint="eastAsia" w:ascii="宋体" w:hAnsi="宋体" w:eastAsia="宋体" w:cs="宋体"/>
          <w:color w:val="333333"/>
          <w:sz w:val="24"/>
          <w:szCs w:val="24"/>
          <w:highlight w:val="none"/>
          <w:shd w:val="clear" w:color="auto" w:fill="FFFFFF"/>
          <w:lang w:eastAsia="zh-CN"/>
        </w:rPr>
        <w:t>，否则，相关</w:t>
      </w:r>
      <w:r>
        <w:rPr>
          <w:rFonts w:hint="eastAsia" w:cs="宋体"/>
          <w:color w:val="333333"/>
          <w:sz w:val="24"/>
          <w:szCs w:val="24"/>
          <w:highlight w:val="none"/>
          <w:shd w:val="clear" w:color="auto" w:fill="FFFFFF"/>
          <w:lang w:val="en-US" w:eastAsia="zh-CN"/>
        </w:rPr>
        <w:t>投标</w:t>
      </w:r>
      <w:r>
        <w:rPr>
          <w:rFonts w:hint="eastAsia" w:ascii="宋体" w:hAnsi="宋体" w:eastAsia="宋体" w:cs="宋体"/>
          <w:color w:val="333333"/>
          <w:sz w:val="24"/>
          <w:szCs w:val="24"/>
          <w:highlight w:val="none"/>
          <w:shd w:val="clear" w:color="auto" w:fill="FFFFFF"/>
          <w:lang w:eastAsia="zh-CN"/>
        </w:rPr>
        <w:t>均无效。</w:t>
      </w:r>
    </w:p>
    <w:p w14:paraId="270AE86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82" w:firstLineChars="200"/>
        <w:textAlignment w:val="auto"/>
        <w:rPr>
          <w:rFonts w:hint="eastAsia" w:ascii="宋体" w:hAnsi="宋体" w:eastAsia="宋体" w:cs="宋体"/>
          <w:b/>
          <w:bCs/>
          <w:color w:val="333333"/>
          <w:sz w:val="24"/>
          <w:szCs w:val="24"/>
          <w:highlight w:val="none"/>
          <w:shd w:val="clear" w:color="auto" w:fill="FFFFFF"/>
          <w:lang w:val="en-US" w:eastAsia="zh-CN"/>
        </w:rPr>
      </w:pPr>
      <w:r>
        <w:rPr>
          <w:rFonts w:hint="eastAsia" w:ascii="宋体" w:hAnsi="宋体" w:eastAsia="宋体" w:cs="宋体"/>
          <w:b/>
          <w:bCs/>
          <w:color w:val="333333"/>
          <w:sz w:val="24"/>
          <w:szCs w:val="24"/>
          <w:highlight w:val="none"/>
          <w:shd w:val="clear" w:color="auto" w:fill="FFFFFF"/>
          <w:lang w:val="en-US" w:eastAsia="zh-CN"/>
        </w:rPr>
        <w:t>三、获取招标文件</w:t>
      </w:r>
    </w:p>
    <w:p w14:paraId="6123B23B">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时间：202</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年</w:t>
      </w:r>
      <w:r>
        <w:rPr>
          <w:rFonts w:hint="eastAsia" w:cs="宋体"/>
          <w:color w:val="333333"/>
          <w:sz w:val="24"/>
          <w:szCs w:val="24"/>
          <w:highlight w:val="none"/>
          <w:shd w:val="clear" w:color="auto" w:fill="FFFFFF"/>
          <w:lang w:val="en-US" w:eastAsia="zh-CN"/>
        </w:rPr>
        <w:t>4</w:t>
      </w:r>
      <w:r>
        <w:rPr>
          <w:rFonts w:hint="eastAsia" w:ascii="宋体" w:hAnsi="宋体" w:eastAsia="宋体" w:cs="宋体"/>
          <w:color w:val="333333"/>
          <w:sz w:val="24"/>
          <w:szCs w:val="24"/>
          <w:highlight w:val="none"/>
          <w:shd w:val="clear" w:color="auto" w:fill="FFFFFF"/>
        </w:rPr>
        <w:t>月</w:t>
      </w:r>
      <w:r>
        <w:rPr>
          <w:rFonts w:hint="eastAsia" w:cs="宋体"/>
          <w:color w:val="333333"/>
          <w:sz w:val="24"/>
          <w:szCs w:val="24"/>
          <w:highlight w:val="none"/>
          <w:shd w:val="clear" w:color="auto" w:fill="FFFFFF"/>
          <w:lang w:val="en-US" w:eastAsia="zh-CN"/>
        </w:rPr>
        <w:t>16</w:t>
      </w:r>
      <w:r>
        <w:rPr>
          <w:rFonts w:hint="eastAsia" w:ascii="宋体" w:hAnsi="宋体" w:eastAsia="宋体" w:cs="宋体"/>
          <w:color w:val="333333"/>
          <w:sz w:val="24"/>
          <w:szCs w:val="24"/>
          <w:highlight w:val="none"/>
          <w:shd w:val="clear" w:color="auto" w:fill="FFFFFF"/>
        </w:rPr>
        <w:t>日至202</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年</w:t>
      </w:r>
      <w:r>
        <w:rPr>
          <w:rFonts w:hint="eastAsia" w:cs="宋体"/>
          <w:color w:val="333333"/>
          <w:sz w:val="24"/>
          <w:szCs w:val="24"/>
          <w:highlight w:val="none"/>
          <w:shd w:val="clear" w:color="auto" w:fill="FFFFFF"/>
          <w:lang w:val="en-US" w:eastAsia="zh-CN"/>
        </w:rPr>
        <w:t>4</w:t>
      </w:r>
      <w:r>
        <w:rPr>
          <w:rFonts w:hint="eastAsia" w:ascii="宋体" w:hAnsi="宋体" w:eastAsia="宋体" w:cs="宋体"/>
          <w:color w:val="333333"/>
          <w:sz w:val="24"/>
          <w:szCs w:val="24"/>
          <w:highlight w:val="none"/>
          <w:shd w:val="clear" w:color="auto" w:fill="FFFFFF"/>
        </w:rPr>
        <w:t>月</w:t>
      </w:r>
      <w:r>
        <w:rPr>
          <w:rFonts w:hint="eastAsia" w:cs="宋体"/>
          <w:color w:val="333333"/>
          <w:sz w:val="24"/>
          <w:szCs w:val="24"/>
          <w:highlight w:val="none"/>
          <w:shd w:val="clear" w:color="auto" w:fill="FFFFFF"/>
          <w:lang w:val="en-US" w:eastAsia="zh-CN"/>
        </w:rPr>
        <w:t>23</w:t>
      </w:r>
      <w:r>
        <w:rPr>
          <w:rFonts w:hint="eastAsia" w:ascii="宋体" w:hAnsi="宋体" w:eastAsia="宋体" w:cs="宋体"/>
          <w:color w:val="333333"/>
          <w:sz w:val="24"/>
          <w:szCs w:val="24"/>
          <w:highlight w:val="none"/>
          <w:shd w:val="clear" w:color="auto" w:fill="FFFFFF"/>
        </w:rPr>
        <w:t>日，每天上午10：00至14:00，下午1</w:t>
      </w:r>
      <w:r>
        <w:rPr>
          <w:rFonts w:hint="eastAsia"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w:t>
      </w:r>
      <w:r>
        <w:rPr>
          <w:rFonts w:hint="eastAsia"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0至</w:t>
      </w:r>
      <w:r>
        <w:rPr>
          <w:rFonts w:hint="eastAsia" w:cs="宋体"/>
          <w:color w:val="333333"/>
          <w:sz w:val="24"/>
          <w:szCs w:val="24"/>
          <w:highlight w:val="none"/>
          <w:shd w:val="clear" w:color="auto" w:fill="FFFFFF"/>
          <w:lang w:val="en-US" w:eastAsia="zh-CN"/>
        </w:rPr>
        <w:t>19</w:t>
      </w:r>
      <w:r>
        <w:rPr>
          <w:rFonts w:hint="eastAsia" w:ascii="宋体" w:hAnsi="宋体" w:eastAsia="宋体" w:cs="宋体"/>
          <w:color w:val="333333"/>
          <w:sz w:val="24"/>
          <w:szCs w:val="24"/>
          <w:highlight w:val="none"/>
          <w:shd w:val="clear" w:color="auto" w:fill="FFFFFF"/>
        </w:rPr>
        <w:t>:</w:t>
      </w:r>
      <w:r>
        <w:rPr>
          <w:rFonts w:hint="eastAsia"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0（北京时间，法定节假日除外）</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地点（网址）：政采云平台</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方式：</w:t>
      </w:r>
      <w:r>
        <w:rPr>
          <w:rFonts w:hint="eastAsia" w:ascii="宋体" w:hAnsi="宋体" w:eastAsia="宋体" w:cs="宋体"/>
          <w:i w:val="0"/>
          <w:iCs w:val="0"/>
          <w:caps w:val="0"/>
          <w:color w:val="333333"/>
          <w:spacing w:val="0"/>
          <w:sz w:val="24"/>
          <w:szCs w:val="24"/>
          <w:highlight w:val="none"/>
          <w:shd w:val="clear" w:color="auto" w:fill="FFFFFF"/>
        </w:rPr>
        <w:t>政采云平台报名成功后</w:t>
      </w:r>
      <w:r>
        <w:rPr>
          <w:rFonts w:hint="eastAsia" w:ascii="宋体" w:hAnsi="宋体" w:eastAsia="宋体" w:cs="宋体"/>
          <w:i w:val="0"/>
          <w:iCs w:val="0"/>
          <w:caps w:val="0"/>
          <w:color w:val="333333"/>
          <w:spacing w:val="0"/>
          <w:sz w:val="24"/>
          <w:szCs w:val="24"/>
          <w:highlight w:val="none"/>
          <w:shd w:val="clear" w:color="auto" w:fill="FFFFFF"/>
          <w:lang w:eastAsia="zh-CN"/>
        </w:rPr>
        <w:t>免费</w:t>
      </w:r>
      <w:r>
        <w:rPr>
          <w:rFonts w:hint="eastAsia" w:ascii="宋体" w:hAnsi="宋体" w:eastAsia="宋体" w:cs="宋体"/>
          <w:i w:val="0"/>
          <w:iCs w:val="0"/>
          <w:caps w:val="0"/>
          <w:color w:val="333333"/>
          <w:spacing w:val="0"/>
          <w:sz w:val="24"/>
          <w:szCs w:val="24"/>
          <w:highlight w:val="none"/>
          <w:shd w:val="clear" w:color="auto" w:fill="FFFFFF"/>
        </w:rPr>
        <w:t>下载</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售价：0元</w:t>
      </w:r>
    </w:p>
    <w:p w14:paraId="2F1EC920">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sz w:val="24"/>
          <w:szCs w:val="24"/>
          <w:highlight w:val="none"/>
        </w:rPr>
      </w:pPr>
      <w:r>
        <w:rPr>
          <w:rFonts w:hint="eastAsia" w:ascii="宋体" w:hAnsi="宋体" w:eastAsia="宋体" w:cs="宋体"/>
          <w:b/>
          <w:bCs/>
          <w:color w:val="333333"/>
          <w:sz w:val="24"/>
          <w:szCs w:val="24"/>
          <w:highlight w:val="none"/>
          <w:shd w:val="clear" w:color="auto" w:fill="FFFFFF"/>
        </w:rPr>
        <w:t>四、提交投标文件截止时间、开标时间和地点</w:t>
      </w:r>
    </w:p>
    <w:p w14:paraId="549E892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提交投标文件截止时间：202</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年</w:t>
      </w:r>
      <w:r>
        <w:rPr>
          <w:rFonts w:hint="eastAsia"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月</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日1</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点</w:t>
      </w:r>
      <w:r>
        <w:rPr>
          <w:rFonts w:hint="eastAsia" w:eastAsia="宋体"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0分（北京时间）</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投标地点：政采云平台</w:t>
      </w:r>
    </w:p>
    <w:p w14:paraId="666AB251">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开标时间：202</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年</w:t>
      </w:r>
      <w:r>
        <w:rPr>
          <w:rFonts w:hint="eastAsia"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月</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日1</w:t>
      </w:r>
      <w:r>
        <w:rPr>
          <w:rFonts w:hint="eastAsia" w:cs="宋体"/>
          <w:color w:val="333333"/>
          <w:sz w:val="24"/>
          <w:szCs w:val="24"/>
          <w:highlight w:val="none"/>
          <w:shd w:val="clear" w:color="auto" w:fill="FFFFFF"/>
          <w:lang w:val="en-US" w:eastAsia="zh-CN"/>
        </w:rPr>
        <w:t>6</w:t>
      </w:r>
      <w:r>
        <w:rPr>
          <w:rFonts w:hint="eastAsia" w:ascii="宋体" w:hAnsi="宋体" w:eastAsia="宋体" w:cs="宋体"/>
          <w:color w:val="333333"/>
          <w:sz w:val="24"/>
          <w:szCs w:val="24"/>
          <w:highlight w:val="none"/>
          <w:shd w:val="clear" w:color="auto" w:fill="FFFFFF"/>
        </w:rPr>
        <w:t>点</w:t>
      </w:r>
      <w:r>
        <w:rPr>
          <w:rFonts w:hint="eastAsia" w:eastAsia="宋体"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0分（北京时间）</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w:t>
      </w:r>
      <w:r>
        <w:rPr>
          <w:rFonts w:hint="eastAsia" w:ascii="宋体" w:hAnsi="宋体" w:eastAsia="宋体" w:cs="宋体"/>
          <w:color w:val="333333"/>
          <w:sz w:val="24"/>
          <w:szCs w:val="24"/>
          <w:highlight w:val="none"/>
          <w:shd w:val="clear" w:color="auto" w:fill="FFFFFF"/>
          <w:lang w:eastAsia="zh-CN"/>
        </w:rPr>
        <w:t>开标</w:t>
      </w:r>
      <w:r>
        <w:rPr>
          <w:rFonts w:hint="eastAsia" w:ascii="宋体" w:hAnsi="宋体" w:eastAsia="宋体" w:cs="宋体"/>
          <w:color w:val="333333"/>
          <w:sz w:val="24"/>
          <w:szCs w:val="24"/>
          <w:highlight w:val="none"/>
          <w:shd w:val="clear" w:color="auto" w:fill="FFFFFF"/>
        </w:rPr>
        <w:t>地点：政采云平台</w:t>
      </w:r>
    </w:p>
    <w:p w14:paraId="1DEEEA43">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sz w:val="24"/>
          <w:szCs w:val="24"/>
          <w:highlight w:val="none"/>
        </w:rPr>
      </w:pPr>
      <w:r>
        <w:rPr>
          <w:rFonts w:hint="eastAsia" w:ascii="宋体" w:hAnsi="宋体" w:eastAsia="宋体" w:cs="宋体"/>
          <w:b/>
          <w:bCs/>
          <w:color w:val="333333"/>
          <w:sz w:val="24"/>
          <w:szCs w:val="24"/>
          <w:highlight w:val="none"/>
          <w:shd w:val="clear" w:color="auto" w:fill="FFFFFF"/>
          <w:lang w:eastAsia="zh-CN"/>
        </w:rPr>
        <w:t>五</w:t>
      </w:r>
      <w:r>
        <w:rPr>
          <w:rFonts w:hint="eastAsia" w:ascii="宋体" w:hAnsi="宋体" w:eastAsia="宋体" w:cs="宋体"/>
          <w:b/>
          <w:bCs/>
          <w:color w:val="333333"/>
          <w:sz w:val="24"/>
          <w:szCs w:val="24"/>
          <w:highlight w:val="none"/>
          <w:shd w:val="clear" w:color="auto" w:fill="FFFFFF"/>
        </w:rPr>
        <w:t>、公告期限</w:t>
      </w:r>
    </w:p>
    <w:p w14:paraId="13086E46">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自本公告发布之日起5个工作日。</w:t>
      </w:r>
    </w:p>
    <w:p w14:paraId="46085882">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sz w:val="24"/>
          <w:szCs w:val="24"/>
          <w:highlight w:val="none"/>
        </w:rPr>
      </w:pPr>
      <w:r>
        <w:rPr>
          <w:rFonts w:hint="eastAsia" w:ascii="宋体" w:hAnsi="宋体" w:eastAsia="宋体" w:cs="宋体"/>
          <w:b/>
          <w:bCs/>
          <w:color w:val="333333"/>
          <w:sz w:val="24"/>
          <w:szCs w:val="24"/>
          <w:highlight w:val="none"/>
          <w:shd w:val="clear" w:color="auto" w:fill="FFFFFF"/>
          <w:lang w:eastAsia="zh-CN"/>
        </w:rPr>
        <w:t>六</w:t>
      </w:r>
      <w:r>
        <w:rPr>
          <w:rFonts w:hint="eastAsia" w:ascii="宋体" w:hAnsi="宋体" w:eastAsia="宋体" w:cs="宋体"/>
          <w:b/>
          <w:bCs/>
          <w:color w:val="333333"/>
          <w:sz w:val="24"/>
          <w:szCs w:val="24"/>
          <w:highlight w:val="none"/>
          <w:shd w:val="clear" w:color="auto" w:fill="FFFFFF"/>
        </w:rPr>
        <w:t>、其他补充事宜</w:t>
      </w:r>
    </w:p>
    <w:p w14:paraId="6ECC56E0">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1.发布媒介：新疆政府采购网</w:t>
      </w:r>
      <w:r>
        <w:rPr>
          <w:rFonts w:hint="eastAsia" w:ascii="宋体" w:hAnsi="宋体" w:eastAsia="宋体" w:cs="宋体"/>
          <w:color w:val="333333"/>
          <w:sz w:val="24"/>
          <w:szCs w:val="24"/>
          <w:highlight w:val="none"/>
          <w:shd w:val="clear" w:color="auto" w:fill="FFFFFF"/>
          <w:lang w:eastAsia="zh-CN"/>
        </w:rPr>
        <w:t>和阿克苏地区行政公署网</w:t>
      </w:r>
      <w:r>
        <w:rPr>
          <w:rFonts w:hint="eastAsia" w:ascii="宋体" w:hAnsi="宋体" w:eastAsia="宋体" w:cs="宋体"/>
          <w:color w:val="333333"/>
          <w:sz w:val="24"/>
          <w:szCs w:val="24"/>
          <w:highlight w:val="none"/>
          <w:shd w:val="clear" w:color="auto" w:fill="FFFFFF"/>
        </w:rPr>
        <w:t>；</w:t>
      </w:r>
    </w:p>
    <w:p w14:paraId="3F0A8A11">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2.请各供应商随时关注本项目的变更、答疑、澄清文件。</w:t>
      </w:r>
    </w:p>
    <w:p w14:paraId="3132360F">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3.（1）本项目实行电子招投标，供应商须登录政采云平台申请获取</w:t>
      </w:r>
      <w:r>
        <w:rPr>
          <w:rFonts w:hint="eastAsia" w:cs="宋体"/>
          <w:color w:val="333333"/>
          <w:sz w:val="24"/>
          <w:szCs w:val="24"/>
          <w:highlight w:val="none"/>
          <w:shd w:val="clear" w:color="auto" w:fill="FFFFFF"/>
          <w:lang w:val="en-US" w:eastAsia="zh-CN"/>
        </w:rPr>
        <w:t>采购</w:t>
      </w:r>
      <w:r>
        <w:rPr>
          <w:rFonts w:hint="eastAsia" w:ascii="宋体" w:hAnsi="宋体" w:eastAsia="宋体" w:cs="宋体"/>
          <w:color w:val="333333"/>
          <w:sz w:val="24"/>
          <w:szCs w:val="24"/>
          <w:highlight w:val="none"/>
          <w:shd w:val="clear" w:color="auto" w:fill="FFFFFF"/>
        </w:rPr>
        <w:t>文件，并通过政采云电子投标客户端制作</w:t>
      </w:r>
      <w:r>
        <w:rPr>
          <w:rFonts w:hint="eastAsia" w:ascii="宋体" w:hAnsi="宋体" w:eastAsia="宋体" w:cs="宋体"/>
          <w:color w:val="333333"/>
          <w:sz w:val="24"/>
          <w:szCs w:val="24"/>
          <w:highlight w:val="none"/>
          <w:shd w:val="clear" w:color="auto" w:fill="FFFFFF"/>
          <w:lang w:eastAsia="zh-CN"/>
        </w:rPr>
        <w:t>投标文件</w:t>
      </w:r>
      <w:r>
        <w:rPr>
          <w:rFonts w:hint="eastAsia" w:ascii="宋体" w:hAnsi="宋体" w:eastAsia="宋体" w:cs="宋体"/>
          <w:color w:val="333333"/>
          <w:sz w:val="24"/>
          <w:szCs w:val="24"/>
          <w:highlight w:val="none"/>
          <w:shd w:val="clear" w:color="auto" w:fill="FFFFFF"/>
        </w:rPr>
        <w:t>，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w:t>
      </w:r>
      <w:r>
        <w:rPr>
          <w:rFonts w:hint="eastAsia" w:ascii="宋体" w:hAnsi="宋体" w:eastAsia="宋体" w:cs="宋体"/>
          <w:color w:val="333333"/>
          <w:sz w:val="24"/>
          <w:szCs w:val="24"/>
          <w:highlight w:val="none"/>
          <w:shd w:val="clear" w:color="auto" w:fill="FFFFFF"/>
          <w:lang w:eastAsia="zh-CN"/>
        </w:rPr>
        <w:t>投标文件</w:t>
      </w:r>
      <w:r>
        <w:rPr>
          <w:rFonts w:hint="eastAsia" w:ascii="宋体" w:hAnsi="宋体" w:eastAsia="宋体" w:cs="宋体"/>
          <w:color w:val="333333"/>
          <w:sz w:val="24"/>
          <w:szCs w:val="24"/>
          <w:highlight w:val="none"/>
          <w:shd w:val="clear" w:color="auto" w:fill="FFFFFF"/>
        </w:rPr>
        <w:t>制作。在使用政采云电子投标客户端时，建议使用WIN7及以上操作系统。如有问题可拨打政采云客户服务热线400-881-7190进行咨询。（4）本项目采用不见面开标，供应商须在投标截止时间前通过CA在政采云平台上传加密的电子</w:t>
      </w:r>
      <w:r>
        <w:rPr>
          <w:rFonts w:hint="eastAsia" w:ascii="宋体" w:hAnsi="宋体" w:eastAsia="宋体" w:cs="宋体"/>
          <w:color w:val="333333"/>
          <w:sz w:val="24"/>
          <w:szCs w:val="24"/>
          <w:highlight w:val="none"/>
          <w:shd w:val="clear" w:color="auto" w:fill="FFFFFF"/>
          <w:lang w:eastAsia="zh-CN"/>
        </w:rPr>
        <w:t>投标文件</w:t>
      </w:r>
      <w:r>
        <w:rPr>
          <w:rFonts w:hint="eastAsia" w:ascii="宋体" w:hAnsi="宋体" w:eastAsia="宋体" w:cs="宋体"/>
          <w:color w:val="333333"/>
          <w:sz w:val="24"/>
          <w:szCs w:val="24"/>
          <w:highlight w:val="none"/>
          <w:shd w:val="clear" w:color="auto" w:fill="FFFFFF"/>
        </w:rPr>
        <w:t>。（5）供应商在开标前须提前配置好电脑浏览器（建议使用360浏览器或谷歌浏览器），开标时请使用制作加密电子</w:t>
      </w:r>
      <w:r>
        <w:rPr>
          <w:rFonts w:hint="eastAsia" w:ascii="宋体" w:hAnsi="宋体" w:eastAsia="宋体" w:cs="宋体"/>
          <w:color w:val="333333"/>
          <w:sz w:val="24"/>
          <w:szCs w:val="24"/>
          <w:highlight w:val="none"/>
          <w:shd w:val="clear" w:color="auto" w:fill="FFFFFF"/>
          <w:lang w:eastAsia="zh-CN"/>
        </w:rPr>
        <w:t>投标文件</w:t>
      </w:r>
      <w:r>
        <w:rPr>
          <w:rFonts w:hint="eastAsia" w:ascii="宋体" w:hAnsi="宋体" w:eastAsia="宋体" w:cs="宋体"/>
          <w:color w:val="333333"/>
          <w:sz w:val="24"/>
          <w:szCs w:val="24"/>
          <w:highlight w:val="none"/>
          <w:shd w:val="clear" w:color="auto" w:fill="FFFFFF"/>
        </w:rPr>
        <w:t>的CA锁进行解密及报价确认。本项目</w:t>
      </w:r>
      <w:r>
        <w:rPr>
          <w:rFonts w:hint="eastAsia" w:ascii="宋体" w:hAnsi="宋体" w:eastAsia="宋体" w:cs="宋体"/>
          <w:color w:val="333333"/>
          <w:sz w:val="24"/>
          <w:szCs w:val="24"/>
          <w:highlight w:val="none"/>
          <w:shd w:val="clear" w:color="auto" w:fill="FFFFFF"/>
          <w:lang w:eastAsia="zh-CN"/>
        </w:rPr>
        <w:t>投标文件</w:t>
      </w:r>
      <w:r>
        <w:rPr>
          <w:rFonts w:hint="eastAsia" w:ascii="宋体" w:hAnsi="宋体" w:eastAsia="宋体" w:cs="宋体"/>
          <w:color w:val="333333"/>
          <w:sz w:val="24"/>
          <w:szCs w:val="24"/>
          <w:highlight w:val="none"/>
          <w:shd w:val="clear" w:color="auto" w:fill="FFFFFF"/>
        </w:rPr>
        <w:t>解密时间定为30分钟，如因自身原因导致无法正常解密，后果由供应商自行承担。</w:t>
      </w:r>
    </w:p>
    <w:p w14:paraId="441CB146">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特别提示：</w:t>
      </w:r>
    </w:p>
    <w:p w14:paraId="71C24BFA">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1、采购限额标准以上，200万元以下的货物和服务采购项目、400万元以下的工程采购项目，适宜由中小企业提供的，采购人应当专门面向中小企业采购。</w:t>
      </w:r>
    </w:p>
    <w:p w14:paraId="2AC61446">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2、超过200万元的货物和服务采购项目，预留该部分采购项目预算总额的30%以上专门面向中小企业采购，其中预留给小微企业的比例不低于60%。</w:t>
      </w:r>
    </w:p>
    <w:p w14:paraId="71D8F52C">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3、超过400万元的工程采购项目中适宜由中小企业提供的，预留该部分采购项目预算总额的40%以上专门面向中小企业采购，其中预留给小微企业的比例不低于60%。</w:t>
      </w:r>
    </w:p>
    <w:p w14:paraId="419783CF">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DC014B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20"/>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6A381F5">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lang w:eastAsia="zh-CN"/>
        </w:rPr>
        <w:t>七</w:t>
      </w:r>
      <w:r>
        <w:rPr>
          <w:rFonts w:hint="eastAsia" w:ascii="宋体" w:hAnsi="宋体" w:eastAsia="宋体" w:cs="宋体"/>
          <w:b/>
          <w:bCs/>
          <w:color w:val="333333"/>
          <w:sz w:val="24"/>
          <w:szCs w:val="24"/>
          <w:highlight w:val="none"/>
          <w:shd w:val="clear" w:color="auto" w:fill="FFFFFF"/>
        </w:rPr>
        <w:t>、凡对本次采购提出询问，请按以下方式联系。</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　　1.采购人信息</w:t>
      </w:r>
    </w:p>
    <w:p w14:paraId="00C2AC61">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default" w:ascii="宋体" w:hAnsi="宋体" w:eastAsia="宋体" w:cs="宋体"/>
          <w:color w:val="333333"/>
          <w:sz w:val="24"/>
          <w:szCs w:val="24"/>
          <w:highlight w:val="none"/>
          <w:shd w:val="clear" w:color="auto" w:fill="FFFFFF"/>
          <w:lang w:val="en-US" w:eastAsia="zh-CN"/>
        </w:rPr>
      </w:pPr>
      <w:r>
        <w:rPr>
          <w:rFonts w:hint="default" w:ascii="宋体" w:hAnsi="宋体" w:eastAsia="宋体" w:cs="宋体"/>
          <w:color w:val="333333"/>
          <w:sz w:val="24"/>
          <w:szCs w:val="24"/>
          <w:highlight w:val="none"/>
          <w:shd w:val="clear" w:color="auto" w:fill="FFFFFF"/>
          <w:lang w:val="en-US" w:eastAsia="zh-CN"/>
        </w:rPr>
        <w:t xml:space="preserve">名称：库车市文化体育广播电视和旅游局       </w:t>
      </w:r>
    </w:p>
    <w:p w14:paraId="03C6D0DD">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default" w:ascii="宋体" w:hAnsi="宋体" w:eastAsia="宋体" w:cs="宋体"/>
          <w:color w:val="333333"/>
          <w:sz w:val="24"/>
          <w:szCs w:val="24"/>
          <w:highlight w:val="none"/>
          <w:shd w:val="clear" w:color="auto" w:fill="FFFFFF"/>
          <w:lang w:val="en-US" w:eastAsia="zh-CN"/>
        </w:rPr>
      </w:pPr>
      <w:r>
        <w:rPr>
          <w:rFonts w:hint="default" w:ascii="宋体" w:hAnsi="宋体" w:eastAsia="宋体" w:cs="宋体"/>
          <w:color w:val="333333"/>
          <w:sz w:val="24"/>
          <w:szCs w:val="24"/>
          <w:highlight w:val="none"/>
          <w:shd w:val="clear" w:color="auto" w:fill="FFFFFF"/>
          <w:lang w:val="en-US" w:eastAsia="zh-CN"/>
        </w:rPr>
        <w:t>地址：库车市胜利路政府便民服务中心7楼          　　</w:t>
      </w:r>
    </w:p>
    <w:p w14:paraId="2E9C8AF3">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default" w:ascii="宋体" w:hAnsi="宋体" w:eastAsia="宋体" w:cs="宋体"/>
          <w:color w:val="333333"/>
          <w:sz w:val="24"/>
          <w:szCs w:val="24"/>
          <w:highlight w:val="none"/>
          <w:shd w:val="clear" w:color="auto" w:fill="FFFFFF"/>
          <w:lang w:val="en-US" w:eastAsia="zh-CN"/>
        </w:rPr>
      </w:pPr>
      <w:r>
        <w:rPr>
          <w:rFonts w:hint="default" w:ascii="宋体" w:hAnsi="宋体" w:eastAsia="宋体" w:cs="宋体"/>
          <w:color w:val="333333"/>
          <w:sz w:val="24"/>
          <w:szCs w:val="24"/>
          <w:highlight w:val="none"/>
          <w:shd w:val="clear" w:color="auto" w:fill="FFFFFF"/>
          <w:lang w:val="en-US" w:eastAsia="zh-CN"/>
        </w:rPr>
        <w:t>联系方式：18240950285</w:t>
      </w:r>
    </w:p>
    <w:p w14:paraId="5B0E6EAD">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2.采购代理机构信息</w:t>
      </w:r>
    </w:p>
    <w:p w14:paraId="66EF2D77">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名称：新疆经开项目管理有限公司 </w:t>
      </w:r>
    </w:p>
    <w:p w14:paraId="77C36354">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地址：库车市经济技术开发区企业公馆B座102室</w:t>
      </w:r>
    </w:p>
    <w:p w14:paraId="7761DA98">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联系方式：</w:t>
      </w:r>
      <w:r>
        <w:rPr>
          <w:rFonts w:hint="eastAsia" w:ascii="宋体" w:hAnsi="宋体" w:eastAsia="宋体" w:cs="宋体"/>
          <w:color w:val="333333"/>
          <w:sz w:val="24"/>
          <w:szCs w:val="24"/>
          <w:highlight w:val="none"/>
          <w:shd w:val="clear" w:color="auto" w:fill="FFFFFF"/>
          <w:lang w:val="en-US" w:eastAsia="zh-CN"/>
        </w:rPr>
        <w:t>18699068456</w:t>
      </w:r>
    </w:p>
    <w:p w14:paraId="223DDA9A">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3.项目联系方式</w:t>
      </w:r>
    </w:p>
    <w:p w14:paraId="011AA556">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项目联系人：</w:t>
      </w:r>
      <w:r>
        <w:rPr>
          <w:rFonts w:hint="eastAsia" w:ascii="宋体" w:hAnsi="宋体" w:eastAsia="宋体" w:cs="宋体"/>
          <w:color w:val="333333"/>
          <w:sz w:val="24"/>
          <w:szCs w:val="24"/>
          <w:highlight w:val="none"/>
          <w:shd w:val="clear" w:color="auto" w:fill="FFFFFF"/>
          <w:lang w:val="en-US" w:eastAsia="zh-CN"/>
        </w:rPr>
        <w:t>马志鹏</w:t>
      </w:r>
    </w:p>
    <w:p w14:paraId="287516F7">
      <w:pPr>
        <w:pStyle w:val="2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firstLine="420"/>
        <w:jc w:val="left"/>
        <w:textAlignment w:val="auto"/>
        <w:rPr>
          <w:rFonts w:hint="eastAsia" w:ascii="宋体" w:hAnsi="宋体" w:eastAsia="宋体" w:cs="宋体"/>
          <w:color w:val="333333"/>
          <w:sz w:val="24"/>
          <w:szCs w:val="24"/>
          <w:highlight w:val="none"/>
          <w:shd w:val="clear" w:color="auto" w:fill="FFFFFF"/>
          <w:lang w:val="en-US" w:eastAsia="zh-CN"/>
        </w:rPr>
        <w:sectPr>
          <w:headerReference r:id="rId7" w:type="default"/>
          <w:footerReference r:id="rId8"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color w:val="333333"/>
          <w:sz w:val="24"/>
          <w:szCs w:val="24"/>
          <w:highlight w:val="none"/>
          <w:shd w:val="clear" w:color="auto" w:fill="FFFFFF"/>
        </w:rPr>
        <w:t>电话：</w:t>
      </w:r>
      <w:r>
        <w:rPr>
          <w:rFonts w:hint="eastAsia" w:ascii="宋体" w:hAnsi="宋体" w:eastAsia="宋体" w:cs="宋体"/>
          <w:color w:val="333333"/>
          <w:sz w:val="24"/>
          <w:szCs w:val="24"/>
          <w:highlight w:val="none"/>
          <w:shd w:val="clear" w:color="auto" w:fill="FFFFFF"/>
          <w:lang w:val="en-US" w:eastAsia="zh-CN"/>
        </w:rPr>
        <w:t>18699068456</w:t>
      </w:r>
    </w:p>
    <w:p w14:paraId="73CD477C">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b/>
          <w:sz w:val="32"/>
          <w:szCs w:val="32"/>
          <w:highlight w:val="none"/>
        </w:rPr>
      </w:pPr>
      <w:r>
        <w:rPr>
          <w:b/>
          <w:sz w:val="32"/>
          <w:szCs w:val="32"/>
          <w:highlight w:val="none"/>
        </w:rPr>
        <w:t>第一部分  投标人须知前附表</w:t>
      </w:r>
      <w:bookmarkEnd w:id="0"/>
    </w:p>
    <w:tbl>
      <w:tblPr>
        <w:tblStyle w:val="25"/>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80"/>
        <w:gridCol w:w="6840"/>
      </w:tblGrid>
      <w:tr w14:paraId="795D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716" w:type="dxa"/>
            <w:tcBorders>
              <w:top w:val="single" w:color="auto" w:sz="4" w:space="0"/>
              <w:left w:val="single" w:color="auto" w:sz="4" w:space="0"/>
              <w:bottom w:val="single" w:color="auto" w:sz="4" w:space="0"/>
              <w:right w:val="single" w:color="auto" w:sz="4" w:space="0"/>
            </w:tcBorders>
            <w:vAlign w:val="center"/>
          </w:tcPr>
          <w:p w14:paraId="5F5C968E">
            <w:pPr>
              <w:spacing w:line="276"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项号</w:t>
            </w:r>
          </w:p>
        </w:tc>
        <w:tc>
          <w:tcPr>
            <w:tcW w:w="2180" w:type="dxa"/>
            <w:tcBorders>
              <w:top w:val="single" w:color="auto" w:sz="4" w:space="0"/>
              <w:left w:val="single" w:color="auto" w:sz="4" w:space="0"/>
              <w:bottom w:val="single" w:color="auto" w:sz="4" w:space="0"/>
              <w:right w:val="single" w:color="auto" w:sz="4" w:space="0"/>
            </w:tcBorders>
            <w:vAlign w:val="center"/>
          </w:tcPr>
          <w:p w14:paraId="6E7E9452">
            <w:pPr>
              <w:spacing w:line="276"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w:t>
            </w:r>
          </w:p>
        </w:tc>
        <w:tc>
          <w:tcPr>
            <w:tcW w:w="6840" w:type="dxa"/>
            <w:tcBorders>
              <w:top w:val="single" w:color="auto" w:sz="4" w:space="0"/>
              <w:left w:val="single" w:color="auto" w:sz="4" w:space="0"/>
              <w:bottom w:val="single" w:color="auto" w:sz="4" w:space="0"/>
              <w:right w:val="single" w:color="auto" w:sz="4" w:space="0"/>
            </w:tcBorders>
            <w:vAlign w:val="center"/>
          </w:tcPr>
          <w:p w14:paraId="2AB60C59">
            <w:pPr>
              <w:spacing w:line="276"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内   容</w:t>
            </w:r>
          </w:p>
        </w:tc>
      </w:tr>
      <w:tr w14:paraId="50EC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F7B5C01">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180" w:type="dxa"/>
            <w:tcBorders>
              <w:top w:val="single" w:color="auto" w:sz="4" w:space="0"/>
              <w:left w:val="single" w:color="auto" w:sz="4" w:space="0"/>
              <w:bottom w:val="single" w:color="auto" w:sz="4" w:space="0"/>
              <w:right w:val="single" w:color="auto" w:sz="4" w:space="0"/>
            </w:tcBorders>
            <w:vAlign w:val="center"/>
          </w:tcPr>
          <w:p w14:paraId="4EBAB655">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项目名称及编号</w:t>
            </w:r>
          </w:p>
        </w:tc>
        <w:tc>
          <w:tcPr>
            <w:tcW w:w="6840" w:type="dxa"/>
            <w:tcBorders>
              <w:top w:val="single" w:color="auto" w:sz="4" w:space="0"/>
              <w:left w:val="single" w:color="auto" w:sz="4" w:space="0"/>
              <w:bottom w:val="single" w:color="auto" w:sz="4" w:space="0"/>
              <w:right w:val="single" w:color="auto" w:sz="4" w:space="0"/>
            </w:tcBorders>
            <w:vAlign w:val="center"/>
          </w:tcPr>
          <w:p w14:paraId="617342AE">
            <w:pPr>
              <w:spacing w:line="276"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库车市沉浸式文旅体验项目</w:t>
            </w:r>
          </w:p>
          <w:p w14:paraId="06306451">
            <w:pPr>
              <w:spacing w:line="276" w:lineRule="auto"/>
              <w:rPr>
                <w:rFonts w:hint="default" w:ascii="宋体" w:hAnsi="宋体" w:cs="宋体"/>
                <w:b/>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val="en-US" w:eastAsia="zh-CN"/>
                <w14:textFill>
                  <w14:solidFill>
                    <w14:schemeClr w14:val="tx1"/>
                  </w14:solidFill>
                </w14:textFill>
              </w:rPr>
              <w:t>KCS2026-WT045</w:t>
            </w:r>
          </w:p>
        </w:tc>
      </w:tr>
      <w:tr w14:paraId="14E3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54774DD">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180" w:type="dxa"/>
            <w:tcBorders>
              <w:top w:val="single" w:color="auto" w:sz="4" w:space="0"/>
              <w:left w:val="single" w:color="auto" w:sz="4" w:space="0"/>
              <w:bottom w:val="single" w:color="auto" w:sz="4" w:space="0"/>
              <w:right w:val="single" w:color="auto" w:sz="4" w:space="0"/>
            </w:tcBorders>
            <w:vAlign w:val="center"/>
          </w:tcPr>
          <w:p w14:paraId="7A3AF4D1">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p>
        </w:tc>
        <w:tc>
          <w:tcPr>
            <w:tcW w:w="6840" w:type="dxa"/>
            <w:tcBorders>
              <w:top w:val="single" w:color="auto" w:sz="4" w:space="0"/>
              <w:left w:val="single" w:color="auto" w:sz="4" w:space="0"/>
              <w:bottom w:val="single" w:color="auto" w:sz="4" w:space="0"/>
              <w:right w:val="single" w:color="auto" w:sz="4" w:space="0"/>
            </w:tcBorders>
            <w:vAlign w:val="center"/>
          </w:tcPr>
          <w:p w14:paraId="66047FA3">
            <w:pPr>
              <w:spacing w:line="276"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：库车市文化体育广播电视和旅游局</w:t>
            </w:r>
            <w:r>
              <w:rPr>
                <w:rFonts w:hint="eastAsia" w:ascii="宋体" w:hAnsi="宋体" w:cs="宋体"/>
                <w:color w:val="000000" w:themeColor="text1"/>
                <w:sz w:val="24"/>
                <w:highlight w:val="none"/>
                <w14:textFill>
                  <w14:solidFill>
                    <w14:schemeClr w14:val="tx1"/>
                  </w14:solidFill>
                </w14:textFill>
              </w:rPr>
              <w:t xml:space="preserve">               </w:t>
            </w:r>
          </w:p>
          <w:p w14:paraId="28DA8098">
            <w:pPr>
              <w:spacing w:line="276"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联系人：阿依尼尕尔</w:t>
            </w:r>
          </w:p>
          <w:p w14:paraId="5798CF6F">
            <w:pPr>
              <w:spacing w:line="276" w:lineRule="auto"/>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话：18240950285</w:t>
            </w:r>
          </w:p>
        </w:tc>
      </w:tr>
      <w:tr w14:paraId="40F4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DF5A306">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180" w:type="dxa"/>
            <w:tcBorders>
              <w:top w:val="single" w:color="auto" w:sz="4" w:space="0"/>
              <w:left w:val="single" w:color="auto" w:sz="4" w:space="0"/>
              <w:bottom w:val="single" w:color="auto" w:sz="4" w:space="0"/>
              <w:right w:val="single" w:color="auto" w:sz="4" w:space="0"/>
            </w:tcBorders>
            <w:vAlign w:val="center"/>
          </w:tcPr>
          <w:p w14:paraId="7C8F4CEE">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p>
          <w:p w14:paraId="73275FF8">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联系人及联系方式</w:t>
            </w:r>
          </w:p>
        </w:tc>
        <w:tc>
          <w:tcPr>
            <w:tcW w:w="6840" w:type="dxa"/>
            <w:tcBorders>
              <w:top w:val="single" w:color="auto" w:sz="4" w:space="0"/>
              <w:left w:val="single" w:color="auto" w:sz="4" w:space="0"/>
              <w:bottom w:val="single" w:color="auto" w:sz="4" w:space="0"/>
              <w:right w:val="single" w:color="auto" w:sz="4" w:space="0"/>
            </w:tcBorders>
            <w:vAlign w:val="center"/>
          </w:tcPr>
          <w:p w14:paraId="1BCA748C">
            <w:pPr>
              <w:spacing w:line="276"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w:t>
            </w:r>
            <w:r>
              <w:rPr>
                <w:rFonts w:hint="eastAsia" w:ascii="宋体" w:hAnsi="宋体" w:cs="宋体"/>
                <w:color w:val="000000" w:themeColor="text1"/>
                <w:sz w:val="24"/>
                <w:highlight w:val="none"/>
                <w:lang w:eastAsia="zh-CN"/>
                <w14:textFill>
                  <w14:solidFill>
                    <w14:schemeClr w14:val="tx1"/>
                  </w14:solidFill>
                </w14:textFill>
              </w:rPr>
              <w:t>新疆经开项目管理有限公司</w:t>
            </w:r>
            <w:r>
              <w:rPr>
                <w:rFonts w:hint="eastAsia" w:ascii="宋体" w:hAnsi="宋体" w:cs="宋体"/>
                <w:color w:val="000000" w:themeColor="text1"/>
                <w:sz w:val="24"/>
                <w:highlight w:val="none"/>
                <w14:textFill>
                  <w14:solidFill>
                    <w14:schemeClr w14:val="tx1"/>
                  </w14:solidFill>
                </w14:textFill>
              </w:rPr>
              <w:t> </w:t>
            </w:r>
          </w:p>
          <w:p w14:paraId="63028878">
            <w:pPr>
              <w:spacing w:line="276"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val="en-US" w:eastAsia="zh-CN"/>
                <w14:textFill>
                  <w14:solidFill>
                    <w14:schemeClr w14:val="tx1"/>
                  </w14:solidFill>
                </w14:textFill>
              </w:rPr>
              <w:t>马志鹏</w:t>
            </w:r>
            <w:r>
              <w:rPr>
                <w:rFonts w:hint="eastAsia" w:ascii="宋体" w:hAnsi="宋体" w:cs="宋体"/>
                <w:color w:val="000000" w:themeColor="text1"/>
                <w:sz w:val="24"/>
                <w:highlight w:val="none"/>
                <w14:textFill>
                  <w14:solidFill>
                    <w14:schemeClr w14:val="tx1"/>
                  </w14:solidFill>
                </w14:textFill>
              </w:rPr>
              <w:t xml:space="preserve">   </w:t>
            </w:r>
          </w:p>
          <w:p w14:paraId="59C7BA4C">
            <w:pPr>
              <w:spacing w:line="276"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18699068456</w:t>
            </w:r>
          </w:p>
        </w:tc>
      </w:tr>
      <w:tr w14:paraId="69B4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7A336B8">
            <w:pPr>
              <w:spacing w:line="276"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p>
        </w:tc>
        <w:tc>
          <w:tcPr>
            <w:tcW w:w="2180" w:type="dxa"/>
            <w:tcBorders>
              <w:top w:val="single" w:color="auto" w:sz="4" w:space="0"/>
              <w:left w:val="single" w:color="auto" w:sz="4" w:space="0"/>
              <w:bottom w:val="single" w:color="auto" w:sz="4" w:space="0"/>
              <w:right w:val="single" w:color="auto" w:sz="4" w:space="0"/>
            </w:tcBorders>
            <w:vAlign w:val="top"/>
          </w:tcPr>
          <w:p w14:paraId="73BF59B6">
            <w:pPr>
              <w:spacing w:line="281" w:lineRule="auto"/>
              <w:rPr>
                <w:rFonts w:ascii="Arial"/>
                <w:color w:val="000000" w:themeColor="text1"/>
                <w:sz w:val="21"/>
                <w:highlight w:val="none"/>
                <w14:textFill>
                  <w14:solidFill>
                    <w14:schemeClr w14:val="tx1"/>
                  </w14:solidFill>
                </w14:textFill>
              </w:rPr>
            </w:pPr>
          </w:p>
          <w:p w14:paraId="67001F02">
            <w:pPr>
              <w:pStyle w:val="84"/>
              <w:spacing w:before="78" w:line="219" w:lineRule="auto"/>
              <w:jc w:val="center"/>
              <w:rPr>
                <w:rFonts w:hint="eastAsia" w:ascii="宋体" w:hAnsi="宋体" w:cs="宋体"/>
                <w:color w:val="000000" w:themeColor="text1"/>
                <w:sz w:val="24"/>
                <w:highlight w:val="none"/>
                <w14:textFill>
                  <w14:solidFill>
                    <w14:schemeClr w14:val="tx1"/>
                  </w14:solidFill>
                </w14:textFill>
              </w:rPr>
            </w:pPr>
            <w:r>
              <w:rPr>
                <w:b w:val="0"/>
                <w:bCs w:val="0"/>
                <w:color w:val="000000" w:themeColor="text1"/>
                <w:spacing w:val="-4"/>
                <w:highlight w:val="none"/>
                <w14:textFill>
                  <w14:solidFill>
                    <w14:schemeClr w14:val="tx1"/>
                  </w14:solidFill>
                </w14:textFill>
              </w:rPr>
              <w:t>监管部门</w:t>
            </w:r>
          </w:p>
        </w:tc>
        <w:tc>
          <w:tcPr>
            <w:tcW w:w="6840" w:type="dxa"/>
            <w:tcBorders>
              <w:top w:val="single" w:color="auto" w:sz="4" w:space="0"/>
              <w:left w:val="single" w:color="auto" w:sz="4" w:space="0"/>
              <w:bottom w:val="single" w:color="auto" w:sz="4" w:space="0"/>
              <w:right w:val="single" w:color="auto" w:sz="4" w:space="0"/>
            </w:tcBorders>
            <w:vAlign w:val="center"/>
          </w:tcPr>
          <w:p w14:paraId="78BE5199">
            <w:pPr>
              <w:pStyle w:val="84"/>
              <w:spacing w:before="40" w:line="219" w:lineRule="auto"/>
              <w:ind w:left="118"/>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  称：库车市政府采购管理办公室</w:t>
            </w:r>
          </w:p>
          <w:p w14:paraId="69743E44">
            <w:pPr>
              <w:pStyle w:val="84"/>
              <w:spacing w:before="34" w:line="219" w:lineRule="auto"/>
              <w:ind w:left="115"/>
              <w:jc w:val="left"/>
              <w:rPr>
                <w:rFonts w:hint="eastAsia" w:ascii="宋体" w:hAnsi="宋体" w:cs="宋体"/>
                <w:color w:val="000000" w:themeColor="text1"/>
                <w:sz w:val="24"/>
                <w:highlight w:val="none"/>
                <w14:textFill>
                  <w14:solidFill>
                    <w14:schemeClr w14:val="tx1"/>
                  </w14:solidFill>
                </w14:textFill>
              </w:rPr>
            </w:pPr>
            <w:r>
              <w:rPr>
                <w:color w:val="000000" w:themeColor="text1"/>
                <w:spacing w:val="-1"/>
                <w:highlight w:val="none"/>
                <w14:textFill>
                  <w14:solidFill>
                    <w14:schemeClr w14:val="tx1"/>
                  </w14:solidFill>
                </w14:textFill>
              </w:rPr>
              <w:t>地  址：库车市经济开发区8</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楼采购办办公室</w:t>
            </w:r>
          </w:p>
        </w:tc>
      </w:tr>
      <w:tr w14:paraId="2656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7825AC8">
            <w:pPr>
              <w:spacing w:line="276"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p>
        </w:tc>
        <w:tc>
          <w:tcPr>
            <w:tcW w:w="2180" w:type="dxa"/>
            <w:tcBorders>
              <w:top w:val="single" w:color="auto" w:sz="4" w:space="0"/>
              <w:left w:val="single" w:color="auto" w:sz="4" w:space="0"/>
              <w:bottom w:val="single" w:color="auto" w:sz="4" w:space="0"/>
              <w:right w:val="single" w:color="auto" w:sz="4" w:space="0"/>
            </w:tcBorders>
            <w:vAlign w:val="center"/>
          </w:tcPr>
          <w:p w14:paraId="0D5CAF32">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采购内容</w:t>
            </w:r>
          </w:p>
        </w:tc>
        <w:tc>
          <w:tcPr>
            <w:tcW w:w="6840" w:type="dxa"/>
            <w:tcBorders>
              <w:top w:val="single" w:color="auto" w:sz="4" w:space="0"/>
              <w:left w:val="single" w:color="auto" w:sz="4" w:space="0"/>
              <w:bottom w:val="single" w:color="auto" w:sz="4" w:space="0"/>
              <w:right w:val="single" w:color="auto" w:sz="4" w:space="0"/>
            </w:tcBorders>
            <w:vAlign w:val="center"/>
          </w:tcPr>
          <w:p w14:paraId="68A2703B">
            <w:pPr>
              <w:spacing w:line="276"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突破季节、天气与地理限制，打造四季皆宜的沉浸式旅游体验空间，以“穿越时空的独库之旅”为核心概念，通过VR、AR、XR等数字技术手段，在库车市部署VR/AR设备，展现独库公路沿线的四季美景与多变气候，从雪山冰川到草原湖泊，从峡谷森林到戈壁荒漠，通过数字技术强化景观的视觉冲击力。（具体详见采购需求）。</w:t>
            </w:r>
          </w:p>
        </w:tc>
      </w:tr>
      <w:tr w14:paraId="7AB7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78F1A60">
            <w:pPr>
              <w:spacing w:line="276" w:lineRule="auto"/>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p>
        </w:tc>
        <w:tc>
          <w:tcPr>
            <w:tcW w:w="2180" w:type="dxa"/>
            <w:tcBorders>
              <w:top w:val="single" w:color="auto" w:sz="4" w:space="0"/>
              <w:left w:val="single" w:color="auto" w:sz="4" w:space="0"/>
              <w:bottom w:val="single" w:color="auto" w:sz="4" w:space="0"/>
              <w:right w:val="single" w:color="auto" w:sz="4" w:space="0"/>
            </w:tcBorders>
            <w:vAlign w:val="center"/>
          </w:tcPr>
          <w:p w14:paraId="4DDB8D84">
            <w:pPr>
              <w:pStyle w:val="84"/>
              <w:spacing w:before="42" w:line="208" w:lineRule="auto"/>
              <w:jc w:val="center"/>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highlight w:val="none"/>
                <w:lang w:val="en-US" w:eastAsia="en-US"/>
                <w14:textFill>
                  <w14:solidFill>
                    <w14:schemeClr w14:val="tx1"/>
                  </w14:solidFill>
                </w14:textFill>
              </w:rPr>
              <w:t>★</w:t>
            </w:r>
            <w:r>
              <w:rPr>
                <w:rFonts w:hint="eastAsia"/>
                <w:b w:val="0"/>
                <w:bCs w:val="0"/>
                <w:color w:val="000000" w:themeColor="text1"/>
                <w:spacing w:val="-5"/>
                <w:highlight w:val="none"/>
                <w:lang w:eastAsia="zh-CN"/>
                <w14:textFill>
                  <w14:solidFill>
                    <w14:schemeClr w14:val="tx1"/>
                  </w14:solidFill>
                </w14:textFill>
              </w:rPr>
              <w:t>服务</w:t>
            </w:r>
            <w:r>
              <w:rPr>
                <w:b w:val="0"/>
                <w:bCs w:val="0"/>
                <w:color w:val="000000" w:themeColor="text1"/>
                <w:spacing w:val="-5"/>
                <w:highlight w:val="none"/>
                <w14:textFill>
                  <w14:solidFill>
                    <w14:schemeClr w14:val="tx1"/>
                  </w14:solidFill>
                </w14:textFill>
              </w:rPr>
              <w:t>地点</w:t>
            </w:r>
          </w:p>
        </w:tc>
        <w:tc>
          <w:tcPr>
            <w:tcW w:w="6840" w:type="dxa"/>
            <w:tcBorders>
              <w:top w:val="single" w:color="auto" w:sz="4" w:space="0"/>
              <w:left w:val="single" w:color="auto" w:sz="4" w:space="0"/>
              <w:bottom w:val="single" w:color="auto" w:sz="4" w:space="0"/>
              <w:right w:val="single" w:color="auto" w:sz="4" w:space="0"/>
            </w:tcBorders>
            <w:vAlign w:val="center"/>
          </w:tcPr>
          <w:p w14:paraId="02337017">
            <w:pPr>
              <w:spacing w:line="276"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新疆库车市甲方指定场地。</w:t>
            </w:r>
          </w:p>
        </w:tc>
      </w:tr>
      <w:tr w14:paraId="0088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F3C5FB5">
            <w:pPr>
              <w:spacing w:line="276"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p>
        </w:tc>
        <w:tc>
          <w:tcPr>
            <w:tcW w:w="2180" w:type="dxa"/>
            <w:tcBorders>
              <w:top w:val="single" w:color="auto" w:sz="4" w:space="0"/>
              <w:left w:val="single" w:color="auto" w:sz="4" w:space="0"/>
              <w:bottom w:val="single" w:color="auto" w:sz="4" w:space="0"/>
              <w:right w:val="single" w:color="auto" w:sz="4" w:space="0"/>
            </w:tcBorders>
            <w:vAlign w:val="center"/>
          </w:tcPr>
          <w:p w14:paraId="27EE636C">
            <w:pPr>
              <w:spacing w:line="276" w:lineRule="auto"/>
              <w:jc w:val="center"/>
              <w:rPr>
                <w:rFonts w:hint="eastAsia" w:ascii="宋体" w:hAnsi="宋体" w:eastAsia="宋体" w:cs="宋体"/>
                <w:b w:val="0"/>
                <w:bCs w:val="0"/>
                <w:color w:val="000000" w:themeColor="text1"/>
                <w:sz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highlight w:val="none"/>
                <w:lang w:val="en-US" w:eastAsia="en-US"/>
                <w14:textFill>
                  <w14:solidFill>
                    <w14:schemeClr w14:val="tx1"/>
                  </w14:solidFill>
                </w14:textFill>
              </w:rPr>
              <w:t>★</w:t>
            </w:r>
            <w:r>
              <w:rPr>
                <w:rFonts w:hint="eastAsia" w:ascii="宋体" w:hAnsi="宋体" w:cs="宋体"/>
                <w:b w:val="0"/>
                <w:bCs w:val="0"/>
                <w:color w:val="000000" w:themeColor="text1"/>
                <w:sz w:val="24"/>
                <w:highlight w:val="none"/>
                <w:lang w:eastAsia="zh-CN"/>
                <w14:textFill>
                  <w14:solidFill>
                    <w14:schemeClr w14:val="tx1"/>
                  </w14:solidFill>
                </w14:textFill>
              </w:rPr>
              <w:t>合同履行期限</w:t>
            </w:r>
          </w:p>
        </w:tc>
        <w:tc>
          <w:tcPr>
            <w:tcW w:w="6840" w:type="dxa"/>
            <w:tcBorders>
              <w:top w:val="single" w:color="auto" w:sz="4" w:space="0"/>
              <w:left w:val="single" w:color="auto" w:sz="4" w:space="0"/>
              <w:bottom w:val="single" w:color="auto" w:sz="4" w:space="0"/>
              <w:right w:val="single" w:color="auto" w:sz="4" w:space="0"/>
            </w:tcBorders>
            <w:vAlign w:val="center"/>
          </w:tcPr>
          <w:p w14:paraId="0A17192E">
            <w:pPr>
              <w:spacing w:line="276"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333333"/>
                <w:sz w:val="24"/>
                <w:szCs w:val="24"/>
                <w:highlight w:val="none"/>
                <w:shd w:val="clear" w:color="auto" w:fill="FFFFFF"/>
              </w:rPr>
              <w:t>本项目服务期限</w:t>
            </w:r>
            <w:r>
              <w:rPr>
                <w:rFonts w:hint="eastAsia" w:ascii="宋体" w:hAnsi="宋体" w:eastAsia="宋体" w:cs="宋体"/>
                <w:color w:val="333333"/>
                <w:sz w:val="24"/>
                <w:szCs w:val="24"/>
                <w:highlight w:val="none"/>
                <w:shd w:val="clear" w:color="auto" w:fill="FFFFFF"/>
                <w:lang w:val="en-US" w:eastAsia="zh-CN"/>
              </w:rPr>
              <w:t>4个月</w:t>
            </w:r>
            <w:r>
              <w:rPr>
                <w:rFonts w:hint="eastAsia" w:ascii="宋体" w:hAnsi="宋体" w:eastAsia="宋体" w:cs="宋体"/>
                <w:color w:val="333333"/>
                <w:sz w:val="24"/>
                <w:szCs w:val="24"/>
                <w:highlight w:val="none"/>
                <w:shd w:val="clear" w:color="auto" w:fill="FFFFFF"/>
              </w:rPr>
              <w:t>，具体按照甲乙双方签订的合同日期执行</w:t>
            </w:r>
            <w:r>
              <w:rPr>
                <w:rFonts w:hint="eastAsia" w:ascii="宋体" w:hAnsi="宋体" w:eastAsia="宋体" w:cs="宋体"/>
                <w:sz w:val="24"/>
                <w:szCs w:val="24"/>
                <w:highlight w:val="none"/>
                <w:lang w:val="en-US" w:eastAsia="zh-CN"/>
              </w:rPr>
              <w:t>。</w:t>
            </w:r>
          </w:p>
        </w:tc>
      </w:tr>
      <w:tr w14:paraId="7DD6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06EB8B2">
            <w:pPr>
              <w:spacing w:line="276"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2180" w:type="dxa"/>
            <w:tcBorders>
              <w:top w:val="single" w:color="auto" w:sz="4" w:space="0"/>
              <w:left w:val="single" w:color="auto" w:sz="4" w:space="0"/>
              <w:bottom w:val="single" w:color="auto" w:sz="4" w:space="0"/>
              <w:right w:val="single" w:color="auto" w:sz="4" w:space="0"/>
            </w:tcBorders>
            <w:vAlign w:val="top"/>
          </w:tcPr>
          <w:p w14:paraId="3F9A32D2">
            <w:pPr>
              <w:pStyle w:val="84"/>
              <w:spacing w:before="202" w:line="220" w:lineRule="auto"/>
              <w:jc w:val="center"/>
              <w:rPr>
                <w:rFonts w:hint="eastAsia" w:ascii="宋体" w:hAnsi="宋体" w:eastAsia="宋体" w:cs="宋体"/>
                <w:b w:val="0"/>
                <w:bCs w:val="0"/>
                <w:color w:val="000000" w:themeColor="text1"/>
                <w:sz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highlight w:val="none"/>
                <w:lang w:val="en-US" w:eastAsia="en-US"/>
                <w14:textFill>
                  <w14:solidFill>
                    <w14:schemeClr w14:val="tx1"/>
                  </w14:solidFill>
                </w14:textFill>
              </w:rPr>
              <w:t>★</w:t>
            </w:r>
            <w:r>
              <w:rPr>
                <w:b w:val="0"/>
                <w:bCs w:val="0"/>
                <w:color w:val="000000" w:themeColor="text1"/>
                <w:spacing w:val="-4"/>
                <w:highlight w:val="none"/>
                <w14:textFill>
                  <w14:solidFill>
                    <w14:schemeClr w14:val="tx1"/>
                  </w14:solidFill>
                </w14:textFill>
              </w:rPr>
              <w:t>质量要求</w:t>
            </w:r>
          </w:p>
        </w:tc>
        <w:tc>
          <w:tcPr>
            <w:tcW w:w="6840" w:type="dxa"/>
            <w:tcBorders>
              <w:top w:val="single" w:color="auto" w:sz="4" w:space="0"/>
              <w:left w:val="single" w:color="auto" w:sz="4" w:space="0"/>
              <w:bottom w:val="single" w:color="auto" w:sz="4" w:space="0"/>
              <w:right w:val="single" w:color="auto" w:sz="4" w:space="0"/>
            </w:tcBorders>
            <w:vAlign w:val="center"/>
          </w:tcPr>
          <w:p w14:paraId="65C0CDEF">
            <w:pPr>
              <w:spacing w:line="276"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合格并满足采购人要求。</w:t>
            </w:r>
          </w:p>
        </w:tc>
      </w:tr>
      <w:tr w14:paraId="29D7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5D6317F">
            <w:pPr>
              <w:spacing w:line="276" w:lineRule="auto"/>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2180" w:type="dxa"/>
            <w:tcBorders>
              <w:top w:val="single" w:color="auto" w:sz="4" w:space="0"/>
              <w:left w:val="single" w:color="auto" w:sz="4" w:space="0"/>
              <w:bottom w:val="single" w:color="auto" w:sz="4" w:space="0"/>
              <w:right w:val="single" w:color="auto" w:sz="4" w:space="0"/>
            </w:tcBorders>
            <w:vAlign w:val="center"/>
          </w:tcPr>
          <w:p w14:paraId="622C466E">
            <w:pPr>
              <w:spacing w:line="276" w:lineRule="auto"/>
              <w:jc w:val="center"/>
              <w:rPr>
                <w:rFonts w:hint="eastAsia" w:ascii="宋体" w:hAnsi="宋体" w:eastAsia="宋体" w:cs="宋体"/>
                <w:b w:val="0"/>
                <w:bCs w:val="0"/>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是否专门面向中小企业:</w:t>
            </w:r>
          </w:p>
        </w:tc>
        <w:tc>
          <w:tcPr>
            <w:tcW w:w="6840" w:type="dxa"/>
            <w:tcBorders>
              <w:top w:val="single" w:color="auto" w:sz="4" w:space="0"/>
              <w:left w:val="single" w:color="auto" w:sz="4" w:space="0"/>
              <w:bottom w:val="single" w:color="auto" w:sz="4" w:space="0"/>
              <w:right w:val="single" w:color="auto" w:sz="4" w:space="0"/>
            </w:tcBorders>
            <w:vAlign w:val="center"/>
          </w:tcPr>
          <w:p w14:paraId="27FEEFC5">
            <w:pPr>
              <w:spacing w:line="276"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 xml:space="preserve">是 </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en-US"/>
                <w14:textFill>
                  <w14:solidFill>
                    <w14:schemeClr w14:val="tx1"/>
                  </w14:solidFill>
                </w14:textFill>
              </w:rPr>
              <w:t xml:space="preserve">   否 </w:t>
            </w:r>
            <w:r>
              <w:rPr>
                <w:rFonts w:hint="eastAsia" w:ascii="宋体" w:hAnsi="宋体" w:cs="宋体"/>
                <w:color w:val="000000" w:themeColor="text1"/>
                <w:sz w:val="24"/>
                <w:highlight w:val="none"/>
                <w:lang w:val="en-US" w:eastAsia="zh-CN"/>
                <w14:textFill>
                  <w14:solidFill>
                    <w14:schemeClr w14:val="tx1"/>
                  </w14:solidFill>
                </w14:textFill>
              </w:rPr>
              <w:t>□</w:t>
            </w:r>
          </w:p>
        </w:tc>
      </w:tr>
      <w:tr w14:paraId="688B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994124C">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p>
        </w:tc>
        <w:tc>
          <w:tcPr>
            <w:tcW w:w="2180" w:type="dxa"/>
            <w:tcBorders>
              <w:top w:val="single" w:color="auto" w:sz="4" w:space="0"/>
              <w:left w:val="single" w:color="auto" w:sz="4" w:space="0"/>
              <w:bottom w:val="single" w:color="auto" w:sz="4" w:space="0"/>
              <w:right w:val="single" w:color="auto" w:sz="4" w:space="0"/>
            </w:tcBorders>
            <w:vAlign w:val="center"/>
          </w:tcPr>
          <w:p w14:paraId="20EF4D2A">
            <w:pPr>
              <w:spacing w:line="276"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标的</w:t>
            </w:r>
            <w:r>
              <w:rPr>
                <w:rFonts w:hint="eastAsia" w:ascii="宋体" w:hAnsi="宋体" w:cs="宋体"/>
                <w:color w:val="000000" w:themeColor="text1"/>
                <w:sz w:val="24"/>
                <w:highlight w:val="none"/>
                <w:lang w:eastAsia="zh-CN"/>
                <w14:textFill>
                  <w14:solidFill>
                    <w14:schemeClr w14:val="tx1"/>
                  </w14:solidFill>
                </w14:textFill>
              </w:rPr>
              <w:t>所属行业</w:t>
            </w:r>
          </w:p>
        </w:tc>
        <w:tc>
          <w:tcPr>
            <w:tcW w:w="6840" w:type="dxa"/>
            <w:tcBorders>
              <w:top w:val="single" w:color="auto" w:sz="4" w:space="0"/>
              <w:left w:val="single" w:color="auto" w:sz="4" w:space="0"/>
              <w:bottom w:val="single" w:color="auto" w:sz="4" w:space="0"/>
              <w:right w:val="single" w:color="auto" w:sz="4" w:space="0"/>
            </w:tcBorders>
            <w:vAlign w:val="center"/>
          </w:tcPr>
          <w:p w14:paraId="287B74DE">
            <w:pPr>
              <w:overflowPunct w:val="0"/>
              <w:spacing w:line="360" w:lineRule="exac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其他未列明行业</w:t>
            </w:r>
          </w:p>
        </w:tc>
      </w:tr>
      <w:tr w14:paraId="6E60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7812D6D">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p>
        </w:tc>
        <w:tc>
          <w:tcPr>
            <w:tcW w:w="2180" w:type="dxa"/>
            <w:tcBorders>
              <w:top w:val="single" w:color="auto" w:sz="4" w:space="0"/>
              <w:left w:val="single" w:color="auto" w:sz="4" w:space="0"/>
              <w:bottom w:val="single" w:color="auto" w:sz="4" w:space="0"/>
              <w:right w:val="single" w:color="auto" w:sz="4" w:space="0"/>
            </w:tcBorders>
            <w:vAlign w:val="center"/>
          </w:tcPr>
          <w:p w14:paraId="55896558">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资金来源</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cs="宋体"/>
                <w:color w:val="000000" w:themeColor="text1"/>
                <w:sz w:val="24"/>
                <w:highlight w:val="none"/>
                <w14:textFill>
                  <w14:solidFill>
                    <w14:schemeClr w14:val="tx1"/>
                  </w14:solidFill>
                </w14:textFill>
              </w:rPr>
              <w:t>资金落实情况</w:t>
            </w:r>
          </w:p>
        </w:tc>
        <w:tc>
          <w:tcPr>
            <w:tcW w:w="6840" w:type="dxa"/>
            <w:tcBorders>
              <w:top w:val="single" w:color="auto" w:sz="4" w:space="0"/>
              <w:left w:val="single" w:color="auto" w:sz="4" w:space="0"/>
              <w:bottom w:val="single" w:color="auto" w:sz="4" w:space="0"/>
              <w:right w:val="single" w:color="auto" w:sz="4" w:space="0"/>
            </w:tcBorders>
            <w:vAlign w:val="center"/>
          </w:tcPr>
          <w:p w14:paraId="6E8C0482">
            <w:pPr>
              <w:spacing w:line="276" w:lineRule="auto"/>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援疆资金已落实</w:t>
            </w:r>
          </w:p>
        </w:tc>
      </w:tr>
      <w:tr w14:paraId="36C0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896C54A">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p>
        </w:tc>
        <w:tc>
          <w:tcPr>
            <w:tcW w:w="2180" w:type="dxa"/>
            <w:tcBorders>
              <w:top w:val="single" w:color="auto" w:sz="4" w:space="0"/>
              <w:left w:val="single" w:color="auto" w:sz="4" w:space="0"/>
              <w:bottom w:val="single" w:color="auto" w:sz="4" w:space="0"/>
              <w:right w:val="single" w:color="auto" w:sz="4" w:space="0"/>
            </w:tcBorders>
            <w:vAlign w:val="center"/>
          </w:tcPr>
          <w:p w14:paraId="104B2392">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采购方式</w:t>
            </w:r>
            <w:r>
              <w:rPr>
                <w:rFonts w:hint="eastAsia" w:ascii="宋体" w:hAnsi="宋体" w:cs="宋体"/>
                <w:color w:val="000000" w:themeColor="text1"/>
                <w:sz w:val="24"/>
                <w:highlight w:val="none"/>
                <w:lang w:val="en-US" w:eastAsia="zh-CN"/>
                <w14:textFill>
                  <w14:solidFill>
                    <w14:schemeClr w14:val="tx1"/>
                  </w14:solidFill>
                </w14:textFill>
              </w:rPr>
              <w:t>及采购类型</w:t>
            </w:r>
          </w:p>
        </w:tc>
        <w:tc>
          <w:tcPr>
            <w:tcW w:w="6840" w:type="dxa"/>
            <w:tcBorders>
              <w:top w:val="single" w:color="auto" w:sz="4" w:space="0"/>
              <w:left w:val="single" w:color="auto" w:sz="4" w:space="0"/>
              <w:bottom w:val="single" w:color="auto" w:sz="4" w:space="0"/>
              <w:right w:val="single" w:color="auto" w:sz="4" w:space="0"/>
            </w:tcBorders>
            <w:vAlign w:val="center"/>
          </w:tcPr>
          <w:p w14:paraId="689166BF">
            <w:pPr>
              <w:spacing w:line="276"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公开招标</w:t>
            </w:r>
            <w:r>
              <w:rPr>
                <w:rFonts w:hint="eastAsia" w:ascii="宋体" w:hAnsi="宋体" w:cs="宋体"/>
                <w:color w:val="000000" w:themeColor="text1"/>
                <w:sz w:val="24"/>
                <w:highlight w:val="none"/>
                <w:lang w:val="en-US" w:eastAsia="zh-CN"/>
                <w14:textFill>
                  <w14:solidFill>
                    <w14:schemeClr w14:val="tx1"/>
                  </w14:solidFill>
                </w14:textFill>
              </w:rPr>
              <w:t xml:space="preserve">  服务</w:t>
            </w:r>
          </w:p>
        </w:tc>
      </w:tr>
      <w:tr w14:paraId="2139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E0D0F53">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p>
        </w:tc>
        <w:tc>
          <w:tcPr>
            <w:tcW w:w="2180" w:type="dxa"/>
            <w:tcBorders>
              <w:top w:val="single" w:color="auto" w:sz="4" w:space="0"/>
              <w:left w:val="single" w:color="auto" w:sz="4" w:space="0"/>
              <w:bottom w:val="single" w:color="auto" w:sz="4" w:space="0"/>
              <w:right w:val="single" w:color="auto" w:sz="4" w:space="0"/>
            </w:tcBorders>
            <w:vAlign w:val="center"/>
          </w:tcPr>
          <w:p w14:paraId="04BF3AF7">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报价方式</w:t>
            </w:r>
          </w:p>
        </w:tc>
        <w:tc>
          <w:tcPr>
            <w:tcW w:w="6840" w:type="dxa"/>
            <w:tcBorders>
              <w:top w:val="single" w:color="auto" w:sz="4" w:space="0"/>
              <w:left w:val="single" w:color="auto" w:sz="4" w:space="0"/>
              <w:bottom w:val="single" w:color="auto" w:sz="4" w:space="0"/>
              <w:right w:val="single" w:color="auto" w:sz="4" w:space="0"/>
            </w:tcBorders>
            <w:vAlign w:val="center"/>
          </w:tcPr>
          <w:p w14:paraId="7E21A5FE">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一次报价。投标报价应包括招标文件所规定的招标范围的全部内容；</w:t>
            </w:r>
          </w:p>
          <w:p w14:paraId="71805D4C">
            <w:pPr>
              <w:spacing w:line="276" w:lineRule="auto"/>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 xml:space="preserve">投标人的报价明显低于其他投标人报价，或者明显低于市场价，使得其报价可能低于其个别成本的，应当要求该投标人作出书面说明并提供相应的证明材料。 </w:t>
            </w:r>
          </w:p>
        </w:tc>
      </w:tr>
      <w:tr w14:paraId="7424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0BC0338">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2180" w:type="dxa"/>
            <w:tcBorders>
              <w:top w:val="single" w:color="auto" w:sz="4" w:space="0"/>
              <w:left w:val="single" w:color="auto" w:sz="4" w:space="0"/>
              <w:bottom w:val="single" w:color="auto" w:sz="4" w:space="0"/>
              <w:right w:val="single" w:color="auto" w:sz="4" w:space="0"/>
            </w:tcBorders>
            <w:vAlign w:val="center"/>
          </w:tcPr>
          <w:p w14:paraId="0C8D3CE2">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投标人资格</w:t>
            </w:r>
          </w:p>
        </w:tc>
        <w:tc>
          <w:tcPr>
            <w:tcW w:w="6840" w:type="dxa"/>
            <w:tcBorders>
              <w:top w:val="single" w:color="auto" w:sz="4" w:space="0"/>
              <w:left w:val="single" w:color="auto" w:sz="4" w:space="0"/>
              <w:bottom w:val="single" w:color="auto" w:sz="4" w:space="0"/>
              <w:right w:val="single" w:color="auto" w:sz="4" w:space="0"/>
            </w:tcBorders>
            <w:vAlign w:val="center"/>
          </w:tcPr>
          <w:p w14:paraId="2A8AE062">
            <w:pPr>
              <w:overflowPunct w:val="0"/>
              <w:spacing w:line="3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1.投标人须符合《中华人民共和国政府采购法》第二十二条之规定；</w:t>
            </w:r>
          </w:p>
          <w:p w14:paraId="3D756859">
            <w:pPr>
              <w:overflowPunct w:val="0"/>
              <w:spacing w:line="3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2.落实政府采购政策需满足的资格要求：</w:t>
            </w:r>
            <w:r>
              <w:rPr>
                <w:rFonts w:hint="eastAsia" w:cs="宋体"/>
                <w:color w:val="333333"/>
                <w:sz w:val="24"/>
                <w:szCs w:val="24"/>
                <w:highlight w:val="none"/>
                <w:shd w:val="clear" w:color="auto" w:fill="FFFFFF"/>
                <w:lang w:val="en-US" w:eastAsia="zh-CN"/>
              </w:rPr>
              <w:t>本项目专门面向中小企业（提供</w:t>
            </w:r>
            <w:r>
              <w:rPr>
                <w:rFonts w:hint="eastAsia" w:ascii="宋体" w:hAnsi="宋体" w:cs="宋体"/>
                <w:sz w:val="24"/>
                <w:highlight w:val="none"/>
              </w:rPr>
              <w:t>中小企业声明函</w:t>
            </w:r>
            <w:r>
              <w:rPr>
                <w:rFonts w:hint="eastAsia" w:cs="宋体"/>
                <w:color w:val="333333"/>
                <w:sz w:val="24"/>
                <w:szCs w:val="24"/>
                <w:highlight w:val="none"/>
                <w:shd w:val="clear" w:color="auto" w:fill="FFFFFF"/>
                <w:lang w:val="en-US" w:eastAsia="zh-CN"/>
              </w:rPr>
              <w:t>）</w:t>
            </w:r>
            <w:r>
              <w:rPr>
                <w:rFonts w:hint="eastAsia"/>
                <w:color w:val="000000" w:themeColor="text1"/>
                <w:sz w:val="24"/>
                <w:szCs w:val="24"/>
                <w:highlight w:val="none"/>
                <w14:textFill>
                  <w14:solidFill>
                    <w14:schemeClr w14:val="tx1"/>
                  </w14:solidFill>
                </w14:textFill>
              </w:rPr>
              <w:t> </w:t>
            </w:r>
          </w:p>
          <w:p w14:paraId="26C81374">
            <w:pPr>
              <w:overflowPunct w:val="0"/>
              <w:spacing w:line="3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本项目的特定资格要求：</w:t>
            </w:r>
          </w:p>
          <w:p w14:paraId="42A15478">
            <w:pPr>
              <w:overflowPunct w:val="0"/>
              <w:spacing w:line="360" w:lineRule="exac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（1）有效经年检合格的营业执照；</w:t>
            </w:r>
          </w:p>
          <w:p w14:paraId="4824C065">
            <w:pPr>
              <w:overflowPunct w:val="0"/>
              <w:spacing w:line="360" w:lineRule="exac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（2）法人代表或其委托代理人应提供本人身份证，委托代理人还应提供《法人代表授权委托书》；</w:t>
            </w:r>
          </w:p>
          <w:p w14:paraId="4F59266C">
            <w:pPr>
              <w:overflowPunct w:val="0"/>
              <w:spacing w:line="360" w:lineRule="exac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（3）提供2023年至2025年任意一年的财务审计报告或财务报表（成立不足一年的提供成立至今的财务报表，包含资产负债表、现金流量表、利润表）；</w:t>
            </w:r>
          </w:p>
          <w:p w14:paraId="25B710FE">
            <w:pPr>
              <w:overflowPunct w:val="0"/>
              <w:spacing w:line="360" w:lineRule="exac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（4）有依法缴纳税收和社会保障资金的良好纪录，提供2026年内任意一个月完税、缴纳社保证明原件或复印件加盖公章（公司成立不到三个月的从成立之日起）；</w:t>
            </w:r>
          </w:p>
          <w:p w14:paraId="3B84BC51">
            <w:pPr>
              <w:overflowPunct w:val="0"/>
              <w:spacing w:line="360" w:lineRule="exac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（5）供应商未被信用中国（www.creditchina.gov.cn）列入失信被执行人、重大税收违法案件当事人名单；未被中国政府采购网（www.ccgp.gov.cn）列入政府采购严重违法失信行为记录名单。</w:t>
            </w:r>
          </w:p>
          <w:p w14:paraId="20B0D10D">
            <w:pPr>
              <w:overflowPunct w:val="0"/>
              <w:spacing w:line="360" w:lineRule="exac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（6）与采购人存在利害关系可能影响采购公正性的单位，不得参加投标。单位负责人为同一人或者存在直接控股、管理关系的不同供应商，不得参加同一合同项下的政府采购活动，否则，相关投标均无效。</w:t>
            </w:r>
          </w:p>
          <w:p w14:paraId="49829950">
            <w:pPr>
              <w:overflowPunct w:val="0"/>
              <w:spacing w:line="360" w:lineRule="exact"/>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、具备法律法规和行政法规规定的其他文件</w:t>
            </w:r>
            <w:r>
              <w:rPr>
                <w:rFonts w:hint="eastAsia"/>
                <w:color w:val="000000" w:themeColor="text1"/>
                <w:sz w:val="24"/>
                <w:szCs w:val="24"/>
                <w:highlight w:val="none"/>
                <w:lang w:eastAsia="zh-CN"/>
                <w14:textFill>
                  <w14:solidFill>
                    <w14:schemeClr w14:val="tx1"/>
                  </w14:solidFill>
                </w14:textFill>
              </w:rPr>
              <w:t>；</w:t>
            </w:r>
          </w:p>
          <w:p w14:paraId="5A5670D6">
            <w:pPr>
              <w:overflowPunct w:val="0"/>
              <w:spacing w:line="36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lang w:eastAsia="zh-CN"/>
                <w14:textFill>
                  <w14:solidFill>
                    <w14:schemeClr w14:val="tx1"/>
                  </w14:solidFill>
                </w14:textFill>
              </w:rPr>
              <w:t>不</w:t>
            </w:r>
            <w:r>
              <w:rPr>
                <w:rFonts w:hint="eastAsia"/>
                <w:color w:val="000000" w:themeColor="text1"/>
                <w:sz w:val="24"/>
                <w:szCs w:val="24"/>
                <w:highlight w:val="none"/>
                <w14:textFill>
                  <w14:solidFill>
                    <w14:schemeClr w14:val="tx1"/>
                  </w14:solidFill>
                </w14:textFill>
              </w:rPr>
              <w:t>接受联合体投标。</w:t>
            </w:r>
          </w:p>
        </w:tc>
      </w:tr>
      <w:tr w14:paraId="3094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9687AE7">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p>
        </w:tc>
        <w:tc>
          <w:tcPr>
            <w:tcW w:w="2180" w:type="dxa"/>
            <w:tcBorders>
              <w:top w:val="single" w:color="auto" w:sz="4" w:space="0"/>
              <w:left w:val="single" w:color="auto" w:sz="4" w:space="0"/>
              <w:bottom w:val="single" w:color="auto" w:sz="4" w:space="0"/>
              <w:right w:val="single" w:color="auto" w:sz="4" w:space="0"/>
            </w:tcBorders>
            <w:vAlign w:val="center"/>
          </w:tcPr>
          <w:p w14:paraId="478B6E71">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联合体</w:t>
            </w:r>
          </w:p>
        </w:tc>
        <w:tc>
          <w:tcPr>
            <w:tcW w:w="6840" w:type="dxa"/>
            <w:tcBorders>
              <w:top w:val="single" w:color="auto" w:sz="4" w:space="0"/>
              <w:left w:val="single" w:color="auto" w:sz="4" w:space="0"/>
              <w:bottom w:val="single" w:color="auto" w:sz="4" w:space="0"/>
              <w:right w:val="single" w:color="auto" w:sz="4" w:space="0"/>
            </w:tcBorders>
            <w:vAlign w:val="center"/>
          </w:tcPr>
          <w:p w14:paraId="179DF566">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本项目不接受联合体投标。</w:t>
            </w:r>
          </w:p>
        </w:tc>
      </w:tr>
      <w:tr w14:paraId="4A6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D6EEBC1">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6</w:t>
            </w:r>
          </w:p>
        </w:tc>
        <w:tc>
          <w:tcPr>
            <w:tcW w:w="2180" w:type="dxa"/>
            <w:tcBorders>
              <w:top w:val="single" w:color="auto" w:sz="4" w:space="0"/>
              <w:left w:val="single" w:color="auto" w:sz="4" w:space="0"/>
              <w:bottom w:val="single" w:color="auto" w:sz="4" w:space="0"/>
              <w:right w:val="single" w:color="auto" w:sz="4" w:space="0"/>
            </w:tcBorders>
            <w:vAlign w:val="center"/>
          </w:tcPr>
          <w:p w14:paraId="77A9736F">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投标有效期</w:t>
            </w:r>
          </w:p>
        </w:tc>
        <w:tc>
          <w:tcPr>
            <w:tcW w:w="6840" w:type="dxa"/>
            <w:tcBorders>
              <w:top w:val="single" w:color="auto" w:sz="4" w:space="0"/>
              <w:left w:val="single" w:color="auto" w:sz="4" w:space="0"/>
              <w:bottom w:val="single" w:color="auto" w:sz="4" w:space="0"/>
              <w:right w:val="single" w:color="auto" w:sz="4" w:space="0"/>
            </w:tcBorders>
            <w:vAlign w:val="center"/>
          </w:tcPr>
          <w:p w14:paraId="65C7983E">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90</w:t>
            </w:r>
            <w:r>
              <w:rPr>
                <w:rFonts w:hint="eastAsia" w:ascii="宋体" w:hAnsi="宋体" w:cs="宋体"/>
                <w:color w:val="000000" w:themeColor="text1"/>
                <w:sz w:val="24"/>
                <w:highlight w:val="none"/>
                <w14:textFill>
                  <w14:solidFill>
                    <w14:schemeClr w14:val="tx1"/>
                  </w14:solidFill>
                </w14:textFill>
              </w:rPr>
              <w:t>天（从投标截止之日算起）</w:t>
            </w:r>
          </w:p>
        </w:tc>
      </w:tr>
      <w:tr w14:paraId="1E9E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D0A8855">
            <w:pPr>
              <w:spacing w:line="276" w:lineRule="auto"/>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7</w:t>
            </w:r>
          </w:p>
        </w:tc>
        <w:tc>
          <w:tcPr>
            <w:tcW w:w="2180" w:type="dxa"/>
            <w:tcBorders>
              <w:top w:val="single" w:color="auto" w:sz="4" w:space="0"/>
              <w:left w:val="single" w:color="auto" w:sz="4" w:space="0"/>
              <w:bottom w:val="single" w:color="auto" w:sz="4" w:space="0"/>
              <w:right w:val="single" w:color="auto" w:sz="4" w:space="0"/>
            </w:tcBorders>
            <w:vAlign w:val="center"/>
          </w:tcPr>
          <w:p w14:paraId="7EE16E0B">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付款方式</w:t>
            </w:r>
          </w:p>
        </w:tc>
        <w:tc>
          <w:tcPr>
            <w:tcW w:w="6840" w:type="dxa"/>
            <w:tcBorders>
              <w:top w:val="single" w:color="auto" w:sz="4" w:space="0"/>
              <w:left w:val="single" w:color="auto" w:sz="4" w:space="0"/>
              <w:bottom w:val="single" w:color="auto" w:sz="4" w:space="0"/>
              <w:right w:val="single" w:color="auto" w:sz="4" w:space="0"/>
            </w:tcBorders>
            <w:vAlign w:val="center"/>
          </w:tcPr>
          <w:p w14:paraId="65C2DB10">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合同签订后支付合同价款的30%，提交</w:t>
            </w:r>
            <w:r>
              <w:rPr>
                <w:rFonts w:hint="eastAsia" w:ascii="宋体" w:hAnsi="宋体" w:cs="宋体"/>
                <w:color w:val="000000" w:themeColor="text1"/>
                <w:sz w:val="24"/>
                <w:highlight w:val="none"/>
                <w:lang w:val="en-US" w:eastAsia="zh-CN"/>
                <w14:textFill>
                  <w14:solidFill>
                    <w14:schemeClr w14:val="tx1"/>
                  </w14:solidFill>
                </w14:textFill>
              </w:rPr>
              <w:t>60</w:t>
            </w:r>
            <w:r>
              <w:rPr>
                <w:rFonts w:hint="eastAsia" w:ascii="宋体" w:hAnsi="宋体" w:cs="宋体"/>
                <w:color w:val="000000" w:themeColor="text1"/>
                <w:sz w:val="24"/>
                <w:highlight w:val="none"/>
                <w14:textFill>
                  <w14:solidFill>
                    <w14:schemeClr w14:val="tx1"/>
                  </w14:solidFill>
                </w14:textFill>
              </w:rPr>
              <w:t>%的核心场景和角色建模完成品</w:t>
            </w:r>
            <w:r>
              <w:rPr>
                <w:rFonts w:hint="eastAsia" w:ascii="宋体" w:hAnsi="宋体" w:cs="宋体"/>
                <w:color w:val="000000" w:themeColor="text1"/>
                <w:sz w:val="24"/>
                <w:highlight w:val="none"/>
                <w:lang w:val="en-US" w:eastAsia="zh-CN"/>
                <w14:textFill>
                  <w14:solidFill>
                    <w14:schemeClr w14:val="tx1"/>
                  </w14:solidFill>
                </w14:textFill>
              </w:rPr>
              <w:t>并完成大空间场地装修后支付</w:t>
            </w:r>
            <w:r>
              <w:rPr>
                <w:rFonts w:hint="eastAsia" w:ascii="宋体" w:hAnsi="宋体" w:cs="宋体"/>
                <w:color w:val="000000" w:themeColor="text1"/>
                <w:sz w:val="24"/>
                <w:highlight w:val="none"/>
                <w14:textFill>
                  <w14:solidFill>
                    <w14:schemeClr w14:val="tx1"/>
                  </w14:solidFill>
                </w14:textFill>
              </w:rPr>
              <w:t>合同价款的</w:t>
            </w:r>
            <w:r>
              <w:rPr>
                <w:rFonts w:hint="eastAsia" w:ascii="宋体" w:hAnsi="宋体" w:cs="宋体"/>
                <w:color w:val="000000" w:themeColor="text1"/>
                <w:sz w:val="24"/>
                <w:highlight w:val="none"/>
                <w:lang w:val="en-US" w:eastAsia="zh-CN"/>
                <w14:textFill>
                  <w14:solidFill>
                    <w14:schemeClr w14:val="tx1"/>
                  </w14:solidFill>
                </w14:textFill>
              </w:rPr>
              <w:t>40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工作完成并验收合格，支付合同价款的</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7%，质保期结束后，支付剩余合同价款的3%。</w:t>
            </w:r>
          </w:p>
        </w:tc>
      </w:tr>
      <w:tr w14:paraId="3688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AC27D3D">
            <w:pPr>
              <w:spacing w:line="276"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18</w:t>
            </w:r>
          </w:p>
        </w:tc>
        <w:tc>
          <w:tcPr>
            <w:tcW w:w="2180" w:type="dxa"/>
            <w:tcBorders>
              <w:top w:val="single" w:color="auto" w:sz="4" w:space="0"/>
              <w:left w:val="single" w:color="auto" w:sz="4" w:space="0"/>
              <w:bottom w:val="single" w:color="auto" w:sz="4" w:space="0"/>
              <w:right w:val="single" w:color="auto" w:sz="4" w:space="0"/>
            </w:tcBorders>
            <w:vAlign w:val="center"/>
          </w:tcPr>
          <w:p w14:paraId="4EFCFDD3">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分包（转让）</w:t>
            </w:r>
          </w:p>
        </w:tc>
        <w:tc>
          <w:tcPr>
            <w:tcW w:w="6840" w:type="dxa"/>
            <w:tcBorders>
              <w:top w:val="single" w:color="auto" w:sz="4" w:space="0"/>
              <w:left w:val="single" w:color="auto" w:sz="4" w:space="0"/>
              <w:bottom w:val="single" w:color="auto" w:sz="4" w:space="0"/>
              <w:right w:val="single" w:color="auto" w:sz="4" w:space="0"/>
            </w:tcBorders>
            <w:vAlign w:val="center"/>
          </w:tcPr>
          <w:p w14:paraId="2F506550">
            <w:pPr>
              <w:spacing w:line="276"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不允许</w:t>
            </w:r>
          </w:p>
        </w:tc>
      </w:tr>
      <w:tr w14:paraId="3E77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16" w:type="dxa"/>
            <w:tcBorders>
              <w:top w:val="single" w:color="auto" w:sz="4" w:space="0"/>
              <w:left w:val="single" w:color="auto" w:sz="4" w:space="0"/>
              <w:right w:val="single" w:color="auto" w:sz="4" w:space="0"/>
            </w:tcBorders>
            <w:vAlign w:val="center"/>
          </w:tcPr>
          <w:p w14:paraId="673793BD">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w:t>
            </w:r>
          </w:p>
        </w:tc>
        <w:tc>
          <w:tcPr>
            <w:tcW w:w="2180" w:type="dxa"/>
            <w:tcBorders>
              <w:top w:val="single" w:color="auto" w:sz="4" w:space="0"/>
              <w:left w:val="single" w:color="auto" w:sz="4" w:space="0"/>
              <w:right w:val="single" w:color="auto" w:sz="4" w:space="0"/>
            </w:tcBorders>
            <w:vAlign w:val="center"/>
          </w:tcPr>
          <w:p w14:paraId="63F67A32">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投标保证金</w:t>
            </w:r>
          </w:p>
        </w:tc>
        <w:tc>
          <w:tcPr>
            <w:tcW w:w="6840" w:type="dxa"/>
            <w:tcBorders>
              <w:top w:val="single" w:color="auto" w:sz="4" w:space="0"/>
              <w:left w:val="single" w:color="auto" w:sz="4" w:space="0"/>
              <w:bottom w:val="single" w:color="auto" w:sz="4" w:space="0"/>
              <w:right w:val="single" w:color="auto" w:sz="4" w:space="0"/>
            </w:tcBorders>
            <w:vAlign w:val="center"/>
          </w:tcPr>
          <w:p w14:paraId="7F3B0598">
            <w:pPr>
              <w:pStyle w:val="84"/>
              <w:spacing w:before="53" w:line="240" w:lineRule="auto"/>
              <w:ind w:left="118"/>
              <w:jc w:val="lef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投标保证金：</w:t>
            </w:r>
            <w:r>
              <w:rPr>
                <w:rFonts w:hint="eastAsia" w:cs="宋体"/>
                <w:color w:val="000000" w:themeColor="text1"/>
                <w:highlight w:val="none"/>
                <w:lang w:val="en-US" w:eastAsia="zh-CN"/>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0000元（</w:t>
            </w:r>
            <w:r>
              <w:rPr>
                <w:rFonts w:hint="eastAsia" w:cs="宋体"/>
                <w:color w:val="000000" w:themeColor="text1"/>
                <w:highlight w:val="none"/>
                <w:lang w:val="en-US" w:eastAsia="zh-CN"/>
                <w14:textFill>
                  <w14:solidFill>
                    <w14:schemeClr w14:val="tx1"/>
                  </w14:solidFill>
                </w14:textFill>
              </w:rPr>
              <w:t>肆</w:t>
            </w:r>
            <w:r>
              <w:rPr>
                <w:rFonts w:hint="eastAsia" w:ascii="宋体" w:hAnsi="宋体" w:eastAsia="宋体" w:cs="宋体"/>
                <w:color w:val="000000" w:themeColor="text1"/>
                <w:highlight w:val="none"/>
                <w:lang w:val="en-US" w:eastAsia="zh-CN"/>
                <w14:textFill>
                  <w14:solidFill>
                    <w14:schemeClr w14:val="tx1"/>
                  </w14:solidFill>
                </w14:textFill>
              </w:rPr>
              <w:t>万元整</w:t>
            </w:r>
            <w:r>
              <w:rPr>
                <w:rFonts w:ascii="宋体" w:hAnsi="宋体" w:eastAsia="宋体" w:cs="宋体"/>
                <w:color w:val="000000" w:themeColor="text1"/>
                <w:highlight w:val="none"/>
                <w14:textFill>
                  <w14:solidFill>
                    <w14:schemeClr w14:val="tx1"/>
                  </w14:solidFill>
                </w14:textFill>
              </w:rPr>
              <w:t>）</w:t>
            </w:r>
          </w:p>
          <w:p w14:paraId="6B14138A">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投标保证金缴纳方式：</w:t>
            </w:r>
          </w:p>
          <w:p w14:paraId="50CF9B1C">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（1）应当以支票、汇票、本票或者金融机构、担保机构出具的保函等非现金形式提交。</w:t>
            </w:r>
          </w:p>
          <w:p w14:paraId="1BBE0C3D">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（2）保证金必须从投标人基本帐户电汇到指定的银行帐户。</w:t>
            </w:r>
          </w:p>
          <w:p w14:paraId="7463D8E9">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投标保证金缴纳截止时间：2026 年 </w:t>
            </w:r>
            <w:r>
              <w:rPr>
                <w:rFonts w:hint="eastAsia"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月</w:t>
            </w:r>
            <w:r>
              <w:rPr>
                <w:rFonts w:hint="eastAsia"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日 1</w:t>
            </w:r>
            <w:r>
              <w:rPr>
                <w:rFonts w:hint="eastAsia"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：30（北京时间）</w:t>
            </w:r>
          </w:p>
          <w:p w14:paraId="3A43FE4F">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账户</w:t>
            </w:r>
            <w:r>
              <w:rPr>
                <w:rFonts w:hint="eastAsia" w:ascii="宋体" w:hAnsi="宋体" w:eastAsia="宋体" w:cs="宋体"/>
                <w:color w:val="000000" w:themeColor="text1"/>
                <w:highlight w:val="none"/>
                <w14:textFill>
                  <w14:solidFill>
                    <w14:schemeClr w14:val="tx1"/>
                  </w14:solidFill>
                </w14:textFill>
              </w:rPr>
              <w:t>名称：新疆经开项目管理有限公司</w:t>
            </w:r>
          </w:p>
          <w:p w14:paraId="34FBBD1D">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开户行：中国工商银行股份有限公司库车支行</w:t>
            </w:r>
          </w:p>
          <w:p w14:paraId="34336A6B">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w:t>
            </w:r>
            <w:r>
              <w:rPr>
                <w:rFonts w:hint="eastAsia" w:cs="宋体"/>
                <w:color w:val="000000" w:themeColor="text1"/>
                <w:highlight w:val="none"/>
                <w:lang w:val="en-US" w:eastAsia="zh-CN"/>
                <w14:textFill>
                  <w14:solidFill>
                    <w14:schemeClr w14:val="tx1"/>
                  </w14:solidFill>
                </w14:textFill>
              </w:rPr>
              <w:t>账号：</w:t>
            </w:r>
            <w:r>
              <w:rPr>
                <w:rFonts w:hint="eastAsia" w:ascii="宋体" w:hAnsi="宋体" w:eastAsia="宋体" w:cs="宋体"/>
                <w:color w:val="000000" w:themeColor="text1"/>
                <w:highlight w:val="none"/>
                <w14:textFill>
                  <w14:solidFill>
                    <w14:schemeClr w14:val="tx1"/>
                  </w14:solidFill>
                </w14:textFill>
              </w:rPr>
              <w:t>3014120109200197604</w:t>
            </w:r>
          </w:p>
          <w:p w14:paraId="3A5366A1">
            <w:pPr>
              <w:pStyle w:val="84"/>
              <w:spacing w:before="53" w:line="240" w:lineRule="auto"/>
              <w:ind w:left="11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行号：102891335584</w:t>
            </w:r>
          </w:p>
          <w:p w14:paraId="59838BE3">
            <w:pPr>
              <w:pStyle w:val="84"/>
              <w:spacing w:before="53" w:line="240" w:lineRule="auto"/>
              <w:ind w:left="118"/>
              <w:jc w:val="left"/>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电子保函应按以下要求办理：</w:t>
            </w:r>
          </w:p>
          <w:p w14:paraId="24E074F9">
            <w:pPr>
              <w:pStyle w:val="84"/>
              <w:spacing w:before="53" w:line="240" w:lineRule="auto"/>
              <w:ind w:left="118"/>
              <w:jc w:val="lef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（1）电子保函按照“一项目一保函”的原则。</w:t>
            </w:r>
          </w:p>
          <w:p w14:paraId="75AECDE2">
            <w:pPr>
              <w:pStyle w:val="84"/>
              <w:spacing w:before="53" w:line="240" w:lineRule="auto"/>
              <w:ind w:left="118"/>
              <w:jc w:val="lef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（2）电子保函须在招标文件规定的投标截止时间前办理完成。 供应商以保函形式缴纳投标保证金的，应通过“新疆政府采购 </w:t>
            </w:r>
            <w:r>
              <w:rPr>
                <w:rFonts w:hint="eastAsia" w:cs="宋体"/>
                <w:color w:val="000000" w:themeColor="text1"/>
                <w:highlight w:val="none"/>
                <w:lang w:val="en-US" w:eastAsia="zh-CN"/>
                <w14:textFill>
                  <w14:solidFill>
                    <w14:schemeClr w14:val="tx1"/>
                  </w14:solidFill>
                </w14:textFill>
              </w:rPr>
              <w:t>-首页-电子保函</w:t>
            </w:r>
            <w:r>
              <w:rPr>
                <w:rFonts w:ascii="宋体" w:hAnsi="宋体" w:eastAsia="宋体" w:cs="宋体"/>
                <w:color w:val="000000" w:themeColor="text1"/>
                <w:highlight w:val="none"/>
                <w14:textFill>
                  <w14:solidFill>
                    <w14:schemeClr w14:val="tx1"/>
                  </w14:solidFill>
                </w14:textFill>
              </w:rPr>
              <w:t>”，购买电子投标保函所支付的费用应从供应商企业基本账户转出，同时将电子投标保单</w:t>
            </w:r>
            <w:r>
              <w:rPr>
                <w:rFonts w:hint="eastAsia" w:cs="宋体"/>
                <w:color w:val="000000" w:themeColor="text1"/>
                <w:highlight w:val="none"/>
                <w:lang w:val="en-US" w:eastAsia="zh-CN"/>
                <w14:textFill>
                  <w14:solidFill>
                    <w14:schemeClr w14:val="tx1"/>
                  </w14:solidFill>
                </w14:textFill>
              </w:rPr>
              <w:t>及保函费支付凭证</w:t>
            </w:r>
            <w:r>
              <w:rPr>
                <w:rFonts w:ascii="宋体" w:hAnsi="宋体" w:eastAsia="宋体" w:cs="宋体"/>
                <w:color w:val="000000" w:themeColor="text1"/>
                <w:highlight w:val="none"/>
                <w14:textFill>
                  <w14:solidFill>
                    <w14:schemeClr w14:val="tx1"/>
                  </w14:solidFill>
                </w14:textFill>
              </w:rPr>
              <w:t>作为电子投标文件组成部分在投标时一并提交。</w:t>
            </w:r>
          </w:p>
          <w:p w14:paraId="005775F5">
            <w:pPr>
              <w:pStyle w:val="84"/>
              <w:spacing w:before="53" w:line="240" w:lineRule="auto"/>
              <w:ind w:left="118"/>
              <w:jc w:val="left"/>
              <w:rPr>
                <w:rFonts w:hint="eastAsia" w:ascii="宋体" w:hAnsi="宋体" w:eastAsia="宋体" w:cs="宋体"/>
                <w:b/>
                <w:color w:val="000000" w:themeColor="text1"/>
                <w:sz w:val="24"/>
                <w:highlight w:val="none"/>
                <w:lang w:eastAsia="zh-CN"/>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（备注：采用电子保函形式缴纳的，在投标截止日之前须从新疆政府采购</w:t>
            </w:r>
            <w:r>
              <w:rPr>
                <w:rFonts w:hint="eastAsia" w:cs="宋体"/>
                <w:color w:val="000000" w:themeColor="text1"/>
                <w:highlight w:val="none"/>
                <w:lang w:eastAsia="zh-CN"/>
                <w14:textFill>
                  <w14:solidFill>
                    <w14:schemeClr w14:val="tx1"/>
                  </w14:solidFill>
                </w14:textFill>
              </w:rPr>
              <w:t>电子保函</w:t>
            </w:r>
            <w:r>
              <w:rPr>
                <w:rFonts w:ascii="宋体" w:hAnsi="宋体" w:eastAsia="宋体" w:cs="宋体"/>
                <w:color w:val="000000" w:themeColor="text1"/>
                <w:highlight w:val="none"/>
                <w14:textFill>
                  <w14:solidFill>
                    <w14:schemeClr w14:val="tx1"/>
                  </w14:solidFill>
                </w14:textFill>
              </w:rPr>
              <w:t>服务平台中确认是否生效。）</w:t>
            </w:r>
          </w:p>
        </w:tc>
      </w:tr>
      <w:tr w14:paraId="33F9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vAlign w:val="center"/>
          </w:tcPr>
          <w:p w14:paraId="7CACE98E">
            <w:pPr>
              <w:spacing w:line="276"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w:t>
            </w:r>
          </w:p>
        </w:tc>
        <w:tc>
          <w:tcPr>
            <w:tcW w:w="2180" w:type="dxa"/>
            <w:tcBorders>
              <w:left w:val="single" w:color="auto" w:sz="4" w:space="0"/>
              <w:bottom w:val="single" w:color="auto" w:sz="4" w:space="0"/>
              <w:right w:val="single" w:color="auto" w:sz="4" w:space="0"/>
            </w:tcBorders>
            <w:vAlign w:val="center"/>
          </w:tcPr>
          <w:p w14:paraId="45E4A186">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踏勘</w:t>
            </w:r>
          </w:p>
        </w:tc>
        <w:tc>
          <w:tcPr>
            <w:tcW w:w="6840" w:type="dxa"/>
            <w:tcBorders>
              <w:top w:val="single" w:color="auto" w:sz="4" w:space="0"/>
              <w:left w:val="single" w:color="auto" w:sz="4" w:space="0"/>
              <w:bottom w:val="single" w:color="auto" w:sz="4" w:space="0"/>
              <w:right w:val="single" w:color="auto" w:sz="4" w:space="0"/>
            </w:tcBorders>
            <w:vAlign w:val="center"/>
          </w:tcPr>
          <w:p w14:paraId="59BF6132">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不组织踏勘，</w:t>
            </w:r>
            <w:r>
              <w:rPr>
                <w:rFonts w:hint="eastAsia" w:ascii="宋体" w:hAnsi="宋体" w:cs="宋体"/>
                <w:color w:val="000000" w:themeColor="text1"/>
                <w:sz w:val="24"/>
                <w:highlight w:val="none"/>
                <w14:textFill>
                  <w14:solidFill>
                    <w14:schemeClr w14:val="tx1"/>
                  </w14:solidFill>
                </w14:textFill>
              </w:rPr>
              <w:t>投标人可自行踏勘。</w:t>
            </w:r>
          </w:p>
        </w:tc>
      </w:tr>
      <w:tr w14:paraId="21BB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16" w:type="dxa"/>
            <w:tcBorders>
              <w:left w:val="single" w:color="auto" w:sz="4" w:space="0"/>
              <w:bottom w:val="single" w:color="auto" w:sz="4" w:space="0"/>
              <w:right w:val="single" w:color="auto" w:sz="4" w:space="0"/>
            </w:tcBorders>
            <w:vAlign w:val="center"/>
          </w:tcPr>
          <w:p w14:paraId="43E3574D">
            <w:pPr>
              <w:spacing w:line="276"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p>
        </w:tc>
        <w:tc>
          <w:tcPr>
            <w:tcW w:w="2180" w:type="dxa"/>
            <w:tcBorders>
              <w:left w:val="single" w:color="auto" w:sz="4" w:space="0"/>
              <w:bottom w:val="single" w:color="auto" w:sz="4" w:space="0"/>
              <w:right w:val="single" w:color="auto" w:sz="4" w:space="0"/>
            </w:tcBorders>
            <w:vAlign w:val="center"/>
          </w:tcPr>
          <w:p w14:paraId="36EAB137">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投标文件的澄清</w:t>
            </w:r>
          </w:p>
        </w:tc>
        <w:tc>
          <w:tcPr>
            <w:tcW w:w="6840" w:type="dxa"/>
            <w:tcBorders>
              <w:top w:val="single" w:color="auto" w:sz="4" w:space="0"/>
              <w:left w:val="single" w:color="auto" w:sz="4" w:space="0"/>
              <w:bottom w:val="single" w:color="auto" w:sz="4" w:space="0"/>
              <w:right w:val="single" w:color="auto" w:sz="4" w:space="0"/>
            </w:tcBorders>
            <w:vAlign w:val="center"/>
          </w:tcPr>
          <w:p w14:paraId="32A73110">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投标人如有质疑请于</w:t>
            </w:r>
            <w:r>
              <w:rPr>
                <w:rFonts w:hint="eastAsia" w:ascii="宋体" w:hAnsi="宋体" w:cs="宋体"/>
                <w:color w:val="000000" w:themeColor="text1"/>
                <w:sz w:val="24"/>
                <w:highlight w:val="none"/>
                <w:lang w:val="en-US" w:eastAsia="zh-CN"/>
                <w14:textFill>
                  <w14:solidFill>
                    <w14:schemeClr w14:val="tx1"/>
                  </w14:solidFill>
                </w14:textFill>
              </w:rPr>
              <w:t>投标截止时间10天前</w:t>
            </w:r>
            <w:r>
              <w:rPr>
                <w:rFonts w:hint="eastAsia" w:ascii="宋体" w:hAnsi="宋体" w:cs="宋体"/>
                <w:color w:val="000000" w:themeColor="text1"/>
                <w:sz w:val="24"/>
                <w:highlight w:val="none"/>
                <w14:textFill>
                  <w14:solidFill>
                    <w14:schemeClr w14:val="tx1"/>
                  </w14:solidFill>
                </w14:textFill>
              </w:rPr>
              <w:t>以书面形式向采购代理机构提出，代理机构做统一澄清。</w:t>
            </w:r>
          </w:p>
          <w:p w14:paraId="0B662B49">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"mailto:598475349@qq.com" </w:instrText>
            </w:r>
            <w:r>
              <w:rPr>
                <w:color w:val="000000" w:themeColor="text1"/>
                <w:highlight w:val="none"/>
                <w14:textFill>
                  <w14:solidFill>
                    <w14:schemeClr w14:val="tx1"/>
                  </w14:solidFill>
                </w14:textFill>
              </w:rPr>
              <w:fldChar w:fldCharType="separate"/>
            </w:r>
            <w:r>
              <w:rPr>
                <w:rStyle w:val="34"/>
                <w:rFonts w:hint="eastAsia" w:ascii="宋体" w:hAnsi="宋体" w:cs="宋体"/>
                <w:color w:val="000000" w:themeColor="text1"/>
                <w:sz w:val="24"/>
                <w:highlight w:val="none"/>
                <w:lang w:val="en-US" w:eastAsia="zh-CN"/>
                <w14:textFill>
                  <w14:solidFill>
                    <w14:schemeClr w14:val="tx1"/>
                  </w14:solidFill>
                </w14:textFill>
              </w:rPr>
              <w:t>407157814</w:t>
            </w:r>
            <w:r>
              <w:rPr>
                <w:rStyle w:val="34"/>
                <w:rFonts w:hint="eastAsia" w:ascii="宋体" w:hAnsi="宋体" w:cs="宋体"/>
                <w:color w:val="000000" w:themeColor="text1"/>
                <w:sz w:val="24"/>
                <w:highlight w:val="none"/>
                <w14:textFill>
                  <w14:solidFill>
                    <w14:schemeClr w14:val="tx1"/>
                  </w14:solidFill>
                </w14:textFill>
              </w:rPr>
              <w:t>@qq.com</w:t>
            </w:r>
            <w:r>
              <w:rPr>
                <w:rStyle w:val="34"/>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（注：接受扫描件）</w:t>
            </w:r>
          </w:p>
        </w:tc>
      </w:tr>
      <w:tr w14:paraId="23E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16" w:type="dxa"/>
            <w:tcBorders>
              <w:top w:val="single" w:color="auto" w:sz="4" w:space="0"/>
              <w:left w:val="single" w:color="auto" w:sz="4" w:space="0"/>
              <w:right w:val="single" w:color="auto" w:sz="4" w:space="0"/>
            </w:tcBorders>
            <w:vAlign w:val="center"/>
          </w:tcPr>
          <w:p w14:paraId="489F9ACC">
            <w:pPr>
              <w:spacing w:line="276"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w:t>
            </w:r>
          </w:p>
        </w:tc>
        <w:tc>
          <w:tcPr>
            <w:tcW w:w="2180" w:type="dxa"/>
            <w:tcBorders>
              <w:top w:val="single" w:color="auto" w:sz="4" w:space="0"/>
              <w:left w:val="single" w:color="auto" w:sz="4" w:space="0"/>
              <w:bottom w:val="single" w:color="auto" w:sz="4" w:space="0"/>
              <w:right w:val="single" w:color="auto" w:sz="4" w:space="0"/>
            </w:tcBorders>
            <w:vAlign w:val="center"/>
          </w:tcPr>
          <w:p w14:paraId="4324C5BD">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val="0"/>
                <w:bCs w:val="0"/>
                <w:color w:val="000000" w:themeColor="text1"/>
                <w:spacing w:val="-14"/>
                <w:sz w:val="24"/>
                <w:highlight w:val="none"/>
                <w:lang w:eastAsia="zh-CN"/>
                <w14:textFill>
                  <w14:solidFill>
                    <w14:schemeClr w14:val="tx1"/>
                  </w14:solidFill>
                </w14:textFill>
              </w:rPr>
              <w:t>标后提交的</w:t>
            </w:r>
            <w:r>
              <w:rPr>
                <w:rFonts w:hint="eastAsia" w:ascii="宋体" w:hAnsi="宋体" w:cs="宋体"/>
                <w:b w:val="0"/>
                <w:bCs w:val="0"/>
                <w:color w:val="000000" w:themeColor="text1"/>
                <w:spacing w:val="-14"/>
                <w:sz w:val="24"/>
                <w:highlight w:val="none"/>
                <w14:textFill>
                  <w14:solidFill>
                    <w14:schemeClr w14:val="tx1"/>
                  </w14:solidFill>
                </w14:textFill>
              </w:rPr>
              <w:t>投标文件</w:t>
            </w:r>
            <w:r>
              <w:rPr>
                <w:rFonts w:hint="eastAsia" w:ascii="宋体" w:hAnsi="宋体" w:cs="宋体"/>
                <w:b w:val="0"/>
                <w:bCs w:val="0"/>
                <w:color w:val="000000" w:themeColor="text1"/>
                <w:sz w:val="24"/>
                <w:highlight w:val="none"/>
                <w14:textFill>
                  <w14:solidFill>
                    <w14:schemeClr w14:val="tx1"/>
                  </w14:solidFill>
                </w14:textFill>
              </w:rPr>
              <w:t>份数</w:t>
            </w:r>
          </w:p>
        </w:tc>
        <w:tc>
          <w:tcPr>
            <w:tcW w:w="6840" w:type="dxa"/>
            <w:tcBorders>
              <w:top w:val="single" w:color="auto" w:sz="4" w:space="0"/>
              <w:left w:val="single" w:color="auto" w:sz="4" w:space="0"/>
              <w:bottom w:val="single" w:color="auto" w:sz="4" w:space="0"/>
              <w:right w:val="single" w:color="auto" w:sz="4" w:space="0"/>
            </w:tcBorders>
            <w:vAlign w:val="center"/>
          </w:tcPr>
          <w:p w14:paraId="63573D16">
            <w:pPr>
              <w:spacing w:line="276"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纸质版</w:t>
            </w:r>
            <w:r>
              <w:rPr>
                <w:rFonts w:hint="eastAsia" w:ascii="宋体" w:hAnsi="宋体" w:cs="宋体"/>
                <w:color w:val="000000" w:themeColor="text1"/>
                <w:sz w:val="24"/>
                <w:highlight w:val="none"/>
                <w14:textFill>
                  <w14:solidFill>
                    <w14:schemeClr w14:val="tx1"/>
                  </w14:solidFill>
                </w14:textFill>
              </w:rPr>
              <w:t>正本一份，副本</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份。</w:t>
            </w:r>
          </w:p>
          <w:p w14:paraId="0F4B6BE8">
            <w:p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递交、邮寄地址：阿克苏市北大街苏和口腔医院（原地委综合办公楼）7楼，收件人：马志鹏，联系电话：18699068456。</w:t>
            </w:r>
          </w:p>
        </w:tc>
      </w:tr>
      <w:tr w14:paraId="2675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16" w:type="dxa"/>
            <w:tcBorders>
              <w:left w:val="single" w:color="auto" w:sz="4" w:space="0"/>
              <w:bottom w:val="single" w:color="auto" w:sz="4" w:space="0"/>
              <w:right w:val="single" w:color="auto" w:sz="4" w:space="0"/>
            </w:tcBorders>
            <w:vAlign w:val="center"/>
          </w:tcPr>
          <w:p w14:paraId="20A008B7">
            <w:pPr>
              <w:spacing w:line="276" w:lineRule="auto"/>
              <w:ind w:right="-71" w:rightChars="-34"/>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w:t>
            </w:r>
          </w:p>
        </w:tc>
        <w:tc>
          <w:tcPr>
            <w:tcW w:w="2180" w:type="dxa"/>
            <w:tcBorders>
              <w:top w:val="single" w:color="auto" w:sz="4" w:space="0"/>
              <w:left w:val="single" w:color="auto" w:sz="4" w:space="0"/>
              <w:bottom w:val="single" w:color="auto" w:sz="4" w:space="0"/>
              <w:right w:val="single" w:color="auto" w:sz="4" w:space="0"/>
            </w:tcBorders>
            <w:vAlign w:val="center"/>
          </w:tcPr>
          <w:p w14:paraId="2C1FD541">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标后提交</w:t>
            </w:r>
            <w:r>
              <w:rPr>
                <w:rFonts w:hint="eastAsia" w:ascii="宋体" w:hAnsi="宋体" w:cs="宋体"/>
                <w:color w:val="000000" w:themeColor="text1"/>
                <w:sz w:val="24"/>
                <w:highlight w:val="none"/>
                <w14:textFill>
                  <w14:solidFill>
                    <w14:schemeClr w14:val="tx1"/>
                  </w14:solidFill>
                </w14:textFill>
              </w:rPr>
              <w:t>投标文件的密封</w:t>
            </w:r>
          </w:p>
        </w:tc>
        <w:tc>
          <w:tcPr>
            <w:tcW w:w="6840" w:type="dxa"/>
            <w:tcBorders>
              <w:top w:val="single" w:color="auto" w:sz="4" w:space="0"/>
              <w:left w:val="single" w:color="auto" w:sz="4" w:space="0"/>
              <w:bottom w:val="single" w:color="auto" w:sz="4" w:space="0"/>
              <w:right w:val="single" w:color="auto" w:sz="4" w:space="0"/>
            </w:tcBorders>
            <w:vAlign w:val="center"/>
          </w:tcPr>
          <w:p w14:paraId="753E1BF9">
            <w:pPr>
              <w:spacing w:line="276"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无需密封</w:t>
            </w:r>
          </w:p>
        </w:tc>
      </w:tr>
      <w:tr w14:paraId="0DCA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6" w:type="dxa"/>
            <w:tcBorders>
              <w:left w:val="single" w:color="auto" w:sz="4" w:space="0"/>
              <w:bottom w:val="single" w:color="auto" w:sz="4" w:space="0"/>
              <w:right w:val="single" w:color="auto" w:sz="4" w:space="0"/>
            </w:tcBorders>
            <w:vAlign w:val="center"/>
          </w:tcPr>
          <w:p w14:paraId="43A2B7F5">
            <w:pPr>
              <w:spacing w:line="276"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24</w:t>
            </w:r>
          </w:p>
        </w:tc>
        <w:tc>
          <w:tcPr>
            <w:tcW w:w="2180" w:type="dxa"/>
            <w:tcBorders>
              <w:top w:val="single" w:color="auto" w:sz="4" w:space="0"/>
              <w:left w:val="single" w:color="auto" w:sz="4" w:space="0"/>
              <w:bottom w:val="single" w:color="auto" w:sz="4" w:space="0"/>
              <w:right w:val="single" w:color="auto" w:sz="4" w:space="0"/>
            </w:tcBorders>
            <w:vAlign w:val="center"/>
          </w:tcPr>
          <w:p w14:paraId="662D22E2">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投标文件的签署</w:t>
            </w:r>
          </w:p>
        </w:tc>
        <w:tc>
          <w:tcPr>
            <w:tcW w:w="6840" w:type="dxa"/>
            <w:tcBorders>
              <w:top w:val="single" w:color="auto" w:sz="4" w:space="0"/>
              <w:left w:val="single" w:color="auto" w:sz="4" w:space="0"/>
              <w:bottom w:val="single" w:color="auto" w:sz="4" w:space="0"/>
              <w:right w:val="single" w:color="auto" w:sz="4" w:space="0"/>
            </w:tcBorders>
            <w:vAlign w:val="center"/>
          </w:tcPr>
          <w:p w14:paraId="5D80C456">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投标文件应由法人代表或授权代表签署并加盖单位公章。所有投标人签字、法人代表签字、法人代表授权人签字和其它签字处必须加盖具有法律效力的投标人的印章后，投标文件方为有效。</w:t>
            </w:r>
          </w:p>
        </w:tc>
      </w:tr>
      <w:tr w14:paraId="4BEC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16" w:type="dxa"/>
            <w:tcBorders>
              <w:left w:val="single" w:color="auto" w:sz="4" w:space="0"/>
              <w:bottom w:val="single" w:color="auto" w:sz="4" w:space="0"/>
              <w:right w:val="single" w:color="auto" w:sz="4" w:space="0"/>
            </w:tcBorders>
            <w:vAlign w:val="center"/>
          </w:tcPr>
          <w:p w14:paraId="204D68EB">
            <w:pPr>
              <w:spacing w:line="276"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25</w:t>
            </w:r>
          </w:p>
        </w:tc>
        <w:tc>
          <w:tcPr>
            <w:tcW w:w="2180" w:type="dxa"/>
            <w:tcBorders>
              <w:top w:val="single" w:color="auto" w:sz="4" w:space="0"/>
              <w:left w:val="single" w:color="auto" w:sz="4" w:space="0"/>
              <w:bottom w:val="single" w:color="auto" w:sz="4" w:space="0"/>
              <w:right w:val="single" w:color="auto" w:sz="4" w:space="0"/>
            </w:tcBorders>
            <w:vAlign w:val="center"/>
          </w:tcPr>
          <w:p w14:paraId="19297C2C">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标后</w:t>
            </w:r>
            <w:r>
              <w:rPr>
                <w:rFonts w:hint="eastAsia" w:ascii="宋体" w:hAnsi="宋体" w:cs="宋体"/>
                <w:color w:val="000000" w:themeColor="text1"/>
                <w:sz w:val="24"/>
                <w:highlight w:val="none"/>
                <w14:textFill>
                  <w14:solidFill>
                    <w14:schemeClr w14:val="tx1"/>
                  </w14:solidFill>
                </w14:textFill>
              </w:rPr>
              <w:t>投标文件的装订</w:t>
            </w:r>
          </w:p>
        </w:tc>
        <w:tc>
          <w:tcPr>
            <w:tcW w:w="6840" w:type="dxa"/>
            <w:tcBorders>
              <w:top w:val="single" w:color="auto" w:sz="4" w:space="0"/>
              <w:left w:val="single" w:color="auto" w:sz="4" w:space="0"/>
              <w:bottom w:val="single" w:color="auto" w:sz="4" w:space="0"/>
              <w:right w:val="single" w:color="auto" w:sz="4" w:space="0"/>
            </w:tcBorders>
            <w:vAlign w:val="center"/>
          </w:tcPr>
          <w:p w14:paraId="2B5A88F9">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投标文件以死页</w:t>
            </w:r>
            <w:r>
              <w:rPr>
                <w:rFonts w:hint="eastAsia" w:ascii="宋体" w:hAnsi="宋体" w:cs="宋体"/>
                <w:color w:val="000000" w:themeColor="text1"/>
                <w:sz w:val="24"/>
                <w:highlight w:val="none"/>
                <w:lang w:eastAsia="zh-CN"/>
                <w14:textFill>
                  <w14:solidFill>
                    <w14:schemeClr w14:val="tx1"/>
                  </w14:solidFill>
                </w14:textFill>
              </w:rPr>
              <w:t>胶装</w:t>
            </w:r>
            <w:r>
              <w:rPr>
                <w:rFonts w:hint="eastAsia" w:ascii="宋体" w:hAnsi="宋体" w:cs="宋体"/>
                <w:color w:val="000000" w:themeColor="text1"/>
                <w:sz w:val="24"/>
                <w:highlight w:val="none"/>
                <w14:textFill>
                  <w14:solidFill>
                    <w14:schemeClr w14:val="tx1"/>
                  </w14:solidFill>
                </w14:textFill>
              </w:rPr>
              <w:t>方式装订，必须为不可拆装的方式。</w:t>
            </w:r>
          </w:p>
        </w:tc>
      </w:tr>
      <w:tr w14:paraId="261D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7AFF3AD">
            <w:pPr>
              <w:spacing w:line="276"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val="en-US" w:eastAsia="zh-CN"/>
                <w14:textFill>
                  <w14:solidFill>
                    <w14:schemeClr w14:val="tx1"/>
                  </w14:solidFill>
                </w14:textFill>
              </w:rPr>
              <w:t>6</w:t>
            </w:r>
          </w:p>
        </w:tc>
        <w:tc>
          <w:tcPr>
            <w:tcW w:w="2180" w:type="dxa"/>
            <w:tcBorders>
              <w:top w:val="single" w:color="auto" w:sz="4" w:space="0"/>
              <w:left w:val="single" w:color="auto" w:sz="4" w:space="0"/>
              <w:bottom w:val="single" w:color="auto" w:sz="4" w:space="0"/>
              <w:right w:val="single" w:color="auto" w:sz="4" w:space="0"/>
            </w:tcBorders>
            <w:vAlign w:val="center"/>
          </w:tcPr>
          <w:p w14:paraId="209839B4">
            <w:pPr>
              <w:spacing w:line="276" w:lineRule="auto"/>
              <w:ind w:right="-126" w:rightChars="-6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投标文件递交地点</w:t>
            </w:r>
          </w:p>
        </w:tc>
        <w:tc>
          <w:tcPr>
            <w:tcW w:w="6840" w:type="dxa"/>
            <w:tcBorders>
              <w:top w:val="single" w:color="auto" w:sz="4" w:space="0"/>
              <w:left w:val="single" w:color="auto" w:sz="4" w:space="0"/>
              <w:bottom w:val="single" w:color="auto" w:sz="4" w:space="0"/>
              <w:right w:val="single" w:color="auto" w:sz="4" w:space="0"/>
            </w:tcBorders>
            <w:vAlign w:val="center"/>
          </w:tcPr>
          <w:p w14:paraId="2B7D62AB">
            <w:pPr>
              <w:spacing w:line="276"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政采云平台（</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HYPERLINK "http://www.zcygov.cn/"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http://www.zcygov.cn/</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w:t>
            </w:r>
          </w:p>
        </w:tc>
      </w:tr>
      <w:tr w14:paraId="6E31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334C77B">
            <w:pPr>
              <w:spacing w:line="276"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val="en-US" w:eastAsia="zh-CN"/>
                <w14:textFill>
                  <w14:solidFill>
                    <w14:schemeClr w14:val="tx1"/>
                  </w14:solidFill>
                </w14:textFill>
              </w:rPr>
              <w:t>7</w:t>
            </w:r>
          </w:p>
        </w:tc>
        <w:tc>
          <w:tcPr>
            <w:tcW w:w="2180" w:type="dxa"/>
            <w:tcBorders>
              <w:top w:val="single" w:color="auto" w:sz="4" w:space="0"/>
              <w:left w:val="single" w:color="auto" w:sz="4" w:space="0"/>
              <w:bottom w:val="single" w:color="auto" w:sz="4" w:space="0"/>
              <w:right w:val="single" w:color="auto" w:sz="4" w:space="0"/>
            </w:tcBorders>
            <w:vAlign w:val="center"/>
          </w:tcPr>
          <w:p w14:paraId="5186AA80">
            <w:pPr>
              <w:spacing w:line="276"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投标截止时间</w:t>
            </w:r>
          </w:p>
        </w:tc>
        <w:tc>
          <w:tcPr>
            <w:tcW w:w="6840" w:type="dxa"/>
            <w:tcBorders>
              <w:top w:val="single" w:color="auto" w:sz="4" w:space="0"/>
              <w:left w:val="single" w:color="auto" w:sz="4" w:space="0"/>
              <w:bottom w:val="single" w:color="auto" w:sz="4" w:space="0"/>
              <w:right w:val="single" w:color="auto" w:sz="4" w:space="0"/>
            </w:tcBorders>
            <w:vAlign w:val="center"/>
          </w:tcPr>
          <w:p w14:paraId="1833CBAF">
            <w:pPr>
              <w:spacing w:line="276"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u w:val="single"/>
                <w:lang w:val="en-US" w:eastAsia="zh-CN"/>
                <w14:textFill>
                  <w14:solidFill>
                    <w14:schemeClr w14:val="tx1"/>
                  </w14:solidFill>
                </w14:textFill>
              </w:rPr>
              <w:t>2026</w:t>
            </w:r>
            <w:r>
              <w:rPr>
                <w:rFonts w:hint="eastAsia" w:ascii="宋体" w:hAnsi="宋体" w:cs="宋体"/>
                <w:b/>
                <w:bCs/>
                <w:color w:val="000000" w:themeColor="text1"/>
                <w:sz w:val="24"/>
                <w:highlight w:val="none"/>
                <w:u w:val="singl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5</w:t>
            </w:r>
            <w:r>
              <w:rPr>
                <w:rFonts w:hint="eastAsia" w:ascii="宋体" w:hAnsi="宋体" w:cs="宋体"/>
                <w:b/>
                <w:bCs/>
                <w:color w:val="000000" w:themeColor="text1"/>
                <w:sz w:val="24"/>
                <w:highlight w:val="none"/>
                <w:u w:val="singl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6</w:t>
            </w:r>
            <w:r>
              <w:rPr>
                <w:rFonts w:hint="eastAsia" w:ascii="宋体" w:hAnsi="宋体" w:cs="宋体"/>
                <w:b/>
                <w:bCs/>
                <w:color w:val="000000" w:themeColor="text1"/>
                <w:sz w:val="24"/>
                <w:highlight w:val="none"/>
                <w:u w:val="single"/>
                <w14:textFill>
                  <w14:solidFill>
                    <w14:schemeClr w14:val="tx1"/>
                  </w14:solidFill>
                </w14:textFill>
              </w:rPr>
              <w:t>日1</w:t>
            </w:r>
            <w:r>
              <w:rPr>
                <w:rFonts w:hint="eastAsia" w:ascii="宋体" w:hAnsi="宋体" w:cs="宋体"/>
                <w:b/>
                <w:bCs/>
                <w:color w:val="000000" w:themeColor="text1"/>
                <w:sz w:val="24"/>
                <w:highlight w:val="none"/>
                <w:u w:val="single"/>
                <w:lang w:val="en-US" w:eastAsia="zh-CN"/>
                <w14:textFill>
                  <w14:solidFill>
                    <w14:schemeClr w14:val="tx1"/>
                  </w14:solidFill>
                </w14:textFill>
              </w:rPr>
              <w:t>6</w:t>
            </w:r>
            <w:r>
              <w:rPr>
                <w:rFonts w:hint="eastAsia" w:ascii="宋体" w:hAnsi="宋体" w:cs="宋体"/>
                <w:b/>
                <w:bCs/>
                <w:color w:val="000000" w:themeColor="text1"/>
                <w:sz w:val="24"/>
                <w:highlight w:val="none"/>
                <w:u w:val="single"/>
                <w14:textFill>
                  <w14:solidFill>
                    <w14:schemeClr w14:val="tx1"/>
                  </w14:solidFill>
                </w14:textFill>
              </w:rPr>
              <w:t>:</w:t>
            </w:r>
            <w:r>
              <w:rPr>
                <w:rFonts w:hint="eastAsia" w:ascii="宋体" w:hAnsi="宋体" w:cs="宋体"/>
                <w:b/>
                <w:bCs/>
                <w:color w:val="000000" w:themeColor="text1"/>
                <w:sz w:val="24"/>
                <w:highlight w:val="none"/>
                <w:u w:val="single"/>
                <w:lang w:val="en-US" w:eastAsia="zh-CN"/>
                <w14:textFill>
                  <w14:solidFill>
                    <w14:schemeClr w14:val="tx1"/>
                  </w14:solidFill>
                </w14:textFill>
              </w:rPr>
              <w:t>3</w:t>
            </w:r>
            <w:r>
              <w:rPr>
                <w:rFonts w:hint="eastAsia" w:ascii="宋体" w:hAnsi="宋体" w:cs="宋体"/>
                <w:b/>
                <w:bCs/>
                <w:color w:val="000000" w:themeColor="text1"/>
                <w:sz w:val="24"/>
                <w:highlight w:val="none"/>
                <w:u w:val="single"/>
                <w14:textFill>
                  <w14:solidFill>
                    <w14:schemeClr w14:val="tx1"/>
                  </w14:solidFill>
                </w14:textFill>
              </w:rPr>
              <w:t>0时</w:t>
            </w:r>
            <w:r>
              <w:rPr>
                <w:rFonts w:hint="eastAsia" w:ascii="宋体" w:hAnsi="宋体" w:cs="宋体"/>
                <w:b/>
                <w:color w:val="000000" w:themeColor="text1"/>
                <w:sz w:val="24"/>
                <w:highlight w:val="none"/>
                <w14:textFill>
                  <w14:solidFill>
                    <w14:schemeClr w14:val="tx1"/>
                  </w14:solidFill>
                </w14:textFill>
              </w:rPr>
              <w:t>（北京时间）</w:t>
            </w:r>
          </w:p>
        </w:tc>
      </w:tr>
      <w:tr w14:paraId="0E6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C8A66D3">
            <w:pPr>
              <w:spacing w:line="276"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28</w:t>
            </w:r>
          </w:p>
        </w:tc>
        <w:tc>
          <w:tcPr>
            <w:tcW w:w="2180" w:type="dxa"/>
            <w:tcBorders>
              <w:top w:val="single" w:color="auto" w:sz="4" w:space="0"/>
              <w:left w:val="single" w:color="auto" w:sz="4" w:space="0"/>
              <w:bottom w:val="single" w:color="auto" w:sz="4" w:space="0"/>
              <w:right w:val="single" w:color="auto" w:sz="4" w:space="0"/>
            </w:tcBorders>
            <w:vAlign w:val="center"/>
          </w:tcPr>
          <w:p w14:paraId="4790A159">
            <w:pPr>
              <w:spacing w:line="276"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★最高限价</w:t>
            </w:r>
          </w:p>
        </w:tc>
        <w:tc>
          <w:tcPr>
            <w:tcW w:w="6840" w:type="dxa"/>
            <w:tcBorders>
              <w:top w:val="single" w:color="auto" w:sz="4" w:space="0"/>
              <w:left w:val="single" w:color="auto" w:sz="4" w:space="0"/>
              <w:bottom w:val="single" w:color="auto" w:sz="4" w:space="0"/>
              <w:right w:val="single" w:color="auto" w:sz="4" w:space="0"/>
            </w:tcBorders>
            <w:vAlign w:val="center"/>
          </w:tcPr>
          <w:p w14:paraId="4257537C">
            <w:pPr>
              <w:spacing w:line="276"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4000000.00</w:t>
            </w:r>
            <w:r>
              <w:rPr>
                <w:rFonts w:hint="eastAsia" w:ascii="宋体" w:hAnsi="宋体" w:cs="宋体"/>
                <w:b/>
                <w:color w:val="000000" w:themeColor="text1"/>
                <w:sz w:val="24"/>
                <w:highlight w:val="none"/>
                <w14:textFill>
                  <w14:solidFill>
                    <w14:schemeClr w14:val="tx1"/>
                  </w14:solidFill>
                </w14:textFill>
              </w:rPr>
              <w:t>元</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大写：肆佰万元整</w:t>
            </w:r>
            <w:r>
              <w:rPr>
                <w:rFonts w:hint="eastAsia" w:ascii="宋体" w:hAnsi="宋体" w:cs="宋体"/>
                <w:b/>
                <w:color w:val="000000" w:themeColor="text1"/>
                <w:sz w:val="24"/>
                <w:highlight w:val="none"/>
                <w:lang w:eastAsia="zh-CN"/>
                <w14:textFill>
                  <w14:solidFill>
                    <w14:schemeClr w14:val="tx1"/>
                  </w14:solidFill>
                </w14:textFill>
              </w:rPr>
              <w:t>）</w:t>
            </w:r>
          </w:p>
          <w:p w14:paraId="748D4A13">
            <w:pPr>
              <w:spacing w:line="276"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供应商的投标报价超过</w:t>
            </w:r>
            <w:r>
              <w:rPr>
                <w:rFonts w:hint="eastAsia" w:ascii="宋体" w:hAnsi="宋体" w:cs="宋体"/>
                <w:b/>
                <w:color w:val="000000" w:themeColor="text1"/>
                <w:sz w:val="24"/>
                <w:highlight w:val="none"/>
                <w:lang w:val="en-US" w:eastAsia="zh-CN"/>
                <w14:textFill>
                  <w14:solidFill>
                    <w14:schemeClr w14:val="tx1"/>
                  </w14:solidFill>
                </w14:textFill>
              </w:rPr>
              <w:t>最高限价</w:t>
            </w:r>
            <w:r>
              <w:rPr>
                <w:rFonts w:hint="eastAsia" w:ascii="宋体" w:hAnsi="宋体" w:cs="宋体"/>
                <w:b/>
                <w:color w:val="000000" w:themeColor="text1"/>
                <w:sz w:val="24"/>
                <w:highlight w:val="none"/>
                <w14:textFill>
                  <w14:solidFill>
                    <w14:schemeClr w14:val="tx1"/>
                  </w14:solidFill>
                </w14:textFill>
              </w:rPr>
              <w:t>的按无效投标处理。</w:t>
            </w:r>
          </w:p>
        </w:tc>
      </w:tr>
      <w:tr w14:paraId="1644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0806DC5">
            <w:pPr>
              <w:spacing w:line="276" w:lineRule="auto"/>
              <w:jc w:val="cente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29</w:t>
            </w:r>
          </w:p>
        </w:tc>
        <w:tc>
          <w:tcPr>
            <w:tcW w:w="2180" w:type="dxa"/>
            <w:tcBorders>
              <w:top w:val="single" w:color="auto" w:sz="4" w:space="0"/>
              <w:left w:val="single" w:color="auto" w:sz="4" w:space="0"/>
              <w:bottom w:val="single" w:color="auto" w:sz="4" w:space="0"/>
              <w:right w:val="single" w:color="auto" w:sz="4" w:space="0"/>
            </w:tcBorders>
            <w:vAlign w:val="center"/>
          </w:tcPr>
          <w:p w14:paraId="10F37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评标委员会的组建</w:t>
            </w:r>
          </w:p>
        </w:tc>
        <w:tc>
          <w:tcPr>
            <w:tcW w:w="6840" w:type="dxa"/>
            <w:tcBorders>
              <w:top w:val="single" w:color="auto" w:sz="4" w:space="0"/>
              <w:left w:val="single" w:color="auto" w:sz="4" w:space="0"/>
              <w:bottom w:val="single" w:color="auto" w:sz="4" w:space="0"/>
              <w:right w:val="single" w:color="auto" w:sz="4" w:space="0"/>
            </w:tcBorders>
            <w:vAlign w:val="center"/>
          </w:tcPr>
          <w:p w14:paraId="162056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评标委员会构成：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，其中采购人代表</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人，专家</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人。</w:t>
            </w:r>
          </w:p>
          <w:p w14:paraId="71BC1E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评标专家确定方式：</w:t>
            </w:r>
            <w:r>
              <w:rPr>
                <w:rFonts w:hint="eastAsia" w:ascii="宋体" w:hAnsi="宋体" w:cs="宋体"/>
                <w:color w:val="000000" w:themeColor="text1"/>
                <w:sz w:val="24"/>
                <w:highlight w:val="none"/>
                <w14:textFill>
                  <w14:solidFill>
                    <w14:schemeClr w14:val="tx1"/>
                  </w14:solidFill>
                </w14:textFill>
              </w:rPr>
              <w:t>从</w:t>
            </w:r>
            <w:r>
              <w:rPr>
                <w:rFonts w:hint="eastAsia" w:ascii="宋体" w:hAnsi="宋体" w:cs="宋体"/>
                <w:color w:val="000000" w:themeColor="text1"/>
                <w:sz w:val="24"/>
                <w:highlight w:val="none"/>
                <w:lang w:val="en-US" w:eastAsia="zh-CN"/>
                <w14:textFill>
                  <w14:solidFill>
                    <w14:schemeClr w14:val="tx1"/>
                  </w14:solidFill>
                </w14:textFill>
              </w:rPr>
              <w:t>新疆政采云</w:t>
            </w:r>
            <w:r>
              <w:rPr>
                <w:rFonts w:hint="eastAsia" w:ascii="宋体" w:hAnsi="宋体" w:cs="宋体"/>
                <w:color w:val="000000" w:themeColor="text1"/>
                <w:sz w:val="24"/>
                <w:highlight w:val="none"/>
                <w14:textFill>
                  <w14:solidFill>
                    <w14:schemeClr w14:val="tx1"/>
                  </w14:solidFill>
                </w14:textFill>
              </w:rPr>
              <w:t>中随机抽取确定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76F8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EB41F70">
            <w:pPr>
              <w:spacing w:line="276" w:lineRule="auto"/>
              <w:jc w:val="cente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30</w:t>
            </w:r>
          </w:p>
        </w:tc>
        <w:tc>
          <w:tcPr>
            <w:tcW w:w="2180" w:type="dxa"/>
            <w:tcBorders>
              <w:top w:val="single" w:color="auto" w:sz="4" w:space="0"/>
              <w:left w:val="single" w:color="auto" w:sz="4" w:space="0"/>
              <w:bottom w:val="single" w:color="auto" w:sz="4" w:space="0"/>
              <w:right w:val="single" w:color="auto" w:sz="4" w:space="0"/>
            </w:tcBorders>
            <w:vAlign w:val="center"/>
          </w:tcPr>
          <w:p w14:paraId="251E9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公示媒介及期限：</w:t>
            </w:r>
          </w:p>
        </w:tc>
        <w:tc>
          <w:tcPr>
            <w:tcW w:w="6840" w:type="dxa"/>
            <w:tcBorders>
              <w:top w:val="single" w:color="auto" w:sz="4" w:space="0"/>
              <w:left w:val="single" w:color="auto" w:sz="4" w:space="0"/>
              <w:bottom w:val="single" w:color="auto" w:sz="4" w:space="0"/>
              <w:right w:val="single" w:color="auto" w:sz="4" w:space="0"/>
            </w:tcBorders>
            <w:vAlign w:val="center"/>
          </w:tcPr>
          <w:p w14:paraId="582E2B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采购人将</w:t>
            </w: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单位的情况在新疆政府采购网及</w:t>
            </w:r>
            <w:r>
              <w:rPr>
                <w:rFonts w:hint="eastAsia" w:ascii="宋体" w:hAnsi="宋体" w:cs="宋体"/>
                <w:color w:val="000000" w:themeColor="text1"/>
                <w:sz w:val="24"/>
                <w:szCs w:val="24"/>
                <w:highlight w:val="none"/>
                <w:lang w:val="en-US" w:eastAsia="zh-CN"/>
                <w14:textFill>
                  <w14:solidFill>
                    <w14:schemeClr w14:val="tx1"/>
                  </w14:solidFill>
                </w14:textFill>
              </w:rPr>
              <w:t>阿克苏地区行政公署网</w:t>
            </w:r>
            <w:r>
              <w:rPr>
                <w:rFonts w:hint="eastAsia" w:ascii="宋体" w:hAnsi="宋体" w:eastAsia="宋体" w:cs="宋体"/>
                <w:color w:val="000000" w:themeColor="text1"/>
                <w:sz w:val="24"/>
                <w:szCs w:val="24"/>
                <w:highlight w:val="none"/>
                <w:lang w:val="en-US" w:eastAsia="zh-CN"/>
                <w14:textFill>
                  <w14:solidFill>
                    <w14:schemeClr w14:val="tx1"/>
                  </w14:solidFill>
                </w14:textFill>
              </w:rPr>
              <w:t>予以公示，公示期限为</w:t>
            </w:r>
            <w:r>
              <w:rPr>
                <w:rFonts w:hint="eastAsia" w:ascii="宋体" w:hAnsi="宋体" w:cs="宋体"/>
                <w:color w:val="000000" w:themeColor="text1"/>
                <w:sz w:val="24"/>
                <w:szCs w:val="24"/>
                <w:highlight w:val="none"/>
                <w:lang w:val="en-US" w:eastAsia="zh-CN"/>
                <w14:textFill>
                  <w14:solidFill>
                    <w14:schemeClr w14:val="tx1"/>
                  </w14:solidFill>
                </w14:textFill>
              </w:rPr>
              <w:t>1个工作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p>
        </w:tc>
      </w:tr>
      <w:tr w14:paraId="6A4C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C3335A2">
            <w:pPr>
              <w:spacing w:line="276" w:lineRule="auto"/>
              <w:jc w:val="cente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31</w:t>
            </w:r>
          </w:p>
        </w:tc>
        <w:tc>
          <w:tcPr>
            <w:tcW w:w="2180" w:type="dxa"/>
            <w:tcBorders>
              <w:top w:val="single" w:color="auto" w:sz="4" w:space="0"/>
              <w:left w:val="single" w:color="auto" w:sz="4" w:space="0"/>
              <w:bottom w:val="single" w:color="auto" w:sz="4" w:space="0"/>
              <w:right w:val="single" w:color="auto" w:sz="4" w:space="0"/>
            </w:tcBorders>
            <w:vAlign w:val="center"/>
          </w:tcPr>
          <w:p w14:paraId="36DC8E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招标代理费</w:t>
            </w:r>
          </w:p>
        </w:tc>
        <w:tc>
          <w:tcPr>
            <w:tcW w:w="6840" w:type="dxa"/>
            <w:tcBorders>
              <w:top w:val="single" w:color="auto" w:sz="4" w:space="0"/>
              <w:left w:val="single" w:color="auto" w:sz="4" w:space="0"/>
              <w:bottom w:val="single" w:color="auto" w:sz="4" w:space="0"/>
              <w:right w:val="single" w:color="auto" w:sz="4" w:space="0"/>
            </w:tcBorders>
            <w:vAlign w:val="center"/>
          </w:tcPr>
          <w:p w14:paraId="6DA315E1">
            <w:pPr>
              <w:numPr>
                <w:ilvl w:val="0"/>
                <w:numId w:val="0"/>
              </w:numPr>
              <w:spacing w:line="440" w:lineRule="exact"/>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招标代理服务费用</w:t>
            </w:r>
            <w:r>
              <w:rPr>
                <w:rFonts w:hint="eastAsia" w:ascii="宋体" w:hAnsi="宋体" w:cs="宋体"/>
                <w:color w:val="000000" w:themeColor="text1"/>
                <w:sz w:val="24"/>
                <w:highlight w:val="none"/>
                <w:lang w:val="en-US" w:eastAsia="zh-CN"/>
                <w14:textFill>
                  <w14:solidFill>
                    <w14:schemeClr w14:val="tx1"/>
                  </w14:solidFill>
                </w14:textFill>
              </w:rPr>
              <w:t>参考</w:t>
            </w:r>
            <w:r>
              <w:rPr>
                <w:rFonts w:hint="eastAsia" w:ascii="宋体" w:hAnsi="宋体" w:eastAsia="宋体" w:cs="宋体"/>
                <w:color w:val="000000" w:themeColor="text1"/>
                <w:sz w:val="24"/>
                <w:highlight w:val="none"/>
                <w:lang w:val="en-US" w:eastAsia="zh-CN"/>
                <w14:textFill>
                  <w14:solidFill>
                    <w14:schemeClr w14:val="tx1"/>
                  </w14:solidFill>
                </w14:textFill>
              </w:rPr>
              <w:t>发改价格【2015】299 号，国家计委价格【2002】1980 号文及发改价格【2011】534 号文的差额定率累进法计算，</w:t>
            </w:r>
            <w:r>
              <w:rPr>
                <w:rFonts w:hint="eastAsia" w:ascii="宋体" w:hAnsi="宋体" w:cs="宋体"/>
                <w:color w:val="000000" w:themeColor="text1"/>
                <w:sz w:val="24"/>
                <w:highlight w:val="none"/>
                <w:lang w:val="en-US" w:eastAsia="zh-CN"/>
                <w14:textFill>
                  <w14:solidFill>
                    <w14:schemeClr w14:val="tx1"/>
                  </w14:solidFill>
                </w14:textFill>
              </w:rPr>
              <w:t>以中标价为基数计算</w:t>
            </w:r>
            <w:r>
              <w:rPr>
                <w:rFonts w:hint="eastAsia" w:ascii="宋体" w:hAnsi="宋体" w:eastAsia="宋体" w:cs="宋体"/>
                <w:color w:val="000000" w:themeColor="text1"/>
                <w:sz w:val="24"/>
                <w:highlight w:val="none"/>
                <w:lang w:val="en-US" w:eastAsia="zh-CN"/>
                <w14:textFill>
                  <w14:solidFill>
                    <w14:schemeClr w14:val="tx1"/>
                  </w14:solidFill>
                </w14:textFill>
              </w:rPr>
              <w:t>。成交供应商领取中标通知书时一次性向采购代理机构缴纳代理服务费。</w:t>
            </w:r>
          </w:p>
        </w:tc>
      </w:tr>
      <w:tr w14:paraId="0E3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6F050EF">
            <w:pPr>
              <w:spacing w:line="276"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32</w:t>
            </w:r>
          </w:p>
        </w:tc>
        <w:tc>
          <w:tcPr>
            <w:tcW w:w="2180" w:type="dxa"/>
            <w:tcBorders>
              <w:top w:val="single" w:color="auto" w:sz="4" w:space="0"/>
              <w:left w:val="single" w:color="auto" w:sz="4" w:space="0"/>
              <w:bottom w:val="single" w:color="auto" w:sz="4" w:space="0"/>
              <w:right w:val="single" w:color="auto" w:sz="4" w:space="0"/>
            </w:tcBorders>
            <w:vAlign w:val="center"/>
          </w:tcPr>
          <w:p w14:paraId="40AD4F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场地费</w:t>
            </w:r>
          </w:p>
        </w:tc>
        <w:tc>
          <w:tcPr>
            <w:tcW w:w="6840" w:type="dxa"/>
            <w:tcBorders>
              <w:top w:val="single" w:color="auto" w:sz="4" w:space="0"/>
              <w:left w:val="single" w:color="auto" w:sz="4" w:space="0"/>
              <w:bottom w:val="single" w:color="auto" w:sz="4" w:space="0"/>
              <w:right w:val="single" w:color="auto" w:sz="4" w:space="0"/>
            </w:tcBorders>
            <w:vAlign w:val="center"/>
          </w:tcPr>
          <w:p w14:paraId="663C4180">
            <w:pPr>
              <w:spacing w:line="44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不收取</w:t>
            </w:r>
          </w:p>
        </w:tc>
      </w:tr>
      <w:tr w14:paraId="5290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7F12F2C">
            <w:pPr>
              <w:spacing w:line="276" w:lineRule="auto"/>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33</w:t>
            </w:r>
          </w:p>
        </w:tc>
        <w:tc>
          <w:tcPr>
            <w:tcW w:w="2180" w:type="dxa"/>
            <w:tcBorders>
              <w:top w:val="single" w:color="auto" w:sz="4" w:space="0"/>
              <w:left w:val="single" w:color="auto" w:sz="4" w:space="0"/>
              <w:bottom w:val="single" w:color="auto" w:sz="4" w:space="0"/>
              <w:right w:val="single" w:color="auto" w:sz="4" w:space="0"/>
            </w:tcBorders>
            <w:vAlign w:val="center"/>
          </w:tcPr>
          <w:p w14:paraId="08F78A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履约保证金</w:t>
            </w:r>
          </w:p>
        </w:tc>
        <w:tc>
          <w:tcPr>
            <w:tcW w:w="6840" w:type="dxa"/>
            <w:tcBorders>
              <w:top w:val="single" w:color="auto" w:sz="4" w:space="0"/>
              <w:left w:val="single" w:color="auto" w:sz="4" w:space="0"/>
              <w:bottom w:val="single" w:color="auto" w:sz="4" w:space="0"/>
              <w:right w:val="single" w:color="auto" w:sz="4" w:space="0"/>
            </w:tcBorders>
            <w:vAlign w:val="center"/>
          </w:tcPr>
          <w:p w14:paraId="08D1C978">
            <w:pPr>
              <w:spacing w:line="44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履约担保的形式：可采取现金担保或银行保函等形式交纳至发包人指定账户。</w:t>
            </w:r>
          </w:p>
          <w:p w14:paraId="6858389F">
            <w:pPr>
              <w:spacing w:line="44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 xml:space="preserve">履约保证金额：合同价款的 </w:t>
            </w:r>
            <w:r>
              <w:rPr>
                <w:rFonts w:hint="eastAsia" w:ascii="宋体" w:hAnsi="宋体" w:cs="宋体"/>
                <w:color w:val="000000" w:themeColor="text1"/>
                <w:sz w:val="24"/>
                <w:highlight w:val="none"/>
                <w:lang w:val="en-US" w:eastAsia="zh-CN"/>
                <w14:textFill>
                  <w14:solidFill>
                    <w14:schemeClr w14:val="tx1"/>
                  </w14:solidFill>
                </w14:textFill>
              </w:rPr>
              <w:t>5</w:t>
            </w:r>
            <w:r>
              <w:rPr>
                <w:rFonts w:hint="default" w:ascii="宋体" w:hAnsi="宋体" w:eastAsia="宋体" w:cs="宋体"/>
                <w:color w:val="000000" w:themeColor="text1"/>
                <w:sz w:val="24"/>
                <w:highlight w:val="none"/>
                <w:lang w:val="en-US" w:eastAsia="zh-CN"/>
                <w14:textFill>
                  <w14:solidFill>
                    <w14:schemeClr w14:val="tx1"/>
                  </w14:solidFill>
                </w14:textFill>
              </w:rPr>
              <w:t>%。</w:t>
            </w:r>
          </w:p>
          <w:p w14:paraId="02178B47">
            <w:pPr>
              <w:spacing w:line="44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履约担保缴纳时间：在签订合同前，中标人应按规定的金额 、担保形式向</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default" w:ascii="宋体" w:hAnsi="宋体" w:eastAsia="宋体" w:cs="宋体"/>
                <w:color w:val="000000" w:themeColor="text1"/>
                <w:sz w:val="24"/>
                <w:highlight w:val="none"/>
                <w:lang w:val="en-US" w:eastAsia="zh-CN"/>
                <w14:textFill>
                  <w14:solidFill>
                    <w14:schemeClr w14:val="tx1"/>
                  </w14:solidFill>
                </w14:textFill>
              </w:rPr>
              <w:t>人提交履约担保</w:t>
            </w:r>
            <w:r>
              <w:rPr>
                <w:rFonts w:hint="eastAsia" w:ascii="宋体" w:hAnsi="宋体" w:cs="宋体"/>
                <w:color w:val="000000" w:themeColor="text1"/>
                <w:sz w:val="24"/>
                <w:highlight w:val="none"/>
                <w:lang w:val="en-US" w:eastAsia="zh-CN"/>
                <w14:textFill>
                  <w14:solidFill>
                    <w14:schemeClr w14:val="tx1"/>
                  </w14:solidFill>
                </w14:textFill>
              </w:rPr>
              <w:t>，</w:t>
            </w:r>
            <w:r>
              <w:rPr>
                <w:rFonts w:hint="default" w:ascii="宋体" w:hAnsi="宋体" w:eastAsia="宋体" w:cs="宋体"/>
                <w:color w:val="000000" w:themeColor="text1"/>
                <w:sz w:val="24"/>
                <w:highlight w:val="none"/>
                <w:lang w:val="en-US" w:eastAsia="zh-CN"/>
                <w14:textFill>
                  <w14:solidFill>
                    <w14:schemeClr w14:val="tx1"/>
                  </w14:solidFill>
                </w14:textFill>
              </w:rPr>
              <w:t>逾期未缴纳，视为自动放弃中标资格。</w:t>
            </w:r>
          </w:p>
          <w:p w14:paraId="40BA4EED">
            <w:pPr>
              <w:spacing w:line="44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履约保证金</w:t>
            </w:r>
            <w:r>
              <w:rPr>
                <w:rFonts w:hint="eastAsia" w:ascii="宋体" w:hAnsi="宋体" w:eastAsia="宋体" w:cs="宋体"/>
                <w:color w:val="000000" w:themeColor="text1"/>
                <w:sz w:val="24"/>
                <w:highlight w:val="none"/>
                <w:lang w:val="en-US" w:eastAsia="zh-CN"/>
                <w14:textFill>
                  <w14:solidFill>
                    <w14:schemeClr w14:val="tx1"/>
                  </w14:solidFill>
                </w14:textFill>
              </w:rPr>
              <w:t>的退还：</w:t>
            </w:r>
            <w:r>
              <w:rPr>
                <w:rFonts w:hint="eastAsia" w:ascii="宋体" w:hAnsi="宋体" w:cs="宋体"/>
                <w:color w:val="000000" w:themeColor="text1"/>
                <w:sz w:val="24"/>
                <w:highlight w:val="none"/>
                <w:lang w:val="en-US" w:eastAsia="zh-CN"/>
                <w14:textFill>
                  <w14:solidFill>
                    <w14:schemeClr w14:val="tx1"/>
                  </w14:solidFill>
                </w14:textFill>
              </w:rPr>
              <w:t>质保期满经采购人同意退还履约保证金。</w:t>
            </w:r>
          </w:p>
        </w:tc>
      </w:tr>
      <w:tr w14:paraId="2F78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77E8951">
            <w:pPr>
              <w:spacing w:line="276" w:lineRule="auto"/>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34</w:t>
            </w:r>
          </w:p>
        </w:tc>
        <w:tc>
          <w:tcPr>
            <w:tcW w:w="2180" w:type="dxa"/>
            <w:tcBorders>
              <w:top w:val="single" w:color="auto" w:sz="4" w:space="0"/>
              <w:left w:val="single" w:color="auto" w:sz="4" w:space="0"/>
              <w:bottom w:val="single" w:color="auto" w:sz="4" w:space="0"/>
              <w:right w:val="single" w:color="auto" w:sz="4" w:space="0"/>
            </w:tcBorders>
            <w:vAlign w:val="center"/>
          </w:tcPr>
          <w:p w14:paraId="53874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需要落实的政府采购政策</w:t>
            </w:r>
          </w:p>
        </w:tc>
        <w:tc>
          <w:tcPr>
            <w:tcW w:w="6840" w:type="dxa"/>
            <w:tcBorders>
              <w:top w:val="single" w:color="auto" w:sz="4" w:space="0"/>
              <w:left w:val="single" w:color="auto" w:sz="4" w:space="0"/>
              <w:bottom w:val="single" w:color="auto" w:sz="4" w:space="0"/>
              <w:right w:val="single" w:color="auto" w:sz="4" w:space="0"/>
            </w:tcBorders>
            <w:vAlign w:val="center"/>
          </w:tcPr>
          <w:p w14:paraId="7B13A966">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关于小微企业、残疾人福利性单位、监狱企业扶持政策落实的规定：</w:t>
            </w:r>
          </w:p>
          <w:p w14:paraId="66ECFF9A">
            <w:pPr>
              <w:spacing w:line="440" w:lineRule="exact"/>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本项目专门面向中小企业，不再执行价格扣除。</w:t>
            </w:r>
          </w:p>
          <w:p w14:paraId="50421E58">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1、小微企业报价的价格扣除</w:t>
            </w:r>
          </w:p>
          <w:p w14:paraId="7F6800EE">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419D661B">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（2）超过200万元的货物和服务采购项目，预留该部分采购项目预算总额的 30%以上专门面向中小企业采购，其中预留给小微企业的比例不低于60%。</w:t>
            </w:r>
          </w:p>
          <w:p w14:paraId="058158A8">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08436577">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 10%~</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（工程项目为</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）的扣除，用扣除后的价格参加评审。适用招标投标法的政府采购工程建设项目，采用综合评估法但未采用低价优先法计算价格分的，评标时 应当在采用原报价进行评分的基础上增加其价格得分的3%~5%作为其价格分。</w:t>
            </w:r>
          </w:p>
          <w:p w14:paraId="3E47DB25">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ED9EC03">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2、残疾人福利性单位报价的价格扣除</w:t>
            </w:r>
          </w:p>
          <w:p w14:paraId="149F0C5B">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根据《财政部、民政部、中国残疾人联合会关于促进残疾人就业政府采购政策的通知》（财库[2017]141号）文件规定，本项目对残疾人福利性单位视同小微企业，给予10%的价格扣除，用扣除后的价格参与评审。</w:t>
            </w:r>
          </w:p>
          <w:p w14:paraId="46199BD9">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（2）残疾人福利性单位需按照</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lang w:eastAsia="zh-CN"/>
                <w14:textFill>
                  <w14:solidFill>
                    <w14:schemeClr w14:val="tx1"/>
                  </w14:solidFill>
                </w14:textFill>
              </w:rPr>
              <w:t>文件的要求提供《残疾人福利性单位声明函》。</w:t>
            </w:r>
          </w:p>
          <w:p w14:paraId="09C736A4">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（3）残疾人福利性单位标准请参照《关于促进残疾人就业政府采购政策的通知》（财库〔2017〕141 号）。</w:t>
            </w:r>
          </w:p>
          <w:p w14:paraId="65C40BCE">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3、监狱和戒毒企业报价的价格扣除</w:t>
            </w:r>
          </w:p>
          <w:p w14:paraId="0CE28F1E">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（1）根据《财政部、司法部关于政府采购支持监狱企业发展有关问题的通知》（财库[2014]68号）规定，本项目对监狱和戒毒企业（简称监狱企业）视同小微企业，给予10%的价格扣除，用扣除后的价格参与评审。</w:t>
            </w:r>
          </w:p>
          <w:p w14:paraId="54A2E30D">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14:paraId="00191DEA">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（3）监狱企业标准请参照《关于政府采购支持监狱企业发展有关问题的通知》（财库[2014]68 号）。</w:t>
            </w:r>
          </w:p>
          <w:p w14:paraId="3F28D52A">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4、残疾人福利单位、监狱企业属于小型、微型企业的，不重复享受政策。</w:t>
            </w:r>
          </w:p>
        </w:tc>
      </w:tr>
      <w:tr w14:paraId="29C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FFFF6E9">
            <w:pPr>
              <w:spacing w:line="276" w:lineRule="auto"/>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35</w:t>
            </w:r>
          </w:p>
        </w:tc>
        <w:tc>
          <w:tcPr>
            <w:tcW w:w="2180" w:type="dxa"/>
            <w:tcBorders>
              <w:top w:val="single" w:color="auto" w:sz="4" w:space="0"/>
              <w:left w:val="single" w:color="auto" w:sz="4" w:space="0"/>
              <w:bottom w:val="single" w:color="auto" w:sz="4" w:space="0"/>
              <w:right w:val="single" w:color="auto" w:sz="4" w:space="0"/>
            </w:tcBorders>
            <w:vAlign w:val="center"/>
          </w:tcPr>
          <w:p w14:paraId="2E602D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关于在政府采购中实施本国产品标准及相关政策</w:t>
            </w:r>
          </w:p>
        </w:tc>
        <w:tc>
          <w:tcPr>
            <w:tcW w:w="6840" w:type="dxa"/>
            <w:tcBorders>
              <w:top w:val="single" w:color="auto" w:sz="4" w:space="0"/>
              <w:left w:val="single" w:color="auto" w:sz="4" w:space="0"/>
              <w:bottom w:val="single" w:color="auto" w:sz="4" w:space="0"/>
              <w:right w:val="single" w:color="auto" w:sz="4" w:space="0"/>
            </w:tcBorders>
            <w:vAlign w:val="center"/>
          </w:tcPr>
          <w:p w14:paraId="470B2095">
            <w:pPr>
              <w:spacing w:line="440" w:lineRule="exact"/>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国务院办公厅印发《关于在政府采购中实施本国产品标准及相关政策的通知》</w:t>
            </w:r>
            <w:r>
              <w:rPr>
                <w:rFonts w:hint="eastAsia" w:ascii="宋体" w:hAnsi="宋体" w:eastAsia="宋体" w:cs="宋体"/>
                <w:b/>
                <w:bCs/>
                <w:color w:val="000000" w:themeColor="text1"/>
                <w:sz w:val="24"/>
                <w:highlight w:val="none"/>
                <w:lang w:val="en-US" w:eastAsia="zh-CN"/>
                <w14:textFill>
                  <w14:solidFill>
                    <w14:schemeClr w14:val="tx1"/>
                  </w14:solidFill>
                </w14:textFill>
              </w:rPr>
              <w:t>(详见新疆政府采购网http://www.ccgp-xinjiang.gov.cn/政策法规专栏)</w:t>
            </w:r>
          </w:p>
          <w:p w14:paraId="6C245D30">
            <w:pPr>
              <w:spacing w:line="440" w:lineRule="exact"/>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本国产品标准的适用范围</w:t>
            </w:r>
          </w:p>
          <w:p w14:paraId="5B3A8242">
            <w:pPr>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详见新疆政府采购网http://www.ccgp-xinjiang.gov.cn/政策法规专栏)</w:t>
            </w:r>
          </w:p>
        </w:tc>
      </w:tr>
      <w:tr w14:paraId="302B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6" w:type="dxa"/>
            <w:gridSpan w:val="3"/>
            <w:tcBorders>
              <w:top w:val="single" w:color="auto" w:sz="4" w:space="0"/>
              <w:left w:val="single" w:color="auto" w:sz="4" w:space="0"/>
              <w:bottom w:val="single" w:color="auto" w:sz="4" w:space="0"/>
              <w:right w:val="single" w:color="auto" w:sz="4" w:space="0"/>
            </w:tcBorders>
            <w:vAlign w:val="center"/>
          </w:tcPr>
          <w:p w14:paraId="61EAB6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关于政采云平台线上电子招投标的注意事项</w:t>
            </w:r>
          </w:p>
        </w:tc>
      </w:tr>
      <w:tr w14:paraId="7D44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A5DA155">
            <w:pPr>
              <w:spacing w:line="276" w:lineRule="auto"/>
              <w:jc w:val="cente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36</w:t>
            </w:r>
          </w:p>
        </w:tc>
        <w:tc>
          <w:tcPr>
            <w:tcW w:w="2180" w:type="dxa"/>
            <w:tcBorders>
              <w:top w:val="single" w:color="auto" w:sz="4" w:space="0"/>
              <w:left w:val="single" w:color="auto" w:sz="4" w:space="0"/>
              <w:bottom w:val="single" w:color="auto" w:sz="4" w:space="0"/>
              <w:right w:val="single" w:color="auto" w:sz="4" w:space="0"/>
            </w:tcBorders>
            <w:vAlign w:val="center"/>
          </w:tcPr>
          <w:p w14:paraId="7F67B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响应文件解密时间</w:t>
            </w:r>
          </w:p>
        </w:tc>
        <w:tc>
          <w:tcPr>
            <w:tcW w:w="6840" w:type="dxa"/>
            <w:tcBorders>
              <w:top w:val="single" w:color="auto" w:sz="4" w:space="0"/>
              <w:left w:val="single" w:color="auto" w:sz="4" w:space="0"/>
              <w:bottom w:val="single" w:color="auto" w:sz="4" w:space="0"/>
              <w:right w:val="single" w:color="auto" w:sz="4" w:space="0"/>
            </w:tcBorders>
            <w:vAlign w:val="center"/>
          </w:tcPr>
          <w:p w14:paraId="565C6B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响应文件解密时间30分钟；开标前需投标单位用CA证书登录政采云平台开标大厅签到，在30分钟解密时间内输入CA证书PIN码解密响应文件。若供应商在规定时间内未按时解密的，视为响应文件撤回。</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由此导致的废标由供应商自行承担。</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（解密时间开始时政采云平台将以短信形式向供应商在政采云平台预留的手机号发送短信通知，请供应商及时关注。）</w:t>
            </w:r>
          </w:p>
        </w:tc>
      </w:tr>
      <w:tr w14:paraId="5C72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79A757A">
            <w:pPr>
              <w:spacing w:line="276" w:lineRule="auto"/>
              <w:jc w:val="cente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37</w:t>
            </w:r>
          </w:p>
        </w:tc>
        <w:tc>
          <w:tcPr>
            <w:tcW w:w="2180" w:type="dxa"/>
            <w:tcBorders>
              <w:top w:val="single" w:color="auto" w:sz="4" w:space="0"/>
              <w:left w:val="single" w:color="auto" w:sz="4" w:space="0"/>
              <w:bottom w:val="single" w:color="auto" w:sz="4" w:space="0"/>
              <w:right w:val="single" w:color="auto" w:sz="4" w:space="0"/>
            </w:tcBorders>
            <w:vAlign w:val="center"/>
          </w:tcPr>
          <w:p w14:paraId="1DB779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供应商报价CA签字确认</w:t>
            </w:r>
          </w:p>
        </w:tc>
        <w:tc>
          <w:tcPr>
            <w:tcW w:w="6840" w:type="dxa"/>
            <w:tcBorders>
              <w:top w:val="single" w:color="auto" w:sz="4" w:space="0"/>
              <w:left w:val="single" w:color="auto" w:sz="4" w:space="0"/>
              <w:bottom w:val="single" w:color="auto" w:sz="4" w:space="0"/>
              <w:right w:val="single" w:color="auto" w:sz="4" w:space="0"/>
            </w:tcBorders>
            <w:vAlign w:val="center"/>
          </w:tcPr>
          <w:p w14:paraId="48F1B2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报价文件开启后将开启签字时段，供应商须在30分钟内用CA证书对报价进行签字确认。</w:t>
            </w:r>
          </w:p>
        </w:tc>
      </w:tr>
      <w:tr w14:paraId="6A54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E2E79B1">
            <w:pPr>
              <w:spacing w:line="276" w:lineRule="auto"/>
              <w:jc w:val="center"/>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38</w:t>
            </w:r>
          </w:p>
        </w:tc>
        <w:tc>
          <w:tcPr>
            <w:tcW w:w="2180" w:type="dxa"/>
            <w:tcBorders>
              <w:top w:val="single" w:color="auto" w:sz="4" w:space="0"/>
              <w:left w:val="single" w:color="auto" w:sz="4" w:space="0"/>
              <w:bottom w:val="single" w:color="auto" w:sz="4" w:space="0"/>
              <w:right w:val="single" w:color="auto" w:sz="4" w:space="0"/>
            </w:tcBorders>
            <w:vAlign w:val="center"/>
          </w:tcPr>
          <w:p w14:paraId="7C98F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说明</w:t>
            </w:r>
            <w:r>
              <w:rPr>
                <w:rFonts w:hint="eastAsia" w:ascii="宋体" w:hAnsi="宋体" w:cs="宋体"/>
                <w:b/>
                <w:bCs/>
                <w:color w:val="000000" w:themeColor="text1"/>
                <w:sz w:val="24"/>
                <w:szCs w:val="24"/>
                <w:highlight w:val="none"/>
                <w:lang w:val="en-US" w:eastAsia="zh-CN"/>
                <w14:textFill>
                  <w14:solidFill>
                    <w14:schemeClr w14:val="tx1"/>
                  </w14:solidFill>
                </w14:textFill>
              </w:rPr>
              <w:t>1</w:t>
            </w:r>
          </w:p>
        </w:tc>
        <w:tc>
          <w:tcPr>
            <w:tcW w:w="6840" w:type="dxa"/>
            <w:tcBorders>
              <w:top w:val="single" w:color="auto" w:sz="4" w:space="0"/>
              <w:left w:val="single" w:color="auto" w:sz="4" w:space="0"/>
              <w:bottom w:val="single" w:color="auto" w:sz="4" w:space="0"/>
              <w:right w:val="single" w:color="auto" w:sz="4" w:space="0"/>
            </w:tcBorders>
            <w:vAlign w:val="center"/>
          </w:tcPr>
          <w:p w14:paraId="5359AC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1.本项目采用政采云平台电子招投标，开标前应由供应商CA证书登录政采云平台提交响应文件，开标无需提供纸质版响应文件，请忽略本采购文件中纸质版标书制作及现场开标相关要求。</w:t>
            </w:r>
          </w:p>
          <w:p w14:paraId="06F205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2.本项目采用政采云平台电子招投标，请各供应商提前登录政采云平台，并保持政采云平台在线，开标结束前不要离开，做好响应文件解密、报价签字确认、对评标过程中响应文件的答疑澄清等工作。</w:t>
            </w:r>
          </w:p>
        </w:tc>
      </w:tr>
      <w:tr w14:paraId="12E4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46CE796">
            <w:pPr>
              <w:spacing w:line="276" w:lineRule="auto"/>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39</w:t>
            </w:r>
          </w:p>
        </w:tc>
        <w:tc>
          <w:tcPr>
            <w:tcW w:w="2180" w:type="dxa"/>
            <w:tcBorders>
              <w:top w:val="single" w:color="auto" w:sz="4" w:space="0"/>
              <w:left w:val="single" w:color="auto" w:sz="4" w:space="0"/>
              <w:bottom w:val="single" w:color="auto" w:sz="4" w:space="0"/>
              <w:right w:val="single" w:color="auto" w:sz="4" w:space="0"/>
            </w:tcBorders>
            <w:vAlign w:val="center"/>
          </w:tcPr>
          <w:p w14:paraId="7CABA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说明</w:t>
            </w:r>
            <w:r>
              <w:rPr>
                <w:rFonts w:hint="eastAsia" w:ascii="宋体" w:hAnsi="宋体" w:cs="宋体"/>
                <w:b/>
                <w:bCs/>
                <w:color w:val="000000" w:themeColor="text1"/>
                <w:sz w:val="24"/>
                <w:szCs w:val="24"/>
                <w:highlight w:val="none"/>
                <w:lang w:val="en-US" w:eastAsia="zh-CN"/>
                <w14:textFill>
                  <w14:solidFill>
                    <w14:schemeClr w14:val="tx1"/>
                  </w14:solidFill>
                </w14:textFill>
              </w:rPr>
              <w:t>2</w:t>
            </w:r>
          </w:p>
        </w:tc>
        <w:tc>
          <w:tcPr>
            <w:tcW w:w="6840" w:type="dxa"/>
            <w:tcBorders>
              <w:top w:val="single" w:color="auto" w:sz="4" w:space="0"/>
              <w:left w:val="single" w:color="auto" w:sz="4" w:space="0"/>
              <w:bottom w:val="single" w:color="auto" w:sz="4" w:space="0"/>
              <w:right w:val="single" w:color="auto" w:sz="4" w:space="0"/>
            </w:tcBorders>
            <w:vAlign w:val="center"/>
          </w:tcPr>
          <w:p w14:paraId="7CB94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40AE24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14:paraId="598B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8D3C5DB">
            <w:pPr>
              <w:spacing w:line="40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40</w:t>
            </w:r>
          </w:p>
        </w:tc>
        <w:tc>
          <w:tcPr>
            <w:tcW w:w="2180" w:type="dxa"/>
            <w:tcBorders>
              <w:top w:val="single" w:color="auto" w:sz="4" w:space="0"/>
              <w:left w:val="single" w:color="auto" w:sz="4" w:space="0"/>
              <w:bottom w:val="single" w:color="auto" w:sz="4" w:space="0"/>
              <w:right w:val="single" w:color="auto" w:sz="4" w:space="0"/>
            </w:tcBorders>
            <w:vAlign w:val="center"/>
          </w:tcPr>
          <w:p w14:paraId="68E9F80B">
            <w:pPr>
              <w:spacing w:line="400" w:lineRule="exact"/>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低于成本价不正当竞争预防措施</w:t>
            </w:r>
          </w:p>
        </w:tc>
        <w:tc>
          <w:tcPr>
            <w:tcW w:w="6840" w:type="dxa"/>
            <w:tcBorders>
              <w:top w:val="single" w:color="auto" w:sz="4" w:space="0"/>
              <w:left w:val="single" w:color="auto" w:sz="4" w:space="0"/>
              <w:bottom w:val="single" w:color="auto" w:sz="4" w:space="0"/>
              <w:right w:val="single" w:color="auto" w:sz="4" w:space="0"/>
            </w:tcBorders>
            <w:vAlign w:val="center"/>
          </w:tcPr>
          <w:p w14:paraId="4D944DD4">
            <w:pPr>
              <w:spacing w:line="400" w:lineRule="exact"/>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低于成本价不正当竞争预防措施： </w:t>
            </w:r>
          </w:p>
          <w:p w14:paraId="740D2836">
            <w:pPr>
              <w:spacing w:line="40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根据“财政部 87 号令《政府采购货物服务招标投标管理办法》”第六十条之规定：评审委员会认为供应商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评审委员会应当要求其在评审现场合理的时间内提供成本构成书面说明，并提交相关证明材料。供应商书面说明应当按照国家财务会计制度的规定要求，逐项就供应商提供的货物、采购内容和服务的主营业务成本（应根据供应商企业类型予以区别）、税金及附加、销售费用、管理费用、财务费用等成本构成事项详细陈述。 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14:paraId="4DC8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F77296A">
            <w:pPr>
              <w:spacing w:line="400" w:lineRule="exact"/>
              <w:jc w:val="center"/>
              <w:rPr>
                <w:rFonts w:hint="default"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41</w:t>
            </w:r>
          </w:p>
        </w:tc>
        <w:tc>
          <w:tcPr>
            <w:tcW w:w="2180" w:type="dxa"/>
            <w:tcBorders>
              <w:top w:val="single" w:color="auto" w:sz="4" w:space="0"/>
              <w:left w:val="single" w:color="auto" w:sz="4" w:space="0"/>
              <w:bottom w:val="single" w:color="auto" w:sz="4" w:space="0"/>
              <w:right w:val="single" w:color="auto" w:sz="4" w:space="0"/>
            </w:tcBorders>
            <w:vAlign w:val="center"/>
          </w:tcPr>
          <w:p w14:paraId="55E18ED6">
            <w:pPr>
              <w:kinsoku w:val="0"/>
              <w:autoSpaceDE w:val="0"/>
              <w:autoSpaceDN w:val="0"/>
              <w:adjustRightInd w:val="0"/>
              <w:snapToGrid w:val="0"/>
              <w:spacing w:before="182" w:line="228" w:lineRule="auto"/>
              <w:ind w:left="117"/>
              <w:jc w:val="center"/>
              <w:textAlignment w:val="baseline"/>
              <w:rPr>
                <w:rFonts w:hint="eastAsia" w:ascii="宋体" w:hAnsi="宋体" w:eastAsia="宋体" w:cs="宋体"/>
                <w:snapToGrid w:val="0"/>
                <w:color w:val="auto"/>
                <w:spacing w:val="5"/>
                <w:kern w:val="0"/>
                <w:sz w:val="23"/>
                <w:szCs w:val="23"/>
                <w:highlight w:val="none"/>
                <w:lang w:val="en-US" w:eastAsia="en-US" w:bidi="ar-SA"/>
                <w14:textOutline w14:w="4388" w14:cap="flat" w14:cmpd="sng">
                  <w14:solidFill>
                    <w14:srgbClr w14:val="000000"/>
                  </w14:solidFill>
                  <w14:prstDash w14:val="solid"/>
                  <w14:miter w14:val="0"/>
                </w14:textOutline>
              </w:rPr>
            </w:pPr>
            <w:r>
              <w:rPr>
                <w:rFonts w:hint="eastAsia" w:ascii="宋体" w:hAnsi="宋体" w:cs="宋体"/>
                <w:b/>
                <w:bCs/>
                <w:color w:val="000000" w:themeColor="text1"/>
                <w:sz w:val="24"/>
                <w:highlight w:val="none"/>
                <w14:textFill>
                  <w14:solidFill>
                    <w14:schemeClr w14:val="tx1"/>
                  </w14:solidFill>
                </w14:textFill>
              </w:rPr>
              <w:t>政府</w:t>
            </w:r>
            <w:r>
              <w:rPr>
                <w:rFonts w:hint="eastAsia" w:ascii="宋体" w:hAnsi="宋体" w:eastAsia="宋体" w:cs="宋体"/>
                <w:b/>
                <w:bCs/>
                <w:color w:val="000000" w:themeColor="text1"/>
                <w:kern w:val="2"/>
                <w:sz w:val="24"/>
                <w:szCs w:val="24"/>
                <w:highlight w:val="none"/>
                <w:lang w:val="en-US" w:eastAsia="en-US" w:bidi="ar-SA"/>
                <w14:textFill>
                  <w14:solidFill>
                    <w14:schemeClr w14:val="tx1"/>
                  </w14:solidFill>
                </w14:textFill>
              </w:rPr>
              <w:t>采购异常低价问题</w:t>
            </w:r>
          </w:p>
          <w:p w14:paraId="2D1F8361">
            <w:pPr>
              <w:spacing w:line="400" w:lineRule="exact"/>
              <w:jc w:val="center"/>
              <w:rPr>
                <w:rFonts w:hint="eastAsia" w:ascii="宋体" w:hAnsi="宋体" w:cs="宋体"/>
                <w:b/>
                <w:bCs/>
                <w:color w:val="000000" w:themeColor="text1"/>
                <w:sz w:val="24"/>
                <w:highlight w:val="none"/>
                <w14:textFill>
                  <w14:solidFill>
                    <w14:schemeClr w14:val="tx1"/>
                  </w14:solidFill>
                </w14:textFill>
              </w:rPr>
            </w:pPr>
          </w:p>
        </w:tc>
        <w:tc>
          <w:tcPr>
            <w:tcW w:w="6840" w:type="dxa"/>
            <w:tcBorders>
              <w:top w:val="single" w:color="auto" w:sz="4" w:space="0"/>
              <w:left w:val="single" w:color="auto" w:sz="4" w:space="0"/>
              <w:bottom w:val="single" w:color="auto" w:sz="4" w:space="0"/>
              <w:right w:val="single" w:color="auto" w:sz="4" w:space="0"/>
            </w:tcBorders>
            <w:vAlign w:val="center"/>
          </w:tcPr>
          <w:p w14:paraId="26C087CD">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财政部国库司（政府采购管理办公室）关于推动解决政府采购异常低价问题的通知财库〔2026〕2号</w:t>
            </w:r>
          </w:p>
          <w:p w14:paraId="21CC195B">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强化政府采购异常低价审查</w:t>
            </w:r>
          </w:p>
          <w:p w14:paraId="14AB4967">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（一）采购人应当在采购文件中明确，政府采购评审中出现下列情形之一的，评审委员会应当启动异常低价投标（响应）审查程序：</w:t>
            </w:r>
          </w:p>
          <w:p w14:paraId="71104655">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A7FDE71">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1D91F120">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3.投标（响应）报价低于采购项目最高限价45%的，即投标（响应）报价&lt;采购项目最高限价×45%；</w:t>
            </w:r>
          </w:p>
          <w:p w14:paraId="1E0F89FE">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4.评审委员会基于专业判断，认为供应商报价过低，有可能影响产品质量或者不能诚信履约的其他情形。</w:t>
            </w:r>
          </w:p>
          <w:p w14:paraId="7AE97F4A">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采购人可以结合具体项目实际情况，提高上述第1项至第3项中启动异常低价投标（响应）审查的数值标准，但是最高不得超过65%。</w:t>
            </w:r>
          </w:p>
          <w:p w14:paraId="5D21DFAE">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相关法律法规对供应商报价有规定的，从其规定。</w:t>
            </w:r>
          </w:p>
          <w:p w14:paraId="0E870E11">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CFF961">
            <w:pPr>
              <w:spacing w:line="400" w:lineRule="exact"/>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FCD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EA79495">
            <w:pPr>
              <w:spacing w:line="400" w:lineRule="exact"/>
              <w:jc w:val="center"/>
              <w:rPr>
                <w:rFonts w:hint="default"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42</w:t>
            </w:r>
          </w:p>
        </w:tc>
        <w:tc>
          <w:tcPr>
            <w:tcW w:w="2180" w:type="dxa"/>
            <w:tcBorders>
              <w:top w:val="single" w:color="auto" w:sz="4" w:space="0"/>
              <w:left w:val="single" w:color="auto" w:sz="4" w:space="0"/>
              <w:bottom w:val="single" w:color="auto" w:sz="4" w:space="0"/>
              <w:right w:val="single" w:color="auto" w:sz="4" w:space="0"/>
            </w:tcBorders>
            <w:vAlign w:val="center"/>
          </w:tcPr>
          <w:p w14:paraId="22C97F4D">
            <w:pPr>
              <w:keepNext w:val="0"/>
              <w:keepLines w:val="0"/>
              <w:pageBreakBefore w:val="0"/>
              <w:kinsoku/>
              <w:wordWrap/>
              <w:topLinePunct w:val="0"/>
              <w:autoSpaceDE/>
              <w:autoSpaceDN/>
              <w:bidi w:val="0"/>
              <w:adjustRightInd/>
              <w:snapToGrid/>
              <w:spacing w:line="400" w:lineRule="exact"/>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注意事项1</w:t>
            </w:r>
          </w:p>
        </w:tc>
        <w:tc>
          <w:tcPr>
            <w:tcW w:w="6840" w:type="dxa"/>
            <w:tcBorders>
              <w:top w:val="single" w:color="auto" w:sz="4" w:space="0"/>
              <w:left w:val="single" w:color="auto" w:sz="4" w:space="0"/>
              <w:bottom w:val="single" w:color="auto" w:sz="4" w:space="0"/>
              <w:right w:val="single" w:color="auto" w:sz="4" w:space="0"/>
            </w:tcBorders>
            <w:vAlign w:val="center"/>
          </w:tcPr>
          <w:p w14:paraId="3779BCA8">
            <w:pPr>
              <w:spacing w:line="400" w:lineRule="exact"/>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中标后需按</w:t>
            </w:r>
            <w:r>
              <w:rPr>
                <w:rFonts w:hint="eastAsia" w:ascii="宋体" w:hAnsi="宋体" w:eastAsia="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要求在项目实施地</w:t>
            </w:r>
            <w:r>
              <w:rPr>
                <w:rFonts w:hint="eastAsia" w:ascii="宋体" w:hAnsi="宋体" w:eastAsia="宋体" w:cs="宋体"/>
                <w:b/>
                <w:bCs/>
                <w:color w:val="000000" w:themeColor="text1"/>
                <w:sz w:val="24"/>
                <w:highlight w:val="none"/>
                <w:lang w:eastAsia="zh-CN"/>
                <w14:textFill>
                  <w14:solidFill>
                    <w14:schemeClr w14:val="tx1"/>
                  </w14:solidFill>
                </w14:textFill>
              </w:rPr>
              <w:t>组建</w:t>
            </w:r>
            <w:r>
              <w:rPr>
                <w:rFonts w:hint="eastAsia" w:ascii="宋体" w:hAnsi="宋体" w:eastAsia="宋体" w:cs="宋体"/>
                <w:b/>
                <w:bCs/>
                <w:color w:val="000000" w:themeColor="text1"/>
                <w:sz w:val="24"/>
                <w:highlight w:val="none"/>
                <w14:textFill>
                  <w14:solidFill>
                    <w14:schemeClr w14:val="tx1"/>
                  </w14:solidFill>
                </w14:textFill>
              </w:rPr>
              <w:t>专业的服务团队，服务团队人员需严格按照</w:t>
            </w:r>
            <w:r>
              <w:rPr>
                <w:rFonts w:hint="eastAsia" w:ascii="宋体" w:hAnsi="宋体" w:eastAsia="宋体" w:cs="宋体"/>
                <w:b/>
                <w:bCs/>
                <w:color w:val="000000" w:themeColor="text1"/>
                <w:sz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highlight w:val="none"/>
                <w14:textFill>
                  <w14:solidFill>
                    <w14:schemeClr w14:val="tx1"/>
                  </w14:solidFill>
                </w14:textFill>
              </w:rPr>
              <w:t>文件所列班子成员名单成立，为保证项目进度及项目顺利实施，服务团队主要成员需实时在岗，严格按照</w:t>
            </w:r>
            <w:r>
              <w:rPr>
                <w:rFonts w:hint="eastAsia" w:ascii="宋体" w:hAnsi="宋体" w:eastAsia="宋体" w:cs="宋体"/>
                <w:b/>
                <w:bCs/>
                <w:color w:val="000000" w:themeColor="text1"/>
                <w:sz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highlight w:val="none"/>
                <w14:textFill>
                  <w14:solidFill>
                    <w14:schemeClr w14:val="tx1"/>
                  </w14:solidFill>
                </w14:textFill>
              </w:rPr>
              <w:t>文件所编制的内容实施。</w:t>
            </w:r>
          </w:p>
        </w:tc>
      </w:tr>
      <w:tr w14:paraId="13A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996829E">
            <w:pPr>
              <w:spacing w:line="400" w:lineRule="exact"/>
              <w:jc w:val="center"/>
              <w:rPr>
                <w:rFonts w:hint="default"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43</w:t>
            </w:r>
          </w:p>
        </w:tc>
        <w:tc>
          <w:tcPr>
            <w:tcW w:w="2180" w:type="dxa"/>
            <w:tcBorders>
              <w:top w:val="single" w:color="auto" w:sz="4" w:space="0"/>
              <w:left w:val="single" w:color="auto" w:sz="4" w:space="0"/>
              <w:bottom w:val="single" w:color="auto" w:sz="4" w:space="0"/>
              <w:right w:val="single" w:color="auto" w:sz="4" w:space="0"/>
            </w:tcBorders>
            <w:vAlign w:val="center"/>
          </w:tcPr>
          <w:p w14:paraId="2B0397C9">
            <w:pPr>
              <w:keepNext w:val="0"/>
              <w:keepLines w:val="0"/>
              <w:pageBreakBefore w:val="0"/>
              <w:kinsoku/>
              <w:wordWrap/>
              <w:topLinePunct w:val="0"/>
              <w:autoSpaceDE/>
              <w:autoSpaceDN/>
              <w:bidi w:val="0"/>
              <w:adjustRightInd/>
              <w:snapToGrid/>
              <w:spacing w:line="400" w:lineRule="exact"/>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注意事项2</w:t>
            </w:r>
          </w:p>
        </w:tc>
        <w:tc>
          <w:tcPr>
            <w:tcW w:w="6840" w:type="dxa"/>
            <w:tcBorders>
              <w:top w:val="single" w:color="auto" w:sz="4" w:space="0"/>
              <w:left w:val="single" w:color="auto" w:sz="4" w:space="0"/>
              <w:bottom w:val="single" w:color="auto" w:sz="4" w:space="0"/>
              <w:right w:val="single" w:color="auto" w:sz="4" w:space="0"/>
            </w:tcBorders>
            <w:vAlign w:val="center"/>
          </w:tcPr>
          <w:p w14:paraId="0FD412D6">
            <w:pPr>
              <w:spacing w:line="400" w:lineRule="exact"/>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实施。</w:t>
            </w:r>
          </w:p>
        </w:tc>
      </w:tr>
      <w:tr w14:paraId="1ABC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C6B055D">
            <w:pPr>
              <w:spacing w:line="400" w:lineRule="exact"/>
              <w:jc w:val="center"/>
              <w:rPr>
                <w:rFonts w:hint="default"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44</w:t>
            </w:r>
          </w:p>
        </w:tc>
        <w:tc>
          <w:tcPr>
            <w:tcW w:w="2180" w:type="dxa"/>
            <w:tcBorders>
              <w:top w:val="single" w:color="auto" w:sz="4" w:space="0"/>
              <w:left w:val="single" w:color="auto" w:sz="4" w:space="0"/>
              <w:bottom w:val="single" w:color="auto" w:sz="4" w:space="0"/>
              <w:right w:val="single" w:color="auto" w:sz="4" w:space="0"/>
            </w:tcBorders>
            <w:vAlign w:val="center"/>
          </w:tcPr>
          <w:p w14:paraId="0DA82AF6">
            <w:pPr>
              <w:keepNext w:val="0"/>
              <w:keepLines w:val="0"/>
              <w:pageBreakBefore w:val="0"/>
              <w:kinsoku/>
              <w:wordWrap/>
              <w:topLinePunct w:val="0"/>
              <w:autoSpaceDE/>
              <w:autoSpaceDN/>
              <w:bidi w:val="0"/>
              <w:adjustRightInd/>
              <w:snapToGrid/>
              <w:spacing w:line="400" w:lineRule="exact"/>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注意事项3</w:t>
            </w:r>
          </w:p>
        </w:tc>
        <w:tc>
          <w:tcPr>
            <w:tcW w:w="6840" w:type="dxa"/>
            <w:tcBorders>
              <w:top w:val="single" w:color="auto" w:sz="4" w:space="0"/>
              <w:left w:val="single" w:color="auto" w:sz="4" w:space="0"/>
              <w:bottom w:val="single" w:color="auto" w:sz="4" w:space="0"/>
              <w:right w:val="single" w:color="auto" w:sz="4" w:space="0"/>
            </w:tcBorders>
            <w:vAlign w:val="center"/>
          </w:tcPr>
          <w:p w14:paraId="1D2F8380">
            <w:pPr>
              <w:keepNext w:val="0"/>
              <w:keepLines w:val="0"/>
              <w:pageBreakBefore w:val="0"/>
              <w:kinsoku/>
              <w:wordWrap/>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1、请务必确保投标文件制作客户端为最新版本，旧版本可能导致投标文件解密失败。</w:t>
            </w:r>
          </w:p>
          <w:p w14:paraId="3E4802EC">
            <w:pPr>
              <w:keepNext w:val="0"/>
              <w:keepLines w:val="0"/>
              <w:pageBreakBefore w:val="0"/>
              <w:kinsoku/>
              <w:wordWrap/>
              <w:topLinePunct w:val="0"/>
              <w:autoSpaceDE/>
              <w:autoSpaceDN/>
              <w:bidi w:val="0"/>
              <w:adjustRightInd/>
              <w:snapToGrid/>
              <w:spacing w:line="400" w:lineRule="exact"/>
              <w:jc w:val="left"/>
              <w:textAlignment w:val="auto"/>
              <w:rPr>
                <w:rFonts w:hint="eastAsia" w:ascii="宋体" w:hAnsi="宋体" w:eastAsia="宋体" w:cs="宋体"/>
                <w:color w:val="auto"/>
                <w:spacing w:val="8"/>
                <w:highlight w:val="none"/>
                <w:lang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2、请务必确保投标文件制作时所用的CA锁与投标文件解密时的CA锁为同一把，否则可能导致投标文件解密失败。</w:t>
            </w:r>
          </w:p>
        </w:tc>
      </w:tr>
      <w:tr w14:paraId="7B68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bottom w:val="single" w:color="auto" w:sz="4" w:space="0"/>
              <w:right w:val="single" w:color="auto" w:sz="4" w:space="0"/>
            </w:tcBorders>
            <w:vAlign w:val="center"/>
          </w:tcPr>
          <w:p w14:paraId="5C1ED8F8">
            <w:pPr>
              <w:spacing w:line="276"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c>
          <w:tcPr>
            <w:tcW w:w="9020" w:type="dxa"/>
            <w:gridSpan w:val="2"/>
            <w:tcBorders>
              <w:top w:val="single" w:color="auto" w:sz="4" w:space="0"/>
              <w:left w:val="single" w:color="auto" w:sz="4" w:space="0"/>
              <w:bottom w:val="single" w:color="auto" w:sz="4" w:space="0"/>
              <w:right w:val="single" w:color="auto" w:sz="4" w:space="0"/>
            </w:tcBorders>
            <w:vAlign w:val="center"/>
          </w:tcPr>
          <w:p w14:paraId="3BD93181">
            <w:pPr>
              <w:spacing w:before="19"/>
              <w:rPr>
                <w:rFonts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9"/>
                <w:sz w:val="23"/>
                <w:szCs w:val="23"/>
                <w:highlight w:val="none"/>
                <w14:textFill>
                  <w14:solidFill>
                    <w14:schemeClr w14:val="tx1"/>
                  </w14:solidFill>
                </w14:textFill>
              </w:rPr>
              <w:t>备注：</w:t>
            </w:r>
            <w:r>
              <w:rPr>
                <w:rFonts w:hint="eastAsia" w:ascii="宋体" w:hAnsi="宋体" w:eastAsia="宋体" w:cs="宋体"/>
                <w:b/>
                <w:bCs/>
                <w:color w:val="000000" w:themeColor="text1"/>
                <w:spacing w:val="9"/>
                <w:sz w:val="23"/>
                <w:szCs w:val="23"/>
                <w:highlight w:val="none"/>
                <w:lang w:val="en-US" w:eastAsia="zh-CN"/>
                <w14:textFill>
                  <w14:solidFill>
                    <w14:schemeClr w14:val="tx1"/>
                  </w14:solidFill>
                </w14:textFill>
              </w:rPr>
              <w:t>1、</w:t>
            </w:r>
            <w:r>
              <w:rPr>
                <w:rFonts w:hint="eastAsia" w:ascii="宋体" w:hAnsi="宋体" w:eastAsia="宋体" w:cs="宋体"/>
                <w:b/>
                <w:bCs/>
                <w:color w:val="000000" w:themeColor="text1"/>
                <w:spacing w:val="9"/>
                <w:sz w:val="23"/>
                <w:szCs w:val="23"/>
                <w:highlight w:val="none"/>
                <w14:textFill>
                  <w14:solidFill>
                    <w14:schemeClr w14:val="tx1"/>
                  </w14:solidFill>
                </w14:textFill>
              </w:rPr>
              <w:t>如</w:t>
            </w:r>
            <w:r>
              <w:rPr>
                <w:rFonts w:hint="eastAsia" w:ascii="宋体" w:hAnsi="宋体" w:eastAsia="宋体" w:cs="宋体"/>
                <w:b/>
                <w:bCs/>
                <w:color w:val="000000" w:themeColor="text1"/>
                <w:spacing w:val="9"/>
                <w:sz w:val="23"/>
                <w:szCs w:val="23"/>
                <w:highlight w:val="none"/>
                <w:lang w:val="en-US" w:eastAsia="zh-CN"/>
                <w14:textFill>
                  <w14:solidFill>
                    <w14:schemeClr w14:val="tx1"/>
                  </w14:solidFill>
                </w14:textFill>
              </w:rPr>
              <w:t>招标</w:t>
            </w:r>
            <w:r>
              <w:rPr>
                <w:rFonts w:hint="eastAsia" w:ascii="宋体" w:hAnsi="宋体" w:eastAsia="宋体" w:cs="宋体"/>
                <w:b/>
                <w:bCs/>
                <w:color w:val="000000" w:themeColor="text1"/>
                <w:spacing w:val="9"/>
                <w:sz w:val="23"/>
                <w:szCs w:val="23"/>
                <w:highlight w:val="none"/>
                <w14:textFill>
                  <w14:solidFill>
                    <w14:schemeClr w14:val="tx1"/>
                  </w14:solidFill>
                </w14:textFill>
              </w:rPr>
              <w:t>文件正文部分与</w:t>
            </w:r>
            <w:r>
              <w:rPr>
                <w:rFonts w:hint="eastAsia" w:ascii="宋体" w:hAnsi="宋体" w:eastAsia="宋体" w:cs="宋体"/>
                <w:b/>
                <w:bCs/>
                <w:color w:val="000000" w:themeColor="text1"/>
                <w:spacing w:val="9"/>
                <w:sz w:val="23"/>
                <w:szCs w:val="23"/>
                <w:highlight w:val="none"/>
                <w:lang w:val="en-US" w:eastAsia="zh-CN"/>
                <w14:textFill>
                  <w14:solidFill>
                    <w14:schemeClr w14:val="tx1"/>
                  </w14:solidFill>
                </w14:textFill>
              </w:rPr>
              <w:t>投标人</w:t>
            </w:r>
            <w:r>
              <w:rPr>
                <w:rFonts w:hint="eastAsia" w:ascii="宋体" w:hAnsi="宋体" w:eastAsia="宋体" w:cs="宋体"/>
                <w:b/>
                <w:bCs/>
                <w:color w:val="000000" w:themeColor="text1"/>
                <w:spacing w:val="9"/>
                <w:sz w:val="23"/>
                <w:szCs w:val="23"/>
                <w:highlight w:val="none"/>
                <w14:textFill>
                  <w14:solidFill>
                    <w14:schemeClr w14:val="tx1"/>
                  </w14:solidFill>
                </w14:textFill>
              </w:rPr>
              <w:t>须知前附表内容不一致，以</w:t>
            </w:r>
            <w:r>
              <w:rPr>
                <w:rFonts w:hint="eastAsia" w:ascii="宋体" w:hAnsi="宋体" w:eastAsia="宋体" w:cs="宋体"/>
                <w:b/>
                <w:bCs/>
                <w:color w:val="000000" w:themeColor="text1"/>
                <w:spacing w:val="9"/>
                <w:sz w:val="23"/>
                <w:szCs w:val="23"/>
                <w:highlight w:val="none"/>
                <w:lang w:val="en-US" w:eastAsia="zh-CN"/>
                <w14:textFill>
                  <w14:solidFill>
                    <w14:schemeClr w14:val="tx1"/>
                  </w14:solidFill>
                </w14:textFill>
              </w:rPr>
              <w:t>投标人</w:t>
            </w:r>
            <w:r>
              <w:rPr>
                <w:rFonts w:hint="eastAsia" w:ascii="宋体" w:hAnsi="宋体" w:eastAsia="宋体" w:cs="宋体"/>
                <w:b/>
                <w:bCs/>
                <w:color w:val="000000" w:themeColor="text1"/>
                <w:spacing w:val="9"/>
                <w:sz w:val="23"/>
                <w:szCs w:val="23"/>
                <w:highlight w:val="none"/>
                <w14:textFill>
                  <w14:solidFill>
                    <w14:schemeClr w14:val="tx1"/>
                  </w14:solidFill>
                </w14:textFill>
              </w:rPr>
              <w:t>须知前附表</w:t>
            </w:r>
            <w:r>
              <w:rPr>
                <w:rFonts w:hint="eastAsia" w:ascii="宋体" w:hAnsi="宋体" w:eastAsia="宋体" w:cs="宋体"/>
                <w:b/>
                <w:bCs/>
                <w:color w:val="000000" w:themeColor="text1"/>
                <w:spacing w:val="-5"/>
                <w:sz w:val="23"/>
                <w:szCs w:val="23"/>
                <w:highlight w:val="none"/>
                <w14:textFill>
                  <w14:solidFill>
                    <w14:schemeClr w14:val="tx1"/>
                  </w14:solidFill>
                </w14:textFill>
              </w:rPr>
              <w:t xml:space="preserve">内容为准。2 </w:t>
            </w:r>
            <w:r>
              <w:rPr>
                <w:rFonts w:hint="eastAsia" w:ascii="宋体" w:hAnsi="宋体" w:eastAsia="宋体" w:cs="宋体"/>
                <w:b/>
                <w:bCs/>
                <w:color w:val="000000" w:themeColor="text1"/>
                <w:spacing w:val="-5"/>
                <w:sz w:val="23"/>
                <w:szCs w:val="23"/>
                <w:highlight w:val="none"/>
                <w:lang w:eastAsia="zh-CN"/>
                <w14:textFill>
                  <w14:solidFill>
                    <w14:schemeClr w14:val="tx1"/>
                  </w14:solidFill>
                </w14:textFill>
              </w:rPr>
              <w:t>、</w:t>
            </w:r>
            <w:r>
              <w:rPr>
                <w:rFonts w:hint="eastAsia" w:ascii="宋体" w:hAnsi="宋体" w:eastAsia="宋体" w:cs="宋体"/>
                <w:b/>
                <w:bCs/>
                <w:color w:val="000000" w:themeColor="text1"/>
                <w:spacing w:val="-5"/>
                <w:sz w:val="23"/>
                <w:szCs w:val="23"/>
                <w:highlight w:val="none"/>
                <w:lang w:val="en-US" w:eastAsia="zh-CN"/>
                <w14:textFill>
                  <w14:solidFill>
                    <w14:schemeClr w14:val="tx1"/>
                  </w14:solidFill>
                </w14:textFill>
              </w:rPr>
              <w:t>投标人</w:t>
            </w:r>
            <w:r>
              <w:rPr>
                <w:rFonts w:hint="eastAsia" w:ascii="宋体" w:hAnsi="宋体" w:eastAsia="宋体" w:cs="宋体"/>
                <w:b/>
                <w:bCs/>
                <w:color w:val="000000" w:themeColor="text1"/>
                <w:spacing w:val="-5"/>
                <w:sz w:val="23"/>
                <w:szCs w:val="23"/>
                <w:highlight w:val="none"/>
                <w14:textFill>
                  <w14:solidFill>
                    <w14:schemeClr w14:val="tx1"/>
                  </w14:solidFill>
                </w14:textFill>
              </w:rPr>
              <w:t>应认真阅读</w:t>
            </w:r>
            <w:r>
              <w:rPr>
                <w:rFonts w:hint="eastAsia" w:ascii="宋体" w:hAnsi="宋体" w:eastAsia="宋体" w:cs="宋体"/>
                <w:b/>
                <w:bCs/>
                <w:color w:val="000000" w:themeColor="text1"/>
                <w:spacing w:val="-5"/>
                <w:sz w:val="23"/>
                <w:szCs w:val="23"/>
                <w:highlight w:val="none"/>
                <w:lang w:val="en-US" w:eastAsia="zh-CN"/>
                <w14:textFill>
                  <w14:solidFill>
                    <w14:schemeClr w14:val="tx1"/>
                  </w14:solidFill>
                </w14:textFill>
              </w:rPr>
              <w:t>招标</w:t>
            </w:r>
            <w:r>
              <w:rPr>
                <w:rFonts w:hint="eastAsia" w:ascii="宋体" w:hAnsi="宋体" w:eastAsia="宋体" w:cs="宋体"/>
                <w:b/>
                <w:bCs/>
                <w:color w:val="000000" w:themeColor="text1"/>
                <w:spacing w:val="-5"/>
                <w:sz w:val="23"/>
                <w:szCs w:val="23"/>
                <w:highlight w:val="none"/>
                <w14:textFill>
                  <w14:solidFill>
                    <w14:schemeClr w14:val="tx1"/>
                  </w14:solidFill>
                </w14:textFill>
              </w:rPr>
              <w:t>文件所有的事项、格式、条款等。如</w:t>
            </w:r>
            <w:r>
              <w:rPr>
                <w:rFonts w:hint="eastAsia" w:ascii="宋体" w:hAnsi="宋体" w:eastAsia="宋体" w:cs="宋体"/>
                <w:b/>
                <w:bCs/>
                <w:color w:val="000000" w:themeColor="text1"/>
                <w:spacing w:val="-5"/>
                <w:sz w:val="23"/>
                <w:szCs w:val="23"/>
                <w:highlight w:val="none"/>
                <w:lang w:val="en-US" w:eastAsia="zh-CN"/>
                <w14:textFill>
                  <w14:solidFill>
                    <w14:schemeClr w14:val="tx1"/>
                  </w14:solidFill>
                </w14:textFill>
              </w:rPr>
              <w:t>投标人</w:t>
            </w:r>
            <w:r>
              <w:rPr>
                <w:rFonts w:hint="eastAsia" w:ascii="宋体" w:hAnsi="宋体" w:eastAsia="宋体" w:cs="宋体"/>
                <w:b/>
                <w:bCs/>
                <w:color w:val="000000" w:themeColor="text1"/>
                <w:spacing w:val="-5"/>
                <w:sz w:val="23"/>
                <w:szCs w:val="23"/>
                <w:highlight w:val="none"/>
                <w14:textFill>
                  <w14:solidFill>
                    <w14:schemeClr w14:val="tx1"/>
                  </w14:solidFill>
                </w14:textFill>
              </w:rPr>
              <w:t>没有按照</w:t>
            </w:r>
            <w:r>
              <w:rPr>
                <w:rFonts w:hint="eastAsia" w:ascii="宋体" w:hAnsi="宋体" w:eastAsia="宋体" w:cs="宋体"/>
                <w:b/>
                <w:bCs/>
                <w:color w:val="000000" w:themeColor="text1"/>
                <w:spacing w:val="-5"/>
                <w:sz w:val="23"/>
                <w:szCs w:val="23"/>
                <w:highlight w:val="none"/>
                <w:lang w:val="en-US" w:eastAsia="zh-CN"/>
                <w14:textFill>
                  <w14:solidFill>
                    <w14:schemeClr w14:val="tx1"/>
                  </w14:solidFill>
                </w14:textFill>
              </w:rPr>
              <w:t>招标</w:t>
            </w:r>
            <w:r>
              <w:rPr>
                <w:rFonts w:hint="eastAsia" w:ascii="宋体" w:hAnsi="宋体" w:eastAsia="宋体" w:cs="宋体"/>
                <w:b/>
                <w:bCs/>
                <w:color w:val="000000" w:themeColor="text1"/>
                <w:spacing w:val="-5"/>
                <w:sz w:val="23"/>
                <w:szCs w:val="23"/>
                <w:highlight w:val="none"/>
                <w14:textFill>
                  <w14:solidFill>
                    <w14:schemeClr w14:val="tx1"/>
                  </w14:solidFill>
                </w14:textFill>
              </w:rPr>
              <w:t>文件要求提交资料，或者</w:t>
            </w:r>
            <w:r>
              <w:rPr>
                <w:rFonts w:hint="eastAsia" w:ascii="宋体" w:hAnsi="宋体" w:eastAsia="宋体" w:cs="宋体"/>
                <w:b/>
                <w:bCs/>
                <w:color w:val="000000" w:themeColor="text1"/>
                <w:spacing w:val="-5"/>
                <w:sz w:val="23"/>
                <w:szCs w:val="23"/>
                <w:highlight w:val="none"/>
                <w:lang w:val="en-US" w:eastAsia="zh-CN"/>
                <w14:textFill>
                  <w14:solidFill>
                    <w14:schemeClr w14:val="tx1"/>
                  </w14:solidFill>
                </w14:textFill>
              </w:rPr>
              <w:t>投标文</w:t>
            </w:r>
            <w:r>
              <w:rPr>
                <w:rFonts w:hint="eastAsia" w:ascii="宋体" w:hAnsi="宋体" w:eastAsia="宋体" w:cs="宋体"/>
                <w:b/>
                <w:bCs/>
                <w:color w:val="000000" w:themeColor="text1"/>
                <w:spacing w:val="-5"/>
                <w:sz w:val="23"/>
                <w:szCs w:val="23"/>
                <w:highlight w:val="none"/>
                <w14:textFill>
                  <w14:solidFill>
                    <w14:schemeClr w14:val="tx1"/>
                  </w14:solidFill>
                </w14:textFill>
              </w:rPr>
              <w:t>件没有对</w:t>
            </w:r>
            <w:r>
              <w:rPr>
                <w:rFonts w:hint="eastAsia" w:ascii="宋体" w:hAnsi="宋体" w:eastAsia="宋体" w:cs="宋体"/>
                <w:b/>
                <w:bCs/>
                <w:color w:val="000000" w:themeColor="text1"/>
                <w:spacing w:val="-5"/>
                <w:sz w:val="23"/>
                <w:szCs w:val="23"/>
                <w:highlight w:val="none"/>
                <w:lang w:val="en-US" w:eastAsia="zh-CN"/>
                <w14:textFill>
                  <w14:solidFill>
                    <w14:schemeClr w14:val="tx1"/>
                  </w14:solidFill>
                </w14:textFill>
              </w:rPr>
              <w:t>招标</w:t>
            </w:r>
            <w:r>
              <w:rPr>
                <w:rFonts w:hint="eastAsia" w:ascii="宋体" w:hAnsi="宋体" w:eastAsia="宋体" w:cs="宋体"/>
                <w:b/>
                <w:bCs/>
                <w:color w:val="000000" w:themeColor="text1"/>
                <w:spacing w:val="-5"/>
                <w:sz w:val="23"/>
                <w:szCs w:val="23"/>
                <w:highlight w:val="none"/>
                <w14:textFill>
                  <w14:solidFill>
                    <w14:schemeClr w14:val="tx1"/>
                  </w14:solidFill>
                </w14:textFill>
              </w:rPr>
              <w:t>文件做出实质性响应，可能导致其响应文件被认定为无效响应。“</w:t>
            </w:r>
            <w:r>
              <w:rPr>
                <w:rFonts w:hint="eastAsia" w:ascii="宋体" w:hAnsi="宋体" w:eastAsia="宋体" w:cs="宋体"/>
                <w:b/>
                <w:bCs/>
                <w:color w:val="000000" w:themeColor="text1"/>
                <w:spacing w:val="-5"/>
                <w:sz w:val="23"/>
                <w:szCs w:val="23"/>
                <w:highlight w:val="none"/>
                <w14:textOutline w14:w="4388" w14:cap="flat" w14:cmpd="sng">
                  <w14:solidFill>
                    <w14:srgbClr w14:val="000000"/>
                  </w14:solidFill>
                  <w14:prstDash w14:val="solid"/>
                  <w14:miter w14:val="0"/>
                </w14:textOutline>
                <w14:textFill>
                  <w14:solidFill>
                    <w14:schemeClr w14:val="tx1"/>
                  </w14:solidFill>
                </w14:textFill>
              </w:rPr>
              <w:t>★</w:t>
            </w:r>
            <w:r>
              <w:rPr>
                <w:rFonts w:hint="eastAsia" w:ascii="宋体" w:hAnsi="宋体" w:eastAsia="宋体" w:cs="宋体"/>
                <w:b/>
                <w:bCs/>
                <w:color w:val="000000" w:themeColor="text1"/>
                <w:spacing w:val="-83"/>
                <w:sz w:val="23"/>
                <w:szCs w:val="23"/>
                <w:highlight w:val="none"/>
                <w14:textFill>
                  <w14:solidFill>
                    <w14:schemeClr w14:val="tx1"/>
                  </w14:solidFill>
                </w14:textFill>
              </w:rPr>
              <w:t xml:space="preserve"> </w:t>
            </w:r>
            <w:r>
              <w:rPr>
                <w:rFonts w:hint="eastAsia" w:ascii="宋体" w:hAnsi="宋体" w:eastAsia="宋体" w:cs="宋体"/>
                <w:b/>
                <w:bCs/>
                <w:color w:val="000000" w:themeColor="text1"/>
                <w:spacing w:val="-5"/>
                <w:sz w:val="23"/>
                <w:szCs w:val="23"/>
                <w:highlight w:val="none"/>
                <w14:textFill>
                  <w14:solidFill>
                    <w14:schemeClr w14:val="tx1"/>
                  </w14:solidFill>
                </w14:textFill>
              </w:rPr>
              <w:t>”标识的内容需重点注意！</w:t>
            </w:r>
          </w:p>
        </w:tc>
      </w:tr>
    </w:tbl>
    <w:p w14:paraId="445D7B30">
      <w:pPr>
        <w:adjustRightInd w:val="0"/>
        <w:snapToGrid w:val="0"/>
        <w:spacing w:before="100" w:beforeAutospacing="1" w:after="100" w:afterAutospacing="1"/>
        <w:jc w:val="center"/>
        <w:outlineLvl w:val="0"/>
        <w:rPr>
          <w:b/>
          <w:sz w:val="32"/>
          <w:szCs w:val="32"/>
          <w:highlight w:val="none"/>
        </w:rPr>
      </w:pPr>
      <w:r>
        <w:rPr>
          <w:sz w:val="24"/>
          <w:highlight w:val="none"/>
        </w:rPr>
        <w:br w:type="page"/>
      </w:r>
      <w:bookmarkStart w:id="1" w:name="_Toc6320"/>
      <w:r>
        <w:rPr>
          <w:b/>
          <w:sz w:val="32"/>
          <w:szCs w:val="32"/>
          <w:highlight w:val="none"/>
        </w:rPr>
        <w:t>第二部分  投标人须知</w:t>
      </w:r>
      <w:bookmarkEnd w:id="1"/>
    </w:p>
    <w:p w14:paraId="193453FE">
      <w:pPr>
        <w:adjustRightInd w:val="0"/>
        <w:spacing w:line="360" w:lineRule="auto"/>
        <w:ind w:firstLine="482" w:firstLineChars="200"/>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总则：</w:t>
      </w:r>
      <w:r>
        <w:rPr>
          <w:rFonts w:hint="eastAsia" w:ascii="宋体" w:hAnsi="宋体" w:cs="宋体"/>
          <w:b w:val="0"/>
          <w:bCs/>
          <w:color w:val="000000" w:themeColor="text1"/>
          <w:sz w:val="24"/>
          <w:highlight w:val="none"/>
          <w14:textFill>
            <w14:solidFill>
              <w14:schemeClr w14:val="tx1"/>
            </w14:solidFill>
          </w14:textFill>
        </w:rPr>
        <w:t>本项目按照《中华人民共和国政府采购法》、《中华人民共和国政府采购法实施条例》、《政府采购货物和服务招标投标管理办法》及相关法规, 已办理政府采购相关手续，并得到行业主管部门批准，现通过招标来择优选定为本项目提供</w:t>
      </w:r>
      <w:r>
        <w:rPr>
          <w:rFonts w:hint="eastAsia" w:ascii="宋体" w:hAnsi="宋体" w:cs="宋体"/>
          <w:b w:val="0"/>
          <w:bCs/>
          <w:color w:val="000000" w:themeColor="text1"/>
          <w:sz w:val="24"/>
          <w:highlight w:val="none"/>
          <w:lang w:val="en-US" w:eastAsia="zh-CN"/>
          <w14:textFill>
            <w14:solidFill>
              <w14:schemeClr w14:val="tx1"/>
            </w14:solidFill>
          </w14:textFill>
        </w:rPr>
        <w:t>货物</w:t>
      </w:r>
      <w:r>
        <w:rPr>
          <w:rFonts w:hint="eastAsia" w:ascii="宋体" w:hAnsi="宋体" w:cs="宋体"/>
          <w:b w:val="0"/>
          <w:bCs/>
          <w:color w:val="000000" w:themeColor="text1"/>
          <w:sz w:val="24"/>
          <w:highlight w:val="none"/>
          <w14:textFill>
            <w14:solidFill>
              <w14:schemeClr w14:val="tx1"/>
            </w14:solidFill>
          </w14:textFill>
        </w:rPr>
        <w:t>的</w:t>
      </w:r>
      <w:r>
        <w:rPr>
          <w:rFonts w:hint="eastAsia" w:ascii="宋体" w:hAnsi="宋体" w:cs="宋体"/>
          <w:b w:val="0"/>
          <w:bCs/>
          <w:color w:val="000000" w:themeColor="text1"/>
          <w:sz w:val="24"/>
          <w:highlight w:val="none"/>
          <w:lang w:val="en-US" w:eastAsia="zh-CN"/>
          <w14:textFill>
            <w14:solidFill>
              <w14:schemeClr w14:val="tx1"/>
            </w14:solidFill>
          </w14:textFill>
        </w:rPr>
        <w:t>投标人</w:t>
      </w:r>
      <w:r>
        <w:rPr>
          <w:rFonts w:hint="eastAsia" w:ascii="宋体" w:hAnsi="宋体" w:cs="宋体"/>
          <w:b w:val="0"/>
          <w:bCs/>
          <w:color w:val="000000" w:themeColor="text1"/>
          <w:sz w:val="24"/>
          <w:highlight w:val="none"/>
          <w14:textFill>
            <w14:solidFill>
              <w14:schemeClr w14:val="tx1"/>
            </w14:solidFill>
          </w14:textFill>
        </w:rPr>
        <w:t>。本</w:t>
      </w:r>
      <w:r>
        <w:rPr>
          <w:rFonts w:hint="eastAsia" w:ascii="宋体" w:hAnsi="宋体" w:cs="宋体"/>
          <w:b w:val="0"/>
          <w:bCs/>
          <w:color w:val="000000" w:themeColor="text1"/>
          <w:sz w:val="24"/>
          <w:highlight w:val="none"/>
          <w:lang w:val="en-US" w:eastAsia="zh-CN"/>
          <w14:textFill>
            <w14:solidFill>
              <w14:schemeClr w14:val="tx1"/>
            </w14:solidFill>
          </w14:textFill>
        </w:rPr>
        <w:t>招标</w:t>
      </w:r>
      <w:r>
        <w:rPr>
          <w:rFonts w:hint="eastAsia" w:ascii="宋体" w:hAnsi="宋体" w:cs="宋体"/>
          <w:b w:val="0"/>
          <w:bCs/>
          <w:color w:val="000000" w:themeColor="text1"/>
          <w:sz w:val="24"/>
          <w:highlight w:val="none"/>
          <w14:textFill>
            <w14:solidFill>
              <w14:schemeClr w14:val="tx1"/>
            </w14:solidFill>
          </w14:textFill>
        </w:rPr>
        <w:t>文件包括本文所列内容及按本须知发出的全部和补充资料。</w:t>
      </w:r>
      <w:r>
        <w:rPr>
          <w:rFonts w:hint="eastAsia" w:ascii="宋体" w:hAnsi="宋体" w:cs="宋体"/>
          <w:b w:val="0"/>
          <w:bCs/>
          <w:color w:val="000000" w:themeColor="text1"/>
          <w:sz w:val="24"/>
          <w:highlight w:val="none"/>
          <w:lang w:val="en-US" w:eastAsia="zh-CN"/>
          <w14:textFill>
            <w14:solidFill>
              <w14:schemeClr w14:val="tx1"/>
            </w14:solidFill>
          </w14:textFill>
        </w:rPr>
        <w:t>投标人</w:t>
      </w:r>
      <w:r>
        <w:rPr>
          <w:rFonts w:hint="eastAsia" w:ascii="宋体" w:hAnsi="宋体" w:cs="宋体"/>
          <w:b w:val="0"/>
          <w:bCs/>
          <w:color w:val="000000" w:themeColor="text1"/>
          <w:sz w:val="24"/>
          <w:highlight w:val="none"/>
          <w14:textFill>
            <w14:solidFill>
              <w14:schemeClr w14:val="tx1"/>
            </w14:solidFill>
          </w14:textFill>
        </w:rPr>
        <w:t>应认真阅读本</w:t>
      </w:r>
      <w:r>
        <w:rPr>
          <w:rFonts w:hint="eastAsia" w:ascii="宋体" w:hAnsi="宋体" w:cs="宋体"/>
          <w:b w:val="0"/>
          <w:bCs/>
          <w:color w:val="000000" w:themeColor="text1"/>
          <w:sz w:val="24"/>
          <w:highlight w:val="none"/>
          <w:lang w:val="en-US" w:eastAsia="zh-CN"/>
          <w14:textFill>
            <w14:solidFill>
              <w14:schemeClr w14:val="tx1"/>
            </w14:solidFill>
          </w14:textFill>
        </w:rPr>
        <w:t>招标</w:t>
      </w:r>
      <w:r>
        <w:rPr>
          <w:rFonts w:hint="eastAsia" w:ascii="宋体" w:hAnsi="宋体" w:cs="宋体"/>
          <w:b w:val="0"/>
          <w:bCs/>
          <w:color w:val="000000" w:themeColor="text1"/>
          <w:sz w:val="24"/>
          <w:highlight w:val="none"/>
          <w14:textFill>
            <w14:solidFill>
              <w14:schemeClr w14:val="tx1"/>
            </w14:solidFill>
          </w14:textFill>
        </w:rPr>
        <w:t>文件中所有的事项、格式、条款、技术规范等实质性的条件和要求，并熟悉本招标项目的全部内容及与履行合同有关的全部内容，熟悉</w:t>
      </w:r>
      <w:r>
        <w:rPr>
          <w:rFonts w:hint="eastAsia" w:ascii="宋体" w:hAnsi="宋体" w:cs="宋体"/>
          <w:b w:val="0"/>
          <w:bCs/>
          <w:color w:val="000000" w:themeColor="text1"/>
          <w:sz w:val="24"/>
          <w:highlight w:val="none"/>
          <w:lang w:val="en-US" w:eastAsia="zh-CN"/>
          <w14:textFill>
            <w14:solidFill>
              <w14:schemeClr w14:val="tx1"/>
            </w14:solidFill>
          </w14:textFill>
        </w:rPr>
        <w:t>招标</w:t>
      </w:r>
      <w:r>
        <w:rPr>
          <w:rFonts w:hint="eastAsia" w:ascii="宋体" w:hAnsi="宋体" w:cs="宋体"/>
          <w:b w:val="0"/>
          <w:bCs/>
          <w:color w:val="000000" w:themeColor="text1"/>
          <w:sz w:val="24"/>
          <w:highlight w:val="none"/>
          <w14:textFill>
            <w14:solidFill>
              <w14:schemeClr w14:val="tx1"/>
            </w14:solidFill>
          </w14:textFill>
        </w:rPr>
        <w:t>文件的格式、条件和范围。</w:t>
      </w:r>
      <w:r>
        <w:rPr>
          <w:rFonts w:hint="eastAsia" w:ascii="宋体" w:hAnsi="宋体" w:cs="宋体"/>
          <w:b w:val="0"/>
          <w:bCs/>
          <w:color w:val="000000" w:themeColor="text1"/>
          <w:sz w:val="24"/>
          <w:highlight w:val="none"/>
          <w:lang w:val="en-US" w:eastAsia="zh-CN"/>
          <w14:textFill>
            <w14:solidFill>
              <w14:schemeClr w14:val="tx1"/>
            </w14:solidFill>
          </w14:textFill>
        </w:rPr>
        <w:t>投标人</w:t>
      </w:r>
      <w:r>
        <w:rPr>
          <w:rFonts w:hint="eastAsia" w:ascii="宋体" w:hAnsi="宋体" w:cs="宋体"/>
          <w:b w:val="0"/>
          <w:bCs/>
          <w:color w:val="000000" w:themeColor="text1"/>
          <w:sz w:val="24"/>
          <w:highlight w:val="none"/>
          <w14:textFill>
            <w14:solidFill>
              <w14:schemeClr w14:val="tx1"/>
            </w14:solidFill>
          </w14:textFill>
        </w:rPr>
        <w:t>没有按照</w:t>
      </w:r>
      <w:r>
        <w:rPr>
          <w:rFonts w:hint="eastAsia" w:ascii="宋体" w:hAnsi="宋体" w:cs="宋体"/>
          <w:b w:val="0"/>
          <w:bCs/>
          <w:color w:val="000000" w:themeColor="text1"/>
          <w:sz w:val="24"/>
          <w:highlight w:val="none"/>
          <w:lang w:val="en-US" w:eastAsia="zh-CN"/>
          <w14:textFill>
            <w14:solidFill>
              <w14:schemeClr w14:val="tx1"/>
            </w14:solidFill>
          </w14:textFill>
        </w:rPr>
        <w:t>招标</w:t>
      </w:r>
      <w:r>
        <w:rPr>
          <w:rFonts w:hint="eastAsia" w:ascii="宋体" w:hAnsi="宋体" w:cs="宋体"/>
          <w:b w:val="0"/>
          <w:bCs/>
          <w:color w:val="000000" w:themeColor="text1"/>
          <w:sz w:val="24"/>
          <w:highlight w:val="none"/>
          <w14:textFill>
            <w14:solidFill>
              <w14:schemeClr w14:val="tx1"/>
            </w14:solidFill>
          </w14:textFill>
        </w:rPr>
        <w:t>文件的要求提交相关资料，或者</w:t>
      </w:r>
      <w:r>
        <w:rPr>
          <w:rFonts w:hint="eastAsia" w:ascii="宋体" w:hAnsi="宋体" w:cs="宋体"/>
          <w:b w:val="0"/>
          <w:bCs/>
          <w:color w:val="000000" w:themeColor="text1"/>
          <w:sz w:val="24"/>
          <w:highlight w:val="none"/>
          <w:lang w:val="en-US" w:eastAsia="zh-CN"/>
          <w14:textFill>
            <w14:solidFill>
              <w14:schemeClr w14:val="tx1"/>
            </w14:solidFill>
          </w14:textFill>
        </w:rPr>
        <w:t>投标人</w:t>
      </w:r>
      <w:r>
        <w:rPr>
          <w:rFonts w:hint="eastAsia" w:ascii="宋体" w:hAnsi="宋体" w:cs="宋体"/>
          <w:b w:val="0"/>
          <w:bCs/>
          <w:color w:val="000000" w:themeColor="text1"/>
          <w:sz w:val="24"/>
          <w:highlight w:val="none"/>
          <w14:textFill>
            <w14:solidFill>
              <w14:schemeClr w14:val="tx1"/>
            </w14:solidFill>
          </w14:textFill>
        </w:rPr>
        <w:t>没有对</w:t>
      </w:r>
      <w:r>
        <w:rPr>
          <w:rFonts w:hint="eastAsia" w:ascii="宋体" w:hAnsi="宋体" w:cs="宋体"/>
          <w:b w:val="0"/>
          <w:bCs/>
          <w:color w:val="000000" w:themeColor="text1"/>
          <w:sz w:val="24"/>
          <w:highlight w:val="none"/>
          <w:lang w:val="en-US" w:eastAsia="zh-CN"/>
          <w14:textFill>
            <w14:solidFill>
              <w14:schemeClr w14:val="tx1"/>
            </w14:solidFill>
          </w14:textFill>
        </w:rPr>
        <w:t>招标</w:t>
      </w:r>
      <w:r>
        <w:rPr>
          <w:rFonts w:hint="eastAsia" w:ascii="宋体" w:hAnsi="宋体" w:cs="宋体"/>
          <w:b w:val="0"/>
          <w:bCs/>
          <w:color w:val="000000" w:themeColor="text1"/>
          <w:sz w:val="24"/>
          <w:highlight w:val="none"/>
          <w14:textFill>
            <w14:solidFill>
              <w14:schemeClr w14:val="tx1"/>
            </w14:solidFill>
          </w14:textFill>
        </w:rPr>
        <w:t>文件相关内容都做出实质性响应是</w:t>
      </w:r>
      <w:r>
        <w:rPr>
          <w:rFonts w:hint="eastAsia" w:ascii="宋体" w:hAnsi="宋体" w:cs="宋体"/>
          <w:b w:val="0"/>
          <w:bCs/>
          <w:color w:val="000000" w:themeColor="text1"/>
          <w:sz w:val="24"/>
          <w:highlight w:val="none"/>
          <w:lang w:val="en-US" w:eastAsia="zh-CN"/>
          <w14:textFill>
            <w14:solidFill>
              <w14:schemeClr w14:val="tx1"/>
            </w14:solidFill>
          </w14:textFill>
        </w:rPr>
        <w:t>投标人</w:t>
      </w:r>
      <w:r>
        <w:rPr>
          <w:rFonts w:hint="eastAsia" w:ascii="宋体" w:hAnsi="宋体" w:cs="宋体"/>
          <w:b w:val="0"/>
          <w:bCs/>
          <w:color w:val="000000" w:themeColor="text1"/>
          <w:sz w:val="24"/>
          <w:highlight w:val="none"/>
          <w14:textFill>
            <w14:solidFill>
              <w14:schemeClr w14:val="tx1"/>
            </w14:solidFill>
          </w14:textFill>
        </w:rPr>
        <w:t>的风险，并可能导致其投标无效，其风险由</w:t>
      </w:r>
      <w:r>
        <w:rPr>
          <w:rFonts w:hint="eastAsia" w:ascii="宋体" w:hAnsi="宋体" w:cs="宋体"/>
          <w:b w:val="0"/>
          <w:bCs/>
          <w:color w:val="000000" w:themeColor="text1"/>
          <w:sz w:val="24"/>
          <w:highlight w:val="none"/>
          <w:lang w:val="en-US" w:eastAsia="zh-CN"/>
          <w14:textFill>
            <w14:solidFill>
              <w14:schemeClr w14:val="tx1"/>
            </w14:solidFill>
          </w14:textFill>
        </w:rPr>
        <w:t>投标人</w:t>
      </w:r>
      <w:r>
        <w:rPr>
          <w:rFonts w:hint="eastAsia" w:ascii="宋体" w:hAnsi="宋体" w:cs="宋体"/>
          <w:b w:val="0"/>
          <w:bCs/>
          <w:color w:val="000000" w:themeColor="text1"/>
          <w:sz w:val="24"/>
          <w:highlight w:val="none"/>
          <w14:textFill>
            <w14:solidFill>
              <w14:schemeClr w14:val="tx1"/>
            </w14:solidFill>
          </w14:textFill>
        </w:rPr>
        <w:t>自行承担。</w:t>
      </w:r>
    </w:p>
    <w:p w14:paraId="303CB37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1、适用范围</w:t>
      </w:r>
    </w:p>
    <w:p w14:paraId="383686F8">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招标文件是采购人在本项目投标过程中的规范性文件，仅适用于本次招标中所叙述项目的</w:t>
      </w:r>
      <w:r>
        <w:rPr>
          <w:rFonts w:hint="eastAsia" w:ascii="宋体" w:hAnsi="宋体" w:cs="宋体"/>
          <w:color w:val="000000" w:themeColor="text1"/>
          <w:sz w:val="24"/>
          <w:highlight w:val="none"/>
          <w:lang w:val="en-US" w:eastAsia="zh-CN"/>
          <w14:textFill>
            <w14:solidFill>
              <w14:schemeClr w14:val="tx1"/>
            </w14:solidFill>
          </w14:textFill>
        </w:rPr>
        <w:t>设备</w:t>
      </w:r>
      <w:r>
        <w:rPr>
          <w:rFonts w:hint="eastAsia" w:ascii="宋体" w:hAnsi="宋体" w:cs="宋体"/>
          <w:color w:val="000000" w:themeColor="text1"/>
          <w:sz w:val="24"/>
          <w:highlight w:val="none"/>
          <w14:textFill>
            <w14:solidFill>
              <w14:schemeClr w14:val="tx1"/>
            </w14:solidFill>
          </w14:textFill>
        </w:rPr>
        <w:t>采购等内容。和采购人组织的答疑纪要一起是各投标人（以下简称投标人）编制投标文件的依据，也是采购人与中标人签订合同的依据，并作为项目合同的附件之一，与本合同具有同等的法律效力（除非合同另有约定的部分，以正式合同内容为准）。</w:t>
      </w:r>
    </w:p>
    <w:p w14:paraId="44A72848">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2、定义</w:t>
      </w:r>
    </w:p>
    <w:p w14:paraId="481C871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下列术语和缩写的定义为：</w:t>
      </w:r>
    </w:p>
    <w:p w14:paraId="118AA116">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en-US"/>
          <w14:textFill>
            <w14:solidFill>
              <w14:schemeClr w14:val="tx1"/>
            </w14:solidFill>
          </w14:textFill>
        </w:rPr>
        <w:t>2.1</w:t>
      </w:r>
      <w:r>
        <w:rPr>
          <w:rFonts w:hint="eastAsia" w:ascii="宋体" w:hAnsi="宋体" w:cs="宋体"/>
          <w:color w:val="000000" w:themeColor="text1"/>
          <w:sz w:val="24"/>
          <w:highlight w:val="none"/>
          <w:lang w:bidi="zh-CN"/>
          <w14:textFill>
            <w14:solidFill>
              <w14:schemeClr w14:val="tx1"/>
            </w14:solidFill>
          </w14:textFill>
        </w:rPr>
        <w:t>“采购人”系指对本招标</w:t>
      </w:r>
      <w:r>
        <w:rPr>
          <w:rFonts w:hint="eastAsia" w:ascii="宋体" w:hAnsi="宋体" w:cs="宋体"/>
          <w:color w:val="000000" w:themeColor="text1"/>
          <w:sz w:val="24"/>
          <w:highlight w:val="none"/>
          <w14:textFill>
            <w14:solidFill>
              <w14:schemeClr w14:val="tx1"/>
            </w14:solidFill>
          </w14:textFill>
        </w:rPr>
        <w:t>文件</w:t>
      </w:r>
      <w:r>
        <w:rPr>
          <w:rFonts w:hint="eastAsia" w:ascii="宋体" w:hAnsi="宋体" w:cs="宋体"/>
          <w:color w:val="000000" w:themeColor="text1"/>
          <w:sz w:val="24"/>
          <w:highlight w:val="none"/>
          <w:lang w:bidi="zh-CN"/>
          <w14:textFill>
            <w14:solidFill>
              <w14:schemeClr w14:val="tx1"/>
            </w14:solidFill>
          </w14:textFill>
        </w:rPr>
        <w:t>中所列服务有需求的</w:t>
      </w:r>
      <w:r>
        <w:rPr>
          <w:rFonts w:hint="eastAsia" w:ascii="宋体" w:hAnsi="宋体" w:cs="宋体"/>
          <w:b/>
          <w:bCs/>
          <w:color w:val="000000" w:themeColor="text1"/>
          <w:sz w:val="24"/>
          <w:highlight w:val="none"/>
          <w:lang w:bidi="zh-CN"/>
          <w14:textFill>
            <w14:solidFill>
              <w14:schemeClr w14:val="tx1"/>
            </w14:solidFill>
          </w14:textFill>
        </w:rPr>
        <w:t>库车市文化体育广播电视和旅游局</w:t>
      </w:r>
      <w:r>
        <w:rPr>
          <w:rFonts w:hint="eastAsia" w:ascii="宋体" w:hAnsi="宋体" w:cs="宋体"/>
          <w:b/>
          <w:color w:val="000000" w:themeColor="text1"/>
          <w:sz w:val="24"/>
          <w:highlight w:val="none"/>
          <w:lang w:bidi="zh-CN"/>
          <w14:textFill>
            <w14:solidFill>
              <w14:schemeClr w14:val="tx1"/>
            </w14:solidFill>
          </w14:textFill>
        </w:rPr>
        <w:t>；</w:t>
      </w:r>
      <w:r>
        <w:rPr>
          <w:rFonts w:hint="eastAsia" w:ascii="宋体" w:hAnsi="宋体" w:cs="宋体"/>
          <w:color w:val="000000" w:themeColor="text1"/>
          <w:sz w:val="24"/>
          <w:highlight w:val="none"/>
          <w:lang w:bidi="zh-CN"/>
          <w14:textFill>
            <w14:solidFill>
              <w14:schemeClr w14:val="tx1"/>
            </w14:solidFill>
          </w14:textFill>
        </w:rPr>
        <w:t>“投标人”系指符合</w:t>
      </w:r>
      <w:r>
        <w:rPr>
          <w:rFonts w:hint="eastAsia" w:ascii="宋体" w:hAnsi="宋体" w:cs="宋体"/>
          <w:color w:val="000000" w:themeColor="text1"/>
          <w:sz w:val="24"/>
          <w:highlight w:val="none"/>
          <w14:textFill>
            <w14:solidFill>
              <w14:schemeClr w14:val="tx1"/>
            </w14:solidFill>
          </w14:textFill>
        </w:rPr>
        <w:t>招标</w:t>
      </w:r>
      <w:r>
        <w:rPr>
          <w:rFonts w:hint="eastAsia" w:ascii="宋体" w:hAnsi="宋体" w:cs="宋体"/>
          <w:color w:val="000000" w:themeColor="text1"/>
          <w:sz w:val="24"/>
          <w:highlight w:val="none"/>
          <w:lang w:bidi="zh-CN"/>
          <w14:textFill>
            <w14:solidFill>
              <w14:schemeClr w14:val="tx1"/>
            </w14:solidFill>
          </w14:textFill>
        </w:rPr>
        <w:t>文件要求并且通过资格审查进入</w:t>
      </w:r>
      <w:r>
        <w:rPr>
          <w:rFonts w:hint="eastAsia" w:ascii="宋体" w:hAnsi="宋体" w:cs="宋体"/>
          <w:color w:val="000000" w:themeColor="text1"/>
          <w:sz w:val="24"/>
          <w:highlight w:val="none"/>
          <w14:textFill>
            <w14:solidFill>
              <w14:schemeClr w14:val="tx1"/>
            </w14:solidFill>
          </w14:textFill>
        </w:rPr>
        <w:t>招标</w:t>
      </w:r>
      <w:r>
        <w:rPr>
          <w:rFonts w:hint="eastAsia" w:ascii="宋体" w:hAnsi="宋体" w:cs="宋体"/>
          <w:color w:val="000000" w:themeColor="text1"/>
          <w:sz w:val="24"/>
          <w:highlight w:val="none"/>
          <w:lang w:bidi="zh-CN"/>
          <w14:textFill>
            <w14:solidFill>
              <w14:schemeClr w14:val="tx1"/>
            </w14:solidFill>
          </w14:textFill>
        </w:rPr>
        <w:t>程序的投标人；“采购代理机构”系指</w:t>
      </w:r>
      <w:r>
        <w:rPr>
          <w:rFonts w:hint="eastAsia" w:ascii="宋体" w:hAnsi="宋体" w:cs="宋体"/>
          <w:b/>
          <w:bCs/>
          <w:color w:val="000000" w:themeColor="text1"/>
          <w:sz w:val="24"/>
          <w:highlight w:val="none"/>
          <w:lang w:bidi="zh-CN"/>
          <w14:textFill>
            <w14:solidFill>
              <w14:schemeClr w14:val="tx1"/>
            </w14:solidFill>
          </w14:textFill>
        </w:rPr>
        <w:t>新疆经开项目管理有限公司</w:t>
      </w:r>
      <w:r>
        <w:rPr>
          <w:rFonts w:hint="eastAsia" w:ascii="宋体" w:hAnsi="宋体" w:cs="宋体"/>
          <w:color w:val="000000" w:themeColor="text1"/>
          <w:sz w:val="24"/>
          <w:highlight w:val="none"/>
          <w:lang w:bidi="zh-CN"/>
          <w14:textFill>
            <w14:solidFill>
              <w14:schemeClr w14:val="tx1"/>
            </w14:solidFill>
          </w14:textFill>
        </w:rPr>
        <w:t>；“投标文件”系指投标人为响应</w:t>
      </w:r>
      <w:r>
        <w:rPr>
          <w:rFonts w:hint="eastAsia" w:ascii="宋体" w:hAnsi="宋体" w:cs="宋体"/>
          <w:color w:val="000000" w:themeColor="text1"/>
          <w:sz w:val="24"/>
          <w:highlight w:val="none"/>
          <w14:textFill>
            <w14:solidFill>
              <w14:schemeClr w14:val="tx1"/>
            </w14:solidFill>
          </w14:textFill>
        </w:rPr>
        <w:t>招标</w:t>
      </w:r>
      <w:r>
        <w:rPr>
          <w:rFonts w:hint="eastAsia" w:ascii="宋体" w:hAnsi="宋体" w:cs="宋体"/>
          <w:color w:val="000000" w:themeColor="text1"/>
          <w:sz w:val="24"/>
          <w:highlight w:val="none"/>
          <w:lang w:bidi="zh-CN"/>
          <w14:textFill>
            <w14:solidFill>
              <w14:schemeClr w14:val="tx1"/>
            </w14:solidFill>
          </w14:textFill>
        </w:rPr>
        <w:t>文件而编制、递交的投标文件。</w:t>
      </w:r>
    </w:p>
    <w:p w14:paraId="29D36F94">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2.2“买方”系</w:t>
      </w:r>
      <w:r>
        <w:rPr>
          <w:rFonts w:hint="eastAsia" w:ascii="宋体" w:hAnsi="宋体" w:cs="宋体"/>
          <w:b/>
          <w:bCs/>
          <w:color w:val="000000" w:themeColor="text1"/>
          <w:sz w:val="24"/>
          <w:highlight w:val="none"/>
          <w:lang w:bidi="zh-CN"/>
          <w14:textFill>
            <w14:solidFill>
              <w14:schemeClr w14:val="tx1"/>
            </w14:solidFill>
          </w14:textFill>
        </w:rPr>
        <w:t>库车市文化体育广播电视和旅游局</w:t>
      </w:r>
      <w:r>
        <w:rPr>
          <w:rFonts w:hint="eastAsia" w:ascii="宋体" w:hAnsi="宋体" w:cs="宋体"/>
          <w:color w:val="000000" w:themeColor="text1"/>
          <w:sz w:val="24"/>
          <w:highlight w:val="none"/>
          <w:lang w:bidi="zh-CN"/>
          <w14:textFill>
            <w14:solidFill>
              <w14:schemeClr w14:val="tx1"/>
            </w14:solidFill>
          </w14:textFill>
        </w:rPr>
        <w:t>，“卖方”系指中标投标人。</w:t>
      </w:r>
    </w:p>
    <w:p w14:paraId="13244052">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2.3“合同”系指买卖双方签署规定的，买卖双方权利与义务的协议，以及所有的附件、附录和投标文件所提到的构成合同的所有文件。</w:t>
      </w:r>
    </w:p>
    <w:p w14:paraId="4C0370BE">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2.4“服务”系指根据本合同规定卖方必须承担相关服务工作以及其他类似的附随义务。</w:t>
      </w:r>
    </w:p>
    <w:p w14:paraId="1EDC7F25">
      <w:pPr>
        <w:overflowPunct w:val="0"/>
        <w:spacing w:line="360" w:lineRule="auto"/>
        <w:ind w:firstLine="480" w:firstLineChars="200"/>
        <w:rPr>
          <w:rFonts w:hint="eastAsia"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2.5“附随服务”系指根据本合同规定卖方必须承担与</w:t>
      </w:r>
      <w:r>
        <w:rPr>
          <w:rFonts w:hint="eastAsia" w:ascii="宋体" w:hAnsi="宋体" w:cs="宋体"/>
          <w:color w:val="000000" w:themeColor="text1"/>
          <w:sz w:val="24"/>
          <w:highlight w:val="none"/>
          <w:lang w:val="en-US" w:bidi="zh-CN"/>
          <w14:textFill>
            <w14:solidFill>
              <w14:schemeClr w14:val="tx1"/>
            </w14:solidFill>
          </w14:textFill>
        </w:rPr>
        <w:t>本次采购服务</w:t>
      </w:r>
      <w:r>
        <w:rPr>
          <w:rFonts w:hint="eastAsia" w:ascii="宋体" w:hAnsi="宋体" w:cs="宋体"/>
          <w:color w:val="000000" w:themeColor="text1"/>
          <w:sz w:val="24"/>
          <w:highlight w:val="none"/>
          <w:lang w:bidi="zh-CN"/>
          <w14:textFill>
            <w14:solidFill>
              <w14:schemeClr w14:val="tx1"/>
            </w14:solidFill>
          </w14:textFill>
        </w:rPr>
        <w:t>有关的辅助服务，以及合同中规定卖方应承担的义务，以及合同中未规定，但有利于合同履行原则，应当由卖方承担的其它义务。</w:t>
      </w:r>
    </w:p>
    <w:p w14:paraId="5449780A">
      <w:pPr>
        <w:overflowPunct w:val="0"/>
        <w:spacing w:line="360" w:lineRule="auto"/>
        <w:ind w:firstLine="480" w:firstLineChars="200"/>
        <w:rPr>
          <w:rFonts w:hint="eastAsia" w:ascii="宋体" w:hAnsi="宋体" w:cs="宋体"/>
          <w:color w:val="000000" w:themeColor="text1"/>
          <w:sz w:val="24"/>
          <w:highlight w:val="none"/>
          <w:lang w:bidi="zh-CN"/>
          <w14:textFill>
            <w14:solidFill>
              <w14:schemeClr w14:val="tx1"/>
            </w14:solidFill>
          </w14:textFill>
        </w:rPr>
      </w:pPr>
      <w:r>
        <w:rPr>
          <w:rFonts w:hint="eastAsia" w:ascii="宋体" w:hAnsi="宋体" w:eastAsia="宋体" w:cs="宋体"/>
          <w:color w:val="000000" w:themeColor="text1"/>
          <w:sz w:val="24"/>
          <w:highlight w:val="none"/>
          <w:lang w:bidi="zh-CN"/>
          <w14:textFill>
            <w14:solidFill>
              <w14:schemeClr w14:val="tx1"/>
            </w14:solidFill>
          </w14:textFill>
        </w:rPr>
        <w:t>2.5</w:t>
      </w:r>
      <w:r>
        <w:rPr>
          <w:rFonts w:hint="eastAsia" w:ascii="宋体" w:hAnsi="宋体" w:eastAsia="宋体" w:cs="宋体"/>
          <w:color w:val="000000" w:themeColor="text1"/>
          <w:sz w:val="24"/>
          <w:highlight w:val="none"/>
          <w:lang w:val="zh-CN" w:bidi="zh-CN"/>
          <w14:textFill>
            <w14:solidFill>
              <w14:schemeClr w14:val="tx1"/>
            </w14:solidFill>
          </w14:textFill>
        </w:rPr>
        <w:t>“货物”系指投标人须向采购人提供的符合招标文件要求的货物等，其来源地均应为中华人民共和国或与中华人民共和国有官方贸易关系的国家或地区。招标文件中没有提及招标货物来源地的，根据《政府采购法》的相关规定均应是本国货物，优先采购自主创新、节能、环保产品。投标的货物必须是合法生产的符合国家有关标准要求的全新原厂生产的产品，并满足政府采购招标文件规定的规格、参数、质量、价格、有效期、售后服务等要求。</w:t>
      </w:r>
    </w:p>
    <w:p w14:paraId="0808BDAA">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3、投标费用</w:t>
      </w:r>
    </w:p>
    <w:p w14:paraId="2E2DF876">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无论投标结果如何，与参与招标、投标活动有关的所有费用将由投标人自行承担。</w:t>
      </w:r>
    </w:p>
    <w:p w14:paraId="53305AC6">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投标人被视为熟悉本采购项目的各种情况以及履行合同有关的一切情况。</w:t>
      </w:r>
    </w:p>
    <w:p w14:paraId="7B3398C1">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投标人应承担其编制投标文件与递交投标文件所涉及的一切费用，不论投标结果如何，采购人对上述费用不做任何补偿。</w:t>
      </w:r>
    </w:p>
    <w:p w14:paraId="395592C1">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与相关联工作间的联系协调工作，如有费用发生已包含在投标价格内。</w:t>
      </w:r>
    </w:p>
    <w:p w14:paraId="30BDC0E1">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4、招标文件的构成</w:t>
      </w:r>
    </w:p>
    <w:p w14:paraId="770C4DD6">
      <w:pPr>
        <w:adjustRightInd w:val="0"/>
        <w:spacing w:line="360" w:lineRule="auto"/>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4.1招标文件由下述部分组成</w:t>
      </w:r>
    </w:p>
    <w:p w14:paraId="61AC99FC">
      <w:pPr>
        <w:overflowPunct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第一部分  招标公告</w:t>
      </w:r>
    </w:p>
    <w:p w14:paraId="15F746E1">
      <w:pPr>
        <w:overflowPunct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第二部分  </w:t>
      </w:r>
      <w:r>
        <w:rPr>
          <w:rFonts w:hint="eastAsia" w:ascii="宋体" w:hAnsi="宋体" w:cs="宋体"/>
          <w:color w:val="000000" w:themeColor="text1"/>
          <w:sz w:val="24"/>
          <w:highlight w:val="none"/>
          <w:lang w:val="en-US" w:eastAsia="zh-CN"/>
          <w14:textFill>
            <w14:solidFill>
              <w14:schemeClr w14:val="tx1"/>
            </w14:solidFill>
          </w14:textFill>
        </w:rPr>
        <w:t>投标人须知</w:t>
      </w:r>
    </w:p>
    <w:p w14:paraId="2E579DEA">
      <w:pPr>
        <w:overflowPunct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第三部分  投标说明</w:t>
      </w:r>
    </w:p>
    <w:p w14:paraId="42308FD2">
      <w:pPr>
        <w:overflowPunct w:val="0"/>
        <w:spacing w:line="360" w:lineRule="auto"/>
        <w:ind w:firstLine="960" w:firstLineChars="4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第四部分  </w:t>
      </w:r>
      <w:r>
        <w:rPr>
          <w:rFonts w:hint="eastAsia" w:ascii="宋体" w:hAnsi="宋体" w:cs="宋体"/>
          <w:color w:val="000000" w:themeColor="text1"/>
          <w:sz w:val="24"/>
          <w:highlight w:val="none"/>
          <w:lang w:eastAsia="zh-CN"/>
          <w14:textFill>
            <w14:solidFill>
              <w14:schemeClr w14:val="tx1"/>
            </w14:solidFill>
          </w14:textFill>
        </w:rPr>
        <w:t>采购需求</w:t>
      </w:r>
    </w:p>
    <w:p w14:paraId="40560B63">
      <w:pPr>
        <w:overflowPunct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第五部分  合同条款</w:t>
      </w:r>
    </w:p>
    <w:p w14:paraId="531C3341">
      <w:pPr>
        <w:overflowPunct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第六部分  </w:t>
      </w:r>
      <w:r>
        <w:rPr>
          <w:rFonts w:hint="eastAsia" w:ascii="宋体" w:hAnsi="宋体" w:cs="宋体"/>
          <w:color w:val="000000" w:themeColor="text1"/>
          <w:sz w:val="24"/>
          <w:highlight w:val="none"/>
          <w:lang w:val="en-US" w:eastAsia="zh-CN"/>
          <w14:textFill>
            <w14:solidFill>
              <w14:schemeClr w14:val="tx1"/>
            </w14:solidFill>
          </w14:textFill>
        </w:rPr>
        <w:t>投标文件格式</w:t>
      </w:r>
    </w:p>
    <w:p w14:paraId="59DE41D7">
      <w:pPr>
        <w:overflowPunct w:val="0"/>
        <w:spacing w:line="360" w:lineRule="auto"/>
        <w:ind w:firstLine="960" w:firstLineChars="400"/>
        <w:rPr>
          <w:rFonts w:hint="eastAsia"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第七部分  </w:t>
      </w:r>
      <w:r>
        <w:rPr>
          <w:rFonts w:hint="eastAsia" w:ascii="宋体" w:hAnsi="宋体" w:cs="宋体"/>
          <w:color w:val="000000" w:themeColor="text1"/>
          <w:sz w:val="24"/>
          <w:highlight w:val="none"/>
          <w:lang w:bidi="zh-CN"/>
          <w14:textFill>
            <w14:solidFill>
              <w14:schemeClr w14:val="tx1"/>
            </w14:solidFill>
          </w14:textFill>
        </w:rPr>
        <w:t>评定办法和细则</w:t>
      </w:r>
    </w:p>
    <w:p w14:paraId="3C169E1C">
      <w:pPr>
        <w:overflowPunct w:val="0"/>
        <w:spacing w:line="360" w:lineRule="auto"/>
        <w:ind w:firstLine="960" w:firstLineChars="400"/>
        <w:rPr>
          <w:rFonts w:hint="default" w:ascii="宋体" w:hAnsi="宋体" w:cs="宋体"/>
          <w:color w:val="000000" w:themeColor="text1"/>
          <w:sz w:val="24"/>
          <w:highlight w:val="none"/>
          <w:lang w:val="en-US" w:bidi="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val="en-US" w:eastAsia="zh-CN"/>
          <w14:textFill>
            <w14:solidFill>
              <w14:schemeClr w14:val="tx1"/>
            </w14:solidFill>
          </w14:textFill>
        </w:rPr>
        <w:t>八</w:t>
      </w:r>
      <w:r>
        <w:rPr>
          <w:rFonts w:hint="eastAsia" w:ascii="宋体" w:hAnsi="宋体" w:cs="宋体"/>
          <w:color w:val="000000" w:themeColor="text1"/>
          <w:sz w:val="24"/>
          <w:highlight w:val="none"/>
          <w14:textFill>
            <w14:solidFill>
              <w14:schemeClr w14:val="tx1"/>
            </w14:solidFill>
          </w14:textFill>
        </w:rPr>
        <w:t xml:space="preserve">部分  </w:t>
      </w:r>
      <w:r>
        <w:rPr>
          <w:rFonts w:hint="eastAsia" w:ascii="宋体" w:hAnsi="宋体" w:cs="宋体"/>
          <w:color w:val="000000" w:themeColor="text1"/>
          <w:sz w:val="24"/>
          <w:highlight w:val="none"/>
          <w:lang w:val="en-US" w:bidi="zh-CN"/>
          <w14:textFill>
            <w14:solidFill>
              <w14:schemeClr w14:val="tx1"/>
            </w14:solidFill>
          </w14:textFill>
        </w:rPr>
        <w:t>招标代理协议书</w:t>
      </w:r>
    </w:p>
    <w:p w14:paraId="405DA0E9">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4.2 一切有效的招标文件的澄清和修改的书面文件均是招标文件不可分割的部分。</w:t>
      </w:r>
    </w:p>
    <w:p w14:paraId="0153570F">
      <w:pPr>
        <w:pStyle w:val="45"/>
        <w:adjustRightInd w:val="0"/>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5、招标文件的澄清</w:t>
      </w:r>
    </w:p>
    <w:p w14:paraId="4185E2BD">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5.1招标文件中的标题或题名仅起引导作用，而不应视为对招标文件内容的理解和解释。</w:t>
      </w:r>
    </w:p>
    <w:p w14:paraId="3EBA1D9A">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5.2除非有特殊要求，招标文件不单独提供招标服务使用地的自然环境、气候条件、公用设施等情况，投标人被视为熟悉上述与履行合同有关的一切情况。</w:t>
      </w:r>
    </w:p>
    <w:p w14:paraId="5376A07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5.3招标文件的解释权归招标人和招标代理机构。</w:t>
      </w:r>
    </w:p>
    <w:p w14:paraId="15CD7D70">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任何要求对招标文件进行澄清的投标人，均应将需澄清的内容以书面形式或扫描件送达采购代理机构，采购代理机构将予以答复（答复中不包括问题的来源），答复内容将发送投标人联系邮箱，不再另行通知，请各投标人务必关注联系邮箱，否则，所造成的一切风险由投标人自行承担。</w:t>
      </w:r>
    </w:p>
    <w:p w14:paraId="72423904">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5.5为了使投标人</w:t>
      </w:r>
      <w:r>
        <w:rPr>
          <w:rFonts w:hint="eastAsia" w:ascii="宋体" w:hAnsi="宋体" w:cs="宋体"/>
          <w:color w:val="000000" w:themeColor="text1"/>
          <w:sz w:val="24"/>
          <w:highlight w:val="none"/>
          <w:lang w:bidi="zh-CN"/>
          <w14:textFill>
            <w14:solidFill>
              <w14:schemeClr w14:val="tx1"/>
            </w14:solidFill>
          </w14:textFill>
        </w:rPr>
        <w:t>有足够的时间准备投标文件，各投标人</w:t>
      </w:r>
      <w:r>
        <w:rPr>
          <w:rFonts w:hint="eastAsia" w:ascii="宋体" w:hAnsi="宋体" w:cs="宋体"/>
          <w:b/>
          <w:sz w:val="24"/>
          <w:highlight w:val="none"/>
          <w:u w:val="single"/>
          <w:lang w:bidi="zh-CN"/>
        </w:rPr>
        <w:t>应当在投标截止时间10日前提出</w:t>
      </w:r>
      <w:r>
        <w:rPr>
          <w:rFonts w:hint="eastAsia" w:ascii="宋体" w:hAnsi="宋体" w:cs="宋体"/>
          <w:color w:val="000000" w:themeColor="text1"/>
          <w:sz w:val="24"/>
          <w:highlight w:val="none"/>
          <w:lang w:bidi="zh-CN"/>
          <w14:textFill>
            <w14:solidFill>
              <w14:schemeClr w14:val="tx1"/>
            </w14:solidFill>
          </w14:textFill>
        </w:rPr>
        <w:t>(超过该时间收到的需澄清的内容，采购代理机构有权不予答复），准备需澄清的内容，以书面形式送达采购代理机构。</w:t>
      </w:r>
    </w:p>
    <w:p w14:paraId="18E782D6">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6、招标文件的修改或补充</w:t>
      </w:r>
    </w:p>
    <w:p w14:paraId="0192ADD0">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en-US"/>
          <w14:textFill>
            <w14:solidFill>
              <w14:schemeClr w14:val="tx1"/>
            </w14:solidFill>
          </w14:textFill>
        </w:rPr>
        <w:t>6.1</w:t>
      </w:r>
      <w:r>
        <w:rPr>
          <w:rFonts w:hint="eastAsia" w:ascii="宋体" w:hAnsi="宋体" w:cs="宋体"/>
          <w:color w:val="000000" w:themeColor="text1"/>
          <w:sz w:val="24"/>
          <w:highlight w:val="none"/>
          <w:lang w:bidi="zh-CN"/>
          <w14:textFill>
            <w14:solidFill>
              <w14:schemeClr w14:val="tx1"/>
            </w14:solidFill>
          </w14:textFill>
        </w:rPr>
        <w:t>特殊情形的，在递交投标文件截止期15日前，采购代理机构可主动地或在解答投标人提出的澄清问题时对招标文件进行澄清和修改。</w:t>
      </w:r>
    </w:p>
    <w:p w14:paraId="000CE750">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6.2招标文件的澄清和修改将以书面公布的形式通知所有购买招标文件的投标人，并对其具有约束力。</w:t>
      </w:r>
    </w:p>
    <w:p w14:paraId="49581667">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6.3为使投标人在准备投标文件时有充分的时间对招标文件的澄清和修改部分进行研究，采购代理机构可在递交投标文件截止期15日前通知投标人，适当延长递交投标文件截止期。</w:t>
      </w:r>
    </w:p>
    <w:p w14:paraId="03DEB4B2">
      <w:pPr>
        <w:overflowPunct w:val="0"/>
        <w:spacing w:line="360" w:lineRule="auto"/>
        <w:ind w:firstLine="480" w:firstLineChars="200"/>
        <w:rPr>
          <w:rFonts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en-US"/>
          <w14:textFill>
            <w14:solidFill>
              <w14:schemeClr w14:val="tx1"/>
            </w14:solidFill>
          </w14:textFill>
        </w:rPr>
        <w:t>6.4</w:t>
      </w:r>
      <w:r>
        <w:rPr>
          <w:rFonts w:hint="eastAsia" w:ascii="宋体" w:hAnsi="宋体" w:cs="宋体"/>
          <w:color w:val="000000" w:themeColor="text1"/>
          <w:sz w:val="24"/>
          <w:highlight w:val="none"/>
          <w:lang w:bidi="zh-CN"/>
          <w14:textFill>
            <w14:solidFill>
              <w14:schemeClr w14:val="tx1"/>
            </w14:solidFill>
          </w14:textFill>
        </w:rPr>
        <w:t>招标文件的澄清和修改文件是招标文件的组成部分，投标人需按照招标文件的澄清和修改文件的要求参与招标，投标人没有作出实质性响应是投标人的风险，并可能导致其投标文件被拒绝。</w:t>
      </w:r>
    </w:p>
    <w:p w14:paraId="237F1273">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7、索赔</w:t>
      </w:r>
    </w:p>
    <w:p w14:paraId="710203BA">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投标人提供的</w:t>
      </w:r>
      <w:r>
        <w:rPr>
          <w:rFonts w:hint="eastAsia" w:ascii="宋体" w:hAnsi="宋体" w:cs="宋体"/>
          <w:color w:val="000000" w:themeColor="text1"/>
          <w:sz w:val="24"/>
          <w:highlight w:val="none"/>
          <w:lang w:val="en-US" w:bidi="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未能达到标书规定的要求，或者有明显缺陷，采购人将保留索赔的权利。</w:t>
      </w:r>
    </w:p>
    <w:p w14:paraId="79F79632">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8、验收</w:t>
      </w:r>
    </w:p>
    <w:p w14:paraId="521A26C6">
      <w:pPr>
        <w:overflowPunct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  验收标准，按国家，行业技术标准和规范验收。</w:t>
      </w:r>
    </w:p>
    <w:p w14:paraId="2EA98849">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9、代理服务费</w:t>
      </w:r>
    </w:p>
    <w:p w14:paraId="175212A4">
      <w:pPr>
        <w:overflowPunct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服务费收费标准</w:t>
      </w:r>
      <w:r>
        <w:rPr>
          <w:rFonts w:hint="eastAsia" w:ascii="宋体" w:hAnsi="宋体" w:cs="宋体"/>
          <w:color w:val="000000" w:themeColor="text1"/>
          <w:sz w:val="24"/>
          <w:highlight w:val="none"/>
          <w:lang w:val="en-US" w:eastAsia="zh-CN"/>
          <w14:textFill>
            <w14:solidFill>
              <w14:schemeClr w14:val="tx1"/>
            </w14:solidFill>
          </w14:textFill>
        </w:rPr>
        <w:t>参考</w:t>
      </w:r>
      <w:r>
        <w:rPr>
          <w:rFonts w:hint="eastAsia" w:ascii="宋体" w:hAnsi="宋体" w:eastAsia="宋体" w:cs="宋体"/>
          <w:color w:val="000000" w:themeColor="text1"/>
          <w:sz w:val="24"/>
          <w:highlight w:val="none"/>
          <w:lang w:val="en-US" w:eastAsia="zh-CN"/>
          <w14:textFill>
            <w14:solidFill>
              <w14:schemeClr w14:val="tx1"/>
            </w14:solidFill>
          </w14:textFill>
        </w:rPr>
        <w:t>发改价格【2015】299 号，国家计委价格【2002】1980 号文及发改价格【2011】534 号文的差额定率累进法计算，以中标价为基数计算。成交供应商领取中标通知书时一次性向采购代理机构缴纳代理服务费</w:t>
      </w:r>
      <w:r>
        <w:rPr>
          <w:rFonts w:hint="eastAsia" w:ascii="宋体" w:hAnsi="宋体" w:cs="宋体"/>
          <w:color w:val="000000" w:themeColor="text1"/>
          <w:sz w:val="24"/>
          <w:highlight w:val="none"/>
          <w14:textFill>
            <w14:solidFill>
              <w14:schemeClr w14:val="tx1"/>
            </w14:solidFill>
          </w14:textFill>
        </w:rPr>
        <w:t>。</w:t>
      </w:r>
    </w:p>
    <w:p w14:paraId="3C6D7F57">
      <w:pPr>
        <w:spacing w:line="360" w:lineRule="auto"/>
        <w:jc w:val="center"/>
        <w:rPr>
          <w:sz w:val="24"/>
          <w:highlight w:val="none"/>
        </w:rPr>
      </w:pPr>
      <w:r>
        <w:rPr>
          <w:sz w:val="24"/>
          <w:highlight w:val="none"/>
        </w:rPr>
        <w:t>招标代理收费标准</w:t>
      </w:r>
    </w:p>
    <w:tbl>
      <w:tblPr>
        <w:tblStyle w:val="25"/>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99"/>
        <w:gridCol w:w="2174"/>
        <w:gridCol w:w="2175"/>
        <w:gridCol w:w="2175"/>
      </w:tblGrid>
      <w:tr w14:paraId="231E5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2999" w:type="dxa"/>
            <w:tcBorders>
              <w:tl2br w:val="single" w:color="auto" w:sz="4" w:space="0"/>
            </w:tcBorders>
          </w:tcPr>
          <w:p w14:paraId="2066D29E">
            <w:pPr>
              <w:snapToGrid w:val="0"/>
              <w:spacing w:line="360" w:lineRule="auto"/>
              <w:rPr>
                <w:bCs/>
                <w:sz w:val="24"/>
                <w:highlight w:val="none"/>
              </w:rPr>
            </w:pPr>
            <w:r>
              <w:rPr>
                <w:bCs/>
                <w:sz w:val="24"/>
                <w:highlight w:val="none"/>
              </w:rPr>
              <w:t xml:space="preserve">             招标类别</w:t>
            </w:r>
          </w:p>
          <w:p w14:paraId="677C9710">
            <w:pPr>
              <w:snapToGrid w:val="0"/>
              <w:spacing w:line="360" w:lineRule="auto"/>
              <w:rPr>
                <w:bCs/>
                <w:sz w:val="24"/>
                <w:highlight w:val="none"/>
              </w:rPr>
            </w:pPr>
            <w:r>
              <w:rPr>
                <w:bCs/>
                <w:sz w:val="24"/>
                <w:highlight w:val="none"/>
              </w:rPr>
              <w:t>中标价（万）</w:t>
            </w:r>
          </w:p>
        </w:tc>
        <w:tc>
          <w:tcPr>
            <w:tcW w:w="2174" w:type="dxa"/>
            <w:vAlign w:val="center"/>
          </w:tcPr>
          <w:p w14:paraId="3D231A04">
            <w:pPr>
              <w:snapToGrid w:val="0"/>
              <w:spacing w:line="360" w:lineRule="auto"/>
              <w:jc w:val="center"/>
              <w:rPr>
                <w:bCs/>
                <w:sz w:val="24"/>
                <w:highlight w:val="none"/>
              </w:rPr>
            </w:pPr>
            <w:r>
              <w:rPr>
                <w:bCs/>
                <w:sz w:val="24"/>
                <w:highlight w:val="none"/>
              </w:rPr>
              <w:t>货物招标取费标准</w:t>
            </w:r>
          </w:p>
        </w:tc>
        <w:tc>
          <w:tcPr>
            <w:tcW w:w="2175" w:type="dxa"/>
            <w:vAlign w:val="center"/>
          </w:tcPr>
          <w:p w14:paraId="47B11071">
            <w:pPr>
              <w:snapToGrid w:val="0"/>
              <w:spacing w:line="360" w:lineRule="auto"/>
              <w:jc w:val="center"/>
              <w:rPr>
                <w:bCs/>
                <w:sz w:val="24"/>
                <w:highlight w:val="none"/>
              </w:rPr>
            </w:pPr>
            <w:r>
              <w:rPr>
                <w:bCs/>
                <w:sz w:val="24"/>
                <w:highlight w:val="none"/>
              </w:rPr>
              <w:t>服务招标取费标准</w:t>
            </w:r>
          </w:p>
        </w:tc>
        <w:tc>
          <w:tcPr>
            <w:tcW w:w="2175" w:type="dxa"/>
            <w:vAlign w:val="center"/>
          </w:tcPr>
          <w:p w14:paraId="7B695B87">
            <w:pPr>
              <w:snapToGrid w:val="0"/>
              <w:spacing w:line="360" w:lineRule="auto"/>
              <w:jc w:val="center"/>
              <w:rPr>
                <w:bCs/>
                <w:sz w:val="24"/>
                <w:highlight w:val="none"/>
              </w:rPr>
            </w:pPr>
            <w:r>
              <w:rPr>
                <w:bCs/>
                <w:sz w:val="24"/>
                <w:highlight w:val="none"/>
              </w:rPr>
              <w:t>工程招标取费标准</w:t>
            </w:r>
          </w:p>
        </w:tc>
      </w:tr>
      <w:tr w14:paraId="00817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695D1275">
            <w:pPr>
              <w:snapToGrid w:val="0"/>
              <w:spacing w:line="360" w:lineRule="auto"/>
              <w:jc w:val="center"/>
              <w:rPr>
                <w:bCs/>
                <w:sz w:val="24"/>
                <w:highlight w:val="none"/>
              </w:rPr>
            </w:pPr>
            <w:r>
              <w:rPr>
                <w:bCs/>
                <w:sz w:val="24"/>
                <w:highlight w:val="none"/>
              </w:rPr>
              <w:t>100以下</w:t>
            </w:r>
          </w:p>
        </w:tc>
        <w:tc>
          <w:tcPr>
            <w:tcW w:w="2174" w:type="dxa"/>
          </w:tcPr>
          <w:p w14:paraId="72E8F150">
            <w:pPr>
              <w:snapToGrid w:val="0"/>
              <w:spacing w:line="360" w:lineRule="auto"/>
              <w:jc w:val="center"/>
              <w:rPr>
                <w:bCs/>
                <w:sz w:val="24"/>
                <w:highlight w:val="none"/>
              </w:rPr>
            </w:pPr>
            <w:r>
              <w:rPr>
                <w:bCs/>
                <w:sz w:val="24"/>
                <w:highlight w:val="none"/>
              </w:rPr>
              <w:t>1.5%</w:t>
            </w:r>
          </w:p>
        </w:tc>
        <w:tc>
          <w:tcPr>
            <w:tcW w:w="2175" w:type="dxa"/>
          </w:tcPr>
          <w:p w14:paraId="19020305">
            <w:pPr>
              <w:snapToGrid w:val="0"/>
              <w:spacing w:line="360" w:lineRule="auto"/>
              <w:jc w:val="center"/>
              <w:rPr>
                <w:bCs/>
                <w:sz w:val="24"/>
                <w:highlight w:val="none"/>
              </w:rPr>
            </w:pPr>
            <w:r>
              <w:rPr>
                <w:bCs/>
                <w:sz w:val="24"/>
                <w:highlight w:val="none"/>
              </w:rPr>
              <w:t>1.5%</w:t>
            </w:r>
          </w:p>
        </w:tc>
        <w:tc>
          <w:tcPr>
            <w:tcW w:w="2175" w:type="dxa"/>
          </w:tcPr>
          <w:p w14:paraId="6A66D2F6">
            <w:pPr>
              <w:snapToGrid w:val="0"/>
              <w:spacing w:line="360" w:lineRule="auto"/>
              <w:jc w:val="center"/>
              <w:rPr>
                <w:bCs/>
                <w:sz w:val="24"/>
                <w:highlight w:val="none"/>
              </w:rPr>
            </w:pPr>
            <w:r>
              <w:rPr>
                <w:bCs/>
                <w:sz w:val="24"/>
                <w:highlight w:val="none"/>
              </w:rPr>
              <w:t>1.0%</w:t>
            </w:r>
          </w:p>
        </w:tc>
      </w:tr>
      <w:tr w14:paraId="6C796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2A4A1A55">
            <w:pPr>
              <w:snapToGrid w:val="0"/>
              <w:spacing w:line="360" w:lineRule="auto"/>
              <w:jc w:val="center"/>
              <w:rPr>
                <w:bCs/>
                <w:sz w:val="24"/>
                <w:highlight w:val="none"/>
              </w:rPr>
            </w:pPr>
            <w:r>
              <w:rPr>
                <w:bCs/>
                <w:sz w:val="24"/>
                <w:highlight w:val="none"/>
              </w:rPr>
              <w:t>100-500</w:t>
            </w:r>
          </w:p>
        </w:tc>
        <w:tc>
          <w:tcPr>
            <w:tcW w:w="2174" w:type="dxa"/>
          </w:tcPr>
          <w:p w14:paraId="214CB8C4">
            <w:pPr>
              <w:snapToGrid w:val="0"/>
              <w:spacing w:line="360" w:lineRule="auto"/>
              <w:jc w:val="center"/>
              <w:rPr>
                <w:bCs/>
                <w:sz w:val="24"/>
                <w:highlight w:val="none"/>
              </w:rPr>
            </w:pPr>
            <w:r>
              <w:rPr>
                <w:bCs/>
                <w:sz w:val="24"/>
                <w:highlight w:val="none"/>
              </w:rPr>
              <w:t>1.1%</w:t>
            </w:r>
          </w:p>
        </w:tc>
        <w:tc>
          <w:tcPr>
            <w:tcW w:w="2175" w:type="dxa"/>
          </w:tcPr>
          <w:p w14:paraId="40BB90FC">
            <w:pPr>
              <w:snapToGrid w:val="0"/>
              <w:spacing w:line="360" w:lineRule="auto"/>
              <w:jc w:val="center"/>
              <w:rPr>
                <w:bCs/>
                <w:sz w:val="24"/>
                <w:highlight w:val="none"/>
              </w:rPr>
            </w:pPr>
            <w:r>
              <w:rPr>
                <w:bCs/>
                <w:sz w:val="24"/>
                <w:highlight w:val="none"/>
              </w:rPr>
              <w:t>0.8%</w:t>
            </w:r>
          </w:p>
        </w:tc>
        <w:tc>
          <w:tcPr>
            <w:tcW w:w="2175" w:type="dxa"/>
          </w:tcPr>
          <w:p w14:paraId="0C9CC389">
            <w:pPr>
              <w:snapToGrid w:val="0"/>
              <w:spacing w:line="360" w:lineRule="auto"/>
              <w:jc w:val="center"/>
              <w:rPr>
                <w:bCs/>
                <w:sz w:val="24"/>
                <w:highlight w:val="none"/>
              </w:rPr>
            </w:pPr>
            <w:r>
              <w:rPr>
                <w:bCs/>
                <w:sz w:val="24"/>
                <w:highlight w:val="none"/>
              </w:rPr>
              <w:t>0.7%</w:t>
            </w:r>
          </w:p>
        </w:tc>
      </w:tr>
      <w:tr w14:paraId="1A1A1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2D8D2F44">
            <w:pPr>
              <w:snapToGrid w:val="0"/>
              <w:spacing w:line="360" w:lineRule="auto"/>
              <w:jc w:val="center"/>
              <w:rPr>
                <w:bCs/>
                <w:sz w:val="24"/>
                <w:highlight w:val="none"/>
              </w:rPr>
            </w:pPr>
            <w:r>
              <w:rPr>
                <w:bCs/>
                <w:sz w:val="24"/>
                <w:highlight w:val="none"/>
              </w:rPr>
              <w:t>500-1000</w:t>
            </w:r>
          </w:p>
        </w:tc>
        <w:tc>
          <w:tcPr>
            <w:tcW w:w="2174" w:type="dxa"/>
          </w:tcPr>
          <w:p w14:paraId="1727FB11">
            <w:pPr>
              <w:snapToGrid w:val="0"/>
              <w:spacing w:line="360" w:lineRule="auto"/>
              <w:jc w:val="center"/>
              <w:rPr>
                <w:bCs/>
                <w:sz w:val="24"/>
                <w:highlight w:val="none"/>
              </w:rPr>
            </w:pPr>
            <w:r>
              <w:rPr>
                <w:bCs/>
                <w:sz w:val="24"/>
                <w:highlight w:val="none"/>
              </w:rPr>
              <w:t>0.8%</w:t>
            </w:r>
          </w:p>
        </w:tc>
        <w:tc>
          <w:tcPr>
            <w:tcW w:w="2175" w:type="dxa"/>
          </w:tcPr>
          <w:p w14:paraId="16DD1E78">
            <w:pPr>
              <w:snapToGrid w:val="0"/>
              <w:spacing w:line="360" w:lineRule="auto"/>
              <w:jc w:val="center"/>
              <w:rPr>
                <w:bCs/>
                <w:sz w:val="24"/>
                <w:highlight w:val="none"/>
              </w:rPr>
            </w:pPr>
            <w:r>
              <w:rPr>
                <w:bCs/>
                <w:sz w:val="24"/>
                <w:highlight w:val="none"/>
              </w:rPr>
              <w:t>0.45%</w:t>
            </w:r>
          </w:p>
        </w:tc>
        <w:tc>
          <w:tcPr>
            <w:tcW w:w="2175" w:type="dxa"/>
          </w:tcPr>
          <w:p w14:paraId="0DDDC79A">
            <w:pPr>
              <w:snapToGrid w:val="0"/>
              <w:spacing w:line="360" w:lineRule="auto"/>
              <w:jc w:val="center"/>
              <w:rPr>
                <w:bCs/>
                <w:sz w:val="24"/>
                <w:highlight w:val="none"/>
              </w:rPr>
            </w:pPr>
            <w:r>
              <w:rPr>
                <w:bCs/>
                <w:sz w:val="24"/>
                <w:highlight w:val="none"/>
              </w:rPr>
              <w:t>0.55%</w:t>
            </w:r>
          </w:p>
        </w:tc>
      </w:tr>
      <w:tr w14:paraId="3BF053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2DA01D60">
            <w:pPr>
              <w:snapToGrid w:val="0"/>
              <w:spacing w:line="360" w:lineRule="auto"/>
              <w:jc w:val="center"/>
              <w:rPr>
                <w:bCs/>
                <w:sz w:val="24"/>
                <w:highlight w:val="none"/>
              </w:rPr>
            </w:pPr>
            <w:r>
              <w:rPr>
                <w:bCs/>
                <w:sz w:val="24"/>
                <w:highlight w:val="none"/>
              </w:rPr>
              <w:t>1000-5000</w:t>
            </w:r>
          </w:p>
        </w:tc>
        <w:tc>
          <w:tcPr>
            <w:tcW w:w="2174" w:type="dxa"/>
          </w:tcPr>
          <w:p w14:paraId="233A7CCB">
            <w:pPr>
              <w:snapToGrid w:val="0"/>
              <w:spacing w:line="360" w:lineRule="auto"/>
              <w:jc w:val="center"/>
              <w:rPr>
                <w:bCs/>
                <w:sz w:val="24"/>
                <w:highlight w:val="none"/>
              </w:rPr>
            </w:pPr>
            <w:r>
              <w:rPr>
                <w:bCs/>
                <w:sz w:val="24"/>
                <w:highlight w:val="none"/>
              </w:rPr>
              <w:t>0.5%</w:t>
            </w:r>
          </w:p>
        </w:tc>
        <w:tc>
          <w:tcPr>
            <w:tcW w:w="2175" w:type="dxa"/>
          </w:tcPr>
          <w:p w14:paraId="140FD1C0">
            <w:pPr>
              <w:snapToGrid w:val="0"/>
              <w:spacing w:line="360" w:lineRule="auto"/>
              <w:jc w:val="center"/>
              <w:rPr>
                <w:bCs/>
                <w:sz w:val="24"/>
                <w:highlight w:val="none"/>
              </w:rPr>
            </w:pPr>
            <w:r>
              <w:rPr>
                <w:bCs/>
                <w:sz w:val="24"/>
                <w:highlight w:val="none"/>
              </w:rPr>
              <w:t>0.25%</w:t>
            </w:r>
          </w:p>
        </w:tc>
        <w:tc>
          <w:tcPr>
            <w:tcW w:w="2175" w:type="dxa"/>
          </w:tcPr>
          <w:p w14:paraId="659F553D">
            <w:pPr>
              <w:snapToGrid w:val="0"/>
              <w:spacing w:line="360" w:lineRule="auto"/>
              <w:jc w:val="center"/>
              <w:rPr>
                <w:bCs/>
                <w:sz w:val="24"/>
                <w:highlight w:val="none"/>
              </w:rPr>
            </w:pPr>
            <w:r>
              <w:rPr>
                <w:bCs/>
                <w:sz w:val="24"/>
                <w:highlight w:val="none"/>
              </w:rPr>
              <w:t>0.35%</w:t>
            </w:r>
          </w:p>
        </w:tc>
      </w:tr>
      <w:tr w14:paraId="33481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7A0F587E">
            <w:pPr>
              <w:snapToGrid w:val="0"/>
              <w:spacing w:line="360" w:lineRule="auto"/>
              <w:jc w:val="center"/>
              <w:rPr>
                <w:bCs/>
                <w:sz w:val="24"/>
                <w:highlight w:val="none"/>
              </w:rPr>
            </w:pPr>
            <w:r>
              <w:rPr>
                <w:bCs/>
                <w:sz w:val="24"/>
                <w:highlight w:val="none"/>
              </w:rPr>
              <w:t>5000-10000</w:t>
            </w:r>
          </w:p>
        </w:tc>
        <w:tc>
          <w:tcPr>
            <w:tcW w:w="2174" w:type="dxa"/>
          </w:tcPr>
          <w:p w14:paraId="2F335982">
            <w:pPr>
              <w:snapToGrid w:val="0"/>
              <w:spacing w:line="360" w:lineRule="auto"/>
              <w:jc w:val="center"/>
              <w:rPr>
                <w:bCs/>
                <w:sz w:val="24"/>
                <w:highlight w:val="none"/>
              </w:rPr>
            </w:pPr>
            <w:r>
              <w:rPr>
                <w:bCs/>
                <w:sz w:val="24"/>
                <w:highlight w:val="none"/>
              </w:rPr>
              <w:t>0.25%</w:t>
            </w:r>
          </w:p>
        </w:tc>
        <w:tc>
          <w:tcPr>
            <w:tcW w:w="2175" w:type="dxa"/>
          </w:tcPr>
          <w:p w14:paraId="36825542">
            <w:pPr>
              <w:snapToGrid w:val="0"/>
              <w:spacing w:line="360" w:lineRule="auto"/>
              <w:jc w:val="center"/>
              <w:rPr>
                <w:bCs/>
                <w:sz w:val="24"/>
                <w:highlight w:val="none"/>
              </w:rPr>
            </w:pPr>
            <w:r>
              <w:rPr>
                <w:bCs/>
                <w:sz w:val="24"/>
                <w:highlight w:val="none"/>
              </w:rPr>
              <w:t>0.1%</w:t>
            </w:r>
          </w:p>
        </w:tc>
        <w:tc>
          <w:tcPr>
            <w:tcW w:w="2175" w:type="dxa"/>
          </w:tcPr>
          <w:p w14:paraId="3D9512C9">
            <w:pPr>
              <w:snapToGrid w:val="0"/>
              <w:spacing w:line="360" w:lineRule="auto"/>
              <w:jc w:val="center"/>
              <w:rPr>
                <w:bCs/>
                <w:sz w:val="24"/>
                <w:highlight w:val="none"/>
              </w:rPr>
            </w:pPr>
            <w:r>
              <w:rPr>
                <w:bCs/>
                <w:sz w:val="24"/>
                <w:highlight w:val="none"/>
              </w:rPr>
              <w:t>0.2%</w:t>
            </w:r>
          </w:p>
        </w:tc>
      </w:tr>
      <w:tr w14:paraId="666CA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26ED1405">
            <w:pPr>
              <w:snapToGrid w:val="0"/>
              <w:spacing w:line="360" w:lineRule="auto"/>
              <w:jc w:val="center"/>
              <w:rPr>
                <w:bCs/>
                <w:sz w:val="24"/>
                <w:highlight w:val="none"/>
              </w:rPr>
            </w:pPr>
            <w:r>
              <w:rPr>
                <w:bCs/>
                <w:sz w:val="24"/>
                <w:highlight w:val="none"/>
              </w:rPr>
              <w:t>10000-100000</w:t>
            </w:r>
          </w:p>
        </w:tc>
        <w:tc>
          <w:tcPr>
            <w:tcW w:w="2174" w:type="dxa"/>
          </w:tcPr>
          <w:p w14:paraId="6B34A937">
            <w:pPr>
              <w:snapToGrid w:val="0"/>
              <w:spacing w:line="360" w:lineRule="auto"/>
              <w:jc w:val="center"/>
              <w:rPr>
                <w:bCs/>
                <w:sz w:val="24"/>
                <w:highlight w:val="none"/>
              </w:rPr>
            </w:pPr>
            <w:r>
              <w:rPr>
                <w:bCs/>
                <w:sz w:val="24"/>
                <w:highlight w:val="none"/>
              </w:rPr>
              <w:t>0.05%</w:t>
            </w:r>
          </w:p>
        </w:tc>
        <w:tc>
          <w:tcPr>
            <w:tcW w:w="2175" w:type="dxa"/>
          </w:tcPr>
          <w:p w14:paraId="6585CFA1">
            <w:pPr>
              <w:snapToGrid w:val="0"/>
              <w:spacing w:line="360" w:lineRule="auto"/>
              <w:jc w:val="center"/>
              <w:rPr>
                <w:bCs/>
                <w:sz w:val="24"/>
                <w:highlight w:val="none"/>
              </w:rPr>
            </w:pPr>
            <w:r>
              <w:rPr>
                <w:bCs/>
                <w:sz w:val="24"/>
                <w:highlight w:val="none"/>
              </w:rPr>
              <w:t>0.05%</w:t>
            </w:r>
          </w:p>
        </w:tc>
        <w:tc>
          <w:tcPr>
            <w:tcW w:w="2175" w:type="dxa"/>
          </w:tcPr>
          <w:p w14:paraId="1F5122A6">
            <w:pPr>
              <w:snapToGrid w:val="0"/>
              <w:spacing w:line="360" w:lineRule="auto"/>
              <w:jc w:val="center"/>
              <w:rPr>
                <w:bCs/>
                <w:sz w:val="24"/>
                <w:highlight w:val="none"/>
              </w:rPr>
            </w:pPr>
            <w:r>
              <w:rPr>
                <w:bCs/>
                <w:sz w:val="24"/>
                <w:highlight w:val="none"/>
              </w:rPr>
              <w:t>0.05%</w:t>
            </w:r>
          </w:p>
        </w:tc>
      </w:tr>
      <w:tr w14:paraId="6B4E2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14:paraId="3ECDE477">
            <w:pPr>
              <w:snapToGrid w:val="0"/>
              <w:spacing w:line="360" w:lineRule="auto"/>
              <w:jc w:val="center"/>
              <w:rPr>
                <w:bCs/>
                <w:sz w:val="24"/>
                <w:highlight w:val="none"/>
              </w:rPr>
            </w:pPr>
            <w:r>
              <w:rPr>
                <w:bCs/>
                <w:sz w:val="24"/>
                <w:highlight w:val="none"/>
              </w:rPr>
              <w:t>100000以上</w:t>
            </w:r>
          </w:p>
        </w:tc>
        <w:tc>
          <w:tcPr>
            <w:tcW w:w="2174" w:type="dxa"/>
          </w:tcPr>
          <w:p w14:paraId="78A4E4BE">
            <w:pPr>
              <w:snapToGrid w:val="0"/>
              <w:spacing w:line="360" w:lineRule="auto"/>
              <w:jc w:val="center"/>
              <w:rPr>
                <w:bCs/>
                <w:sz w:val="24"/>
                <w:highlight w:val="none"/>
              </w:rPr>
            </w:pPr>
            <w:r>
              <w:rPr>
                <w:bCs/>
                <w:sz w:val="24"/>
                <w:highlight w:val="none"/>
              </w:rPr>
              <w:t>0.01%</w:t>
            </w:r>
          </w:p>
        </w:tc>
        <w:tc>
          <w:tcPr>
            <w:tcW w:w="2175" w:type="dxa"/>
          </w:tcPr>
          <w:p w14:paraId="6B36082D">
            <w:pPr>
              <w:snapToGrid w:val="0"/>
              <w:spacing w:line="360" w:lineRule="auto"/>
              <w:jc w:val="center"/>
              <w:rPr>
                <w:bCs/>
                <w:sz w:val="24"/>
                <w:highlight w:val="none"/>
              </w:rPr>
            </w:pPr>
            <w:r>
              <w:rPr>
                <w:bCs/>
                <w:sz w:val="24"/>
                <w:highlight w:val="none"/>
              </w:rPr>
              <w:t>0.01%</w:t>
            </w:r>
          </w:p>
        </w:tc>
        <w:tc>
          <w:tcPr>
            <w:tcW w:w="2175" w:type="dxa"/>
          </w:tcPr>
          <w:p w14:paraId="0810DF5D">
            <w:pPr>
              <w:snapToGrid w:val="0"/>
              <w:spacing w:line="360" w:lineRule="auto"/>
              <w:jc w:val="center"/>
              <w:rPr>
                <w:bCs/>
                <w:sz w:val="24"/>
                <w:highlight w:val="none"/>
              </w:rPr>
            </w:pPr>
            <w:r>
              <w:rPr>
                <w:bCs/>
                <w:sz w:val="24"/>
                <w:highlight w:val="none"/>
              </w:rPr>
              <w:t>0.01%</w:t>
            </w:r>
          </w:p>
        </w:tc>
      </w:tr>
    </w:tbl>
    <w:p w14:paraId="6C9AF85D">
      <w:pPr>
        <w:spacing w:line="360" w:lineRule="auto"/>
        <w:ind w:firstLine="480" w:firstLineChars="200"/>
        <w:rPr>
          <w:sz w:val="24"/>
          <w:highlight w:val="none"/>
        </w:rPr>
      </w:pPr>
      <w:r>
        <w:rPr>
          <w:sz w:val="24"/>
          <w:highlight w:val="none"/>
        </w:rPr>
        <w:t>注：招标代理服务收费按差额定率累进法计算。</w:t>
      </w:r>
    </w:p>
    <w:p w14:paraId="63137089">
      <w:pPr>
        <w:adjustRightInd w:val="0"/>
        <w:spacing w:line="360" w:lineRule="auto"/>
        <w:ind w:firstLine="482" w:firstLineChars="200"/>
        <w:rPr>
          <w:b/>
          <w:sz w:val="24"/>
          <w:highlight w:val="none"/>
        </w:rPr>
      </w:pPr>
      <w:r>
        <w:rPr>
          <w:b/>
          <w:sz w:val="24"/>
          <w:highlight w:val="none"/>
        </w:rPr>
        <w:t>1</w:t>
      </w:r>
      <w:r>
        <w:rPr>
          <w:rFonts w:hint="eastAsia"/>
          <w:b/>
          <w:sz w:val="24"/>
          <w:highlight w:val="none"/>
          <w:lang w:val="en-US" w:eastAsia="zh-CN"/>
        </w:rPr>
        <w:t>0</w:t>
      </w:r>
      <w:r>
        <w:rPr>
          <w:b/>
          <w:sz w:val="24"/>
          <w:highlight w:val="none"/>
        </w:rPr>
        <w:t>、保密</w:t>
      </w:r>
    </w:p>
    <w:p w14:paraId="00D9A05D">
      <w:pPr>
        <w:overflowPunct w:val="0"/>
        <w:spacing w:line="360" w:lineRule="exact"/>
        <w:ind w:firstLine="480" w:firstLineChars="200"/>
        <w:rPr>
          <w:sz w:val="24"/>
          <w:highlight w:val="none"/>
        </w:rPr>
      </w:pPr>
      <w:r>
        <w:rPr>
          <w:sz w:val="24"/>
          <w:highlight w:val="none"/>
        </w:rPr>
        <w:t>招投标双方应为对方在投标文件和招标文件中涉及的商业和技术等秘密保密，违者应对由此造成的后果承担责任。</w:t>
      </w:r>
    </w:p>
    <w:p w14:paraId="74B95383">
      <w:pPr>
        <w:spacing w:line="360" w:lineRule="auto"/>
        <w:ind w:firstLine="480" w:firstLineChars="200"/>
        <w:rPr>
          <w:sz w:val="24"/>
          <w:highlight w:val="none"/>
        </w:rPr>
      </w:pPr>
    </w:p>
    <w:p w14:paraId="09356667">
      <w:pPr>
        <w:pStyle w:val="4"/>
        <w:adjustRightInd w:val="0"/>
        <w:snapToGrid w:val="0"/>
        <w:spacing w:before="0" w:after="0" w:line="440" w:lineRule="exact"/>
        <w:jc w:val="center"/>
        <w:rPr>
          <w:rFonts w:ascii="宋体" w:hAnsi="宋体" w:cs="宋体"/>
          <w:sz w:val="24"/>
          <w:szCs w:val="24"/>
          <w:highlight w:val="none"/>
        </w:rPr>
      </w:pPr>
      <w:r>
        <w:rPr>
          <w:sz w:val="24"/>
          <w:szCs w:val="24"/>
          <w:highlight w:val="none"/>
        </w:rPr>
        <w:br w:type="page"/>
      </w:r>
      <w:bookmarkStart w:id="2" w:name="_Toc2009"/>
      <w:r>
        <w:rPr>
          <w:rFonts w:hint="eastAsia" w:ascii="宋体" w:hAnsi="宋体" w:cs="宋体"/>
          <w:sz w:val="32"/>
          <w:szCs w:val="32"/>
          <w:highlight w:val="none"/>
        </w:rPr>
        <w:t>第三部分  投标说明</w:t>
      </w:r>
      <w:bookmarkEnd w:id="2"/>
    </w:p>
    <w:p w14:paraId="06860AD0">
      <w:pPr>
        <w:pStyle w:val="59"/>
        <w:ind w:firstLine="560"/>
        <w:rPr>
          <w:highlight w:val="none"/>
        </w:rPr>
      </w:pPr>
    </w:p>
    <w:p w14:paraId="29C093D9">
      <w:pPr>
        <w:pStyle w:val="5"/>
        <w:adjustRightInd w:val="0"/>
        <w:snapToGrid w:val="0"/>
        <w:spacing w:before="0" w:after="0" w:line="440" w:lineRule="exact"/>
        <w:jc w:val="center"/>
        <w:rPr>
          <w:rFonts w:ascii="宋体" w:hAnsi="宋体" w:cs="宋体"/>
          <w:sz w:val="24"/>
          <w:szCs w:val="24"/>
          <w:highlight w:val="none"/>
        </w:rPr>
      </w:pPr>
      <w:bookmarkStart w:id="3" w:name="_Toc16661"/>
      <w:r>
        <w:rPr>
          <w:rFonts w:hint="eastAsia" w:ascii="宋体" w:hAnsi="宋体" w:cs="宋体"/>
          <w:sz w:val="28"/>
          <w:szCs w:val="28"/>
          <w:highlight w:val="none"/>
        </w:rPr>
        <w:t>第一章  投标人资格要求</w:t>
      </w:r>
      <w:bookmarkEnd w:id="3"/>
    </w:p>
    <w:p w14:paraId="6D9D921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en-US"/>
        </w:rPr>
        <w:t>★</w:t>
      </w:r>
      <w:r>
        <w:rPr>
          <w:rFonts w:hint="eastAsia" w:ascii="宋体" w:hAnsi="宋体" w:cs="宋体"/>
          <w:b/>
          <w:sz w:val="24"/>
          <w:highlight w:val="none"/>
        </w:rPr>
        <w:t>1、投标资格</w:t>
      </w:r>
    </w:p>
    <w:p w14:paraId="131951EE">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（1）本项目专门面向中小企业（提供</w:t>
      </w:r>
      <w:r>
        <w:rPr>
          <w:rFonts w:hint="eastAsia" w:ascii="宋体" w:hAnsi="宋体" w:eastAsia="宋体" w:cs="宋体"/>
          <w:sz w:val="24"/>
          <w:highlight w:val="none"/>
        </w:rPr>
        <w:t>中小企业声明函</w:t>
      </w:r>
      <w:r>
        <w:rPr>
          <w:rFonts w:hint="eastAsia" w:ascii="宋体" w:hAnsi="宋体" w:eastAsia="宋体" w:cs="宋体"/>
          <w:sz w:val="24"/>
          <w:highlight w:val="none"/>
          <w:lang w:val="en-US" w:eastAsia="zh-CN"/>
        </w:rPr>
        <w:t>）</w:t>
      </w:r>
    </w:p>
    <w:p w14:paraId="3897563B">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）有效经年检合格的营业执照；</w:t>
      </w:r>
    </w:p>
    <w:p w14:paraId="79849D6E">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）法人代表或其委托代理人应提供本人身份证，委托代理人还应提供《法人代表授权委托书》；</w:t>
      </w:r>
    </w:p>
    <w:p w14:paraId="036D8AF5">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（4）提供2023年至2025年任意一年的财务审计报告或财务报表（成立不足一年的提供成立至今的财务报表，包含资产负债表、现金流量表、利润表）；</w:t>
      </w:r>
    </w:p>
    <w:p w14:paraId="532396BF">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（5）有依法缴纳税收和社会保障资金的良好纪录，提供2026年内任意一个月完税、缴纳社保证明原件或复印件加盖公章（公司成立不到三个月的从成立之日起）；</w:t>
      </w:r>
    </w:p>
    <w:p w14:paraId="14D640DC">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（6）供应商未被信用中国（www.creditchina.gov.cn）列入失信被执行人、重大税收违法案件当事人名单；未被中国政府采购网（www.ccgp.gov.cn）列入政府采购严重违法失信行为记录名单。</w:t>
      </w:r>
    </w:p>
    <w:p w14:paraId="41289487">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与采购人存在利害关系可能影响采购公正性的单位，不得参加投标。单位负责人为同一人或者存在直接控股、管理关系的不同供应商，不得参加同一合同项下的政府采购活动，否则，相关投标均无效。（可提供承诺函格式自拟）；</w:t>
      </w:r>
    </w:p>
    <w:p w14:paraId="01E7966D">
      <w:pPr>
        <w:spacing w:line="440" w:lineRule="exact"/>
        <w:ind w:firstLine="482" w:firstLineChars="200"/>
        <w:rPr>
          <w:rFonts w:ascii="宋体" w:hAnsi="宋体" w:cs="宋体"/>
          <w:b/>
          <w:sz w:val="24"/>
          <w:highlight w:val="none"/>
        </w:rPr>
      </w:pPr>
      <w:r>
        <w:rPr>
          <w:rFonts w:hint="eastAsia" w:ascii="宋体" w:hAnsi="宋体" w:cs="宋体"/>
          <w:b/>
          <w:sz w:val="24"/>
          <w:highlight w:val="none"/>
        </w:rPr>
        <w:t xml:space="preserve">注: </w:t>
      </w:r>
      <w:r>
        <w:rPr>
          <w:rFonts w:hint="eastAsia" w:ascii="宋体" w:hAnsi="宋体" w:cs="宋体"/>
          <w:b/>
          <w:bCs w:val="0"/>
          <w:sz w:val="24"/>
          <w:highlight w:val="none"/>
        </w:rPr>
        <w:t>以上</w:t>
      </w:r>
      <w:r>
        <w:rPr>
          <w:rFonts w:hint="eastAsia" w:ascii="宋体" w:hAnsi="宋体" w:eastAsia="宋体" w:cs="宋体"/>
          <w:b/>
          <w:bCs w:val="0"/>
          <w:sz w:val="24"/>
          <w:highlight w:val="none"/>
        </w:rPr>
        <w:t>（</w:t>
      </w:r>
      <w:r>
        <w:rPr>
          <w:rFonts w:hint="eastAsia" w:ascii="宋体" w:hAnsi="宋体" w:cs="宋体"/>
          <w:b/>
          <w:bCs w:val="0"/>
          <w:sz w:val="24"/>
          <w:highlight w:val="none"/>
          <w:lang w:val="en-US" w:eastAsia="zh-CN"/>
        </w:rPr>
        <w:t>1</w:t>
      </w:r>
      <w:r>
        <w:rPr>
          <w:rFonts w:hint="eastAsia" w:ascii="宋体" w:hAnsi="宋体" w:eastAsia="宋体" w:cs="宋体"/>
          <w:b/>
          <w:bCs w:val="0"/>
          <w:sz w:val="24"/>
          <w:highlight w:val="none"/>
        </w:rPr>
        <w:t>）</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r>
        <w:rPr>
          <w:rFonts w:hint="eastAsia" w:ascii="宋体" w:hAnsi="宋体" w:cs="宋体"/>
          <w:b/>
          <w:bCs w:val="0"/>
          <w:sz w:val="24"/>
          <w:highlight w:val="none"/>
          <w:lang w:val="en-US" w:eastAsia="zh-CN"/>
        </w:rPr>
        <w:t>2</w:t>
      </w:r>
      <w:r>
        <w:rPr>
          <w:rFonts w:hint="eastAsia" w:ascii="宋体" w:hAnsi="宋体" w:eastAsia="宋体" w:cs="宋体"/>
          <w:b/>
          <w:bCs w:val="0"/>
          <w:sz w:val="24"/>
          <w:highlight w:val="none"/>
        </w:rPr>
        <w:t>）</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r>
        <w:rPr>
          <w:rFonts w:hint="eastAsia" w:ascii="宋体" w:hAnsi="宋体" w:cs="宋体"/>
          <w:b/>
          <w:bCs w:val="0"/>
          <w:sz w:val="24"/>
          <w:highlight w:val="none"/>
          <w:lang w:val="en-US" w:eastAsia="zh-CN"/>
        </w:rPr>
        <w:t>3</w:t>
      </w:r>
      <w:r>
        <w:rPr>
          <w:rFonts w:hint="eastAsia" w:ascii="宋体" w:hAnsi="宋体" w:eastAsia="宋体" w:cs="宋体"/>
          <w:b/>
          <w:bCs w:val="0"/>
          <w:sz w:val="24"/>
          <w:highlight w:val="none"/>
        </w:rPr>
        <w:t>）</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r>
        <w:rPr>
          <w:rFonts w:hint="eastAsia" w:ascii="宋体" w:hAnsi="宋体" w:cs="宋体"/>
          <w:b/>
          <w:bCs w:val="0"/>
          <w:sz w:val="24"/>
          <w:highlight w:val="none"/>
          <w:lang w:val="en-US" w:eastAsia="zh-CN"/>
        </w:rPr>
        <w:t>4</w:t>
      </w:r>
      <w:r>
        <w:rPr>
          <w:rFonts w:hint="eastAsia" w:ascii="宋体" w:hAnsi="宋体" w:eastAsia="宋体" w:cs="宋体"/>
          <w:b/>
          <w:bCs w:val="0"/>
          <w:sz w:val="24"/>
          <w:highlight w:val="none"/>
        </w:rPr>
        <w:t>）</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r>
        <w:rPr>
          <w:rFonts w:hint="eastAsia" w:ascii="宋体" w:hAnsi="宋体" w:cs="宋体"/>
          <w:b/>
          <w:bCs w:val="0"/>
          <w:sz w:val="24"/>
          <w:highlight w:val="none"/>
          <w:lang w:val="en-US" w:eastAsia="zh-CN"/>
        </w:rPr>
        <w:t>5</w:t>
      </w:r>
      <w:r>
        <w:rPr>
          <w:rFonts w:hint="eastAsia" w:ascii="宋体" w:hAnsi="宋体" w:eastAsia="宋体" w:cs="宋体"/>
          <w:b/>
          <w:bCs w:val="0"/>
          <w:sz w:val="24"/>
          <w:highlight w:val="none"/>
        </w:rPr>
        <w:t>）</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r>
        <w:rPr>
          <w:rFonts w:hint="eastAsia" w:ascii="宋体" w:hAnsi="宋体" w:cs="宋体"/>
          <w:b/>
          <w:bCs w:val="0"/>
          <w:sz w:val="24"/>
          <w:highlight w:val="none"/>
          <w:lang w:val="en-US" w:eastAsia="zh-CN"/>
        </w:rPr>
        <w:t>7</w:t>
      </w:r>
      <w:r>
        <w:rPr>
          <w:rFonts w:hint="eastAsia" w:ascii="宋体" w:hAnsi="宋体" w:eastAsia="宋体" w:cs="宋体"/>
          <w:b/>
          <w:bCs w:val="0"/>
          <w:sz w:val="24"/>
          <w:highlight w:val="none"/>
        </w:rPr>
        <w:t>）</w:t>
      </w:r>
      <w:r>
        <w:rPr>
          <w:rFonts w:hint="eastAsia" w:ascii="宋体" w:hAnsi="宋体" w:cs="宋体"/>
          <w:b/>
          <w:bCs w:val="0"/>
          <w:sz w:val="24"/>
          <w:highlight w:val="none"/>
        </w:rPr>
        <w:t>资格</w:t>
      </w:r>
      <w:r>
        <w:rPr>
          <w:rFonts w:hint="eastAsia" w:ascii="宋体" w:hAnsi="宋体" w:cs="宋体"/>
          <w:b/>
          <w:sz w:val="24"/>
          <w:highlight w:val="none"/>
        </w:rPr>
        <w:t>证明文件，在投标文件中须放入加盖公章的</w:t>
      </w:r>
      <w:r>
        <w:rPr>
          <w:rFonts w:hint="eastAsia" w:ascii="宋体" w:hAnsi="宋体" w:cs="宋体"/>
          <w:b/>
          <w:sz w:val="24"/>
          <w:highlight w:val="none"/>
          <w:lang w:eastAsia="zh-CN"/>
        </w:rPr>
        <w:t>清晰</w:t>
      </w:r>
      <w:r>
        <w:rPr>
          <w:rFonts w:hint="eastAsia" w:ascii="宋体" w:hAnsi="宋体" w:cs="宋体"/>
          <w:b/>
          <w:sz w:val="24"/>
          <w:highlight w:val="none"/>
        </w:rPr>
        <w:t>复印件</w:t>
      </w:r>
      <w:r>
        <w:rPr>
          <w:rFonts w:hint="eastAsia" w:ascii="宋体" w:hAnsi="宋体" w:cs="宋体"/>
          <w:b/>
          <w:sz w:val="24"/>
          <w:highlight w:val="none"/>
          <w:lang w:eastAsia="zh-CN"/>
        </w:rPr>
        <w:t>或扫描件</w:t>
      </w:r>
      <w:r>
        <w:rPr>
          <w:rFonts w:hint="eastAsia" w:ascii="宋体" w:hAnsi="宋体" w:cs="宋体"/>
          <w:b/>
          <w:sz w:val="24"/>
          <w:highlight w:val="none"/>
        </w:rPr>
        <w:t>，不提供或未能提供的视为对</w:t>
      </w:r>
      <w:r>
        <w:rPr>
          <w:rFonts w:hint="eastAsia" w:ascii="宋体" w:hAnsi="宋体" w:cs="宋体"/>
          <w:b/>
          <w:bCs/>
          <w:sz w:val="24"/>
          <w:highlight w:val="none"/>
          <w:lang w:bidi="zh-CN"/>
        </w:rPr>
        <w:t>招标</w:t>
      </w:r>
      <w:r>
        <w:rPr>
          <w:rFonts w:hint="eastAsia" w:ascii="宋体" w:hAnsi="宋体" w:cs="宋体"/>
          <w:b/>
          <w:sz w:val="24"/>
          <w:highlight w:val="none"/>
        </w:rPr>
        <w:t>文件资格审查内容的不响应，投标无效，文件将被拒绝。</w:t>
      </w:r>
    </w:p>
    <w:p w14:paraId="55172B31">
      <w:pPr>
        <w:pStyle w:val="5"/>
        <w:adjustRightInd w:val="0"/>
        <w:snapToGrid w:val="0"/>
        <w:spacing w:before="0" w:after="0" w:line="440" w:lineRule="exact"/>
        <w:jc w:val="center"/>
        <w:rPr>
          <w:rFonts w:ascii="宋体" w:hAnsi="宋体" w:cs="宋体"/>
          <w:sz w:val="28"/>
          <w:szCs w:val="28"/>
          <w:highlight w:val="none"/>
        </w:rPr>
      </w:pPr>
      <w:bookmarkStart w:id="4" w:name="_Toc28206"/>
      <w:r>
        <w:rPr>
          <w:rFonts w:hint="eastAsia" w:ascii="宋体" w:hAnsi="宋体" w:cs="宋体"/>
          <w:sz w:val="28"/>
          <w:szCs w:val="28"/>
          <w:highlight w:val="none"/>
        </w:rPr>
        <w:t>第二章  投标文件的编写及编制顺序</w:t>
      </w:r>
      <w:bookmarkEnd w:id="4"/>
    </w:p>
    <w:p w14:paraId="4E4A10B2">
      <w:pPr>
        <w:spacing w:line="440" w:lineRule="exact"/>
        <w:ind w:firstLine="482" w:firstLineChars="200"/>
        <w:rPr>
          <w:rFonts w:ascii="宋体" w:hAnsi="宋体" w:cs="宋体"/>
          <w:b/>
          <w:sz w:val="24"/>
          <w:highlight w:val="none"/>
        </w:rPr>
      </w:pPr>
      <w:r>
        <w:rPr>
          <w:rFonts w:hint="eastAsia" w:ascii="宋体" w:hAnsi="宋体" w:cs="宋体"/>
          <w:b/>
          <w:sz w:val="24"/>
          <w:highlight w:val="none"/>
        </w:rPr>
        <w:t>2、要求</w:t>
      </w:r>
    </w:p>
    <w:p w14:paraId="147964AA">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2.1  投标人应详细阅读招标文件中的条款、规范、表示、条件和格式等所有内容，按招标文件的要求份数提供投标文件，并保证所提供全部材料的真实性，以使其投标对招标文件做出实质性响应。否则，其投标会被拒绝。</w:t>
      </w:r>
    </w:p>
    <w:p w14:paraId="2390D45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2.2  开标、评标、授标均以项目为单位，投标人根据公司的自身实力进行投标，并在所投项目密封袋上清楚标明所投项目的名称。</w:t>
      </w:r>
    </w:p>
    <w:p w14:paraId="31DC9C37">
      <w:pPr>
        <w:spacing w:line="440" w:lineRule="exact"/>
        <w:ind w:firstLine="482" w:firstLineChars="200"/>
        <w:rPr>
          <w:rFonts w:ascii="宋体" w:hAnsi="宋体" w:cs="宋体"/>
          <w:b/>
          <w:sz w:val="24"/>
          <w:highlight w:val="none"/>
        </w:rPr>
      </w:pPr>
      <w:r>
        <w:rPr>
          <w:rFonts w:hint="eastAsia" w:ascii="宋体" w:hAnsi="宋体" w:cs="宋体"/>
          <w:b/>
          <w:sz w:val="24"/>
          <w:highlight w:val="none"/>
        </w:rPr>
        <w:t>3、投标文件语言和度量单位</w:t>
      </w:r>
    </w:p>
    <w:p w14:paraId="27A5236A">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3.1 招标文件及投标人和采购方就本次采购交换的文件和往来信件，须以中文书写。</w:t>
      </w:r>
    </w:p>
    <w:p w14:paraId="342E210D">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3.2 除在招标文件的技术规格中另有规定外，计量单位应使用中华人民共和国法定计量单位。</w:t>
      </w:r>
    </w:p>
    <w:p w14:paraId="5F075343">
      <w:pPr>
        <w:spacing w:line="440" w:lineRule="exact"/>
        <w:ind w:firstLine="482" w:firstLineChars="200"/>
        <w:rPr>
          <w:rFonts w:ascii="宋体" w:hAnsi="宋体" w:cs="宋体"/>
          <w:b/>
          <w:sz w:val="24"/>
          <w:highlight w:val="none"/>
        </w:rPr>
      </w:pPr>
      <w:bookmarkStart w:id="5" w:name="_Toc47418715"/>
      <w:bookmarkStart w:id="6" w:name="_Toc205342862"/>
      <w:bookmarkStart w:id="7" w:name="_Toc47261054"/>
      <w:bookmarkStart w:id="8" w:name="_Toc49019220"/>
      <w:bookmarkStart w:id="9" w:name="_Toc47261674"/>
      <w:bookmarkStart w:id="10" w:name="_Toc47261869"/>
      <w:bookmarkStart w:id="11" w:name="_Toc48791219"/>
      <w:bookmarkStart w:id="12" w:name="_Toc47418239"/>
      <w:bookmarkStart w:id="13" w:name="_Toc48995835"/>
      <w:bookmarkStart w:id="14" w:name="_Toc47262053"/>
      <w:bookmarkStart w:id="15" w:name="_Toc47418922"/>
      <w:r>
        <w:rPr>
          <w:rFonts w:hint="eastAsia" w:ascii="宋体" w:hAnsi="宋体" w:cs="宋体"/>
          <w:b/>
          <w:sz w:val="24"/>
          <w:highlight w:val="none"/>
        </w:rPr>
        <w:t>4、投标文件的编制</w:t>
      </w:r>
      <w:bookmarkEnd w:id="5"/>
      <w:bookmarkEnd w:id="6"/>
      <w:bookmarkEnd w:id="7"/>
      <w:bookmarkEnd w:id="8"/>
      <w:bookmarkEnd w:id="9"/>
      <w:bookmarkEnd w:id="10"/>
      <w:bookmarkEnd w:id="11"/>
      <w:bookmarkEnd w:id="12"/>
      <w:bookmarkEnd w:id="13"/>
      <w:bookmarkEnd w:id="14"/>
      <w:bookmarkEnd w:id="15"/>
    </w:p>
    <w:p w14:paraId="293DA9A7">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4.1 投标文件的构成</w:t>
      </w:r>
    </w:p>
    <w:p w14:paraId="548D10CA">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4.1.1投标人应认真阅读招标文件的所有内容，按招标文件的要求提供投标文件，并保证提供的全部资料的真实性，以使其投标对招标文件作出实质性响应，否则，其投标将被拒绝。</w:t>
      </w:r>
    </w:p>
    <w:p w14:paraId="6C0E663E">
      <w:pPr>
        <w:overflowPunct w:val="0"/>
        <w:spacing w:line="440" w:lineRule="exact"/>
        <w:ind w:firstLine="480" w:firstLineChars="200"/>
        <w:rPr>
          <w:rFonts w:ascii="宋体" w:hAnsi="宋体" w:cs="宋体"/>
          <w:b/>
          <w:bCs/>
          <w:sz w:val="24"/>
          <w:highlight w:val="none"/>
        </w:rPr>
      </w:pPr>
      <w:r>
        <w:rPr>
          <w:rFonts w:hint="eastAsia" w:ascii="宋体" w:hAnsi="宋体" w:eastAsia="宋体" w:cs="宋体"/>
          <w:color w:val="000000" w:themeColor="text1"/>
          <w:sz w:val="24"/>
          <w:highlight w:val="none"/>
          <w:lang w:val="en-US" w:eastAsia="en-US"/>
          <w14:textFill>
            <w14:solidFill>
              <w14:schemeClr w14:val="tx1"/>
            </w14:solidFill>
          </w14:textFill>
        </w:rPr>
        <w:t>★</w:t>
      </w:r>
      <w:r>
        <w:rPr>
          <w:rFonts w:hint="eastAsia" w:ascii="宋体" w:hAnsi="宋体" w:cs="宋体"/>
          <w:b/>
          <w:bCs/>
          <w:sz w:val="24"/>
          <w:highlight w:val="none"/>
        </w:rPr>
        <w:t>4.2 投标文件以不可拆解的方式装订文件，按照以下三部分内容编制投标文件：</w:t>
      </w:r>
    </w:p>
    <w:p w14:paraId="1DC847F4">
      <w:pPr>
        <w:spacing w:line="440" w:lineRule="exact"/>
        <w:ind w:firstLine="482" w:firstLineChars="200"/>
        <w:rPr>
          <w:rFonts w:hint="eastAsia"/>
          <w:highlight w:val="none"/>
          <w:lang w:eastAsia="zh-CN"/>
        </w:rPr>
      </w:pPr>
      <w:r>
        <w:rPr>
          <w:rFonts w:hint="eastAsia" w:ascii="宋体" w:hAnsi="宋体" w:cs="宋体"/>
          <w:b/>
          <w:sz w:val="24"/>
          <w:highlight w:val="none"/>
        </w:rPr>
        <w:t xml:space="preserve">4.2.1 </w:t>
      </w:r>
      <w:r>
        <w:rPr>
          <w:rFonts w:hint="eastAsia" w:ascii="宋体" w:hAnsi="宋体" w:cs="宋体"/>
          <w:b/>
          <w:sz w:val="24"/>
          <w:highlight w:val="none"/>
          <w:lang w:eastAsia="zh-CN"/>
        </w:rPr>
        <w:t>资格文件</w:t>
      </w:r>
    </w:p>
    <w:p w14:paraId="33297E8C">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投标人必须按要求如实、</w:t>
      </w:r>
      <w:r>
        <w:rPr>
          <w:rFonts w:hint="eastAsia" w:ascii="宋体" w:hAnsi="宋体" w:cs="宋体"/>
          <w:sz w:val="24"/>
          <w:highlight w:val="none"/>
          <w:u w:val="none"/>
        </w:rPr>
        <w:t>准确</w:t>
      </w:r>
      <w:r>
        <w:rPr>
          <w:rFonts w:hint="eastAsia" w:ascii="宋体" w:hAnsi="宋体" w:cs="宋体"/>
          <w:sz w:val="24"/>
          <w:highlight w:val="none"/>
        </w:rPr>
        <w:t>、完整的提供评估因素要求的各类文件资料。否则投标将不被接受。投标文件包括以下部分（但不局限于以下部分）：</w:t>
      </w:r>
    </w:p>
    <w:p w14:paraId="4B4737F3">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（1）本项目专门面向中小企业（提供中小企业声明函）</w:t>
      </w:r>
    </w:p>
    <w:p w14:paraId="6D1C1AEA">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（2）有效经年检合格的营业执照；</w:t>
      </w:r>
    </w:p>
    <w:p w14:paraId="324EE58F">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（3）法人代表或其委托代理人应提供本人身份证，委托代理人还应提供《法人代表授权委托书》；</w:t>
      </w:r>
    </w:p>
    <w:p w14:paraId="39741FF7">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（4）提供2023年至2025年任意一年的财务审计报告或财务报表（成立不足一年的提供成立至今的财务报表，包含资产负债表、现金流量表、利润表）；</w:t>
      </w:r>
    </w:p>
    <w:p w14:paraId="15F336CB">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（5）有依法缴纳税收和社会保障资金的良好纪录，提供2026年内任意一个月完税、缴纳社保证明原件或复印件加盖公章（公司成立不到三个月的从成立之日起）；</w:t>
      </w:r>
    </w:p>
    <w:p w14:paraId="2444BCE8">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（6）供应商未被信用中国（www.creditchina.gov.cn）列入失信被执行人、重大税收违法案件当事人名单；未被中国政府采购网（www.ccgp.gov.cn）列入政府采购严重违法失信行为记录名单。</w:t>
      </w:r>
    </w:p>
    <w:p w14:paraId="108BB450">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与采购人存在利害关系可能影响采购公正性的单位，不得参加投标。单位负责人为同一人或者存在直接控股、管理关系的不同供应商，不得参加同一合同项下的政府采购活动，否则，相关投标均无效。（可提供承诺函格式自拟）；</w:t>
      </w:r>
    </w:p>
    <w:p w14:paraId="24F0BC0A">
      <w:pPr>
        <w:spacing w:line="440" w:lineRule="exact"/>
        <w:ind w:firstLine="482" w:firstLineChars="200"/>
        <w:rPr>
          <w:rFonts w:ascii="宋体" w:hAnsi="宋体" w:cs="宋体"/>
          <w:b/>
          <w:sz w:val="24"/>
          <w:highlight w:val="none"/>
        </w:rPr>
      </w:pPr>
      <w:r>
        <w:rPr>
          <w:rFonts w:hint="eastAsia" w:ascii="宋体" w:hAnsi="宋体" w:cs="宋体"/>
          <w:b/>
          <w:sz w:val="24"/>
          <w:highlight w:val="none"/>
        </w:rPr>
        <w:t>4.2.</w:t>
      </w:r>
      <w:r>
        <w:rPr>
          <w:rFonts w:hint="eastAsia" w:ascii="宋体" w:hAnsi="宋体" w:cs="宋体"/>
          <w:b/>
          <w:sz w:val="24"/>
          <w:highlight w:val="none"/>
          <w:lang w:val="en-US" w:eastAsia="zh-CN"/>
        </w:rPr>
        <w:t>2</w:t>
      </w:r>
      <w:r>
        <w:rPr>
          <w:rFonts w:hint="eastAsia" w:ascii="宋体" w:hAnsi="宋体" w:cs="宋体"/>
          <w:b/>
          <w:sz w:val="24"/>
          <w:highlight w:val="none"/>
        </w:rPr>
        <w:t xml:space="preserve"> 投标报价书</w:t>
      </w:r>
    </w:p>
    <w:p w14:paraId="16F4C084">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4.2.</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 xml:space="preserve"> 报价一览表（按附件的格式提供）。</w:t>
      </w:r>
    </w:p>
    <w:p w14:paraId="1FCB3462">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4.2.</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 xml:space="preserve"> </w:t>
      </w:r>
      <w:r>
        <w:rPr>
          <w:rFonts w:hint="eastAsia" w:ascii="宋体" w:hAnsi="宋体" w:cs="宋体"/>
          <w:sz w:val="24"/>
          <w:highlight w:val="none"/>
          <w:lang w:eastAsia="zh-CN"/>
        </w:rPr>
        <w:t>分项报价明细</w:t>
      </w:r>
      <w:r>
        <w:rPr>
          <w:rFonts w:hint="eastAsia" w:ascii="宋体" w:hAnsi="宋体" w:cs="宋体"/>
          <w:sz w:val="24"/>
          <w:highlight w:val="none"/>
        </w:rPr>
        <w:t>表</w:t>
      </w:r>
    </w:p>
    <w:p w14:paraId="703436C5">
      <w:pPr>
        <w:spacing w:line="440" w:lineRule="exact"/>
        <w:ind w:firstLine="482" w:firstLineChars="200"/>
        <w:rPr>
          <w:rFonts w:ascii="宋体" w:hAnsi="宋体" w:cs="宋体"/>
          <w:b/>
          <w:sz w:val="24"/>
          <w:highlight w:val="none"/>
        </w:rPr>
      </w:pPr>
      <w:r>
        <w:rPr>
          <w:rFonts w:hint="eastAsia" w:ascii="宋体" w:hAnsi="宋体" w:cs="宋体"/>
          <w:b/>
          <w:sz w:val="24"/>
          <w:highlight w:val="none"/>
        </w:rPr>
        <w:t>4.2.</w:t>
      </w:r>
      <w:r>
        <w:rPr>
          <w:rFonts w:hint="eastAsia" w:ascii="宋体" w:hAnsi="宋体" w:cs="宋体"/>
          <w:b/>
          <w:sz w:val="24"/>
          <w:highlight w:val="none"/>
          <w:lang w:val="en-US" w:eastAsia="zh-CN"/>
        </w:rPr>
        <w:t>3</w:t>
      </w:r>
      <w:r>
        <w:rPr>
          <w:rFonts w:hint="eastAsia" w:ascii="宋体" w:hAnsi="宋体" w:cs="宋体"/>
          <w:b/>
          <w:sz w:val="24"/>
          <w:highlight w:val="none"/>
        </w:rPr>
        <w:t xml:space="preserve">  商务技术投标文件</w:t>
      </w:r>
    </w:p>
    <w:p w14:paraId="0771EC6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投标人必须按要求如实、</w:t>
      </w:r>
      <w:r>
        <w:rPr>
          <w:rFonts w:hint="eastAsia" w:ascii="宋体" w:hAnsi="宋体" w:cs="宋体"/>
          <w:sz w:val="24"/>
          <w:highlight w:val="none"/>
          <w:u w:val="single"/>
        </w:rPr>
        <w:t>准确</w:t>
      </w:r>
      <w:r>
        <w:rPr>
          <w:rFonts w:hint="eastAsia" w:ascii="宋体" w:hAnsi="宋体" w:cs="宋体"/>
          <w:sz w:val="24"/>
          <w:highlight w:val="none"/>
        </w:rPr>
        <w:t>、完整的提供评估因素要求的各类文件资料。否则投标将不被接受。投标文件包括以下部分（但不局限于以下部分）：</w:t>
      </w:r>
    </w:p>
    <w:p w14:paraId="20DBDD40">
      <w:pPr>
        <w:overflowPunct w:val="0"/>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.1</w:t>
      </w:r>
      <w:r>
        <w:rPr>
          <w:rFonts w:hint="eastAsia" w:ascii="宋体" w:hAnsi="宋体" w:cs="宋体"/>
          <w:sz w:val="24"/>
          <w:highlight w:val="none"/>
          <w:lang w:val="en-US" w:eastAsia="zh-CN"/>
        </w:rPr>
        <w:t>投标函</w:t>
      </w:r>
    </w:p>
    <w:p w14:paraId="0A9063A3">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关于资格的声明函</w:t>
      </w:r>
    </w:p>
    <w:p w14:paraId="5CD3494F">
      <w:pPr>
        <w:overflowPunct w:val="0"/>
        <w:spacing w:line="440" w:lineRule="exact"/>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3投标人基本情况表</w:t>
      </w:r>
    </w:p>
    <w:p w14:paraId="2FEE9540">
      <w:pPr>
        <w:overflowPunct w:val="0"/>
        <w:spacing w:line="440" w:lineRule="exact"/>
        <w:ind w:firstLine="480" w:firstLineChars="200"/>
        <w:rPr>
          <w:highlight w:val="none"/>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《反商业贿赂承诺书》</w:t>
      </w:r>
    </w:p>
    <w:p w14:paraId="068BDF8E">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4.2.3.5</w:t>
      </w:r>
      <w:r>
        <w:rPr>
          <w:rFonts w:hint="eastAsia" w:ascii="宋体" w:hAnsi="宋体" w:cs="宋体"/>
          <w:sz w:val="24"/>
          <w:highlight w:val="none"/>
        </w:rPr>
        <w:t>近三年具有类似业绩资料复印件（以</w:t>
      </w:r>
      <w:r>
        <w:rPr>
          <w:rFonts w:hint="eastAsia" w:ascii="宋体" w:hAnsi="宋体" w:eastAsia="宋体" w:cs="宋体"/>
          <w:i w:val="0"/>
          <w:iCs w:val="0"/>
          <w:color w:val="000000"/>
          <w:kern w:val="0"/>
          <w:sz w:val="24"/>
          <w:szCs w:val="24"/>
          <w:u w:val="none"/>
          <w:lang w:val="en-US" w:eastAsia="zh-CN" w:bidi="ar"/>
        </w:rPr>
        <w:t>中标（成交）通知书</w:t>
      </w:r>
      <w:r>
        <w:rPr>
          <w:rFonts w:hint="eastAsia" w:ascii="宋体" w:hAnsi="宋体" w:cs="宋体"/>
          <w:i w:val="0"/>
          <w:iCs w:val="0"/>
          <w:color w:val="000000"/>
          <w:kern w:val="0"/>
          <w:sz w:val="24"/>
          <w:szCs w:val="24"/>
          <w:u w:val="none"/>
          <w:lang w:val="en-US" w:eastAsia="zh-CN" w:bidi="ar"/>
        </w:rPr>
        <w:t>或</w:t>
      </w:r>
      <w:r>
        <w:rPr>
          <w:rFonts w:hint="eastAsia" w:ascii="宋体" w:hAnsi="宋体" w:cs="宋体"/>
          <w:sz w:val="24"/>
          <w:highlight w:val="none"/>
        </w:rPr>
        <w:t>合同为准）；</w:t>
      </w:r>
    </w:p>
    <w:p w14:paraId="1201C2A8">
      <w:pPr>
        <w:overflowPunct w:val="0"/>
        <w:spacing w:line="440" w:lineRule="exact"/>
        <w:ind w:firstLine="480" w:firstLineChars="200"/>
        <w:rPr>
          <w:rFonts w:hint="default" w:eastAsia="宋体"/>
          <w:highlight w:val="none"/>
          <w:lang w:val="en-US"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6投标保证金</w:t>
      </w:r>
    </w:p>
    <w:p w14:paraId="18D2916F">
      <w:pPr>
        <w:overflowPunct w:val="0"/>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项目负责人简历表</w:t>
      </w:r>
      <w:r>
        <w:rPr>
          <w:rFonts w:hint="eastAsia" w:ascii="宋体" w:hAnsi="宋体" w:cs="宋体"/>
          <w:sz w:val="24"/>
          <w:highlight w:val="none"/>
          <w:lang w:eastAsia="zh-CN"/>
        </w:rPr>
        <w:t>、投入本项目服务人员表</w:t>
      </w:r>
    </w:p>
    <w:p w14:paraId="2AECCB78">
      <w:pPr>
        <w:overflowPunct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8技术标（项目</w:t>
      </w:r>
      <w:r>
        <w:rPr>
          <w:rFonts w:hint="eastAsia" w:ascii="宋体" w:hAnsi="宋体" w:cs="宋体"/>
          <w:sz w:val="24"/>
          <w:highlight w:val="none"/>
          <w:lang w:eastAsia="zh-CN"/>
        </w:rPr>
        <w:t>方案</w:t>
      </w:r>
      <w:r>
        <w:rPr>
          <w:rFonts w:hint="eastAsia" w:ascii="宋体" w:hAnsi="宋体" w:cs="宋体"/>
          <w:sz w:val="24"/>
          <w:highlight w:val="none"/>
          <w:lang w:val="en-US" w:eastAsia="zh-CN"/>
        </w:rPr>
        <w:t>等）</w:t>
      </w:r>
    </w:p>
    <w:p w14:paraId="1A31BFAC">
      <w:pPr>
        <w:overflowPunct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9商务、技术条款偏差表</w:t>
      </w:r>
    </w:p>
    <w:p w14:paraId="4CBAEF0E">
      <w:pPr>
        <w:overflowPunct w:val="0"/>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4.2.</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中小企业声明函</w:t>
      </w:r>
    </w:p>
    <w:p w14:paraId="48DCE722">
      <w:pPr>
        <w:overflowPunct w:val="0"/>
        <w:spacing w:line="440" w:lineRule="exact"/>
        <w:ind w:firstLine="480" w:firstLineChars="200"/>
        <w:rPr>
          <w:rFonts w:hint="eastAsia"/>
          <w:highlight w:val="none"/>
        </w:rPr>
      </w:pPr>
      <w:r>
        <w:rPr>
          <w:rFonts w:hint="eastAsia" w:ascii="宋体" w:hAnsi="宋体" w:cs="宋体"/>
          <w:sz w:val="24"/>
          <w:highlight w:val="none"/>
          <w:lang w:val="en-US" w:eastAsia="zh-CN"/>
        </w:rPr>
        <w:t>4.2.3.11</w:t>
      </w:r>
      <w:r>
        <w:rPr>
          <w:rFonts w:hint="eastAsia" w:ascii="宋体" w:hAnsi="宋体" w:cs="宋体"/>
          <w:sz w:val="24"/>
          <w:highlight w:val="none"/>
        </w:rPr>
        <w:t>残疾人福利性单位声明函</w:t>
      </w:r>
      <w:r>
        <w:rPr>
          <w:rFonts w:hint="eastAsia" w:ascii="宋体" w:hAnsi="宋体" w:cs="宋体"/>
          <w:sz w:val="24"/>
          <w:highlight w:val="none"/>
          <w:lang w:eastAsia="zh-CN"/>
        </w:rPr>
        <w:t>（如有）</w:t>
      </w:r>
    </w:p>
    <w:p w14:paraId="797843DF">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4.2.</w:t>
      </w:r>
      <w:r>
        <w:rPr>
          <w:rFonts w:hint="eastAsia" w:ascii="宋体" w:hAnsi="宋体" w:cs="宋体"/>
          <w:sz w:val="24"/>
          <w:highlight w:val="none"/>
          <w:lang w:val="en-US" w:eastAsia="zh-CN"/>
        </w:rPr>
        <w:t>3.12</w:t>
      </w:r>
      <w:r>
        <w:rPr>
          <w:rFonts w:hint="eastAsia" w:ascii="宋体" w:hAnsi="宋体" w:cs="宋体"/>
          <w:sz w:val="24"/>
          <w:highlight w:val="none"/>
        </w:rPr>
        <w:t>其他证明材料</w:t>
      </w:r>
    </w:p>
    <w:p w14:paraId="74146981">
      <w:pPr>
        <w:spacing w:line="440" w:lineRule="exact"/>
        <w:ind w:firstLine="482" w:firstLineChars="200"/>
        <w:rPr>
          <w:rFonts w:ascii="宋体" w:hAnsi="宋体" w:cs="宋体"/>
          <w:b/>
          <w:sz w:val="24"/>
          <w:highlight w:val="none"/>
        </w:rPr>
      </w:pPr>
      <w:r>
        <w:rPr>
          <w:rFonts w:hint="eastAsia" w:ascii="宋体" w:hAnsi="宋体" w:cs="宋体"/>
          <w:b/>
          <w:sz w:val="24"/>
          <w:highlight w:val="none"/>
        </w:rPr>
        <w:t>4.3  投标文件格式</w:t>
      </w:r>
    </w:p>
    <w:p w14:paraId="21D988E1">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4.3.1 本项目要求按照上述内容编制标书，并按照标书中所附的投标文件规格编写，并要求打印装订成册。</w:t>
      </w:r>
    </w:p>
    <w:p w14:paraId="146295F4">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4.3.2 投标人应按招标文件的内容与要求和提供的格式编写其投标文件，投标人不得缺少或留空任何招标文件要求填写的表格或提交的资料。</w:t>
      </w:r>
      <w:r>
        <w:rPr>
          <w:rFonts w:hint="eastAsia" w:ascii="宋体" w:hAnsi="宋体" w:cs="宋体"/>
          <w:kern w:val="0"/>
          <w:sz w:val="24"/>
          <w:highlight w:val="none"/>
        </w:rPr>
        <w:t>如招标文件没有提供格式的，投标人可自行设置。</w:t>
      </w:r>
    </w:p>
    <w:p w14:paraId="23AC2C41">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4.3.3投标人应将投标文件按规定的顺序编排、并应编制目录、逐页标注连续页码，并装订成册</w:t>
      </w:r>
      <w:r>
        <w:rPr>
          <w:rFonts w:hint="eastAsia" w:ascii="宋体" w:hAnsi="宋体" w:cs="宋体"/>
          <w:b/>
          <w:sz w:val="24"/>
          <w:highlight w:val="none"/>
        </w:rPr>
        <w:t>。不得采用活页装订。</w:t>
      </w:r>
    </w:p>
    <w:p w14:paraId="667F5966">
      <w:pPr>
        <w:spacing w:line="440" w:lineRule="exact"/>
        <w:ind w:firstLine="482" w:firstLineChars="200"/>
        <w:rPr>
          <w:rFonts w:ascii="宋体" w:hAnsi="宋体" w:cs="宋体"/>
          <w:b/>
          <w:sz w:val="24"/>
          <w:highlight w:val="none"/>
        </w:rPr>
      </w:pPr>
      <w:r>
        <w:rPr>
          <w:rFonts w:hint="eastAsia" w:ascii="宋体" w:hAnsi="宋体" w:cs="宋体"/>
          <w:b/>
          <w:sz w:val="24"/>
          <w:highlight w:val="none"/>
        </w:rPr>
        <w:t>5、投标报价</w:t>
      </w:r>
    </w:p>
    <w:p w14:paraId="2866947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5.1 投标人应在投标报价</w:t>
      </w:r>
      <w:r>
        <w:rPr>
          <w:rFonts w:hint="eastAsia" w:ascii="宋体" w:hAnsi="宋体" w:cs="宋体"/>
          <w:sz w:val="24"/>
          <w:highlight w:val="none"/>
          <w:lang w:val="en-US" w:eastAsia="zh-CN"/>
        </w:rPr>
        <w:t>一览</w:t>
      </w:r>
      <w:r>
        <w:rPr>
          <w:rFonts w:hint="eastAsia" w:ascii="宋体" w:hAnsi="宋体" w:cs="宋体"/>
          <w:sz w:val="24"/>
          <w:highlight w:val="none"/>
        </w:rPr>
        <w:t>表上标明本次采购拟提供</w:t>
      </w:r>
      <w:r>
        <w:rPr>
          <w:rFonts w:hint="eastAsia" w:ascii="宋体" w:hAnsi="宋体" w:cs="宋体"/>
          <w:sz w:val="24"/>
          <w:highlight w:val="none"/>
          <w:lang w:val="en-US" w:eastAsia="zh-CN"/>
        </w:rPr>
        <w:t>服务/货物</w:t>
      </w:r>
      <w:r>
        <w:rPr>
          <w:rFonts w:hint="eastAsia" w:ascii="宋体" w:hAnsi="宋体" w:cs="宋体"/>
          <w:sz w:val="24"/>
          <w:highlight w:val="none"/>
        </w:rPr>
        <w:t>的单价和总价。如单价和总价不符，以单价累计为准。小写和大写不符，以大写为准。投标人如果不同意上述修改原则，其投标将被拒绝。</w:t>
      </w:r>
    </w:p>
    <w:p w14:paraId="665C67F6">
      <w:pPr>
        <w:spacing w:line="440" w:lineRule="exact"/>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2</w:t>
      </w:r>
      <w:r>
        <w:rPr>
          <w:rFonts w:hint="eastAsia" w:ascii="宋体" w:hAnsi="宋体" w:cs="宋体"/>
          <w:sz w:val="24"/>
          <w:highlight w:val="none"/>
        </w:rPr>
        <w:t xml:space="preserve"> 投标报价时应注意下列几点：</w:t>
      </w:r>
    </w:p>
    <w:p w14:paraId="3D3BC02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（1）本项目如非因重大需求变化导致成本增加，不得追加费用，投标人应该考虑但没有考虑到的任何费用将由投标人自行承担。</w:t>
      </w:r>
    </w:p>
    <w:p w14:paraId="2647AC0E">
      <w:pPr>
        <w:overflowPunct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（2）招标文件中特别要求的其它附带服务的全部费用；</w:t>
      </w:r>
    </w:p>
    <w:p w14:paraId="11B05A8D">
      <w:pPr>
        <w:overflowPunct w:val="0"/>
        <w:spacing w:line="44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报价具体详见报价一览表</w:t>
      </w:r>
    </w:p>
    <w:p w14:paraId="77D6A9C5">
      <w:pPr>
        <w:overflowPunct w:val="0"/>
        <w:spacing w:line="440" w:lineRule="exact"/>
        <w:ind w:firstLine="480" w:firstLineChars="200"/>
        <w:rPr>
          <w:rFonts w:ascii="宋体" w:hAnsi="宋体" w:cs="宋体"/>
          <w:b/>
          <w:sz w:val="24"/>
          <w:highlight w:val="none"/>
          <w:u w:val="single"/>
        </w:rPr>
      </w:pPr>
      <w:r>
        <w:rPr>
          <w:rFonts w:hint="eastAsia" w:ascii="宋体" w:hAnsi="宋体" w:cs="宋体"/>
          <w:sz w:val="24"/>
          <w:highlight w:val="none"/>
        </w:rPr>
        <w:t>5.</w:t>
      </w:r>
      <w:r>
        <w:rPr>
          <w:rFonts w:hint="eastAsia" w:ascii="宋体" w:hAnsi="宋体" w:cs="宋体"/>
          <w:sz w:val="24"/>
          <w:highlight w:val="none"/>
          <w:lang w:val="en-US" w:eastAsia="zh-CN"/>
        </w:rPr>
        <w:t>3</w:t>
      </w:r>
      <w:r>
        <w:rPr>
          <w:rFonts w:hint="eastAsia" w:ascii="宋体" w:hAnsi="宋体" w:cs="宋体"/>
          <w:sz w:val="24"/>
          <w:highlight w:val="none"/>
        </w:rPr>
        <w:t xml:space="preserve"> 投标人应对投标</w:t>
      </w:r>
      <w:r>
        <w:rPr>
          <w:rFonts w:hint="eastAsia" w:ascii="宋体" w:hAnsi="宋体" w:cs="宋体"/>
          <w:sz w:val="24"/>
          <w:highlight w:val="none"/>
          <w:lang w:val="en-US" w:eastAsia="zh-CN"/>
        </w:rPr>
        <w:t>服务</w:t>
      </w:r>
      <w:r>
        <w:rPr>
          <w:rFonts w:hint="eastAsia" w:ascii="宋体" w:hAnsi="宋体" w:cs="宋体"/>
          <w:sz w:val="24"/>
          <w:highlight w:val="none"/>
        </w:rPr>
        <w:t>提供完整的详细的书面说明。</w:t>
      </w:r>
    </w:p>
    <w:p w14:paraId="367FD1FC">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4</w:t>
      </w:r>
      <w:r>
        <w:rPr>
          <w:rFonts w:hint="eastAsia" w:ascii="宋体" w:hAnsi="宋体" w:cs="宋体"/>
          <w:sz w:val="24"/>
          <w:highlight w:val="none"/>
        </w:rPr>
        <w:t xml:space="preserve"> 报价超过最高限价的，该报价为无效报价，不进入商务评比。</w:t>
      </w:r>
    </w:p>
    <w:p w14:paraId="490973A7">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5</w:t>
      </w:r>
      <w:r>
        <w:rPr>
          <w:rFonts w:hint="eastAsia" w:ascii="宋体" w:hAnsi="宋体" w:cs="宋体"/>
          <w:sz w:val="24"/>
          <w:highlight w:val="none"/>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视为无效标处理。</w:t>
      </w:r>
    </w:p>
    <w:p w14:paraId="16B4965B">
      <w:pPr>
        <w:spacing w:line="440" w:lineRule="exact"/>
        <w:ind w:firstLine="482" w:firstLineChars="200"/>
        <w:rPr>
          <w:rFonts w:ascii="宋体" w:hAnsi="宋体" w:cs="宋体"/>
          <w:b/>
          <w:sz w:val="24"/>
          <w:highlight w:val="none"/>
        </w:rPr>
      </w:pPr>
      <w:r>
        <w:rPr>
          <w:rFonts w:hint="eastAsia" w:ascii="宋体" w:hAnsi="宋体" w:cs="宋体"/>
          <w:b/>
          <w:sz w:val="24"/>
          <w:highlight w:val="none"/>
        </w:rPr>
        <w:t>6、招标文件规定的技术文件</w:t>
      </w:r>
    </w:p>
    <w:p w14:paraId="64250E73">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6.1 投标人须提交证明拟供</w:t>
      </w:r>
      <w:r>
        <w:rPr>
          <w:rFonts w:hint="eastAsia" w:ascii="宋体" w:hAnsi="宋体" w:cs="宋体"/>
          <w:sz w:val="24"/>
          <w:highlight w:val="none"/>
          <w:lang w:val="en-US" w:eastAsia="zh-CN"/>
        </w:rPr>
        <w:t>服务/货物</w:t>
      </w:r>
      <w:r>
        <w:rPr>
          <w:rFonts w:hint="eastAsia" w:ascii="宋体" w:hAnsi="宋体" w:cs="宋体"/>
          <w:sz w:val="24"/>
          <w:highlight w:val="none"/>
        </w:rPr>
        <w:t>符合招标文件规定的文件资料，作为投标文件的一部分。</w:t>
      </w:r>
    </w:p>
    <w:p w14:paraId="15097FC4">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6.2 上述文件可以是文字资料、图纸和数据等。</w:t>
      </w:r>
    </w:p>
    <w:p w14:paraId="6831DAC6">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6.3 没有按要求提供资料或提供资料不完全的，将被视为对招标文件没有做出实质性响应，其风险由投标人自行承担。</w:t>
      </w:r>
    </w:p>
    <w:p w14:paraId="427E6114">
      <w:pPr>
        <w:spacing w:line="440" w:lineRule="exact"/>
        <w:ind w:firstLine="482" w:firstLineChars="200"/>
        <w:rPr>
          <w:rFonts w:ascii="宋体" w:hAnsi="宋体" w:cs="宋体"/>
          <w:b/>
          <w:sz w:val="24"/>
          <w:highlight w:val="none"/>
        </w:rPr>
      </w:pPr>
      <w:r>
        <w:rPr>
          <w:rFonts w:hint="eastAsia" w:ascii="宋体" w:hAnsi="宋体" w:cs="宋体"/>
          <w:b/>
          <w:sz w:val="24"/>
          <w:highlight w:val="none"/>
        </w:rPr>
        <w:t>7、投标有效期</w:t>
      </w:r>
    </w:p>
    <w:p w14:paraId="6C2B44F9">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7.1 投标文件从投标之日起，投标有效期</w:t>
      </w:r>
      <w:r>
        <w:rPr>
          <w:rFonts w:hint="eastAsia" w:ascii="宋体" w:hAnsi="宋体" w:cs="宋体"/>
          <w:sz w:val="24"/>
          <w:highlight w:val="none"/>
          <w:lang w:val="en-US" w:eastAsia="zh-CN"/>
        </w:rPr>
        <w:t>90</w:t>
      </w:r>
      <w:r>
        <w:rPr>
          <w:rFonts w:hint="eastAsia" w:ascii="宋体" w:hAnsi="宋体" w:cs="宋体"/>
          <w:sz w:val="24"/>
          <w:highlight w:val="none"/>
        </w:rPr>
        <w:t>天。</w:t>
      </w:r>
    </w:p>
    <w:p w14:paraId="7989F1E2">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7.2 在特殊情况下，采购方可与投标人协商延长投标文件的有效期。</w:t>
      </w:r>
    </w:p>
    <w:p w14:paraId="54F01487">
      <w:pPr>
        <w:spacing w:line="440" w:lineRule="exact"/>
        <w:ind w:firstLine="482" w:firstLineChars="200"/>
        <w:rPr>
          <w:rFonts w:ascii="宋体" w:hAnsi="宋体" w:cs="宋体"/>
          <w:b/>
          <w:sz w:val="24"/>
          <w:highlight w:val="none"/>
        </w:rPr>
      </w:pPr>
      <w:r>
        <w:rPr>
          <w:rFonts w:hint="eastAsia" w:ascii="宋体" w:hAnsi="宋体" w:cs="宋体"/>
          <w:b/>
          <w:sz w:val="24"/>
          <w:highlight w:val="none"/>
        </w:rPr>
        <w:t>8、投标文件的签署规定</w:t>
      </w:r>
    </w:p>
    <w:p w14:paraId="240EE483">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8.1投标文件的页面必须用印刷体打印。</w:t>
      </w:r>
    </w:p>
    <w:p w14:paraId="17C4A374">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8.2投标文件应清楚工整，一般不准修改。个别非实质性修改之处应由投标人的被授权人或法人代表签章。</w:t>
      </w:r>
    </w:p>
    <w:p w14:paraId="60833D4F">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8.3投标文件应由法人代表或授权代表签署并加盖单位公章。所有投标人签字、法人代表签字、法人代表授权人签字和其它签字处必须加盖具有法律效力的投标人的印章后，投标文件方为有效。</w:t>
      </w:r>
    </w:p>
    <w:p w14:paraId="79F60503">
      <w:pPr>
        <w:overflowPunct w:val="0"/>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8.4所有投标文件必须提交纸制版正本一套和副本</w:t>
      </w:r>
      <w:r>
        <w:rPr>
          <w:rFonts w:hint="eastAsia" w:ascii="宋体" w:hAnsi="宋体" w:cs="宋体"/>
          <w:sz w:val="24"/>
          <w:highlight w:val="none"/>
          <w:lang w:eastAsia="zh-CN"/>
        </w:rPr>
        <w:t>三</w:t>
      </w:r>
      <w:r>
        <w:rPr>
          <w:rFonts w:hint="eastAsia" w:ascii="宋体" w:hAnsi="宋体" w:cs="宋体"/>
          <w:sz w:val="24"/>
          <w:highlight w:val="none"/>
        </w:rPr>
        <w:t>套，电子版一份，（投标文件一律不退），并在封面标记“正本”和“副本”。</w:t>
      </w:r>
      <w:r>
        <w:rPr>
          <w:rFonts w:hint="eastAsia" w:ascii="宋体" w:hAnsi="宋体" w:cs="宋体"/>
          <w:sz w:val="24"/>
          <w:highlight w:val="none"/>
          <w:lang w:eastAsia="zh-CN"/>
        </w:rPr>
        <w:t>（标后提交）</w:t>
      </w:r>
    </w:p>
    <w:p w14:paraId="1D3D9146">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8.5投标文件的正本与副本应当完全一致。当正本和副本之间出现差异时，以正本为准。</w:t>
      </w:r>
    </w:p>
    <w:p w14:paraId="719ED0F2">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8.6电报、电话、传真、电子邮件等形式的投标概不接受。</w:t>
      </w:r>
    </w:p>
    <w:p w14:paraId="187CDA18">
      <w:pPr>
        <w:spacing w:line="440" w:lineRule="exact"/>
        <w:ind w:firstLine="482" w:firstLineChars="200"/>
        <w:rPr>
          <w:rFonts w:ascii="宋体" w:hAnsi="宋体" w:cs="宋体"/>
          <w:b/>
          <w:sz w:val="24"/>
          <w:highlight w:val="none"/>
        </w:rPr>
      </w:pPr>
      <w:r>
        <w:rPr>
          <w:rFonts w:hint="eastAsia" w:ascii="宋体" w:hAnsi="宋体" w:cs="宋体"/>
          <w:b/>
          <w:sz w:val="24"/>
          <w:highlight w:val="none"/>
        </w:rPr>
        <w:t>9、投标文件的修改和撤销</w:t>
      </w:r>
    </w:p>
    <w:p w14:paraId="329805EA">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9.1投标人在递交投标文件后，可在规定的投标截止时间之前，对其投标文件以书面通知的形式进行修改或撤销。该通知须有投标代理人的签字，并得到采购方的确认。</w:t>
      </w:r>
    </w:p>
    <w:p w14:paraId="45C9D0A5">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9.2投标人对投标文件修改的书面材料或撤消通知应按招标文件要求进行密封、标注和递交，并注明“修改投标文件”或“撤消投标”字样，修改或撤消的内容须按招标文件的要求签署、盖章，并作为投标文件和组成部分。</w:t>
      </w:r>
    </w:p>
    <w:p w14:paraId="3DAC20F7">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9.3对投标文件修改的书面材料应于投标截止日前送达采购方，投标截止时间以后不得修改投标文件。</w:t>
      </w:r>
    </w:p>
    <w:p w14:paraId="0B96917C">
      <w:pPr>
        <w:spacing w:before="189" w:line="219" w:lineRule="auto"/>
        <w:ind w:left="6" w:firstLine="480" w:firstLineChars="200"/>
        <w:rPr>
          <w:rFonts w:hint="eastAsia" w:ascii="宋体" w:hAnsi="宋体" w:cs="宋体"/>
          <w:sz w:val="24"/>
          <w:highlight w:val="none"/>
        </w:rPr>
      </w:pPr>
      <w:r>
        <w:rPr>
          <w:rFonts w:hint="eastAsia" w:ascii="宋体" w:hAnsi="宋体" w:cs="宋体"/>
          <w:sz w:val="24"/>
          <w:highlight w:val="none"/>
        </w:rPr>
        <w:t>9.4投标人不得在开标后至投标有期满前撤销投标文件，否则采购方将没收其投标保证金。</w:t>
      </w:r>
    </w:p>
    <w:p w14:paraId="3E624C23">
      <w:pPr>
        <w:spacing w:line="440" w:lineRule="exact"/>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10、</w:t>
      </w:r>
      <w:r>
        <w:rPr>
          <w:rFonts w:hint="eastAsia" w:ascii="宋体" w:hAnsi="宋体" w:eastAsia="宋体" w:cs="宋体"/>
          <w:b/>
          <w:sz w:val="24"/>
          <w:highlight w:val="none"/>
        </w:rPr>
        <w:t>偏离</w:t>
      </w:r>
    </w:p>
    <w:p w14:paraId="1CFD1F4D">
      <w:pPr>
        <w:overflowPunct w:val="0"/>
        <w:spacing w:line="440" w:lineRule="exact"/>
        <w:ind w:firstLine="480" w:firstLineChars="200"/>
        <w:rPr>
          <w:rFonts w:hint="eastAsia" w:ascii="宋体" w:hAnsi="宋体" w:eastAsia="宋体" w:cs="宋体"/>
          <w:sz w:val="24"/>
          <w:highlight w:val="none"/>
          <w:lang w:val="en-US" w:eastAsia="en-US"/>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en-US" w:eastAsia="en-US"/>
        </w:rPr>
        <w:t>.1 除法律、法规和规章规定外，招标文件中用文字规定或标注“★ ”符号的条款为实质性要求和条件；未用文字规定或“★ ”符号标注的条款为非实质性要求和条件。</w:t>
      </w:r>
    </w:p>
    <w:p w14:paraId="770F0A8B">
      <w:pPr>
        <w:overflowPunct w:val="0"/>
        <w:spacing w:line="440" w:lineRule="exact"/>
        <w:ind w:firstLine="480" w:firstLineChars="200"/>
        <w:rPr>
          <w:rFonts w:hint="eastAsia" w:ascii="宋体" w:hAnsi="宋体" w:eastAsia="宋体" w:cs="宋体"/>
          <w:sz w:val="24"/>
          <w:highlight w:val="none"/>
          <w:lang w:val="en-US" w:eastAsia="en-US"/>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en-US" w:eastAsia="en-US"/>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en-US" w:eastAsia="en-US"/>
        </w:rPr>
        <w:t xml:space="preserve"> 偏离是指投标文件不满足或者不响应招标文件的要求。偏离分为偏离招标文件的实质性要求和条件及偏离招标文件的非实质性要求和条件。</w:t>
      </w:r>
    </w:p>
    <w:p w14:paraId="73EFFBCD">
      <w:pPr>
        <w:overflowPunct w:val="0"/>
        <w:spacing w:line="440" w:lineRule="exact"/>
        <w:ind w:firstLine="480" w:firstLineChars="200"/>
        <w:rPr>
          <w:rFonts w:hint="eastAsia" w:ascii="宋体" w:hAnsi="宋体" w:eastAsia="宋体" w:cs="宋体"/>
          <w:sz w:val="24"/>
          <w:highlight w:val="none"/>
          <w:lang w:val="en-US" w:eastAsia="en-US"/>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en-US" w:eastAsia="en-US"/>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val="en-US" w:eastAsia="en-US"/>
        </w:rPr>
        <w:t xml:space="preserve"> 投标文件偏离招标文件的实质性要求和条件，在评标时其投标将被否决。</w:t>
      </w:r>
    </w:p>
    <w:p w14:paraId="4235B3A6">
      <w:pPr>
        <w:overflowPunct w:val="0"/>
        <w:spacing w:line="440" w:lineRule="exact"/>
        <w:ind w:firstLine="480" w:firstLineChars="200"/>
        <w:rPr>
          <w:rFonts w:hint="eastAsia" w:ascii="宋体" w:hAnsi="宋体" w:eastAsia="宋体" w:cs="宋体"/>
          <w:sz w:val="24"/>
          <w:highlight w:val="none"/>
          <w:lang w:val="en-US" w:eastAsia="en-US"/>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en-US" w:eastAsia="en-US"/>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en-US" w:eastAsia="en-US"/>
        </w:rPr>
        <w:t xml:space="preserve"> 投标文件偏离招标文件的非实质性要求和条件见投标人须知前附表。</w:t>
      </w:r>
    </w:p>
    <w:p w14:paraId="2D3D0481">
      <w:pPr>
        <w:overflowPunct w:val="0"/>
        <w:spacing w:line="440" w:lineRule="exact"/>
        <w:ind w:firstLine="480" w:firstLineChars="200"/>
        <w:rPr>
          <w:rFonts w:ascii="宋体" w:hAnsi="宋体" w:cs="宋体"/>
          <w:sz w:val="24"/>
          <w:highlight w:val="none"/>
        </w:rPr>
      </w:pPr>
    </w:p>
    <w:p w14:paraId="5D8D7691">
      <w:pPr>
        <w:pStyle w:val="5"/>
        <w:spacing w:before="0" w:after="0" w:line="440" w:lineRule="exact"/>
        <w:jc w:val="center"/>
        <w:rPr>
          <w:rFonts w:ascii="宋体" w:hAnsi="宋体" w:cs="宋体"/>
          <w:sz w:val="24"/>
          <w:szCs w:val="24"/>
          <w:highlight w:val="none"/>
        </w:rPr>
      </w:pPr>
      <w:bookmarkStart w:id="16" w:name="_Toc21933"/>
      <w:r>
        <w:rPr>
          <w:rFonts w:hint="eastAsia" w:ascii="宋体" w:hAnsi="宋体" w:cs="宋体"/>
          <w:sz w:val="28"/>
          <w:szCs w:val="28"/>
          <w:highlight w:val="none"/>
        </w:rPr>
        <w:t>第三章  投标文件的递交</w:t>
      </w:r>
      <w:bookmarkEnd w:id="16"/>
    </w:p>
    <w:p w14:paraId="60BF2B66">
      <w:pPr>
        <w:spacing w:line="440" w:lineRule="exact"/>
        <w:ind w:firstLine="482" w:firstLineChars="200"/>
        <w:rPr>
          <w:rFonts w:hint="eastAsia" w:ascii="宋体" w:hAnsi="宋体" w:eastAsia="宋体" w:cs="宋体"/>
          <w:b/>
          <w:sz w:val="24"/>
          <w:highlight w:val="none"/>
          <w:lang w:eastAsia="zh-CN"/>
        </w:rPr>
      </w:pPr>
      <w:r>
        <w:rPr>
          <w:rFonts w:hint="eastAsia" w:ascii="宋体" w:hAnsi="宋体" w:cs="宋体"/>
          <w:b/>
          <w:sz w:val="24"/>
          <w:highlight w:val="none"/>
        </w:rPr>
        <w:t>10、投标文件的</w:t>
      </w:r>
      <w:r>
        <w:rPr>
          <w:rFonts w:hint="eastAsia" w:ascii="宋体" w:hAnsi="宋体" w:cs="宋体"/>
          <w:b/>
          <w:sz w:val="24"/>
          <w:highlight w:val="none"/>
          <w:lang w:eastAsia="zh-CN"/>
        </w:rPr>
        <w:t>加密</w:t>
      </w:r>
    </w:p>
    <w:p w14:paraId="395B0889">
      <w:pPr>
        <w:overflowPunct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10.1本项目为政采云不见面开标，</w:t>
      </w:r>
      <w:r>
        <w:rPr>
          <w:rFonts w:hint="eastAsia" w:ascii="宋体" w:hAnsi="宋体" w:cs="宋体"/>
          <w:sz w:val="24"/>
          <w:highlight w:val="none"/>
        </w:rPr>
        <w:t>投标人</w:t>
      </w:r>
      <w:r>
        <w:rPr>
          <w:rFonts w:hint="eastAsia" w:ascii="宋体" w:hAnsi="宋体" w:cs="宋体"/>
          <w:sz w:val="24"/>
          <w:highlight w:val="none"/>
          <w:lang w:eastAsia="zh-CN"/>
        </w:rPr>
        <w:t>应当在投标截止时间前将加密的投标文件上传至政采云平台，并按时参加开标解密活动。</w:t>
      </w:r>
    </w:p>
    <w:p w14:paraId="3BD9EB46">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10.</w:t>
      </w:r>
      <w:r>
        <w:rPr>
          <w:rFonts w:hint="eastAsia" w:ascii="宋体" w:hAnsi="宋体" w:cs="宋体"/>
          <w:sz w:val="24"/>
          <w:highlight w:val="none"/>
          <w:lang w:val="en-US" w:eastAsia="zh-CN"/>
        </w:rPr>
        <w:t>2</w:t>
      </w:r>
      <w:r>
        <w:rPr>
          <w:rFonts w:hint="eastAsia" w:ascii="宋体" w:hAnsi="宋体" w:cs="宋体"/>
          <w:sz w:val="24"/>
          <w:highlight w:val="none"/>
        </w:rPr>
        <w:t>发生下列情况之一的投标文件被视为无效：</w:t>
      </w:r>
    </w:p>
    <w:p w14:paraId="291ABB94">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（1）投标截止时间以后</w:t>
      </w:r>
      <w:r>
        <w:rPr>
          <w:rFonts w:hint="eastAsia" w:ascii="宋体" w:hAnsi="宋体" w:cs="宋体"/>
          <w:sz w:val="24"/>
          <w:highlight w:val="none"/>
          <w:lang w:eastAsia="zh-CN"/>
        </w:rPr>
        <w:t>递交、签到</w:t>
      </w:r>
      <w:r>
        <w:rPr>
          <w:rFonts w:hint="eastAsia" w:ascii="宋体" w:hAnsi="宋体" w:cs="宋体"/>
          <w:sz w:val="24"/>
          <w:highlight w:val="none"/>
        </w:rPr>
        <w:t>的投标文件；</w:t>
      </w:r>
    </w:p>
    <w:p w14:paraId="146D49B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未能按时或成功解密</w:t>
      </w:r>
      <w:r>
        <w:rPr>
          <w:rFonts w:hint="eastAsia" w:ascii="宋体" w:hAnsi="宋体" w:cs="宋体"/>
          <w:sz w:val="24"/>
          <w:highlight w:val="none"/>
        </w:rPr>
        <w:t>的投标文件；</w:t>
      </w:r>
    </w:p>
    <w:p w14:paraId="687A96C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（3）与招标文件有重大偏离的投标文件；</w:t>
      </w:r>
    </w:p>
    <w:p w14:paraId="730F4874">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（4）投标文件应盖而未盖公章或非本公司公章的、不按正确位置盖章的；未装订、未密封、法定代表人授权书、资格声明函等填写不完整或有涂改未加盖公章的；</w:t>
      </w:r>
    </w:p>
    <w:p w14:paraId="0291D8F7">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（5）无“报价一览表”的投标文件；</w:t>
      </w:r>
    </w:p>
    <w:p w14:paraId="0607A2F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（6）“报价一览表”没有加盖公章的；</w:t>
      </w:r>
    </w:p>
    <w:p w14:paraId="47BF06C9">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（7） 未按规定交纳投标保证金的投标文件；</w:t>
      </w:r>
    </w:p>
    <w:p w14:paraId="1B73FFE0">
      <w:pPr>
        <w:overflowPunct w:val="0"/>
        <w:spacing w:line="440" w:lineRule="exact"/>
        <w:ind w:firstLine="480" w:firstLineChars="200"/>
        <w:rPr>
          <w:rFonts w:ascii="宋体" w:hAnsi="宋体" w:cs="宋体"/>
          <w:sz w:val="24"/>
          <w:highlight w:val="none"/>
        </w:rPr>
      </w:pPr>
      <w:r>
        <w:rPr>
          <w:rFonts w:hint="eastAsia" w:ascii="宋体" w:hAnsi="宋体" w:cs="宋体"/>
          <w:sz w:val="24"/>
          <w:highlight w:val="none"/>
        </w:rPr>
        <w:t>（8） 出现影响采购公正的违法违规行为的投标性文件；</w:t>
      </w:r>
    </w:p>
    <w:p w14:paraId="7B52FDAF">
      <w:pPr>
        <w:spacing w:line="440" w:lineRule="exact"/>
        <w:ind w:firstLine="482" w:firstLineChars="200"/>
        <w:rPr>
          <w:rFonts w:ascii="宋体" w:hAnsi="宋体" w:cs="宋体"/>
          <w:b/>
          <w:sz w:val="24"/>
          <w:highlight w:val="none"/>
        </w:rPr>
      </w:pPr>
      <w:r>
        <w:rPr>
          <w:rFonts w:hint="eastAsia" w:ascii="宋体" w:hAnsi="宋体" w:cs="宋体"/>
          <w:b/>
          <w:sz w:val="24"/>
          <w:highlight w:val="none"/>
        </w:rPr>
        <w:t>11、投标文件递交截止时间及开标时间和地点</w:t>
      </w:r>
    </w:p>
    <w:p w14:paraId="658B9CD6">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11.1 投标文件递交截止时间</w:t>
      </w:r>
      <w:r>
        <w:rPr>
          <w:rFonts w:hint="eastAsia" w:ascii="宋体" w:hAnsi="宋体" w:cs="宋体"/>
          <w:b/>
          <w:sz w:val="24"/>
          <w:highlight w:val="none"/>
        </w:rPr>
        <w:t>：</w:t>
      </w:r>
      <w:r>
        <w:rPr>
          <w:rFonts w:hint="eastAsia" w:ascii="宋体" w:hAnsi="宋体" w:cs="宋体"/>
          <w:sz w:val="24"/>
          <w:highlight w:val="none"/>
          <w:u w:val="single"/>
        </w:rPr>
        <w:t>详见投标人须知前附表</w:t>
      </w:r>
      <w:r>
        <w:rPr>
          <w:rFonts w:hint="eastAsia" w:ascii="宋体" w:hAnsi="宋体" w:cs="宋体"/>
          <w:b/>
          <w:sz w:val="24"/>
          <w:highlight w:val="none"/>
        </w:rPr>
        <w:t>。投标文件以</w:t>
      </w:r>
      <w:r>
        <w:rPr>
          <w:rFonts w:hint="eastAsia" w:ascii="宋体" w:hAnsi="宋体" w:cs="宋体"/>
          <w:b/>
          <w:sz w:val="24"/>
          <w:highlight w:val="none"/>
          <w:lang w:eastAsia="zh-CN"/>
        </w:rPr>
        <w:t>加密</w:t>
      </w:r>
      <w:r>
        <w:rPr>
          <w:rFonts w:hint="eastAsia" w:ascii="宋体" w:hAnsi="宋体" w:cs="宋体"/>
          <w:b/>
          <w:sz w:val="24"/>
          <w:highlight w:val="none"/>
        </w:rPr>
        <w:t>形式</w:t>
      </w:r>
      <w:r>
        <w:rPr>
          <w:rFonts w:hint="eastAsia" w:ascii="宋体" w:hAnsi="宋体" w:cs="宋体"/>
          <w:b/>
          <w:sz w:val="24"/>
          <w:highlight w:val="none"/>
          <w:lang w:eastAsia="zh-CN"/>
        </w:rPr>
        <w:t>上传</w:t>
      </w:r>
      <w:r>
        <w:rPr>
          <w:rFonts w:hint="eastAsia" w:ascii="宋体" w:hAnsi="宋体" w:cs="宋体"/>
          <w:b/>
          <w:sz w:val="24"/>
          <w:highlight w:val="none"/>
        </w:rPr>
        <w:t>至开标地点。</w:t>
      </w:r>
    </w:p>
    <w:p w14:paraId="60438212">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11.2 开标时间：同投标文件递交截止时间。</w:t>
      </w:r>
    </w:p>
    <w:p w14:paraId="0703F3CF">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11.3 开标地点：</w:t>
      </w:r>
      <w:r>
        <w:rPr>
          <w:rFonts w:hint="eastAsia" w:ascii="宋体" w:hAnsi="宋体" w:cs="宋体"/>
          <w:sz w:val="24"/>
          <w:highlight w:val="none"/>
          <w:u w:val="single"/>
        </w:rPr>
        <w:t>详见投标人须知前附表</w:t>
      </w:r>
    </w:p>
    <w:p w14:paraId="08BA8F50">
      <w:pPr>
        <w:spacing w:line="440" w:lineRule="exact"/>
        <w:ind w:firstLine="480" w:firstLineChars="200"/>
        <w:rPr>
          <w:rFonts w:ascii="宋体" w:hAnsi="宋体" w:cs="宋体"/>
          <w:sz w:val="24"/>
          <w:highlight w:val="none"/>
        </w:rPr>
      </w:pPr>
      <w:r>
        <w:rPr>
          <w:rFonts w:hint="eastAsia" w:ascii="宋体" w:hAnsi="宋体" w:cs="宋体"/>
          <w:sz w:val="24"/>
          <w:highlight w:val="none"/>
        </w:rPr>
        <w:t>11.4 所有投标文件都必须在采购方规定的投标截止时间之前</w:t>
      </w:r>
      <w:r>
        <w:rPr>
          <w:rFonts w:hint="eastAsia" w:ascii="宋体" w:hAnsi="宋体" w:cs="宋体"/>
          <w:sz w:val="24"/>
          <w:highlight w:val="none"/>
          <w:lang w:eastAsia="zh-CN"/>
        </w:rPr>
        <w:t>上传</w:t>
      </w:r>
      <w:r>
        <w:rPr>
          <w:rFonts w:hint="eastAsia" w:ascii="宋体" w:hAnsi="宋体" w:cs="宋体"/>
          <w:sz w:val="24"/>
          <w:highlight w:val="none"/>
        </w:rPr>
        <w:t>政采云不见面开评标系统，在此之后投标文件，为无效投标，投标文件将一律被拒绝。</w:t>
      </w:r>
    </w:p>
    <w:p w14:paraId="30B0AAB4">
      <w:pPr>
        <w:spacing w:line="440" w:lineRule="exact"/>
        <w:ind w:firstLine="480" w:firstLineChars="200"/>
        <w:rPr>
          <w:rFonts w:ascii="宋体" w:hAnsi="宋体" w:cs="宋体"/>
          <w:sz w:val="24"/>
          <w:highlight w:val="none"/>
        </w:rPr>
      </w:pPr>
      <w:r>
        <w:rPr>
          <w:rFonts w:hint="eastAsia" w:ascii="宋体" w:hAnsi="宋体" w:cs="宋体"/>
          <w:sz w:val="24"/>
          <w:highlight w:val="none"/>
        </w:rPr>
        <w:t>11.5 出现因招标文件的修改而推迟投标截止时间的情况时，投标人则须按采购方的书面修改通知重新规定的投标时间递交。</w:t>
      </w:r>
    </w:p>
    <w:p w14:paraId="0B976F5B">
      <w:pPr>
        <w:spacing w:line="440" w:lineRule="exact"/>
        <w:ind w:firstLine="482" w:firstLineChars="200"/>
        <w:rPr>
          <w:rFonts w:hint="eastAsia" w:ascii="宋体" w:hAnsi="宋体" w:eastAsia="宋体" w:cs="宋体"/>
          <w:b/>
          <w:sz w:val="24"/>
          <w:highlight w:val="none"/>
          <w:lang w:eastAsia="zh-CN"/>
        </w:rPr>
      </w:pPr>
      <w:r>
        <w:rPr>
          <w:rFonts w:hint="eastAsia" w:ascii="宋体" w:hAnsi="宋体" w:cs="宋体"/>
          <w:b/>
          <w:sz w:val="24"/>
          <w:highlight w:val="none"/>
        </w:rPr>
        <w:t>12、投标保证金</w:t>
      </w:r>
      <w:r>
        <w:rPr>
          <w:rFonts w:hint="eastAsia" w:ascii="宋体" w:hAnsi="宋体" w:cs="宋体"/>
          <w:b/>
          <w:sz w:val="24"/>
          <w:highlight w:val="none"/>
          <w:lang w:eastAsia="zh-CN"/>
        </w:rPr>
        <w:t>：</w:t>
      </w:r>
      <w:r>
        <w:rPr>
          <w:rFonts w:hint="eastAsia" w:ascii="宋体" w:hAnsi="宋体" w:cs="宋体"/>
          <w:sz w:val="24"/>
          <w:highlight w:val="none"/>
          <w:u w:val="single"/>
        </w:rPr>
        <w:t>详见投标人须知前附表</w:t>
      </w:r>
    </w:p>
    <w:p w14:paraId="1CC2A55B">
      <w:pPr>
        <w:spacing w:line="440" w:lineRule="exact"/>
        <w:ind w:firstLine="480" w:firstLineChars="200"/>
        <w:rPr>
          <w:rFonts w:ascii="宋体" w:hAnsi="宋体" w:cs="宋体"/>
          <w:sz w:val="24"/>
          <w:highlight w:val="none"/>
        </w:rPr>
      </w:pPr>
      <w:r>
        <w:rPr>
          <w:rFonts w:hint="eastAsia" w:ascii="宋体" w:hAnsi="宋体" w:cs="宋体"/>
          <w:sz w:val="24"/>
          <w:highlight w:val="none"/>
        </w:rPr>
        <w:t>12.1 投标保证金是为了保护采购方免遭因投标人的行为而蒙受损失。采购方在因投标人的行为受到损害时可根据本须知的规定没收投标人的投标保证金。</w:t>
      </w:r>
    </w:p>
    <w:p w14:paraId="1DDE496D">
      <w:pPr>
        <w:spacing w:line="440" w:lineRule="exact"/>
        <w:ind w:firstLine="480" w:firstLineChars="200"/>
        <w:rPr>
          <w:rFonts w:ascii="宋体" w:hAnsi="宋体" w:cs="宋体"/>
          <w:sz w:val="24"/>
          <w:highlight w:val="none"/>
        </w:rPr>
      </w:pPr>
      <w:r>
        <w:rPr>
          <w:rFonts w:hint="eastAsia" w:ascii="宋体" w:hAnsi="宋体" w:cs="宋体"/>
          <w:sz w:val="24"/>
          <w:highlight w:val="none"/>
        </w:rPr>
        <w:t>12.2 投标保证金的货币为人民币，并采用电汇，支票</w:t>
      </w:r>
      <w:r>
        <w:rPr>
          <w:rFonts w:hint="eastAsia" w:ascii="宋体" w:hAnsi="宋体" w:cs="宋体"/>
          <w:sz w:val="24"/>
          <w:highlight w:val="none"/>
          <w:lang w:eastAsia="zh-CN"/>
        </w:rPr>
        <w:t>、</w:t>
      </w:r>
      <w:r>
        <w:rPr>
          <w:rFonts w:hint="eastAsia" w:ascii="宋体" w:hAnsi="宋体" w:cs="宋体"/>
          <w:sz w:val="24"/>
          <w:highlight w:val="none"/>
          <w:lang w:val="en-US" w:eastAsia="zh-CN"/>
        </w:rPr>
        <w:t>保函</w:t>
      </w:r>
      <w:r>
        <w:rPr>
          <w:rFonts w:hint="eastAsia" w:ascii="宋体" w:hAnsi="宋体" w:cs="宋体"/>
          <w:sz w:val="24"/>
          <w:highlight w:val="none"/>
        </w:rPr>
        <w:t>等形式交纳，如电汇产生的一切费用由投标人自行承担。</w:t>
      </w:r>
    </w:p>
    <w:p w14:paraId="4CC75A4D">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12.3 </w:t>
      </w:r>
      <w:r>
        <w:rPr>
          <w:rFonts w:hint="eastAsia" w:ascii="宋体" w:hAnsi="宋体" w:cs="宋体"/>
          <w:b/>
          <w:bCs/>
          <w:sz w:val="24"/>
          <w:highlight w:val="none"/>
        </w:rPr>
        <w:t>投标保证金金额：</w:t>
      </w:r>
      <w:r>
        <w:rPr>
          <w:rFonts w:hint="eastAsia" w:ascii="宋体" w:hAnsi="宋体" w:cs="宋体"/>
          <w:sz w:val="24"/>
          <w:highlight w:val="none"/>
          <w:u w:val="single"/>
        </w:rPr>
        <w:t>详见投标人须知前附表</w:t>
      </w:r>
    </w:p>
    <w:p w14:paraId="650D72C4">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12.4 递交投标保证金截止时间：</w:t>
      </w:r>
      <w:r>
        <w:rPr>
          <w:rFonts w:hint="eastAsia" w:ascii="宋体" w:hAnsi="宋体" w:cs="宋体"/>
          <w:sz w:val="24"/>
          <w:highlight w:val="none"/>
          <w:u w:val="single"/>
        </w:rPr>
        <w:t>详见投标人须知前附表</w:t>
      </w:r>
      <w:r>
        <w:rPr>
          <w:rFonts w:hint="eastAsia" w:ascii="宋体" w:hAnsi="宋体" w:cs="宋体"/>
          <w:color w:val="000000" w:themeColor="text1"/>
          <w:sz w:val="24"/>
          <w:highlight w:val="none"/>
          <w14:textFill>
            <w14:solidFill>
              <w14:schemeClr w14:val="tx1"/>
            </w14:solidFill>
          </w14:textFill>
        </w:rPr>
        <w:t>，凡未提交投标保证金的投标，将视为自动放弃投标，投标将被拒绝。</w:t>
      </w:r>
    </w:p>
    <w:p w14:paraId="7CE07ED0">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12.</w:t>
      </w:r>
      <w:r>
        <w:rPr>
          <w:rFonts w:hint="eastAsia" w:ascii="宋体" w:hAnsi="宋体" w:cs="宋体"/>
          <w:sz w:val="24"/>
          <w:highlight w:val="none"/>
          <w:lang w:val="en-US" w:eastAsia="zh-CN"/>
        </w:rPr>
        <w:t>5</w:t>
      </w:r>
      <w:r>
        <w:rPr>
          <w:rFonts w:hint="eastAsia" w:ascii="宋体" w:hAnsi="宋体" w:cs="宋体"/>
          <w:sz w:val="24"/>
          <w:highlight w:val="none"/>
        </w:rPr>
        <w:t xml:space="preserve"> </w:t>
      </w:r>
      <w:r>
        <w:rPr>
          <w:rFonts w:hint="eastAsia" w:ascii="宋体" w:hAnsi="宋体" w:cs="宋体"/>
          <w:b/>
          <w:bCs/>
          <w:sz w:val="24"/>
          <w:highlight w:val="none"/>
          <w:lang w:val="en-US" w:eastAsia="zh-CN"/>
        </w:rPr>
        <w:t>履约</w:t>
      </w:r>
      <w:r>
        <w:rPr>
          <w:rFonts w:hint="eastAsia" w:ascii="宋体" w:hAnsi="宋体" w:cs="宋体"/>
          <w:b/>
          <w:bCs/>
          <w:sz w:val="24"/>
          <w:highlight w:val="none"/>
        </w:rPr>
        <w:t>保证金金额</w:t>
      </w:r>
      <w:r>
        <w:rPr>
          <w:rFonts w:hint="eastAsia" w:ascii="宋体" w:hAnsi="宋体" w:cs="宋体"/>
          <w:b/>
          <w:bCs/>
          <w:sz w:val="24"/>
          <w:highlight w:val="none"/>
          <w:lang w:val="en-US" w:eastAsia="zh-CN"/>
        </w:rPr>
        <w:t>及形式</w:t>
      </w:r>
      <w:r>
        <w:rPr>
          <w:rFonts w:hint="eastAsia" w:ascii="宋体" w:hAnsi="宋体" w:cs="宋体"/>
          <w:b/>
          <w:bCs/>
          <w:sz w:val="24"/>
          <w:highlight w:val="none"/>
        </w:rPr>
        <w:t>：</w:t>
      </w:r>
      <w:r>
        <w:rPr>
          <w:rFonts w:hint="eastAsia" w:ascii="宋体" w:hAnsi="宋体" w:cs="宋体"/>
          <w:sz w:val="24"/>
          <w:highlight w:val="none"/>
          <w:u w:val="single"/>
        </w:rPr>
        <w:t>详见投标人须知前附表</w:t>
      </w:r>
    </w:p>
    <w:p w14:paraId="7AF9D8D7">
      <w:pPr>
        <w:spacing w:line="440" w:lineRule="exact"/>
        <w:ind w:firstLine="480" w:firstLineChars="200"/>
        <w:rPr>
          <w:rFonts w:ascii="宋体" w:hAnsi="宋体" w:cs="宋体"/>
          <w:sz w:val="24"/>
          <w:highlight w:val="none"/>
        </w:rPr>
      </w:pPr>
      <w:r>
        <w:rPr>
          <w:rFonts w:hint="eastAsia" w:ascii="宋体" w:hAnsi="宋体" w:cs="宋体"/>
          <w:sz w:val="24"/>
          <w:highlight w:val="none"/>
        </w:rPr>
        <w:t>12.</w:t>
      </w:r>
      <w:r>
        <w:rPr>
          <w:rFonts w:hint="eastAsia" w:ascii="宋体" w:hAnsi="宋体" w:cs="宋体"/>
          <w:sz w:val="24"/>
          <w:highlight w:val="none"/>
          <w:lang w:val="en-US" w:eastAsia="zh-CN"/>
        </w:rPr>
        <w:t>6</w:t>
      </w:r>
      <w:r>
        <w:rPr>
          <w:rFonts w:hint="eastAsia" w:ascii="宋体" w:hAnsi="宋体" w:cs="宋体"/>
          <w:sz w:val="24"/>
          <w:highlight w:val="none"/>
        </w:rPr>
        <w:t xml:space="preserve"> 资格审查时没有提供投标保证金递交证明的投标，将被视为非响应性投标予以拒绝。</w:t>
      </w:r>
    </w:p>
    <w:p w14:paraId="56B2089A">
      <w:pPr>
        <w:spacing w:line="440" w:lineRule="exact"/>
        <w:ind w:firstLine="480" w:firstLineChars="200"/>
        <w:rPr>
          <w:rFonts w:ascii="宋体" w:hAnsi="宋体" w:cs="宋体"/>
          <w:sz w:val="24"/>
          <w:highlight w:val="none"/>
        </w:rPr>
      </w:pPr>
      <w:r>
        <w:rPr>
          <w:rFonts w:hint="eastAsia" w:ascii="宋体" w:hAnsi="宋体" w:cs="宋体"/>
          <w:sz w:val="24"/>
          <w:highlight w:val="none"/>
        </w:rPr>
        <w:t>12.</w:t>
      </w:r>
      <w:r>
        <w:rPr>
          <w:rFonts w:hint="eastAsia" w:ascii="宋体" w:hAnsi="宋体" w:cs="宋体"/>
          <w:sz w:val="24"/>
          <w:highlight w:val="none"/>
          <w:lang w:val="en-US" w:eastAsia="zh-CN"/>
        </w:rPr>
        <w:t>7</w:t>
      </w:r>
      <w:r>
        <w:rPr>
          <w:rFonts w:hint="eastAsia" w:ascii="宋体" w:hAnsi="宋体" w:cs="宋体"/>
          <w:sz w:val="24"/>
          <w:highlight w:val="none"/>
        </w:rPr>
        <w:t xml:space="preserve"> 中标人的投标保证金在合同签订后7个工作日内退还。</w:t>
      </w:r>
    </w:p>
    <w:p w14:paraId="5FC32AF3">
      <w:pPr>
        <w:spacing w:line="440" w:lineRule="exact"/>
        <w:ind w:firstLine="480" w:firstLineChars="200"/>
        <w:rPr>
          <w:rFonts w:ascii="宋体" w:hAnsi="宋体" w:cs="宋体"/>
          <w:sz w:val="24"/>
          <w:highlight w:val="none"/>
        </w:rPr>
      </w:pPr>
      <w:r>
        <w:rPr>
          <w:rFonts w:hint="eastAsia" w:ascii="宋体" w:hAnsi="宋体" w:cs="宋体"/>
          <w:sz w:val="24"/>
          <w:highlight w:val="none"/>
        </w:rPr>
        <w:t>12.</w:t>
      </w:r>
      <w:r>
        <w:rPr>
          <w:rFonts w:hint="eastAsia" w:ascii="宋体" w:hAnsi="宋体" w:cs="宋体"/>
          <w:sz w:val="24"/>
          <w:highlight w:val="none"/>
          <w:lang w:val="en-US" w:eastAsia="zh-CN"/>
        </w:rPr>
        <w:t>8</w:t>
      </w:r>
      <w:r>
        <w:rPr>
          <w:rFonts w:hint="eastAsia" w:ascii="宋体" w:hAnsi="宋体" w:cs="宋体"/>
          <w:sz w:val="24"/>
          <w:highlight w:val="none"/>
        </w:rPr>
        <w:t xml:space="preserve"> 下列任何情况发生时，投标保证金将不予退还。</w:t>
      </w:r>
    </w:p>
    <w:p w14:paraId="18876565">
      <w:pPr>
        <w:spacing w:line="440" w:lineRule="exact"/>
        <w:ind w:firstLine="480" w:firstLineChars="200"/>
        <w:rPr>
          <w:rFonts w:ascii="宋体" w:hAnsi="宋体" w:cs="宋体"/>
          <w:sz w:val="24"/>
          <w:highlight w:val="none"/>
        </w:rPr>
      </w:pPr>
      <w:r>
        <w:rPr>
          <w:rFonts w:hint="eastAsia" w:ascii="宋体" w:hAnsi="宋体" w:cs="宋体"/>
          <w:sz w:val="24"/>
          <w:highlight w:val="none"/>
        </w:rPr>
        <w:t>(1)  投标人在提交投标文件截止时间后撤回投标文件的；</w:t>
      </w:r>
    </w:p>
    <w:p w14:paraId="57E18083">
      <w:pPr>
        <w:spacing w:line="440" w:lineRule="exact"/>
        <w:ind w:firstLine="480" w:firstLineChars="200"/>
        <w:rPr>
          <w:rFonts w:ascii="宋体" w:hAnsi="宋体" w:cs="宋体"/>
          <w:sz w:val="24"/>
          <w:highlight w:val="none"/>
        </w:rPr>
      </w:pPr>
      <w:r>
        <w:rPr>
          <w:rFonts w:hint="eastAsia" w:ascii="宋体" w:hAnsi="宋体" w:cs="宋体"/>
          <w:sz w:val="24"/>
          <w:highlight w:val="none"/>
        </w:rPr>
        <w:t>(2)  投标人在投标文件中提供虚假材料的；</w:t>
      </w:r>
    </w:p>
    <w:p w14:paraId="69CDFA08">
      <w:pPr>
        <w:spacing w:line="440" w:lineRule="exact"/>
        <w:ind w:firstLine="480" w:firstLineChars="200"/>
        <w:rPr>
          <w:rFonts w:ascii="宋体" w:hAnsi="宋体" w:cs="宋体"/>
          <w:sz w:val="24"/>
          <w:highlight w:val="none"/>
        </w:rPr>
      </w:pPr>
      <w:r>
        <w:rPr>
          <w:rFonts w:hint="eastAsia" w:ascii="宋体" w:hAnsi="宋体" w:cs="宋体"/>
          <w:sz w:val="24"/>
          <w:highlight w:val="none"/>
        </w:rPr>
        <w:t>(3)  除因不可抗力或招标文件认可的情形外中标投标人不与采购人签订合同的；</w:t>
      </w:r>
    </w:p>
    <w:p w14:paraId="12D932A9">
      <w:pPr>
        <w:spacing w:line="440" w:lineRule="exact"/>
        <w:ind w:firstLine="480" w:firstLineChars="200"/>
        <w:rPr>
          <w:rFonts w:ascii="宋体" w:hAnsi="宋体" w:cs="宋体"/>
          <w:sz w:val="24"/>
          <w:highlight w:val="none"/>
        </w:rPr>
      </w:pPr>
      <w:r>
        <w:rPr>
          <w:rFonts w:hint="eastAsia" w:ascii="宋体" w:hAnsi="宋体" w:cs="宋体"/>
          <w:sz w:val="24"/>
          <w:highlight w:val="none"/>
        </w:rPr>
        <w:t>(4)  投标人与采购人、其他投标人或者采购代理机构恶意串通的；</w:t>
      </w:r>
    </w:p>
    <w:p w14:paraId="7B55A086">
      <w:pPr>
        <w:spacing w:line="440" w:lineRule="exact"/>
        <w:ind w:firstLine="480" w:firstLineChars="200"/>
        <w:rPr>
          <w:rFonts w:ascii="宋体" w:hAnsi="宋体" w:cs="宋体"/>
          <w:sz w:val="24"/>
          <w:highlight w:val="none"/>
        </w:rPr>
      </w:pPr>
      <w:r>
        <w:rPr>
          <w:rFonts w:hint="eastAsia" w:ascii="宋体" w:hAnsi="宋体" w:cs="宋体"/>
          <w:sz w:val="24"/>
          <w:highlight w:val="none"/>
        </w:rPr>
        <w:t>(5)  本招标文件中或《政府采购货物和服务招标投标管理办法》第七十五条规定的其他不予退还投标保证金的情形。</w:t>
      </w:r>
    </w:p>
    <w:p w14:paraId="72DD884F">
      <w:pPr>
        <w:spacing w:line="440" w:lineRule="exact"/>
        <w:ind w:firstLine="480" w:firstLineChars="200"/>
        <w:rPr>
          <w:rFonts w:ascii="宋体" w:hAnsi="宋体" w:cs="宋体"/>
          <w:sz w:val="24"/>
          <w:highlight w:val="none"/>
        </w:rPr>
      </w:pPr>
      <w:r>
        <w:rPr>
          <w:rFonts w:hint="eastAsia" w:ascii="宋体" w:hAnsi="宋体" w:cs="宋体"/>
          <w:sz w:val="24"/>
          <w:highlight w:val="none"/>
        </w:rPr>
        <w:t>上述不予退还投标保证金的情况并给代理机构造成损失的，还要承担赔偿责任。</w:t>
      </w:r>
    </w:p>
    <w:p w14:paraId="179B25AD">
      <w:pPr>
        <w:pStyle w:val="5"/>
        <w:spacing w:before="0" w:after="0" w:line="440" w:lineRule="exact"/>
        <w:jc w:val="center"/>
        <w:rPr>
          <w:rFonts w:ascii="宋体" w:hAnsi="宋体" w:cs="宋体"/>
          <w:sz w:val="28"/>
          <w:szCs w:val="28"/>
          <w:highlight w:val="none"/>
        </w:rPr>
      </w:pPr>
      <w:bookmarkStart w:id="17" w:name="_Toc10048"/>
      <w:r>
        <w:rPr>
          <w:rFonts w:hint="eastAsia" w:ascii="宋体" w:hAnsi="宋体" w:cs="宋体"/>
          <w:sz w:val="28"/>
          <w:szCs w:val="28"/>
          <w:highlight w:val="none"/>
        </w:rPr>
        <w:t>第四章  开标</w:t>
      </w:r>
      <w:r>
        <w:rPr>
          <w:rFonts w:hint="eastAsia" w:ascii="宋体" w:hAnsi="宋体" w:cs="宋体"/>
          <w:sz w:val="28"/>
          <w:szCs w:val="28"/>
          <w:highlight w:val="none"/>
          <w:lang w:eastAsia="zh-CN"/>
        </w:rPr>
        <w:t>（</w:t>
      </w:r>
      <w:r>
        <w:rPr>
          <w:rFonts w:hint="eastAsia" w:ascii="宋体" w:hAnsi="宋体" w:cs="宋体"/>
          <w:sz w:val="28"/>
          <w:szCs w:val="28"/>
          <w:highlight w:val="none"/>
        </w:rPr>
        <w:t>政采云不见面开标</w:t>
      </w:r>
      <w:r>
        <w:rPr>
          <w:rFonts w:hint="eastAsia" w:ascii="宋体" w:hAnsi="宋体" w:cs="宋体"/>
          <w:sz w:val="28"/>
          <w:szCs w:val="28"/>
          <w:highlight w:val="none"/>
          <w:lang w:eastAsia="zh-CN"/>
        </w:rPr>
        <w:t>）</w:t>
      </w:r>
      <w:bookmarkEnd w:id="17"/>
    </w:p>
    <w:p w14:paraId="4038F45A">
      <w:pPr>
        <w:spacing w:line="440" w:lineRule="exact"/>
        <w:ind w:firstLine="482" w:firstLineChars="200"/>
        <w:jc w:val="left"/>
        <w:rPr>
          <w:rFonts w:ascii="宋体" w:hAnsi="宋体" w:cs="宋体"/>
          <w:b/>
          <w:sz w:val="24"/>
          <w:highlight w:val="none"/>
          <w:lang w:bidi="en-US"/>
        </w:rPr>
      </w:pPr>
      <w:r>
        <w:rPr>
          <w:rFonts w:hint="eastAsia" w:ascii="宋体" w:hAnsi="宋体" w:cs="宋体"/>
          <w:b/>
          <w:sz w:val="24"/>
          <w:highlight w:val="none"/>
          <w:lang w:bidi="en-US"/>
        </w:rPr>
        <w:t>13、开标</w:t>
      </w:r>
    </w:p>
    <w:p w14:paraId="15B1FE64">
      <w:pPr>
        <w:spacing w:line="440" w:lineRule="exact"/>
        <w:ind w:firstLine="480" w:firstLineChars="200"/>
        <w:jc w:val="left"/>
        <w:rPr>
          <w:rFonts w:ascii="宋体" w:hAnsi="宋体" w:cs="宋体"/>
          <w:sz w:val="24"/>
          <w:highlight w:val="none"/>
          <w:lang w:bidi="zh-CN"/>
        </w:rPr>
      </w:pPr>
      <w:r>
        <w:rPr>
          <w:rFonts w:hint="eastAsia" w:ascii="宋体" w:hAnsi="宋体" w:cs="宋体"/>
          <w:sz w:val="24"/>
          <w:highlight w:val="none"/>
          <w:lang w:bidi="en-US"/>
        </w:rPr>
        <w:t>13.1</w:t>
      </w:r>
      <w:r>
        <w:rPr>
          <w:rFonts w:hint="eastAsia" w:ascii="宋体" w:hAnsi="宋体" w:cs="宋体"/>
          <w:sz w:val="24"/>
          <w:highlight w:val="none"/>
          <w:lang w:bidi="zh-CN"/>
        </w:rPr>
        <w:t>招标代理机构在“投标人须知前列表”中规定的日期、时间和地点组织招标会，邀请所有投标人</w:t>
      </w:r>
      <w:r>
        <w:rPr>
          <w:rFonts w:hint="eastAsia" w:ascii="宋体" w:hAnsi="宋体" w:cs="宋体"/>
          <w:sz w:val="24"/>
          <w:highlight w:val="none"/>
          <w:lang w:val="en-US" w:bidi="zh-CN"/>
        </w:rPr>
        <w:t>在线</w:t>
      </w:r>
      <w:r>
        <w:rPr>
          <w:rFonts w:hint="eastAsia" w:ascii="宋体" w:hAnsi="宋体" w:cs="宋体"/>
          <w:sz w:val="24"/>
          <w:highlight w:val="none"/>
          <w:lang w:bidi="zh-CN"/>
        </w:rPr>
        <w:t>参加。投标人少于3家的不得开标，招标人应当重新招标。投标人如不派代表参加的，事后不得对釆购相关人员、招标过程和招标结果提出异议。</w:t>
      </w:r>
    </w:p>
    <w:p w14:paraId="19F8B4D7">
      <w:pPr>
        <w:spacing w:line="440" w:lineRule="exact"/>
        <w:ind w:firstLine="480" w:firstLineChars="200"/>
        <w:jc w:val="left"/>
        <w:rPr>
          <w:rFonts w:ascii="宋体" w:hAnsi="宋体" w:cs="宋体"/>
          <w:sz w:val="24"/>
          <w:highlight w:val="none"/>
          <w:lang w:bidi="zh-CN"/>
        </w:rPr>
      </w:pPr>
      <w:r>
        <w:rPr>
          <w:rFonts w:hint="eastAsia" w:ascii="宋体" w:hAnsi="宋体" w:cs="宋体"/>
          <w:sz w:val="24"/>
          <w:highlight w:val="none"/>
          <w:lang w:bidi="zh-CN"/>
        </w:rPr>
        <w:t>13.2开标会议由招标代理人组织并主持。开标会上将按照投标人递交文件的逆顺序公布投标人名称、投标担保、投标报价、服务期限和其他需宣布的内容等。</w:t>
      </w:r>
    </w:p>
    <w:p w14:paraId="5A10A003">
      <w:pPr>
        <w:spacing w:line="440" w:lineRule="exact"/>
        <w:ind w:firstLine="480" w:firstLineChars="200"/>
        <w:jc w:val="left"/>
        <w:rPr>
          <w:rFonts w:ascii="宋体" w:hAnsi="宋体" w:cs="宋体"/>
          <w:sz w:val="24"/>
          <w:highlight w:val="none"/>
          <w:lang w:bidi="zh-CN"/>
        </w:rPr>
      </w:pPr>
      <w:r>
        <w:rPr>
          <w:rFonts w:hint="eastAsia" w:ascii="宋体" w:hAnsi="宋体" w:cs="宋体"/>
          <w:sz w:val="24"/>
          <w:highlight w:val="none"/>
          <w:lang w:bidi="zh-CN"/>
        </w:rPr>
        <w:t>13.3不同投标人的投标文件异常一致或者投标报价呈规律性差异的，视为投标人相互串通投标，评标委员会应当否决其投标，招投标监督管理机构依法追究投标人及相关人员责任。</w:t>
      </w:r>
    </w:p>
    <w:p w14:paraId="2BE137E7">
      <w:pPr>
        <w:spacing w:line="440" w:lineRule="exact"/>
        <w:ind w:firstLine="480" w:firstLineChars="200"/>
        <w:jc w:val="left"/>
        <w:rPr>
          <w:rFonts w:ascii="宋体" w:hAnsi="宋体" w:cs="宋体"/>
          <w:sz w:val="24"/>
          <w:highlight w:val="none"/>
          <w:lang w:bidi="zh-CN"/>
        </w:rPr>
      </w:pPr>
      <w:r>
        <w:rPr>
          <w:rFonts w:hint="eastAsia" w:ascii="宋体" w:hAnsi="宋体" w:cs="宋体"/>
          <w:sz w:val="24"/>
          <w:highlight w:val="none"/>
          <w:lang w:bidi="zh-CN"/>
        </w:rPr>
        <w:t>13.4招标代理人负责开标会议记录并归档。若招标代理人宣读的内容与投标文件不符时，投标人有权在开标现场提出异议，招标人应当当场做出答复，并进行记录。经招标监督部门当场核查确认后，招标代理人应重新宣读其投标文件。投标人的法定代表人或其授权代表人应在开标记录上签名确认。</w:t>
      </w:r>
    </w:p>
    <w:p w14:paraId="6A63B183">
      <w:pPr>
        <w:spacing w:line="440" w:lineRule="exact"/>
        <w:ind w:firstLine="361" w:firstLineChars="150"/>
        <w:jc w:val="left"/>
        <w:rPr>
          <w:rFonts w:ascii="宋体" w:hAnsi="宋体" w:cs="宋体"/>
          <w:b/>
          <w:sz w:val="24"/>
          <w:highlight w:val="none"/>
          <w:lang w:bidi="en-US"/>
        </w:rPr>
      </w:pPr>
      <w:r>
        <w:rPr>
          <w:rFonts w:hint="eastAsia" w:ascii="宋体" w:hAnsi="宋体" w:cs="宋体"/>
          <w:b/>
          <w:sz w:val="24"/>
          <w:highlight w:val="none"/>
          <w:lang w:bidi="en-US"/>
        </w:rPr>
        <w:t>14、招标会议程序</w:t>
      </w:r>
    </w:p>
    <w:p w14:paraId="4A3F0029">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14.1 开标一般按照以下程序进行：</w:t>
      </w:r>
    </w:p>
    <w:p w14:paraId="707A3CE0">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1、在招标文件确定的投标截止时间停止接受投标文件。记录人将“投标文件递交记录表”提交开标会主持人，确认投标人数量是否符合开标要求；</w:t>
      </w:r>
    </w:p>
    <w:p w14:paraId="4D26B4A0">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2、主持人宣布开标会开始，宣布开标纪律；</w:t>
      </w:r>
    </w:p>
    <w:p w14:paraId="4815FFDE">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3、公布在投标截止时间递交投标文件的投标人名称；</w:t>
      </w:r>
    </w:p>
    <w:p w14:paraId="2EBBF4BB">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4、宣布主持人、开标人、唱标人、记录人、监督人、公证机构等工作人员姓名；</w:t>
      </w:r>
    </w:p>
    <w:p w14:paraId="458A205F">
      <w:pPr>
        <w:spacing w:line="440" w:lineRule="exact"/>
        <w:ind w:firstLine="360" w:firstLineChars="150"/>
        <w:rPr>
          <w:rFonts w:hint="eastAsia" w:ascii="宋体" w:hAnsi="宋体" w:eastAsia="宋体" w:cs="宋体"/>
          <w:sz w:val="24"/>
          <w:highlight w:val="none"/>
          <w:lang w:eastAsia="zh-CN" w:bidi="en-US"/>
        </w:rPr>
      </w:pPr>
      <w:r>
        <w:rPr>
          <w:rFonts w:hint="eastAsia" w:ascii="宋体" w:hAnsi="宋体" w:cs="宋体"/>
          <w:sz w:val="24"/>
          <w:highlight w:val="none"/>
          <w:lang w:bidi="en-US"/>
        </w:rPr>
        <w:t>5、</w:t>
      </w:r>
      <w:r>
        <w:rPr>
          <w:rFonts w:hint="eastAsia" w:ascii="宋体" w:hAnsi="宋体" w:cs="宋体"/>
          <w:sz w:val="24"/>
          <w:highlight w:val="none"/>
          <w:lang w:eastAsia="zh-CN" w:bidi="en-US"/>
        </w:rPr>
        <w:t>投标人现场解密投标文件并在系统中签章确认：</w:t>
      </w:r>
    </w:p>
    <w:p w14:paraId="639B95EA">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6、唱标人公布投标人名称、投标报价及其他内容；</w:t>
      </w:r>
    </w:p>
    <w:p w14:paraId="211892B6">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val="en-US" w:eastAsia="zh-CN" w:bidi="en-US"/>
        </w:rPr>
        <w:t>7</w:t>
      </w:r>
      <w:r>
        <w:rPr>
          <w:rFonts w:hint="eastAsia" w:ascii="宋体" w:hAnsi="宋体" w:cs="宋体"/>
          <w:sz w:val="24"/>
          <w:highlight w:val="none"/>
          <w:lang w:bidi="en-US"/>
        </w:rPr>
        <w:t>、开标结束，进行评标。招标人或者招标代理机构应当对上述开标过程做好记录，存档备查。</w:t>
      </w:r>
    </w:p>
    <w:p w14:paraId="1B642E83">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14.2 有下列情形之一的，监督人应当场宣布投标无效：</w:t>
      </w:r>
    </w:p>
    <w:p w14:paraId="68B6F36C">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1、未按照招标文件要求密封的；</w:t>
      </w:r>
    </w:p>
    <w:p w14:paraId="0E845431">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2、投标人资质审查未通过的；</w:t>
      </w:r>
    </w:p>
    <w:p w14:paraId="026828B0">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3、投标保证金提交不符合规定的；</w:t>
      </w:r>
    </w:p>
    <w:p w14:paraId="642F211A">
      <w:pPr>
        <w:spacing w:line="440" w:lineRule="exact"/>
        <w:ind w:firstLine="360" w:firstLineChars="150"/>
        <w:rPr>
          <w:rFonts w:ascii="宋体" w:hAnsi="宋体" w:cs="宋体"/>
          <w:sz w:val="24"/>
          <w:highlight w:val="none"/>
          <w:lang w:bidi="en-US"/>
        </w:rPr>
      </w:pPr>
      <w:r>
        <w:rPr>
          <w:rFonts w:hint="eastAsia" w:ascii="宋体" w:hAnsi="宋体" w:cs="宋体"/>
          <w:sz w:val="24"/>
          <w:highlight w:val="none"/>
          <w:lang w:bidi="en-US"/>
        </w:rPr>
        <w:t>4、投标总报价高于招标控制价（即最高投标限价）的。</w:t>
      </w:r>
    </w:p>
    <w:p w14:paraId="09160C64">
      <w:pPr>
        <w:spacing w:line="440" w:lineRule="exact"/>
        <w:ind w:firstLine="360" w:firstLineChars="150"/>
        <w:rPr>
          <w:rFonts w:ascii="宋体" w:hAnsi="宋体" w:cs="宋体"/>
          <w:sz w:val="24"/>
          <w:highlight w:val="none"/>
          <w:lang w:bidi="zh-CN"/>
        </w:rPr>
      </w:pPr>
      <w:r>
        <w:rPr>
          <w:rFonts w:hint="eastAsia" w:ascii="宋体" w:hAnsi="宋体" w:cs="宋体"/>
          <w:sz w:val="24"/>
          <w:highlight w:val="none"/>
          <w:lang w:bidi="en-US"/>
        </w:rPr>
        <w:t xml:space="preserve">14.3 </w:t>
      </w:r>
      <w:r>
        <w:rPr>
          <w:rFonts w:hint="eastAsia" w:ascii="宋体" w:hAnsi="宋体" w:cs="宋体"/>
          <w:sz w:val="24"/>
          <w:highlight w:val="none"/>
          <w:lang w:bidi="zh-CN"/>
        </w:rPr>
        <w:t>在评审过程中，评审小组可以根据招标文件和招标情况变动采购需求中的技术、服务要求以及合同草案条款，但不得变动招标文件中的实质性内容。对招标文件作出的变动是招标文件的有效组成部分，评审小组应当及时以书面形式同时通知所有参加投标的投标人。投标人应当按照招标文件的变动情况和评审小组的要求重新提交投标文件，并由其法定代表人或授权代表签字或者加盖公章。由授权代表签字的，应当附法定代表人授权书。投标人为自然人的，应当由本人签字并附身份证明。</w:t>
      </w:r>
    </w:p>
    <w:p w14:paraId="56888ECD">
      <w:pPr>
        <w:pStyle w:val="59"/>
        <w:ind w:firstLine="560"/>
        <w:rPr>
          <w:highlight w:val="none"/>
        </w:rPr>
      </w:pPr>
    </w:p>
    <w:p w14:paraId="7FAB71A2">
      <w:pPr>
        <w:pStyle w:val="5"/>
        <w:spacing w:before="0" w:after="0" w:line="440" w:lineRule="exact"/>
        <w:jc w:val="center"/>
        <w:rPr>
          <w:rFonts w:ascii="宋体" w:hAnsi="宋体" w:cs="宋体"/>
          <w:sz w:val="28"/>
          <w:szCs w:val="28"/>
          <w:highlight w:val="none"/>
        </w:rPr>
      </w:pPr>
      <w:bookmarkStart w:id="18" w:name="_Toc23811"/>
      <w:r>
        <w:rPr>
          <w:rFonts w:hint="eastAsia" w:ascii="宋体" w:hAnsi="宋体" w:cs="宋体"/>
          <w:sz w:val="28"/>
          <w:szCs w:val="28"/>
          <w:highlight w:val="none"/>
        </w:rPr>
        <w:t>第五章  定标</w:t>
      </w:r>
      <w:bookmarkEnd w:id="18"/>
    </w:p>
    <w:p w14:paraId="54C1BFBF">
      <w:pPr>
        <w:spacing w:line="440" w:lineRule="exact"/>
        <w:ind w:firstLine="472" w:firstLineChars="196"/>
        <w:rPr>
          <w:rFonts w:ascii="宋体" w:hAnsi="宋体" w:cs="宋体"/>
          <w:b/>
          <w:sz w:val="24"/>
          <w:highlight w:val="none"/>
        </w:rPr>
      </w:pPr>
      <w:r>
        <w:rPr>
          <w:rFonts w:hint="eastAsia" w:ascii="宋体" w:hAnsi="宋体" w:cs="宋体"/>
          <w:b/>
          <w:sz w:val="24"/>
          <w:highlight w:val="none"/>
        </w:rPr>
        <w:t>15、定标标准</w:t>
      </w:r>
    </w:p>
    <w:p w14:paraId="413EB3B9">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15.1 由评审小组采用综合评分法对投标人的投标文件和报价进行综合评分。综合评分法，是指投标文件满足招标文件全部实质性要求且按评审因素的量化指标评审得分最高的投标人为中标候选投标人的评审方法。</w:t>
      </w:r>
    </w:p>
    <w:p w14:paraId="619C7FA6">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评审小组根据依据此原则按由高到低排序向采购人推荐3家投标中标候选人,或拒绝所有投标人，采购人根据专家推荐意见与建议，确定和公布最终中标投标人。</w:t>
      </w:r>
    </w:p>
    <w:p w14:paraId="120BC927">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15.2 原则上应将排名第一的投标人确定为中标投标人，若有以下情形之一者也可确定推荐排名第二的投标人为中标人：</w:t>
      </w:r>
    </w:p>
    <w:p w14:paraId="1D5D9CA2">
      <w:pPr>
        <w:spacing w:line="440" w:lineRule="exact"/>
        <w:ind w:firstLine="472" w:firstLineChars="200"/>
        <w:rPr>
          <w:rFonts w:hint="eastAsia" w:ascii="宋体" w:hAnsi="宋体" w:cs="宋体"/>
          <w:spacing w:val="-2"/>
          <w:sz w:val="24"/>
          <w:highlight w:val="none"/>
        </w:rPr>
      </w:pPr>
      <w:r>
        <w:rPr>
          <w:rFonts w:hint="eastAsia" w:ascii="宋体" w:hAnsi="宋体" w:cs="宋体"/>
          <w:spacing w:val="-2"/>
          <w:sz w:val="24"/>
          <w:highlight w:val="none"/>
        </w:rPr>
        <w:t>15.2.1 《中标通知书》发出后，中标单位未按中标通知书及</w:t>
      </w:r>
      <w:r>
        <w:rPr>
          <w:rFonts w:hint="eastAsia" w:ascii="宋体" w:hAnsi="宋体" w:cs="宋体"/>
          <w:spacing w:val="-2"/>
          <w:sz w:val="24"/>
          <w:highlight w:val="none"/>
          <w:lang w:val="en-US" w:eastAsia="zh-CN"/>
        </w:rPr>
        <w:t>招标</w:t>
      </w:r>
      <w:r>
        <w:rPr>
          <w:rFonts w:hint="eastAsia" w:ascii="宋体" w:hAnsi="宋体" w:cs="宋体"/>
          <w:spacing w:val="-2"/>
          <w:sz w:val="24"/>
          <w:highlight w:val="none"/>
          <w:lang w:eastAsia="zh-CN"/>
        </w:rPr>
        <w:t>文件</w:t>
      </w:r>
      <w:r>
        <w:rPr>
          <w:rFonts w:hint="eastAsia" w:ascii="宋体" w:hAnsi="宋体" w:cs="宋体"/>
          <w:spacing w:val="-2"/>
          <w:sz w:val="24"/>
          <w:highlight w:val="none"/>
        </w:rPr>
        <w:t>要求前来签订合同的，视为放弃中标，取消其中标资格。根据《政府采购法实施条例》第四十九条规定“ 中标或者成交供应商拒绝与采购人签订合同的，采购人可以按照评审报告推荐的中标或者成交候选人名单排序，确定下一候选人为中标或者成交供应商，也可以重新开展政府采购活动 ”。</w:t>
      </w:r>
    </w:p>
    <w:p w14:paraId="0D5EA3D2">
      <w:pPr>
        <w:spacing w:line="440" w:lineRule="exact"/>
        <w:ind w:firstLine="472" w:firstLineChars="200"/>
        <w:rPr>
          <w:rFonts w:hint="eastAsia" w:ascii="宋体" w:hAnsi="宋体" w:cs="宋体"/>
          <w:spacing w:val="-2"/>
          <w:sz w:val="24"/>
          <w:highlight w:val="none"/>
        </w:rPr>
      </w:pPr>
      <w:r>
        <w:rPr>
          <w:rFonts w:hint="eastAsia" w:ascii="宋体" w:hAnsi="宋体" w:cs="宋体"/>
          <w:spacing w:val="-2"/>
          <w:sz w:val="24"/>
          <w:highlight w:val="none"/>
        </w:rPr>
        <w:t>15.2.</w:t>
      </w:r>
      <w:r>
        <w:rPr>
          <w:rFonts w:hint="eastAsia" w:ascii="宋体" w:hAnsi="宋体" w:cs="宋体"/>
          <w:spacing w:val="-2"/>
          <w:sz w:val="24"/>
          <w:highlight w:val="none"/>
          <w:lang w:val="en-US" w:eastAsia="zh-CN"/>
        </w:rPr>
        <w:t>2</w:t>
      </w:r>
      <w:r>
        <w:rPr>
          <w:rFonts w:hint="eastAsia" w:ascii="宋体" w:hAnsi="宋体" w:cs="宋体"/>
          <w:spacing w:val="-2"/>
          <w:sz w:val="24"/>
          <w:highlight w:val="none"/>
        </w:rPr>
        <w:t>排名第一的中标候选人因不可抗力提出不能履行合同；或未能在规定 时间内与采购人签订合同的；或者经质疑，采购人及招标代理机构审查后，确因排名第一的候选人在本次采购活动中存在违法违规行为或其他原因使质疑成立的，招标代理机构根据采购人要求可视具体情况确定是否由排名第二的中标候选人为中标人。</w:t>
      </w:r>
    </w:p>
    <w:p w14:paraId="0E3FB15F">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15.2.</w:t>
      </w:r>
      <w:r>
        <w:rPr>
          <w:rFonts w:hint="eastAsia" w:ascii="宋体" w:hAnsi="宋体" w:cs="宋体"/>
          <w:spacing w:val="-2"/>
          <w:sz w:val="24"/>
          <w:highlight w:val="none"/>
          <w:lang w:val="en-US" w:eastAsia="zh-CN"/>
        </w:rPr>
        <w:t>3</w:t>
      </w:r>
      <w:r>
        <w:rPr>
          <w:rFonts w:hint="eastAsia" w:ascii="宋体" w:hAnsi="宋体" w:cs="宋体"/>
          <w:spacing w:val="-2"/>
          <w:sz w:val="24"/>
          <w:highlight w:val="none"/>
        </w:rPr>
        <w:t>如果中标人没有按照</w:t>
      </w:r>
      <w:r>
        <w:rPr>
          <w:rFonts w:hint="eastAsia" w:ascii="宋体" w:hAnsi="宋体" w:cs="宋体"/>
          <w:spacing w:val="-2"/>
          <w:sz w:val="24"/>
          <w:highlight w:val="none"/>
          <w:lang w:val="en-US" w:eastAsia="zh-CN"/>
        </w:rPr>
        <w:t>招标</w:t>
      </w:r>
      <w:r>
        <w:rPr>
          <w:rFonts w:hint="eastAsia" w:ascii="宋体" w:hAnsi="宋体" w:cs="宋体"/>
          <w:spacing w:val="-2"/>
          <w:sz w:val="24"/>
          <w:highlight w:val="none"/>
          <w:lang w:eastAsia="zh-CN"/>
        </w:rPr>
        <w:t>文件</w:t>
      </w:r>
      <w:r>
        <w:rPr>
          <w:rFonts w:hint="eastAsia" w:ascii="宋体" w:hAnsi="宋体" w:cs="宋体"/>
          <w:spacing w:val="-2"/>
          <w:sz w:val="24"/>
          <w:highlight w:val="none"/>
        </w:rPr>
        <w:t>规定提交履约保证金，采购人有权取消该中标决定。在此情况下，采购人可另选下一个中标候选人，或重新招标。</w:t>
      </w:r>
    </w:p>
    <w:p w14:paraId="459699A5">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15.3 评审组无义务向投标人进行任何有关招标、评审的解释工作。</w:t>
      </w:r>
    </w:p>
    <w:p w14:paraId="02C3C502">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15.4 在确定和公布最终中标人前，采购人认为必要时，可以对认为有必要了解或核实的问题进行考查、核实。</w:t>
      </w:r>
    </w:p>
    <w:p w14:paraId="17B0E6ED">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15.5 如果确定该投标人无条件圆满履行合同，评审小组将对下一个可能中标的投标人资格做出类似的审查。</w:t>
      </w:r>
    </w:p>
    <w:p w14:paraId="352E8B96">
      <w:pPr>
        <w:spacing w:line="440" w:lineRule="exact"/>
        <w:ind w:firstLine="474" w:firstLineChars="200"/>
        <w:rPr>
          <w:rFonts w:ascii="宋体" w:hAnsi="宋体" w:cs="宋体"/>
          <w:b/>
          <w:spacing w:val="-2"/>
          <w:sz w:val="24"/>
          <w:highlight w:val="none"/>
        </w:rPr>
      </w:pPr>
      <w:r>
        <w:rPr>
          <w:rFonts w:hint="eastAsia" w:ascii="宋体" w:hAnsi="宋体" w:cs="宋体"/>
          <w:b/>
          <w:spacing w:val="-2"/>
          <w:sz w:val="24"/>
          <w:highlight w:val="none"/>
        </w:rPr>
        <w:t>16、结果公示</w:t>
      </w:r>
    </w:p>
    <w:p w14:paraId="3679EAD3">
      <w:pPr>
        <w:spacing w:line="440" w:lineRule="exact"/>
        <w:ind w:firstLine="472" w:firstLineChars="200"/>
        <w:rPr>
          <w:rFonts w:ascii="宋体" w:hAnsi="宋体" w:cs="宋体"/>
          <w:spacing w:val="-2"/>
          <w:sz w:val="24"/>
          <w:highlight w:val="none"/>
        </w:rPr>
      </w:pPr>
      <w:r>
        <w:rPr>
          <w:rFonts w:hint="eastAsia" w:ascii="宋体" w:hAnsi="宋体" w:cs="宋体"/>
          <w:spacing w:val="-2"/>
          <w:sz w:val="24"/>
          <w:highlight w:val="none"/>
        </w:rPr>
        <w:t>依法必须进行招标的项目，招标人在新疆政府采购网和阿克苏地区行政公署网公示中标候选人。公示内容包括：中标候选人及其投标报价、评标委员会成员。公示期</w:t>
      </w:r>
      <w:r>
        <w:rPr>
          <w:rFonts w:hint="eastAsia" w:ascii="宋体" w:hAnsi="宋体" w:cs="宋体"/>
          <w:spacing w:val="-2"/>
          <w:sz w:val="24"/>
          <w:highlight w:val="none"/>
          <w:lang w:val="en-US" w:eastAsia="zh-CN"/>
        </w:rPr>
        <w:t>1</w:t>
      </w:r>
      <w:r>
        <w:rPr>
          <w:rFonts w:hint="eastAsia" w:ascii="宋体" w:hAnsi="宋体" w:cs="宋体"/>
          <w:spacing w:val="-2"/>
          <w:sz w:val="24"/>
          <w:highlight w:val="none"/>
        </w:rPr>
        <w:t>个工作日。</w:t>
      </w:r>
    </w:p>
    <w:p w14:paraId="4CD68769">
      <w:pPr>
        <w:spacing w:line="440" w:lineRule="exact"/>
        <w:ind w:firstLine="472" w:firstLineChars="196"/>
        <w:rPr>
          <w:rFonts w:ascii="宋体" w:hAnsi="宋体" w:cs="宋体"/>
          <w:b/>
          <w:sz w:val="24"/>
          <w:highlight w:val="none"/>
        </w:rPr>
      </w:pPr>
      <w:r>
        <w:rPr>
          <w:rFonts w:hint="eastAsia" w:ascii="宋体" w:hAnsi="宋体" w:cs="宋体"/>
          <w:b/>
          <w:sz w:val="24"/>
          <w:highlight w:val="none"/>
        </w:rPr>
        <w:t>17、中标通知书</w:t>
      </w:r>
    </w:p>
    <w:p w14:paraId="4C965975">
      <w:pPr>
        <w:spacing w:line="440" w:lineRule="exact"/>
        <w:ind w:firstLine="480" w:firstLineChars="200"/>
        <w:rPr>
          <w:rFonts w:ascii="宋体" w:hAnsi="宋体" w:cs="宋体"/>
          <w:sz w:val="24"/>
          <w:highlight w:val="none"/>
        </w:rPr>
      </w:pPr>
      <w:r>
        <w:rPr>
          <w:rFonts w:hint="eastAsia" w:ascii="宋体" w:hAnsi="宋体" w:cs="宋体"/>
          <w:sz w:val="24"/>
          <w:highlight w:val="none"/>
        </w:rPr>
        <w:t>公示期若无异议，</w:t>
      </w:r>
      <w:r>
        <w:rPr>
          <w:rFonts w:hint="eastAsia" w:ascii="宋体" w:hAnsi="宋体" w:cs="宋体"/>
          <w:sz w:val="24"/>
          <w:highlight w:val="none"/>
          <w:lang w:eastAsia="zh-CN"/>
        </w:rPr>
        <w:t>新疆经开项目管理有限公司</w:t>
      </w:r>
      <w:r>
        <w:rPr>
          <w:rFonts w:hint="eastAsia" w:ascii="宋体" w:hAnsi="宋体" w:cs="宋体"/>
          <w:sz w:val="24"/>
          <w:highlight w:val="none"/>
        </w:rPr>
        <w:t>将以书面形式发出《中标通知书》。《中标通知书》将作为签订合同的依据。</w:t>
      </w:r>
    </w:p>
    <w:p w14:paraId="37585EFC">
      <w:pPr>
        <w:spacing w:line="440" w:lineRule="exact"/>
        <w:ind w:firstLine="482" w:firstLineChars="200"/>
        <w:rPr>
          <w:rFonts w:ascii="宋体" w:hAnsi="宋体" w:cs="宋体"/>
          <w:b/>
          <w:sz w:val="24"/>
          <w:highlight w:val="none"/>
          <w:lang w:bidi="zh-CN"/>
        </w:rPr>
      </w:pPr>
      <w:r>
        <w:rPr>
          <w:rFonts w:hint="eastAsia" w:ascii="宋体" w:hAnsi="宋体" w:cs="宋体"/>
          <w:b/>
          <w:sz w:val="24"/>
          <w:highlight w:val="none"/>
          <w:lang w:bidi="zh-CN"/>
        </w:rPr>
        <w:t>18、质疑</w:t>
      </w:r>
    </w:p>
    <w:p w14:paraId="62D18415">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1、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出质疑；政府采购监督管理部门规定的其他条件。质疑人提出质疑时，由质疑方的法定代表人或授权代理人（必须为法定代表人授权进行该项目响应的被授权人）以书面形式递交质疑函或者以电子邮件的方式发送至电子邮箱，质疑函应当包括下列内容：</w:t>
      </w:r>
    </w:p>
    <w:p w14:paraId="1B0B87CD">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（1）供应商的姓名或者名称、地址、邮编、联系人及联系电话；</w:t>
      </w:r>
    </w:p>
    <w:p w14:paraId="34F81BB6">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（2）质疑项目的名称、编号；</w:t>
      </w:r>
    </w:p>
    <w:p w14:paraId="677DFBDE">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（3）具体、明确的质疑事项和与质疑事项相关的请求；</w:t>
      </w:r>
    </w:p>
    <w:p w14:paraId="2E0B14DE">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（4）事实依据；</w:t>
      </w:r>
    </w:p>
    <w:p w14:paraId="2DC211D2">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（5）必要的法律依据；</w:t>
      </w:r>
    </w:p>
    <w:p w14:paraId="629C0A9B">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（6）提出质疑的日期。</w:t>
      </w:r>
    </w:p>
    <w:p w14:paraId="6B13E81B">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2、对采购文件的质疑</w:t>
      </w:r>
    </w:p>
    <w:p w14:paraId="5D8B36E9">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供应商若对采购文件有疑问需要质疑，在获取采购文件之日起按照财政部第94号令，在此对应时间内未提出质疑的，视同对</w:t>
      </w:r>
      <w:r>
        <w:rPr>
          <w:rFonts w:hint="eastAsia" w:ascii="宋体" w:hAnsi="宋体" w:cs="宋体"/>
          <w:sz w:val="24"/>
          <w:highlight w:val="none"/>
          <w:lang w:val="en-US" w:eastAsia="zh-CN"/>
        </w:rPr>
        <w:t>招标</w:t>
      </w:r>
      <w:r>
        <w:rPr>
          <w:rFonts w:hint="eastAsia" w:ascii="宋体" w:hAnsi="宋体" w:cs="宋体"/>
          <w:sz w:val="24"/>
          <w:highlight w:val="none"/>
          <w:lang w:eastAsia="zh-CN"/>
        </w:rPr>
        <w:t>文件</w:t>
      </w:r>
      <w:r>
        <w:rPr>
          <w:rFonts w:hint="eastAsia" w:ascii="宋体" w:hAnsi="宋体" w:cs="宋体"/>
          <w:sz w:val="24"/>
          <w:highlight w:val="none"/>
        </w:rPr>
        <w:t>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73BBA532">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3、对中标结果的质疑</w:t>
      </w:r>
    </w:p>
    <w:p w14:paraId="7ED306BB">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供应商若对中标结果有疑问需要质疑，在招标代理机构于新疆政府采购网发布中标（成交）结果之日起1个工作日内提出，在此对应时间内未提出质疑的，视同对中标结果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22B8D4EE">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4、对采购过程的质疑</w:t>
      </w:r>
    </w:p>
    <w:p w14:paraId="72C902DF">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供应商若对采购过程有疑问需要质疑，可以在招标程序环节结束之日起3日内提出，在此对应时间内未提出质疑的，视同对采购过程无异议，之后提出的质疑将不予受理。质疑函须有法定代表人亲笔签名。质疑函应内容真实，证据充分，不得进行恶意质疑。质疑供应商在递交或者发送质疑函时应一起提供本单位营业执照扫描件，由法定代表人递交或发送质疑函时，应提供或发送法定代表人身份证扫描件；由授权代理人递交或发送质疑函时，还须提供或发送法人投标授权函和质疑授权函扫描件及授权代理人的身份证扫描件，扫描件须清晰、有效，均须加盖公章。</w:t>
      </w:r>
    </w:p>
    <w:p w14:paraId="4618A672">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5、质疑答复将以书面形式或者电子邮箱形式发送至提出质疑的供应商（供应商应自行留意查看），或在新疆政府采购网予以公告。递交或发送质疑函的供应商和其他有关供应商在被告知、收到上述公告、通知或质疑答复后，应立即向采购人回函确认。未确认情况应当视为对质疑答复的知晓，也将视为对质疑答复内容接受的默认。</w:t>
      </w:r>
    </w:p>
    <w:p w14:paraId="6D58FC87">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6、供应商应在质疑期内一次性提出针对同一采购程序环节的质疑，质疑期内针对同一采购程序环节再次提出的质疑，采购人、采购代理机构有权不予答复。</w:t>
      </w:r>
    </w:p>
    <w:p w14:paraId="326255A4">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7、澄清或质疑不予受理的情况有下列情形之一的，属于无效质疑，被质疑人</w:t>
      </w:r>
    </w:p>
    <w:p w14:paraId="3CF93AE0">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不予受理，由此产生的影响由供应商自行承担：</w:t>
      </w:r>
    </w:p>
    <w:p w14:paraId="42DF14C6">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(一) 不是参与该政府采购项目活动供应商的;</w:t>
      </w:r>
    </w:p>
    <w:p w14:paraId="52B5DCB1">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(二) 被质疑人为采购人或政府采购代理机构之外的；</w:t>
      </w:r>
    </w:p>
    <w:p w14:paraId="0138CB9A">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(三) 所有质疑事项超过质疑有效期的；</w:t>
      </w:r>
    </w:p>
    <w:p w14:paraId="1A60AA69">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(四) 以具有法律效力的文书送达之外方式提出的；</w:t>
      </w:r>
    </w:p>
    <w:p w14:paraId="2BA2DD83">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(五) 未按上述规定递交或发送质疑函的；</w:t>
      </w:r>
    </w:p>
    <w:p w14:paraId="34C543E0">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(六) 其它不符合受理条件的情形。澄清或质疑不予受理的情况有下列情形之</w:t>
      </w:r>
    </w:p>
    <w:p w14:paraId="6AA8502D">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一的，属于无效质疑，被质疑人不予受理，由此产生的影响由供应商自行承担。</w:t>
      </w:r>
    </w:p>
    <w:p w14:paraId="64F8CBDD">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8、质疑函制作说明：</w:t>
      </w:r>
    </w:p>
    <w:p w14:paraId="3872D649">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质疑函须有法定代表人亲笔签名。质疑函应内容真实，证据充分，不得进行恶意质疑。质疑供应商在递交或者发送质疑函时应一起提供本单位营业执照扫描件，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6464FE24">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9、质疑函范本</w:t>
      </w:r>
    </w:p>
    <w:p w14:paraId="004B3983">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一、质疑供应商基本信息</w:t>
      </w:r>
    </w:p>
    <w:p w14:paraId="4E19E3CD">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质疑供应商：</w:t>
      </w:r>
    </w:p>
    <w:p w14:paraId="78EA79B3">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地址：邮编：</w:t>
      </w:r>
    </w:p>
    <w:p w14:paraId="2C8A00F0">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联系人：联系电话：</w:t>
      </w:r>
    </w:p>
    <w:p w14:paraId="11D40576">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授权代表：</w:t>
      </w:r>
    </w:p>
    <w:p w14:paraId="6D17D2A9">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联系电话：</w:t>
      </w:r>
    </w:p>
    <w:p w14:paraId="45104278">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地址：邮编：</w:t>
      </w:r>
    </w:p>
    <w:p w14:paraId="1557080B">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二、质疑项目基本情况</w:t>
      </w:r>
    </w:p>
    <w:p w14:paraId="26AC735D">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质疑项目的名称：</w:t>
      </w:r>
    </w:p>
    <w:p w14:paraId="2C4E9091">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质疑项目的编号：标项号：</w:t>
      </w:r>
    </w:p>
    <w:p w14:paraId="3DFE9B38">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采购人名称：</w:t>
      </w:r>
    </w:p>
    <w:p w14:paraId="76142F19">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采购文件获取日期：</w:t>
      </w:r>
    </w:p>
    <w:p w14:paraId="0663C221">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三、质疑事项的具体内容</w:t>
      </w:r>
    </w:p>
    <w:p w14:paraId="74C81791">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质疑事项1：</w:t>
      </w:r>
    </w:p>
    <w:p w14:paraId="462B0E77">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事实依据：</w:t>
      </w:r>
    </w:p>
    <w:p w14:paraId="6C116203">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法律依据：</w:t>
      </w:r>
    </w:p>
    <w:p w14:paraId="2CF16978">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质疑事项2：</w:t>
      </w:r>
    </w:p>
    <w:p w14:paraId="15D89148">
      <w:pPr>
        <w:spacing w:line="440" w:lineRule="exact"/>
        <w:ind w:firstLine="600" w:firstLineChars="250"/>
        <w:contextualSpacing/>
        <w:rPr>
          <w:rFonts w:hint="eastAsia" w:ascii="宋体" w:hAnsi="宋体" w:cs="宋体"/>
          <w:sz w:val="24"/>
          <w:highlight w:val="none"/>
        </w:rPr>
      </w:pPr>
    </w:p>
    <w:p w14:paraId="0445E763">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w:t>
      </w:r>
    </w:p>
    <w:p w14:paraId="0802BF85">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四、与质疑事项相关的质疑请求</w:t>
      </w:r>
    </w:p>
    <w:p w14:paraId="213D1FAB">
      <w:pPr>
        <w:spacing w:line="440" w:lineRule="exact"/>
        <w:ind w:firstLine="600" w:firstLineChars="250"/>
        <w:contextualSpacing/>
        <w:rPr>
          <w:rFonts w:hint="eastAsia" w:ascii="宋体" w:hAnsi="宋体" w:cs="宋体"/>
          <w:sz w:val="24"/>
          <w:highlight w:val="none"/>
        </w:rPr>
      </w:pPr>
      <w:bookmarkStart w:id="19" w:name="bookmark4"/>
      <w:bookmarkEnd w:id="19"/>
      <w:r>
        <w:rPr>
          <w:rFonts w:hint="eastAsia" w:ascii="宋体" w:hAnsi="宋体" w:cs="宋体"/>
          <w:sz w:val="24"/>
          <w:highlight w:val="none"/>
        </w:rPr>
        <w:t>请求：</w:t>
      </w:r>
    </w:p>
    <w:p w14:paraId="713A485E">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签字（盖章）：公章：</w:t>
      </w:r>
    </w:p>
    <w:p w14:paraId="7C44C6E1">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日期：</w:t>
      </w:r>
    </w:p>
    <w:p w14:paraId="53F5D9A6">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10、投诉人有下列情形之一的，属于虚假、恶意投诉，财政部门应当驳回投诉，将其列入不良行为记录名单，并依法予以处罚：</w:t>
      </w:r>
    </w:p>
    <w:p w14:paraId="4BA38797">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（1）1 年内 3 次以上投诉均查无实据的；</w:t>
      </w:r>
    </w:p>
    <w:p w14:paraId="0A5B4536">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（2）捏造事实或者提供虚假投诉材料的。</w:t>
      </w:r>
    </w:p>
    <w:p w14:paraId="4CA6D194">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11、腐败和欺诈行为</w:t>
      </w:r>
    </w:p>
    <w:p w14:paraId="696B9C31">
      <w:pPr>
        <w:spacing w:line="440" w:lineRule="exact"/>
        <w:ind w:firstLine="600" w:firstLineChars="250"/>
        <w:contextualSpacing/>
        <w:rPr>
          <w:rFonts w:hint="eastAsia" w:ascii="宋体" w:hAnsi="宋体" w:cs="宋体"/>
          <w:sz w:val="24"/>
          <w:highlight w:val="none"/>
        </w:rPr>
      </w:pPr>
      <w:r>
        <w:rPr>
          <w:rFonts w:hint="eastAsia" w:ascii="宋体" w:hAnsi="宋体" w:cs="宋体"/>
          <w:sz w:val="24"/>
          <w:highlight w:val="none"/>
        </w:rPr>
        <w:t>（1）定义“腐败行为”系指提供、给予、接受或索取任何有价值的物品来影响招标代理机构和/或采购人在采购过程或合同实施过程中的行为。“欺诈行为”系指为了影响采购过程或合同实施过程而谎报事实，损害招标代理机构和采购人的利益，包括供应商之间串通投标（递交《</w:t>
      </w:r>
      <w:r>
        <w:rPr>
          <w:rFonts w:hint="eastAsia" w:ascii="宋体" w:hAnsi="宋体" w:cs="宋体"/>
          <w:sz w:val="24"/>
          <w:highlight w:val="none"/>
          <w:lang w:val="en-US" w:eastAsia="zh-CN"/>
        </w:rPr>
        <w:t>投标</w:t>
      </w:r>
      <w:r>
        <w:rPr>
          <w:rFonts w:hint="eastAsia" w:ascii="宋体" w:hAnsi="宋体" w:cs="宋体"/>
          <w:sz w:val="24"/>
          <w:highlight w:val="none"/>
        </w:rPr>
        <w:t>文件》之前和之后），人为地使投标丧失竞争性，剥夺采购人从自由公开竞争所能获得的权益。</w:t>
      </w:r>
    </w:p>
    <w:p w14:paraId="63A1F009">
      <w:pPr>
        <w:spacing w:line="440" w:lineRule="exact"/>
        <w:ind w:firstLine="600" w:firstLineChars="250"/>
        <w:contextualSpacing/>
        <w:rPr>
          <w:rFonts w:ascii="宋体" w:hAnsi="宋体" w:cs="宋体"/>
          <w:sz w:val="24"/>
          <w:highlight w:val="none"/>
        </w:rPr>
      </w:pPr>
      <w:r>
        <w:rPr>
          <w:rFonts w:hint="eastAsia" w:ascii="宋体" w:hAnsi="宋体" w:cs="宋体"/>
          <w:sz w:val="24"/>
          <w:highlight w:val="none"/>
        </w:rPr>
        <w:t>（2）如果招标代理机构和采购人认为供应商在本项目的竞争中有腐败或欺诈行为，其投标将被拒绝。</w:t>
      </w:r>
    </w:p>
    <w:p w14:paraId="7E16358C">
      <w:pPr>
        <w:pStyle w:val="59"/>
        <w:ind w:firstLine="560"/>
        <w:rPr>
          <w:highlight w:val="none"/>
        </w:rPr>
      </w:pPr>
    </w:p>
    <w:p w14:paraId="7709D923">
      <w:pPr>
        <w:pStyle w:val="5"/>
        <w:spacing w:before="0" w:after="0" w:line="440" w:lineRule="exact"/>
        <w:jc w:val="center"/>
        <w:rPr>
          <w:rFonts w:ascii="宋体" w:hAnsi="宋体" w:cs="宋体"/>
          <w:sz w:val="24"/>
          <w:szCs w:val="24"/>
          <w:highlight w:val="none"/>
        </w:rPr>
      </w:pPr>
      <w:bookmarkStart w:id="20" w:name="_Toc13364"/>
      <w:r>
        <w:rPr>
          <w:rFonts w:hint="eastAsia" w:ascii="宋体" w:hAnsi="宋体" w:cs="宋体"/>
          <w:sz w:val="28"/>
          <w:szCs w:val="28"/>
          <w:highlight w:val="none"/>
        </w:rPr>
        <w:t>第六章  授予合同</w:t>
      </w:r>
      <w:bookmarkEnd w:id="20"/>
    </w:p>
    <w:p w14:paraId="15CB83BD">
      <w:pPr>
        <w:spacing w:line="440" w:lineRule="exact"/>
        <w:ind w:firstLine="480" w:firstLineChars="200"/>
        <w:rPr>
          <w:rFonts w:ascii="宋体" w:hAnsi="宋体" w:cs="宋体"/>
          <w:sz w:val="24"/>
          <w:highlight w:val="none"/>
        </w:rPr>
      </w:pPr>
      <w:r>
        <w:rPr>
          <w:rFonts w:hint="eastAsia" w:ascii="宋体" w:hAnsi="宋体" w:cs="宋体"/>
          <w:sz w:val="24"/>
          <w:highlight w:val="none"/>
        </w:rPr>
        <w:t>19、签订合同</w:t>
      </w:r>
    </w:p>
    <w:p w14:paraId="166A1F2D">
      <w:pPr>
        <w:spacing w:line="440" w:lineRule="exact"/>
        <w:ind w:firstLine="480" w:firstLineChars="200"/>
        <w:rPr>
          <w:rFonts w:ascii="宋体" w:hAnsi="宋体" w:cs="宋体"/>
          <w:sz w:val="24"/>
          <w:highlight w:val="none"/>
        </w:rPr>
      </w:pPr>
      <w:r>
        <w:rPr>
          <w:rFonts w:hint="eastAsia" w:ascii="宋体" w:hAnsi="宋体" w:cs="宋体"/>
          <w:sz w:val="24"/>
          <w:highlight w:val="none"/>
        </w:rPr>
        <w:t>19.1中标方收到采购方的《中标通知书》后30日内，按照招标文件的约定和中标人投标文件中的承诺与采购单位签订书面合同，所签订的合同不得对招标文件和中标人的投标文件作实质性修改。</w:t>
      </w:r>
    </w:p>
    <w:p w14:paraId="400E30C6">
      <w:pPr>
        <w:spacing w:line="440" w:lineRule="exact"/>
        <w:ind w:firstLine="480" w:firstLineChars="200"/>
        <w:rPr>
          <w:rFonts w:ascii="宋体" w:hAnsi="宋体" w:cs="宋体"/>
          <w:sz w:val="24"/>
          <w:highlight w:val="none"/>
        </w:rPr>
      </w:pPr>
      <w:r>
        <w:rPr>
          <w:rFonts w:hint="eastAsia" w:ascii="宋体" w:hAnsi="宋体" w:cs="宋体"/>
          <w:sz w:val="24"/>
          <w:highlight w:val="none"/>
        </w:rPr>
        <w:t>19.2采购方在授予合同时，有权对招标文件中规定的服务的数量在10%的幅度内予以增加或减少。但不得对单价更改。</w:t>
      </w:r>
    </w:p>
    <w:p w14:paraId="4D6A51E7">
      <w:pPr>
        <w:spacing w:line="440" w:lineRule="exact"/>
        <w:ind w:firstLine="480" w:firstLineChars="200"/>
        <w:rPr>
          <w:rFonts w:ascii="宋体" w:hAnsi="宋体" w:cs="宋体"/>
          <w:sz w:val="24"/>
          <w:highlight w:val="none"/>
        </w:rPr>
      </w:pPr>
      <w:r>
        <w:rPr>
          <w:rFonts w:hint="eastAsia" w:ascii="宋体" w:hAnsi="宋体" w:cs="宋体"/>
          <w:sz w:val="24"/>
          <w:highlight w:val="none"/>
        </w:rPr>
        <w:t>19.3如中标方拒签合同，则按违约处理。采购方没收其投标保证金。</w:t>
      </w:r>
    </w:p>
    <w:p w14:paraId="412B44C5">
      <w:pPr>
        <w:spacing w:line="440" w:lineRule="exact"/>
        <w:ind w:firstLine="480" w:firstLineChars="200"/>
        <w:rPr>
          <w:rFonts w:ascii="宋体" w:hAnsi="宋体" w:cs="宋体"/>
          <w:sz w:val="24"/>
          <w:highlight w:val="none"/>
        </w:rPr>
      </w:pPr>
      <w:r>
        <w:rPr>
          <w:rFonts w:hint="eastAsia" w:ascii="宋体" w:hAnsi="宋体" w:cs="宋体"/>
          <w:sz w:val="24"/>
          <w:highlight w:val="none"/>
        </w:rPr>
        <w:t>19.4招标文件、中标人投标文件及其澄清文件等，均为签订经济合同的依据。</w:t>
      </w:r>
    </w:p>
    <w:p w14:paraId="3054020E">
      <w:pPr>
        <w:spacing w:line="440" w:lineRule="exact"/>
        <w:ind w:firstLine="480" w:firstLineChars="200"/>
        <w:rPr>
          <w:rFonts w:ascii="宋体" w:hAnsi="宋体" w:cs="宋体"/>
          <w:sz w:val="24"/>
          <w:highlight w:val="none"/>
        </w:rPr>
      </w:pPr>
      <w:r>
        <w:rPr>
          <w:rFonts w:hint="eastAsia" w:ascii="宋体" w:hAnsi="宋体" w:cs="宋体"/>
          <w:sz w:val="24"/>
          <w:highlight w:val="none"/>
        </w:rPr>
        <w:t>19.5不允许中标人将中标项目分包或转交他人承担，特殊情况下，中标人必须与采购方协商后共同决定将合同标的中的部分由第三方承担供货和服务责任，但中标人必须对合同标的全部内容向采购方负责，并保证第三方提供的供货和服务符合招标文件的约定和投标文件的承诺及相关约定。</w:t>
      </w:r>
    </w:p>
    <w:p w14:paraId="20610D72">
      <w:pPr>
        <w:spacing w:line="440" w:lineRule="exact"/>
        <w:jc w:val="center"/>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第七章 纪律和监督</w:t>
      </w:r>
    </w:p>
    <w:p w14:paraId="6E4C1797">
      <w:pPr>
        <w:spacing w:line="440" w:lineRule="exact"/>
        <w:ind w:firstLine="480" w:firstLineChars="200"/>
        <w:rPr>
          <w:rFonts w:hint="eastAsia" w:ascii="宋体" w:hAnsi="宋体" w:cs="宋体"/>
          <w:sz w:val="24"/>
          <w:highlight w:val="none"/>
        </w:rPr>
      </w:pPr>
    </w:p>
    <w:p w14:paraId="2C29FCEF">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1．对</w:t>
      </w:r>
      <w:r>
        <w:rPr>
          <w:rFonts w:hint="eastAsia" w:ascii="宋体" w:hAnsi="宋体" w:cs="宋体"/>
          <w:sz w:val="24"/>
          <w:highlight w:val="none"/>
          <w:lang w:val="en-US" w:eastAsia="zh-CN"/>
        </w:rPr>
        <w:t>招标人</w:t>
      </w:r>
      <w:r>
        <w:rPr>
          <w:rFonts w:hint="eastAsia" w:ascii="宋体" w:hAnsi="宋体" w:cs="宋体"/>
          <w:sz w:val="24"/>
          <w:highlight w:val="none"/>
          <w:lang w:eastAsia="zh-CN"/>
        </w:rPr>
        <w:t>（</w:t>
      </w:r>
      <w:r>
        <w:rPr>
          <w:rFonts w:hint="eastAsia" w:ascii="宋体" w:hAnsi="宋体" w:cs="宋体"/>
          <w:sz w:val="24"/>
          <w:highlight w:val="none"/>
        </w:rPr>
        <w:t>采购人</w:t>
      </w:r>
      <w:r>
        <w:rPr>
          <w:rFonts w:hint="eastAsia" w:ascii="宋体" w:hAnsi="宋体" w:cs="宋体"/>
          <w:sz w:val="24"/>
          <w:highlight w:val="none"/>
          <w:lang w:eastAsia="zh-CN"/>
        </w:rPr>
        <w:t>）</w:t>
      </w:r>
      <w:r>
        <w:rPr>
          <w:rFonts w:hint="eastAsia" w:ascii="宋体" w:hAnsi="宋体" w:cs="宋体"/>
          <w:sz w:val="24"/>
          <w:highlight w:val="none"/>
        </w:rPr>
        <w:t>的纪律要求</w:t>
      </w:r>
    </w:p>
    <w:p w14:paraId="0219571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采购人不得泄漏招标投标活动中应当保密的情况和资料，不得与供应商串通损害国家利益、社会公共利益或者他人合法权益。下列行为视为采购人与供应商串通投标：</w:t>
      </w:r>
    </w:p>
    <w:p w14:paraId="49EFE4BD">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(1）采购人在开标前开启</w:t>
      </w:r>
      <w:r>
        <w:rPr>
          <w:rFonts w:hint="eastAsia" w:ascii="宋体" w:hAnsi="宋体" w:cs="宋体"/>
          <w:sz w:val="24"/>
          <w:highlight w:val="none"/>
          <w:lang w:val="en-US" w:eastAsia="zh-CN"/>
        </w:rPr>
        <w:t>投标</w:t>
      </w:r>
      <w:r>
        <w:rPr>
          <w:rFonts w:hint="eastAsia" w:ascii="宋体" w:hAnsi="宋体" w:cs="宋体"/>
          <w:sz w:val="24"/>
          <w:highlight w:val="none"/>
        </w:rPr>
        <w:t>文件，并将投标情况告知其它供应商，或者协助供应商撤换</w:t>
      </w:r>
      <w:r>
        <w:rPr>
          <w:rFonts w:hint="eastAsia" w:ascii="宋体" w:hAnsi="宋体" w:cs="宋体"/>
          <w:sz w:val="24"/>
          <w:highlight w:val="none"/>
          <w:lang w:val="en-US" w:eastAsia="zh-CN"/>
        </w:rPr>
        <w:t>投标</w:t>
      </w:r>
      <w:r>
        <w:rPr>
          <w:rFonts w:hint="eastAsia" w:ascii="宋体" w:hAnsi="宋体" w:cs="宋体"/>
          <w:sz w:val="24"/>
          <w:highlight w:val="none"/>
        </w:rPr>
        <w:t>文件，更改报价；</w:t>
      </w:r>
    </w:p>
    <w:p w14:paraId="59DE55D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(2）采购人向供应商泄露标底；</w:t>
      </w:r>
    </w:p>
    <w:p w14:paraId="6DCCEAF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(3）采购人与供应商商定，投标时压低或抬高标价，中标后再给供应商或采购人额外补偿；</w:t>
      </w:r>
    </w:p>
    <w:p w14:paraId="09AAE8C7">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(4）采购人预先内定中标人；</w:t>
      </w:r>
    </w:p>
    <w:p w14:paraId="79116A0F">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(5）其它串通投标行为。</w:t>
      </w:r>
    </w:p>
    <w:p w14:paraId="53AAF383">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2.对</w:t>
      </w:r>
      <w:r>
        <w:rPr>
          <w:rFonts w:hint="eastAsia" w:ascii="宋体" w:hAnsi="宋体" w:cs="宋体"/>
          <w:sz w:val="24"/>
          <w:highlight w:val="none"/>
          <w:lang w:val="en-US" w:eastAsia="zh-CN"/>
        </w:rPr>
        <w:t>投标人（</w:t>
      </w:r>
      <w:r>
        <w:rPr>
          <w:rFonts w:hint="eastAsia" w:ascii="宋体" w:hAnsi="宋体" w:cs="宋体"/>
          <w:sz w:val="24"/>
          <w:highlight w:val="none"/>
        </w:rPr>
        <w:t>供应商</w:t>
      </w:r>
      <w:r>
        <w:rPr>
          <w:rFonts w:hint="eastAsia" w:ascii="宋体" w:hAnsi="宋体" w:cs="宋体"/>
          <w:sz w:val="24"/>
          <w:highlight w:val="none"/>
          <w:lang w:val="en-US" w:eastAsia="zh-CN"/>
        </w:rPr>
        <w:t>）</w:t>
      </w:r>
      <w:r>
        <w:rPr>
          <w:rFonts w:hint="eastAsia" w:ascii="宋体" w:hAnsi="宋体" w:cs="宋体"/>
          <w:sz w:val="24"/>
          <w:highlight w:val="none"/>
        </w:rPr>
        <w:t>的纪律要求</w:t>
      </w:r>
    </w:p>
    <w:p w14:paraId="174E409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供应商不得相互串通投标或者与采购人串通投标，不得向采购人或者</w:t>
      </w:r>
      <w:r>
        <w:rPr>
          <w:rFonts w:hint="eastAsia" w:ascii="宋体" w:hAnsi="宋体" w:cs="宋体"/>
          <w:sz w:val="24"/>
          <w:highlight w:val="none"/>
          <w:lang w:val="en-US" w:eastAsia="zh-CN"/>
        </w:rPr>
        <w:t>评审</w:t>
      </w:r>
      <w:r>
        <w:rPr>
          <w:rFonts w:hint="eastAsia" w:ascii="宋体" w:hAnsi="宋体" w:cs="宋体"/>
          <w:sz w:val="24"/>
          <w:highlight w:val="none"/>
        </w:rPr>
        <w:t>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w:t>
      </w:r>
    </w:p>
    <w:p w14:paraId="3271275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向监督检查部门提供虚假情况。</w:t>
      </w:r>
    </w:p>
    <w:p w14:paraId="01D2936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2.1 下列行为视为以他人名义投标：</w:t>
      </w:r>
    </w:p>
    <w:p w14:paraId="47BB1DC8">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（1）供应商挂靠其他单位；</w:t>
      </w:r>
    </w:p>
    <w:p w14:paraId="05629EA3">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（2）供应商从其它单位通过转让或租借的方式获取资格或资质证书；</w:t>
      </w:r>
    </w:p>
    <w:p w14:paraId="67FE363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（3）由其它单位及法定代表人在自己编制的</w:t>
      </w:r>
      <w:r>
        <w:rPr>
          <w:rFonts w:hint="eastAsia" w:ascii="宋体" w:hAnsi="宋体" w:cs="宋体"/>
          <w:sz w:val="24"/>
          <w:highlight w:val="none"/>
          <w:lang w:val="en-US" w:eastAsia="zh-CN"/>
        </w:rPr>
        <w:t>投标</w:t>
      </w:r>
      <w:r>
        <w:rPr>
          <w:rFonts w:hint="eastAsia" w:ascii="宋体" w:hAnsi="宋体" w:cs="宋体"/>
          <w:sz w:val="24"/>
          <w:highlight w:val="none"/>
        </w:rPr>
        <w:t>文件上加盖印章或签字；</w:t>
      </w:r>
    </w:p>
    <w:p w14:paraId="01D97B8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（4）法律法规规定的其它情形。</w:t>
      </w:r>
    </w:p>
    <w:p w14:paraId="20D49A33">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2.2 下列行为，视为允许他人以本单位名义承揽工程；</w:t>
      </w:r>
    </w:p>
    <w:p w14:paraId="16A03D39">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a) 供应商的法定代表人的委托代理人不是供应商本单位人员；</w:t>
      </w:r>
    </w:p>
    <w:p w14:paraId="0FEFA60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b) 供应商拟在担任本项目的项目负责人或主要技术人员等不是本单位人员；</w:t>
      </w:r>
    </w:p>
    <w:p w14:paraId="2BB9B749">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c) 通过出租、出借资质证书或者收取管理费等方式允许他人以本单位名义承接工程；</w:t>
      </w:r>
    </w:p>
    <w:p w14:paraId="2B41CC0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d) 项目资金未实行项目资金专户分账管理或独立核算制度的；财务管理人员（财务主管和出纳）非本单位人员，或项目资金的使用未经项目经理本人签字、审批的；</w:t>
      </w:r>
    </w:p>
    <w:p w14:paraId="3279AB3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e) 中标后，实际由他人履行职责且他人非本单位人员的(项目负责人换为非本单位人员，或其他主要技术人员有 2 个及以上换为非本单位人员)；</w:t>
      </w:r>
    </w:p>
    <w:p w14:paraId="2FA9FFD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f) 法律法规规定的其它情形。上述条件中，供应商本单位人员，必须同时满足以下条件：</w:t>
      </w:r>
    </w:p>
    <w:p w14:paraId="0E233F0E">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（1）聘任合同必须由供应商单位与之签订，项目负责人的聘任合同投标前已执行合同一年以上；</w:t>
      </w:r>
    </w:p>
    <w:p w14:paraId="0B20382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（2）与供应商单位有合法的工资关系，且投标前已连续支付工资一年以上；</w:t>
      </w:r>
    </w:p>
    <w:p w14:paraId="6A89695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（3）供应商单位为其办理社会保险关系，政府人事或社保管理部门出具的有效证明其为本单位人员身份的文件。</w:t>
      </w:r>
    </w:p>
    <w:p w14:paraId="6670521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 下列行为均视为供应商串通投标：</w:t>
      </w:r>
    </w:p>
    <w:p w14:paraId="63FC3B8E">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2.3.1 供应商串通投标报价：</w:t>
      </w:r>
    </w:p>
    <w:p w14:paraId="62946FC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a）供应商之间相互约定抬高或压低投标报价；</w:t>
      </w:r>
    </w:p>
    <w:p w14:paraId="4E4C3C1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b）供应商之间相互约定，在招标项目中分别以高、中、低价位报价；</w:t>
      </w:r>
    </w:p>
    <w:p w14:paraId="47EA991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c）供应商之间先进行内部竞价，内定中标人，然后再参加投标；</w:t>
      </w:r>
    </w:p>
    <w:p w14:paraId="330E6E8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d）不同供应商的投标报价或报价组成异常一致的；</w:t>
      </w:r>
    </w:p>
    <w:p w14:paraId="117398C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e）供应商之间其它串通投标报价的行为。</w:t>
      </w:r>
    </w:p>
    <w:p w14:paraId="6920CEB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2.3.2 不同供应商</w:t>
      </w:r>
      <w:r>
        <w:rPr>
          <w:rFonts w:hint="eastAsia" w:ascii="宋体" w:hAnsi="宋体" w:cs="宋体"/>
          <w:sz w:val="24"/>
          <w:highlight w:val="none"/>
          <w:lang w:val="en-US" w:eastAsia="zh-CN"/>
        </w:rPr>
        <w:t>投标</w:t>
      </w:r>
      <w:r>
        <w:rPr>
          <w:rFonts w:hint="eastAsia" w:ascii="宋体" w:hAnsi="宋体" w:cs="宋体"/>
          <w:sz w:val="24"/>
          <w:highlight w:val="none"/>
        </w:rPr>
        <w:t>文件的编制人或审核人为同一人或同一单位人员的；</w:t>
      </w:r>
    </w:p>
    <w:p w14:paraId="28B9B27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2.3.3 不同供应商</w:t>
      </w:r>
      <w:r>
        <w:rPr>
          <w:rFonts w:hint="eastAsia" w:ascii="宋体" w:hAnsi="宋体" w:cs="宋体"/>
          <w:sz w:val="24"/>
          <w:highlight w:val="none"/>
          <w:lang w:val="en-US" w:eastAsia="zh-CN"/>
        </w:rPr>
        <w:t>投标</w:t>
      </w:r>
      <w:r>
        <w:rPr>
          <w:rFonts w:hint="eastAsia" w:ascii="宋体" w:hAnsi="宋体" w:cs="宋体"/>
          <w:sz w:val="24"/>
          <w:highlight w:val="none"/>
        </w:rPr>
        <w:t>文件的授权签署人为同一人或同一单位人员的;</w:t>
      </w:r>
    </w:p>
    <w:p w14:paraId="51616D7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2.3.4 不同供应商委托同一人办理投标事宜的；</w:t>
      </w:r>
    </w:p>
    <w:p w14:paraId="01C4E51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2.3.5 不同供应商的</w:t>
      </w:r>
      <w:r>
        <w:rPr>
          <w:rFonts w:hint="eastAsia" w:ascii="宋体" w:hAnsi="宋体" w:cs="宋体"/>
          <w:sz w:val="24"/>
          <w:highlight w:val="none"/>
          <w:lang w:val="en-US" w:eastAsia="zh-CN"/>
        </w:rPr>
        <w:t>投标</w:t>
      </w:r>
      <w:r>
        <w:rPr>
          <w:rFonts w:hint="eastAsia" w:ascii="宋体" w:hAnsi="宋体" w:cs="宋体"/>
          <w:sz w:val="24"/>
          <w:highlight w:val="none"/>
        </w:rPr>
        <w:t>文件相互混装的；</w:t>
      </w:r>
    </w:p>
    <w:p w14:paraId="27692B7B">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2.3.6 不同供应商的</w:t>
      </w:r>
      <w:r>
        <w:rPr>
          <w:rFonts w:hint="eastAsia" w:ascii="宋体" w:hAnsi="宋体" w:cs="宋体"/>
          <w:sz w:val="24"/>
          <w:highlight w:val="none"/>
          <w:lang w:val="en-US" w:eastAsia="zh-CN"/>
        </w:rPr>
        <w:t>投标</w:t>
      </w:r>
      <w:r>
        <w:rPr>
          <w:rFonts w:hint="eastAsia" w:ascii="宋体" w:hAnsi="宋体" w:cs="宋体"/>
          <w:sz w:val="24"/>
          <w:highlight w:val="none"/>
        </w:rPr>
        <w:t>文件载明的项目成员出现相同人员的；</w:t>
      </w:r>
    </w:p>
    <w:p w14:paraId="6467FC7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2.3.7 不同供应商的</w:t>
      </w:r>
      <w:r>
        <w:rPr>
          <w:rFonts w:hint="eastAsia" w:ascii="宋体" w:hAnsi="宋体" w:cs="宋体"/>
          <w:sz w:val="24"/>
          <w:highlight w:val="none"/>
          <w:lang w:val="en-US" w:eastAsia="zh-CN"/>
        </w:rPr>
        <w:t>投标</w:t>
      </w:r>
      <w:r>
        <w:rPr>
          <w:rFonts w:hint="eastAsia" w:ascii="宋体" w:hAnsi="宋体" w:cs="宋体"/>
          <w:sz w:val="24"/>
          <w:highlight w:val="none"/>
        </w:rPr>
        <w:t>文件内容存在非正常一致的；</w:t>
      </w:r>
    </w:p>
    <w:p w14:paraId="51851667">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2.3.8 不同供应商的服务方案中专门针对本项目的内容基本雷同的；</w:t>
      </w:r>
    </w:p>
    <w:p w14:paraId="1CF97D8B">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2.3.9 不同供应商的</w:t>
      </w:r>
      <w:r>
        <w:rPr>
          <w:rFonts w:hint="eastAsia" w:ascii="宋体" w:hAnsi="宋体" w:cs="宋体"/>
          <w:sz w:val="24"/>
          <w:highlight w:val="none"/>
          <w:lang w:val="en-US" w:eastAsia="zh-CN"/>
        </w:rPr>
        <w:t>投标</w:t>
      </w:r>
      <w:r>
        <w:rPr>
          <w:rFonts w:hint="eastAsia" w:ascii="宋体" w:hAnsi="宋体" w:cs="宋体"/>
          <w:sz w:val="24"/>
          <w:highlight w:val="none"/>
        </w:rPr>
        <w:t>文件出现</w:t>
      </w:r>
      <w:r>
        <w:rPr>
          <w:rFonts w:hint="eastAsia" w:ascii="宋体" w:hAnsi="宋体" w:cs="宋体"/>
          <w:sz w:val="24"/>
          <w:highlight w:val="none"/>
          <w:lang w:val="en-US" w:eastAsia="zh-CN"/>
        </w:rPr>
        <w:t>评审</w:t>
      </w:r>
      <w:r>
        <w:rPr>
          <w:rFonts w:hint="eastAsia" w:ascii="宋体" w:hAnsi="宋体" w:cs="宋体"/>
          <w:sz w:val="24"/>
          <w:highlight w:val="none"/>
        </w:rPr>
        <w:t>小组认为不应当雷同的情况的;</w:t>
      </w:r>
    </w:p>
    <w:p w14:paraId="4F796A8E">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2.3.10 法律法规规章规定的其他围标串标行为。</w:t>
      </w:r>
    </w:p>
    <w:p w14:paraId="1899EB88">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3.对</w:t>
      </w:r>
      <w:r>
        <w:rPr>
          <w:rFonts w:hint="eastAsia" w:ascii="宋体" w:hAnsi="宋体" w:cs="宋体"/>
          <w:sz w:val="24"/>
          <w:highlight w:val="none"/>
          <w:lang w:val="en-US" w:eastAsia="zh-CN"/>
        </w:rPr>
        <w:t>评审</w:t>
      </w:r>
      <w:r>
        <w:rPr>
          <w:rFonts w:hint="eastAsia" w:ascii="宋体" w:hAnsi="宋体" w:cs="宋体"/>
          <w:sz w:val="24"/>
          <w:highlight w:val="none"/>
        </w:rPr>
        <w:t>小组成员的纪律要求</w:t>
      </w:r>
    </w:p>
    <w:p w14:paraId="2AD952F5">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评审</w:t>
      </w:r>
      <w:r>
        <w:rPr>
          <w:rFonts w:hint="eastAsia" w:ascii="宋体" w:hAnsi="宋体" w:cs="宋体"/>
          <w:sz w:val="24"/>
          <w:highlight w:val="none"/>
        </w:rPr>
        <w:t>小组成员不得收受他人的财物或者其他好处，不得向他人透漏对</w:t>
      </w:r>
      <w:r>
        <w:rPr>
          <w:rFonts w:hint="eastAsia" w:ascii="宋体" w:hAnsi="宋体" w:cs="宋体"/>
          <w:sz w:val="24"/>
          <w:highlight w:val="none"/>
          <w:lang w:val="en-US" w:eastAsia="zh-CN"/>
        </w:rPr>
        <w:t>投标</w:t>
      </w:r>
      <w:r>
        <w:rPr>
          <w:rFonts w:hint="eastAsia" w:ascii="宋体" w:hAnsi="宋体" w:cs="宋体"/>
          <w:sz w:val="24"/>
          <w:highlight w:val="none"/>
        </w:rPr>
        <w:t>文件的评审和比较、中标候选人的推荐情况以及评标有关的其他情况。在评标活动中，</w:t>
      </w:r>
      <w:r>
        <w:rPr>
          <w:rFonts w:hint="eastAsia" w:ascii="宋体" w:hAnsi="宋体" w:cs="宋体"/>
          <w:sz w:val="24"/>
          <w:highlight w:val="none"/>
          <w:lang w:val="en-US" w:eastAsia="zh-CN"/>
        </w:rPr>
        <w:t>评审</w:t>
      </w:r>
      <w:r>
        <w:rPr>
          <w:rFonts w:hint="eastAsia" w:ascii="宋体" w:hAnsi="宋体" w:cs="宋体"/>
          <w:sz w:val="24"/>
          <w:highlight w:val="none"/>
        </w:rPr>
        <w:t>小组成员不得擅离职守，影响评标程序正常进行，不得使用“评标办法 ”没有规定的评审因素和标准进行评标。</w:t>
      </w:r>
    </w:p>
    <w:p w14:paraId="3982CD85">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4.对与评标活动有关的工作人员的纪律要求</w:t>
      </w:r>
    </w:p>
    <w:p w14:paraId="17E13591">
      <w:pPr>
        <w:spacing w:line="440" w:lineRule="exact"/>
        <w:ind w:firstLine="480" w:firstLineChars="200"/>
        <w:rPr>
          <w:bCs/>
          <w:kern w:val="0"/>
          <w:sz w:val="28"/>
          <w:szCs w:val="28"/>
          <w:highlight w:val="none"/>
        </w:rPr>
        <w:sectPr>
          <w:footerReference r:id="rId9"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cs="宋体"/>
          <w:sz w:val="24"/>
          <w:highlight w:val="none"/>
        </w:rPr>
        <w:t>与评标活动有关的工作人员不得收受他人的财物或者其他好处，不得向他人透漏对标文件的评审和比较、中标候选人的推荐情况以及评标有关的其他情况。 在评标活动中，与评标活动有关的工作人员不得擅离职守，影响评标程序正常进行。</w:t>
      </w:r>
      <w:r>
        <w:rPr>
          <w:bCs/>
          <w:kern w:val="0"/>
          <w:sz w:val="28"/>
          <w:szCs w:val="28"/>
          <w:highlight w:val="none"/>
        </w:rPr>
        <w:br w:type="page"/>
      </w:r>
      <w:bookmarkStart w:id="21" w:name="_Toc7527"/>
    </w:p>
    <w:bookmarkEnd w:id="21"/>
    <w:p w14:paraId="0593BADA">
      <w:pPr>
        <w:numPr>
          <w:ilvl w:val="0"/>
          <w:numId w:val="3"/>
        </w:numPr>
        <w:jc w:val="center"/>
        <w:rPr>
          <w:rFonts w:hint="eastAsia"/>
          <w:b/>
          <w:bCs/>
          <w:sz w:val="32"/>
          <w:szCs w:val="32"/>
          <w:highlight w:val="none"/>
          <w:lang w:eastAsia="zh-CN"/>
        </w:rPr>
      </w:pPr>
      <w:bookmarkStart w:id="22" w:name="_Toc9809"/>
      <w:r>
        <w:rPr>
          <w:rFonts w:hint="eastAsia"/>
          <w:b/>
          <w:bCs/>
          <w:sz w:val="32"/>
          <w:szCs w:val="32"/>
          <w:highlight w:val="none"/>
          <w:lang w:val="en-US" w:eastAsia="zh-CN"/>
        </w:rPr>
        <w:t xml:space="preserve"> </w:t>
      </w:r>
      <w:r>
        <w:rPr>
          <w:rFonts w:hint="eastAsia" w:ascii="宋体" w:hAnsi="宋体" w:eastAsia="宋体" w:cs="宋体"/>
          <w:color w:val="000000" w:themeColor="text1"/>
          <w:sz w:val="32"/>
          <w:szCs w:val="32"/>
          <w:highlight w:val="none"/>
          <w:lang w:val="en-US" w:eastAsia="en-US"/>
          <w14:textFill>
            <w14:solidFill>
              <w14:schemeClr w14:val="tx1"/>
            </w14:solidFill>
          </w14:textFill>
        </w:rPr>
        <w:t>★</w:t>
      </w:r>
      <w:r>
        <w:rPr>
          <w:rFonts w:hint="eastAsia"/>
          <w:b/>
          <w:bCs/>
          <w:sz w:val="32"/>
          <w:szCs w:val="32"/>
          <w:highlight w:val="none"/>
          <w:lang w:eastAsia="zh-CN"/>
        </w:rPr>
        <w:t>采购需求</w:t>
      </w:r>
    </w:p>
    <w:p w14:paraId="7161F76A">
      <w:pPr>
        <w:spacing w:line="229" w:lineRule="auto"/>
        <w:ind w:left="20"/>
        <w:rPr>
          <w:rFonts w:hint="eastAsia" w:ascii="宋体" w:hAnsi="宋体" w:eastAsia="宋体" w:cs="宋体"/>
          <w:color w:val="auto"/>
          <w:sz w:val="24"/>
          <w:szCs w:val="24"/>
        </w:rPr>
      </w:pPr>
      <w:r>
        <w:rPr>
          <w:rFonts w:hint="eastAsia" w:ascii="宋体" w:hAnsi="宋体" w:eastAsia="宋体" w:cs="宋体"/>
          <w:color w:val="auto"/>
          <w:spacing w:val="16"/>
          <w:sz w:val="24"/>
          <w:szCs w:val="24"/>
          <w14:textOutline w14:w="4388" w14:cap="flat" w14:cmpd="sng">
            <w14:solidFill>
              <w14:srgbClr w14:val="000000"/>
            </w14:solidFill>
            <w14:prstDash w14:val="solid"/>
            <w14:miter w14:val="0"/>
          </w14:textOutline>
        </w:rPr>
        <w:t>一、项目名称</w:t>
      </w:r>
    </w:p>
    <w:p w14:paraId="42820F54">
      <w:pPr>
        <w:spacing w:before="183" w:line="228" w:lineRule="auto"/>
        <w:ind w:left="2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库车市沉浸式文旅体验项目</w:t>
      </w:r>
    </w:p>
    <w:p w14:paraId="225C86C7">
      <w:pPr>
        <w:spacing w:before="183" w:line="228" w:lineRule="auto"/>
        <w:rPr>
          <w:rFonts w:hint="eastAsia" w:ascii="宋体" w:hAnsi="宋体" w:eastAsia="宋体" w:cs="宋体"/>
          <w:color w:val="auto"/>
          <w:spacing w:val="16"/>
          <w:sz w:val="24"/>
          <w:szCs w:val="24"/>
          <w:lang w:eastAsia="zh-CN"/>
          <w14:textOutline w14:w="4388" w14:cap="flat" w14:cmpd="sng">
            <w14:solidFill>
              <w14:srgbClr w14:val="000000"/>
            </w14:solidFill>
            <w14:prstDash w14:val="solid"/>
            <w14:miter w14:val="0"/>
          </w14:textOutline>
        </w:rPr>
      </w:pPr>
      <w:r>
        <w:rPr>
          <w:rFonts w:hint="eastAsia" w:ascii="宋体" w:hAnsi="宋体" w:eastAsia="宋体" w:cs="宋体"/>
          <w:color w:val="auto"/>
          <w:spacing w:val="16"/>
          <w:sz w:val="24"/>
          <w:szCs w:val="24"/>
          <w:lang w:eastAsia="zh-CN"/>
          <w14:textOutline w14:w="4388" w14:cap="flat" w14:cmpd="sng">
            <w14:solidFill>
              <w14:srgbClr w14:val="000000"/>
            </w14:solidFill>
            <w14:prstDash w14:val="solid"/>
            <w14:miter w14:val="0"/>
          </w14:textOutline>
        </w:rPr>
        <w:t>二</w:t>
      </w:r>
      <w:r>
        <w:rPr>
          <w:rFonts w:hint="eastAsia" w:ascii="宋体" w:hAnsi="宋体" w:eastAsia="宋体" w:cs="宋体"/>
          <w:color w:val="auto"/>
          <w:spacing w:val="16"/>
          <w:sz w:val="24"/>
          <w:szCs w:val="24"/>
          <w14:textOutline w14:w="4388" w14:cap="flat" w14:cmpd="sng">
            <w14:solidFill>
              <w14:srgbClr w14:val="000000"/>
            </w14:solidFill>
            <w14:prstDash w14:val="solid"/>
            <w14:miter w14:val="0"/>
          </w14:textOutline>
        </w:rPr>
        <w:t>、项目</w:t>
      </w:r>
      <w:r>
        <w:rPr>
          <w:rFonts w:hint="eastAsia" w:ascii="宋体" w:hAnsi="宋体" w:eastAsia="宋体" w:cs="宋体"/>
          <w:color w:val="auto"/>
          <w:spacing w:val="16"/>
          <w:sz w:val="24"/>
          <w:szCs w:val="24"/>
          <w:lang w:eastAsia="zh-CN"/>
          <w14:textOutline w14:w="4388" w14:cap="flat" w14:cmpd="sng">
            <w14:solidFill>
              <w14:srgbClr w14:val="000000"/>
            </w14:solidFill>
            <w14:prstDash w14:val="solid"/>
            <w14:miter w14:val="0"/>
          </w14:textOutline>
        </w:rPr>
        <w:t>概况</w:t>
      </w:r>
    </w:p>
    <w:p w14:paraId="43F810A6">
      <w:pPr>
        <w:spacing w:before="75" w:line="461"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独库公路，这条纵贯天山脊梁的561公里景观大道，连接新疆南北疆，被誉为“中国最美公路”。沿途雪山、峡谷、草原、森林、湖泊等极致景观依次铺展，享有“一日看四季，十里不同天”的独特旅游体验。近年来，随着新疆旅游业的蓬勃发展，独库公路已成为自驾游爱好者和国内外游客向往的网红打卡地。</w:t>
      </w:r>
    </w:p>
    <w:p w14:paraId="0AB3D0BB">
      <w:pPr>
        <w:spacing w:before="75" w:line="461"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绕龟兹文化，以“穿越时空的独库之旅”为核心概念，通过VR、AR、XR等数字技术手段，在库车市部署VR/AR设备，打造沉浸式文旅体验大空间，突破季节、天气与地理限制，打造四季皆宜的沉浸式旅游体验，展现龟兹文化的独特魅力。</w:t>
      </w:r>
    </w:p>
    <w:p w14:paraId="52131F27">
      <w:pPr>
        <w:spacing w:before="180" w:line="231" w:lineRule="auto"/>
        <w:ind w:left="24"/>
        <w:rPr>
          <w:rFonts w:hint="eastAsia" w:ascii="宋体" w:hAnsi="宋体" w:eastAsia="宋体" w:cs="宋体"/>
          <w:color w:val="auto"/>
          <w:sz w:val="24"/>
          <w:szCs w:val="24"/>
        </w:rPr>
      </w:pPr>
      <w:r>
        <w:rPr>
          <w:rFonts w:hint="eastAsia" w:ascii="宋体" w:hAnsi="宋体" w:cs="宋体"/>
          <w:color w:val="auto"/>
          <w:spacing w:val="20"/>
          <w:sz w:val="24"/>
          <w:szCs w:val="24"/>
          <w:lang w:eastAsia="zh-CN"/>
          <w14:textOutline w14:w="4388" w14:cap="flat" w14:cmpd="sng">
            <w14:solidFill>
              <w14:srgbClr w14:val="000000"/>
            </w14:solidFill>
            <w14:prstDash w14:val="solid"/>
            <w14:miter w14:val="0"/>
          </w14:textOutline>
        </w:rPr>
        <w:t>三</w:t>
      </w:r>
      <w:r>
        <w:rPr>
          <w:rFonts w:hint="eastAsia" w:ascii="宋体" w:hAnsi="宋体" w:eastAsia="宋体" w:cs="宋体"/>
          <w:color w:val="auto"/>
          <w:spacing w:val="20"/>
          <w:sz w:val="24"/>
          <w:szCs w:val="24"/>
          <w14:textOutline w14:w="4388" w14:cap="flat" w14:cmpd="sng">
            <w14:solidFill>
              <w14:srgbClr w14:val="000000"/>
            </w14:solidFill>
            <w14:prstDash w14:val="solid"/>
            <w14:miter w14:val="0"/>
          </w14:textOutline>
        </w:rPr>
        <w:t>、采购内容</w:t>
      </w:r>
    </w:p>
    <w:p w14:paraId="762FA9A4">
      <w:pPr>
        <w:spacing w:before="75" w:line="461"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为突破季节、天气与地理限制，打造四季皆宜的沉浸式旅游体验空间，以“穿越时空的独库之旅”为核心概念，通过VR、AR、XR等数字技术手段，在库车市部署VR/AR设备，展现独库公路沿线的四季美景与多变气候，从雪山冰川到草原湖泊，从峡谷森林到戈壁荒漠，通过数字技术强化景观的视觉冲击力。</w:t>
      </w:r>
    </w:p>
    <w:p w14:paraId="20B8D15C">
      <w:pPr>
        <w:spacing w:before="178" w:line="229" w:lineRule="auto"/>
        <w:ind w:left="23"/>
        <w:rPr>
          <w:rFonts w:hint="eastAsia" w:ascii="宋体" w:hAnsi="宋体" w:eastAsia="宋体" w:cs="宋体"/>
          <w:color w:val="auto"/>
          <w:sz w:val="24"/>
          <w:szCs w:val="24"/>
        </w:rPr>
      </w:pPr>
      <w:r>
        <w:rPr>
          <w:rFonts w:hint="eastAsia" w:ascii="宋体" w:hAnsi="宋体" w:cs="宋体"/>
          <w:color w:val="auto"/>
          <w:spacing w:val="21"/>
          <w:sz w:val="24"/>
          <w:szCs w:val="24"/>
          <w:lang w:eastAsia="zh-CN"/>
          <w14:textOutline w14:w="4388" w14:cap="flat" w14:cmpd="sng">
            <w14:solidFill>
              <w14:srgbClr w14:val="000000"/>
            </w14:solidFill>
            <w14:prstDash w14:val="solid"/>
            <w14:miter w14:val="0"/>
          </w14:textOutline>
        </w:rPr>
        <w:t>四</w:t>
      </w:r>
      <w:r>
        <w:rPr>
          <w:rFonts w:hint="eastAsia" w:ascii="宋体" w:hAnsi="宋体" w:eastAsia="宋体" w:cs="宋体"/>
          <w:color w:val="auto"/>
          <w:spacing w:val="21"/>
          <w:sz w:val="24"/>
          <w:szCs w:val="24"/>
          <w14:textOutline w14:w="4388" w14:cap="flat" w14:cmpd="sng">
            <w14:solidFill>
              <w14:srgbClr w14:val="000000"/>
            </w14:solidFill>
            <w14:prstDash w14:val="solid"/>
            <w14:miter w14:val="0"/>
          </w14:textOutline>
        </w:rPr>
        <w:t>、履约保证金</w:t>
      </w:r>
    </w:p>
    <w:p w14:paraId="05D3FABA">
      <w:pPr>
        <w:spacing w:before="75" w:line="461"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详见须知前附表。</w:t>
      </w:r>
    </w:p>
    <w:p w14:paraId="055713DE">
      <w:pPr>
        <w:spacing w:before="181" w:line="232" w:lineRule="auto"/>
        <w:ind w:left="44"/>
        <w:rPr>
          <w:rFonts w:hint="eastAsia" w:ascii="宋体" w:hAnsi="宋体" w:eastAsia="宋体" w:cs="宋体"/>
          <w:color w:val="auto"/>
          <w:sz w:val="24"/>
          <w:szCs w:val="24"/>
        </w:rPr>
      </w:pPr>
      <w:r>
        <w:rPr>
          <w:rFonts w:hint="eastAsia" w:ascii="宋体" w:hAnsi="宋体" w:eastAsia="宋体" w:cs="宋体"/>
          <w:color w:val="auto"/>
          <w:spacing w:val="15"/>
          <w:sz w:val="24"/>
          <w:szCs w:val="24"/>
          <w:highlight w:val="none"/>
          <w14:textOutline w14:w="4388" w14:cap="flat" w14:cmpd="sng">
            <w14:solidFill>
              <w14:srgbClr w14:val="000000"/>
            </w14:solidFill>
            <w14:prstDash w14:val="solid"/>
            <w14:miter w14:val="0"/>
          </w14:textOutline>
        </w:rPr>
        <w:t>五</w:t>
      </w:r>
      <w:r>
        <w:rPr>
          <w:rFonts w:hint="eastAsia" w:ascii="宋体" w:hAnsi="宋体" w:eastAsia="宋体" w:cs="宋体"/>
          <w:color w:val="auto"/>
          <w:spacing w:val="16"/>
          <w:sz w:val="24"/>
          <w:szCs w:val="24"/>
          <w14:textOutline w14:w="4388" w14:cap="flat" w14:cmpd="sng">
            <w14:solidFill>
              <w14:srgbClr w14:val="000000"/>
            </w14:solidFill>
            <w14:prstDash w14:val="solid"/>
            <w14:miter w14:val="0"/>
          </w14:textOutline>
        </w:rPr>
        <w:t>、合同签订</w:t>
      </w:r>
    </w:p>
    <w:p w14:paraId="1183CD13">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公示结束，</w:t>
      </w:r>
      <w:r>
        <w:rPr>
          <w:rFonts w:hint="eastAsia" w:ascii="宋体" w:hAnsi="宋体" w:eastAsia="宋体" w:cs="宋体"/>
          <w:color w:val="auto"/>
          <w:spacing w:val="17"/>
          <w:sz w:val="24"/>
          <w:szCs w:val="24"/>
          <w:highlight w:val="none"/>
          <w:lang w:val="en-US" w:eastAsia="zh-CN"/>
        </w:rPr>
        <w:t>30</w:t>
      </w:r>
      <w:r>
        <w:rPr>
          <w:rFonts w:hint="eastAsia" w:ascii="宋体" w:hAnsi="宋体" w:eastAsia="宋体" w:cs="宋体"/>
          <w:color w:val="auto"/>
          <w:spacing w:val="17"/>
          <w:sz w:val="24"/>
          <w:szCs w:val="24"/>
          <w:highlight w:val="none"/>
        </w:rPr>
        <w:t>天之内签订合同，如不按时签订视为自动放弃，采购人将重新招标或者顺延，给采购人造成损失的，将由对方赔付。</w:t>
      </w:r>
    </w:p>
    <w:p w14:paraId="7B2B3F20">
      <w:pPr>
        <w:spacing w:before="178" w:line="23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14:textOutline w14:w="4388" w14:cap="flat" w14:cmpd="sng">
            <w14:solidFill>
              <w14:srgbClr w14:val="000000"/>
            </w14:solidFill>
            <w14:prstDash w14:val="solid"/>
            <w14:miter w14:val="0"/>
          </w14:textOutline>
        </w:rPr>
        <w:t>六</w:t>
      </w:r>
      <w:r>
        <w:rPr>
          <w:rFonts w:hint="eastAsia" w:ascii="宋体" w:hAnsi="宋体" w:eastAsia="宋体" w:cs="宋体"/>
          <w:color w:val="auto"/>
          <w:spacing w:val="15"/>
          <w:sz w:val="24"/>
          <w:szCs w:val="24"/>
          <w:highlight w:val="none"/>
          <w14:textOutline w14:w="4388" w14:cap="flat" w14:cmpd="sng">
            <w14:solidFill>
              <w14:srgbClr w14:val="000000"/>
            </w14:solidFill>
            <w14:prstDash w14:val="solid"/>
            <w14:miter w14:val="0"/>
          </w14:textOutline>
        </w:rPr>
        <w:t>、服务期限</w:t>
      </w:r>
      <w:r>
        <w:rPr>
          <w:rFonts w:hint="eastAsia" w:ascii="宋体" w:hAnsi="宋体" w:eastAsia="宋体" w:cs="宋体"/>
          <w:color w:val="auto"/>
          <w:spacing w:val="15"/>
          <w:sz w:val="24"/>
          <w:szCs w:val="24"/>
          <w:highlight w:val="none"/>
          <w:lang w:eastAsia="zh-CN"/>
          <w14:textOutline w14:w="4388" w14:cap="flat" w14:cmpd="sng">
            <w14:solidFill>
              <w14:srgbClr w14:val="000000"/>
            </w14:solidFill>
            <w14:prstDash w14:val="solid"/>
            <w14:miter w14:val="0"/>
          </w14:textOutline>
        </w:rPr>
        <w:t>（合同履行期限）</w:t>
      </w:r>
      <w:r>
        <w:rPr>
          <w:rFonts w:hint="eastAsia" w:ascii="宋体" w:hAnsi="宋体" w:eastAsia="宋体" w:cs="宋体"/>
          <w:color w:val="auto"/>
          <w:spacing w:val="15"/>
          <w:sz w:val="24"/>
          <w:szCs w:val="24"/>
          <w:highlight w:val="none"/>
          <w14:textOutline w14:w="4388" w14:cap="flat" w14:cmpd="sng">
            <w14:solidFill>
              <w14:srgbClr w14:val="000000"/>
            </w14:solidFill>
            <w14:prstDash w14:val="solid"/>
            <w14:miter w14:val="0"/>
          </w14:textOutline>
        </w:rPr>
        <w:t>：</w:t>
      </w:r>
    </w:p>
    <w:p w14:paraId="2EF1BCF7">
      <w:pPr>
        <w:spacing w:line="4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333333"/>
          <w:sz w:val="24"/>
          <w:szCs w:val="24"/>
          <w:highlight w:val="none"/>
          <w:shd w:val="clear" w:color="auto" w:fill="FFFFFF"/>
        </w:rPr>
        <w:t>本项目服务期限</w:t>
      </w:r>
      <w:r>
        <w:rPr>
          <w:rFonts w:hint="eastAsia" w:ascii="宋体" w:hAnsi="宋体" w:eastAsia="宋体" w:cs="宋体"/>
          <w:color w:val="333333"/>
          <w:sz w:val="24"/>
          <w:szCs w:val="24"/>
          <w:highlight w:val="none"/>
          <w:shd w:val="clear" w:color="auto" w:fill="FFFFFF"/>
          <w:lang w:val="en-US" w:eastAsia="zh-CN"/>
        </w:rPr>
        <w:t>4个月</w:t>
      </w:r>
      <w:r>
        <w:rPr>
          <w:rFonts w:hint="eastAsia" w:ascii="宋体" w:hAnsi="宋体" w:eastAsia="宋体" w:cs="宋体"/>
          <w:color w:val="333333"/>
          <w:sz w:val="24"/>
          <w:szCs w:val="24"/>
          <w:highlight w:val="none"/>
          <w:shd w:val="clear" w:color="auto" w:fill="FFFFFF"/>
        </w:rPr>
        <w:t>，具体按照甲乙双方签订的合同日期执行</w:t>
      </w:r>
      <w:r>
        <w:rPr>
          <w:rFonts w:hint="eastAsia" w:ascii="宋体" w:hAnsi="宋体" w:eastAsia="宋体" w:cs="宋体"/>
          <w:sz w:val="24"/>
          <w:szCs w:val="24"/>
          <w:highlight w:val="none"/>
          <w:lang w:val="en-US" w:eastAsia="zh-CN"/>
        </w:rPr>
        <w:t>。</w:t>
      </w:r>
    </w:p>
    <w:p w14:paraId="7D6E40BC">
      <w:pPr>
        <w:spacing w:before="75" w:line="461" w:lineRule="exact"/>
        <w:rPr>
          <w:rFonts w:hint="eastAsia" w:ascii="宋体" w:hAnsi="宋体" w:eastAsia="宋体" w:cs="宋体"/>
          <w:color w:val="auto"/>
          <w:spacing w:val="17"/>
          <w:sz w:val="24"/>
          <w:szCs w:val="24"/>
          <w:highlight w:val="none"/>
        </w:rPr>
      </w:pPr>
      <w:r>
        <w:rPr>
          <w:rFonts w:hint="eastAsia" w:ascii="宋体" w:hAnsi="宋体" w:eastAsia="宋体" w:cs="宋体"/>
          <w:color w:val="auto"/>
          <w:spacing w:val="20"/>
          <w:sz w:val="24"/>
          <w:szCs w:val="24"/>
          <w14:textOutline w14:w="4388" w14:cap="flat" w14:cmpd="sng">
            <w14:solidFill>
              <w14:srgbClr w14:val="000000"/>
            </w14:solidFill>
            <w14:prstDash w14:val="solid"/>
            <w14:miter w14:val="0"/>
          </w14:textOutline>
        </w:rPr>
        <w:t>七</w:t>
      </w:r>
      <w:r>
        <w:rPr>
          <w:rFonts w:hint="eastAsia" w:ascii="宋体" w:hAnsi="宋体" w:eastAsia="宋体" w:cs="宋体"/>
          <w:color w:val="auto"/>
          <w:spacing w:val="21"/>
          <w:sz w:val="24"/>
          <w:szCs w:val="24"/>
          <w:highlight w:val="none"/>
          <w14:textOutline w14:w="4388" w14:cap="flat" w14:cmpd="sng">
            <w14:solidFill>
              <w14:srgbClr w14:val="000000"/>
            </w14:solidFill>
            <w14:prstDash w14:val="solid"/>
            <w14:miter w14:val="0"/>
          </w14:textOutline>
        </w:rPr>
        <w:t>、服务要求</w:t>
      </w:r>
    </w:p>
    <w:p w14:paraId="129534F6">
      <w:pPr>
        <w:spacing w:before="75" w:line="461"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本次服务中</w:t>
      </w:r>
      <w:r>
        <w:rPr>
          <w:rFonts w:hint="default" w:ascii="宋体" w:hAnsi="宋体" w:eastAsia="宋体" w:cs="宋体"/>
          <w:sz w:val="24"/>
          <w:szCs w:val="24"/>
          <w:lang w:val="en-US" w:eastAsia="zh-CN"/>
        </w:rPr>
        <w:t>所涉及的所有费用均包含在此项目采购范围内，甲方不再另行追加费用。</w:t>
      </w:r>
    </w:p>
    <w:p w14:paraId="321E568D">
      <w:pPr>
        <w:spacing w:before="75" w:line="461"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本次服务中</w:t>
      </w:r>
      <w:r>
        <w:rPr>
          <w:rFonts w:hint="default" w:ascii="宋体" w:hAnsi="宋体" w:eastAsia="宋体" w:cs="宋体"/>
          <w:sz w:val="24"/>
          <w:szCs w:val="24"/>
          <w:lang w:val="en-US" w:eastAsia="zh-CN"/>
        </w:rPr>
        <w:t>所涉及的设备质保期按生产厂家的标准执行，但不得少于 1 年（用户单位验收合格之日起计算，用户另有需求的除外）；</w:t>
      </w:r>
    </w:p>
    <w:p w14:paraId="40FF48B8">
      <w:pPr>
        <w:spacing w:before="75" w:line="461"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.质保期内非招标人的人为原因而出现产品质量及安装问题，由中标人负责包修、包换或包退，并承担因此而产生的一切费用。中标人应在收到招标人通知后 24小时内派员到现场维修</w:t>
      </w:r>
      <w:r>
        <w:rPr>
          <w:rFonts w:hint="eastAsia" w:ascii="宋体" w:hAnsi="宋体" w:cs="宋体"/>
          <w:color w:val="auto"/>
          <w:sz w:val="24"/>
          <w:szCs w:val="24"/>
          <w:lang w:val="en-US" w:eastAsia="zh-CN"/>
        </w:rPr>
        <w:t>，但因不可抗力或交通等客观原因导致的延误除外</w:t>
      </w:r>
      <w:r>
        <w:rPr>
          <w:rFonts w:hint="default" w:ascii="宋体" w:hAnsi="宋体" w:eastAsia="宋体" w:cs="宋体"/>
          <w:color w:val="auto"/>
          <w:sz w:val="24"/>
          <w:szCs w:val="24"/>
          <w:lang w:val="en-US" w:eastAsia="zh-CN"/>
        </w:rPr>
        <w:t>。</w:t>
      </w:r>
    </w:p>
    <w:p w14:paraId="3A646EF9">
      <w:pPr>
        <w:spacing w:before="75" w:line="461"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.有长期良好的服务支持。</w:t>
      </w:r>
    </w:p>
    <w:p w14:paraId="03DF93EB">
      <w:pPr>
        <w:widowControl w:val="0"/>
        <w:spacing w:after="120" w:line="292"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0"/>
          <w:kern w:val="2"/>
          <w:sz w:val="24"/>
          <w:szCs w:val="24"/>
          <w:lang w:val="en-US" w:eastAsia="zh-CN" w:bidi="ar-SA"/>
          <w14:textOutline w14:w="4388" w14:cap="flat" w14:cmpd="sng">
            <w14:solidFill>
              <w14:srgbClr w14:val="000000"/>
            </w14:solidFill>
            <w14:prstDash w14:val="solid"/>
            <w14:miter w14:val="0"/>
          </w14:textOutline>
        </w:rPr>
        <w:t>八</w:t>
      </w:r>
      <w:r>
        <w:rPr>
          <w:rFonts w:hint="eastAsia" w:ascii="宋体" w:hAnsi="宋体" w:eastAsia="宋体" w:cs="宋体"/>
          <w:color w:val="auto"/>
          <w:spacing w:val="21"/>
          <w:kern w:val="2"/>
          <w:sz w:val="24"/>
          <w:szCs w:val="24"/>
          <w:highlight w:val="none"/>
          <w:lang w:val="en-US" w:eastAsia="zh-CN" w:bidi="ar-SA"/>
          <w14:textOutline w14:w="4388" w14:cap="flat" w14:cmpd="sng">
            <w14:solidFill>
              <w14:srgbClr w14:val="000000"/>
            </w14:solidFill>
            <w14:prstDash w14:val="solid"/>
            <w14:miter w14:val="0"/>
          </w14:textOutline>
        </w:rPr>
        <w:t>、项目绩效</w:t>
      </w:r>
    </w:p>
    <w:p w14:paraId="5B2C64B5">
      <w:pPr>
        <w:spacing w:before="75" w:line="461"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lang w:val="en-US" w:eastAsia="zh-CN"/>
        </w:rPr>
        <w:t>沉浸式体验时长不少于20分钟，采购VR眼镜等硬件设备不少于30套，宣传视频不少于1个、不少于10家主流媒体的宣传报道，</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00平方米</w:t>
      </w:r>
      <w:r>
        <w:rPr>
          <w:rFonts w:hint="eastAsia" w:ascii="宋体" w:hAnsi="宋体" w:cs="宋体"/>
          <w:sz w:val="24"/>
          <w:szCs w:val="24"/>
          <w:lang w:val="en-US" w:eastAsia="zh-CN"/>
        </w:rPr>
        <w:t>以内的</w:t>
      </w:r>
      <w:r>
        <w:rPr>
          <w:rFonts w:hint="eastAsia" w:ascii="宋体" w:hAnsi="宋体" w:eastAsia="宋体" w:cs="宋体"/>
          <w:sz w:val="24"/>
          <w:szCs w:val="24"/>
          <w:lang w:val="en-US" w:eastAsia="zh-CN"/>
        </w:rPr>
        <w:t>空间装饰，项目完成及时率达到100%。</w:t>
      </w:r>
    </w:p>
    <w:p w14:paraId="7D90A171">
      <w:pPr>
        <w:spacing w:before="182" w:line="231" w:lineRule="auto"/>
        <w:ind w:left="21"/>
        <w:rPr>
          <w:rFonts w:hint="eastAsia" w:ascii="宋体" w:hAnsi="宋体" w:eastAsia="宋体" w:cs="宋体"/>
          <w:color w:val="auto"/>
          <w:sz w:val="24"/>
          <w:szCs w:val="24"/>
        </w:rPr>
      </w:pPr>
      <w:r>
        <w:rPr>
          <w:rFonts w:hint="eastAsia" w:ascii="宋体" w:hAnsi="宋体" w:cs="宋体"/>
          <w:color w:val="auto"/>
          <w:spacing w:val="21"/>
          <w:sz w:val="24"/>
          <w:szCs w:val="24"/>
          <w:lang w:eastAsia="zh-CN"/>
          <w14:textOutline w14:w="4388" w14:cap="flat" w14:cmpd="sng">
            <w14:solidFill>
              <w14:srgbClr w14:val="000000"/>
            </w14:solidFill>
            <w14:prstDash w14:val="solid"/>
            <w14:miter w14:val="0"/>
          </w14:textOutline>
        </w:rPr>
        <w:t>九</w:t>
      </w:r>
      <w:r>
        <w:rPr>
          <w:rFonts w:hint="eastAsia" w:ascii="宋体" w:hAnsi="宋体" w:eastAsia="宋体" w:cs="宋体"/>
          <w:color w:val="auto"/>
          <w:spacing w:val="20"/>
          <w:sz w:val="24"/>
          <w:szCs w:val="24"/>
          <w14:textOutline w14:w="4388" w14:cap="flat" w14:cmpd="sng">
            <w14:solidFill>
              <w14:srgbClr w14:val="000000"/>
            </w14:solidFill>
            <w14:prstDash w14:val="solid"/>
            <w14:miter w14:val="0"/>
          </w14:textOutline>
        </w:rPr>
        <w:t>、验收标准</w:t>
      </w:r>
    </w:p>
    <w:p w14:paraId="3022CC70">
      <w:pPr>
        <w:spacing w:before="75" w:line="461"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lang w:val="en-US" w:eastAsia="zh-CN"/>
        </w:rPr>
        <w:t>合格并满足采购人要求</w:t>
      </w:r>
      <w:r>
        <w:rPr>
          <w:rFonts w:hint="eastAsia" w:ascii="宋体" w:hAnsi="宋体" w:eastAsia="宋体" w:cs="宋体"/>
          <w:sz w:val="24"/>
          <w:szCs w:val="24"/>
          <w:lang w:val="en-US"/>
        </w:rPr>
        <w:t>。</w:t>
      </w:r>
    </w:p>
    <w:p w14:paraId="5168B65A">
      <w:pPr>
        <w:pStyle w:val="12"/>
        <w:spacing w:line="292" w:lineRule="auto"/>
        <w:rPr>
          <w:rFonts w:hint="eastAsia" w:ascii="宋体" w:hAnsi="宋体" w:eastAsia="宋体" w:cs="宋体"/>
          <w:color w:val="auto"/>
          <w:sz w:val="24"/>
          <w:szCs w:val="24"/>
        </w:rPr>
      </w:pPr>
      <w:bookmarkStart w:id="23" w:name="OLE_LINK1"/>
      <w:r>
        <w:rPr>
          <w:rFonts w:hint="eastAsia" w:ascii="宋体" w:hAnsi="宋体" w:cs="宋体"/>
          <w:color w:val="auto"/>
          <w:spacing w:val="21"/>
          <w:sz w:val="24"/>
          <w:szCs w:val="24"/>
          <w:lang w:eastAsia="zh-CN"/>
          <w14:textOutline w14:w="4388" w14:cap="flat" w14:cmpd="sng">
            <w14:solidFill>
              <w14:srgbClr w14:val="000000"/>
            </w14:solidFill>
            <w14:prstDash w14:val="solid"/>
            <w14:miter w14:val="0"/>
          </w14:textOutline>
        </w:rPr>
        <w:t>十</w:t>
      </w:r>
      <w:r>
        <w:rPr>
          <w:rFonts w:hint="eastAsia" w:ascii="宋体" w:hAnsi="宋体" w:eastAsia="宋体" w:cs="宋体"/>
          <w:color w:val="auto"/>
          <w:spacing w:val="21"/>
          <w:sz w:val="24"/>
          <w:szCs w:val="24"/>
          <w14:textOutline w14:w="4388" w14:cap="flat" w14:cmpd="sng">
            <w14:solidFill>
              <w14:srgbClr w14:val="000000"/>
            </w14:solidFill>
            <w14:prstDash w14:val="solid"/>
            <w14:miter w14:val="0"/>
          </w14:textOutline>
        </w:rPr>
        <w:t>、付款方式</w:t>
      </w:r>
      <w:bookmarkEnd w:id="23"/>
    </w:p>
    <w:p w14:paraId="27DA2FD8">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付款方式：合同签订后支付合同价款的30%，提交</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0%的核心场景和角色建模完成品并完成大空间场地装修后支付合同价款的40%，工作完成并验收合格，支付合同价款的27%，质保期结束后，支付剩余合同价款的3%。</w:t>
      </w:r>
    </w:p>
    <w:p w14:paraId="31E9B06B">
      <w:pPr>
        <w:pStyle w:val="2"/>
        <w:ind w:left="0" w:leftChars="0" w:firstLine="0" w:firstLineChars="0"/>
        <w:rPr>
          <w:rFonts w:hint="default" w:eastAsia="宋体"/>
          <w:lang w:val="en-US" w:eastAsia="zh-CN"/>
        </w:rPr>
      </w:pPr>
      <w:r>
        <w:rPr>
          <w:rFonts w:hint="eastAsia" w:ascii="宋体" w:hAnsi="宋体" w:cs="宋体"/>
          <w:color w:val="auto"/>
          <w:spacing w:val="21"/>
          <w:sz w:val="24"/>
          <w:szCs w:val="24"/>
          <w:lang w:eastAsia="zh-CN"/>
          <w14:textOutline w14:w="4388" w14:cap="flat" w14:cmpd="sng">
            <w14:solidFill>
              <w14:srgbClr w14:val="000000"/>
            </w14:solidFill>
            <w14:prstDash w14:val="solid"/>
            <w14:miter w14:val="0"/>
          </w14:textOutline>
        </w:rPr>
        <w:t>十</w:t>
      </w:r>
      <w:r>
        <w:rPr>
          <w:rFonts w:hint="eastAsia" w:ascii="宋体" w:hAnsi="宋体" w:cs="宋体"/>
          <w:color w:val="auto"/>
          <w:spacing w:val="21"/>
          <w:sz w:val="24"/>
          <w:szCs w:val="24"/>
          <w:lang w:val="en-US" w:eastAsia="zh-CN"/>
          <w14:textOutline w14:w="4388" w14:cap="flat" w14:cmpd="sng">
            <w14:solidFill>
              <w14:srgbClr w14:val="000000"/>
            </w14:solidFill>
            <w14:prstDash w14:val="solid"/>
            <w14:miter w14:val="0"/>
          </w14:textOutline>
        </w:rPr>
        <w:t>一</w:t>
      </w:r>
      <w:r>
        <w:rPr>
          <w:rFonts w:hint="eastAsia" w:ascii="宋体" w:hAnsi="宋体" w:eastAsia="宋体" w:cs="宋体"/>
          <w:color w:val="auto"/>
          <w:spacing w:val="21"/>
          <w:sz w:val="24"/>
          <w:szCs w:val="24"/>
          <w14:textOutline w14:w="4388" w14:cap="flat" w14:cmpd="sng">
            <w14:solidFill>
              <w14:srgbClr w14:val="000000"/>
            </w14:solidFill>
            <w14:prstDash w14:val="solid"/>
            <w14:miter w14:val="0"/>
          </w14:textOutline>
        </w:rPr>
        <w:t>、</w:t>
      </w:r>
      <w:r>
        <w:rPr>
          <w:rFonts w:hint="eastAsia" w:ascii="宋体" w:hAnsi="宋体" w:cs="宋体"/>
          <w:color w:val="auto"/>
          <w:spacing w:val="21"/>
          <w:sz w:val="24"/>
          <w:szCs w:val="24"/>
          <w:lang w:val="en-US" w:eastAsia="zh-CN"/>
          <w14:textOutline w14:w="4388" w14:cap="flat" w14:cmpd="sng">
            <w14:solidFill>
              <w14:srgbClr w14:val="000000"/>
            </w14:solidFill>
            <w14:prstDash w14:val="solid"/>
            <w14:miter w14:val="0"/>
          </w14:textOutline>
        </w:rPr>
        <w:t>采购清单</w:t>
      </w:r>
      <w:bookmarkStart w:id="32" w:name="_GoBack"/>
      <w:bookmarkEnd w:id="32"/>
    </w:p>
    <w:p w14:paraId="0A63AED2">
      <w:pPr>
        <w:rPr>
          <w:rFonts w:hint="eastAsia" w:ascii="宋体" w:hAnsi="宋体" w:eastAsia="宋体" w:cs="宋体"/>
          <w:color w:val="auto"/>
          <w:kern w:val="2"/>
          <w:sz w:val="24"/>
          <w:szCs w:val="24"/>
          <w:highlight w:val="none"/>
          <w:lang w:val="en-US" w:eastAsia="zh-CN" w:bidi="ar-SA"/>
        </w:rPr>
      </w:pPr>
      <w:r>
        <w:rPr>
          <w:rFonts w:hint="eastAsia"/>
          <w:b/>
          <w:bCs/>
          <w:sz w:val="32"/>
          <w:szCs w:val="32"/>
          <w:highlight w:val="none"/>
          <w:lang w:val="en-US" w:eastAsia="zh-CN"/>
        </w:rPr>
        <w:br w:type="page"/>
      </w:r>
    </w:p>
    <w:tbl>
      <w:tblPr>
        <w:tblStyle w:val="25"/>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2005"/>
        <w:gridCol w:w="785"/>
        <w:gridCol w:w="5087"/>
        <w:gridCol w:w="662"/>
        <w:gridCol w:w="662"/>
      </w:tblGrid>
      <w:tr w14:paraId="2D8D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E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0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E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58F0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E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剧本与策划设计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9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剧本与策划设计</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6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1.完成全场景剧情脚本编写。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2.根据内容对玩法进行VR实现可能性，并根据剧本和策划针对VR特性设计相关镜头语言及打通各项制作流程。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内容可包括：六十年代独库公路建设现场、乔尔玛烈士陵园、龟兹古国的镜头转场和体验内容、现代库车市（古龟兹国）场景的体验，需要有完整的体验流程，明确的场景体验说明效果和对应的交互效果说明等。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3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9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75BC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A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路线设计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路线设计</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DB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根据运营场地设计路线及交互路径（反复调整）。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9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E3F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3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D4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2D设定</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2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场景气氛设定</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4DF62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场景气氛的设定至关重要，它将直接影响用户的沉浸感和体验质量，譬如天山神秘大峡谷场景体验氛围，60年代修建独库公路的场景氛围，乔尔玛烈士陵园的效果，龟兹古国的场景氛围等。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F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3B8B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B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CDBF">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5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人物角色设定</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00A82DA3">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对所有人物角色进行三视图设定，并描写其性格内容。譬如：库</w:t>
            </w:r>
            <w:r>
              <w:rPr>
                <w:rFonts w:hint="eastAsia" w:ascii="宋体" w:hAnsi="宋体" w:cs="宋体"/>
                <w:i w:val="0"/>
                <w:iCs w:val="0"/>
                <w:color w:val="000000"/>
                <w:kern w:val="0"/>
                <w:sz w:val="21"/>
                <w:szCs w:val="21"/>
                <w:u w:val="none"/>
                <w:lang w:val="en-US" w:eastAsia="zh-CN" w:bidi="ar"/>
              </w:rPr>
              <w:t>车</w:t>
            </w:r>
            <w:r>
              <w:rPr>
                <w:rFonts w:hint="eastAsia" w:ascii="宋体" w:hAnsi="宋体" w:eastAsia="宋体" w:cs="宋体"/>
                <w:i w:val="0"/>
                <w:iCs w:val="0"/>
                <w:color w:val="000000"/>
                <w:kern w:val="0"/>
                <w:sz w:val="21"/>
                <w:szCs w:val="21"/>
                <w:u w:val="none"/>
                <w:lang w:val="en-US" w:eastAsia="zh-CN" w:bidi="ar"/>
              </w:rPr>
              <w:t>导游的设定，龟兹国王绛宾设定等</w:t>
            </w:r>
            <w:r>
              <w:rPr>
                <w:rFonts w:hint="eastAsia" w:ascii="宋体" w:hAnsi="宋体" w:cs="宋体"/>
                <w:i w:val="0"/>
                <w:iCs w:val="0"/>
                <w:color w:val="000000"/>
                <w:kern w:val="0"/>
                <w:sz w:val="21"/>
                <w:szCs w:val="21"/>
                <w:u w:val="none"/>
                <w:lang w:val="en-US" w:eastAsia="zh-CN" w:bidi="ar"/>
              </w:rPr>
              <w:t>。</w:t>
            </w:r>
          </w:p>
          <w:p w14:paraId="4DAD45A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不少于</w:t>
            </w:r>
            <w:r>
              <w:rPr>
                <w:rFonts w:hint="eastAsia" w:ascii="宋体" w:hAnsi="宋体" w:eastAsia="宋体" w:cs="宋体"/>
                <w:i w:val="0"/>
                <w:iCs w:val="0"/>
                <w:color w:val="000000"/>
                <w:kern w:val="0"/>
                <w:sz w:val="21"/>
                <w:szCs w:val="21"/>
                <w:u w:val="none"/>
                <w:lang w:val="en-US" w:eastAsia="zh-CN" w:bidi="ar"/>
              </w:rPr>
              <w:t>15个角色的3视图Apose设定图。</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A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8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9E2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94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美术资产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3D角色类</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3B643D96">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主要人物及其余出现NPC，不少于15个人物建模。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角色模型流程包含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1.雕刻建模（高模、中模）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2.拓扑低模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3.烘焙贴图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4.LOD多层级模型设置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5.材质设置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0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F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372F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011C">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5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道具</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9DD26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道具制作:不少于50套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角色模型流程包含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1.雕刻建模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2.拓扑低模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3.烘焙贴图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4.LOD多层级模型设置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5.材质设置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F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B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7523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1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1A3C">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EA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地编场景美术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（1.场景模型建模；2.场景搭建；3.设置场景特效（粒子特效）；4.设置摄像机、光照环境；5.场景烘焙渲染）</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3735955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场景模型建模：首先，根据设计蓝图，利用三维建模软件进行场景的基础模型构建，包括地形、建筑、植被等元素的精细雕刻，确保每个模型都符合项目要求的比例与细节精度。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场景搭建：在模型完成后，进行场景的布局与组合，合理安排各个元素的位置与朝向，营造符合故事背景的空间关系，确保场景的连贯性和视觉美感。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设置场景特效（粒子特效）：为了增强场景的真实感和动感，添加烟雾、水花、火焰等粒子特效，通过细致调节粒子的属性，如速度、颜色、透明度等，使特效与场景完美融合，提升视觉冲击力。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设置摄像机、光照环境：根据剧情需要，设置摄像机的路径与视角，确保用户能体验到最佳的观察角度。同时，设计光照方案，包括自然光与人造光源的布置，利用光影效果营造氛围，增强场景的层次感和深度。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场景烘焙渲染：对场景进行烘焙处理，将光照、阴影等信息固化到模型中，确保最终输出的场景画面细腻、色彩丰富，达到预期的视觉效果。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不少于15个核心场景建模与制作。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2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397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0A1E">
            <w:pPr>
              <w:jc w:val="center"/>
              <w:rPr>
                <w:rFonts w:hint="eastAsia" w:ascii="宋体" w:hAnsi="宋体" w:eastAsia="宋体" w:cs="宋体"/>
                <w:i w:val="0"/>
                <w:iCs w:val="0"/>
                <w:color w:val="000000"/>
                <w:sz w:val="21"/>
                <w:szCs w:val="21"/>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D3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特效制作</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5F0AF05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ui特效设计与制作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触及ui所产生的动效和特效</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4ADDA37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5707F0B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A62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B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E6B0">
            <w:pPr>
              <w:jc w:val="center"/>
              <w:rPr>
                <w:rFonts w:hint="eastAsia" w:ascii="宋体" w:hAnsi="宋体" w:eastAsia="宋体" w:cs="宋体"/>
                <w:i w:val="0"/>
                <w:iCs w:val="0"/>
                <w:color w:val="000000"/>
                <w:sz w:val="21"/>
                <w:szCs w:val="21"/>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7DC3">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121923E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角色玩法特效设计与制作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色移动与环境产生的特效。角色特效在项目中起到了至关重要的作用，通过精细的建模和动画技术，重现了古代龟兹人和60年代修路的战士的形象。特效中融入了龟兹古国和现代新疆文化的独特元素，如龟兹的纹理等，使角色更加生动、逼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6648ACB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0EB8893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7A9C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0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17D5">
            <w:pPr>
              <w:jc w:val="center"/>
              <w:rPr>
                <w:rFonts w:hint="eastAsia" w:ascii="宋体" w:hAnsi="宋体" w:eastAsia="宋体" w:cs="宋体"/>
                <w:i w:val="0"/>
                <w:iCs w:val="0"/>
                <w:color w:val="000000"/>
                <w:sz w:val="21"/>
                <w:szCs w:val="21"/>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C1C7">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11AB1D8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破碎特效设计与制作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物理模拟类的特效。破碎特效在项目中用于模拟古代建筑或文物的破坏场景，如道路坍塌、滚石坠落等。破碎特效既能展示当时修路的艰辛和不易，又能针对古龟兹国的繁华做良好的衬托。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504A10F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7F9396E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40C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3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928E">
            <w:pPr>
              <w:jc w:val="center"/>
              <w:rPr>
                <w:rFonts w:hint="eastAsia" w:ascii="宋体" w:hAnsi="宋体" w:eastAsia="宋体" w:cs="宋体"/>
                <w:i w:val="0"/>
                <w:iCs w:val="0"/>
                <w:color w:val="000000"/>
                <w:sz w:val="21"/>
                <w:szCs w:val="21"/>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072F">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0406">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后期特效设计与制作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作用于屏幕上的特效。后期特效在项目中起到了画龙点睛的作用，通过调色、合成等技术，增强了整体画面的视觉效果。特效师们利用后期软件对画面进行精细处理，如添加光影效果、调整色彩饱和度等，使画面更加生动、立体。</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07958D9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2A37EF0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340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5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5AD9">
            <w:pPr>
              <w:jc w:val="center"/>
              <w:rPr>
                <w:rFonts w:hint="eastAsia" w:ascii="宋体" w:hAnsi="宋体" w:eastAsia="宋体" w:cs="宋体"/>
                <w:i w:val="0"/>
                <w:iCs w:val="0"/>
                <w:color w:val="000000"/>
                <w:sz w:val="21"/>
                <w:szCs w:val="21"/>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5F79">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6D9DBFE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表达效果的特效。场景特效是项目中最为关键的部分之一，通过3D建模、渲染等技术，重现了古代龟兹国的辉煌，烈士陵园的肃穆，新疆独库公路优美的风景，以及现代库车的繁华热闹场景。特效师们精心设计了宫殿、城墙等场景中的氛围特效，以及河流、雾气、雪等自然景观特效，使整体场景氛围更加细腻和生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0166688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14:paraId="10CDA8C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19D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F7AC">
            <w:pPr>
              <w:jc w:val="center"/>
              <w:rPr>
                <w:rFonts w:hint="eastAsia" w:ascii="宋体" w:hAnsi="宋体" w:eastAsia="宋体" w:cs="宋体"/>
                <w:i w:val="0"/>
                <w:iCs w:val="0"/>
                <w:color w:val="000000"/>
                <w:sz w:val="21"/>
                <w:szCs w:val="21"/>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2E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UI</w:t>
            </w:r>
          </w:p>
        </w:tc>
        <w:tc>
          <w:tcPr>
            <w:tcW w:w="44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8255B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Ui的设计与制作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贯穿游戏中的UI界面。界面中融合了西域文化、龟兹古国文化，及现代新疆文化的元素，如纹理、几何图案等，使整体风格与项目主题保持一致。</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7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B3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0C0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0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3314">
            <w:pPr>
              <w:jc w:val="center"/>
              <w:rPr>
                <w:rFonts w:hint="eastAsia" w:ascii="宋体" w:hAnsi="宋体" w:eastAsia="宋体" w:cs="宋体"/>
                <w:i w:val="0"/>
                <w:iCs w:val="0"/>
                <w:color w:val="000000"/>
                <w:sz w:val="21"/>
                <w:szCs w:val="21"/>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A319">
            <w:pPr>
              <w:jc w:val="center"/>
              <w:rPr>
                <w:rFonts w:hint="eastAsia" w:ascii="宋体" w:hAnsi="宋体" w:eastAsia="宋体" w:cs="宋体"/>
                <w:i w:val="0"/>
                <w:iCs w:val="0"/>
                <w:color w:val="000000"/>
                <w:sz w:val="21"/>
                <w:szCs w:val="21"/>
                <w:u w:val="none"/>
              </w:rPr>
            </w:pPr>
          </w:p>
        </w:tc>
        <w:tc>
          <w:tcPr>
            <w:tcW w:w="44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5B2033">
            <w:pPr>
              <w:jc w:val="both"/>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47F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B982">
            <w:pPr>
              <w:jc w:val="center"/>
              <w:rPr>
                <w:rFonts w:hint="eastAsia" w:ascii="宋体" w:hAnsi="宋体" w:eastAsia="宋体" w:cs="宋体"/>
                <w:i w:val="0"/>
                <w:iCs w:val="0"/>
                <w:color w:val="000000"/>
                <w:sz w:val="21"/>
                <w:szCs w:val="21"/>
                <w:u w:val="none"/>
              </w:rPr>
            </w:pPr>
          </w:p>
        </w:tc>
      </w:tr>
      <w:tr w14:paraId="56AE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D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74D4">
            <w:pPr>
              <w:jc w:val="center"/>
              <w:rPr>
                <w:rFonts w:hint="eastAsia" w:ascii="宋体" w:hAnsi="宋体" w:eastAsia="宋体" w:cs="宋体"/>
                <w:i w:val="0"/>
                <w:iCs w:val="0"/>
                <w:color w:val="000000"/>
                <w:sz w:val="21"/>
                <w:szCs w:val="21"/>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21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动画</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7FF4A4C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主要角色动画设计与制作：不少于10套。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租用动捕棚及动捕演员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整理动捕数据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搭建骨骼，进行骨骼绑定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蒙皮设置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动画制作调优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4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A28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5322">
            <w:pPr>
              <w:jc w:val="center"/>
              <w:rPr>
                <w:rFonts w:hint="eastAsia" w:ascii="宋体" w:hAnsi="宋体" w:eastAsia="宋体" w:cs="宋体"/>
                <w:i w:val="0"/>
                <w:iCs w:val="0"/>
                <w:color w:val="000000"/>
                <w:sz w:val="21"/>
                <w:szCs w:val="21"/>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9EE8">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6DA3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次要角色及其它动画设计与制作：不少于10套。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租用动捕棚及动捕演员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整理动捕数据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搭建骨骼，进行骨骼绑定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蒙皮设置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动画制作调优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8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2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5E7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8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90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A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程序框架搭建</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0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为内容搭建整个程序大空间的实现框架（服务器，客户端，数据同步等）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3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0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3407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8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A9FF">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场景游览交互制作</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E8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根据编剧及策划内容完成所有场景交互体验的程序制作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7CB1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2D59">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A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玩法交互实制作</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0305AEA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根据编剧及策划的内容完成所有交互玩法的程序端制作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E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CAD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C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881C">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8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控制端及服务器</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48D3F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控制端分组，拉起，关闭等运维控制端工具，服务器信息分发同步房间创建等信息控制及同步。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D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68D2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1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AE69">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4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BUG调试修改</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3FAD7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程序启动的bug会反复进行调试需要预留至少一个月的时间来进行反复调整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A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6C7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2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302E">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w:t>
            </w: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716FA46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包括：打包测试、内部测试修改、封闭测试，会集中对内容包体进行3轮以上测试，来保证内容持续稳定运行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D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C63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3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5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技术美术</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54A">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FCEDD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呈现最好的视觉，要不断的优化平衡，通过编写一定的底层策略实现最好的呈现。对画面的稳定，帧率等进行优化调整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1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5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12FA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18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场地内容适配测试</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97DE">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735B0FD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场地物理空间与内容调试</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B0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6B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0A2E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8377">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0337">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2BA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设备与场地内容调试</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BA2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1D23">
            <w:pPr>
              <w:jc w:val="center"/>
              <w:rPr>
                <w:rFonts w:hint="eastAsia" w:ascii="宋体" w:hAnsi="宋体" w:eastAsia="宋体" w:cs="宋体"/>
                <w:i w:val="0"/>
                <w:iCs w:val="0"/>
                <w:color w:val="000000"/>
                <w:sz w:val="21"/>
                <w:szCs w:val="21"/>
                <w:u w:val="none"/>
              </w:rPr>
            </w:pPr>
          </w:p>
        </w:tc>
      </w:tr>
      <w:tr w14:paraId="406C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2B42">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44F5">
            <w:pPr>
              <w:jc w:val="cente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CE7A3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内容管理系统对接</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E1B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92D5">
            <w:pPr>
              <w:jc w:val="center"/>
              <w:rPr>
                <w:rFonts w:hint="eastAsia" w:ascii="宋体" w:hAnsi="宋体" w:eastAsia="宋体" w:cs="宋体"/>
                <w:i w:val="0"/>
                <w:iCs w:val="0"/>
                <w:color w:val="000000"/>
                <w:sz w:val="21"/>
                <w:szCs w:val="21"/>
                <w:u w:val="none"/>
              </w:rPr>
            </w:pPr>
          </w:p>
        </w:tc>
      </w:tr>
      <w:tr w14:paraId="426C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0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09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配音</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201">
            <w:pP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3CDC6E2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针对于台词进行真人的配音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5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F4A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4FFC">
            <w:pPr>
              <w:jc w:val="center"/>
              <w:rPr>
                <w:rFonts w:hint="eastAsia" w:ascii="宋体" w:hAnsi="宋体" w:eastAsia="宋体" w:cs="宋体"/>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12C6">
            <w:pPr>
              <w:rPr>
                <w:rFonts w:hint="eastAsia" w:ascii="宋体" w:hAnsi="宋体" w:eastAsia="宋体" w:cs="宋体"/>
                <w:i w:val="0"/>
                <w:iCs w:val="0"/>
                <w:color w:val="000000"/>
                <w:sz w:val="21"/>
                <w:szCs w:val="21"/>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top"/>
          </w:tcPr>
          <w:p w14:paraId="6DE7DE1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针对场景进行的有背景音乐，氛围音乐，音效，交互音效等制作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9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68ED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1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头显眼镜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84FF">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9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 12GB RAM LPDDR5，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闪存 UFS3.1 256GB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 Wi-Fi 7,  802.11 a/b/g/n/ac/ax/be, 2.4GHz/5GHz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 2.56" x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 总分辨率 4320x2160，单眼分辨率2160x2160，1200 PPI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 72/90Hz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瞳距调节 58~72mm 电机无级调节   9轴传感器 实现头部精准3DoF和6DoF，1KHz采样频率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四目单色鱼眼 四目单色鱼眼相机 (640 x 480 @60Hz x 4)，支持6Dof定位 双目RGB摄像头 双目RGB相机（32M x 2 ），支持MR透视能力 MR深度摄像头 iTof相机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头盔  Inside-out头部6DoF，手柄6DoF宽频触感手柄x2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手势识别  双手26自由度追踪，支持4种手势模型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 最高支持45W充电 电池容量 5700mAh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0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3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DFC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8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5口POE交换机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5EEF">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9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下行端口速率千兆 支持云管理 POE供电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4个千兆电口（POE/POE+） 支持端口状态显示、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端口流量统计、POE点端口输出功率状态、端口双工MAC容量8K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单口POE端口最大输出功率30W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8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73F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A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1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无线吸顶AP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A874">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A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无线协议：WiFi6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双频3000M管理方式：WEB页面，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远程管理，云端管理，APP管理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WAN接入口：千兆网口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频宽：160MHZ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无线速率3000M固定端口 支持POE供电 传输协议：支持5GHz 支持2.4GHz 工作频段：2.4GHZ 5GHz 支持本地12VDC供电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B06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7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C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F19F">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0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内存：256MB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Flash：16MB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B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35E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B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6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监控POE交换机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7D11">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C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16千兆电口2千兆光电 VLAN管理2层交换机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7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7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A2C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E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9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筒型摄像机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A3CC">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最低照度: 彩色：0.005 Lux @（F1.2，AGC ON），0 Lux with 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 120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焦距&amp;视场角: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 mm，水平视场角：97°，垂直视场角：52.3°，对角视场角：114.3°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mm，水平视场角：78.8°，垂直视场角:40.5°，对角视场角：93.9°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mm，水平视场角：49.1°，垂直视场角：26.3°，对角视场角：57.2°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mm，水平视场角：37.5°，垂直视场角：20.7°，对角视场角：43.3°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mm，水平视场角：23.4°，垂直视场角：13.3°，对角视场角：26.88°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补光灯类型: 红外灯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补光距离: 最远可达30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红外波长范围: 850 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防补光过曝: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最大图像尺寸: 2688 × 1520（默认2560 × 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视频压缩标准: 主码流：H.265/H.264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网络存储: 支持NAS（NFS，SMB/CIFS均支持）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 1个内置麦克风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 1个RJ45 10 M/100 M自适应以太网口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启动和工作温湿度: -30 ℃~60 ℃，湿度小于95%（无凝结）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 DC：12 V ± 25%，支持防反接保护；PoE：802.3af，Class 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电流及功耗: DC：12 V，0.41 A，最大功耗：5 W；PoE：802.3af，36 V~57 V，0.18 A~0.11 A，最大功耗：6.5 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F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221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2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7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NVR录像机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70D7">
            <w:pPr>
              <w:jc w:val="cente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1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2U标准机架式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2个HDMI，2个VGA,HDMI+VGA组内同源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8盘位，可满配8T硬盘，配置2块SATA硬盘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2个千兆网口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2个USB2.0接口、1个USB3.0接口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1个eSATA接口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支持RAID0、1、5、10，支持全局热备盘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输入带宽：128M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8路H.264、H.265混合接入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0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1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03D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D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B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宣传视频制作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D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0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分辨率≥2k，总时长≥2 分钟，VR内容剪辑≥1分30秒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8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3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682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4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宣传投放</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9D6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B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≥10家主流媒体的宣传报道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6AE6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5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0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美学设计及装饰装修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B3B0">
            <w:pPr>
              <w:rPr>
                <w:rFonts w:hint="eastAsia" w:ascii="宋体" w:hAnsi="宋体" w:eastAsia="宋体" w:cs="宋体"/>
                <w:i w:val="0"/>
                <w:iCs w:val="0"/>
                <w:color w:val="000000"/>
                <w:sz w:val="22"/>
                <w:szCs w:val="22"/>
                <w:u w:val="none"/>
              </w:rPr>
            </w:pPr>
          </w:p>
        </w:tc>
        <w:tc>
          <w:tcPr>
            <w:tcW w:w="4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5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设计装修整体面积≤1000㎡，包括：装修设计、装修实施(≤300㎡的VR体验空间、休息等待区、设备佩戴区、办公室、服务区等),设计装修不包含空调及消防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14:paraId="256010A4">
      <w:pPr>
        <w:rPr>
          <w:rFonts w:hint="eastAsia" w:ascii="宋体" w:hAnsi="宋体" w:eastAsia="宋体" w:cs="宋体"/>
          <w:color w:val="auto"/>
          <w:kern w:val="2"/>
          <w:sz w:val="24"/>
          <w:szCs w:val="24"/>
          <w:highlight w:val="none"/>
          <w:lang w:val="en-US" w:eastAsia="zh-CN" w:bidi="ar-SA"/>
        </w:rPr>
      </w:pPr>
    </w:p>
    <w:p w14:paraId="14E22314">
      <w:pPr>
        <w:pStyle w:val="40"/>
        <w:rPr>
          <w:rFonts w:hint="eastAsia" w:ascii="宋体" w:hAnsi="宋体" w:eastAsia="宋体" w:cs="宋体"/>
          <w:color w:val="auto"/>
          <w:kern w:val="2"/>
          <w:sz w:val="24"/>
          <w:szCs w:val="24"/>
          <w:highlight w:val="none"/>
          <w:lang w:val="en-US" w:eastAsia="zh-CN" w:bidi="ar-SA"/>
        </w:rPr>
      </w:pPr>
    </w:p>
    <w:p w14:paraId="5CA321D6">
      <w:pPr>
        <w:pStyle w:val="4"/>
        <w:keepNext w:val="0"/>
        <w:keepLines w:val="0"/>
        <w:adjustRightInd w:val="0"/>
        <w:snapToGrid w:val="0"/>
        <w:spacing w:before="100" w:beforeAutospacing="1" w:after="100" w:afterAutospacing="1" w:line="240" w:lineRule="auto"/>
        <w:jc w:val="center"/>
        <w:rPr>
          <w:sz w:val="32"/>
          <w:szCs w:val="32"/>
          <w:highlight w:val="none"/>
        </w:rPr>
      </w:pPr>
      <w:r>
        <w:rPr>
          <w:sz w:val="32"/>
          <w:szCs w:val="32"/>
          <w:highlight w:val="none"/>
        </w:rPr>
        <w:t>第五部分  合同条款</w:t>
      </w:r>
      <w:bookmarkEnd w:id="22"/>
    </w:p>
    <w:p w14:paraId="564B3D89">
      <w:pPr>
        <w:widowControl w:val="0"/>
        <w:adjustRightInd w:val="0"/>
        <w:snapToGrid w:val="0"/>
        <w:spacing w:line="682" w:lineRule="exact"/>
        <w:jc w:val="left"/>
        <w:rPr>
          <w:rFonts w:hint="eastAsia" w:ascii="黑体" w:hAnsi="黑体" w:eastAsia="黑体" w:cs="黑体"/>
          <w:color w:val="000000"/>
          <w:kern w:val="0"/>
          <w:sz w:val="32"/>
          <w:szCs w:val="32"/>
          <w:highlight w:val="none"/>
          <w:lang w:val="en-US" w:eastAsia="zh-CN" w:bidi="ar-SA"/>
        </w:rPr>
      </w:pPr>
    </w:p>
    <w:p w14:paraId="3EDA4F6D">
      <w:pPr>
        <w:widowControl w:val="0"/>
        <w:numPr>
          <w:ilvl w:val="0"/>
          <w:numId w:val="0"/>
        </w:numPr>
        <w:tabs>
          <w:tab w:val="left" w:pos="2040"/>
        </w:tabs>
        <w:jc w:val="both"/>
        <w:rPr>
          <w:rFonts w:hint="eastAsia" w:ascii="黑体" w:hAnsi="黑体" w:eastAsia="黑体" w:cs="黑体"/>
          <w:color w:val="000000"/>
          <w:kern w:val="2"/>
          <w:sz w:val="32"/>
          <w:szCs w:val="32"/>
          <w:highlight w:val="none"/>
          <w:lang w:val="en-US" w:eastAsia="zh-CN" w:bidi="ar-SA"/>
        </w:rPr>
      </w:pPr>
    </w:p>
    <w:p w14:paraId="529B7EDD">
      <w:pPr>
        <w:widowControl w:val="0"/>
        <w:numPr>
          <w:ilvl w:val="0"/>
          <w:numId w:val="0"/>
        </w:numPr>
        <w:tabs>
          <w:tab w:val="left" w:pos="2040"/>
        </w:tabs>
        <w:jc w:val="both"/>
        <w:rPr>
          <w:rFonts w:hint="eastAsia" w:ascii="黑体" w:hAnsi="黑体" w:eastAsia="黑体" w:cs="黑体"/>
          <w:color w:val="000000"/>
          <w:kern w:val="2"/>
          <w:sz w:val="32"/>
          <w:szCs w:val="32"/>
          <w:highlight w:val="none"/>
          <w:lang w:val="en-US" w:eastAsia="zh-CN" w:bidi="ar-SA"/>
        </w:rPr>
      </w:pPr>
    </w:p>
    <w:p w14:paraId="5871CA32">
      <w:pPr>
        <w:widowControl w:val="0"/>
        <w:numPr>
          <w:ilvl w:val="0"/>
          <w:numId w:val="0"/>
        </w:numPr>
        <w:tabs>
          <w:tab w:val="left" w:pos="2040"/>
        </w:tabs>
        <w:jc w:val="both"/>
        <w:rPr>
          <w:rFonts w:hint="eastAsia" w:ascii="黑体" w:hAnsi="黑体" w:eastAsia="黑体" w:cs="黑体"/>
          <w:color w:val="000000"/>
          <w:kern w:val="2"/>
          <w:sz w:val="32"/>
          <w:szCs w:val="32"/>
          <w:highlight w:val="none"/>
          <w:lang w:val="en-US" w:eastAsia="zh-CN" w:bidi="ar-SA"/>
        </w:rPr>
      </w:pPr>
    </w:p>
    <w:p w14:paraId="1E74BF04">
      <w:pPr>
        <w:rPr>
          <w:rFonts w:hint="eastAsia" w:ascii="方正小标宋简体" w:hAnsi="宋体" w:eastAsia="方正小标宋简体" w:cs="宋体"/>
          <w:color w:val="000000"/>
          <w:kern w:val="0"/>
          <w:sz w:val="48"/>
          <w:szCs w:val="48"/>
          <w:highlight w:val="none"/>
          <w:lang w:val="en-US" w:eastAsia="zh-CN" w:bidi="ar-SA"/>
        </w:rPr>
      </w:pPr>
      <w:r>
        <w:rPr>
          <w:rFonts w:hint="eastAsia" w:ascii="方正小标宋简体" w:hAnsi="宋体" w:eastAsia="方正小标宋简体" w:cs="宋体"/>
          <w:color w:val="000000"/>
          <w:kern w:val="0"/>
          <w:sz w:val="48"/>
          <w:szCs w:val="48"/>
          <w:highlight w:val="none"/>
          <w:lang w:val="en-US" w:eastAsia="zh-CN" w:bidi="ar-SA"/>
        </w:rPr>
        <w:br w:type="page"/>
      </w:r>
    </w:p>
    <w:p w14:paraId="311CA179">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本合同条款将作为中标合同的基础，具体合同内容在签订合同时由甲乙双方协商确定。</w:t>
      </w:r>
    </w:p>
    <w:p w14:paraId="7ACA8485">
      <w:pPr>
        <w:spacing w:before="75" w:line="231" w:lineRule="auto"/>
        <w:jc w:val="both"/>
        <w:rPr>
          <w:rFonts w:hint="eastAsia" w:ascii="宋体" w:hAnsi="宋体" w:eastAsia="宋体" w:cs="宋体"/>
          <w:color w:val="auto"/>
        </w:rPr>
      </w:pPr>
      <w:r>
        <w:rPr>
          <w:rFonts w:hint="eastAsia" w:ascii="宋体" w:hAnsi="宋体" w:eastAsia="宋体" w:cs="宋体"/>
          <w:color w:val="auto"/>
          <w:spacing w:val="23"/>
          <w:sz w:val="23"/>
          <w:szCs w:val="23"/>
        </w:rPr>
        <w:t xml:space="preserve"> </w:t>
      </w:r>
    </w:p>
    <w:p w14:paraId="39A78F8F">
      <w:pPr>
        <w:pStyle w:val="12"/>
        <w:spacing w:line="284" w:lineRule="auto"/>
        <w:rPr>
          <w:rFonts w:hint="eastAsia" w:ascii="宋体" w:hAnsi="宋体" w:eastAsia="宋体" w:cs="宋体"/>
          <w:color w:val="auto"/>
        </w:rPr>
      </w:pPr>
    </w:p>
    <w:p w14:paraId="711B1D7E">
      <w:pPr>
        <w:spacing w:before="75" w:line="374" w:lineRule="auto"/>
        <w:ind w:left="23"/>
        <w:jc w:val="left"/>
        <w:rPr>
          <w:rFonts w:hint="eastAsia" w:ascii="宋体" w:hAnsi="宋体" w:eastAsia="宋体" w:cs="宋体"/>
          <w:color w:val="auto"/>
          <w:sz w:val="23"/>
          <w:szCs w:val="23"/>
        </w:rPr>
      </w:pPr>
      <w:r>
        <w:rPr>
          <w:rFonts w:hint="eastAsia" w:ascii="宋体" w:hAnsi="宋体" w:eastAsia="宋体" w:cs="宋体"/>
          <w:color w:val="auto"/>
          <w:spacing w:val="17"/>
          <w:sz w:val="23"/>
          <w:szCs w:val="23"/>
        </w:rPr>
        <w:t>合同名称：</w:t>
      </w:r>
      <w:r>
        <w:rPr>
          <w:rFonts w:hint="eastAsia" w:ascii="宋体" w:hAnsi="宋体" w:eastAsia="宋体" w:cs="宋体"/>
          <w:color w:val="auto"/>
          <w:spacing w:val="17"/>
          <w:sz w:val="23"/>
          <w:szCs w:val="23"/>
          <w:u w:val="single"/>
        </w:rPr>
        <w:t>库车市沉浸式文旅体验项目</w:t>
      </w:r>
    </w:p>
    <w:p w14:paraId="2F33A2E4">
      <w:pPr>
        <w:spacing w:before="2" w:line="231" w:lineRule="auto"/>
        <w:ind w:left="23"/>
        <w:rPr>
          <w:rFonts w:hint="eastAsia" w:ascii="宋体" w:hAnsi="宋体" w:eastAsia="宋体" w:cs="宋体"/>
          <w:color w:val="auto"/>
          <w:sz w:val="23"/>
          <w:szCs w:val="23"/>
        </w:rPr>
      </w:pPr>
      <w:r>
        <w:rPr>
          <w:rFonts w:hint="eastAsia" w:ascii="宋体" w:hAnsi="宋体" w:eastAsia="宋体" w:cs="宋体"/>
          <w:color w:val="auto"/>
          <w:spacing w:val="17"/>
          <w:sz w:val="23"/>
          <w:szCs w:val="23"/>
        </w:rPr>
        <w:t>合同编号：</w:t>
      </w:r>
      <w:r>
        <w:rPr>
          <w:rFonts w:hint="eastAsia" w:ascii="宋体" w:hAnsi="宋体" w:eastAsia="宋体" w:cs="宋体"/>
          <w:color w:val="auto"/>
          <w:spacing w:val="17"/>
          <w:sz w:val="23"/>
          <w:szCs w:val="23"/>
          <w:u w:val="single"/>
        </w:rPr>
        <w:t>KCS2026-WT045</w:t>
      </w:r>
    </w:p>
    <w:p w14:paraId="768428A6">
      <w:pPr>
        <w:pStyle w:val="12"/>
        <w:spacing w:line="283" w:lineRule="auto"/>
        <w:rPr>
          <w:rFonts w:hint="eastAsia" w:ascii="宋体" w:hAnsi="宋体" w:eastAsia="宋体" w:cs="宋体"/>
          <w:color w:val="auto"/>
        </w:rPr>
      </w:pPr>
    </w:p>
    <w:p w14:paraId="31280CDC">
      <w:pPr>
        <w:spacing w:before="75" w:line="376" w:lineRule="auto"/>
        <w:ind w:left="18"/>
        <w:rPr>
          <w:rFonts w:hint="default" w:ascii="宋体" w:hAnsi="宋体" w:eastAsia="宋体" w:cs="宋体"/>
          <w:color w:val="auto"/>
          <w:sz w:val="23"/>
          <w:szCs w:val="23"/>
          <w:lang w:val="en-US"/>
        </w:rPr>
      </w:pPr>
      <w:r>
        <w:rPr>
          <w:rFonts w:hint="eastAsia" w:ascii="宋体" w:hAnsi="宋体" w:eastAsia="宋体" w:cs="宋体"/>
          <w:color w:val="auto"/>
          <w:spacing w:val="-14"/>
          <w:sz w:val="23"/>
          <w:szCs w:val="23"/>
        </w:rPr>
        <w:t>采购人（甲方）：</w:t>
      </w:r>
      <w:r>
        <w:rPr>
          <w:rFonts w:hint="eastAsia" w:ascii="宋体" w:hAnsi="宋体" w:eastAsia="宋体" w:cs="宋体"/>
          <w:color w:val="auto"/>
          <w:spacing w:val="31"/>
          <w:sz w:val="23"/>
          <w:szCs w:val="23"/>
        </w:rPr>
        <w:t xml:space="preserve"> </w:t>
      </w:r>
      <w:r>
        <w:rPr>
          <w:rFonts w:hint="eastAsia" w:ascii="宋体" w:hAnsi="宋体" w:eastAsia="宋体" w:cs="宋体"/>
          <w:color w:val="auto"/>
          <w:spacing w:val="31"/>
          <w:sz w:val="23"/>
          <w:szCs w:val="23"/>
          <w:u w:val="single"/>
        </w:rPr>
        <w:t>库车市文化体育广播电视和旅游局</w:t>
      </w:r>
    </w:p>
    <w:p w14:paraId="4A86748A">
      <w:pPr>
        <w:spacing w:before="1" w:line="231" w:lineRule="auto"/>
        <w:ind w:left="20"/>
        <w:rPr>
          <w:rFonts w:hint="eastAsia" w:ascii="宋体" w:hAnsi="宋体" w:eastAsia="宋体" w:cs="宋体"/>
          <w:color w:val="auto"/>
          <w:sz w:val="23"/>
          <w:szCs w:val="23"/>
        </w:rPr>
      </w:pPr>
      <w:r>
        <w:rPr>
          <w:rFonts w:hint="eastAsia" w:ascii="宋体" w:hAnsi="宋体" w:eastAsia="宋体" w:cs="宋体"/>
          <w:color w:val="auto"/>
          <w:spacing w:val="-10"/>
          <w:sz w:val="23"/>
          <w:szCs w:val="23"/>
        </w:rPr>
        <w:t>成交供应商（乙方</w:t>
      </w:r>
      <w:r>
        <w:rPr>
          <w:rFonts w:hint="eastAsia" w:ascii="宋体" w:hAnsi="宋体" w:eastAsia="宋体" w:cs="宋体"/>
          <w:color w:val="auto"/>
          <w:spacing w:val="-8"/>
          <w:sz w:val="23"/>
          <w:szCs w:val="23"/>
        </w:rPr>
        <w:t>）：</w:t>
      </w:r>
      <w:r>
        <w:rPr>
          <w:rFonts w:hint="eastAsia" w:ascii="宋体" w:hAnsi="宋体" w:eastAsia="宋体" w:cs="宋体"/>
          <w:color w:val="auto"/>
          <w:sz w:val="23"/>
          <w:szCs w:val="23"/>
          <w:u w:val="single" w:color="auto"/>
        </w:rPr>
        <w:t xml:space="preserve">                 </w:t>
      </w:r>
    </w:p>
    <w:p w14:paraId="1283152E">
      <w:pPr>
        <w:pStyle w:val="12"/>
        <w:spacing w:line="282" w:lineRule="auto"/>
        <w:rPr>
          <w:rFonts w:hint="eastAsia" w:ascii="宋体" w:hAnsi="宋体" w:eastAsia="宋体" w:cs="宋体"/>
          <w:color w:val="auto"/>
        </w:rPr>
      </w:pPr>
    </w:p>
    <w:p w14:paraId="07FCB92D">
      <w:pPr>
        <w:spacing w:before="75" w:line="376" w:lineRule="auto"/>
        <w:jc w:val="left"/>
        <w:rPr>
          <w:rFonts w:hint="eastAsia" w:ascii="宋体" w:hAnsi="宋体" w:eastAsia="宋体" w:cs="宋体"/>
          <w:color w:val="auto"/>
          <w:sz w:val="23"/>
          <w:szCs w:val="23"/>
        </w:rPr>
      </w:pPr>
      <w:r>
        <w:rPr>
          <w:rFonts w:hint="eastAsia" w:ascii="宋体" w:hAnsi="宋体" w:eastAsia="宋体" w:cs="宋体"/>
          <w:color w:val="auto"/>
          <w:spacing w:val="-2"/>
          <w:sz w:val="23"/>
          <w:szCs w:val="23"/>
        </w:rPr>
        <w:t>根据</w:t>
      </w:r>
      <w:r>
        <w:rPr>
          <w:rFonts w:hint="eastAsia" w:ascii="宋体" w:hAnsi="宋体" w:eastAsia="宋体" w:cs="宋体"/>
          <w:color w:val="auto"/>
          <w:spacing w:val="5"/>
          <w:sz w:val="23"/>
          <w:szCs w:val="23"/>
          <w:u w:val="single" w:color="auto"/>
        </w:rPr>
        <w:t xml:space="preserve"> </w:t>
      </w:r>
      <w:r>
        <w:rPr>
          <w:rFonts w:hint="eastAsia" w:ascii="宋体" w:hAnsi="宋体" w:eastAsia="宋体" w:cs="宋体"/>
          <w:color w:val="auto"/>
          <w:spacing w:val="5"/>
          <w:sz w:val="23"/>
          <w:szCs w:val="23"/>
          <w:u w:val="single" w:color="auto"/>
          <w:lang w:val="en-US" w:eastAsia="zh-CN"/>
        </w:rPr>
        <w:t>202</w:t>
      </w:r>
      <w:r>
        <w:rPr>
          <w:rFonts w:hint="eastAsia" w:ascii="宋体" w:hAnsi="宋体" w:cs="宋体"/>
          <w:color w:val="auto"/>
          <w:spacing w:val="5"/>
          <w:sz w:val="23"/>
          <w:szCs w:val="23"/>
          <w:u w:val="single" w:color="auto"/>
          <w:lang w:val="en-US" w:eastAsia="zh-CN"/>
        </w:rPr>
        <w:t>6</w:t>
      </w:r>
      <w:r>
        <w:rPr>
          <w:rFonts w:hint="eastAsia" w:ascii="宋体" w:hAnsi="宋体" w:eastAsia="宋体" w:cs="宋体"/>
          <w:color w:val="auto"/>
          <w:spacing w:val="5"/>
          <w:sz w:val="23"/>
          <w:szCs w:val="23"/>
          <w:u w:val="single" w:color="auto"/>
        </w:rPr>
        <w:t xml:space="preserve"> </w:t>
      </w:r>
      <w:r>
        <w:rPr>
          <w:rFonts w:hint="eastAsia" w:ascii="宋体" w:hAnsi="宋体" w:eastAsia="宋体" w:cs="宋体"/>
          <w:color w:val="auto"/>
          <w:spacing w:val="-93"/>
          <w:sz w:val="23"/>
          <w:szCs w:val="23"/>
        </w:rPr>
        <w:t xml:space="preserve"> </w:t>
      </w:r>
      <w:r>
        <w:rPr>
          <w:rFonts w:hint="eastAsia" w:ascii="宋体" w:hAnsi="宋体" w:eastAsia="宋体" w:cs="宋体"/>
          <w:color w:val="auto"/>
          <w:spacing w:val="-2"/>
          <w:sz w:val="23"/>
          <w:szCs w:val="23"/>
        </w:rPr>
        <w:t>年</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87"/>
          <w:sz w:val="23"/>
          <w:szCs w:val="23"/>
        </w:rPr>
        <w:t xml:space="preserve"> </w:t>
      </w:r>
      <w:r>
        <w:rPr>
          <w:rFonts w:hint="eastAsia" w:ascii="宋体" w:hAnsi="宋体" w:eastAsia="宋体" w:cs="宋体"/>
          <w:color w:val="auto"/>
          <w:spacing w:val="-2"/>
          <w:sz w:val="23"/>
          <w:szCs w:val="23"/>
        </w:rPr>
        <w:t>月</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pacing w:val="-44"/>
          <w:sz w:val="23"/>
          <w:szCs w:val="23"/>
        </w:rPr>
        <w:t xml:space="preserve"> </w:t>
      </w:r>
      <w:r>
        <w:rPr>
          <w:rFonts w:hint="eastAsia" w:ascii="宋体" w:hAnsi="宋体" w:eastAsia="宋体" w:cs="宋体"/>
          <w:color w:val="auto"/>
          <w:spacing w:val="-2"/>
          <w:sz w:val="23"/>
          <w:szCs w:val="23"/>
        </w:rPr>
        <w:t>日</w:t>
      </w:r>
      <w:r>
        <w:rPr>
          <w:rFonts w:hint="eastAsia" w:ascii="宋体" w:hAnsi="宋体" w:eastAsia="宋体" w:cs="宋体"/>
          <w:color w:val="auto"/>
          <w:sz w:val="23"/>
          <w:szCs w:val="23"/>
          <w:u w:val="single" w:color="auto"/>
        </w:rPr>
        <w:t xml:space="preserve">                           </w:t>
      </w:r>
      <w:r>
        <w:rPr>
          <w:rFonts w:hint="eastAsia" w:ascii="宋体" w:hAnsi="宋体" w:eastAsia="宋体" w:cs="宋体"/>
          <w:color w:val="auto"/>
          <w:spacing w:val="-70"/>
          <w:sz w:val="23"/>
          <w:szCs w:val="23"/>
        </w:rPr>
        <w:t xml:space="preserve"> </w:t>
      </w:r>
      <w:r>
        <w:rPr>
          <w:rFonts w:hint="eastAsia" w:ascii="宋体" w:hAnsi="宋体" w:eastAsia="宋体" w:cs="宋体"/>
          <w:color w:val="auto"/>
          <w:spacing w:val="-2"/>
          <w:sz w:val="23"/>
          <w:szCs w:val="23"/>
        </w:rPr>
        <w:t>的采购结果，甲方接</w:t>
      </w:r>
      <w:r>
        <w:rPr>
          <w:rFonts w:hint="eastAsia" w:ascii="宋体" w:hAnsi="宋体" w:eastAsia="宋体" w:cs="宋体"/>
          <w:color w:val="auto"/>
          <w:spacing w:val="8"/>
          <w:sz w:val="23"/>
          <w:szCs w:val="23"/>
        </w:rPr>
        <w:t>受乙方对本项目的竞标，甲、乙双方同意签署本合同（以下简称合同</w:t>
      </w:r>
      <w:r>
        <w:rPr>
          <w:rFonts w:hint="eastAsia" w:ascii="宋体" w:hAnsi="宋体" w:eastAsia="宋体" w:cs="宋体"/>
          <w:color w:val="auto"/>
          <w:spacing w:val="7"/>
          <w:sz w:val="23"/>
          <w:szCs w:val="23"/>
        </w:rPr>
        <w:t>）。</w:t>
      </w:r>
    </w:p>
    <w:p w14:paraId="244A1EFA">
      <w:pPr>
        <w:pStyle w:val="12"/>
        <w:spacing w:line="284" w:lineRule="auto"/>
        <w:rPr>
          <w:rFonts w:hint="eastAsia" w:ascii="宋体" w:hAnsi="宋体" w:eastAsia="宋体" w:cs="宋体"/>
          <w:color w:val="auto"/>
        </w:rPr>
      </w:pPr>
    </w:p>
    <w:p w14:paraId="6A2E9688">
      <w:pPr>
        <w:spacing w:before="75" w:line="231" w:lineRule="auto"/>
        <w:ind w:left="26"/>
        <w:rPr>
          <w:rFonts w:hint="eastAsia" w:ascii="宋体" w:hAnsi="宋体" w:eastAsia="宋体" w:cs="宋体"/>
          <w:color w:val="auto"/>
          <w:sz w:val="23"/>
          <w:szCs w:val="23"/>
        </w:rPr>
      </w:pPr>
      <w:r>
        <w:rPr>
          <w:rFonts w:hint="eastAsia" w:ascii="宋体" w:hAnsi="宋体" w:eastAsia="宋体" w:cs="宋体"/>
          <w:color w:val="auto"/>
          <w:spacing w:val="1"/>
          <w:sz w:val="23"/>
          <w:szCs w:val="23"/>
          <w14:textOutline w14:w="4388" w14:cap="flat" w14:cmpd="sng">
            <w14:solidFill>
              <w14:srgbClr w14:val="000000"/>
            </w14:solidFill>
            <w14:prstDash w14:val="solid"/>
            <w14:miter w14:val="0"/>
          </w14:textOutline>
        </w:rPr>
        <w:t>1.</w:t>
      </w:r>
      <w:r>
        <w:rPr>
          <w:rFonts w:hint="eastAsia" w:ascii="宋体" w:hAnsi="宋体" w:eastAsia="宋体" w:cs="宋体"/>
          <w:color w:val="auto"/>
          <w:spacing w:val="14"/>
          <w:sz w:val="23"/>
          <w:szCs w:val="23"/>
        </w:rPr>
        <w:t xml:space="preserve">  </w:t>
      </w:r>
      <w:r>
        <w:rPr>
          <w:rFonts w:hint="eastAsia" w:ascii="宋体" w:hAnsi="宋体" w:eastAsia="宋体" w:cs="宋体"/>
          <w:color w:val="auto"/>
          <w:spacing w:val="1"/>
          <w:sz w:val="23"/>
          <w:szCs w:val="23"/>
          <w14:textOutline w14:w="4388" w14:cap="flat" w14:cmpd="sng">
            <w14:solidFill>
              <w14:srgbClr w14:val="000000"/>
            </w14:solidFill>
            <w14:prstDash w14:val="solid"/>
            <w14:miter w14:val="0"/>
          </w14:textOutline>
        </w:rPr>
        <w:t>成交内容</w:t>
      </w:r>
    </w:p>
    <w:p w14:paraId="092EED87">
      <w:pPr>
        <w:spacing w:before="181" w:line="374" w:lineRule="auto"/>
        <w:ind w:left="506"/>
        <w:jc w:val="left"/>
        <w:rPr>
          <w:rFonts w:hint="eastAsia" w:ascii="宋体" w:hAnsi="宋体" w:eastAsia="宋体" w:cs="宋体"/>
          <w:color w:val="auto"/>
          <w:sz w:val="23"/>
          <w:szCs w:val="23"/>
        </w:rPr>
      </w:pPr>
      <w:r>
        <w:rPr>
          <w:rFonts w:hint="eastAsia" w:ascii="宋体" w:hAnsi="宋体" w:eastAsia="宋体" w:cs="宋体"/>
          <w:color w:val="auto"/>
          <w:spacing w:val="-20"/>
          <w:sz w:val="23"/>
          <w:szCs w:val="23"/>
        </w:rPr>
        <w:t>1.1</w:t>
      </w:r>
      <w:r>
        <w:rPr>
          <w:rFonts w:hint="eastAsia" w:ascii="宋体" w:hAnsi="宋体" w:eastAsia="宋体" w:cs="宋体"/>
          <w:color w:val="auto"/>
          <w:spacing w:val="29"/>
          <w:sz w:val="23"/>
          <w:szCs w:val="23"/>
        </w:rPr>
        <w:t xml:space="preserve"> </w:t>
      </w:r>
      <w:r>
        <w:rPr>
          <w:rFonts w:hint="eastAsia" w:ascii="宋体" w:hAnsi="宋体" w:eastAsia="宋体" w:cs="宋体"/>
          <w:color w:val="auto"/>
          <w:spacing w:val="17"/>
          <w:sz w:val="23"/>
          <w:szCs w:val="23"/>
        </w:rPr>
        <w:t>服务名称</w:t>
      </w:r>
      <w:r>
        <w:rPr>
          <w:rFonts w:hint="eastAsia" w:ascii="宋体" w:hAnsi="宋体" w:eastAsia="宋体" w:cs="宋体"/>
          <w:color w:val="auto"/>
          <w:spacing w:val="17"/>
          <w:sz w:val="23"/>
          <w:szCs w:val="23"/>
          <w:lang w:val="en-US" w:eastAsia="zh-CN"/>
        </w:rPr>
        <w:t>:</w:t>
      </w:r>
      <w:r>
        <w:rPr>
          <w:rFonts w:hint="eastAsia" w:ascii="宋体" w:hAnsi="宋体" w:eastAsia="宋体" w:cs="宋体"/>
          <w:color w:val="auto"/>
          <w:spacing w:val="17"/>
          <w:sz w:val="23"/>
          <w:szCs w:val="23"/>
          <w:u w:val="single"/>
          <w:lang w:val="en-US" w:eastAsia="zh-CN"/>
        </w:rPr>
        <w:t>库车市沉浸式文旅体验项目</w:t>
      </w:r>
    </w:p>
    <w:p w14:paraId="481FA786">
      <w:pPr>
        <w:spacing w:before="179" w:line="374" w:lineRule="auto"/>
        <w:ind w:firstLine="460" w:firstLineChars="200"/>
        <w:jc w:val="left"/>
        <w:rPr>
          <w:rFonts w:hint="eastAsia" w:ascii="宋体" w:hAnsi="宋体" w:eastAsia="宋体" w:cs="宋体"/>
          <w:color w:val="auto"/>
          <w:sz w:val="23"/>
          <w:szCs w:val="23"/>
          <w:lang w:eastAsia="zh-CN"/>
        </w:rPr>
      </w:pPr>
      <w:r>
        <w:rPr>
          <w:rFonts w:hint="eastAsia" w:ascii="宋体" w:hAnsi="宋体" w:eastAsia="宋体" w:cs="宋体"/>
          <w:color w:val="auto"/>
          <w:sz w:val="23"/>
          <w:szCs w:val="23"/>
        </w:rPr>
        <w:t xml:space="preserve">1.2 </w:t>
      </w:r>
      <w:r>
        <w:rPr>
          <w:rFonts w:hint="eastAsia" w:ascii="宋体" w:hAnsi="宋体" w:eastAsia="宋体" w:cs="宋体"/>
          <w:color w:val="auto"/>
          <w:sz w:val="23"/>
          <w:szCs w:val="23"/>
          <w:lang w:eastAsia="zh-CN"/>
        </w:rPr>
        <w:t>成交内容</w:t>
      </w:r>
      <w:r>
        <w:rPr>
          <w:rFonts w:hint="eastAsia" w:ascii="宋体" w:hAnsi="宋体" w:eastAsia="宋体" w:cs="宋体"/>
          <w:color w:val="auto"/>
          <w:sz w:val="23"/>
          <w:szCs w:val="23"/>
        </w:rPr>
        <w:t>：</w:t>
      </w:r>
      <w:r>
        <w:rPr>
          <w:rFonts w:hint="eastAsia" w:ascii="宋体" w:hAnsi="宋体" w:eastAsia="宋体" w:cs="宋体"/>
          <w:color w:val="auto"/>
          <w:sz w:val="23"/>
          <w:szCs w:val="23"/>
          <w:u w:val="single"/>
          <w:lang w:eastAsia="zh-CN"/>
        </w:rPr>
        <w:t>乙方完成本项目全部采购需求内容，包括剧本与策划设计、路线设计、2D设定、美术资产制作、特效制作、UI设计制作、动画制作、程序开发与测试、配音配乐、VR硬件设备采购部署、场地装饰装修、宣传视频制作及宣传投放等全部工作，具体内容详见本合同附件采购需求。</w:t>
      </w:r>
    </w:p>
    <w:p w14:paraId="01546A8D">
      <w:pPr>
        <w:spacing w:before="179" w:line="374" w:lineRule="auto"/>
        <w:ind w:firstLine="460" w:firstLineChars="200"/>
        <w:jc w:val="left"/>
        <w:rPr>
          <w:rFonts w:hint="eastAsia" w:ascii="宋体" w:hAnsi="宋体" w:eastAsia="宋体" w:cs="宋体"/>
          <w:color w:val="auto"/>
          <w:sz w:val="23"/>
          <w:szCs w:val="23"/>
          <w:u w:val="single"/>
          <w:lang w:eastAsia="zh-CN"/>
        </w:rPr>
      </w:pPr>
      <w:r>
        <w:rPr>
          <w:rFonts w:hint="eastAsia" w:ascii="宋体" w:hAnsi="宋体" w:eastAsia="宋体" w:cs="宋体"/>
          <w:color w:val="auto"/>
          <w:sz w:val="23"/>
          <w:szCs w:val="23"/>
        </w:rPr>
        <w:t xml:space="preserve">1.3 </w:t>
      </w:r>
      <w:r>
        <w:rPr>
          <w:rFonts w:hint="eastAsia" w:ascii="宋体" w:hAnsi="宋体" w:eastAsia="宋体" w:cs="宋体"/>
          <w:color w:val="auto"/>
          <w:sz w:val="23"/>
          <w:szCs w:val="23"/>
          <w:lang w:eastAsia="zh-CN"/>
        </w:rPr>
        <w:t>质量要求</w:t>
      </w:r>
      <w:r>
        <w:rPr>
          <w:rFonts w:hint="eastAsia" w:ascii="宋体" w:hAnsi="宋体" w:eastAsia="宋体" w:cs="宋体"/>
          <w:color w:val="auto"/>
          <w:sz w:val="23"/>
          <w:szCs w:val="23"/>
        </w:rPr>
        <w:t>：</w:t>
      </w:r>
      <w:r>
        <w:rPr>
          <w:rFonts w:hint="eastAsia" w:ascii="宋体" w:hAnsi="宋体" w:eastAsia="宋体" w:cs="宋体"/>
          <w:color w:val="auto"/>
          <w:sz w:val="23"/>
          <w:szCs w:val="23"/>
          <w:u w:val="single"/>
          <w:lang w:eastAsia="zh-CN"/>
        </w:rPr>
        <w:t>合格并满足甲方要求，符合本合同及采购需求约定的全部绩效标准。</w:t>
      </w:r>
    </w:p>
    <w:p w14:paraId="25B34597">
      <w:pPr>
        <w:spacing w:before="181" w:line="231" w:lineRule="auto"/>
        <w:ind w:left="12"/>
        <w:rPr>
          <w:rFonts w:hint="eastAsia" w:ascii="宋体" w:hAnsi="宋体" w:eastAsia="宋体" w:cs="宋体"/>
          <w:color w:val="auto"/>
          <w:sz w:val="23"/>
          <w:szCs w:val="23"/>
        </w:rPr>
      </w:pPr>
      <w:r>
        <w:rPr>
          <w:rFonts w:hint="eastAsia" w:ascii="宋体" w:hAnsi="宋体" w:eastAsia="宋体" w:cs="宋体"/>
          <w:color w:val="auto"/>
          <w:spacing w:val="3"/>
          <w:sz w:val="23"/>
          <w:szCs w:val="23"/>
          <w14:textOutline w14:w="4388" w14:cap="flat" w14:cmpd="sng">
            <w14:solidFill>
              <w14:srgbClr w14:val="000000"/>
            </w14:solidFill>
            <w14:prstDash w14:val="solid"/>
            <w14:miter w14:val="0"/>
          </w14:textOutline>
        </w:rPr>
        <w:t>2.</w:t>
      </w:r>
      <w:r>
        <w:rPr>
          <w:rFonts w:hint="eastAsia" w:ascii="宋体" w:hAnsi="宋体" w:eastAsia="宋体" w:cs="宋体"/>
          <w:color w:val="auto"/>
          <w:spacing w:val="16"/>
          <w:sz w:val="23"/>
          <w:szCs w:val="23"/>
        </w:rPr>
        <w:t xml:space="preserve">  </w:t>
      </w:r>
      <w:r>
        <w:rPr>
          <w:rFonts w:hint="eastAsia" w:ascii="宋体" w:hAnsi="宋体" w:eastAsia="宋体" w:cs="宋体"/>
          <w:color w:val="auto"/>
          <w:spacing w:val="3"/>
          <w:sz w:val="23"/>
          <w:szCs w:val="23"/>
          <w14:textOutline w14:w="4388" w14:cap="flat" w14:cmpd="sng">
            <w14:solidFill>
              <w14:srgbClr w14:val="000000"/>
            </w14:solidFill>
            <w14:prstDash w14:val="solid"/>
            <w14:miter w14:val="0"/>
          </w14:textOutline>
        </w:rPr>
        <w:t>合同金额</w:t>
      </w:r>
    </w:p>
    <w:p w14:paraId="340AF088">
      <w:pPr>
        <w:spacing w:before="177" w:line="376" w:lineRule="auto"/>
        <w:ind w:left="480"/>
        <w:jc w:val="left"/>
        <w:rPr>
          <w:rFonts w:hint="eastAsia" w:ascii="宋体" w:hAnsi="宋体" w:eastAsia="宋体" w:cs="宋体"/>
          <w:color w:val="auto"/>
          <w:sz w:val="23"/>
          <w:szCs w:val="23"/>
        </w:rPr>
      </w:pPr>
      <w:r>
        <w:rPr>
          <w:rFonts w:hint="eastAsia" w:ascii="宋体" w:hAnsi="宋体" w:eastAsia="宋体" w:cs="宋体"/>
          <w:color w:val="auto"/>
          <w:spacing w:val="8"/>
          <w:sz w:val="23"/>
          <w:szCs w:val="23"/>
        </w:rPr>
        <w:t>2.1 本合同金额为（大写）人民币</w:t>
      </w:r>
      <w:r>
        <w:rPr>
          <w:rFonts w:hint="eastAsia" w:ascii="宋体" w:hAnsi="宋体" w:eastAsia="宋体" w:cs="宋体"/>
          <w:color w:val="auto"/>
          <w:sz w:val="23"/>
          <w:szCs w:val="23"/>
          <w:u w:val="single" w:color="auto"/>
        </w:rPr>
        <w:t xml:space="preserve">                                         </w:t>
      </w:r>
      <w:r>
        <w:rPr>
          <w:rFonts w:hint="eastAsia" w:ascii="宋体" w:hAnsi="宋体" w:eastAsia="宋体" w:cs="宋体"/>
          <w:color w:val="auto"/>
          <w:spacing w:val="10"/>
          <w:sz w:val="23"/>
          <w:szCs w:val="23"/>
        </w:rPr>
        <w:t>(￥</w:t>
      </w:r>
      <w:r>
        <w:rPr>
          <w:rFonts w:hint="eastAsia" w:ascii="宋体" w:hAnsi="宋体" w:eastAsia="宋体" w:cs="宋体"/>
          <w:color w:val="auto"/>
          <w:spacing w:val="-78"/>
          <w:sz w:val="23"/>
          <w:szCs w:val="23"/>
        </w:rPr>
        <w:t xml:space="preserve"> </w:t>
      </w:r>
      <w:r>
        <w:rPr>
          <w:rFonts w:hint="eastAsia" w:ascii="宋体" w:hAnsi="宋体" w:eastAsia="宋体" w:cs="宋体"/>
          <w:color w:val="auto"/>
          <w:spacing w:val="5"/>
          <w:sz w:val="23"/>
          <w:szCs w:val="23"/>
          <w:u w:val="single" w:color="auto"/>
        </w:rPr>
        <w:t xml:space="preserve">            </w:t>
      </w:r>
      <w:r>
        <w:rPr>
          <w:rFonts w:hint="eastAsia" w:ascii="宋体" w:hAnsi="宋体" w:eastAsia="宋体" w:cs="宋体"/>
          <w:color w:val="auto"/>
          <w:spacing w:val="-80"/>
          <w:sz w:val="23"/>
          <w:szCs w:val="23"/>
        </w:rPr>
        <w:t xml:space="preserve"> </w:t>
      </w:r>
      <w:r>
        <w:rPr>
          <w:rFonts w:hint="eastAsia" w:ascii="宋体" w:hAnsi="宋体" w:eastAsia="宋体" w:cs="宋体"/>
          <w:color w:val="auto"/>
          <w:spacing w:val="10"/>
          <w:sz w:val="23"/>
          <w:szCs w:val="23"/>
        </w:rPr>
        <w:t>)。（详见最终报价）</w:t>
      </w:r>
    </w:p>
    <w:p w14:paraId="276B2E9C">
      <w:pPr>
        <w:spacing w:before="180" w:line="231" w:lineRule="auto"/>
        <w:ind w:left="13"/>
        <w:rPr>
          <w:rFonts w:hint="eastAsia" w:ascii="宋体" w:hAnsi="宋体" w:eastAsia="宋体" w:cs="宋体"/>
          <w:color w:val="auto"/>
          <w:sz w:val="23"/>
          <w:szCs w:val="23"/>
        </w:rPr>
      </w:pPr>
      <w:r>
        <w:rPr>
          <w:rFonts w:hint="eastAsia" w:ascii="宋体" w:hAnsi="宋体" w:eastAsia="宋体" w:cs="宋体"/>
          <w:color w:val="auto"/>
          <w:spacing w:val="7"/>
          <w:sz w:val="23"/>
          <w:szCs w:val="23"/>
          <w14:textOutline w14:w="4388" w14:cap="flat" w14:cmpd="sng">
            <w14:solidFill>
              <w14:srgbClr w14:val="000000"/>
            </w14:solidFill>
            <w14:prstDash w14:val="solid"/>
            <w14:miter w14:val="0"/>
          </w14:textOutline>
        </w:rPr>
        <w:t>3.</w:t>
      </w:r>
      <w:r>
        <w:rPr>
          <w:rFonts w:hint="eastAsia" w:ascii="宋体" w:hAnsi="宋体" w:eastAsia="宋体" w:cs="宋体"/>
          <w:color w:val="auto"/>
          <w:spacing w:val="7"/>
          <w:sz w:val="23"/>
          <w:szCs w:val="23"/>
        </w:rPr>
        <w:t xml:space="preserve">  </w:t>
      </w:r>
      <w:r>
        <w:rPr>
          <w:rFonts w:hint="eastAsia" w:ascii="宋体" w:hAnsi="宋体" w:eastAsia="宋体" w:cs="宋体"/>
          <w:color w:val="auto"/>
          <w:spacing w:val="7"/>
          <w:sz w:val="23"/>
          <w:szCs w:val="23"/>
          <w14:textOutline w14:w="4388" w14:cap="flat" w14:cmpd="sng">
            <w14:solidFill>
              <w14:srgbClr w14:val="000000"/>
            </w14:solidFill>
            <w14:prstDash w14:val="solid"/>
            <w14:miter w14:val="0"/>
          </w14:textOutline>
        </w:rPr>
        <w:t>提交服务成果要求</w:t>
      </w:r>
    </w:p>
    <w:p w14:paraId="60ABFADC">
      <w:pPr>
        <w:spacing w:before="186" w:line="376" w:lineRule="auto"/>
        <w:ind w:left="373"/>
        <w:rPr>
          <w:rFonts w:hint="eastAsia" w:ascii="宋体" w:hAnsi="宋体" w:eastAsia="宋体" w:cs="宋体"/>
          <w:color w:val="auto"/>
          <w:spacing w:val="-1"/>
          <w:sz w:val="23"/>
          <w:szCs w:val="23"/>
        </w:rPr>
      </w:pPr>
      <w:r>
        <w:rPr>
          <w:rFonts w:hint="eastAsia" w:ascii="宋体" w:hAnsi="宋体" w:eastAsia="宋体" w:cs="宋体"/>
          <w:color w:val="auto"/>
          <w:spacing w:val="-1"/>
          <w:sz w:val="23"/>
          <w:szCs w:val="23"/>
        </w:rPr>
        <w:t>3.</w:t>
      </w:r>
      <w:r>
        <w:rPr>
          <w:rFonts w:hint="eastAsia" w:ascii="宋体" w:hAnsi="宋体" w:cs="宋体"/>
          <w:color w:val="auto"/>
          <w:spacing w:val="-1"/>
          <w:sz w:val="23"/>
          <w:szCs w:val="23"/>
          <w:lang w:val="en-US" w:eastAsia="zh-CN"/>
        </w:rPr>
        <w:t>1</w:t>
      </w:r>
      <w:r>
        <w:rPr>
          <w:rFonts w:hint="eastAsia" w:ascii="宋体" w:hAnsi="宋体" w:eastAsia="宋体" w:cs="宋体"/>
          <w:color w:val="auto"/>
          <w:spacing w:val="-1"/>
          <w:sz w:val="23"/>
          <w:szCs w:val="23"/>
        </w:rPr>
        <w:t xml:space="preserve"> 提交服务成果时间及服务期：</w:t>
      </w:r>
      <w:r>
        <w:rPr>
          <w:rFonts w:hint="eastAsia" w:ascii="宋体" w:hAnsi="宋体" w:eastAsia="宋体" w:cs="宋体"/>
          <w:color w:val="auto"/>
          <w:spacing w:val="-1"/>
          <w:sz w:val="23"/>
          <w:szCs w:val="23"/>
          <w:u w:val="single"/>
        </w:rPr>
        <w:t>本项目总服务期限4个月，自合同签订之日起计算，乙方应在合同签订之日起4个月内完成全部项目内容并提请甲方验收。</w:t>
      </w:r>
    </w:p>
    <w:p w14:paraId="069DD734">
      <w:pPr>
        <w:spacing w:before="186" w:line="376" w:lineRule="auto"/>
        <w:ind w:left="373"/>
        <w:rPr>
          <w:rFonts w:hint="eastAsia" w:ascii="宋体" w:hAnsi="宋体" w:eastAsia="宋体" w:cs="宋体"/>
          <w:color w:val="auto"/>
          <w:spacing w:val="-1"/>
          <w:sz w:val="23"/>
          <w:szCs w:val="23"/>
        </w:rPr>
      </w:pPr>
      <w:r>
        <w:rPr>
          <w:rFonts w:hint="eastAsia" w:ascii="宋体" w:hAnsi="宋体" w:eastAsia="宋体" w:cs="宋体"/>
          <w:color w:val="auto"/>
          <w:spacing w:val="-1"/>
          <w:sz w:val="23"/>
          <w:szCs w:val="23"/>
        </w:rPr>
        <w:t>3.2 提交服务成果地点（或服务地点）：</w:t>
      </w:r>
      <w:r>
        <w:rPr>
          <w:rFonts w:hint="eastAsia" w:ascii="宋体" w:hAnsi="宋体" w:eastAsia="宋体" w:cs="宋体"/>
          <w:color w:val="auto"/>
          <w:spacing w:val="-1"/>
          <w:sz w:val="23"/>
          <w:szCs w:val="23"/>
          <w:u w:val="single"/>
        </w:rPr>
        <w:t xml:space="preserve">新疆库车市甲方指定场地 </w:t>
      </w:r>
    </w:p>
    <w:p w14:paraId="6BEF7DF1">
      <w:pPr>
        <w:spacing w:before="186" w:line="376" w:lineRule="auto"/>
        <w:ind w:left="373"/>
        <w:rPr>
          <w:rFonts w:hint="eastAsia" w:ascii="宋体" w:hAnsi="宋体" w:eastAsia="宋体" w:cs="宋体"/>
          <w:color w:val="auto"/>
          <w:spacing w:val="-1"/>
          <w:sz w:val="23"/>
          <w:szCs w:val="23"/>
        </w:rPr>
      </w:pPr>
      <w:r>
        <w:rPr>
          <w:rFonts w:hint="eastAsia" w:ascii="宋体" w:hAnsi="宋体" w:eastAsia="宋体" w:cs="宋体"/>
          <w:color w:val="auto"/>
          <w:spacing w:val="-1"/>
          <w:sz w:val="23"/>
          <w:szCs w:val="23"/>
        </w:rPr>
        <w:t>3.</w:t>
      </w:r>
      <w:r>
        <w:rPr>
          <w:rFonts w:hint="eastAsia" w:ascii="宋体" w:hAnsi="宋体" w:cs="宋体"/>
          <w:color w:val="auto"/>
          <w:spacing w:val="-1"/>
          <w:sz w:val="23"/>
          <w:szCs w:val="23"/>
          <w:lang w:val="en-US" w:eastAsia="zh-CN"/>
        </w:rPr>
        <w:t>3</w:t>
      </w:r>
      <w:r>
        <w:rPr>
          <w:rFonts w:hint="eastAsia" w:ascii="宋体" w:hAnsi="宋体" w:eastAsia="宋体" w:cs="宋体"/>
          <w:color w:val="auto"/>
          <w:spacing w:val="-1"/>
          <w:sz w:val="23"/>
          <w:szCs w:val="23"/>
        </w:rPr>
        <w:t xml:space="preserve"> 乙方必须按报价文件承诺的服务响应条款向甲方提供服务。</w:t>
      </w:r>
    </w:p>
    <w:p w14:paraId="4C4768AB">
      <w:pPr>
        <w:spacing w:before="178" w:line="231" w:lineRule="auto"/>
        <w:ind w:left="8"/>
        <w:rPr>
          <w:rFonts w:hint="eastAsia" w:ascii="宋体" w:hAnsi="宋体" w:eastAsia="宋体" w:cs="宋体"/>
          <w:color w:val="auto"/>
        </w:rPr>
      </w:pPr>
      <w:r>
        <w:rPr>
          <w:rFonts w:hint="eastAsia" w:ascii="宋体" w:hAnsi="宋体" w:eastAsia="宋体" w:cs="宋体"/>
          <w:color w:val="auto"/>
          <w:spacing w:val="1"/>
          <w:sz w:val="23"/>
          <w:szCs w:val="23"/>
          <w14:textOutline w14:w="4388" w14:cap="flat" w14:cmpd="sng">
            <w14:solidFill>
              <w14:srgbClr w14:val="000000"/>
            </w14:solidFill>
            <w14:prstDash w14:val="solid"/>
            <w14:miter w14:val="0"/>
          </w14:textOutline>
        </w:rPr>
        <w:t>4.</w:t>
      </w:r>
      <w:r>
        <w:rPr>
          <w:rFonts w:hint="eastAsia" w:ascii="宋体" w:hAnsi="宋体" w:eastAsia="宋体" w:cs="宋体"/>
          <w:color w:val="auto"/>
          <w:spacing w:val="13"/>
          <w:sz w:val="23"/>
          <w:szCs w:val="23"/>
        </w:rPr>
        <w:t xml:space="preserve">  </w:t>
      </w:r>
      <w:r>
        <w:rPr>
          <w:rFonts w:hint="eastAsia" w:ascii="宋体" w:hAnsi="宋体" w:eastAsia="宋体" w:cs="宋体"/>
          <w:color w:val="auto"/>
          <w:spacing w:val="1"/>
          <w:sz w:val="23"/>
          <w:szCs w:val="23"/>
          <w14:textOutline w14:w="4388" w14:cap="flat" w14:cmpd="sng">
            <w14:solidFill>
              <w14:srgbClr w14:val="000000"/>
            </w14:solidFill>
            <w14:prstDash w14:val="solid"/>
            <w14:miter w14:val="0"/>
          </w14:textOutline>
        </w:rPr>
        <w:t>产权</w:t>
      </w:r>
    </w:p>
    <w:p w14:paraId="35B3ED78">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cs="宋体"/>
          <w:color w:val="auto"/>
          <w:spacing w:val="17"/>
          <w:sz w:val="23"/>
          <w:szCs w:val="23"/>
          <w:lang w:val="en-US" w:eastAsia="zh-CN"/>
        </w:rPr>
        <w:t>4</w:t>
      </w:r>
      <w:r>
        <w:rPr>
          <w:rFonts w:hint="eastAsia" w:ascii="宋体" w:hAnsi="宋体" w:eastAsia="宋体" w:cs="宋体"/>
          <w:color w:val="auto"/>
          <w:spacing w:val="17"/>
          <w:sz w:val="23"/>
          <w:szCs w:val="23"/>
        </w:rPr>
        <w:t>.1 乙方应保证所提供的服务或其任何一部分均不会侵犯任何第三方的专利权、商标权或著作权。</w:t>
      </w:r>
    </w:p>
    <w:p w14:paraId="4BD105A2">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cs="宋体"/>
          <w:color w:val="auto"/>
          <w:spacing w:val="17"/>
          <w:sz w:val="23"/>
          <w:szCs w:val="23"/>
          <w:lang w:val="en-US" w:eastAsia="zh-CN"/>
        </w:rPr>
        <w:t>4</w:t>
      </w:r>
      <w:r>
        <w:rPr>
          <w:rFonts w:hint="eastAsia" w:ascii="宋体" w:hAnsi="宋体" w:eastAsia="宋体" w:cs="宋体"/>
          <w:color w:val="auto"/>
          <w:spacing w:val="17"/>
          <w:sz w:val="23"/>
          <w:szCs w:val="23"/>
        </w:rPr>
        <w:t>.2 乙方保证所交付服务的所有权完全属于乙方且无任何抵押、查封等产权瑕疵。如乙方所交付服务有产权瑕疵的，视为乙方违约，按照本合同第 9.3 项的约定处理。但在已经全部支付完合同款后才发现有产权瑕疵的， 乙方除了支付违约金，还应赔偿甲方由此产生的一切损失，并承担因产权瑕疵而侵犯任何第三方的专利权、商标权或著作权所产生的一切法律责任。</w:t>
      </w:r>
    </w:p>
    <w:p w14:paraId="31C6BCAA">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lang w:val="en-US" w:eastAsia="zh-CN"/>
        </w:rPr>
        <w:t>4.3</w:t>
      </w:r>
      <w:r>
        <w:rPr>
          <w:rFonts w:hint="eastAsia" w:ascii="宋体" w:hAnsi="宋体" w:eastAsia="宋体" w:cs="宋体"/>
          <w:color w:val="auto"/>
          <w:spacing w:val="17"/>
          <w:sz w:val="23"/>
          <w:szCs w:val="23"/>
          <w:lang w:eastAsia="zh-CN"/>
        </w:rPr>
        <w:t>本合同项下乙方完成的全部服务成果、开发内容、知识产权自交付验收合格之日起，全部归甲方所有，乙方仅可用于自身业绩展示等非商业用途，不得自行使用、许可他人使用或向第三方泄露本项目成果内容。</w:t>
      </w:r>
    </w:p>
    <w:p w14:paraId="2779921E">
      <w:pPr>
        <w:spacing w:before="184" w:line="228" w:lineRule="auto"/>
        <w:ind w:left="13"/>
        <w:rPr>
          <w:rFonts w:hint="eastAsia" w:ascii="宋体" w:hAnsi="宋体" w:eastAsia="宋体" w:cs="宋体"/>
          <w:color w:val="auto"/>
          <w:sz w:val="23"/>
          <w:szCs w:val="23"/>
        </w:rPr>
      </w:pPr>
      <w:r>
        <w:rPr>
          <w:rFonts w:hint="eastAsia" w:ascii="宋体" w:hAnsi="宋体" w:eastAsia="宋体" w:cs="宋体"/>
          <w:color w:val="auto"/>
          <w:spacing w:val="3"/>
          <w:sz w:val="23"/>
          <w:szCs w:val="23"/>
          <w14:textOutline w14:w="4388" w14:cap="flat" w14:cmpd="sng">
            <w14:solidFill>
              <w14:srgbClr w14:val="000000"/>
            </w14:solidFill>
            <w14:prstDash w14:val="solid"/>
            <w14:miter w14:val="0"/>
          </w14:textOutline>
        </w:rPr>
        <w:t>5.</w:t>
      </w:r>
      <w:r>
        <w:rPr>
          <w:rFonts w:hint="eastAsia" w:ascii="宋体" w:hAnsi="宋体" w:eastAsia="宋体" w:cs="宋体"/>
          <w:color w:val="auto"/>
          <w:spacing w:val="15"/>
          <w:sz w:val="23"/>
          <w:szCs w:val="23"/>
        </w:rPr>
        <w:t xml:space="preserve">  </w:t>
      </w:r>
      <w:r>
        <w:rPr>
          <w:rFonts w:hint="eastAsia" w:ascii="宋体" w:hAnsi="宋体" w:eastAsia="宋体" w:cs="宋体"/>
          <w:color w:val="auto"/>
          <w:spacing w:val="3"/>
          <w:sz w:val="23"/>
          <w:szCs w:val="23"/>
          <w14:textOutline w14:w="4388" w14:cap="flat" w14:cmpd="sng">
            <w14:solidFill>
              <w14:srgbClr w14:val="000000"/>
            </w14:solidFill>
            <w14:prstDash w14:val="solid"/>
            <w14:miter w14:val="0"/>
          </w14:textOutline>
        </w:rPr>
        <w:t>技术资料</w:t>
      </w:r>
    </w:p>
    <w:p w14:paraId="53612767">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5.1 甲方应向乙方提供甲方自身现有或掌握的、提交服务成果所必需的有关数据、资料等。但甲方没有义务负责向乙方提供自身不掌握的相关数据、资料等。</w:t>
      </w:r>
    </w:p>
    <w:p w14:paraId="2FA11463">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5.2 没有甲方事先书面同意，乙方不得将由甲方提供的有关合同或任何合同条文、规格、计划、图纸（设计图）、样品或资料提供给与履行本合同无关的任何其 他人。即使向履行本合同有关的人员提供，也应注意保密并限于履行合同的必需范围。</w:t>
      </w:r>
    </w:p>
    <w:p w14:paraId="4CAC5F57">
      <w:pPr>
        <w:spacing w:before="75" w:line="461" w:lineRule="exact"/>
        <w:ind w:firstLine="530" w:firstLineChars="200"/>
        <w:rPr>
          <w:rFonts w:hint="eastAsia" w:ascii="宋体" w:hAnsi="宋体" w:eastAsia="宋体" w:cs="宋体"/>
          <w:b/>
          <w:bCs/>
          <w:color w:val="auto"/>
          <w:spacing w:val="17"/>
          <w:sz w:val="23"/>
          <w:szCs w:val="23"/>
          <w:lang w:eastAsia="zh-CN"/>
        </w:rPr>
      </w:pPr>
      <w:r>
        <w:rPr>
          <w:rFonts w:hint="eastAsia" w:ascii="宋体" w:hAnsi="宋体" w:eastAsia="宋体" w:cs="宋体"/>
          <w:b/>
          <w:bCs/>
          <w:color w:val="auto"/>
          <w:spacing w:val="17"/>
          <w:sz w:val="23"/>
          <w:szCs w:val="23"/>
          <w:lang w:eastAsia="zh-CN"/>
        </w:rPr>
        <w:t>保密</w:t>
      </w:r>
    </w:p>
    <w:p w14:paraId="6791F54C">
      <w:pPr>
        <w:spacing w:before="75" w:line="461" w:lineRule="exact"/>
        <w:ind w:firstLine="528" w:firstLineChars="200"/>
        <w:rPr>
          <w:rFonts w:hint="eastAsia" w:ascii="宋体" w:hAnsi="宋体" w:eastAsia="宋体" w:cs="宋体"/>
          <w:color w:val="auto"/>
          <w:spacing w:val="17"/>
          <w:sz w:val="23"/>
          <w:szCs w:val="23"/>
          <w:lang w:eastAsia="zh-CN"/>
        </w:rPr>
      </w:pPr>
      <w:r>
        <w:rPr>
          <w:rFonts w:hint="eastAsia" w:ascii="宋体" w:hAnsi="宋体" w:eastAsia="宋体" w:cs="宋体"/>
          <w:color w:val="auto"/>
          <w:spacing w:val="17"/>
          <w:sz w:val="23"/>
          <w:szCs w:val="23"/>
          <w:lang w:eastAsia="zh-CN"/>
        </w:rPr>
        <w:t>1. 乙方在合同履行过程中应对甲方提供的资料、数据、项目成果及涉及甲方商业秘密、知识产权的信息严格保密，未经甲方书面同意不得向第三方披露、转让或用于本合同以外用途。</w:t>
      </w:r>
    </w:p>
    <w:p w14:paraId="171DED13">
      <w:pPr>
        <w:spacing w:before="75" w:line="461" w:lineRule="exact"/>
        <w:ind w:firstLine="528" w:firstLineChars="200"/>
        <w:rPr>
          <w:rFonts w:hint="eastAsia" w:ascii="宋体" w:hAnsi="宋体" w:eastAsia="宋体" w:cs="宋体"/>
          <w:color w:val="auto"/>
          <w:spacing w:val="17"/>
          <w:sz w:val="23"/>
          <w:szCs w:val="23"/>
          <w:lang w:eastAsia="zh-CN"/>
        </w:rPr>
      </w:pPr>
      <w:r>
        <w:rPr>
          <w:rFonts w:hint="eastAsia" w:ascii="宋体" w:hAnsi="宋体" w:eastAsia="宋体" w:cs="宋体"/>
          <w:color w:val="auto"/>
          <w:spacing w:val="17"/>
          <w:sz w:val="23"/>
          <w:szCs w:val="23"/>
          <w:lang w:eastAsia="zh-CN"/>
        </w:rPr>
        <w:t>2. 保密义务自合同签订之日起生效，至合同终止后五年内持续有效。涉及甲方核心商业秘密的，保密义务长期有效。</w:t>
      </w:r>
    </w:p>
    <w:p w14:paraId="6E9C429E">
      <w:pPr>
        <w:spacing w:before="75" w:line="461" w:lineRule="exact"/>
        <w:ind w:firstLine="528" w:firstLineChars="200"/>
        <w:rPr>
          <w:rFonts w:hint="eastAsia" w:ascii="宋体" w:hAnsi="宋体" w:eastAsia="宋体" w:cs="宋体"/>
          <w:color w:val="auto"/>
          <w:spacing w:val="17"/>
          <w:sz w:val="23"/>
          <w:szCs w:val="23"/>
          <w:lang w:eastAsia="zh-CN"/>
        </w:rPr>
      </w:pPr>
      <w:r>
        <w:rPr>
          <w:rFonts w:hint="eastAsia" w:ascii="宋体" w:hAnsi="宋体" w:eastAsia="宋体" w:cs="宋体"/>
          <w:color w:val="auto"/>
          <w:spacing w:val="17"/>
          <w:sz w:val="23"/>
          <w:szCs w:val="23"/>
          <w:lang w:eastAsia="zh-CN"/>
        </w:rPr>
        <w:t>3. 乙方违反保密义务的，应承担违约责任，并赔偿甲方因此遭受的全部损失。</w:t>
      </w:r>
    </w:p>
    <w:p w14:paraId="457A4E87">
      <w:pPr>
        <w:spacing w:before="75" w:line="461" w:lineRule="exact"/>
        <w:ind w:firstLine="528" w:firstLineChars="200"/>
        <w:rPr>
          <w:rFonts w:hint="eastAsia" w:ascii="宋体" w:hAnsi="宋体" w:eastAsia="宋体" w:cs="宋体"/>
          <w:color w:val="auto"/>
          <w:spacing w:val="17"/>
          <w:sz w:val="23"/>
          <w:szCs w:val="23"/>
          <w:lang w:eastAsia="zh-CN"/>
        </w:rPr>
      </w:pPr>
      <w:r>
        <w:rPr>
          <w:rFonts w:hint="eastAsia" w:ascii="宋体" w:hAnsi="宋体" w:eastAsia="宋体" w:cs="宋体"/>
          <w:color w:val="auto"/>
          <w:spacing w:val="17"/>
          <w:sz w:val="23"/>
          <w:szCs w:val="23"/>
          <w:lang w:eastAsia="zh-CN"/>
        </w:rPr>
        <w:t>4. 双方可根据实际情况进一步约定保密范围、措施及违约责任。</w:t>
      </w:r>
    </w:p>
    <w:p w14:paraId="2064CFFC">
      <w:pPr>
        <w:spacing w:before="180" w:line="231" w:lineRule="auto"/>
        <w:ind w:left="11"/>
        <w:rPr>
          <w:rFonts w:hint="eastAsia" w:ascii="宋体" w:hAnsi="宋体" w:eastAsia="宋体" w:cs="宋体"/>
          <w:color w:val="auto"/>
          <w:sz w:val="23"/>
          <w:szCs w:val="23"/>
        </w:rPr>
      </w:pPr>
      <w:r>
        <w:rPr>
          <w:rFonts w:hint="eastAsia" w:ascii="宋体" w:hAnsi="宋体" w:eastAsia="宋体" w:cs="宋体"/>
          <w:color w:val="auto"/>
          <w:spacing w:val="1"/>
          <w:sz w:val="23"/>
          <w:szCs w:val="23"/>
          <w14:textOutline w14:w="4388" w14:cap="flat" w14:cmpd="sng">
            <w14:solidFill>
              <w14:srgbClr w14:val="000000"/>
            </w14:solidFill>
            <w14:prstDash w14:val="solid"/>
            <w14:miter w14:val="0"/>
          </w14:textOutline>
        </w:rPr>
        <w:t>6.</w:t>
      </w:r>
      <w:r>
        <w:rPr>
          <w:rFonts w:hint="eastAsia" w:ascii="宋体" w:hAnsi="宋体" w:eastAsia="宋体" w:cs="宋体"/>
          <w:color w:val="auto"/>
          <w:spacing w:val="12"/>
          <w:sz w:val="23"/>
          <w:szCs w:val="23"/>
        </w:rPr>
        <w:t xml:space="preserve">  </w:t>
      </w:r>
      <w:r>
        <w:rPr>
          <w:rFonts w:hint="eastAsia" w:ascii="宋体" w:hAnsi="宋体" w:eastAsia="宋体" w:cs="宋体"/>
          <w:color w:val="auto"/>
          <w:spacing w:val="1"/>
          <w:sz w:val="23"/>
          <w:szCs w:val="23"/>
          <w14:textOutline w14:w="4388" w14:cap="flat" w14:cmpd="sng">
            <w14:solidFill>
              <w14:srgbClr w14:val="000000"/>
            </w14:solidFill>
            <w14:prstDash w14:val="solid"/>
            <w14:miter w14:val="0"/>
          </w14:textOutline>
        </w:rPr>
        <w:t>验收</w:t>
      </w:r>
    </w:p>
    <w:p w14:paraId="04DCA068">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6.1 乙方应对提交的服务成果作出全面检查和整理，并列出清单，作为甲方验收和使用的技术条件依据，清单应随提交的服务成果交给甲方。</w:t>
      </w:r>
    </w:p>
    <w:p w14:paraId="5223A78A">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6.2 乙方在指定地点提交服务成果后，甲方应组织专家进行评审。</w:t>
      </w:r>
    </w:p>
    <w:p w14:paraId="2AB9DEE0">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6.3 甲方组织专家评审会对乙方提交的服务成果进行评审，评审通过后，上报市政府审定。在上述验收过程中，需对服务成果进行修改完善的，乙方要提供服务直至市政府审定通过方为验收合格。</w:t>
      </w:r>
    </w:p>
    <w:p w14:paraId="1E864EE1">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 xml:space="preserve">6.4 </w:t>
      </w:r>
      <w:bookmarkStart w:id="24" w:name="auto_fouce_12"/>
      <w:r>
        <w:rPr>
          <w:rFonts w:hint="eastAsia" w:ascii="宋体" w:hAnsi="宋体" w:eastAsia="宋体" w:cs="宋体"/>
          <w:color w:val="auto"/>
          <w:spacing w:val="17"/>
          <w:sz w:val="23"/>
          <w:szCs w:val="23"/>
        </w:rPr>
        <w:t>对复杂的服务，甲方可请国家认可的专业机构参与验收，并由其出具验收报告，相关费用由</w:t>
      </w:r>
      <w:r>
        <w:rPr>
          <w:rFonts w:hint="eastAsia" w:ascii="宋体" w:hAnsi="宋体" w:eastAsia="宋体" w:cs="宋体"/>
          <w:color w:val="auto"/>
          <w:spacing w:val="17"/>
          <w:sz w:val="23"/>
          <w:szCs w:val="23"/>
          <w:lang w:eastAsia="zh-CN"/>
        </w:rPr>
        <w:t>乙方承担。本项目所有硬件设备质保期自项目整体验收合格之日起计算，不少于1年，质保期内非</w:t>
      </w:r>
      <w:r>
        <w:rPr>
          <w:rFonts w:hint="eastAsia" w:ascii="宋体" w:hAnsi="宋体" w:eastAsia="宋体" w:cs="宋体"/>
          <w:color w:val="auto"/>
          <w:spacing w:val="17"/>
          <w:sz w:val="23"/>
          <w:szCs w:val="23"/>
        </w:rPr>
        <w:t>甲方</w:t>
      </w:r>
      <w:r>
        <w:rPr>
          <w:rFonts w:hint="eastAsia" w:ascii="宋体" w:hAnsi="宋体" w:eastAsia="宋体" w:cs="宋体"/>
          <w:color w:val="auto"/>
          <w:spacing w:val="17"/>
          <w:sz w:val="23"/>
          <w:szCs w:val="23"/>
          <w:lang w:eastAsia="zh-CN"/>
        </w:rPr>
        <w:t>人为原因出现的质量及安装问题，由乙方负责包修、包换、包退，并</w:t>
      </w:r>
      <w:r>
        <w:rPr>
          <w:rFonts w:hint="eastAsia" w:ascii="宋体" w:hAnsi="宋体" w:eastAsia="宋体" w:cs="宋体"/>
          <w:color w:val="auto"/>
          <w:spacing w:val="17"/>
          <w:sz w:val="23"/>
          <w:szCs w:val="23"/>
        </w:rPr>
        <w:t>承担</w:t>
      </w:r>
      <w:r>
        <w:rPr>
          <w:rFonts w:hint="eastAsia" w:ascii="宋体" w:hAnsi="宋体" w:eastAsia="宋体" w:cs="宋体"/>
          <w:color w:val="auto"/>
          <w:spacing w:val="17"/>
          <w:sz w:val="23"/>
          <w:szCs w:val="23"/>
          <w:lang w:eastAsia="zh-CN"/>
        </w:rPr>
        <w:t>因此产生的全部费用，乙方应在收到甲方通知后24小时内派员到场维修，逾期未维修的，甲方有权委托第三方维修，产生的全部费用由乙方承担，甲方有权从质保金或履约保证金中直接扣除</w:t>
      </w:r>
      <w:r>
        <w:rPr>
          <w:rFonts w:hint="eastAsia" w:ascii="宋体" w:hAnsi="宋体" w:eastAsia="宋体" w:cs="宋体"/>
          <w:color w:val="auto"/>
          <w:spacing w:val="17"/>
          <w:sz w:val="23"/>
          <w:szCs w:val="23"/>
        </w:rPr>
        <w:t>。</w:t>
      </w:r>
      <w:bookmarkEnd w:id="24"/>
    </w:p>
    <w:p w14:paraId="53A994E1">
      <w:pPr>
        <w:spacing w:before="182" w:line="231" w:lineRule="auto"/>
        <w:ind w:left="14"/>
        <w:rPr>
          <w:rFonts w:hint="eastAsia" w:ascii="宋体" w:hAnsi="宋体" w:eastAsia="宋体" w:cs="宋体"/>
          <w:color w:val="auto"/>
          <w:sz w:val="23"/>
          <w:szCs w:val="23"/>
        </w:rPr>
      </w:pP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7.</w:t>
      </w:r>
      <w:r>
        <w:rPr>
          <w:rFonts w:hint="eastAsia" w:ascii="宋体" w:hAnsi="宋体" w:eastAsia="宋体" w:cs="宋体"/>
          <w:color w:val="auto"/>
          <w:spacing w:val="16"/>
          <w:sz w:val="23"/>
          <w:szCs w:val="23"/>
        </w:rPr>
        <w:t xml:space="preserve">  </w:t>
      </w: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合同款支付</w:t>
      </w:r>
    </w:p>
    <w:p w14:paraId="2190E25F">
      <w:pPr>
        <w:spacing w:before="178" w:line="231" w:lineRule="auto"/>
        <w:ind w:left="494"/>
        <w:rPr>
          <w:rFonts w:hint="eastAsia" w:ascii="宋体" w:hAnsi="宋体" w:eastAsia="宋体" w:cs="宋体"/>
          <w:color w:val="auto"/>
          <w:sz w:val="23"/>
          <w:szCs w:val="23"/>
        </w:rPr>
      </w:pPr>
      <w:r>
        <w:rPr>
          <w:rFonts w:hint="eastAsia" w:ascii="宋体" w:hAnsi="宋体" w:eastAsia="宋体" w:cs="宋体"/>
          <w:color w:val="auto"/>
          <w:spacing w:val="-18"/>
          <w:sz w:val="23"/>
          <w:szCs w:val="23"/>
        </w:rPr>
        <w:t>7.1</w:t>
      </w:r>
      <w:r>
        <w:rPr>
          <w:rFonts w:hint="eastAsia" w:ascii="宋体" w:hAnsi="宋体" w:eastAsia="宋体" w:cs="宋体"/>
          <w:color w:val="auto"/>
          <w:spacing w:val="25"/>
          <w:sz w:val="23"/>
          <w:szCs w:val="23"/>
        </w:rPr>
        <w:t xml:space="preserve"> </w:t>
      </w:r>
      <w:r>
        <w:rPr>
          <w:rFonts w:hint="eastAsia" w:ascii="宋体" w:hAnsi="宋体" w:eastAsia="宋体" w:cs="宋体"/>
          <w:color w:val="auto"/>
          <w:spacing w:val="17"/>
          <w:sz w:val="23"/>
          <w:szCs w:val="23"/>
        </w:rPr>
        <w:t>付款方式：</w:t>
      </w:r>
      <w:r>
        <w:rPr>
          <w:rFonts w:hint="eastAsia" w:ascii="宋体" w:hAnsi="宋体" w:eastAsia="宋体" w:cs="宋体"/>
          <w:color w:val="auto"/>
          <w:sz w:val="23"/>
          <w:szCs w:val="23"/>
          <w:u w:val="single" w:color="auto"/>
        </w:rPr>
        <w:t xml:space="preserve">                                                        </w:t>
      </w:r>
    </w:p>
    <w:p w14:paraId="082F8D73">
      <w:pPr>
        <w:pStyle w:val="12"/>
        <w:tabs>
          <w:tab w:val="left" w:pos="8727"/>
        </w:tabs>
        <w:spacing w:before="215" w:line="242" w:lineRule="exact"/>
        <w:ind w:left="479"/>
        <w:rPr>
          <w:rFonts w:hint="eastAsia" w:ascii="宋体" w:hAnsi="宋体" w:eastAsia="宋体" w:cs="宋体"/>
          <w:color w:val="auto"/>
        </w:rPr>
      </w:pPr>
      <w:r>
        <w:rPr>
          <w:rFonts w:hint="eastAsia" w:ascii="宋体" w:hAnsi="宋体" w:eastAsia="宋体" w:cs="宋体"/>
          <w:color w:val="auto"/>
          <w:u w:val="single" w:color="auto"/>
        </w:rPr>
        <w:tab/>
      </w:r>
    </w:p>
    <w:p w14:paraId="45534784">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7.2 支付合同款时，采购人对服务验收合格后直接支付给供应商。</w:t>
      </w:r>
    </w:p>
    <w:p w14:paraId="1F03D264">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7.3 政府采购监督管理部门在处理投诉事项期间，可以视具体情况书面通知采购人暂停采购活动，并延期支付合同款。</w:t>
      </w:r>
    </w:p>
    <w:p w14:paraId="2CACD5F7">
      <w:pPr>
        <w:pStyle w:val="12"/>
        <w:spacing w:line="291" w:lineRule="auto"/>
        <w:rPr>
          <w:rFonts w:hint="eastAsia" w:ascii="宋体" w:hAnsi="宋体" w:eastAsia="宋体" w:cs="宋体"/>
          <w:color w:val="auto"/>
        </w:rPr>
      </w:pP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8.</w:t>
      </w:r>
      <w:r>
        <w:rPr>
          <w:rFonts w:hint="eastAsia" w:ascii="宋体" w:hAnsi="宋体" w:eastAsia="宋体" w:cs="宋体"/>
          <w:color w:val="auto"/>
          <w:spacing w:val="14"/>
          <w:sz w:val="23"/>
          <w:szCs w:val="23"/>
        </w:rPr>
        <w:t xml:space="preserve">  </w:t>
      </w: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违约责任</w:t>
      </w:r>
    </w:p>
    <w:p w14:paraId="57ECDACE">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8.1 乙方逾期交付服务的，乙方应按逾期提供服务总额每日千分之六向甲方支付 违约金，由甲方从待付服务费中扣除。逾期超过约定日期 10 个工作日不能提供服务的，甲方可解除本合同。乙方因逾期提供服务或因其他违约行为导致甲方解除合同的，乙方应向甲方支付合同总值 5%的违约金，如造成甲方损失超过违约金的，超出部分由乙方继续承担赔偿责任。</w:t>
      </w:r>
    </w:p>
    <w:p w14:paraId="31E49BB4">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lang w:val="en-US" w:eastAsia="zh-CN"/>
        </w:rPr>
        <w:t>8.2</w:t>
      </w:r>
      <w:r>
        <w:rPr>
          <w:rFonts w:hint="eastAsia" w:ascii="宋体" w:hAnsi="宋体" w:eastAsia="宋体" w:cs="宋体"/>
          <w:color w:val="auto"/>
          <w:spacing w:val="17"/>
          <w:sz w:val="23"/>
          <w:szCs w:val="23"/>
          <w:lang w:eastAsia="zh-CN"/>
        </w:rPr>
        <w:t>本合同不允许乙方分包、转让本合同项下任何权利义务，确需第三方承担部分工作的，必须经甲方书面同意，且乙方对全部合同内容向甲方承担全部责任。</w:t>
      </w:r>
    </w:p>
    <w:p w14:paraId="13C441F9">
      <w:pPr>
        <w:spacing w:before="180" w:line="231" w:lineRule="auto"/>
        <w:ind w:left="10"/>
        <w:rPr>
          <w:rFonts w:hint="eastAsia" w:ascii="宋体" w:hAnsi="宋体" w:eastAsia="宋体" w:cs="宋体"/>
          <w:color w:val="auto"/>
          <w:sz w:val="23"/>
          <w:szCs w:val="23"/>
        </w:rPr>
      </w:pPr>
      <w:r>
        <w:rPr>
          <w:rFonts w:hint="eastAsia" w:ascii="宋体" w:hAnsi="宋体" w:eastAsia="宋体" w:cs="宋体"/>
          <w:color w:val="auto"/>
          <w:spacing w:val="6"/>
          <w:sz w:val="23"/>
          <w:szCs w:val="23"/>
          <w14:textOutline w14:w="4388" w14:cap="flat" w14:cmpd="sng">
            <w14:solidFill>
              <w14:srgbClr w14:val="000000"/>
            </w14:solidFill>
            <w14:prstDash w14:val="solid"/>
            <w14:miter w14:val="0"/>
          </w14:textOutline>
        </w:rPr>
        <w:t>9.</w:t>
      </w:r>
      <w:r>
        <w:rPr>
          <w:rFonts w:hint="eastAsia" w:ascii="宋体" w:hAnsi="宋体" w:eastAsia="宋体" w:cs="宋体"/>
          <w:color w:val="auto"/>
          <w:spacing w:val="18"/>
          <w:sz w:val="23"/>
          <w:szCs w:val="23"/>
        </w:rPr>
        <w:t xml:space="preserve">  </w:t>
      </w:r>
      <w:r>
        <w:rPr>
          <w:rFonts w:hint="eastAsia" w:ascii="宋体" w:hAnsi="宋体" w:eastAsia="宋体" w:cs="宋体"/>
          <w:color w:val="auto"/>
          <w:spacing w:val="6"/>
          <w:sz w:val="23"/>
          <w:szCs w:val="23"/>
          <w14:textOutline w14:w="4388" w14:cap="flat" w14:cmpd="sng">
            <w14:solidFill>
              <w14:srgbClr w14:val="000000"/>
            </w14:solidFill>
            <w14:prstDash w14:val="solid"/>
            <w14:miter w14:val="0"/>
          </w14:textOutline>
        </w:rPr>
        <w:t>不可抗力事件处理</w:t>
      </w:r>
    </w:p>
    <w:p w14:paraId="40537680">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9.1 在合同有效期内，任何一方因不可抗力事件导致不能履行合同，则合同履行期可延长，其延长期与不可抗力影响期相同。</w:t>
      </w:r>
    </w:p>
    <w:p w14:paraId="3D07C75E">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9.2 不可抗力事件发生后，不能履行合同的一方应以书面形式通知对方，并寄送有关权威机构出具的证明。</w:t>
      </w:r>
    </w:p>
    <w:p w14:paraId="2FAA3F0B">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9.3 不可抗力事件延续 120 天以上，双方应通过友好协商，确定是否继续履行合同。</w:t>
      </w:r>
    </w:p>
    <w:p w14:paraId="2C6C4447">
      <w:pPr>
        <w:spacing w:before="178" w:line="231" w:lineRule="auto"/>
        <w:ind w:left="26"/>
        <w:rPr>
          <w:rFonts w:hint="eastAsia" w:ascii="宋体" w:hAnsi="宋体" w:eastAsia="宋体" w:cs="宋体"/>
          <w:color w:val="auto"/>
          <w:sz w:val="23"/>
          <w:szCs w:val="23"/>
        </w:rPr>
      </w:pP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10.</w:t>
      </w:r>
      <w:r>
        <w:rPr>
          <w:rFonts w:hint="eastAsia" w:ascii="宋体" w:hAnsi="宋体" w:eastAsia="宋体" w:cs="宋体"/>
          <w:color w:val="auto"/>
          <w:spacing w:val="17"/>
          <w:sz w:val="23"/>
          <w:szCs w:val="23"/>
        </w:rPr>
        <w:t xml:space="preserve">  </w:t>
      </w: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合同争议的解决</w:t>
      </w:r>
    </w:p>
    <w:p w14:paraId="3A1D4F74">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 xml:space="preserve">10.1 </w:t>
      </w:r>
      <w:bookmarkStart w:id="25" w:name="auto_fouce_19"/>
      <w:r>
        <w:rPr>
          <w:rFonts w:hint="eastAsia" w:ascii="宋体" w:hAnsi="宋体" w:eastAsia="宋体" w:cs="宋体"/>
          <w:color w:val="auto"/>
          <w:spacing w:val="17"/>
          <w:sz w:val="23"/>
          <w:szCs w:val="23"/>
        </w:rPr>
        <w:t>双方在执行合同中所发生的一切争议，应通过协商解决。如协商不成，</w:t>
      </w:r>
      <w:r>
        <w:rPr>
          <w:rFonts w:hint="eastAsia" w:ascii="宋体" w:hAnsi="宋体" w:eastAsia="宋体" w:cs="宋体"/>
          <w:color w:val="auto"/>
          <w:spacing w:val="17"/>
          <w:sz w:val="23"/>
          <w:szCs w:val="23"/>
          <w:lang w:eastAsia="zh-CN"/>
        </w:rPr>
        <w:t>任何一方均有权</w:t>
      </w:r>
      <w:r>
        <w:rPr>
          <w:rFonts w:hint="eastAsia" w:ascii="宋体" w:hAnsi="宋体" w:eastAsia="宋体" w:cs="宋体"/>
          <w:color w:val="auto"/>
          <w:spacing w:val="17"/>
          <w:sz w:val="23"/>
          <w:szCs w:val="23"/>
        </w:rPr>
        <w:t>向</w:t>
      </w:r>
      <w:r>
        <w:rPr>
          <w:rFonts w:hint="eastAsia" w:ascii="宋体" w:hAnsi="宋体" w:eastAsia="宋体" w:cs="宋体"/>
          <w:color w:val="auto"/>
          <w:spacing w:val="17"/>
          <w:sz w:val="23"/>
          <w:szCs w:val="23"/>
          <w:lang w:eastAsia="zh-CN"/>
        </w:rPr>
        <w:t>库车市人民</w:t>
      </w:r>
      <w:r>
        <w:rPr>
          <w:rFonts w:hint="eastAsia" w:ascii="宋体" w:hAnsi="宋体" w:eastAsia="宋体" w:cs="宋体"/>
          <w:color w:val="auto"/>
          <w:spacing w:val="17"/>
          <w:sz w:val="23"/>
          <w:szCs w:val="23"/>
        </w:rPr>
        <w:t>法院</w:t>
      </w:r>
      <w:r>
        <w:rPr>
          <w:rFonts w:hint="eastAsia" w:ascii="宋体" w:hAnsi="宋体" w:eastAsia="宋体" w:cs="宋体"/>
          <w:color w:val="auto"/>
          <w:spacing w:val="17"/>
          <w:sz w:val="23"/>
          <w:szCs w:val="23"/>
          <w:lang w:eastAsia="zh-CN"/>
        </w:rPr>
        <w:t>提</w:t>
      </w:r>
      <w:r>
        <w:rPr>
          <w:rFonts w:hint="eastAsia" w:ascii="宋体" w:hAnsi="宋体" w:eastAsia="宋体" w:cs="宋体"/>
          <w:color w:val="auto"/>
          <w:spacing w:val="17"/>
          <w:sz w:val="23"/>
          <w:szCs w:val="23"/>
        </w:rPr>
        <w:t>起诉</w:t>
      </w:r>
      <w:r>
        <w:rPr>
          <w:rFonts w:hint="eastAsia" w:ascii="宋体" w:hAnsi="宋体" w:eastAsia="宋体" w:cs="宋体"/>
          <w:color w:val="auto"/>
          <w:spacing w:val="17"/>
          <w:sz w:val="23"/>
          <w:szCs w:val="23"/>
          <w:lang w:val="en-US" w:eastAsia="zh-CN"/>
        </w:rPr>
        <w:t>讼</w:t>
      </w:r>
      <w:r>
        <w:rPr>
          <w:rFonts w:hint="eastAsia" w:ascii="宋体" w:hAnsi="宋体" w:eastAsia="宋体" w:cs="宋体"/>
          <w:color w:val="auto"/>
          <w:spacing w:val="17"/>
          <w:sz w:val="23"/>
          <w:szCs w:val="23"/>
        </w:rPr>
        <w:t>。</w:t>
      </w:r>
      <w:bookmarkEnd w:id="25"/>
    </w:p>
    <w:p w14:paraId="39DC1586">
      <w:pPr>
        <w:spacing w:before="182" w:line="231" w:lineRule="auto"/>
        <w:ind w:left="26"/>
        <w:rPr>
          <w:rFonts w:hint="eastAsia" w:ascii="宋体" w:hAnsi="宋体" w:eastAsia="宋体" w:cs="宋体"/>
          <w:color w:val="auto"/>
          <w:sz w:val="23"/>
          <w:szCs w:val="23"/>
        </w:rPr>
      </w:pP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11.</w:t>
      </w:r>
      <w:r>
        <w:rPr>
          <w:rFonts w:hint="eastAsia" w:ascii="宋体" w:hAnsi="宋体" w:eastAsia="宋体" w:cs="宋体"/>
          <w:color w:val="auto"/>
          <w:spacing w:val="17"/>
          <w:sz w:val="23"/>
          <w:szCs w:val="23"/>
        </w:rPr>
        <w:t xml:space="preserve">  </w:t>
      </w:r>
      <w:r>
        <w:rPr>
          <w:rFonts w:hint="eastAsia" w:ascii="宋体" w:hAnsi="宋体" w:eastAsia="宋体" w:cs="宋体"/>
          <w:color w:val="auto"/>
          <w:spacing w:val="4"/>
          <w:sz w:val="23"/>
          <w:szCs w:val="23"/>
          <w14:textOutline w14:w="4388" w14:cap="flat" w14:cmpd="sng">
            <w14:solidFill>
              <w14:srgbClr w14:val="000000"/>
            </w14:solidFill>
            <w14:prstDash w14:val="solid"/>
            <w14:miter w14:val="0"/>
          </w14:textOutline>
        </w:rPr>
        <w:t>合同生效及其它</w:t>
      </w:r>
    </w:p>
    <w:p w14:paraId="0C038B2A">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11.1 合同经双方法定代表人或授权委托代理人签字并加盖单位公章后生效。</w:t>
      </w:r>
    </w:p>
    <w:p w14:paraId="4D32B7D0">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11.2 合同执行中涉及采购资金和采购内容修改或补充的，须经市财政部门审批，并签书面补充协议报政府采购监督管理部门备案，补充协议方可生效并作为主合同不可分割的一部分。</w:t>
      </w:r>
    </w:p>
    <w:p w14:paraId="1AA69F13">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合同变更</w:t>
      </w:r>
    </w:p>
    <w:p w14:paraId="575B7A04">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 除第11.2条约定的重大变更外，合同内容如需调整、补充或变更，任何一方均可提出书面变更申请，双方应协商一致后签署书面变更协议。</w:t>
      </w:r>
    </w:p>
    <w:p w14:paraId="0BDB2EBB">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2. 一般性变更协议经双方法定代表人或授权委托代理人签字并加盖单位公章后生效，作为本合同不可分割的组成部分。</w:t>
      </w:r>
    </w:p>
    <w:p w14:paraId="52CB8ACE">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3. 未经双方书面确认的变更不具有法律效力。</w:t>
      </w:r>
    </w:p>
    <w:p w14:paraId="7190BFDD">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11.3 下述合同附件为本合同不可分割的部分并与本合同具有同等效力：</w:t>
      </w:r>
    </w:p>
    <w:p w14:paraId="59072E09">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w:t>
      </w:r>
      <w:r>
        <w:rPr>
          <w:rFonts w:hint="eastAsia" w:ascii="宋体" w:hAnsi="宋体" w:eastAsia="宋体" w:cs="宋体"/>
          <w:color w:val="auto"/>
          <w:spacing w:val="17"/>
          <w:sz w:val="23"/>
          <w:szCs w:val="23"/>
          <w:lang w:val="en-US" w:eastAsia="zh-CN"/>
        </w:rPr>
        <w:t>中标</w:t>
      </w:r>
      <w:r>
        <w:rPr>
          <w:rFonts w:hint="eastAsia" w:ascii="宋体" w:hAnsi="宋体" w:eastAsia="宋体" w:cs="宋体"/>
          <w:color w:val="auto"/>
          <w:spacing w:val="17"/>
          <w:sz w:val="23"/>
          <w:szCs w:val="23"/>
        </w:rPr>
        <w:t>通知书</w:t>
      </w:r>
    </w:p>
    <w:p w14:paraId="0CD5A5C9">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（2）采购文件服务需求一览表</w:t>
      </w:r>
    </w:p>
    <w:p w14:paraId="7237BFE3">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（3）采购文件的更改通知（如有请提供）</w:t>
      </w:r>
    </w:p>
    <w:p w14:paraId="07690B49">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（4）</w:t>
      </w:r>
      <w:r>
        <w:rPr>
          <w:rFonts w:hint="eastAsia" w:ascii="宋体" w:hAnsi="宋体" w:eastAsia="宋体" w:cs="宋体"/>
          <w:color w:val="auto"/>
          <w:spacing w:val="17"/>
          <w:sz w:val="23"/>
          <w:szCs w:val="23"/>
          <w:lang w:val="en-US" w:eastAsia="zh-CN"/>
        </w:rPr>
        <w:t>投</w:t>
      </w:r>
      <w:r>
        <w:rPr>
          <w:rFonts w:hint="eastAsia" w:ascii="宋体" w:hAnsi="宋体" w:eastAsia="宋体" w:cs="宋体"/>
          <w:color w:val="auto"/>
          <w:spacing w:val="17"/>
          <w:sz w:val="23"/>
          <w:szCs w:val="23"/>
        </w:rPr>
        <w:t>标函</w:t>
      </w:r>
    </w:p>
    <w:p w14:paraId="7FD37622">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（5）</w:t>
      </w:r>
      <w:r>
        <w:rPr>
          <w:rFonts w:hint="eastAsia" w:ascii="宋体" w:hAnsi="宋体" w:eastAsia="宋体" w:cs="宋体"/>
          <w:color w:val="auto"/>
          <w:spacing w:val="17"/>
          <w:sz w:val="23"/>
          <w:szCs w:val="23"/>
          <w:lang w:val="en-US" w:eastAsia="zh-CN"/>
        </w:rPr>
        <w:t>投</w:t>
      </w:r>
      <w:r>
        <w:rPr>
          <w:rFonts w:hint="eastAsia" w:ascii="宋体" w:hAnsi="宋体" w:eastAsia="宋体" w:cs="宋体"/>
          <w:color w:val="auto"/>
          <w:spacing w:val="17"/>
          <w:sz w:val="23"/>
          <w:szCs w:val="23"/>
        </w:rPr>
        <w:t>标报价表</w:t>
      </w:r>
    </w:p>
    <w:p w14:paraId="2C4EA1E6">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（6）</w:t>
      </w:r>
      <w:r>
        <w:rPr>
          <w:rFonts w:hint="eastAsia" w:ascii="宋体" w:hAnsi="宋体" w:eastAsia="宋体" w:cs="宋体"/>
          <w:color w:val="auto"/>
          <w:spacing w:val="17"/>
          <w:sz w:val="23"/>
          <w:szCs w:val="23"/>
          <w:lang w:val="en-US" w:eastAsia="zh-CN"/>
        </w:rPr>
        <w:t>投标</w:t>
      </w:r>
      <w:r>
        <w:rPr>
          <w:rFonts w:hint="eastAsia" w:ascii="宋体" w:hAnsi="宋体" w:eastAsia="宋体" w:cs="宋体"/>
          <w:color w:val="auto"/>
          <w:spacing w:val="17"/>
          <w:sz w:val="23"/>
          <w:szCs w:val="23"/>
        </w:rPr>
        <w:t>服务资料表</w:t>
      </w:r>
    </w:p>
    <w:p w14:paraId="4DC0E5B8">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（7）</w:t>
      </w:r>
      <w:r>
        <w:rPr>
          <w:rFonts w:hint="eastAsia" w:ascii="宋体" w:hAnsi="宋体" w:eastAsia="宋体" w:cs="宋体"/>
          <w:color w:val="auto"/>
          <w:spacing w:val="17"/>
          <w:sz w:val="23"/>
          <w:szCs w:val="23"/>
          <w:lang w:val="en-US" w:eastAsia="zh-CN"/>
        </w:rPr>
        <w:t>中标</w:t>
      </w:r>
      <w:r>
        <w:rPr>
          <w:rFonts w:hint="eastAsia" w:ascii="宋体" w:hAnsi="宋体" w:eastAsia="宋体" w:cs="宋体"/>
          <w:color w:val="auto"/>
          <w:spacing w:val="17"/>
          <w:sz w:val="23"/>
          <w:szCs w:val="23"/>
        </w:rPr>
        <w:t>供应商澄清函（如有请提供）</w:t>
      </w:r>
    </w:p>
    <w:p w14:paraId="59F1FB06">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（8）其他与本合同相关的资料（如有请提供）</w:t>
      </w:r>
    </w:p>
    <w:p w14:paraId="347D851E">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（9）乙方根据甲方的委托服务事项制定出本服务分项标准，与甲方协商同意后</w:t>
      </w:r>
      <w:bookmarkStart w:id="26" w:name="bookmark8"/>
      <w:bookmarkEnd w:id="26"/>
      <w:r>
        <w:rPr>
          <w:rFonts w:hint="eastAsia" w:ascii="宋体" w:hAnsi="宋体" w:eastAsia="宋体" w:cs="宋体"/>
          <w:color w:val="auto"/>
          <w:spacing w:val="17"/>
          <w:sz w:val="23"/>
          <w:szCs w:val="23"/>
        </w:rPr>
        <w:t>作为本合同的必备附件</w:t>
      </w:r>
    </w:p>
    <w:p w14:paraId="0D4438C0">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（10）双方可对本合同的条款进行修订更改或补充，但应书面签订补充协议，补充协议与本合同具有同等效力并作为本合同不可分割的一部分</w:t>
      </w:r>
    </w:p>
    <w:p w14:paraId="15AE084D">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lang w:eastAsia="zh-CN"/>
        </w:rPr>
        <w:t>上述附件为本合同不可分割的组成部分，与本合同正文具有同等法律效力。附件内容与正文不一致的，以正文为准，但附件中针对特定事项有更具体、明确约定的，以该附件约定为准。</w:t>
      </w:r>
    </w:p>
    <w:p w14:paraId="741891CB">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11.4 本合同未尽事宜，遵照《中华人民共和国民法典》有关条文执行。</w:t>
      </w:r>
    </w:p>
    <w:p w14:paraId="3F15A204">
      <w:pPr>
        <w:spacing w:before="75" w:line="461" w:lineRule="exact"/>
        <w:ind w:firstLine="528" w:firstLineChars="200"/>
        <w:rPr>
          <w:rFonts w:hint="eastAsia" w:ascii="宋体" w:hAnsi="宋体" w:eastAsia="宋体" w:cs="宋体"/>
          <w:color w:val="auto"/>
          <w:spacing w:val="17"/>
          <w:sz w:val="23"/>
          <w:szCs w:val="23"/>
        </w:rPr>
      </w:pPr>
      <w:r>
        <w:rPr>
          <w:rFonts w:hint="eastAsia" w:ascii="宋体" w:hAnsi="宋体" w:eastAsia="宋体" w:cs="宋体"/>
          <w:color w:val="auto"/>
          <w:spacing w:val="17"/>
          <w:sz w:val="23"/>
          <w:szCs w:val="23"/>
        </w:rPr>
        <w:t>11.5 本合同一式五份，具有同等法律效力，甲乙各执两份，采购代理机构执一份。</w:t>
      </w:r>
    </w:p>
    <w:p w14:paraId="27C91C98">
      <w:pPr>
        <w:pStyle w:val="12"/>
        <w:spacing w:line="282" w:lineRule="auto"/>
        <w:rPr>
          <w:rFonts w:hint="eastAsia" w:ascii="宋体" w:hAnsi="宋体" w:eastAsia="宋体" w:cs="宋体"/>
          <w:color w:val="auto"/>
        </w:rPr>
      </w:pPr>
    </w:p>
    <w:p w14:paraId="0AA73361">
      <w:pPr>
        <w:spacing w:before="76" w:line="231" w:lineRule="auto"/>
        <w:ind w:left="505"/>
        <w:rPr>
          <w:rFonts w:hint="eastAsia" w:ascii="宋体" w:hAnsi="宋体" w:eastAsia="宋体" w:cs="宋体"/>
          <w:color w:val="auto"/>
          <w:sz w:val="23"/>
          <w:szCs w:val="23"/>
        </w:rPr>
      </w:pPr>
      <w:r>
        <w:rPr>
          <w:rFonts w:hint="eastAsia" w:ascii="宋体" w:hAnsi="宋体" w:eastAsia="宋体" w:cs="宋体"/>
          <w:color w:val="auto"/>
          <w:spacing w:val="6"/>
          <w:sz w:val="23"/>
          <w:szCs w:val="23"/>
        </w:rPr>
        <w:t>[以下无正文，供双方签字盖章]</w:t>
      </w:r>
    </w:p>
    <w:p w14:paraId="757772A3">
      <w:pPr>
        <w:pStyle w:val="12"/>
        <w:spacing w:line="290" w:lineRule="auto"/>
        <w:rPr>
          <w:rFonts w:hint="eastAsia" w:ascii="宋体" w:hAnsi="宋体" w:eastAsia="宋体" w:cs="宋体"/>
          <w:color w:val="auto"/>
        </w:rPr>
      </w:pPr>
    </w:p>
    <w:p w14:paraId="39B1ADA9">
      <w:pPr>
        <w:spacing w:before="75" w:line="231" w:lineRule="auto"/>
        <w:ind w:left="506"/>
        <w:rPr>
          <w:rFonts w:hint="eastAsia" w:ascii="宋体" w:hAnsi="宋体" w:eastAsia="宋体" w:cs="宋体"/>
          <w:color w:val="auto"/>
          <w:sz w:val="23"/>
          <w:szCs w:val="23"/>
        </w:rPr>
      </w:pPr>
      <w:r>
        <w:rPr>
          <w:rFonts w:hint="eastAsia" w:ascii="宋体" w:hAnsi="宋体" w:eastAsia="宋体" w:cs="宋体"/>
          <w:color w:val="auto"/>
          <w:spacing w:val="-1"/>
          <w:sz w:val="23"/>
          <w:szCs w:val="23"/>
        </w:rPr>
        <w:t>甲方（公章</w:t>
      </w:r>
      <w:r>
        <w:rPr>
          <w:rFonts w:hint="eastAsia" w:ascii="宋体" w:hAnsi="宋体" w:eastAsia="宋体" w:cs="宋体"/>
          <w:color w:val="auto"/>
          <w:spacing w:val="-54"/>
          <w:w w:val="84"/>
          <w:sz w:val="23"/>
          <w:szCs w:val="23"/>
        </w:rPr>
        <w:t>：）</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乙方（公章</w:t>
      </w:r>
      <w:r>
        <w:rPr>
          <w:rFonts w:hint="eastAsia" w:ascii="宋体" w:hAnsi="宋体" w:eastAsia="宋体" w:cs="宋体"/>
          <w:color w:val="auto"/>
          <w:spacing w:val="-54"/>
          <w:w w:val="84"/>
          <w:sz w:val="23"/>
          <w:szCs w:val="23"/>
        </w:rPr>
        <w:t>：）</w:t>
      </w:r>
    </w:p>
    <w:p w14:paraId="0E451457">
      <w:pPr>
        <w:pStyle w:val="12"/>
        <w:spacing w:line="288" w:lineRule="auto"/>
        <w:rPr>
          <w:rFonts w:hint="eastAsia" w:ascii="宋体" w:hAnsi="宋体" w:eastAsia="宋体" w:cs="宋体"/>
          <w:color w:val="auto"/>
        </w:rPr>
      </w:pPr>
    </w:p>
    <w:p w14:paraId="3E55916B">
      <w:pPr>
        <w:spacing w:before="75" w:line="231" w:lineRule="auto"/>
        <w:ind w:left="482"/>
        <w:rPr>
          <w:rFonts w:hint="eastAsia" w:ascii="宋体" w:hAnsi="宋体" w:eastAsia="宋体" w:cs="宋体"/>
          <w:color w:val="auto"/>
          <w:sz w:val="23"/>
          <w:szCs w:val="23"/>
        </w:rPr>
      </w:pPr>
      <w:r>
        <w:rPr>
          <w:rFonts w:hint="eastAsia" w:ascii="宋体" w:hAnsi="宋体" w:eastAsia="宋体" w:cs="宋体"/>
          <w:color w:val="auto"/>
          <w:spacing w:val="-10"/>
          <w:sz w:val="23"/>
          <w:szCs w:val="23"/>
        </w:rPr>
        <w:t>法</w:t>
      </w:r>
      <w:r>
        <w:rPr>
          <w:rFonts w:hint="eastAsia" w:ascii="宋体" w:hAnsi="宋体" w:eastAsia="宋体" w:cs="宋体"/>
          <w:color w:val="auto"/>
          <w:spacing w:val="25"/>
          <w:sz w:val="23"/>
          <w:szCs w:val="23"/>
        </w:rPr>
        <w:t xml:space="preserve"> </w:t>
      </w:r>
      <w:r>
        <w:rPr>
          <w:rFonts w:hint="eastAsia" w:ascii="宋体" w:hAnsi="宋体" w:eastAsia="宋体" w:cs="宋体"/>
          <w:color w:val="auto"/>
          <w:spacing w:val="-10"/>
          <w:sz w:val="23"/>
          <w:szCs w:val="23"/>
        </w:rPr>
        <w:t>定</w:t>
      </w:r>
      <w:r>
        <w:rPr>
          <w:rFonts w:hint="eastAsia" w:ascii="宋体" w:hAnsi="宋体" w:eastAsia="宋体" w:cs="宋体"/>
          <w:color w:val="auto"/>
          <w:spacing w:val="26"/>
          <w:sz w:val="23"/>
          <w:szCs w:val="23"/>
        </w:rPr>
        <w:t xml:space="preserve"> </w:t>
      </w:r>
      <w:r>
        <w:rPr>
          <w:rFonts w:hint="eastAsia" w:ascii="宋体" w:hAnsi="宋体" w:eastAsia="宋体" w:cs="宋体"/>
          <w:color w:val="auto"/>
          <w:spacing w:val="-10"/>
          <w:sz w:val="23"/>
          <w:szCs w:val="23"/>
        </w:rPr>
        <w:t>代</w:t>
      </w:r>
      <w:r>
        <w:rPr>
          <w:rFonts w:hint="eastAsia" w:ascii="宋体" w:hAnsi="宋体" w:eastAsia="宋体" w:cs="宋体"/>
          <w:color w:val="auto"/>
          <w:spacing w:val="22"/>
          <w:sz w:val="23"/>
          <w:szCs w:val="23"/>
        </w:rPr>
        <w:t xml:space="preserve"> </w:t>
      </w:r>
      <w:r>
        <w:rPr>
          <w:rFonts w:hint="eastAsia" w:ascii="宋体" w:hAnsi="宋体" w:eastAsia="宋体" w:cs="宋体"/>
          <w:color w:val="auto"/>
          <w:spacing w:val="-10"/>
          <w:sz w:val="23"/>
          <w:szCs w:val="23"/>
        </w:rPr>
        <w:t>表</w:t>
      </w:r>
      <w:r>
        <w:rPr>
          <w:rFonts w:hint="eastAsia" w:ascii="宋体" w:hAnsi="宋体" w:eastAsia="宋体" w:cs="宋体"/>
          <w:color w:val="auto"/>
          <w:spacing w:val="25"/>
          <w:sz w:val="23"/>
          <w:szCs w:val="23"/>
        </w:rPr>
        <w:t xml:space="preserve"> </w:t>
      </w:r>
      <w:r>
        <w:rPr>
          <w:rFonts w:hint="eastAsia" w:ascii="宋体" w:hAnsi="宋体" w:eastAsia="宋体" w:cs="宋体"/>
          <w:color w:val="auto"/>
          <w:spacing w:val="-10"/>
          <w:sz w:val="23"/>
          <w:szCs w:val="23"/>
        </w:rPr>
        <w:t>人</w:t>
      </w:r>
      <w:r>
        <w:rPr>
          <w:rFonts w:hint="eastAsia" w:ascii="宋体" w:hAnsi="宋体" w:eastAsia="宋体" w:cs="宋体"/>
          <w:color w:val="auto"/>
          <w:spacing w:val="39"/>
          <w:sz w:val="23"/>
          <w:szCs w:val="23"/>
        </w:rPr>
        <w:t xml:space="preserve"> </w:t>
      </w:r>
      <w:r>
        <w:rPr>
          <w:rFonts w:hint="eastAsia" w:ascii="宋体" w:hAnsi="宋体" w:eastAsia="宋体" w:cs="宋体"/>
          <w:color w:val="auto"/>
          <w:spacing w:val="-10"/>
          <w:sz w:val="23"/>
          <w:szCs w:val="23"/>
        </w:rPr>
        <w:t>：</w:t>
      </w:r>
      <w:r>
        <w:rPr>
          <w:rFonts w:hint="eastAsia" w:ascii="宋体" w:hAnsi="宋体" w:eastAsia="宋体" w:cs="宋体"/>
          <w:color w:val="auto"/>
          <w:spacing w:val="1"/>
          <w:sz w:val="23"/>
          <w:szCs w:val="23"/>
        </w:rPr>
        <w:t xml:space="preserve">                        </w:t>
      </w:r>
      <w:r>
        <w:rPr>
          <w:rFonts w:hint="eastAsia" w:ascii="宋体" w:hAnsi="宋体" w:eastAsia="宋体" w:cs="宋体"/>
          <w:color w:val="auto"/>
          <w:spacing w:val="-10"/>
          <w:sz w:val="23"/>
          <w:szCs w:val="23"/>
        </w:rPr>
        <w:t>法</w:t>
      </w:r>
      <w:r>
        <w:rPr>
          <w:rFonts w:hint="eastAsia" w:ascii="宋体" w:hAnsi="宋体" w:eastAsia="宋体" w:cs="宋体"/>
          <w:color w:val="auto"/>
          <w:spacing w:val="32"/>
          <w:sz w:val="23"/>
          <w:szCs w:val="23"/>
        </w:rPr>
        <w:t xml:space="preserve"> </w:t>
      </w:r>
      <w:r>
        <w:rPr>
          <w:rFonts w:hint="eastAsia" w:ascii="宋体" w:hAnsi="宋体" w:eastAsia="宋体" w:cs="宋体"/>
          <w:color w:val="auto"/>
          <w:spacing w:val="-10"/>
          <w:sz w:val="23"/>
          <w:szCs w:val="23"/>
        </w:rPr>
        <w:t>定</w:t>
      </w:r>
      <w:r>
        <w:rPr>
          <w:rFonts w:hint="eastAsia" w:ascii="宋体" w:hAnsi="宋体" w:eastAsia="宋体" w:cs="宋体"/>
          <w:color w:val="auto"/>
          <w:spacing w:val="26"/>
          <w:sz w:val="23"/>
          <w:szCs w:val="23"/>
        </w:rPr>
        <w:t xml:space="preserve"> </w:t>
      </w:r>
      <w:r>
        <w:rPr>
          <w:rFonts w:hint="eastAsia" w:ascii="宋体" w:hAnsi="宋体" w:eastAsia="宋体" w:cs="宋体"/>
          <w:color w:val="auto"/>
          <w:spacing w:val="-10"/>
          <w:sz w:val="23"/>
          <w:szCs w:val="23"/>
        </w:rPr>
        <w:t>代</w:t>
      </w:r>
      <w:r>
        <w:rPr>
          <w:rFonts w:hint="eastAsia" w:ascii="宋体" w:hAnsi="宋体" w:eastAsia="宋体" w:cs="宋体"/>
          <w:color w:val="auto"/>
          <w:spacing w:val="23"/>
          <w:sz w:val="23"/>
          <w:szCs w:val="23"/>
        </w:rPr>
        <w:t xml:space="preserve"> </w:t>
      </w:r>
      <w:r>
        <w:rPr>
          <w:rFonts w:hint="eastAsia" w:ascii="宋体" w:hAnsi="宋体" w:eastAsia="宋体" w:cs="宋体"/>
          <w:color w:val="auto"/>
          <w:spacing w:val="-10"/>
          <w:sz w:val="23"/>
          <w:szCs w:val="23"/>
        </w:rPr>
        <w:t>表</w:t>
      </w:r>
      <w:r>
        <w:rPr>
          <w:rFonts w:hint="eastAsia" w:ascii="宋体" w:hAnsi="宋体" w:eastAsia="宋体" w:cs="宋体"/>
          <w:color w:val="auto"/>
          <w:spacing w:val="24"/>
          <w:sz w:val="23"/>
          <w:szCs w:val="23"/>
        </w:rPr>
        <w:t xml:space="preserve"> </w:t>
      </w:r>
      <w:r>
        <w:rPr>
          <w:rFonts w:hint="eastAsia" w:ascii="宋体" w:hAnsi="宋体" w:eastAsia="宋体" w:cs="宋体"/>
          <w:color w:val="auto"/>
          <w:spacing w:val="-10"/>
          <w:sz w:val="23"/>
          <w:szCs w:val="23"/>
        </w:rPr>
        <w:t>人 ：</w:t>
      </w:r>
    </w:p>
    <w:p w14:paraId="5BA283DD">
      <w:pPr>
        <w:pStyle w:val="12"/>
        <w:spacing w:line="289" w:lineRule="auto"/>
        <w:rPr>
          <w:rFonts w:hint="eastAsia" w:ascii="宋体" w:hAnsi="宋体" w:eastAsia="宋体" w:cs="宋体"/>
          <w:color w:val="auto"/>
        </w:rPr>
      </w:pPr>
    </w:p>
    <w:p w14:paraId="5C2A9AC8">
      <w:pPr>
        <w:spacing w:before="76" w:line="231" w:lineRule="auto"/>
        <w:ind w:left="509"/>
        <w:rPr>
          <w:rFonts w:hint="eastAsia" w:ascii="宋体" w:hAnsi="宋体" w:eastAsia="宋体" w:cs="宋体"/>
          <w:color w:val="auto"/>
        </w:rPr>
      </w:pPr>
      <w:r>
        <w:rPr>
          <w:rFonts w:hint="eastAsia" w:ascii="宋体" w:hAnsi="宋体" w:eastAsia="宋体" w:cs="宋体"/>
          <w:color w:val="auto"/>
          <w:spacing w:val="-1"/>
          <w:sz w:val="23"/>
          <w:szCs w:val="23"/>
        </w:rPr>
        <w:t>(或授权代表人)签字：</w:t>
      </w:r>
      <w:r>
        <w:rPr>
          <w:rFonts w:hint="eastAsia" w:ascii="宋体" w:hAnsi="宋体" w:eastAsia="宋体" w:cs="宋体"/>
          <w:color w:val="auto"/>
          <w:spacing w:val="2"/>
          <w:sz w:val="23"/>
          <w:szCs w:val="23"/>
        </w:rPr>
        <w:t xml:space="preserve">                     </w:t>
      </w:r>
      <w:r>
        <w:rPr>
          <w:rFonts w:hint="eastAsia" w:ascii="宋体" w:hAnsi="宋体" w:eastAsia="宋体" w:cs="宋体"/>
          <w:color w:val="auto"/>
          <w:spacing w:val="-5"/>
          <w:sz w:val="23"/>
          <w:szCs w:val="23"/>
        </w:rPr>
        <w:t>(或授权代表)签字：</w:t>
      </w:r>
    </w:p>
    <w:p w14:paraId="2F4192C5">
      <w:pPr>
        <w:spacing w:before="75"/>
        <w:ind w:left="475"/>
        <w:rPr>
          <w:rFonts w:hint="eastAsia" w:ascii="宋体" w:hAnsi="宋体" w:eastAsia="宋体" w:cs="宋体"/>
          <w:color w:val="auto"/>
          <w:spacing w:val="-5"/>
          <w:sz w:val="23"/>
          <w:szCs w:val="23"/>
        </w:rPr>
      </w:pPr>
    </w:p>
    <w:p w14:paraId="25FAF4C5">
      <w:pPr>
        <w:spacing w:before="75"/>
        <w:ind w:left="475"/>
        <w:rPr>
          <w:rFonts w:hint="eastAsia" w:ascii="宋体" w:hAnsi="宋体" w:eastAsia="宋体" w:cs="宋体"/>
          <w:color w:val="auto"/>
        </w:rPr>
      </w:pPr>
      <w:r>
        <w:rPr>
          <w:rFonts w:hint="eastAsia" w:ascii="宋体" w:hAnsi="宋体" w:eastAsia="宋体" w:cs="宋体"/>
          <w:color w:val="auto"/>
          <w:spacing w:val="-5"/>
          <w:sz w:val="23"/>
          <w:szCs w:val="23"/>
        </w:rPr>
        <w:t>地</w:t>
      </w:r>
      <w:r>
        <w:rPr>
          <w:rFonts w:hint="eastAsia" w:ascii="宋体" w:hAnsi="宋体" w:eastAsia="宋体" w:cs="宋体"/>
          <w:color w:val="auto"/>
          <w:spacing w:val="26"/>
          <w:sz w:val="23"/>
          <w:szCs w:val="23"/>
        </w:rPr>
        <w:t xml:space="preserve"> </w:t>
      </w:r>
      <w:r>
        <w:rPr>
          <w:rFonts w:hint="eastAsia" w:ascii="宋体" w:hAnsi="宋体" w:eastAsia="宋体" w:cs="宋体"/>
          <w:color w:val="auto"/>
          <w:spacing w:val="-5"/>
          <w:sz w:val="23"/>
          <w:szCs w:val="23"/>
        </w:rPr>
        <w:t>址</w:t>
      </w:r>
      <w:r>
        <w:rPr>
          <w:rFonts w:hint="eastAsia" w:ascii="宋体" w:hAnsi="宋体" w:eastAsia="宋体" w:cs="宋体"/>
          <w:color w:val="auto"/>
          <w:spacing w:val="38"/>
          <w:sz w:val="23"/>
          <w:szCs w:val="23"/>
        </w:rPr>
        <w:t xml:space="preserve"> </w:t>
      </w:r>
      <w:r>
        <w:rPr>
          <w:rFonts w:hint="eastAsia" w:ascii="宋体" w:hAnsi="宋体" w:eastAsia="宋体" w:cs="宋体"/>
          <w:color w:val="auto"/>
          <w:spacing w:val="-5"/>
          <w:sz w:val="23"/>
          <w:szCs w:val="23"/>
        </w:rPr>
        <w:t xml:space="preserve">：                           </w:t>
      </w:r>
      <w:r>
        <w:rPr>
          <w:rFonts w:hint="eastAsia" w:ascii="宋体" w:hAnsi="宋体" w:eastAsia="宋体" w:cs="宋体"/>
          <w:color w:val="auto"/>
          <w:spacing w:val="-6"/>
          <w:sz w:val="23"/>
          <w:szCs w:val="23"/>
        </w:rPr>
        <w:t xml:space="preserve">        地</w:t>
      </w:r>
      <w:r>
        <w:rPr>
          <w:rFonts w:hint="eastAsia" w:ascii="宋体" w:hAnsi="宋体" w:eastAsia="宋体" w:cs="宋体"/>
          <w:color w:val="auto"/>
          <w:spacing w:val="26"/>
          <w:sz w:val="23"/>
          <w:szCs w:val="23"/>
        </w:rPr>
        <w:t xml:space="preserve"> </w:t>
      </w:r>
      <w:r>
        <w:rPr>
          <w:rFonts w:hint="eastAsia" w:ascii="宋体" w:hAnsi="宋体" w:eastAsia="宋体" w:cs="宋体"/>
          <w:color w:val="auto"/>
          <w:spacing w:val="-6"/>
          <w:sz w:val="23"/>
          <w:szCs w:val="23"/>
        </w:rPr>
        <w:t>址 ：</w:t>
      </w:r>
    </w:p>
    <w:p w14:paraId="6EDFAAB1">
      <w:pPr>
        <w:spacing w:before="75" w:line="231" w:lineRule="auto"/>
        <w:ind w:firstLine="396" w:firstLineChars="200"/>
        <w:rPr>
          <w:rFonts w:hint="eastAsia" w:ascii="宋体" w:hAnsi="宋体" w:eastAsia="宋体" w:cs="宋体"/>
          <w:color w:val="auto"/>
          <w:spacing w:val="-16"/>
          <w:sz w:val="23"/>
          <w:szCs w:val="23"/>
        </w:rPr>
      </w:pPr>
    </w:p>
    <w:p w14:paraId="403EFE00">
      <w:pPr>
        <w:keepNext w:val="0"/>
        <w:keepLines w:val="0"/>
        <w:pageBreakBefore w:val="0"/>
        <w:kinsoku/>
        <w:wordWrap/>
        <w:overflowPunct/>
        <w:topLinePunct w:val="0"/>
        <w:autoSpaceDE/>
        <w:autoSpaceDN/>
        <w:bidi w:val="0"/>
        <w:adjustRightInd/>
        <w:snapToGrid/>
        <w:spacing w:line="500" w:lineRule="exact"/>
        <w:ind w:firstLine="396"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auto"/>
          <w:spacing w:val="-16"/>
          <w:sz w:val="23"/>
          <w:szCs w:val="23"/>
        </w:rPr>
        <w:t>日</w:t>
      </w:r>
      <w:r>
        <w:rPr>
          <w:rFonts w:hint="eastAsia" w:ascii="宋体" w:hAnsi="宋体" w:eastAsia="宋体" w:cs="宋体"/>
          <w:color w:val="auto"/>
          <w:spacing w:val="21"/>
          <w:sz w:val="23"/>
          <w:szCs w:val="23"/>
        </w:rPr>
        <w:t xml:space="preserve"> </w:t>
      </w:r>
      <w:r>
        <w:rPr>
          <w:rFonts w:hint="eastAsia" w:ascii="宋体" w:hAnsi="宋体" w:eastAsia="宋体" w:cs="宋体"/>
          <w:color w:val="auto"/>
          <w:spacing w:val="-16"/>
          <w:sz w:val="23"/>
          <w:szCs w:val="23"/>
        </w:rPr>
        <w:t>期</w:t>
      </w:r>
      <w:r>
        <w:rPr>
          <w:rFonts w:hint="eastAsia" w:ascii="宋体" w:hAnsi="宋体" w:eastAsia="宋体" w:cs="宋体"/>
          <w:color w:val="auto"/>
          <w:spacing w:val="39"/>
          <w:sz w:val="23"/>
          <w:szCs w:val="23"/>
        </w:rPr>
        <w:t xml:space="preserve"> </w:t>
      </w:r>
      <w:r>
        <w:rPr>
          <w:rFonts w:hint="eastAsia" w:ascii="宋体" w:hAnsi="宋体" w:eastAsia="宋体" w:cs="宋体"/>
          <w:color w:val="auto"/>
          <w:spacing w:val="-16"/>
          <w:sz w:val="23"/>
          <w:szCs w:val="23"/>
        </w:rPr>
        <w:t>：</w:t>
      </w:r>
      <w:r>
        <w:rPr>
          <w:rFonts w:hint="eastAsia" w:ascii="宋体" w:hAnsi="宋体" w:eastAsia="宋体" w:cs="宋体"/>
          <w:color w:val="auto"/>
          <w:spacing w:val="18"/>
          <w:sz w:val="23"/>
          <w:szCs w:val="23"/>
        </w:rPr>
        <w:t xml:space="preserve">  </w:t>
      </w:r>
      <w:r>
        <w:rPr>
          <w:rFonts w:hint="eastAsia" w:ascii="宋体" w:hAnsi="宋体" w:eastAsia="宋体" w:cs="宋体"/>
          <w:color w:val="auto"/>
          <w:spacing w:val="-16"/>
          <w:sz w:val="23"/>
          <w:szCs w:val="23"/>
        </w:rPr>
        <w:t>年</w:t>
      </w:r>
      <w:r>
        <w:rPr>
          <w:rFonts w:hint="eastAsia" w:ascii="宋体" w:hAnsi="宋体" w:eastAsia="宋体" w:cs="宋体"/>
          <w:color w:val="auto"/>
          <w:spacing w:val="18"/>
          <w:sz w:val="23"/>
          <w:szCs w:val="23"/>
        </w:rPr>
        <w:t xml:space="preserve">  </w:t>
      </w:r>
      <w:r>
        <w:rPr>
          <w:rFonts w:hint="eastAsia" w:ascii="宋体" w:hAnsi="宋体" w:eastAsia="宋体" w:cs="宋体"/>
          <w:color w:val="auto"/>
          <w:spacing w:val="-16"/>
          <w:sz w:val="23"/>
          <w:szCs w:val="23"/>
        </w:rPr>
        <w:t>月</w:t>
      </w:r>
      <w:r>
        <w:rPr>
          <w:rFonts w:hint="eastAsia" w:ascii="宋体" w:hAnsi="宋体" w:eastAsia="宋体" w:cs="宋体"/>
          <w:color w:val="auto"/>
          <w:spacing w:val="38"/>
          <w:sz w:val="23"/>
          <w:szCs w:val="23"/>
        </w:rPr>
        <w:t xml:space="preserve">  </w:t>
      </w:r>
      <w:r>
        <w:rPr>
          <w:rFonts w:hint="eastAsia" w:ascii="宋体" w:hAnsi="宋体" w:eastAsia="宋体" w:cs="宋体"/>
          <w:color w:val="auto"/>
          <w:spacing w:val="-16"/>
          <w:sz w:val="23"/>
          <w:szCs w:val="23"/>
        </w:rPr>
        <w:t>日                        日</w:t>
      </w:r>
      <w:r>
        <w:rPr>
          <w:rFonts w:hint="eastAsia" w:ascii="宋体" w:hAnsi="宋体" w:eastAsia="宋体" w:cs="宋体"/>
          <w:color w:val="auto"/>
          <w:spacing w:val="21"/>
          <w:sz w:val="23"/>
          <w:szCs w:val="23"/>
        </w:rPr>
        <w:t xml:space="preserve"> </w:t>
      </w:r>
      <w:r>
        <w:rPr>
          <w:rFonts w:hint="eastAsia" w:ascii="宋体" w:hAnsi="宋体" w:eastAsia="宋体" w:cs="宋体"/>
          <w:color w:val="auto"/>
          <w:spacing w:val="-16"/>
          <w:sz w:val="23"/>
          <w:szCs w:val="23"/>
        </w:rPr>
        <w:t>期</w:t>
      </w:r>
      <w:r>
        <w:rPr>
          <w:rFonts w:hint="eastAsia" w:ascii="宋体" w:hAnsi="宋体" w:eastAsia="宋体" w:cs="宋体"/>
          <w:color w:val="auto"/>
          <w:spacing w:val="39"/>
          <w:sz w:val="23"/>
          <w:szCs w:val="23"/>
        </w:rPr>
        <w:t xml:space="preserve"> </w:t>
      </w:r>
      <w:r>
        <w:rPr>
          <w:rFonts w:hint="eastAsia" w:ascii="宋体" w:hAnsi="宋体" w:eastAsia="宋体" w:cs="宋体"/>
          <w:color w:val="auto"/>
          <w:spacing w:val="-16"/>
          <w:sz w:val="23"/>
          <w:szCs w:val="23"/>
        </w:rPr>
        <w:t>：</w:t>
      </w:r>
      <w:r>
        <w:rPr>
          <w:rFonts w:hint="eastAsia" w:ascii="宋体" w:hAnsi="宋体" w:eastAsia="宋体" w:cs="宋体"/>
          <w:color w:val="auto"/>
          <w:spacing w:val="33"/>
          <w:sz w:val="23"/>
          <w:szCs w:val="23"/>
        </w:rPr>
        <w:t xml:space="preserve"> </w:t>
      </w:r>
      <w:r>
        <w:rPr>
          <w:rFonts w:hint="eastAsia" w:ascii="宋体" w:hAnsi="宋体" w:eastAsia="宋体" w:cs="宋体"/>
          <w:color w:val="auto"/>
          <w:spacing w:val="-17"/>
          <w:sz w:val="23"/>
          <w:szCs w:val="23"/>
        </w:rPr>
        <w:t>年</w:t>
      </w:r>
      <w:r>
        <w:rPr>
          <w:rFonts w:hint="eastAsia" w:ascii="宋体" w:hAnsi="宋体" w:eastAsia="宋体" w:cs="宋体"/>
          <w:color w:val="auto"/>
          <w:spacing w:val="18"/>
          <w:sz w:val="23"/>
          <w:szCs w:val="23"/>
        </w:rPr>
        <w:t xml:space="preserve">  </w:t>
      </w:r>
      <w:r>
        <w:rPr>
          <w:rFonts w:hint="eastAsia" w:ascii="宋体" w:hAnsi="宋体" w:eastAsia="宋体" w:cs="宋体"/>
          <w:color w:val="auto"/>
          <w:spacing w:val="-17"/>
          <w:sz w:val="23"/>
          <w:szCs w:val="23"/>
        </w:rPr>
        <w:t>月   日</w:t>
      </w:r>
    </w:p>
    <w:p w14:paraId="1C671F5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000000"/>
          <w:spacing w:val="0"/>
          <w:sz w:val="24"/>
          <w:szCs w:val="24"/>
          <w:highlight w:val="none"/>
          <w:lang w:val="en-US" w:eastAsia="zh-CN"/>
        </w:rPr>
      </w:pPr>
      <w:r>
        <w:rPr>
          <w:rFonts w:hint="default" w:ascii="宋体" w:hAnsi="宋体" w:eastAsia="宋体" w:cs="宋体"/>
          <w:b/>
          <w:bCs/>
          <w:color w:val="000000"/>
          <w:spacing w:val="0"/>
          <w:sz w:val="24"/>
          <w:szCs w:val="24"/>
          <w:highlight w:val="none"/>
          <w:lang w:val="en-US" w:eastAsia="zh-CN"/>
        </w:rPr>
        <w:t>注：本合同格式仅作为参考文本，合同签订双方可根据项目的具体要求进行修订。</w:t>
      </w:r>
    </w:p>
    <w:p w14:paraId="210FFDEA">
      <w:pPr>
        <w:spacing w:before="75" w:line="231" w:lineRule="auto"/>
        <w:ind w:firstLine="460" w:firstLineChars="200"/>
        <w:rPr>
          <w:rFonts w:hint="eastAsia" w:ascii="宋体" w:hAnsi="宋体" w:eastAsia="宋体" w:cs="宋体"/>
          <w:color w:val="auto"/>
          <w:sz w:val="23"/>
          <w:szCs w:val="23"/>
          <w:highlight w:val="none"/>
        </w:rPr>
      </w:pPr>
    </w:p>
    <w:p w14:paraId="1AF4F06B">
      <w:pPr>
        <w:rPr>
          <w:b/>
          <w:sz w:val="32"/>
          <w:szCs w:val="32"/>
          <w:highlight w:val="none"/>
        </w:rPr>
      </w:pPr>
      <w:r>
        <w:rPr>
          <w:b/>
          <w:sz w:val="32"/>
          <w:szCs w:val="32"/>
          <w:highlight w:val="none"/>
        </w:rPr>
        <w:br w:type="page"/>
      </w:r>
    </w:p>
    <w:p w14:paraId="39EC662A">
      <w:pPr>
        <w:spacing w:line="360" w:lineRule="auto"/>
        <w:ind w:firstLine="630" w:firstLineChars="196"/>
        <w:rPr>
          <w:b/>
          <w:sz w:val="32"/>
          <w:szCs w:val="32"/>
          <w:highlight w:val="none"/>
        </w:rPr>
      </w:pPr>
    </w:p>
    <w:p w14:paraId="12250E43">
      <w:pPr>
        <w:pStyle w:val="4"/>
        <w:keepNext w:val="0"/>
        <w:keepLines w:val="0"/>
        <w:numPr>
          <w:ilvl w:val="0"/>
          <w:numId w:val="4"/>
        </w:numPr>
        <w:adjustRightInd w:val="0"/>
        <w:snapToGrid w:val="0"/>
        <w:spacing w:before="100" w:beforeAutospacing="1" w:after="100" w:afterAutospacing="1" w:line="240" w:lineRule="auto"/>
        <w:jc w:val="center"/>
        <w:rPr>
          <w:rFonts w:hint="eastAsia"/>
          <w:sz w:val="32"/>
          <w:szCs w:val="32"/>
          <w:highlight w:val="none"/>
          <w:lang w:eastAsia="zh-CN"/>
        </w:rPr>
      </w:pPr>
      <w:bookmarkStart w:id="27" w:name="_Toc9321"/>
      <w:r>
        <w:rPr>
          <w:rFonts w:hint="eastAsia"/>
          <w:sz w:val="32"/>
          <w:szCs w:val="32"/>
          <w:highlight w:val="none"/>
          <w:lang w:eastAsia="zh-CN"/>
        </w:rPr>
        <w:t>投标文件格式</w:t>
      </w:r>
      <w:bookmarkEnd w:id="27"/>
    </w:p>
    <w:p w14:paraId="6808795F">
      <w:pPr>
        <w:spacing w:line="440" w:lineRule="exact"/>
        <w:rPr>
          <w:rFonts w:hint="eastAsia" w:ascii="宋体" w:hAnsi="宋体" w:cs="宋体"/>
          <w:b/>
          <w:sz w:val="24"/>
          <w:highlight w:val="none"/>
        </w:rPr>
      </w:pPr>
    </w:p>
    <w:p w14:paraId="75666A24">
      <w:pPr>
        <w:spacing w:line="440" w:lineRule="exact"/>
        <w:rPr>
          <w:rFonts w:hint="eastAsia" w:ascii="宋体" w:hAnsi="宋体" w:cs="宋体"/>
          <w:b/>
          <w:sz w:val="24"/>
          <w:highlight w:val="none"/>
          <w:lang w:val="en-US" w:eastAsia="zh-CN"/>
        </w:rPr>
      </w:pPr>
      <w:r>
        <w:rPr>
          <w:rFonts w:hint="eastAsia" w:ascii="宋体" w:hAnsi="宋体" w:cs="宋体"/>
          <w:b/>
          <w:sz w:val="24"/>
          <w:highlight w:val="none"/>
        </w:rPr>
        <w:t>注:</w:t>
      </w:r>
      <w:r>
        <w:rPr>
          <w:rFonts w:hint="eastAsia" w:ascii="宋体" w:hAnsi="宋体" w:cs="宋体"/>
          <w:b/>
          <w:sz w:val="24"/>
          <w:highlight w:val="none"/>
          <w:lang w:val="en-US" w:eastAsia="zh-CN"/>
        </w:rPr>
        <w:t>投标文件按照招标文件</w:t>
      </w:r>
      <w:r>
        <w:rPr>
          <w:rFonts w:hint="eastAsia" w:ascii="宋体" w:hAnsi="宋体" w:eastAsia="宋体" w:cs="宋体"/>
          <w:b/>
          <w:sz w:val="24"/>
          <w:highlight w:val="none"/>
          <w:lang w:val="en-US" w:eastAsia="zh-CN"/>
        </w:rPr>
        <w:t>第三部分投标说明</w:t>
      </w:r>
      <w:r>
        <w:rPr>
          <w:rFonts w:hint="eastAsia" w:ascii="宋体" w:hAnsi="宋体" w:cs="宋体"/>
          <w:b/>
          <w:sz w:val="24"/>
          <w:highlight w:val="none"/>
          <w:lang w:val="en-US" w:eastAsia="zh-CN"/>
        </w:rPr>
        <w:t>相关要求进行编写，未提供格式部分格式自拟</w:t>
      </w:r>
    </w:p>
    <w:p w14:paraId="4CD73181">
      <w:pPr>
        <w:tabs>
          <w:tab w:val="left" w:pos="5610"/>
        </w:tabs>
        <w:spacing w:before="91" w:line="398" w:lineRule="auto"/>
        <w:ind w:left="2250" w:right="1062"/>
        <w:rPr>
          <w:rFonts w:ascii="宋体" w:hAnsi="宋体" w:eastAsia="宋体" w:cs="宋体"/>
          <w:sz w:val="28"/>
          <w:szCs w:val="28"/>
          <w:highlight w:val="none"/>
          <w:u w:val="single" w:color="auto"/>
        </w:rPr>
      </w:pPr>
    </w:p>
    <w:p w14:paraId="172F918F">
      <w:pPr>
        <w:tabs>
          <w:tab w:val="left" w:pos="5610"/>
        </w:tabs>
        <w:spacing w:before="91" w:line="398" w:lineRule="auto"/>
        <w:ind w:left="2250" w:right="1062"/>
        <w:rPr>
          <w:rFonts w:ascii="宋体" w:hAnsi="宋体" w:eastAsia="宋体" w:cs="宋体"/>
          <w:sz w:val="28"/>
          <w:szCs w:val="28"/>
          <w:highlight w:val="none"/>
          <w:u w:val="single" w:color="auto"/>
        </w:rPr>
      </w:pPr>
    </w:p>
    <w:p w14:paraId="5CF7F74F">
      <w:pPr>
        <w:tabs>
          <w:tab w:val="left" w:pos="5610"/>
        </w:tabs>
        <w:spacing w:before="91" w:line="398" w:lineRule="auto"/>
        <w:ind w:left="2250" w:right="1062"/>
        <w:rPr>
          <w:rFonts w:ascii="宋体" w:hAnsi="宋体" w:eastAsia="宋体" w:cs="宋体"/>
          <w:spacing w:val="-3"/>
          <w:sz w:val="28"/>
          <w:szCs w:val="28"/>
          <w:highlight w:val="none"/>
        </w:rPr>
      </w:pPr>
      <w:r>
        <w:rPr>
          <w:rFonts w:ascii="宋体" w:hAnsi="宋体" w:eastAsia="宋体" w:cs="宋体"/>
          <w:sz w:val="28"/>
          <w:szCs w:val="28"/>
          <w:highlight w:val="none"/>
          <w:u w:val="single" w:color="auto"/>
        </w:rPr>
        <w:tab/>
      </w:r>
      <w:r>
        <w:rPr>
          <w:rFonts w:ascii="宋体" w:hAnsi="宋体" w:eastAsia="宋体" w:cs="宋体"/>
          <w:spacing w:val="-3"/>
          <w:sz w:val="28"/>
          <w:szCs w:val="28"/>
          <w:highlight w:val="none"/>
        </w:rPr>
        <w:t>（项目名称）</w:t>
      </w:r>
    </w:p>
    <w:p w14:paraId="6203B7FD">
      <w:pPr>
        <w:tabs>
          <w:tab w:val="left" w:pos="5610"/>
        </w:tabs>
        <w:spacing w:before="91" w:line="398" w:lineRule="auto"/>
        <w:ind w:left="2250" w:right="1062"/>
        <w:rPr>
          <w:rFonts w:ascii="宋体" w:hAnsi="宋体" w:eastAsia="宋体" w:cs="宋体"/>
          <w:sz w:val="28"/>
          <w:szCs w:val="28"/>
          <w:highlight w:val="none"/>
        </w:rPr>
      </w:pPr>
      <w:r>
        <w:rPr>
          <w:rFonts w:ascii="宋体" w:hAnsi="宋体" w:eastAsia="宋体" w:cs="宋体"/>
          <w:sz w:val="28"/>
          <w:szCs w:val="28"/>
          <w:highlight w:val="none"/>
        </w:rPr>
        <w:t xml:space="preserve"> </w:t>
      </w:r>
      <w:r>
        <w:rPr>
          <w:rFonts w:ascii="宋体" w:hAnsi="宋体" w:eastAsia="宋体" w:cs="宋体"/>
          <w:sz w:val="28"/>
          <w:szCs w:val="28"/>
          <w:highlight w:val="none"/>
          <w:u w:val="single" w:color="auto"/>
        </w:rPr>
        <w:tab/>
      </w:r>
      <w:r>
        <w:rPr>
          <w:rFonts w:ascii="宋体" w:hAnsi="宋体" w:eastAsia="宋体" w:cs="宋体"/>
          <w:spacing w:val="-3"/>
          <w:sz w:val="28"/>
          <w:szCs w:val="28"/>
          <w:highlight w:val="none"/>
        </w:rPr>
        <w:t>（项目编号）</w:t>
      </w:r>
    </w:p>
    <w:p w14:paraId="79D6A87A">
      <w:pPr>
        <w:pStyle w:val="12"/>
        <w:spacing w:line="259" w:lineRule="auto"/>
        <w:rPr>
          <w:highlight w:val="none"/>
        </w:rPr>
      </w:pPr>
    </w:p>
    <w:p w14:paraId="509CFF6B">
      <w:pPr>
        <w:pStyle w:val="12"/>
        <w:spacing w:line="260" w:lineRule="auto"/>
        <w:rPr>
          <w:highlight w:val="none"/>
        </w:rPr>
      </w:pPr>
    </w:p>
    <w:p w14:paraId="7CB2056F">
      <w:pPr>
        <w:spacing w:before="231" w:line="224" w:lineRule="auto"/>
        <w:ind w:left="2743"/>
        <w:rPr>
          <w:rFonts w:ascii="黑体" w:hAnsi="黑体" w:eastAsia="黑体" w:cs="黑体"/>
          <w:sz w:val="71"/>
          <w:szCs w:val="71"/>
          <w:highlight w:val="none"/>
        </w:rPr>
      </w:pPr>
      <w:r>
        <w:rPr>
          <w:rFonts w:ascii="黑体" w:hAnsi="黑体" w:eastAsia="黑体" w:cs="黑体"/>
          <w:b/>
          <w:bCs/>
          <w:spacing w:val="-1"/>
          <w:sz w:val="71"/>
          <w:szCs w:val="71"/>
          <w:highlight w:val="none"/>
        </w:rPr>
        <w:t>投标文件</w:t>
      </w:r>
    </w:p>
    <w:p w14:paraId="04E5C342">
      <w:pPr>
        <w:pStyle w:val="12"/>
        <w:spacing w:line="251" w:lineRule="auto"/>
        <w:rPr>
          <w:highlight w:val="none"/>
        </w:rPr>
      </w:pPr>
    </w:p>
    <w:p w14:paraId="528A846E">
      <w:pPr>
        <w:pStyle w:val="12"/>
        <w:spacing w:line="251" w:lineRule="auto"/>
        <w:rPr>
          <w:highlight w:val="none"/>
        </w:rPr>
      </w:pPr>
    </w:p>
    <w:p w14:paraId="44CD66AF">
      <w:pPr>
        <w:pStyle w:val="12"/>
        <w:spacing w:line="251" w:lineRule="auto"/>
        <w:rPr>
          <w:highlight w:val="none"/>
        </w:rPr>
      </w:pPr>
    </w:p>
    <w:p w14:paraId="3E9976DC">
      <w:pPr>
        <w:pStyle w:val="12"/>
        <w:spacing w:line="251" w:lineRule="auto"/>
        <w:rPr>
          <w:highlight w:val="none"/>
        </w:rPr>
      </w:pPr>
    </w:p>
    <w:p w14:paraId="3EF1CAA3">
      <w:pPr>
        <w:pStyle w:val="12"/>
        <w:spacing w:line="251" w:lineRule="auto"/>
        <w:rPr>
          <w:highlight w:val="none"/>
        </w:rPr>
      </w:pPr>
    </w:p>
    <w:p w14:paraId="6DDD685B">
      <w:pPr>
        <w:pStyle w:val="12"/>
        <w:spacing w:line="251" w:lineRule="auto"/>
        <w:rPr>
          <w:highlight w:val="none"/>
        </w:rPr>
      </w:pPr>
    </w:p>
    <w:p w14:paraId="59BAC564">
      <w:pPr>
        <w:pStyle w:val="12"/>
        <w:spacing w:line="252" w:lineRule="auto"/>
        <w:rPr>
          <w:highlight w:val="none"/>
        </w:rPr>
      </w:pPr>
    </w:p>
    <w:p w14:paraId="428C5C67">
      <w:pPr>
        <w:pStyle w:val="12"/>
        <w:spacing w:line="252" w:lineRule="auto"/>
        <w:rPr>
          <w:highlight w:val="none"/>
        </w:rPr>
      </w:pPr>
    </w:p>
    <w:p w14:paraId="0B5B40E3">
      <w:pPr>
        <w:pStyle w:val="12"/>
        <w:spacing w:line="252" w:lineRule="auto"/>
        <w:rPr>
          <w:highlight w:val="none"/>
        </w:rPr>
      </w:pPr>
    </w:p>
    <w:p w14:paraId="1B70E5CF">
      <w:pPr>
        <w:pStyle w:val="12"/>
        <w:spacing w:line="252" w:lineRule="auto"/>
        <w:rPr>
          <w:highlight w:val="none"/>
        </w:rPr>
      </w:pPr>
    </w:p>
    <w:p w14:paraId="5F2E2F72">
      <w:pPr>
        <w:spacing w:before="91" w:line="219" w:lineRule="auto"/>
        <w:ind w:left="1590"/>
        <w:rPr>
          <w:rFonts w:ascii="宋体" w:hAnsi="宋体" w:eastAsia="宋体" w:cs="宋体"/>
          <w:sz w:val="28"/>
          <w:szCs w:val="28"/>
          <w:highlight w:val="none"/>
        </w:rPr>
      </w:pPr>
      <w:r>
        <w:rPr>
          <w:rFonts w:ascii="宋体" w:hAnsi="宋体" w:eastAsia="宋体" w:cs="宋体"/>
          <w:spacing w:val="4"/>
          <w:sz w:val="28"/>
          <w:szCs w:val="28"/>
          <w:highlight w:val="none"/>
        </w:rPr>
        <w:t>投标人</w:t>
      </w:r>
      <w:r>
        <w:rPr>
          <w:rFonts w:ascii="宋体" w:hAnsi="宋体" w:eastAsia="宋体" w:cs="宋体"/>
          <w:spacing w:val="-20"/>
          <w:sz w:val="28"/>
          <w:szCs w:val="28"/>
          <w:highlight w:val="none"/>
        </w:rPr>
        <w:t>：</w:t>
      </w:r>
      <w:r>
        <w:rPr>
          <w:rFonts w:ascii="宋体" w:hAnsi="宋体" w:eastAsia="宋体" w:cs="宋体"/>
          <w:sz w:val="28"/>
          <w:szCs w:val="28"/>
          <w:highlight w:val="none"/>
          <w:u w:val="single" w:color="auto"/>
        </w:rPr>
        <w:t xml:space="preserve">                    </w:t>
      </w:r>
      <w:r>
        <w:rPr>
          <w:rFonts w:ascii="宋体" w:hAnsi="宋体" w:eastAsia="宋体" w:cs="宋体"/>
          <w:spacing w:val="1"/>
          <w:sz w:val="28"/>
          <w:szCs w:val="28"/>
          <w:highlight w:val="none"/>
        </w:rPr>
        <w:t xml:space="preserve"> </w:t>
      </w:r>
      <w:r>
        <w:rPr>
          <w:rFonts w:ascii="宋体" w:hAnsi="宋体" w:eastAsia="宋体" w:cs="宋体"/>
          <w:spacing w:val="-20"/>
          <w:sz w:val="28"/>
          <w:szCs w:val="28"/>
          <w:highlight w:val="none"/>
        </w:rPr>
        <w:t>（</w:t>
      </w:r>
      <w:r>
        <w:rPr>
          <w:rFonts w:ascii="宋体" w:hAnsi="宋体" w:eastAsia="宋体" w:cs="宋体"/>
          <w:spacing w:val="4"/>
          <w:sz w:val="28"/>
          <w:szCs w:val="28"/>
          <w:highlight w:val="none"/>
        </w:rPr>
        <w:t>公章）</w:t>
      </w:r>
    </w:p>
    <w:p w14:paraId="55B82DBA">
      <w:pPr>
        <w:spacing w:before="291" w:line="219" w:lineRule="auto"/>
        <w:ind w:left="23"/>
        <w:rPr>
          <w:rFonts w:ascii="宋体" w:hAnsi="宋体" w:eastAsia="宋体" w:cs="宋体"/>
          <w:sz w:val="28"/>
          <w:szCs w:val="28"/>
          <w:highlight w:val="none"/>
        </w:rPr>
      </w:pPr>
      <w:r>
        <w:rPr>
          <w:rFonts w:ascii="宋体" w:hAnsi="宋体" w:eastAsia="宋体" w:cs="宋体"/>
          <w:spacing w:val="1"/>
          <w:sz w:val="28"/>
          <w:szCs w:val="28"/>
          <w:highlight w:val="none"/>
        </w:rPr>
        <w:t>法定代表人或其授权委托人</w:t>
      </w:r>
      <w:r>
        <w:rPr>
          <w:rFonts w:ascii="宋体" w:hAnsi="宋体" w:eastAsia="宋体" w:cs="宋体"/>
          <w:spacing w:val="-17"/>
          <w:sz w:val="28"/>
          <w:szCs w:val="28"/>
          <w:highlight w:val="none"/>
        </w:rPr>
        <w:t>：</w:t>
      </w:r>
      <w:r>
        <w:rPr>
          <w:rFonts w:ascii="宋体" w:hAnsi="宋体" w:eastAsia="宋体" w:cs="宋体"/>
          <w:sz w:val="28"/>
          <w:szCs w:val="28"/>
          <w:highlight w:val="none"/>
          <w:u w:val="single" w:color="auto"/>
        </w:rPr>
        <w:t xml:space="preserve">                  </w:t>
      </w:r>
      <w:r>
        <w:rPr>
          <w:rFonts w:ascii="宋体" w:hAnsi="宋体" w:eastAsia="宋体" w:cs="宋体"/>
          <w:spacing w:val="10"/>
          <w:sz w:val="28"/>
          <w:szCs w:val="28"/>
          <w:highlight w:val="none"/>
        </w:rPr>
        <w:t xml:space="preserve"> </w:t>
      </w:r>
      <w:r>
        <w:rPr>
          <w:rFonts w:ascii="宋体" w:hAnsi="宋体" w:eastAsia="宋体" w:cs="宋体"/>
          <w:spacing w:val="-17"/>
          <w:sz w:val="28"/>
          <w:szCs w:val="28"/>
          <w:highlight w:val="none"/>
        </w:rPr>
        <w:t>（</w:t>
      </w:r>
      <w:r>
        <w:rPr>
          <w:rFonts w:ascii="宋体" w:hAnsi="宋体" w:eastAsia="宋体" w:cs="宋体"/>
          <w:spacing w:val="1"/>
          <w:sz w:val="28"/>
          <w:szCs w:val="28"/>
          <w:highlight w:val="none"/>
        </w:rPr>
        <w:t>签字或盖章）</w:t>
      </w:r>
    </w:p>
    <w:p w14:paraId="1B0D32D2">
      <w:pPr>
        <w:spacing w:line="440" w:lineRule="exact"/>
        <w:jc w:val="center"/>
        <w:rPr>
          <w:rFonts w:hint="default" w:ascii="宋体" w:hAnsi="宋体" w:cs="宋体"/>
          <w:b/>
          <w:sz w:val="24"/>
          <w:highlight w:val="none"/>
          <w:lang w:val="en-US" w:eastAsia="zh-CN"/>
        </w:rPr>
      </w:pPr>
      <w:r>
        <w:rPr>
          <w:rFonts w:ascii="宋体" w:hAnsi="宋体" w:eastAsia="宋体" w:cs="宋体"/>
          <w:spacing w:val="-7"/>
          <w:sz w:val="28"/>
          <w:szCs w:val="28"/>
          <w:highlight w:val="none"/>
        </w:rPr>
        <w:t>日期</w:t>
      </w:r>
      <w:r>
        <w:rPr>
          <w:rFonts w:ascii="宋体" w:hAnsi="宋体" w:eastAsia="宋体" w:cs="宋体"/>
          <w:spacing w:val="7"/>
          <w:sz w:val="28"/>
          <w:szCs w:val="28"/>
          <w:highlight w:val="none"/>
          <w:u w:val="single" w:color="auto"/>
        </w:rPr>
        <w:t xml:space="preserve">                  </w:t>
      </w:r>
      <w:r>
        <w:rPr>
          <w:rFonts w:ascii="宋体" w:hAnsi="宋体" w:eastAsia="宋体" w:cs="宋体"/>
          <w:spacing w:val="-7"/>
          <w:sz w:val="28"/>
          <w:szCs w:val="28"/>
          <w:highlight w:val="none"/>
        </w:rPr>
        <w:t>（年/月/日）</w:t>
      </w:r>
    </w:p>
    <w:p w14:paraId="204F3F8D">
      <w:pPr>
        <w:spacing w:line="440" w:lineRule="exact"/>
        <w:ind w:firstLine="562" w:firstLineChars="200"/>
        <w:rPr>
          <w:b/>
          <w:sz w:val="28"/>
          <w:szCs w:val="28"/>
          <w:highlight w:val="none"/>
        </w:rPr>
      </w:pPr>
    </w:p>
    <w:p w14:paraId="373AD78E">
      <w:pPr>
        <w:spacing w:line="440" w:lineRule="exact"/>
        <w:ind w:firstLine="562" w:firstLineChars="200"/>
        <w:rPr>
          <w:b/>
          <w:sz w:val="28"/>
          <w:szCs w:val="28"/>
          <w:highlight w:val="none"/>
        </w:rPr>
      </w:pPr>
    </w:p>
    <w:p w14:paraId="6A8DCF09">
      <w:pPr>
        <w:spacing w:line="440" w:lineRule="exact"/>
        <w:rPr>
          <w:b/>
          <w:sz w:val="28"/>
          <w:szCs w:val="28"/>
          <w:highlight w:val="none"/>
        </w:rPr>
      </w:pPr>
      <w:r>
        <w:rPr>
          <w:b/>
          <w:sz w:val="28"/>
          <w:szCs w:val="28"/>
          <w:highlight w:val="none"/>
        </w:rPr>
        <w:t xml:space="preserve">附表一                           </w:t>
      </w:r>
    </w:p>
    <w:p w14:paraId="1C6F182C">
      <w:pPr>
        <w:spacing w:before="34" w:line="264" w:lineRule="auto"/>
        <w:ind w:left="21" w:right="61" w:firstLine="497"/>
        <w:jc w:val="center"/>
        <w:rPr>
          <w:rFonts w:ascii="宋体" w:hAnsi="宋体" w:eastAsia="宋体" w:cs="宋体"/>
          <w:b/>
          <w:bCs/>
          <w:sz w:val="32"/>
          <w:szCs w:val="32"/>
          <w:highlight w:val="none"/>
        </w:rPr>
      </w:pPr>
      <w:r>
        <w:rPr>
          <w:rFonts w:ascii="宋体" w:hAnsi="宋体" w:eastAsia="宋体" w:cs="宋体"/>
          <w:b/>
          <w:bCs/>
          <w:sz w:val="32"/>
          <w:szCs w:val="32"/>
          <w:highlight w:val="none"/>
        </w:rPr>
        <w:t>投标函</w:t>
      </w:r>
    </w:p>
    <w:p w14:paraId="747BE440">
      <w:pPr>
        <w:spacing w:before="34" w:line="264" w:lineRule="auto"/>
        <w:ind w:right="61"/>
        <w:rPr>
          <w:rFonts w:ascii="宋体" w:hAnsi="宋体" w:eastAsia="宋体" w:cs="宋体"/>
          <w:sz w:val="24"/>
          <w:szCs w:val="24"/>
          <w:highlight w:val="none"/>
          <w:u w:val="single"/>
        </w:rPr>
      </w:pPr>
      <w:r>
        <w:rPr>
          <w:rFonts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招标人或招标代理</w:t>
      </w:r>
      <w:r>
        <w:rPr>
          <w:rFonts w:ascii="宋体" w:hAnsi="宋体" w:eastAsia="宋体" w:cs="宋体"/>
          <w:sz w:val="24"/>
          <w:szCs w:val="24"/>
          <w:highlight w:val="none"/>
          <w:u w:val="single"/>
        </w:rPr>
        <w:t>)</w:t>
      </w:r>
    </w:p>
    <w:p w14:paraId="274002E0">
      <w:pPr>
        <w:spacing w:before="159" w:line="299" w:lineRule="auto"/>
        <w:ind w:right="61" w:firstLine="672" w:firstLineChars="300"/>
        <w:jc w:val="left"/>
        <w:rPr>
          <w:rFonts w:ascii="宋体" w:hAnsi="宋体" w:eastAsia="宋体" w:cs="宋体"/>
          <w:sz w:val="24"/>
          <w:szCs w:val="24"/>
          <w:highlight w:val="none"/>
        </w:rPr>
      </w:pPr>
      <w:r>
        <w:rPr>
          <w:rFonts w:hint="eastAsia" w:ascii="宋体" w:hAnsi="宋体" w:eastAsia="宋体" w:cs="宋体"/>
          <w:spacing w:val="-8"/>
          <w:sz w:val="24"/>
          <w:szCs w:val="24"/>
          <w:highlight w:val="none"/>
          <w:u w:val="single"/>
          <w:lang w:val="en-US" w:eastAsia="zh-CN"/>
        </w:rPr>
        <w:t xml:space="preserve">           </w:t>
      </w:r>
      <w:r>
        <w:rPr>
          <w:rFonts w:ascii="宋体" w:hAnsi="宋体" w:eastAsia="宋体" w:cs="宋体"/>
          <w:spacing w:val="-8"/>
          <w:sz w:val="24"/>
          <w:szCs w:val="24"/>
          <w:highlight w:val="none"/>
        </w:rPr>
        <w:t>(投标人名称)授权</w:t>
      </w:r>
      <w:r>
        <w:rPr>
          <w:rFonts w:ascii="宋体" w:hAnsi="宋体" w:eastAsia="宋体" w:cs="宋体"/>
          <w:spacing w:val="1"/>
          <w:sz w:val="24"/>
          <w:szCs w:val="24"/>
          <w:highlight w:val="none"/>
          <w:u w:val="single" w:color="auto"/>
        </w:rPr>
        <w:t xml:space="preserve">                    </w:t>
      </w:r>
      <w:r>
        <w:rPr>
          <w:rFonts w:ascii="宋体" w:hAnsi="宋体" w:eastAsia="宋体" w:cs="宋体"/>
          <w:spacing w:val="-58"/>
          <w:sz w:val="24"/>
          <w:szCs w:val="24"/>
          <w:highlight w:val="none"/>
        </w:rPr>
        <w:t xml:space="preserve"> </w:t>
      </w:r>
      <w:r>
        <w:rPr>
          <w:rFonts w:ascii="宋体" w:hAnsi="宋体" w:eastAsia="宋体" w:cs="宋体"/>
          <w:spacing w:val="-8"/>
          <w:sz w:val="24"/>
          <w:szCs w:val="24"/>
          <w:highlight w:val="none"/>
        </w:rPr>
        <w:t>(投标人</w:t>
      </w:r>
      <w:r>
        <w:rPr>
          <w:rFonts w:ascii="宋体" w:hAnsi="宋体" w:eastAsia="宋体" w:cs="宋体"/>
          <w:spacing w:val="-1"/>
          <w:sz w:val="24"/>
          <w:szCs w:val="24"/>
          <w:highlight w:val="none"/>
        </w:rPr>
        <w:t>授权代理人姓名)</w:t>
      </w:r>
      <w:r>
        <w:rPr>
          <w:rFonts w:ascii="宋体" w:hAnsi="宋体" w:eastAsia="宋体" w:cs="宋体"/>
          <w:spacing w:val="-1"/>
          <w:sz w:val="24"/>
          <w:szCs w:val="24"/>
          <w:highlight w:val="none"/>
          <w:u w:val="single" w:color="auto"/>
        </w:rPr>
        <w:t xml:space="preserve">           </w:t>
      </w:r>
      <w:r>
        <w:rPr>
          <w:rFonts w:ascii="宋体" w:hAnsi="宋体" w:eastAsia="宋体" w:cs="宋体"/>
          <w:spacing w:val="-52"/>
          <w:sz w:val="24"/>
          <w:szCs w:val="24"/>
          <w:highlight w:val="none"/>
        </w:rPr>
        <w:t xml:space="preserve"> </w:t>
      </w:r>
      <w:r>
        <w:rPr>
          <w:rFonts w:ascii="宋体" w:hAnsi="宋体" w:eastAsia="宋体" w:cs="宋体"/>
          <w:spacing w:val="-1"/>
          <w:sz w:val="24"/>
          <w:szCs w:val="24"/>
          <w:highlight w:val="none"/>
        </w:rPr>
        <w:t>(职务、职称)为我方代表，参加贵方</w:t>
      </w:r>
      <w:r>
        <w:rPr>
          <w:rFonts w:ascii="宋体" w:hAnsi="宋体" w:eastAsia="宋体" w:cs="宋体"/>
          <w:spacing w:val="-7"/>
          <w:sz w:val="24"/>
          <w:szCs w:val="24"/>
          <w:highlight w:val="none"/>
        </w:rPr>
        <w:t>组织的</w:t>
      </w:r>
      <w:r>
        <w:rPr>
          <w:rFonts w:ascii="宋体" w:hAnsi="宋体" w:eastAsia="宋体" w:cs="宋体"/>
          <w:spacing w:val="6"/>
          <w:sz w:val="24"/>
          <w:szCs w:val="24"/>
          <w:highlight w:val="none"/>
          <w:u w:val="none" w:color="auto"/>
        </w:rPr>
        <w:t xml:space="preserve"> </w:t>
      </w:r>
      <w:r>
        <w:rPr>
          <w:rFonts w:ascii="宋体" w:hAnsi="宋体" w:eastAsia="宋体" w:cs="宋体"/>
          <w:spacing w:val="6"/>
          <w:sz w:val="24"/>
          <w:szCs w:val="24"/>
          <w:highlight w:val="none"/>
          <w:u w:val="single" w:color="auto"/>
        </w:rPr>
        <w:t xml:space="preserve">                    </w:t>
      </w:r>
      <w:r>
        <w:rPr>
          <w:rFonts w:ascii="宋体" w:hAnsi="宋体" w:eastAsia="宋体" w:cs="宋体"/>
          <w:spacing w:val="-7"/>
          <w:sz w:val="24"/>
          <w:szCs w:val="24"/>
          <w:highlight w:val="none"/>
        </w:rPr>
        <w:t>(项目名称、项目编号)招标的有关活动，并对</w:t>
      </w:r>
      <w:r>
        <w:rPr>
          <w:rFonts w:ascii="宋体" w:hAnsi="宋体" w:eastAsia="宋体" w:cs="宋体"/>
          <w:spacing w:val="-1"/>
          <w:sz w:val="24"/>
          <w:szCs w:val="24"/>
          <w:highlight w:val="none"/>
        </w:rPr>
        <w:t>此项目进行投标。为此：</w:t>
      </w:r>
    </w:p>
    <w:p w14:paraId="2C723138">
      <w:pPr>
        <w:spacing w:before="34" w:line="264" w:lineRule="auto"/>
        <w:ind w:left="21" w:right="61" w:firstLine="497"/>
        <w:rPr>
          <w:rFonts w:ascii="宋体" w:hAnsi="宋体" w:eastAsia="宋体" w:cs="宋体"/>
          <w:sz w:val="24"/>
          <w:szCs w:val="24"/>
          <w:highlight w:val="none"/>
        </w:rPr>
      </w:pPr>
      <w:r>
        <w:rPr>
          <w:rFonts w:ascii="宋体" w:hAnsi="宋体" w:eastAsia="宋体" w:cs="宋体"/>
          <w:sz w:val="24"/>
          <w:szCs w:val="24"/>
          <w:highlight w:val="none"/>
        </w:rPr>
        <w:t>1、我方同意在本项目招标文件中规定的投标有效期内遵守本投标文件中的</w:t>
      </w:r>
      <w:r>
        <w:rPr>
          <w:rFonts w:ascii="宋体" w:hAnsi="宋体" w:eastAsia="宋体" w:cs="宋体"/>
          <w:spacing w:val="-1"/>
          <w:sz w:val="24"/>
          <w:szCs w:val="24"/>
          <w:highlight w:val="none"/>
        </w:rPr>
        <w:t>承诺且在此期限期满之前均具有约束力。</w:t>
      </w:r>
    </w:p>
    <w:p w14:paraId="13F5AD06">
      <w:pPr>
        <w:spacing w:before="114" w:line="263" w:lineRule="auto"/>
        <w:ind w:left="19" w:right="61" w:firstLine="484"/>
        <w:rPr>
          <w:rFonts w:ascii="宋体" w:hAnsi="宋体" w:eastAsia="宋体" w:cs="宋体"/>
          <w:sz w:val="24"/>
          <w:szCs w:val="24"/>
          <w:highlight w:val="none"/>
        </w:rPr>
      </w:pPr>
      <w:r>
        <w:rPr>
          <w:rFonts w:ascii="宋体" w:hAnsi="宋体" w:eastAsia="宋体" w:cs="宋体"/>
          <w:sz w:val="24"/>
          <w:szCs w:val="24"/>
          <w:highlight w:val="none"/>
        </w:rPr>
        <w:t>2、我方承诺已经具备《中华人民共和国政府采购法》中规定的参加政府采</w:t>
      </w:r>
      <w:r>
        <w:rPr>
          <w:rFonts w:ascii="宋体" w:hAnsi="宋体" w:eastAsia="宋体" w:cs="宋体"/>
          <w:spacing w:val="-1"/>
          <w:sz w:val="24"/>
          <w:szCs w:val="24"/>
          <w:highlight w:val="none"/>
        </w:rPr>
        <w:t>购活动的供应商应当具备的条件：</w:t>
      </w:r>
    </w:p>
    <w:p w14:paraId="027B6EA8">
      <w:pPr>
        <w:spacing w:before="118" w:line="219" w:lineRule="auto"/>
        <w:ind w:left="518"/>
        <w:rPr>
          <w:rFonts w:ascii="宋体" w:hAnsi="宋体" w:eastAsia="宋体" w:cs="宋体"/>
          <w:sz w:val="24"/>
          <w:szCs w:val="24"/>
          <w:highlight w:val="none"/>
        </w:rPr>
      </w:pPr>
      <w:r>
        <w:rPr>
          <w:rFonts w:ascii="宋体" w:hAnsi="宋体" w:eastAsia="宋体" w:cs="宋体"/>
          <w:spacing w:val="-2"/>
          <w:sz w:val="24"/>
          <w:szCs w:val="24"/>
          <w:highlight w:val="none"/>
        </w:rPr>
        <w:t>1）具有独立承担民事责任的能力；</w:t>
      </w:r>
    </w:p>
    <w:p w14:paraId="4460944B">
      <w:pPr>
        <w:spacing w:before="112"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2）具有良好的商业信誉和健全的财务会计制度；</w:t>
      </w:r>
    </w:p>
    <w:p w14:paraId="681C7BF8">
      <w:pPr>
        <w:spacing w:before="117" w:line="219" w:lineRule="auto"/>
        <w:ind w:left="505"/>
        <w:rPr>
          <w:rFonts w:ascii="宋体" w:hAnsi="宋体" w:eastAsia="宋体" w:cs="宋体"/>
          <w:sz w:val="24"/>
          <w:szCs w:val="24"/>
          <w:highlight w:val="none"/>
        </w:rPr>
      </w:pPr>
      <w:r>
        <w:rPr>
          <w:rFonts w:ascii="宋体" w:hAnsi="宋体" w:eastAsia="宋体" w:cs="宋体"/>
          <w:spacing w:val="-1"/>
          <w:sz w:val="24"/>
          <w:szCs w:val="24"/>
          <w:highlight w:val="none"/>
        </w:rPr>
        <w:t>3）具有履行合同所必需的设备和专业技术能力；</w:t>
      </w:r>
    </w:p>
    <w:p w14:paraId="0676FD57">
      <w:pPr>
        <w:spacing w:before="115"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4）有依法缴纳税收和社会保障资金的良好记录；</w:t>
      </w:r>
    </w:p>
    <w:p w14:paraId="5FB003E5">
      <w:pPr>
        <w:spacing w:before="114" w:line="219" w:lineRule="auto"/>
        <w:ind w:left="505"/>
        <w:rPr>
          <w:rFonts w:ascii="宋体" w:hAnsi="宋体" w:eastAsia="宋体" w:cs="宋体"/>
          <w:sz w:val="24"/>
          <w:szCs w:val="24"/>
          <w:highlight w:val="none"/>
        </w:rPr>
      </w:pPr>
      <w:r>
        <w:rPr>
          <w:rFonts w:ascii="宋体" w:hAnsi="宋体" w:eastAsia="宋体" w:cs="宋体"/>
          <w:spacing w:val="-1"/>
          <w:sz w:val="24"/>
          <w:szCs w:val="24"/>
          <w:highlight w:val="none"/>
        </w:rPr>
        <w:t>5）参加此项采购活动前三年内，在经营活动中没有重大违法记录；</w:t>
      </w:r>
    </w:p>
    <w:p w14:paraId="18C64991">
      <w:pPr>
        <w:spacing w:before="117" w:line="219" w:lineRule="auto"/>
        <w:ind w:left="502"/>
        <w:rPr>
          <w:rFonts w:ascii="宋体" w:hAnsi="宋体" w:eastAsia="宋体" w:cs="宋体"/>
          <w:sz w:val="24"/>
          <w:szCs w:val="24"/>
          <w:highlight w:val="none"/>
        </w:rPr>
      </w:pPr>
      <w:r>
        <w:rPr>
          <w:rFonts w:ascii="宋体" w:hAnsi="宋体" w:eastAsia="宋体" w:cs="宋体"/>
          <w:spacing w:val="-1"/>
          <w:sz w:val="24"/>
          <w:szCs w:val="24"/>
          <w:highlight w:val="none"/>
        </w:rPr>
        <w:t>6）法律、行政法规规定的其他条件。</w:t>
      </w:r>
    </w:p>
    <w:p w14:paraId="219B1AC2">
      <w:pPr>
        <w:spacing w:before="115" w:line="219" w:lineRule="auto"/>
        <w:ind w:left="505"/>
        <w:rPr>
          <w:rFonts w:ascii="宋体" w:hAnsi="宋体" w:eastAsia="宋体" w:cs="宋体"/>
          <w:sz w:val="24"/>
          <w:szCs w:val="24"/>
          <w:highlight w:val="none"/>
        </w:rPr>
      </w:pPr>
      <w:r>
        <w:rPr>
          <w:rFonts w:ascii="宋体" w:hAnsi="宋体" w:eastAsia="宋体" w:cs="宋体"/>
          <w:spacing w:val="-1"/>
          <w:sz w:val="24"/>
          <w:szCs w:val="24"/>
          <w:highlight w:val="none"/>
        </w:rPr>
        <w:t>3、提供投标人须知规定的全部投标文件。</w:t>
      </w:r>
    </w:p>
    <w:p w14:paraId="2B018D33">
      <w:pPr>
        <w:spacing w:before="113" w:line="265" w:lineRule="auto"/>
        <w:ind w:left="20" w:right="61" w:firstLine="480"/>
        <w:rPr>
          <w:rFonts w:ascii="宋体" w:hAnsi="宋体" w:eastAsia="宋体" w:cs="宋体"/>
          <w:sz w:val="24"/>
          <w:szCs w:val="24"/>
          <w:highlight w:val="none"/>
        </w:rPr>
      </w:pPr>
      <w:r>
        <w:rPr>
          <w:rFonts w:ascii="宋体" w:hAnsi="宋体" w:eastAsia="宋体" w:cs="宋体"/>
          <w:spacing w:val="1"/>
          <w:sz w:val="24"/>
          <w:szCs w:val="24"/>
          <w:highlight w:val="none"/>
        </w:rPr>
        <w:t>4、按招标文件要求提供服</w:t>
      </w:r>
      <w:r>
        <w:rPr>
          <w:rFonts w:ascii="宋体" w:hAnsi="宋体" w:eastAsia="宋体" w:cs="宋体"/>
          <w:sz w:val="24"/>
          <w:szCs w:val="24"/>
          <w:highlight w:val="none"/>
        </w:rPr>
        <w:t>务的投标报价详见开标一览</w:t>
      </w:r>
      <w:r>
        <w:rPr>
          <w:rFonts w:ascii="宋体" w:hAnsi="宋体" w:eastAsia="宋体" w:cs="宋体"/>
          <w:spacing w:val="-5"/>
          <w:sz w:val="24"/>
          <w:szCs w:val="24"/>
          <w:highlight w:val="none"/>
        </w:rPr>
        <w:t>表。</w:t>
      </w:r>
    </w:p>
    <w:p w14:paraId="4E0700F0">
      <w:pPr>
        <w:spacing w:before="115" w:line="219" w:lineRule="auto"/>
        <w:ind w:left="505"/>
        <w:rPr>
          <w:rFonts w:ascii="宋体" w:hAnsi="宋体" w:eastAsia="宋体" w:cs="宋体"/>
          <w:sz w:val="24"/>
          <w:szCs w:val="24"/>
          <w:highlight w:val="none"/>
        </w:rPr>
      </w:pPr>
      <w:r>
        <w:rPr>
          <w:rFonts w:ascii="宋体" w:hAnsi="宋体" w:eastAsia="宋体" w:cs="宋体"/>
          <w:spacing w:val="-1"/>
          <w:sz w:val="24"/>
          <w:szCs w:val="24"/>
          <w:highlight w:val="none"/>
        </w:rPr>
        <w:t>5、保证忠实地执行双方所签订的合同，并承担合同规定的责任和义务。</w:t>
      </w:r>
    </w:p>
    <w:p w14:paraId="57943952">
      <w:pPr>
        <w:spacing w:before="112" w:line="264" w:lineRule="auto"/>
        <w:ind w:left="47" w:firstLine="455"/>
        <w:rPr>
          <w:rFonts w:ascii="宋体" w:hAnsi="宋体" w:eastAsia="宋体" w:cs="宋体"/>
          <w:sz w:val="24"/>
          <w:szCs w:val="24"/>
          <w:highlight w:val="none"/>
        </w:rPr>
      </w:pPr>
      <w:r>
        <w:rPr>
          <w:rFonts w:ascii="宋体" w:hAnsi="宋体" w:eastAsia="宋体" w:cs="宋体"/>
          <w:spacing w:val="-5"/>
          <w:sz w:val="24"/>
          <w:szCs w:val="24"/>
          <w:highlight w:val="none"/>
        </w:rPr>
        <w:t>6、我方承诺完全满足和响应招标文件中的各项技术和服务要求，若有偏差，</w:t>
      </w:r>
      <w:r>
        <w:rPr>
          <w:rFonts w:ascii="宋体" w:hAnsi="宋体" w:eastAsia="宋体" w:cs="宋体"/>
          <w:spacing w:val="-2"/>
          <w:sz w:val="24"/>
          <w:szCs w:val="24"/>
          <w:highlight w:val="none"/>
        </w:rPr>
        <w:t>已在投标文件偏离表中予以明确特别说明。</w:t>
      </w:r>
    </w:p>
    <w:p w14:paraId="5158395F">
      <w:pPr>
        <w:spacing w:before="116" w:line="218"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7、我方承诺：完全理解投标报价若超过项目预算时，投标将被拒绝。</w:t>
      </w:r>
    </w:p>
    <w:p w14:paraId="215B281C">
      <w:pPr>
        <w:spacing w:before="116" w:line="264" w:lineRule="auto"/>
        <w:ind w:left="22" w:right="61" w:firstLine="479"/>
        <w:rPr>
          <w:rFonts w:ascii="宋体" w:hAnsi="宋体" w:eastAsia="宋体" w:cs="宋体"/>
          <w:sz w:val="24"/>
          <w:szCs w:val="24"/>
          <w:highlight w:val="none"/>
        </w:rPr>
      </w:pPr>
      <w:r>
        <w:rPr>
          <w:rFonts w:ascii="宋体" w:hAnsi="宋体" w:eastAsia="宋体" w:cs="宋体"/>
          <w:spacing w:val="1"/>
          <w:sz w:val="24"/>
          <w:szCs w:val="24"/>
          <w:highlight w:val="none"/>
        </w:rPr>
        <w:t>8、我方承诺：与在本项目中设计</w:t>
      </w:r>
      <w:r>
        <w:rPr>
          <w:rFonts w:hint="eastAsia" w:ascii="宋体" w:hAnsi="宋体" w:cs="宋体"/>
          <w:spacing w:val="1"/>
          <w:sz w:val="24"/>
          <w:szCs w:val="24"/>
          <w:highlight w:val="none"/>
          <w:lang w:eastAsia="zh-CN"/>
        </w:rPr>
        <w:t>、</w:t>
      </w:r>
      <w:r>
        <w:rPr>
          <w:rFonts w:ascii="宋体" w:hAnsi="宋体" w:eastAsia="宋体" w:cs="宋体"/>
          <w:spacing w:val="1"/>
          <w:sz w:val="24"/>
          <w:szCs w:val="24"/>
          <w:highlight w:val="none"/>
        </w:rPr>
        <w:t>编制技术</w:t>
      </w:r>
      <w:r>
        <w:rPr>
          <w:rFonts w:ascii="宋体" w:hAnsi="宋体" w:eastAsia="宋体" w:cs="宋体"/>
          <w:sz w:val="24"/>
          <w:szCs w:val="24"/>
          <w:highlight w:val="none"/>
        </w:rPr>
        <w:t>规格的机构及其附属机构无任何</w:t>
      </w:r>
      <w:r>
        <w:rPr>
          <w:rFonts w:ascii="宋体" w:hAnsi="宋体" w:eastAsia="宋体" w:cs="宋体"/>
          <w:spacing w:val="-1"/>
          <w:sz w:val="24"/>
          <w:szCs w:val="24"/>
          <w:highlight w:val="none"/>
        </w:rPr>
        <w:t>直接隶属关系和利益关联。</w:t>
      </w:r>
    </w:p>
    <w:p w14:paraId="2B0168DD">
      <w:pPr>
        <w:spacing w:before="114" w:line="263" w:lineRule="auto"/>
        <w:ind w:left="44" w:right="61" w:firstLine="457"/>
        <w:rPr>
          <w:rFonts w:ascii="宋体" w:hAnsi="宋体" w:eastAsia="宋体" w:cs="宋体"/>
          <w:sz w:val="24"/>
          <w:szCs w:val="24"/>
          <w:highlight w:val="none"/>
        </w:rPr>
      </w:pPr>
      <w:r>
        <w:rPr>
          <w:rFonts w:ascii="宋体" w:hAnsi="宋体" w:eastAsia="宋体" w:cs="宋体"/>
          <w:spacing w:val="-1"/>
          <w:sz w:val="24"/>
          <w:szCs w:val="24"/>
          <w:highlight w:val="none"/>
        </w:rPr>
        <w:t>9、本项目投标有限期为</w:t>
      </w:r>
      <w:r>
        <w:rPr>
          <w:rFonts w:ascii="宋体" w:hAnsi="宋体" w:eastAsia="宋体" w:cs="宋体"/>
          <w:spacing w:val="-1"/>
          <w:sz w:val="24"/>
          <w:szCs w:val="24"/>
          <w:highlight w:val="none"/>
          <w:u w:val="single" w:color="auto"/>
        </w:rPr>
        <w:t xml:space="preserve"> </w:t>
      </w:r>
      <w:r>
        <w:rPr>
          <w:rFonts w:hint="eastAsia" w:ascii="宋体" w:hAnsi="宋体" w:cs="宋体"/>
          <w:spacing w:val="-1"/>
          <w:sz w:val="24"/>
          <w:szCs w:val="24"/>
          <w:highlight w:val="none"/>
          <w:u w:val="single" w:color="auto"/>
          <w:lang w:val="en-US" w:eastAsia="zh-CN"/>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66"/>
          <w:sz w:val="24"/>
          <w:szCs w:val="24"/>
          <w:highlight w:val="none"/>
        </w:rPr>
        <w:t xml:space="preserve"> </w:t>
      </w:r>
      <w:r>
        <w:rPr>
          <w:rFonts w:ascii="宋体" w:hAnsi="宋体" w:eastAsia="宋体" w:cs="宋体"/>
          <w:spacing w:val="-1"/>
          <w:sz w:val="24"/>
          <w:szCs w:val="24"/>
          <w:highlight w:val="none"/>
        </w:rPr>
        <w:t>日历天，如果在开标后规定的投标有效期内撤</w:t>
      </w:r>
      <w:r>
        <w:rPr>
          <w:rFonts w:ascii="宋体" w:hAnsi="宋体" w:eastAsia="宋体" w:cs="宋体"/>
          <w:spacing w:val="-2"/>
          <w:sz w:val="24"/>
          <w:szCs w:val="24"/>
          <w:highlight w:val="none"/>
        </w:rPr>
        <w:t>回投标，我方的投标保证金可被贵方没收。</w:t>
      </w:r>
    </w:p>
    <w:p w14:paraId="0455760A">
      <w:pPr>
        <w:spacing w:before="116" w:line="218" w:lineRule="auto"/>
        <w:ind w:left="518"/>
        <w:rPr>
          <w:rFonts w:ascii="宋体" w:hAnsi="宋体" w:eastAsia="宋体" w:cs="宋体"/>
          <w:sz w:val="24"/>
          <w:szCs w:val="24"/>
          <w:highlight w:val="none"/>
        </w:rPr>
      </w:pPr>
      <w:r>
        <w:rPr>
          <w:rFonts w:ascii="宋体" w:hAnsi="宋体" w:eastAsia="宋体" w:cs="宋体"/>
          <w:spacing w:val="-1"/>
          <w:sz w:val="24"/>
          <w:szCs w:val="24"/>
          <w:highlight w:val="none"/>
        </w:rPr>
        <w:t>10、我方完全理解贵方不一定接受最低价的投标或收到的任何投标。</w:t>
      </w:r>
    </w:p>
    <w:p w14:paraId="66423B54">
      <w:pPr>
        <w:spacing w:before="78" w:line="263" w:lineRule="auto"/>
        <w:ind w:left="21" w:right="61" w:firstLine="497"/>
        <w:rPr>
          <w:rFonts w:ascii="宋体" w:hAnsi="宋体" w:eastAsia="宋体" w:cs="宋体"/>
          <w:spacing w:val="-1"/>
          <w:sz w:val="24"/>
          <w:szCs w:val="24"/>
          <w:highlight w:val="none"/>
        </w:rPr>
      </w:pPr>
      <w:r>
        <w:rPr>
          <w:rFonts w:ascii="宋体" w:hAnsi="宋体" w:eastAsia="宋体" w:cs="宋体"/>
          <w:spacing w:val="-3"/>
          <w:sz w:val="24"/>
          <w:szCs w:val="24"/>
          <w:highlight w:val="none"/>
        </w:rPr>
        <w:t>11、我方承诺：投标文件所提供的一切资</w:t>
      </w:r>
      <w:r>
        <w:rPr>
          <w:rFonts w:ascii="宋体" w:hAnsi="宋体" w:eastAsia="宋体" w:cs="宋体"/>
          <w:spacing w:val="-4"/>
          <w:sz w:val="24"/>
          <w:szCs w:val="24"/>
          <w:highlight w:val="none"/>
        </w:rPr>
        <w:t>料真实、及时、有效。由于我方提</w:t>
      </w:r>
      <w:r>
        <w:rPr>
          <w:rFonts w:ascii="宋体" w:hAnsi="宋体" w:eastAsia="宋体" w:cs="宋体"/>
          <w:spacing w:val="-3"/>
          <w:sz w:val="24"/>
          <w:szCs w:val="24"/>
          <w:highlight w:val="none"/>
        </w:rPr>
        <w:t>供资料不实而造成的责任和后果由我方承担。我方同意按照贵方提出的要求，向贵方提供任何与本项投标有关的数据、情况和技术资料。若贵方需要，我方愿意</w:t>
      </w:r>
      <w:r>
        <w:rPr>
          <w:rFonts w:ascii="宋体" w:hAnsi="宋体" w:eastAsia="宋体" w:cs="宋体"/>
          <w:spacing w:val="-1"/>
          <w:sz w:val="24"/>
          <w:szCs w:val="24"/>
          <w:highlight w:val="none"/>
        </w:rPr>
        <w:t>提供我方作出的一切承诺的证明材料。</w:t>
      </w:r>
    </w:p>
    <w:p w14:paraId="05564E13">
      <w:pPr>
        <w:spacing w:before="78" w:line="263" w:lineRule="auto"/>
        <w:ind w:left="21" w:right="61" w:firstLine="497"/>
        <w:rPr>
          <w:rFonts w:ascii="宋体" w:hAnsi="宋体" w:eastAsia="宋体" w:cs="宋体"/>
          <w:sz w:val="24"/>
          <w:szCs w:val="24"/>
          <w:highlight w:val="none"/>
        </w:rPr>
      </w:pPr>
      <w:r>
        <w:rPr>
          <w:rFonts w:ascii="宋体" w:hAnsi="宋体" w:eastAsia="宋体" w:cs="宋体"/>
          <w:spacing w:val="-3"/>
          <w:sz w:val="24"/>
          <w:szCs w:val="24"/>
          <w:highlight w:val="none"/>
        </w:rPr>
        <w:t>12、我方已详细审核全部投标文件，包括</w:t>
      </w:r>
      <w:r>
        <w:rPr>
          <w:rFonts w:ascii="宋体" w:hAnsi="宋体" w:eastAsia="宋体" w:cs="宋体"/>
          <w:spacing w:val="-4"/>
          <w:sz w:val="24"/>
          <w:szCs w:val="24"/>
          <w:highlight w:val="none"/>
        </w:rPr>
        <w:t>投标文件修改书（如有的话）、参</w:t>
      </w:r>
      <w:r>
        <w:rPr>
          <w:rFonts w:ascii="宋体" w:hAnsi="宋体" w:eastAsia="宋体" w:cs="宋体"/>
          <w:spacing w:val="-1"/>
          <w:sz w:val="24"/>
          <w:szCs w:val="24"/>
          <w:highlight w:val="none"/>
        </w:rPr>
        <w:t>考资料及有关附件，确认无误。</w:t>
      </w:r>
    </w:p>
    <w:p w14:paraId="1F0B6DB2">
      <w:pPr>
        <w:spacing w:before="115" w:line="263" w:lineRule="auto"/>
        <w:ind w:left="20" w:firstLine="498"/>
        <w:rPr>
          <w:rFonts w:ascii="宋体" w:hAnsi="宋体" w:eastAsia="宋体" w:cs="宋体"/>
          <w:sz w:val="24"/>
          <w:szCs w:val="24"/>
          <w:highlight w:val="none"/>
        </w:rPr>
      </w:pPr>
      <w:r>
        <w:rPr>
          <w:rFonts w:ascii="宋体" w:hAnsi="宋体" w:eastAsia="宋体" w:cs="宋体"/>
          <w:spacing w:val="-8"/>
          <w:sz w:val="24"/>
          <w:szCs w:val="24"/>
          <w:highlight w:val="none"/>
        </w:rPr>
        <w:t>13、我方承诺：采购人若需追加采购本项</w:t>
      </w:r>
      <w:r>
        <w:rPr>
          <w:rFonts w:ascii="宋体" w:hAnsi="宋体" w:eastAsia="宋体" w:cs="宋体"/>
          <w:spacing w:val="-9"/>
          <w:sz w:val="24"/>
          <w:szCs w:val="24"/>
          <w:highlight w:val="none"/>
        </w:rPr>
        <w:t>目招标文件所列</w:t>
      </w:r>
      <w:r>
        <w:rPr>
          <w:rFonts w:hint="eastAsia" w:ascii="宋体" w:hAnsi="宋体" w:cs="宋体"/>
          <w:spacing w:val="-9"/>
          <w:sz w:val="24"/>
          <w:szCs w:val="24"/>
          <w:highlight w:val="none"/>
          <w:lang w:eastAsia="zh-CN"/>
        </w:rPr>
        <w:t>服务</w:t>
      </w:r>
      <w:r>
        <w:rPr>
          <w:rFonts w:ascii="宋体" w:hAnsi="宋体" w:eastAsia="宋体" w:cs="宋体"/>
          <w:spacing w:val="-9"/>
          <w:sz w:val="24"/>
          <w:szCs w:val="24"/>
          <w:highlight w:val="none"/>
        </w:rPr>
        <w:t>及相关服务的，</w:t>
      </w:r>
      <w:r>
        <w:rPr>
          <w:rFonts w:ascii="宋体" w:hAnsi="宋体" w:eastAsia="宋体" w:cs="宋体"/>
          <w:sz w:val="24"/>
          <w:szCs w:val="24"/>
          <w:highlight w:val="none"/>
        </w:rPr>
        <w:t>在不改变合同其他实质性条款的前提下，按相同或更优</w:t>
      </w:r>
      <w:r>
        <w:rPr>
          <w:rFonts w:ascii="宋体" w:hAnsi="宋体" w:eastAsia="宋体" w:cs="宋体"/>
          <w:spacing w:val="-1"/>
          <w:sz w:val="24"/>
          <w:szCs w:val="24"/>
          <w:highlight w:val="none"/>
        </w:rPr>
        <w:t>惠的折扣率保证</w:t>
      </w:r>
      <w:r>
        <w:rPr>
          <w:rFonts w:hint="eastAsia" w:ascii="宋体" w:hAnsi="宋体" w:cs="宋体"/>
          <w:spacing w:val="-1"/>
          <w:sz w:val="24"/>
          <w:szCs w:val="24"/>
          <w:highlight w:val="none"/>
          <w:lang w:eastAsia="zh-CN"/>
        </w:rPr>
        <w:t>服务</w:t>
      </w:r>
      <w:r>
        <w:rPr>
          <w:rFonts w:ascii="宋体" w:hAnsi="宋体" w:eastAsia="宋体" w:cs="宋体"/>
          <w:spacing w:val="-1"/>
          <w:sz w:val="24"/>
          <w:szCs w:val="24"/>
          <w:highlight w:val="none"/>
        </w:rPr>
        <w:t>。</w:t>
      </w:r>
    </w:p>
    <w:p w14:paraId="6701C51B">
      <w:pPr>
        <w:spacing w:before="116" w:line="264" w:lineRule="auto"/>
        <w:ind w:left="23" w:right="61" w:firstLine="494"/>
        <w:rPr>
          <w:rFonts w:ascii="宋体" w:hAnsi="宋体" w:eastAsia="宋体" w:cs="宋体"/>
          <w:sz w:val="24"/>
          <w:szCs w:val="24"/>
          <w:highlight w:val="none"/>
        </w:rPr>
      </w:pPr>
      <w:r>
        <w:rPr>
          <w:rFonts w:ascii="宋体" w:hAnsi="宋体" w:eastAsia="宋体" w:cs="宋体"/>
          <w:spacing w:val="-3"/>
          <w:sz w:val="24"/>
          <w:szCs w:val="24"/>
          <w:highlight w:val="none"/>
        </w:rPr>
        <w:t>14、我方承诺：如所报货物属国家强制认</w:t>
      </w:r>
      <w:r>
        <w:rPr>
          <w:rFonts w:ascii="宋体" w:hAnsi="宋体" w:eastAsia="宋体" w:cs="宋体"/>
          <w:spacing w:val="-4"/>
          <w:sz w:val="24"/>
          <w:szCs w:val="24"/>
          <w:highlight w:val="none"/>
        </w:rPr>
        <w:t>证产品的，均已通过认证且在有效</w:t>
      </w:r>
      <w:r>
        <w:rPr>
          <w:rFonts w:ascii="宋体" w:hAnsi="宋体" w:eastAsia="宋体" w:cs="宋体"/>
          <w:spacing w:val="-1"/>
          <w:sz w:val="24"/>
          <w:szCs w:val="24"/>
          <w:highlight w:val="none"/>
        </w:rPr>
        <w:t>期内，否则，由此产生的一切法律责任由我方承担。</w:t>
      </w:r>
    </w:p>
    <w:p w14:paraId="3A8969A7">
      <w:pPr>
        <w:spacing w:before="112" w:line="264" w:lineRule="auto"/>
        <w:ind w:left="20" w:right="61" w:firstLine="498"/>
        <w:rPr>
          <w:rFonts w:ascii="宋体" w:hAnsi="宋体" w:eastAsia="宋体" w:cs="宋体"/>
          <w:sz w:val="24"/>
          <w:szCs w:val="24"/>
          <w:highlight w:val="none"/>
        </w:rPr>
      </w:pPr>
      <w:r>
        <w:rPr>
          <w:rFonts w:ascii="宋体" w:hAnsi="宋体" w:eastAsia="宋体" w:cs="宋体"/>
          <w:spacing w:val="-3"/>
          <w:sz w:val="24"/>
          <w:szCs w:val="24"/>
          <w:highlight w:val="none"/>
        </w:rPr>
        <w:t>15、我方承诺：接受招标文件中的全部条</w:t>
      </w:r>
      <w:r>
        <w:rPr>
          <w:rFonts w:ascii="宋体" w:hAnsi="宋体" w:eastAsia="宋体" w:cs="宋体"/>
          <w:spacing w:val="-4"/>
          <w:sz w:val="24"/>
          <w:szCs w:val="24"/>
          <w:highlight w:val="none"/>
        </w:rPr>
        <w:t>款且无任何异议，保证遵守招标文</w:t>
      </w:r>
      <w:r>
        <w:rPr>
          <w:rFonts w:ascii="宋体" w:hAnsi="宋体" w:eastAsia="宋体" w:cs="宋体"/>
          <w:spacing w:val="-2"/>
          <w:sz w:val="24"/>
          <w:szCs w:val="24"/>
          <w:highlight w:val="none"/>
        </w:rPr>
        <w:t>件的规定。</w:t>
      </w:r>
    </w:p>
    <w:p w14:paraId="01942C0E">
      <w:pPr>
        <w:spacing w:before="113" w:line="290" w:lineRule="auto"/>
        <w:ind w:left="22" w:right="61" w:firstLine="496"/>
        <w:rPr>
          <w:rFonts w:ascii="宋体" w:hAnsi="宋体" w:eastAsia="宋体" w:cs="宋体"/>
          <w:sz w:val="24"/>
          <w:szCs w:val="24"/>
          <w:highlight w:val="none"/>
        </w:rPr>
      </w:pPr>
      <w:r>
        <w:rPr>
          <w:rFonts w:ascii="宋体" w:hAnsi="宋体" w:eastAsia="宋体" w:cs="宋体"/>
          <w:spacing w:val="-3"/>
          <w:sz w:val="24"/>
          <w:szCs w:val="24"/>
          <w:highlight w:val="none"/>
        </w:rPr>
        <w:t>16、我方将严格遵守《中华人民共和国政</w:t>
      </w:r>
      <w:r>
        <w:rPr>
          <w:rFonts w:ascii="宋体" w:hAnsi="宋体" w:eastAsia="宋体" w:cs="宋体"/>
          <w:spacing w:val="-4"/>
          <w:sz w:val="24"/>
          <w:szCs w:val="24"/>
          <w:highlight w:val="none"/>
        </w:rPr>
        <w:t>府采购法》的有关规定，若有下列</w:t>
      </w:r>
      <w:r>
        <w:rPr>
          <w:rFonts w:ascii="宋体" w:hAnsi="宋体" w:eastAsia="宋体" w:cs="宋体"/>
          <w:spacing w:val="-3"/>
          <w:sz w:val="24"/>
          <w:szCs w:val="24"/>
          <w:highlight w:val="none"/>
        </w:rPr>
        <w:t>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w:t>
      </w:r>
      <w:r>
        <w:rPr>
          <w:rFonts w:ascii="宋体" w:hAnsi="宋体" w:eastAsia="宋体" w:cs="宋体"/>
          <w:spacing w:val="-2"/>
          <w:sz w:val="24"/>
          <w:szCs w:val="24"/>
          <w:highlight w:val="none"/>
        </w:rPr>
        <w:t>究刑事责任：</w:t>
      </w:r>
    </w:p>
    <w:p w14:paraId="6F5248BA">
      <w:pPr>
        <w:spacing w:before="116" w:line="219" w:lineRule="auto"/>
        <w:ind w:left="518"/>
        <w:rPr>
          <w:rFonts w:ascii="宋体" w:hAnsi="宋体" w:eastAsia="宋体" w:cs="宋体"/>
          <w:sz w:val="24"/>
          <w:szCs w:val="24"/>
          <w:highlight w:val="none"/>
        </w:rPr>
      </w:pPr>
      <w:r>
        <w:rPr>
          <w:rFonts w:ascii="宋体" w:hAnsi="宋体" w:eastAsia="宋体" w:cs="宋体"/>
          <w:spacing w:val="-2"/>
          <w:sz w:val="24"/>
          <w:szCs w:val="24"/>
          <w:highlight w:val="none"/>
        </w:rPr>
        <w:t>1）提供虚假材料谋取中标、成交的；</w:t>
      </w:r>
    </w:p>
    <w:p w14:paraId="4E42B718">
      <w:pPr>
        <w:spacing w:before="116"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2）采取不正当手段诋毁、排挤其他供应商的；</w:t>
      </w:r>
    </w:p>
    <w:p w14:paraId="075FB493">
      <w:pPr>
        <w:spacing w:before="114" w:line="219" w:lineRule="auto"/>
        <w:ind w:left="505"/>
        <w:rPr>
          <w:rFonts w:ascii="宋体" w:hAnsi="宋体" w:eastAsia="宋体" w:cs="宋体"/>
          <w:sz w:val="24"/>
          <w:szCs w:val="24"/>
          <w:highlight w:val="none"/>
        </w:rPr>
      </w:pPr>
      <w:r>
        <w:rPr>
          <w:rFonts w:ascii="宋体" w:hAnsi="宋体" w:eastAsia="宋体" w:cs="宋体"/>
          <w:spacing w:val="-1"/>
          <w:sz w:val="24"/>
          <w:szCs w:val="24"/>
          <w:highlight w:val="none"/>
        </w:rPr>
        <w:t>3）与采购人、其他供应商或者采购代理机构工作人员恶意串通的；</w:t>
      </w:r>
    </w:p>
    <w:p w14:paraId="306BFB3C">
      <w:pPr>
        <w:spacing w:before="116" w:line="219" w:lineRule="auto"/>
        <w:ind w:left="500"/>
        <w:rPr>
          <w:rFonts w:ascii="宋体" w:hAnsi="宋体" w:eastAsia="宋体" w:cs="宋体"/>
          <w:sz w:val="24"/>
          <w:szCs w:val="24"/>
          <w:highlight w:val="none"/>
        </w:rPr>
      </w:pPr>
      <w:r>
        <w:rPr>
          <w:rFonts w:ascii="宋体" w:hAnsi="宋体" w:eastAsia="宋体" w:cs="宋体"/>
          <w:sz w:val="24"/>
          <w:szCs w:val="24"/>
          <w:highlight w:val="none"/>
        </w:rPr>
        <w:t>4）向采购人、采购代理机构工作人员行贿或者提</w:t>
      </w:r>
      <w:r>
        <w:rPr>
          <w:rFonts w:ascii="宋体" w:hAnsi="宋体" w:eastAsia="宋体" w:cs="宋体"/>
          <w:spacing w:val="-1"/>
          <w:sz w:val="24"/>
          <w:szCs w:val="24"/>
          <w:highlight w:val="none"/>
        </w:rPr>
        <w:t>供其他不正当利益的；</w:t>
      </w:r>
    </w:p>
    <w:p w14:paraId="00D19F5F">
      <w:pPr>
        <w:spacing w:before="116" w:line="219" w:lineRule="auto"/>
        <w:ind w:left="505"/>
        <w:rPr>
          <w:rFonts w:ascii="宋体" w:hAnsi="宋体" w:eastAsia="宋体" w:cs="宋体"/>
          <w:sz w:val="24"/>
          <w:szCs w:val="24"/>
          <w:highlight w:val="none"/>
        </w:rPr>
      </w:pPr>
      <w:r>
        <w:rPr>
          <w:rFonts w:ascii="宋体" w:hAnsi="宋体" w:eastAsia="宋体" w:cs="宋体"/>
          <w:spacing w:val="-1"/>
          <w:sz w:val="24"/>
          <w:szCs w:val="24"/>
          <w:highlight w:val="none"/>
        </w:rPr>
        <w:t>5）在采购过程中与采购人进行协商谈判的；</w:t>
      </w:r>
    </w:p>
    <w:p w14:paraId="3475226D">
      <w:pPr>
        <w:spacing w:before="114" w:line="219" w:lineRule="auto"/>
        <w:ind w:left="502"/>
        <w:rPr>
          <w:rFonts w:ascii="宋体" w:hAnsi="宋体" w:eastAsia="宋体" w:cs="宋体"/>
          <w:sz w:val="24"/>
          <w:szCs w:val="24"/>
          <w:highlight w:val="none"/>
        </w:rPr>
      </w:pPr>
      <w:r>
        <w:rPr>
          <w:rFonts w:ascii="宋体" w:hAnsi="宋体" w:eastAsia="宋体" w:cs="宋体"/>
          <w:spacing w:val="-1"/>
          <w:sz w:val="24"/>
          <w:szCs w:val="24"/>
          <w:highlight w:val="none"/>
        </w:rPr>
        <w:t>6）拒绝有关部门监督检查或提供虚假情况的。</w:t>
      </w:r>
    </w:p>
    <w:p w14:paraId="30DE7F58">
      <w:pPr>
        <w:spacing w:before="116" w:line="219" w:lineRule="auto"/>
        <w:ind w:left="518"/>
        <w:rPr>
          <w:rFonts w:ascii="宋体" w:hAnsi="宋体" w:eastAsia="宋体" w:cs="宋体"/>
          <w:sz w:val="24"/>
          <w:szCs w:val="24"/>
          <w:highlight w:val="none"/>
        </w:rPr>
      </w:pPr>
      <w:r>
        <w:rPr>
          <w:rFonts w:ascii="宋体" w:hAnsi="宋体" w:eastAsia="宋体" w:cs="宋体"/>
          <w:spacing w:val="-2"/>
          <w:sz w:val="24"/>
          <w:szCs w:val="24"/>
          <w:highlight w:val="none"/>
        </w:rPr>
        <w:t>17、与本投标有关的一切往来通讯请寄：</w:t>
      </w:r>
    </w:p>
    <w:p w14:paraId="0719DE11">
      <w:pPr>
        <w:spacing w:before="116" w:line="229"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地址：</w:t>
      </w:r>
      <w:r>
        <w:rPr>
          <w:rFonts w:ascii="宋体" w:hAnsi="宋体" w:eastAsia="宋体" w:cs="宋体"/>
          <w:spacing w:val="-2"/>
          <w:sz w:val="24"/>
          <w:szCs w:val="24"/>
          <w:highlight w:val="none"/>
          <w:u w:val="single" w:color="auto"/>
        </w:rPr>
        <w:t xml:space="preserve">             </w:t>
      </w:r>
    </w:p>
    <w:p w14:paraId="50BC40E3">
      <w:pPr>
        <w:spacing w:before="101" w:line="219" w:lineRule="auto"/>
        <w:ind w:left="518"/>
        <w:rPr>
          <w:rFonts w:ascii="宋体" w:hAnsi="宋体" w:eastAsia="宋体" w:cs="宋体"/>
          <w:sz w:val="24"/>
          <w:szCs w:val="24"/>
          <w:highlight w:val="none"/>
        </w:rPr>
      </w:pPr>
      <w:r>
        <w:rPr>
          <w:rFonts w:ascii="宋体" w:hAnsi="宋体" w:eastAsia="宋体" w:cs="宋体"/>
          <w:spacing w:val="-10"/>
          <w:sz w:val="24"/>
          <w:szCs w:val="24"/>
          <w:highlight w:val="none"/>
        </w:rPr>
        <w:t>邮编：</w:t>
      </w:r>
      <w:r>
        <w:rPr>
          <w:rFonts w:ascii="宋体" w:hAnsi="宋体" w:eastAsia="宋体" w:cs="宋体"/>
          <w:sz w:val="24"/>
          <w:szCs w:val="24"/>
          <w:highlight w:val="none"/>
          <w:u w:val="single" w:color="auto"/>
        </w:rPr>
        <w:t xml:space="preserve">            </w:t>
      </w:r>
    </w:p>
    <w:p w14:paraId="34CB8036">
      <w:pPr>
        <w:spacing w:before="117" w:line="221" w:lineRule="auto"/>
        <w:ind w:left="529"/>
        <w:rPr>
          <w:rFonts w:ascii="宋体" w:hAnsi="宋体" w:eastAsia="宋体" w:cs="宋体"/>
          <w:sz w:val="24"/>
          <w:szCs w:val="24"/>
          <w:highlight w:val="none"/>
        </w:rPr>
      </w:pPr>
      <w:r>
        <w:rPr>
          <w:rFonts w:ascii="宋体" w:hAnsi="宋体" w:eastAsia="宋体" w:cs="宋体"/>
          <w:spacing w:val="-13"/>
          <w:sz w:val="24"/>
          <w:szCs w:val="24"/>
          <w:highlight w:val="none"/>
        </w:rPr>
        <w:t>电话：</w:t>
      </w:r>
      <w:r>
        <w:rPr>
          <w:rFonts w:ascii="宋体" w:hAnsi="宋体" w:eastAsia="宋体" w:cs="宋体"/>
          <w:sz w:val="24"/>
          <w:szCs w:val="24"/>
          <w:highlight w:val="none"/>
          <w:u w:val="single" w:color="auto"/>
        </w:rPr>
        <w:t xml:space="preserve">            </w:t>
      </w:r>
    </w:p>
    <w:p w14:paraId="2E5DE83C">
      <w:pPr>
        <w:spacing w:before="113" w:line="219" w:lineRule="auto"/>
        <w:ind w:left="503"/>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rPr>
        <w:t>投标人法定代表人或授权代理人联系电话</w:t>
      </w:r>
      <w:r>
        <w:rPr>
          <w:rFonts w:hint="eastAsia" w:ascii="宋体" w:hAnsi="宋体" w:cs="宋体"/>
          <w:spacing w:val="-1"/>
          <w:sz w:val="24"/>
          <w:szCs w:val="24"/>
          <w:highlight w:val="none"/>
          <w:lang w:eastAsia="zh-CN"/>
        </w:rPr>
        <w:t>：</w:t>
      </w:r>
      <w:r>
        <w:rPr>
          <w:rFonts w:ascii="宋体" w:hAnsi="宋体" w:eastAsia="宋体" w:cs="宋体"/>
          <w:sz w:val="24"/>
          <w:szCs w:val="24"/>
          <w:highlight w:val="none"/>
          <w:u w:val="single" w:color="auto"/>
        </w:rPr>
        <w:t xml:space="preserve">            </w:t>
      </w:r>
    </w:p>
    <w:p w14:paraId="134E4F73">
      <w:pPr>
        <w:spacing w:before="113"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e-mail：</w:t>
      </w:r>
      <w:r>
        <w:rPr>
          <w:rFonts w:ascii="宋体" w:hAnsi="宋体" w:eastAsia="宋体" w:cs="宋体"/>
          <w:sz w:val="24"/>
          <w:szCs w:val="24"/>
          <w:highlight w:val="none"/>
          <w:u w:val="single" w:color="auto"/>
        </w:rPr>
        <w:t xml:space="preserve">             </w:t>
      </w:r>
    </w:p>
    <w:p w14:paraId="146AB364">
      <w:pPr>
        <w:pStyle w:val="12"/>
        <w:spacing w:line="432" w:lineRule="auto"/>
        <w:rPr>
          <w:highlight w:val="none"/>
        </w:rPr>
      </w:pPr>
    </w:p>
    <w:p w14:paraId="3D051A16">
      <w:pPr>
        <w:spacing w:before="79" w:line="219" w:lineRule="auto"/>
        <w:ind w:left="503"/>
        <w:rPr>
          <w:rFonts w:ascii="宋体" w:hAnsi="宋体" w:eastAsia="宋体" w:cs="宋体"/>
          <w:sz w:val="24"/>
          <w:szCs w:val="24"/>
          <w:highlight w:val="none"/>
        </w:rPr>
      </w:pPr>
      <w:r>
        <w:rPr>
          <w:rFonts w:ascii="宋体" w:hAnsi="宋体" w:eastAsia="宋体" w:cs="宋体"/>
          <w:b/>
          <w:bCs/>
          <w:spacing w:val="-4"/>
          <w:sz w:val="24"/>
          <w:szCs w:val="24"/>
          <w:highlight w:val="none"/>
        </w:rPr>
        <w:t>投标人（公章</w:t>
      </w:r>
      <w:r>
        <w:rPr>
          <w:rFonts w:ascii="宋体" w:hAnsi="宋体" w:eastAsia="宋体" w:cs="宋体"/>
          <w:b/>
          <w:bCs/>
          <w:spacing w:val="-3"/>
          <w:sz w:val="24"/>
          <w:szCs w:val="24"/>
          <w:highlight w:val="none"/>
        </w:rPr>
        <w:t>）：</w:t>
      </w:r>
    </w:p>
    <w:p w14:paraId="3F4815AD">
      <w:pPr>
        <w:spacing w:before="117" w:line="293" w:lineRule="auto"/>
        <w:ind w:left="601" w:right="1468" w:hanging="119"/>
        <w:rPr>
          <w:rFonts w:ascii="宋体" w:hAnsi="宋体" w:eastAsia="宋体" w:cs="宋体"/>
          <w:b/>
          <w:bCs/>
          <w:spacing w:val="-32"/>
          <w:sz w:val="24"/>
          <w:szCs w:val="24"/>
          <w:highlight w:val="none"/>
        </w:rPr>
      </w:pPr>
      <w:r>
        <w:rPr>
          <w:rFonts w:ascii="宋体" w:hAnsi="宋体" w:eastAsia="宋体" w:cs="宋体"/>
          <w:b/>
          <w:bCs/>
          <w:spacing w:val="-2"/>
          <w:sz w:val="24"/>
          <w:szCs w:val="24"/>
          <w:highlight w:val="none"/>
        </w:rPr>
        <w:t>法定代表人（单位负责人）或其授权委托人（签字</w:t>
      </w:r>
      <w:r>
        <w:rPr>
          <w:rFonts w:ascii="宋体" w:hAnsi="宋体" w:eastAsia="宋体" w:cs="宋体"/>
          <w:b/>
          <w:bCs/>
          <w:spacing w:val="-3"/>
          <w:sz w:val="24"/>
          <w:szCs w:val="24"/>
          <w:highlight w:val="none"/>
        </w:rPr>
        <w:t>或盖章</w:t>
      </w:r>
      <w:r>
        <w:rPr>
          <w:rFonts w:ascii="宋体" w:hAnsi="宋体" w:eastAsia="宋体" w:cs="宋体"/>
          <w:b/>
          <w:bCs/>
          <w:spacing w:val="-32"/>
          <w:sz w:val="24"/>
          <w:szCs w:val="24"/>
          <w:highlight w:val="none"/>
        </w:rPr>
        <w:t>）</w:t>
      </w:r>
    </w:p>
    <w:p w14:paraId="2DE6A00C">
      <w:pPr>
        <w:spacing w:line="440" w:lineRule="exact"/>
        <w:ind w:firstLine="418" w:firstLineChars="200"/>
        <w:rPr>
          <w:sz w:val="24"/>
          <w:highlight w:val="none"/>
        </w:rPr>
      </w:pPr>
      <w:r>
        <w:rPr>
          <w:rFonts w:ascii="宋体" w:hAnsi="宋体" w:eastAsia="宋体" w:cs="宋体"/>
          <w:b/>
          <w:bCs/>
          <w:spacing w:val="-16"/>
          <w:sz w:val="24"/>
          <w:szCs w:val="24"/>
          <w:highlight w:val="none"/>
        </w:rPr>
        <w:t>日期：</w:t>
      </w:r>
      <w:r>
        <w:rPr>
          <w:rFonts w:ascii="宋体" w:hAnsi="宋体" w:eastAsia="宋体" w:cs="宋体"/>
          <w:spacing w:val="4"/>
          <w:sz w:val="24"/>
          <w:szCs w:val="24"/>
          <w:highlight w:val="none"/>
        </w:rPr>
        <w:t xml:space="preserve">    </w:t>
      </w:r>
      <w:r>
        <w:rPr>
          <w:rFonts w:ascii="宋体" w:hAnsi="宋体" w:eastAsia="宋体" w:cs="宋体"/>
          <w:b/>
          <w:bCs/>
          <w:spacing w:val="-16"/>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6"/>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6"/>
          <w:sz w:val="24"/>
          <w:szCs w:val="24"/>
          <w:highlight w:val="none"/>
        </w:rPr>
        <w:t>日</w:t>
      </w:r>
    </w:p>
    <w:p w14:paraId="3139E6D6">
      <w:pPr>
        <w:spacing w:line="440" w:lineRule="exact"/>
        <w:rPr>
          <w:b/>
          <w:sz w:val="28"/>
          <w:szCs w:val="28"/>
          <w:highlight w:val="none"/>
        </w:rPr>
      </w:pPr>
    </w:p>
    <w:p w14:paraId="36EF1900">
      <w:pPr>
        <w:pStyle w:val="43"/>
        <w:ind w:firstLine="560"/>
        <w:rPr>
          <w:highlight w:val="none"/>
        </w:rPr>
      </w:pPr>
    </w:p>
    <w:p w14:paraId="24D7A87B">
      <w:pPr>
        <w:pStyle w:val="43"/>
        <w:ind w:firstLine="560"/>
        <w:rPr>
          <w:highlight w:val="none"/>
        </w:rPr>
      </w:pPr>
    </w:p>
    <w:p w14:paraId="670CC05B">
      <w:pPr>
        <w:pStyle w:val="43"/>
        <w:ind w:firstLine="560"/>
        <w:rPr>
          <w:highlight w:val="none"/>
        </w:rPr>
      </w:pPr>
    </w:p>
    <w:p w14:paraId="51A6AE53">
      <w:pPr>
        <w:pStyle w:val="43"/>
        <w:ind w:firstLine="560"/>
        <w:rPr>
          <w:highlight w:val="none"/>
        </w:rPr>
      </w:pPr>
    </w:p>
    <w:p w14:paraId="3F89E3EC">
      <w:pPr>
        <w:pStyle w:val="43"/>
        <w:ind w:firstLine="560"/>
        <w:rPr>
          <w:highlight w:val="none"/>
        </w:rPr>
      </w:pPr>
    </w:p>
    <w:p w14:paraId="6452E3E5">
      <w:pPr>
        <w:pStyle w:val="43"/>
        <w:ind w:firstLine="560"/>
        <w:rPr>
          <w:highlight w:val="none"/>
        </w:rPr>
      </w:pPr>
    </w:p>
    <w:p w14:paraId="44D04C84">
      <w:pPr>
        <w:spacing w:line="440" w:lineRule="exact"/>
        <w:rPr>
          <w:sz w:val="28"/>
          <w:szCs w:val="28"/>
          <w:highlight w:val="none"/>
        </w:rPr>
      </w:pPr>
      <w:r>
        <w:rPr>
          <w:b/>
          <w:sz w:val="28"/>
          <w:szCs w:val="28"/>
          <w:highlight w:val="none"/>
        </w:rPr>
        <w:t>附表二：</w:t>
      </w:r>
    </w:p>
    <w:p w14:paraId="5EB5DBBE">
      <w:pPr>
        <w:spacing w:line="440" w:lineRule="exact"/>
        <w:jc w:val="center"/>
        <w:rPr>
          <w:b/>
          <w:sz w:val="28"/>
          <w:szCs w:val="28"/>
          <w:highlight w:val="none"/>
        </w:rPr>
      </w:pPr>
      <w:r>
        <w:rPr>
          <w:b/>
          <w:sz w:val="28"/>
          <w:szCs w:val="28"/>
          <w:highlight w:val="none"/>
        </w:rPr>
        <w:t>法人代表授权书格式</w:t>
      </w:r>
    </w:p>
    <w:p w14:paraId="2BC8A87F">
      <w:pPr>
        <w:spacing w:line="440" w:lineRule="exact"/>
        <w:jc w:val="center"/>
        <w:rPr>
          <w:b/>
          <w:sz w:val="24"/>
          <w:highlight w:val="none"/>
        </w:rPr>
      </w:pPr>
    </w:p>
    <w:p w14:paraId="48382AAD">
      <w:pPr>
        <w:spacing w:line="480" w:lineRule="auto"/>
        <w:ind w:firstLine="435"/>
        <w:rPr>
          <w:sz w:val="24"/>
          <w:highlight w:val="none"/>
        </w:rPr>
      </w:pPr>
      <w:r>
        <w:rPr>
          <w:sz w:val="24"/>
          <w:highlight w:val="none"/>
        </w:rPr>
        <w:t>本授权书声明：注册于</w:t>
      </w:r>
      <w:r>
        <w:rPr>
          <w:sz w:val="24"/>
          <w:highlight w:val="none"/>
          <w:u w:val="single"/>
        </w:rPr>
        <w:t>（地区的名称）</w:t>
      </w:r>
      <w:r>
        <w:rPr>
          <w:sz w:val="24"/>
          <w:highlight w:val="none"/>
        </w:rPr>
        <w:t>的（</w:t>
      </w:r>
      <w:r>
        <w:rPr>
          <w:sz w:val="24"/>
          <w:highlight w:val="none"/>
          <w:u w:val="single"/>
        </w:rPr>
        <w:t>公司名称），</w:t>
      </w:r>
      <w:r>
        <w:rPr>
          <w:sz w:val="24"/>
          <w:highlight w:val="none"/>
        </w:rPr>
        <w:t>在下面签字的法人代表</w:t>
      </w:r>
      <w:r>
        <w:rPr>
          <w:sz w:val="24"/>
          <w:highlight w:val="none"/>
          <w:u w:val="single"/>
        </w:rPr>
        <w:t>（姓名、职务），</w:t>
      </w:r>
      <w:r>
        <w:rPr>
          <w:sz w:val="24"/>
          <w:highlight w:val="none"/>
        </w:rPr>
        <w:t>代表本公司授权在下面签字的</w:t>
      </w:r>
      <w:r>
        <w:rPr>
          <w:sz w:val="24"/>
          <w:highlight w:val="none"/>
          <w:u w:val="single"/>
        </w:rPr>
        <w:t>（被授权人的姓名、职务、身份证号）</w:t>
      </w:r>
      <w:r>
        <w:rPr>
          <w:sz w:val="24"/>
          <w:highlight w:val="none"/>
        </w:rPr>
        <w:t>为本公司的合法代理人，就</w:t>
      </w:r>
      <w:r>
        <w:rPr>
          <w:sz w:val="24"/>
          <w:highlight w:val="none"/>
          <w:u w:val="single"/>
        </w:rPr>
        <w:t>（项目名称/编号）</w:t>
      </w:r>
      <w:r>
        <w:rPr>
          <w:sz w:val="24"/>
          <w:highlight w:val="none"/>
        </w:rPr>
        <w:t>的投标，以本公司的名义处理一切与之有关的事务。</w:t>
      </w:r>
    </w:p>
    <w:p w14:paraId="1A3A10BD">
      <w:pPr>
        <w:spacing w:line="480" w:lineRule="auto"/>
        <w:ind w:firstLine="435"/>
        <w:rPr>
          <w:sz w:val="24"/>
          <w:highlight w:val="none"/>
        </w:rPr>
      </w:pPr>
      <w:r>
        <w:rPr>
          <w:sz w:val="24"/>
          <w:highlight w:val="none"/>
        </w:rPr>
        <w:t>本授权书于20</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11E17850">
      <w:pPr>
        <w:spacing w:line="480" w:lineRule="auto"/>
        <w:ind w:firstLine="435"/>
        <w:rPr>
          <w:sz w:val="24"/>
          <w:highlight w:val="none"/>
        </w:rPr>
      </w:pPr>
    </w:p>
    <w:p w14:paraId="36D44E68">
      <w:pPr>
        <w:spacing w:line="480" w:lineRule="auto"/>
        <w:ind w:firstLine="435"/>
        <w:rPr>
          <w:sz w:val="24"/>
          <w:highlight w:val="none"/>
          <w:u w:val="single"/>
        </w:rPr>
      </w:pPr>
      <w:r>
        <w:rPr>
          <w:sz w:val="24"/>
          <w:highlight w:val="none"/>
        </w:rPr>
        <w:t>法人代表盖章</w:t>
      </w:r>
      <w:r>
        <w:rPr>
          <w:sz w:val="24"/>
          <w:highlight w:val="none"/>
          <w:u w:val="single"/>
        </w:rPr>
        <w:t xml:space="preserve">               </w:t>
      </w:r>
    </w:p>
    <w:p w14:paraId="07860056">
      <w:pPr>
        <w:spacing w:line="480" w:lineRule="auto"/>
        <w:ind w:firstLine="435"/>
        <w:rPr>
          <w:sz w:val="24"/>
          <w:highlight w:val="none"/>
          <w:u w:val="single"/>
        </w:rPr>
      </w:pPr>
      <w:r>
        <w:rPr>
          <w:sz w:val="24"/>
          <w:highlight w:val="none"/>
        </w:rPr>
        <w:t>被授权人签字或盖章</w:t>
      </w:r>
      <w:r>
        <w:rPr>
          <w:sz w:val="24"/>
          <w:highlight w:val="none"/>
          <w:u w:val="single"/>
        </w:rPr>
        <w:t xml:space="preserve">               </w:t>
      </w:r>
    </w:p>
    <w:p w14:paraId="36DA3981">
      <w:pPr>
        <w:spacing w:line="480" w:lineRule="auto"/>
        <w:ind w:firstLine="435"/>
        <w:rPr>
          <w:sz w:val="24"/>
          <w:highlight w:val="none"/>
        </w:rPr>
      </w:pPr>
      <w:r>
        <w:rPr>
          <w:sz w:val="24"/>
          <w:highlight w:val="none"/>
        </w:rPr>
        <w:t>公      章：</w:t>
      </w:r>
      <w:r>
        <w:rPr>
          <w:sz w:val="24"/>
          <w:highlight w:val="none"/>
          <w:u w:val="single"/>
        </w:rPr>
        <w:t xml:space="preserve">              </w:t>
      </w:r>
    </w:p>
    <w:p w14:paraId="5412997D">
      <w:pPr>
        <w:spacing w:line="480" w:lineRule="auto"/>
        <w:ind w:firstLine="480" w:firstLineChars="200"/>
        <w:rPr>
          <w:sz w:val="24"/>
          <w:highlight w:val="none"/>
        </w:rPr>
      </w:pPr>
      <w:r>
        <w:rPr>
          <w:rFonts w:hint="eastAsia"/>
          <w:sz w:val="24"/>
          <w:highlight w:val="none"/>
          <w:lang w:eastAsia="zh-CN"/>
        </w:rPr>
        <w:t>注：</w:t>
      </w:r>
      <w:r>
        <w:rPr>
          <w:rFonts w:hint="eastAsia"/>
          <w:sz w:val="24"/>
          <w:highlight w:val="none"/>
        </w:rPr>
        <w:t>法人和</w:t>
      </w:r>
      <w:r>
        <w:rPr>
          <w:sz w:val="24"/>
          <w:highlight w:val="none"/>
        </w:rPr>
        <w:t>被授权人身份证复印件</w:t>
      </w:r>
    </w:p>
    <w:p w14:paraId="6CF241A5">
      <w:pPr>
        <w:spacing w:line="480" w:lineRule="auto"/>
        <w:ind w:firstLine="3612" w:firstLineChars="1505"/>
        <w:jc w:val="right"/>
        <w:rPr>
          <w:sz w:val="24"/>
          <w:highlight w:val="none"/>
        </w:rPr>
      </w:pPr>
    </w:p>
    <w:p w14:paraId="395018D7">
      <w:pPr>
        <w:spacing w:line="480" w:lineRule="auto"/>
        <w:ind w:firstLine="3612" w:firstLineChars="1505"/>
        <w:jc w:val="right"/>
        <w:rPr>
          <w:sz w:val="24"/>
          <w:highlight w:val="none"/>
        </w:rPr>
      </w:pPr>
      <w:r>
        <w:rPr>
          <w:sz w:val="24"/>
          <w:highlight w:val="none"/>
        </w:rPr>
        <w:t>授权日期：20</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8BF3BB0">
      <w:pPr>
        <w:spacing w:line="440" w:lineRule="exact"/>
        <w:rPr>
          <w:sz w:val="24"/>
          <w:highlight w:val="none"/>
        </w:rPr>
      </w:pPr>
    </w:p>
    <w:p w14:paraId="7FDB7A09">
      <w:pPr>
        <w:spacing w:line="440" w:lineRule="exact"/>
        <w:rPr>
          <w:sz w:val="24"/>
          <w:highlight w:val="none"/>
        </w:rPr>
      </w:pPr>
      <w:r>
        <w:rPr>
          <w:b/>
          <w:bCs/>
          <w:sz w:val="24"/>
          <w:highlight w:val="none"/>
        </w:rPr>
        <w:t>注：</w:t>
      </w:r>
      <w:r>
        <w:rPr>
          <w:sz w:val="24"/>
          <w:highlight w:val="none"/>
        </w:rPr>
        <w:t>法人代表本人作为公司代理人前来参加投标的投标人，可不提供此项证明文件。</w:t>
      </w:r>
    </w:p>
    <w:p w14:paraId="353B6767">
      <w:pPr>
        <w:spacing w:line="440" w:lineRule="exact"/>
        <w:rPr>
          <w:b/>
          <w:sz w:val="28"/>
          <w:szCs w:val="28"/>
          <w:highlight w:val="none"/>
        </w:rPr>
      </w:pPr>
    </w:p>
    <w:p w14:paraId="2216ED32">
      <w:pPr>
        <w:spacing w:line="440" w:lineRule="exact"/>
        <w:rPr>
          <w:b/>
          <w:sz w:val="28"/>
          <w:szCs w:val="28"/>
          <w:highlight w:val="none"/>
        </w:rPr>
      </w:pPr>
    </w:p>
    <w:p w14:paraId="411DA4C3">
      <w:pPr>
        <w:pStyle w:val="43"/>
        <w:ind w:firstLine="560"/>
        <w:rPr>
          <w:highlight w:val="none"/>
        </w:rPr>
      </w:pPr>
    </w:p>
    <w:p w14:paraId="30A2517D">
      <w:pPr>
        <w:pStyle w:val="43"/>
        <w:ind w:firstLine="560"/>
        <w:rPr>
          <w:highlight w:val="none"/>
        </w:rPr>
      </w:pPr>
    </w:p>
    <w:p w14:paraId="15E9E8E0">
      <w:pPr>
        <w:pStyle w:val="43"/>
        <w:ind w:firstLine="560"/>
        <w:rPr>
          <w:highlight w:val="none"/>
        </w:rPr>
      </w:pPr>
    </w:p>
    <w:p w14:paraId="2A3E66A5">
      <w:pPr>
        <w:pStyle w:val="43"/>
        <w:ind w:firstLine="560"/>
        <w:rPr>
          <w:highlight w:val="none"/>
        </w:rPr>
      </w:pPr>
    </w:p>
    <w:p w14:paraId="5C119845">
      <w:pPr>
        <w:spacing w:line="440" w:lineRule="exact"/>
        <w:rPr>
          <w:b/>
          <w:sz w:val="28"/>
          <w:szCs w:val="28"/>
          <w:highlight w:val="none"/>
        </w:rPr>
      </w:pPr>
    </w:p>
    <w:p w14:paraId="0DC0C911">
      <w:pPr>
        <w:spacing w:line="440" w:lineRule="exact"/>
        <w:rPr>
          <w:b/>
          <w:sz w:val="28"/>
          <w:szCs w:val="28"/>
          <w:highlight w:val="none"/>
        </w:rPr>
      </w:pPr>
    </w:p>
    <w:p w14:paraId="37A7BC9E">
      <w:pPr>
        <w:spacing w:line="440" w:lineRule="exact"/>
        <w:rPr>
          <w:b/>
          <w:sz w:val="28"/>
          <w:szCs w:val="28"/>
          <w:highlight w:val="none"/>
        </w:rPr>
      </w:pPr>
    </w:p>
    <w:p w14:paraId="5E32B76F">
      <w:pPr>
        <w:spacing w:line="440" w:lineRule="exact"/>
        <w:rPr>
          <w:b/>
          <w:sz w:val="28"/>
          <w:szCs w:val="28"/>
          <w:highlight w:val="none"/>
        </w:rPr>
      </w:pPr>
    </w:p>
    <w:p w14:paraId="1C123C4A">
      <w:pPr>
        <w:spacing w:line="440" w:lineRule="exact"/>
        <w:rPr>
          <w:b/>
          <w:sz w:val="24"/>
          <w:highlight w:val="none"/>
          <w:lang w:val="zh-CN"/>
        </w:rPr>
      </w:pPr>
      <w:r>
        <w:rPr>
          <w:b/>
          <w:sz w:val="28"/>
          <w:szCs w:val="28"/>
          <w:highlight w:val="none"/>
        </w:rPr>
        <w:t>附表三：</w:t>
      </w:r>
      <w:r>
        <w:rPr>
          <w:b/>
          <w:sz w:val="24"/>
          <w:highlight w:val="none"/>
          <w:lang w:val="zh-CN"/>
        </w:rPr>
        <w:t xml:space="preserve"> </w:t>
      </w:r>
    </w:p>
    <w:p w14:paraId="730A6DE0">
      <w:pPr>
        <w:spacing w:line="440" w:lineRule="exact"/>
        <w:jc w:val="center"/>
        <w:rPr>
          <w:b/>
          <w:sz w:val="28"/>
          <w:szCs w:val="28"/>
          <w:highlight w:val="none"/>
        </w:rPr>
      </w:pPr>
      <w:r>
        <w:rPr>
          <w:b/>
          <w:sz w:val="28"/>
          <w:szCs w:val="28"/>
          <w:highlight w:val="none"/>
        </w:rPr>
        <w:t>投标报价一览表</w:t>
      </w:r>
    </w:p>
    <w:p w14:paraId="6EF90E08">
      <w:pPr>
        <w:wordWrap w:val="0"/>
        <w:spacing w:line="440" w:lineRule="exact"/>
        <w:ind w:right="960" w:firstLine="360" w:firstLineChars="150"/>
        <w:textAlignment w:val="baseline"/>
        <w:rPr>
          <w:rFonts w:hint="default" w:eastAsia="宋体"/>
          <w:b/>
          <w:sz w:val="24"/>
          <w:highlight w:val="none"/>
          <w:lang w:val="en-US" w:eastAsia="zh-CN"/>
        </w:rPr>
      </w:pPr>
      <w:r>
        <w:rPr>
          <w:sz w:val="24"/>
          <w:highlight w:val="none"/>
        </w:rPr>
        <w:t xml:space="preserve">项目名称：                                           </w:t>
      </w:r>
      <w:r>
        <w:rPr>
          <w:rFonts w:hint="eastAsia"/>
          <w:sz w:val="24"/>
          <w:highlight w:val="none"/>
          <w:lang w:val="en-US" w:eastAsia="zh-CN"/>
        </w:rPr>
        <w:t>单位：元</w:t>
      </w:r>
    </w:p>
    <w:tbl>
      <w:tblPr>
        <w:tblStyle w:val="25"/>
        <w:tblW w:w="9753" w:type="dxa"/>
        <w:jc w:val="center"/>
        <w:tblLayout w:type="fixed"/>
        <w:tblCellMar>
          <w:top w:w="0" w:type="dxa"/>
          <w:left w:w="0" w:type="dxa"/>
          <w:bottom w:w="0" w:type="dxa"/>
          <w:right w:w="0" w:type="dxa"/>
        </w:tblCellMar>
      </w:tblPr>
      <w:tblGrid>
        <w:gridCol w:w="3548"/>
        <w:gridCol w:w="6205"/>
      </w:tblGrid>
      <w:tr w14:paraId="01B871DB">
        <w:trPr>
          <w:trHeight w:val="615" w:hRule="atLeast"/>
          <w:jc w:val="center"/>
        </w:trPr>
        <w:tc>
          <w:tcPr>
            <w:tcW w:w="354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84F7D5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baseline"/>
              <w:rPr>
                <w:b/>
                <w:sz w:val="24"/>
                <w:highlight w:val="none"/>
              </w:rPr>
            </w:pPr>
            <w:r>
              <w:rPr>
                <w:b/>
                <w:sz w:val="24"/>
                <w:highlight w:val="none"/>
              </w:rPr>
              <w:t>投标人名称</w:t>
            </w:r>
          </w:p>
        </w:tc>
        <w:tc>
          <w:tcPr>
            <w:tcW w:w="6205" w:type="dxa"/>
            <w:tcBorders>
              <w:top w:val="single" w:color="000000" w:sz="4" w:space="0"/>
              <w:bottom w:val="single" w:color="000000" w:sz="4" w:space="0"/>
              <w:right w:val="single" w:color="000000" w:sz="4" w:space="0"/>
            </w:tcBorders>
            <w:tcMar>
              <w:left w:w="0" w:type="dxa"/>
              <w:right w:w="0" w:type="dxa"/>
            </w:tcMar>
            <w:vAlign w:val="center"/>
          </w:tcPr>
          <w:p w14:paraId="739D7473">
            <w:pPr>
              <w:spacing w:line="440" w:lineRule="exact"/>
              <w:ind w:right="480"/>
              <w:jc w:val="center"/>
              <w:textAlignment w:val="baseline"/>
              <w:rPr>
                <w:b/>
                <w:sz w:val="24"/>
                <w:highlight w:val="none"/>
              </w:rPr>
            </w:pPr>
          </w:p>
        </w:tc>
      </w:tr>
      <w:tr w14:paraId="4D2AC936">
        <w:tblPrEx>
          <w:tblCellMar>
            <w:top w:w="0" w:type="dxa"/>
            <w:left w:w="0" w:type="dxa"/>
            <w:bottom w:w="0" w:type="dxa"/>
            <w:right w:w="0" w:type="dxa"/>
          </w:tblCellMar>
        </w:tblPrEx>
        <w:trPr>
          <w:trHeight w:val="615" w:hRule="atLeast"/>
          <w:jc w:val="center"/>
        </w:trPr>
        <w:tc>
          <w:tcPr>
            <w:tcW w:w="3548" w:type="dxa"/>
            <w:vMerge w:val="restart"/>
            <w:tcBorders>
              <w:left w:val="single" w:color="000000" w:sz="4" w:space="0"/>
              <w:right w:val="single" w:color="000000" w:sz="4" w:space="0"/>
            </w:tcBorders>
            <w:tcMar>
              <w:left w:w="0" w:type="dxa"/>
              <w:right w:w="0" w:type="dxa"/>
            </w:tcMar>
            <w:vAlign w:val="center"/>
          </w:tcPr>
          <w:p w14:paraId="37B9ADA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baseline"/>
              <w:rPr>
                <w:b/>
                <w:sz w:val="24"/>
                <w:highlight w:val="none"/>
              </w:rPr>
            </w:pPr>
            <w:r>
              <w:rPr>
                <w:b/>
                <w:sz w:val="24"/>
                <w:highlight w:val="none"/>
              </w:rPr>
              <w:t>投标</w:t>
            </w:r>
            <w:r>
              <w:rPr>
                <w:rFonts w:hint="eastAsia"/>
                <w:b/>
                <w:sz w:val="24"/>
                <w:highlight w:val="none"/>
                <w:lang w:eastAsia="zh-CN"/>
              </w:rPr>
              <w:t>报价</w:t>
            </w:r>
            <w:r>
              <w:rPr>
                <w:rFonts w:hint="eastAsia"/>
                <w:b/>
                <w:sz w:val="24"/>
                <w:highlight w:val="none"/>
              </w:rPr>
              <w:t>（</w:t>
            </w:r>
            <w:r>
              <w:rPr>
                <w:rFonts w:hint="eastAsia"/>
                <w:b/>
                <w:sz w:val="24"/>
                <w:highlight w:val="none"/>
                <w:lang w:val="en-US" w:eastAsia="zh-CN"/>
              </w:rPr>
              <w:t>元</w:t>
            </w:r>
            <w:r>
              <w:rPr>
                <w:rFonts w:hint="eastAsia"/>
                <w:b/>
                <w:sz w:val="24"/>
                <w:highlight w:val="none"/>
              </w:rPr>
              <w:t>）</w:t>
            </w:r>
          </w:p>
        </w:tc>
        <w:tc>
          <w:tcPr>
            <w:tcW w:w="6205" w:type="dxa"/>
            <w:tcBorders>
              <w:bottom w:val="single" w:color="000000" w:sz="4" w:space="0"/>
              <w:right w:val="single" w:color="000000" w:sz="4" w:space="0"/>
            </w:tcBorders>
            <w:tcMar>
              <w:left w:w="0" w:type="dxa"/>
              <w:right w:w="0" w:type="dxa"/>
            </w:tcMar>
            <w:vAlign w:val="center"/>
          </w:tcPr>
          <w:p w14:paraId="3ADAEA6E">
            <w:pPr>
              <w:spacing w:line="440" w:lineRule="exact"/>
              <w:ind w:right="480"/>
              <w:textAlignment w:val="baseline"/>
              <w:rPr>
                <w:b/>
                <w:sz w:val="24"/>
                <w:highlight w:val="none"/>
              </w:rPr>
            </w:pPr>
            <w:r>
              <w:rPr>
                <w:rFonts w:hint="eastAsia"/>
                <w:b/>
                <w:sz w:val="24"/>
                <w:highlight w:val="none"/>
                <w:lang w:eastAsia="zh-CN"/>
              </w:rPr>
              <w:t>小</w:t>
            </w:r>
            <w:r>
              <w:rPr>
                <w:b/>
                <w:sz w:val="24"/>
                <w:highlight w:val="none"/>
              </w:rPr>
              <w:t xml:space="preserve">写:                     </w:t>
            </w:r>
          </w:p>
        </w:tc>
      </w:tr>
      <w:tr w14:paraId="7144367C">
        <w:tblPrEx>
          <w:tblCellMar>
            <w:top w:w="0" w:type="dxa"/>
            <w:left w:w="0" w:type="dxa"/>
            <w:bottom w:w="0" w:type="dxa"/>
            <w:right w:w="0" w:type="dxa"/>
          </w:tblCellMar>
        </w:tblPrEx>
        <w:trPr>
          <w:trHeight w:val="615" w:hRule="atLeast"/>
          <w:jc w:val="center"/>
        </w:trPr>
        <w:tc>
          <w:tcPr>
            <w:tcW w:w="3548" w:type="dxa"/>
            <w:vMerge w:val="continue"/>
            <w:tcBorders>
              <w:left w:val="single" w:color="000000" w:sz="4" w:space="0"/>
              <w:bottom w:val="single" w:color="000000" w:sz="4" w:space="0"/>
              <w:right w:val="single" w:color="000000" w:sz="4" w:space="0"/>
            </w:tcBorders>
            <w:tcMar>
              <w:left w:w="0" w:type="dxa"/>
              <w:right w:w="0" w:type="dxa"/>
            </w:tcMar>
            <w:vAlign w:val="center"/>
          </w:tcPr>
          <w:p w14:paraId="7A908955">
            <w:pPr>
              <w:spacing w:line="440" w:lineRule="exact"/>
              <w:ind w:right="480"/>
              <w:jc w:val="center"/>
              <w:textAlignment w:val="baseline"/>
              <w:rPr>
                <w:b/>
                <w:sz w:val="24"/>
                <w:highlight w:val="none"/>
              </w:rPr>
            </w:pPr>
          </w:p>
        </w:tc>
        <w:tc>
          <w:tcPr>
            <w:tcW w:w="6205" w:type="dxa"/>
            <w:tcBorders>
              <w:bottom w:val="single" w:color="000000" w:sz="4" w:space="0"/>
              <w:right w:val="single" w:color="000000" w:sz="4" w:space="0"/>
            </w:tcBorders>
            <w:tcMar>
              <w:left w:w="0" w:type="dxa"/>
              <w:right w:w="0" w:type="dxa"/>
            </w:tcMar>
            <w:vAlign w:val="center"/>
          </w:tcPr>
          <w:p w14:paraId="2A114518">
            <w:pPr>
              <w:spacing w:line="440" w:lineRule="exact"/>
              <w:ind w:right="480"/>
              <w:textAlignment w:val="baseline"/>
              <w:rPr>
                <w:b/>
                <w:sz w:val="24"/>
                <w:highlight w:val="none"/>
              </w:rPr>
            </w:pPr>
            <w:r>
              <w:rPr>
                <w:rFonts w:hint="eastAsia"/>
                <w:b/>
                <w:sz w:val="24"/>
                <w:highlight w:val="none"/>
                <w:lang w:eastAsia="zh-CN"/>
              </w:rPr>
              <w:t>大</w:t>
            </w:r>
            <w:r>
              <w:rPr>
                <w:b/>
                <w:sz w:val="24"/>
                <w:highlight w:val="none"/>
              </w:rPr>
              <w:t>写：</w:t>
            </w:r>
          </w:p>
        </w:tc>
      </w:tr>
      <w:tr w14:paraId="1766FDFA">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tcMar>
              <w:left w:w="0" w:type="dxa"/>
              <w:right w:w="0" w:type="dxa"/>
            </w:tcMar>
            <w:vAlign w:val="center"/>
          </w:tcPr>
          <w:p w14:paraId="08E25151">
            <w:pPr>
              <w:spacing w:line="440" w:lineRule="exact"/>
              <w:ind w:right="480"/>
              <w:jc w:val="center"/>
              <w:textAlignment w:val="baseline"/>
              <w:rPr>
                <w:b/>
                <w:sz w:val="24"/>
                <w:highlight w:val="none"/>
              </w:rPr>
            </w:pPr>
            <w:r>
              <w:rPr>
                <w:rFonts w:hint="eastAsia"/>
                <w:b/>
                <w:sz w:val="24"/>
                <w:highlight w:val="none"/>
              </w:rPr>
              <w:t xml:space="preserve">   合同履行期限</w:t>
            </w:r>
          </w:p>
        </w:tc>
        <w:tc>
          <w:tcPr>
            <w:tcW w:w="6205" w:type="dxa"/>
            <w:tcBorders>
              <w:bottom w:val="single" w:color="000000" w:sz="4" w:space="0"/>
              <w:right w:val="single" w:color="000000" w:sz="4" w:space="0"/>
            </w:tcBorders>
            <w:tcMar>
              <w:left w:w="0" w:type="dxa"/>
              <w:right w:w="0" w:type="dxa"/>
            </w:tcMar>
            <w:vAlign w:val="center"/>
          </w:tcPr>
          <w:p w14:paraId="284DCC97">
            <w:pPr>
              <w:spacing w:line="440" w:lineRule="exact"/>
              <w:ind w:right="480"/>
              <w:textAlignment w:val="baseline"/>
              <w:rPr>
                <w:b/>
                <w:sz w:val="24"/>
                <w:highlight w:val="none"/>
              </w:rPr>
            </w:pPr>
          </w:p>
        </w:tc>
      </w:tr>
      <w:tr w14:paraId="56D511A6">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auto" w:sz="4" w:space="0"/>
              <w:right w:val="single" w:color="000000" w:sz="4" w:space="0"/>
            </w:tcBorders>
            <w:tcMar>
              <w:left w:w="0" w:type="dxa"/>
              <w:right w:w="0" w:type="dxa"/>
            </w:tcMar>
            <w:vAlign w:val="center"/>
          </w:tcPr>
          <w:p w14:paraId="7762533D">
            <w:pPr>
              <w:spacing w:line="440" w:lineRule="exact"/>
              <w:ind w:right="480"/>
              <w:jc w:val="center"/>
              <w:textAlignment w:val="baseline"/>
              <w:rPr>
                <w:rFonts w:hint="eastAsia"/>
                <w:b/>
                <w:sz w:val="24"/>
                <w:highlight w:val="none"/>
              </w:rPr>
            </w:pPr>
            <w:r>
              <w:rPr>
                <w:rFonts w:hint="eastAsia"/>
                <w:b/>
                <w:sz w:val="24"/>
                <w:highlight w:val="none"/>
              </w:rPr>
              <w:t>质量要求</w:t>
            </w:r>
          </w:p>
        </w:tc>
        <w:tc>
          <w:tcPr>
            <w:tcW w:w="6205" w:type="dxa"/>
            <w:tcBorders>
              <w:bottom w:val="single" w:color="auto" w:sz="4" w:space="0"/>
              <w:right w:val="single" w:color="000000" w:sz="4" w:space="0"/>
            </w:tcBorders>
            <w:tcMar>
              <w:left w:w="0" w:type="dxa"/>
              <w:right w:w="0" w:type="dxa"/>
            </w:tcMar>
            <w:vAlign w:val="center"/>
          </w:tcPr>
          <w:p w14:paraId="0ECB5865">
            <w:pPr>
              <w:spacing w:line="440" w:lineRule="exact"/>
              <w:ind w:right="480"/>
              <w:textAlignment w:val="baseline"/>
              <w:rPr>
                <w:b/>
                <w:sz w:val="24"/>
                <w:highlight w:val="none"/>
              </w:rPr>
            </w:pPr>
          </w:p>
        </w:tc>
      </w:tr>
      <w:tr w14:paraId="26849034">
        <w:tblPrEx>
          <w:tblCellMar>
            <w:top w:w="0" w:type="dxa"/>
            <w:left w:w="0" w:type="dxa"/>
            <w:bottom w:w="0" w:type="dxa"/>
            <w:right w:w="0" w:type="dxa"/>
          </w:tblCellMar>
        </w:tblPrEx>
        <w:trPr>
          <w:trHeight w:val="713" w:hRule="atLeast"/>
          <w:jc w:val="center"/>
        </w:trPr>
        <w:tc>
          <w:tcPr>
            <w:tcW w:w="3548"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14:paraId="094631D6">
            <w:pPr>
              <w:spacing w:line="440" w:lineRule="exact"/>
              <w:ind w:right="480"/>
              <w:jc w:val="center"/>
              <w:textAlignment w:val="baseline"/>
              <w:rPr>
                <w:rFonts w:hint="eastAsia" w:eastAsia="宋体"/>
                <w:b/>
                <w:sz w:val="24"/>
                <w:highlight w:val="none"/>
                <w:lang w:eastAsia="zh-CN"/>
              </w:rPr>
            </w:pPr>
            <w:r>
              <w:rPr>
                <w:rFonts w:hint="eastAsia"/>
                <w:b/>
                <w:sz w:val="24"/>
                <w:highlight w:val="none"/>
                <w:lang w:val="en-US" w:eastAsia="zh-CN"/>
              </w:rPr>
              <w:t>服务</w:t>
            </w:r>
            <w:r>
              <w:rPr>
                <w:rFonts w:hint="eastAsia"/>
                <w:b/>
                <w:sz w:val="24"/>
                <w:highlight w:val="none"/>
                <w:lang w:eastAsia="zh-CN"/>
              </w:rPr>
              <w:t>地点</w:t>
            </w:r>
          </w:p>
        </w:tc>
        <w:tc>
          <w:tcPr>
            <w:tcW w:w="6205" w:type="dxa"/>
            <w:tcBorders>
              <w:top w:val="single" w:color="auto" w:sz="4" w:space="0"/>
              <w:bottom w:val="single" w:color="auto" w:sz="4" w:space="0"/>
              <w:right w:val="single" w:color="auto" w:sz="4" w:space="0"/>
            </w:tcBorders>
            <w:tcMar>
              <w:left w:w="0" w:type="dxa"/>
              <w:right w:w="0" w:type="dxa"/>
            </w:tcMar>
            <w:vAlign w:val="center"/>
          </w:tcPr>
          <w:p w14:paraId="4F54F618">
            <w:pPr>
              <w:spacing w:line="440" w:lineRule="exact"/>
              <w:ind w:right="480"/>
              <w:textAlignment w:val="baseline"/>
              <w:rPr>
                <w:b/>
                <w:sz w:val="24"/>
                <w:highlight w:val="none"/>
              </w:rPr>
            </w:pPr>
          </w:p>
        </w:tc>
      </w:tr>
      <w:tr w14:paraId="6DFB0A23">
        <w:tblPrEx>
          <w:tblCellMar>
            <w:top w:w="0" w:type="dxa"/>
            <w:left w:w="0" w:type="dxa"/>
            <w:bottom w:w="0" w:type="dxa"/>
            <w:right w:w="0" w:type="dxa"/>
          </w:tblCellMar>
        </w:tblPrEx>
        <w:trPr>
          <w:trHeight w:val="713" w:hRule="atLeast"/>
          <w:jc w:val="center"/>
        </w:trPr>
        <w:tc>
          <w:tcPr>
            <w:tcW w:w="3548"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14:paraId="17DA75FC">
            <w:pPr>
              <w:spacing w:line="440" w:lineRule="exact"/>
              <w:ind w:right="480"/>
              <w:jc w:val="center"/>
              <w:textAlignment w:val="baseline"/>
              <w:rPr>
                <w:rFonts w:hint="eastAsia"/>
                <w:b/>
                <w:sz w:val="24"/>
                <w:highlight w:val="none"/>
                <w:lang w:val="en-US" w:eastAsia="zh-CN"/>
              </w:rPr>
            </w:pPr>
            <w:r>
              <w:rPr>
                <w:rFonts w:hint="eastAsia"/>
                <w:b/>
                <w:sz w:val="24"/>
                <w:highlight w:val="none"/>
                <w:lang w:val="en-US" w:eastAsia="zh-CN"/>
              </w:rPr>
              <w:t>设备质保期</w:t>
            </w:r>
          </w:p>
        </w:tc>
        <w:tc>
          <w:tcPr>
            <w:tcW w:w="6205" w:type="dxa"/>
            <w:tcBorders>
              <w:top w:val="single" w:color="auto" w:sz="4" w:space="0"/>
              <w:bottom w:val="single" w:color="auto" w:sz="4" w:space="0"/>
              <w:right w:val="single" w:color="auto" w:sz="4" w:space="0"/>
            </w:tcBorders>
            <w:tcMar>
              <w:left w:w="0" w:type="dxa"/>
              <w:right w:w="0" w:type="dxa"/>
            </w:tcMar>
            <w:vAlign w:val="center"/>
          </w:tcPr>
          <w:p w14:paraId="714B1AD2">
            <w:pPr>
              <w:spacing w:line="440" w:lineRule="exact"/>
              <w:ind w:right="480"/>
              <w:textAlignment w:val="baseline"/>
              <w:rPr>
                <w:b/>
                <w:sz w:val="24"/>
                <w:highlight w:val="none"/>
              </w:rPr>
            </w:pPr>
          </w:p>
        </w:tc>
      </w:tr>
      <w:tr w14:paraId="63BD05EC">
        <w:tblPrEx>
          <w:tblCellMar>
            <w:top w:w="0" w:type="dxa"/>
            <w:left w:w="0" w:type="dxa"/>
            <w:bottom w:w="0" w:type="dxa"/>
            <w:right w:w="0" w:type="dxa"/>
          </w:tblCellMar>
        </w:tblPrEx>
        <w:trPr>
          <w:trHeight w:val="713" w:hRule="atLeast"/>
          <w:jc w:val="center"/>
        </w:trPr>
        <w:tc>
          <w:tcPr>
            <w:tcW w:w="3548" w:type="dxa"/>
            <w:tcBorders>
              <w:top w:val="single" w:color="auto" w:sz="4" w:space="0"/>
              <w:left w:val="single" w:color="000000" w:sz="4" w:space="0"/>
              <w:bottom w:val="single" w:color="000000" w:sz="4" w:space="0"/>
              <w:right w:val="single" w:color="000000" w:sz="4" w:space="0"/>
            </w:tcBorders>
            <w:tcMar>
              <w:left w:w="0" w:type="dxa"/>
              <w:right w:w="0" w:type="dxa"/>
            </w:tcMar>
            <w:vAlign w:val="center"/>
          </w:tcPr>
          <w:p w14:paraId="6C649E50">
            <w:pPr>
              <w:spacing w:line="440" w:lineRule="exact"/>
              <w:ind w:right="480"/>
              <w:jc w:val="center"/>
              <w:textAlignment w:val="baseline"/>
              <w:rPr>
                <w:rFonts w:hint="default"/>
                <w:b/>
                <w:sz w:val="24"/>
                <w:highlight w:val="none"/>
                <w:lang w:val="en-US" w:eastAsia="zh-CN"/>
              </w:rPr>
            </w:pPr>
            <w:r>
              <w:rPr>
                <w:rFonts w:hint="eastAsia"/>
                <w:b/>
                <w:sz w:val="24"/>
                <w:highlight w:val="none"/>
                <w:lang w:val="en-US" w:eastAsia="zh-CN"/>
              </w:rPr>
              <w:t>备注</w:t>
            </w:r>
          </w:p>
        </w:tc>
        <w:tc>
          <w:tcPr>
            <w:tcW w:w="6205" w:type="dxa"/>
            <w:tcBorders>
              <w:top w:val="single" w:color="auto" w:sz="4" w:space="0"/>
              <w:bottom w:val="single" w:color="000000" w:sz="4" w:space="0"/>
              <w:right w:val="single" w:color="000000" w:sz="4" w:space="0"/>
            </w:tcBorders>
            <w:tcMar>
              <w:left w:w="0" w:type="dxa"/>
              <w:right w:w="0" w:type="dxa"/>
            </w:tcMar>
            <w:vAlign w:val="center"/>
          </w:tcPr>
          <w:p w14:paraId="43A8EAF8">
            <w:pPr>
              <w:spacing w:line="440" w:lineRule="exact"/>
              <w:ind w:right="480"/>
              <w:textAlignment w:val="baseline"/>
              <w:rPr>
                <w:b/>
                <w:sz w:val="24"/>
                <w:highlight w:val="none"/>
              </w:rPr>
            </w:pPr>
          </w:p>
        </w:tc>
      </w:tr>
    </w:tbl>
    <w:p w14:paraId="28B7C204">
      <w:pPr>
        <w:rPr>
          <w:rFonts w:hint="eastAsia" w:ascii="宋体" w:hAnsi="宋体" w:cs="宋体"/>
          <w:b/>
          <w:bCs/>
          <w:sz w:val="24"/>
          <w:highlight w:val="none"/>
        </w:rPr>
      </w:pPr>
    </w:p>
    <w:p w14:paraId="13D08CAD">
      <w:pPr>
        <w:rPr>
          <w:rFonts w:ascii="宋体" w:hAnsi="宋体" w:cs="宋体"/>
          <w:b/>
          <w:bCs/>
          <w:sz w:val="24"/>
          <w:highlight w:val="none"/>
        </w:rPr>
      </w:pPr>
      <w:r>
        <w:rPr>
          <w:rFonts w:hint="eastAsia" w:ascii="宋体" w:hAnsi="宋体" w:cs="宋体"/>
          <w:b/>
          <w:bCs/>
          <w:sz w:val="24"/>
          <w:highlight w:val="none"/>
        </w:rPr>
        <w:t>注</w:t>
      </w:r>
      <w:r>
        <w:rPr>
          <w:rFonts w:hint="eastAsia" w:ascii="宋体" w:hAnsi="宋体" w:cs="宋体"/>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、以上报价不得高于招标文件规定的最高限价。</w:t>
      </w:r>
    </w:p>
    <w:p w14:paraId="57071D78">
      <w:pPr>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w:t>
      </w:r>
      <w:r>
        <w:rPr>
          <w:rFonts w:hint="eastAsia" w:ascii="宋体" w:hAnsi="宋体" w:cs="宋体"/>
          <w:b/>
          <w:bCs/>
          <w:sz w:val="24"/>
          <w:highlight w:val="none"/>
        </w:rPr>
        <w:t>、投标报价应包括招标文件所规定的招标范围的全部内容。</w:t>
      </w:r>
    </w:p>
    <w:p w14:paraId="2CE133CE">
      <w:pPr>
        <w:ind w:firstLine="482" w:firstLineChars="200"/>
        <w:rPr>
          <w:rFonts w:hint="eastAsia" w:ascii="宋体" w:hAnsi="宋体" w:cs="宋体"/>
          <w:b/>
          <w:bCs/>
          <w:sz w:val="24"/>
          <w:highlight w:val="none"/>
          <w:lang w:val="en-US" w:eastAsia="zh-CN"/>
        </w:rPr>
      </w:pPr>
    </w:p>
    <w:p w14:paraId="52E19322">
      <w:pPr>
        <w:rPr>
          <w:rFonts w:ascii="宋体" w:hAnsi="宋体" w:cs="宋体"/>
          <w:sz w:val="24"/>
          <w:highlight w:val="none"/>
        </w:rPr>
      </w:pPr>
    </w:p>
    <w:p w14:paraId="30C8450E">
      <w:pPr>
        <w:rPr>
          <w:highlight w:val="none"/>
        </w:rPr>
      </w:pPr>
    </w:p>
    <w:p w14:paraId="5E2CA9B5">
      <w:pPr>
        <w:spacing w:line="440" w:lineRule="exact"/>
        <w:ind w:right="480"/>
        <w:jc w:val="right"/>
        <w:textAlignment w:val="baseline"/>
        <w:rPr>
          <w:b/>
          <w:sz w:val="24"/>
          <w:highlight w:val="none"/>
        </w:rPr>
      </w:pPr>
    </w:p>
    <w:p w14:paraId="0F913D11">
      <w:pPr>
        <w:spacing w:line="440" w:lineRule="exact"/>
        <w:ind w:right="480"/>
        <w:jc w:val="center"/>
        <w:rPr>
          <w:sz w:val="24"/>
          <w:highlight w:val="none"/>
        </w:rPr>
      </w:pPr>
      <w:r>
        <w:rPr>
          <w:sz w:val="24"/>
          <w:highlight w:val="none"/>
        </w:rPr>
        <w:t xml:space="preserve">                                  投标人：（单位盖章）</w:t>
      </w:r>
    </w:p>
    <w:p w14:paraId="12485EB1">
      <w:pPr>
        <w:spacing w:line="440" w:lineRule="exact"/>
        <w:ind w:right="120"/>
        <w:jc w:val="right"/>
        <w:rPr>
          <w:sz w:val="24"/>
          <w:highlight w:val="none"/>
        </w:rPr>
      </w:pPr>
      <w:r>
        <w:rPr>
          <w:sz w:val="24"/>
          <w:highlight w:val="none"/>
        </w:rPr>
        <w:t>法定代表人或代理人：（签字或盖章）</w:t>
      </w:r>
    </w:p>
    <w:p w14:paraId="66FE07B6">
      <w:pPr>
        <w:spacing w:line="440" w:lineRule="exact"/>
        <w:ind w:right="480" w:firstLine="5400" w:firstLineChars="2250"/>
        <w:rPr>
          <w:sz w:val="24"/>
          <w:highlight w:val="none"/>
        </w:rPr>
      </w:pPr>
      <w:r>
        <w:rPr>
          <w:sz w:val="24"/>
          <w:highlight w:val="none"/>
        </w:rPr>
        <w:t>日期：         年  月  日</w:t>
      </w:r>
    </w:p>
    <w:p w14:paraId="1A9B884C">
      <w:pPr>
        <w:spacing w:line="440" w:lineRule="exact"/>
        <w:rPr>
          <w:b/>
          <w:sz w:val="28"/>
          <w:szCs w:val="28"/>
          <w:highlight w:val="none"/>
        </w:rPr>
      </w:pPr>
    </w:p>
    <w:p w14:paraId="7B2A84D4">
      <w:pPr>
        <w:spacing w:line="440" w:lineRule="exact"/>
        <w:rPr>
          <w:b/>
          <w:sz w:val="28"/>
          <w:szCs w:val="28"/>
          <w:highlight w:val="none"/>
        </w:rPr>
      </w:pPr>
    </w:p>
    <w:p w14:paraId="1EC96A76">
      <w:pPr>
        <w:spacing w:line="440" w:lineRule="exact"/>
        <w:rPr>
          <w:b/>
          <w:sz w:val="28"/>
          <w:szCs w:val="28"/>
          <w:highlight w:val="none"/>
        </w:rPr>
      </w:pPr>
    </w:p>
    <w:p w14:paraId="261A659D">
      <w:pPr>
        <w:spacing w:line="440" w:lineRule="exact"/>
        <w:jc w:val="left"/>
        <w:rPr>
          <w:b/>
          <w:sz w:val="28"/>
          <w:szCs w:val="28"/>
          <w:highlight w:val="none"/>
        </w:rPr>
      </w:pPr>
    </w:p>
    <w:p w14:paraId="04472BE3">
      <w:pPr>
        <w:jc w:val="both"/>
        <w:rPr>
          <w:b/>
          <w:sz w:val="28"/>
          <w:szCs w:val="28"/>
          <w:highlight w:val="none"/>
        </w:rPr>
      </w:pPr>
    </w:p>
    <w:p w14:paraId="3FB366F3">
      <w:pPr>
        <w:jc w:val="center"/>
        <w:rPr>
          <w:rFonts w:hint="eastAsia" w:ascii="宋体" w:hAnsi="宋体" w:eastAsia="宋体" w:cs="宋体"/>
          <w:color w:val="auto"/>
          <w:spacing w:val="7"/>
          <w:sz w:val="35"/>
          <w:szCs w:val="35"/>
          <w:highlight w:val="none"/>
          <w:lang w:val="en-US" w:eastAsia="zh-CN"/>
          <w14:textOutline w14:w="6584" w14:cap="flat" w14:cmpd="sng">
            <w14:solidFill>
              <w14:srgbClr w14:val="000000"/>
            </w14:solidFill>
            <w14:prstDash w14:val="solid"/>
            <w14:miter w14:val="0"/>
          </w14:textOutline>
        </w:rPr>
      </w:pPr>
      <w:r>
        <w:rPr>
          <w:rFonts w:hint="eastAsia" w:ascii="宋体" w:hAnsi="宋体" w:eastAsia="宋体" w:cs="宋体"/>
          <w:color w:val="auto"/>
          <w:spacing w:val="7"/>
          <w:sz w:val="35"/>
          <w:szCs w:val="35"/>
          <w:highlight w:val="none"/>
          <w:lang w:val="en-US" w:eastAsia="zh-CN"/>
          <w14:textOutline w14:w="6584" w14:cap="flat" w14:cmpd="sng">
            <w14:solidFill>
              <w14:srgbClr w14:val="000000"/>
            </w14:solidFill>
            <w14:prstDash w14:val="solid"/>
            <w14:miter w14:val="0"/>
          </w14:textOutline>
        </w:rPr>
        <w:t>分项报价明细表</w:t>
      </w:r>
    </w:p>
    <w:p w14:paraId="09CE723B">
      <w:pPr>
        <w:pStyle w:val="12"/>
        <w:spacing w:before="103" w:line="225" w:lineRule="auto"/>
        <w:rPr>
          <w:spacing w:val="-1"/>
          <w:sz w:val="24"/>
          <w:szCs w:val="24"/>
        </w:rPr>
      </w:pPr>
    </w:p>
    <w:p w14:paraId="5B498CA9">
      <w:pPr>
        <w:pStyle w:val="12"/>
        <w:spacing w:before="103" w:line="225" w:lineRule="auto"/>
        <w:rPr>
          <w:sz w:val="24"/>
          <w:szCs w:val="24"/>
        </w:rPr>
      </w:pPr>
      <w:r>
        <w:rPr>
          <w:spacing w:val="-1"/>
          <w:sz w:val="24"/>
          <w:szCs w:val="24"/>
        </w:rPr>
        <w:t xml:space="preserve">项目名称:                     项目编号:           </w:t>
      </w:r>
      <w:r>
        <w:rPr>
          <w:spacing w:val="-2"/>
          <w:sz w:val="24"/>
          <w:szCs w:val="24"/>
        </w:rPr>
        <w:t xml:space="preserve">      报价单位 ：人民币/元</w:t>
      </w:r>
    </w:p>
    <w:tbl>
      <w:tblPr>
        <w:tblStyle w:val="25"/>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154"/>
        <w:gridCol w:w="838"/>
        <w:gridCol w:w="4264"/>
        <w:gridCol w:w="615"/>
        <w:gridCol w:w="615"/>
        <w:gridCol w:w="615"/>
        <w:gridCol w:w="615"/>
      </w:tblGrid>
      <w:tr w14:paraId="1EFB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B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C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4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29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08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w:t>
            </w:r>
          </w:p>
        </w:tc>
      </w:tr>
      <w:tr w14:paraId="0051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剧本与策划设计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7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剧本与策划设计</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2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1.完成全场景剧情脚本编写。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2.根据内容对玩法进行VR实现可能性，并根据剧本和策划针对VR特性设计相关镜头语言及打通各项制作流程。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内容可包括：六十年代独库公路建设现场、乔尔玛烈士陵园、龟兹古国的镜头转场和体验内容、现代库车市（古龟兹国）场景的体验，需要有完整的体验流程，明确的场景体验说明效果和对应的交互效果说明等。</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7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C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A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FD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A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3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路线设计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路线设计</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C0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根据运营场地设计路线及交互路径（反复调整）。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3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DB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4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9A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2D设定</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场景气氛设定</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79DE7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场景气氛的设定至关重要，它将直接影响用户的沉浸感和体验质量，譬如天山神秘大峡谷场景体验氛围，60年代修建独库公路的场景氛围，乔尔玛烈士陵园的效果，龟兹古国的场景氛围等等。</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2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1D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2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3C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5F43">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人物角色设定</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54B23B">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对所有人物角色进行三视图设定，并描写其性格内容。譬如：库</w:t>
            </w:r>
            <w:r>
              <w:rPr>
                <w:rFonts w:hint="eastAsia" w:ascii="宋体" w:hAnsi="宋体" w:cs="宋体"/>
                <w:i w:val="0"/>
                <w:iCs w:val="0"/>
                <w:color w:val="000000"/>
                <w:kern w:val="0"/>
                <w:sz w:val="21"/>
                <w:szCs w:val="21"/>
                <w:u w:val="none"/>
                <w:lang w:val="en-US" w:eastAsia="zh-CN" w:bidi="ar"/>
              </w:rPr>
              <w:t>车</w:t>
            </w:r>
            <w:r>
              <w:rPr>
                <w:rFonts w:hint="eastAsia" w:ascii="宋体" w:hAnsi="宋体" w:eastAsia="宋体" w:cs="宋体"/>
                <w:i w:val="0"/>
                <w:iCs w:val="0"/>
                <w:color w:val="000000"/>
                <w:kern w:val="0"/>
                <w:sz w:val="21"/>
                <w:szCs w:val="21"/>
                <w:u w:val="none"/>
                <w:lang w:val="en-US" w:eastAsia="zh-CN" w:bidi="ar"/>
              </w:rPr>
              <w:t>导游的设定，龟兹国王绛宾设定等</w:t>
            </w:r>
            <w:r>
              <w:rPr>
                <w:rFonts w:hint="eastAsia" w:ascii="宋体" w:hAnsi="宋体" w:cs="宋体"/>
                <w:i w:val="0"/>
                <w:iCs w:val="0"/>
                <w:color w:val="000000"/>
                <w:kern w:val="0"/>
                <w:sz w:val="21"/>
                <w:szCs w:val="21"/>
                <w:u w:val="none"/>
                <w:lang w:val="en-US" w:eastAsia="zh-CN" w:bidi="ar"/>
              </w:rPr>
              <w:t>。</w:t>
            </w:r>
          </w:p>
          <w:p w14:paraId="40B37A2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不少于</w:t>
            </w:r>
            <w:r>
              <w:rPr>
                <w:rFonts w:hint="eastAsia" w:ascii="宋体" w:hAnsi="宋体" w:eastAsia="宋体" w:cs="宋体"/>
                <w:i w:val="0"/>
                <w:iCs w:val="0"/>
                <w:color w:val="000000"/>
                <w:kern w:val="0"/>
                <w:sz w:val="21"/>
                <w:szCs w:val="21"/>
                <w:u w:val="none"/>
                <w:lang w:val="en-US" w:eastAsia="zh-CN" w:bidi="ar"/>
              </w:rPr>
              <w:t>15个角色的3视图Apose设定图。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F2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7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48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DB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美术资产</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3D角色类</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CA3AC7">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主要人物及其余出现NPC，不少于15个人物建模。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角色模型流程包含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1.雕刻建模（高模、中模）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2.拓扑低模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3.烘焙贴图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4.LOD多层级模型设置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5.材质设置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F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3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54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A0D2">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C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道具</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F3C0A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道具制作:不少于50套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角色模型流程包含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1.雕刻建模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2.拓扑低模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3.烘焙贴图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4.LOD多层级模型设置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5.材质设置</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4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DD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3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AF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9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09D3">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00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地编场景美术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（1.场景模型建模；2.场景搭建；3.设置场景特效（粒子特效）；4.设置摄像机、光照环境；5.场景烘焙渲染）</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23FE6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场景模型建模：首先，根据设计蓝图，利用三维建模软件进行场景的基础模型构建，包括地形、建筑、植被等元素的精细雕刻，确保每个模型都符合项目要求的比例与细节精度。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场景搭建：在模型完成后，进行场景的布局与组合，合理安排各个元素的位置与朝向，营造符合故事背景的空间关系，确保场景的连贯性和视觉美感。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设置场景特效（粒子特效）：为了增强场景的真实感和动感，添加烟雾、水花、火焰等粒子特效，通过细致调节粒子的属性，如速度、颜色、透明度等，使特效与场景完美融合，提升视觉冲击力。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设置摄像机、光照环境：根据剧情需要，设置摄像机的路径与视角，确保用户能体验到最佳的观察角度。同时，设计光照方案，包括自然光与人造光源的布置，利用光影效果营造氛围，增强场景的层次感和深度。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场景烘焙渲染：对场景进行烘焙处理，将光照、阴影等信息固化到模型中，确保最终输出的场景画面细腻、色彩丰富，达到预期的视觉效果。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不少于15个核心场景建模与制作。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4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5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5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E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B105">
            <w:pPr>
              <w:jc w:val="center"/>
              <w:rPr>
                <w:rFonts w:hint="eastAsia" w:ascii="宋体" w:hAnsi="宋体" w:eastAsia="宋体" w:cs="宋体"/>
                <w:i w:val="0"/>
                <w:iCs w:val="0"/>
                <w:color w:val="000000"/>
                <w:sz w:val="21"/>
                <w:szCs w:val="21"/>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B2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特效制作</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F9E5C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ui特效设计与制作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触及ui所产生的动效和特效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B0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2B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53DBD1F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6A18D43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933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8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95E12">
            <w:pPr>
              <w:jc w:val="center"/>
              <w:rPr>
                <w:rFonts w:hint="eastAsia" w:ascii="宋体" w:hAnsi="宋体" w:eastAsia="宋体" w:cs="宋体"/>
                <w:i w:val="0"/>
                <w:iCs w:val="0"/>
                <w:color w:val="000000"/>
                <w:sz w:val="21"/>
                <w:szCs w:val="21"/>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8077">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DE5DC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角色玩法特效设计与制作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色移动与环境产生的特效。角色特效在项目中起到了至关重要的作用，通过精细的建模和动画技术，重现了古代龟兹人和60年代修路的战士的形象。特效中融入了龟兹古国和现代新疆文化的独特元素，如龟兹的纹理等，使角色更加生动、逼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EC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31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063A4B2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6926F42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4C5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7F5D">
            <w:pPr>
              <w:jc w:val="center"/>
              <w:rPr>
                <w:rFonts w:hint="eastAsia" w:ascii="宋体" w:hAnsi="宋体" w:eastAsia="宋体" w:cs="宋体"/>
                <w:i w:val="0"/>
                <w:iCs w:val="0"/>
                <w:color w:val="000000"/>
                <w:sz w:val="21"/>
                <w:szCs w:val="21"/>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015A">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4C303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破碎特效设计与制作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物理模拟类的特效。破碎特效在项目中用于模拟古代建筑或文物的破坏场景，如道路坍塌、滚石坠落等。破碎特效既能展示当时修路的艰辛和不易，又能针对古龟兹国的繁华做良好的衬托。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B02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858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4A9C6CC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A2E56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A40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3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3DF7">
            <w:pPr>
              <w:jc w:val="center"/>
              <w:rPr>
                <w:rFonts w:hint="eastAsia" w:ascii="宋体" w:hAnsi="宋体" w:eastAsia="宋体" w:cs="宋体"/>
                <w:i w:val="0"/>
                <w:iCs w:val="0"/>
                <w:color w:val="000000"/>
                <w:sz w:val="21"/>
                <w:szCs w:val="21"/>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B1BC">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4BDA5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后期特效设计与制作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作用于屏幕上的特效。后期特效在项目中起到了画龙点睛的作用，通过调色、合成等技术，增强了整体画面的视觉效果。特效师们利用后期软件对画面进行精细处理，如添加光影效果、调整色彩饱和度等，使画面更加生动、立体。</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884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A4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74B8D7A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23F44F0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B31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5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4539">
            <w:pPr>
              <w:jc w:val="center"/>
              <w:rPr>
                <w:rFonts w:hint="eastAsia" w:ascii="宋体" w:hAnsi="宋体" w:eastAsia="宋体" w:cs="宋体"/>
                <w:i w:val="0"/>
                <w:iCs w:val="0"/>
                <w:color w:val="000000"/>
                <w:sz w:val="21"/>
                <w:szCs w:val="21"/>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47CE">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836D8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场景特效设计与制作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表达效果的特效。场景特效是项目中最为关键的部分之一，通过3D建模、渲染等技术，重现了古代龟兹国的辉煌，烈士陵园的肃穆，新疆独库公路优美的风景，以及现代库车的繁华热闹场景。特效师们精心设计了宫殿、城墙等场景中的氛围特效，以及河流、雾气、雪等自然景观特效，使整体场景氛围更加细腻和生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C1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1DC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2C717B6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05EF192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82A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4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7C69">
            <w:pPr>
              <w:jc w:val="center"/>
              <w:rPr>
                <w:rFonts w:hint="eastAsia" w:ascii="宋体" w:hAnsi="宋体" w:eastAsia="宋体" w:cs="宋体"/>
                <w:i w:val="0"/>
                <w:iCs w:val="0"/>
                <w:color w:val="000000"/>
                <w:sz w:val="21"/>
                <w:szCs w:val="21"/>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51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UI</w:t>
            </w:r>
          </w:p>
        </w:tc>
        <w:tc>
          <w:tcPr>
            <w:tcW w:w="42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EFA5D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Ui的设计与制作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贯穿游戏中的UI界面。界面中融合了西域文化、龟兹古国文化，及现代新疆文化的元素，如纹理、几何图案等，使整体风格与项目主题保持一致。</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00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19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vMerge w:val="restart"/>
            <w:tcBorders>
              <w:top w:val="single" w:color="000000" w:sz="4" w:space="0"/>
              <w:left w:val="single" w:color="000000" w:sz="4" w:space="0"/>
              <w:right w:val="single" w:color="000000" w:sz="4" w:space="0"/>
            </w:tcBorders>
            <w:shd w:val="clear" w:color="auto" w:fill="auto"/>
            <w:vAlign w:val="center"/>
          </w:tcPr>
          <w:p w14:paraId="4025B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vMerge w:val="restart"/>
            <w:tcBorders>
              <w:top w:val="single" w:color="000000" w:sz="4" w:space="0"/>
              <w:left w:val="single" w:color="000000" w:sz="4" w:space="0"/>
              <w:right w:val="single" w:color="000000" w:sz="4" w:space="0"/>
            </w:tcBorders>
            <w:shd w:val="clear" w:color="auto" w:fill="auto"/>
            <w:vAlign w:val="center"/>
          </w:tcPr>
          <w:p w14:paraId="4287ED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1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C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B105">
            <w:pPr>
              <w:jc w:val="center"/>
              <w:rPr>
                <w:rFonts w:hint="eastAsia" w:ascii="宋体" w:hAnsi="宋体" w:eastAsia="宋体" w:cs="宋体"/>
                <w:i w:val="0"/>
                <w:iCs w:val="0"/>
                <w:color w:val="000000"/>
                <w:sz w:val="21"/>
                <w:szCs w:val="21"/>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4EE4">
            <w:pPr>
              <w:jc w:val="center"/>
              <w:rPr>
                <w:rFonts w:hint="eastAsia" w:ascii="宋体" w:hAnsi="宋体" w:eastAsia="宋体" w:cs="宋体"/>
                <w:i w:val="0"/>
                <w:iCs w:val="0"/>
                <w:color w:val="000000"/>
                <w:sz w:val="21"/>
                <w:szCs w:val="21"/>
                <w:u w:val="none"/>
              </w:rPr>
            </w:pPr>
          </w:p>
        </w:tc>
        <w:tc>
          <w:tcPr>
            <w:tcW w:w="42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0AFDA8">
            <w:pPr>
              <w:jc w:val="both"/>
              <w:rPr>
                <w:rFonts w:hint="eastAsia" w:ascii="宋体" w:hAnsi="宋体" w:eastAsia="宋体" w:cs="宋体"/>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D41F">
            <w:pPr>
              <w:jc w:val="center"/>
              <w:rPr>
                <w:rFonts w:hint="eastAsia" w:ascii="宋体" w:hAnsi="宋体" w:eastAsia="宋体" w:cs="宋体"/>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EFD9">
            <w:pPr>
              <w:jc w:val="center"/>
              <w:rPr>
                <w:rFonts w:hint="eastAsia" w:ascii="宋体" w:hAnsi="宋体" w:eastAsia="宋体" w:cs="宋体"/>
                <w:i w:val="0"/>
                <w:iCs w:val="0"/>
                <w:color w:val="000000"/>
                <w:sz w:val="21"/>
                <w:szCs w:val="21"/>
                <w:u w:val="none"/>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14:paraId="0C97E07C">
            <w:pPr>
              <w:jc w:val="center"/>
              <w:rPr>
                <w:rFonts w:hint="eastAsia" w:ascii="宋体" w:hAnsi="宋体" w:eastAsia="宋体" w:cs="宋体"/>
                <w:i w:val="0"/>
                <w:iCs w:val="0"/>
                <w:color w:val="000000"/>
                <w:sz w:val="21"/>
                <w:szCs w:val="21"/>
                <w:u w:val="none"/>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14:paraId="14C9F8F9">
            <w:pPr>
              <w:jc w:val="center"/>
              <w:rPr>
                <w:rFonts w:hint="eastAsia" w:ascii="宋体" w:hAnsi="宋体" w:eastAsia="宋体" w:cs="宋体"/>
                <w:i w:val="0"/>
                <w:iCs w:val="0"/>
                <w:color w:val="000000"/>
                <w:sz w:val="21"/>
                <w:szCs w:val="21"/>
                <w:u w:val="none"/>
              </w:rPr>
            </w:pPr>
          </w:p>
        </w:tc>
      </w:tr>
      <w:tr w14:paraId="7885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8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CB63">
            <w:pPr>
              <w:jc w:val="center"/>
              <w:rPr>
                <w:rFonts w:hint="eastAsia" w:ascii="宋体" w:hAnsi="宋体" w:eastAsia="宋体" w:cs="宋体"/>
                <w:i w:val="0"/>
                <w:iCs w:val="0"/>
                <w:color w:val="000000"/>
                <w:sz w:val="21"/>
                <w:szCs w:val="21"/>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9D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动画</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01D6D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主要角色动画设计与制作：不少于10套。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租用动捕棚及动捕演员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整理动捕数据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搭建骨骼，进行骨骼绑定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蒙皮设置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动画制作调优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2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B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D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9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3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B978">
            <w:pPr>
              <w:jc w:val="center"/>
              <w:rPr>
                <w:rFonts w:hint="eastAsia" w:ascii="宋体" w:hAnsi="宋体" w:eastAsia="宋体" w:cs="宋体"/>
                <w:i w:val="0"/>
                <w:iCs w:val="0"/>
                <w:color w:val="000000"/>
                <w:sz w:val="21"/>
                <w:szCs w:val="21"/>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2562">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75D9F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次要角色及其它动画设计与制作：不少于10套。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租用动捕棚及动捕演员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整理动捕数据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搭建骨骼，进行骨骼绑定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蒙皮设置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动画制作调优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A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4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F6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4F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C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98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0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程序框架搭建</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B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为内容搭建整个程序大空间的实现框架（服务器，客户端，数据同步等）</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C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3B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E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9C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9888">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E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场景游览交互制作</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3B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根据编剧及策划内容完成所有场景交互体验的程序制作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6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8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D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3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D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D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9E4A">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F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玩法交互实制作</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3B290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根据编剧及策划的内容完成所有交互玩法的程序端制作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E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9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F0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6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C304">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E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控制端及服务器</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A7E3E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控制端分组，拉起，关闭等运维控制端工具，服务器信息分发同步房间创建等信息控制及同步。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2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7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8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FF6C">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C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BUG调试修改</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6555E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程序启动的bug会反复进行调试需要预留至少一个月的时间来进行反复调整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7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A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24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B511">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C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w:t>
            </w: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FCFEE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包括：打包测试、内部测试修改、封闭测试，会集中对内容包体进行3轮以上测试，来保证内容持续稳定运行</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C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2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AE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E0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B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0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技术美术</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7531">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CF694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呈现最好的视觉，要不断的优化平衡，通过编写一定的底层策略实现最好的呈现。对画面的稳定，帧率等进行优化调整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0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71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B3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1C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场地内容适配测试</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377">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7871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场地物理空间与内容调试</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DC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7F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vMerge w:val="restart"/>
            <w:tcBorders>
              <w:top w:val="single" w:color="000000" w:sz="4" w:space="0"/>
              <w:left w:val="single" w:color="000000" w:sz="4" w:space="0"/>
              <w:right w:val="single" w:color="000000" w:sz="4" w:space="0"/>
            </w:tcBorders>
            <w:shd w:val="clear" w:color="auto" w:fill="auto"/>
            <w:vAlign w:val="center"/>
          </w:tcPr>
          <w:p w14:paraId="150AA9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vMerge w:val="restart"/>
            <w:tcBorders>
              <w:top w:val="single" w:color="000000" w:sz="4" w:space="0"/>
              <w:left w:val="single" w:color="000000" w:sz="4" w:space="0"/>
              <w:right w:val="single" w:color="000000" w:sz="4" w:space="0"/>
            </w:tcBorders>
            <w:shd w:val="clear" w:color="auto" w:fill="auto"/>
            <w:vAlign w:val="center"/>
          </w:tcPr>
          <w:p w14:paraId="6698BB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68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2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C917">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CF10">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D8985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设备与场地内容调试</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5164">
            <w:pPr>
              <w:jc w:val="center"/>
              <w:rPr>
                <w:rFonts w:hint="eastAsia" w:ascii="宋体" w:hAnsi="宋体" w:eastAsia="宋体" w:cs="宋体"/>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3DCE">
            <w:pPr>
              <w:jc w:val="center"/>
              <w:rPr>
                <w:rFonts w:hint="eastAsia" w:ascii="宋体" w:hAnsi="宋体" w:eastAsia="宋体" w:cs="宋体"/>
                <w:i w:val="0"/>
                <w:iCs w:val="0"/>
                <w:color w:val="000000"/>
                <w:sz w:val="21"/>
                <w:szCs w:val="21"/>
                <w:u w:val="none"/>
              </w:rPr>
            </w:pPr>
          </w:p>
        </w:tc>
        <w:tc>
          <w:tcPr>
            <w:tcW w:w="615" w:type="dxa"/>
            <w:vMerge w:val="continue"/>
            <w:tcBorders>
              <w:left w:val="single" w:color="000000" w:sz="4" w:space="0"/>
              <w:right w:val="single" w:color="000000" w:sz="4" w:space="0"/>
            </w:tcBorders>
            <w:shd w:val="clear" w:color="auto" w:fill="auto"/>
            <w:vAlign w:val="center"/>
          </w:tcPr>
          <w:p w14:paraId="5CB7E4A5">
            <w:pPr>
              <w:jc w:val="center"/>
              <w:rPr>
                <w:rFonts w:hint="eastAsia" w:ascii="宋体" w:hAnsi="宋体" w:eastAsia="宋体" w:cs="宋体"/>
                <w:i w:val="0"/>
                <w:iCs w:val="0"/>
                <w:color w:val="000000"/>
                <w:sz w:val="21"/>
                <w:szCs w:val="21"/>
                <w:u w:val="none"/>
              </w:rPr>
            </w:pPr>
          </w:p>
        </w:tc>
        <w:tc>
          <w:tcPr>
            <w:tcW w:w="615" w:type="dxa"/>
            <w:vMerge w:val="continue"/>
            <w:tcBorders>
              <w:left w:val="single" w:color="000000" w:sz="4" w:space="0"/>
              <w:right w:val="single" w:color="000000" w:sz="4" w:space="0"/>
            </w:tcBorders>
            <w:shd w:val="clear" w:color="auto" w:fill="auto"/>
            <w:vAlign w:val="center"/>
          </w:tcPr>
          <w:p w14:paraId="341A5A7E">
            <w:pPr>
              <w:jc w:val="center"/>
              <w:rPr>
                <w:rFonts w:hint="eastAsia" w:ascii="宋体" w:hAnsi="宋体" w:eastAsia="宋体" w:cs="宋体"/>
                <w:i w:val="0"/>
                <w:iCs w:val="0"/>
                <w:color w:val="000000"/>
                <w:sz w:val="21"/>
                <w:szCs w:val="21"/>
                <w:u w:val="none"/>
              </w:rPr>
            </w:pPr>
          </w:p>
        </w:tc>
      </w:tr>
      <w:tr w14:paraId="0E02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F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1C66">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74F9">
            <w:pPr>
              <w:jc w:val="cente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11669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内容管理系统对接</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73D8">
            <w:pPr>
              <w:jc w:val="center"/>
              <w:rPr>
                <w:rFonts w:hint="eastAsia" w:ascii="宋体" w:hAnsi="宋体" w:eastAsia="宋体" w:cs="宋体"/>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FC72">
            <w:pPr>
              <w:jc w:val="center"/>
              <w:rPr>
                <w:rFonts w:hint="eastAsia" w:ascii="宋体" w:hAnsi="宋体" w:eastAsia="宋体" w:cs="宋体"/>
                <w:i w:val="0"/>
                <w:iCs w:val="0"/>
                <w:color w:val="000000"/>
                <w:sz w:val="21"/>
                <w:szCs w:val="21"/>
                <w:u w:val="none"/>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14:paraId="5F1E97B6">
            <w:pPr>
              <w:jc w:val="center"/>
              <w:rPr>
                <w:rFonts w:hint="eastAsia" w:ascii="宋体" w:hAnsi="宋体" w:eastAsia="宋体" w:cs="宋体"/>
                <w:i w:val="0"/>
                <w:iCs w:val="0"/>
                <w:color w:val="000000"/>
                <w:sz w:val="21"/>
                <w:szCs w:val="21"/>
                <w:u w:val="none"/>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14:paraId="77A43338">
            <w:pPr>
              <w:jc w:val="center"/>
              <w:rPr>
                <w:rFonts w:hint="eastAsia" w:ascii="宋体" w:hAnsi="宋体" w:eastAsia="宋体" w:cs="宋体"/>
                <w:i w:val="0"/>
                <w:iCs w:val="0"/>
                <w:color w:val="000000"/>
                <w:sz w:val="21"/>
                <w:szCs w:val="21"/>
                <w:u w:val="none"/>
              </w:rPr>
            </w:pPr>
          </w:p>
        </w:tc>
      </w:tr>
      <w:tr w14:paraId="5120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6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75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配音</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97AB">
            <w:pP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FFDA9C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针对于台词进行真人的配音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F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1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E1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FC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1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2B3D">
            <w:pPr>
              <w:jc w:val="center"/>
              <w:rPr>
                <w:rFonts w:hint="eastAsia" w:ascii="宋体" w:hAnsi="宋体" w:eastAsia="宋体" w:cs="宋体"/>
                <w:i w:val="0"/>
                <w:iCs w:val="0"/>
                <w:color w:val="000000"/>
                <w:sz w:val="21"/>
                <w:szCs w:val="21"/>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934">
            <w:pPr>
              <w:rPr>
                <w:rFonts w:hint="eastAsia" w:ascii="宋体" w:hAnsi="宋体" w:eastAsia="宋体" w:cs="宋体"/>
                <w:i w:val="0"/>
                <w:iCs w:val="0"/>
                <w:color w:val="000000"/>
                <w:sz w:val="21"/>
                <w:szCs w:val="21"/>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10521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针对场景进行的有背景音乐，氛围音乐，音效，交互音效等制作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E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A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E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FD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C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头显眼镜</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4117">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9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 12GB RAM LPDDR5，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闪存 UFS3.1 256GB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 Wi-Fi 7,  802.11 a/b/g/n/ac/ax/be, 2.4GHz/5GHz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 2.56" x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 总分辨率 4320x2160，单眼分辨率2160x2160，1200 PPI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 72/90Hz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瞳距调节 58~72mm 电机无级调节   9轴传感器 实现头部精准3DoF和6DoF，1KHz采样频率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四目单色鱼眼 四目单色鱼眼相机 (640 x 480 @60Hz x 4)，支持6Dof定位 双目RGB摄像头 双目RGB相机（32M x 2 ），支持MR透视能力 MR深度摄像头 iTof相机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头盔  Inside-out头部6DoF，手柄6DoF宽频触感手柄x2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手势识别  双手26自由度追踪，支持4种手势模型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 最高支持45W充电 电池容量5700mAh</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4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5D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1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93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B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1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5口POE交换机</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D043">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下行端口速率千兆 支持云管理 POE供电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4个千兆电口（POE/POE+） 支持端口状态显示、端口流量统计、POE点端口输出功率状态、端口双工MAC容量8K单口POE端口最大输出功率30W</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D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6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B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4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32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F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5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无线吸顶AP</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FAF2">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8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无线协议：WiFi6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双频3000M管理方式：WEB页面，远程管理，云端管理，APP管理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WAN接入口：千兆网口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频宽：160MHZ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无线速率3000M固定端口 支持POE供电 传输协议：支持5GHz 支持2.4GHz 工作频段：2.4GHZ 5GHz 支持本地12VDC供电</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2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F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A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8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EF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2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7CAB">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3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内存：256MB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Flash：16MB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A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8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4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E3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8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3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监控POE交换机</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FA23">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7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16千兆电口2千兆光电 VLAN管理2层交换机</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8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D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0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F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E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筒型摄像机</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07E1">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最低照度: 彩色：0.005 Lux @（F1.2，AGC ON），0 Lux with 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 120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焦距&amp;视场角: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 mm，水平视场角：97°，垂直视场角：52.3°，对角视场角：114.3°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mm，水平视场角：78.8°，垂直视场角:40.5°，对角视场角：93.9°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mm，水平视场角：49.1°，垂直视场角：26.3°，对角视场角：57.2°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mm，水平视场角：37.5°，垂直视场角：20.7°，对角视场角：43.3°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mm，水平视场角：23.4°，垂直视场角：13.3°，对角视场角：26.88°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补光灯类型: 红外灯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补光距离: 最远可达30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红外波长范围: 850 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防补光过曝: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最大图像尺寸: 2688 × 1520（默认2560 × 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视频压缩标准: 主码流：H.265/H.264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网络存储: 支持NAS（NFS，SMB/CIFS均支持）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 1个内置麦克风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 1个RJ45 10 M/100 M自适应以太网口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启动和工作温湿度: -30 ℃~60 ℃，湿度小于95%（无凝结）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 DC：12 V ± 25%，支持防反接保护；PoE：802.3af，Class 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电流及功耗: DC：12 V，0.41 A，最大功耗：5 W；PoE：802.3af，36 V~57 V，0.18 A~0.11 A，最大功耗：6.5 W</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C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7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5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0C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A2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5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D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NVR录像机</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6030">
            <w:pPr>
              <w:jc w:val="cente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A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2U标准机架式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2个HDMI，2个VGA,HDMI+VGA组内同源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8盘位，可满配8T硬盘，配置2块SATA硬盘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2个千兆网口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2个USB2.0接口、1个USB3.0接口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1个eSATA接口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支持RAID0、1、5、10，支持全局热备盘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输入带宽：128M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8路H.264、H.265混合接入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7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3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B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50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0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D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宣传视频制作</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02FF">
            <w:pP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0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分辨率≥2k，总时长≥2 分钟，VR内容剪辑≥1分30秒</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D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9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1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5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CB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宣传投放</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3A9B">
            <w:pPr>
              <w:jc w:val="center"/>
              <w:rPr>
                <w:rFonts w:hint="eastAsia" w:ascii="宋体" w:hAnsi="宋体" w:eastAsia="宋体" w:cs="宋体"/>
                <w:i w:val="0"/>
                <w:iCs w:val="0"/>
                <w:color w:val="000000"/>
                <w:sz w:val="24"/>
                <w:szCs w:val="24"/>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E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≥10家主流媒体的宣传报道</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E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5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BD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8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4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7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美学设计及装饰装修</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AA6E">
            <w:pPr>
              <w:rPr>
                <w:rFonts w:hint="eastAsia" w:ascii="宋体" w:hAnsi="宋体" w:eastAsia="宋体" w:cs="宋体"/>
                <w:i w:val="0"/>
                <w:iCs w:val="0"/>
                <w:color w:val="000000"/>
                <w:sz w:val="22"/>
                <w:szCs w:val="22"/>
                <w:u w:val="none"/>
              </w:rPr>
            </w:pPr>
          </w:p>
        </w:tc>
        <w:tc>
          <w:tcPr>
            <w:tcW w:w="4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5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设计装修整体面积≤1000㎡，包括：装修设计、装修实施(≤300㎡的VR体验空间、休息等待区、设备佩戴区、办公室、服务区等),设计装修不包含空调及消防</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5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B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7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67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26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7ACF">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总价（元）</w:t>
            </w:r>
          </w:p>
        </w:tc>
        <w:tc>
          <w:tcPr>
            <w:tcW w:w="67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D0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F6F3189">
      <w:pPr>
        <w:spacing w:line="440" w:lineRule="exact"/>
        <w:ind w:firstLine="241" w:firstLineChars="100"/>
        <w:rPr>
          <w:b/>
          <w:bCs/>
          <w:sz w:val="24"/>
          <w:highlight w:val="none"/>
        </w:rPr>
      </w:pPr>
    </w:p>
    <w:p w14:paraId="0D11011D">
      <w:pPr>
        <w:spacing w:line="440" w:lineRule="exact"/>
        <w:ind w:firstLine="241" w:firstLineChars="100"/>
        <w:rPr>
          <w:sz w:val="24"/>
          <w:highlight w:val="none"/>
        </w:rPr>
      </w:pPr>
      <w:r>
        <w:rPr>
          <w:b/>
          <w:bCs/>
          <w:sz w:val="24"/>
          <w:highlight w:val="none"/>
        </w:rPr>
        <w:t>注：</w:t>
      </w:r>
      <w:r>
        <w:rPr>
          <w:sz w:val="24"/>
          <w:highlight w:val="none"/>
        </w:rPr>
        <w:t>1、本表投标总报价应与《投标报价一览表》中投标总报价相符。</w:t>
      </w:r>
    </w:p>
    <w:p w14:paraId="6A32699D">
      <w:pPr>
        <w:pStyle w:val="12"/>
        <w:spacing w:before="79" w:line="183" w:lineRule="auto"/>
        <w:ind w:left="490"/>
        <w:rPr>
          <w:spacing w:val="-5"/>
          <w:sz w:val="24"/>
          <w:szCs w:val="24"/>
        </w:rPr>
      </w:pPr>
      <w:r>
        <w:rPr>
          <w:spacing w:val="-5"/>
          <w:sz w:val="24"/>
          <w:szCs w:val="24"/>
        </w:rPr>
        <w:t>2</w:t>
      </w:r>
      <w:r>
        <w:rPr>
          <w:rFonts w:hint="eastAsia"/>
          <w:spacing w:val="-5"/>
          <w:sz w:val="24"/>
          <w:szCs w:val="24"/>
          <w:lang w:eastAsia="zh-CN"/>
        </w:rPr>
        <w:t>、</w:t>
      </w:r>
      <w:r>
        <w:rPr>
          <w:spacing w:val="-5"/>
          <w:sz w:val="24"/>
          <w:szCs w:val="24"/>
        </w:rPr>
        <w:t>上述各项的详细分项报价 ，可另页描述。</w:t>
      </w:r>
    </w:p>
    <w:p w14:paraId="78C827C3">
      <w:pPr>
        <w:pStyle w:val="12"/>
        <w:spacing w:before="79" w:line="183" w:lineRule="auto"/>
        <w:ind w:left="490"/>
        <w:rPr>
          <w:rFonts w:hint="eastAsia" w:eastAsia="宋体"/>
          <w:spacing w:val="-5"/>
          <w:sz w:val="24"/>
          <w:szCs w:val="24"/>
          <w:lang w:val="en-US" w:eastAsia="zh-CN"/>
        </w:rPr>
      </w:pPr>
      <w:r>
        <w:rPr>
          <w:rFonts w:hint="eastAsia"/>
          <w:spacing w:val="-5"/>
          <w:sz w:val="24"/>
          <w:szCs w:val="24"/>
          <w:lang w:val="en-US" w:eastAsia="zh-CN"/>
        </w:rPr>
        <w:t>3、以上为全过程项目服务内容。</w:t>
      </w:r>
    </w:p>
    <w:p w14:paraId="1EDEA69E">
      <w:pPr>
        <w:spacing w:line="440" w:lineRule="exact"/>
        <w:jc w:val="right"/>
        <w:rPr>
          <w:rFonts w:hint="eastAsia"/>
          <w:sz w:val="24"/>
          <w:highlight w:val="none"/>
        </w:rPr>
      </w:pPr>
      <w:r>
        <w:rPr>
          <w:rFonts w:hint="eastAsia"/>
          <w:sz w:val="24"/>
          <w:highlight w:val="none"/>
        </w:rPr>
        <w:t xml:space="preserve">     </w:t>
      </w:r>
    </w:p>
    <w:p w14:paraId="7AA35F30">
      <w:pPr>
        <w:spacing w:line="440" w:lineRule="exact"/>
        <w:jc w:val="right"/>
        <w:rPr>
          <w:rFonts w:hint="eastAsia"/>
          <w:sz w:val="24"/>
          <w:highlight w:val="none"/>
        </w:rPr>
      </w:pPr>
    </w:p>
    <w:p w14:paraId="50EC7C8B">
      <w:pPr>
        <w:spacing w:line="440" w:lineRule="exact"/>
        <w:jc w:val="right"/>
        <w:rPr>
          <w:sz w:val="24"/>
          <w:highlight w:val="none"/>
        </w:rPr>
      </w:pPr>
      <w:r>
        <w:rPr>
          <w:sz w:val="24"/>
          <w:highlight w:val="none"/>
        </w:rPr>
        <w:t>投标人法定代表人或代理人（盖章或签字）：</w:t>
      </w:r>
    </w:p>
    <w:p w14:paraId="1D57AFB0">
      <w:pPr>
        <w:wordWrap w:val="0"/>
        <w:spacing w:line="440" w:lineRule="exact"/>
        <w:ind w:firstLine="240" w:firstLineChars="100"/>
        <w:jc w:val="right"/>
        <w:rPr>
          <w:sz w:val="24"/>
          <w:highlight w:val="none"/>
        </w:rPr>
      </w:pPr>
      <w:r>
        <w:rPr>
          <w:sz w:val="24"/>
          <w:highlight w:val="none"/>
        </w:rPr>
        <w:t xml:space="preserve">投标人盖章：                           </w:t>
      </w:r>
    </w:p>
    <w:p w14:paraId="5F5B220C">
      <w:pPr>
        <w:rPr>
          <w:b/>
          <w:sz w:val="28"/>
          <w:szCs w:val="28"/>
          <w:highlight w:val="none"/>
        </w:rPr>
      </w:pPr>
      <w:r>
        <w:rPr>
          <w:sz w:val="24"/>
          <w:highlight w:val="none"/>
        </w:rPr>
        <w:t xml:space="preserve">                                                            年   月   日</w:t>
      </w:r>
    </w:p>
    <w:p w14:paraId="214C3121">
      <w:pPr>
        <w:rPr>
          <w:b/>
          <w:sz w:val="28"/>
          <w:szCs w:val="28"/>
          <w:highlight w:val="none"/>
        </w:rPr>
      </w:pPr>
      <w:r>
        <w:rPr>
          <w:b/>
          <w:sz w:val="28"/>
          <w:szCs w:val="28"/>
          <w:highlight w:val="none"/>
        </w:rPr>
        <w:br w:type="page"/>
      </w:r>
    </w:p>
    <w:p w14:paraId="24A4CB18">
      <w:pPr>
        <w:wordWrap w:val="0"/>
        <w:spacing w:line="440" w:lineRule="exact"/>
        <w:jc w:val="left"/>
        <w:rPr>
          <w:sz w:val="24"/>
          <w:highlight w:val="none"/>
        </w:rPr>
      </w:pPr>
      <w:r>
        <w:rPr>
          <w:b/>
          <w:sz w:val="28"/>
          <w:szCs w:val="28"/>
          <w:highlight w:val="none"/>
        </w:rPr>
        <w:t>附表</w:t>
      </w:r>
      <w:r>
        <w:rPr>
          <w:rFonts w:hint="eastAsia"/>
          <w:b/>
          <w:sz w:val="28"/>
          <w:szCs w:val="28"/>
          <w:highlight w:val="none"/>
          <w:lang w:eastAsia="zh-CN"/>
        </w:rPr>
        <w:t>四</w:t>
      </w:r>
      <w:r>
        <w:rPr>
          <w:b/>
          <w:sz w:val="28"/>
          <w:szCs w:val="28"/>
          <w:highlight w:val="none"/>
        </w:rPr>
        <w:t>：</w:t>
      </w:r>
    </w:p>
    <w:p w14:paraId="37808F23">
      <w:pPr>
        <w:spacing w:line="440" w:lineRule="exact"/>
        <w:jc w:val="center"/>
        <w:rPr>
          <w:b/>
          <w:sz w:val="28"/>
          <w:szCs w:val="28"/>
          <w:highlight w:val="none"/>
        </w:rPr>
      </w:pPr>
      <w:r>
        <w:rPr>
          <w:b/>
          <w:sz w:val="28"/>
          <w:szCs w:val="28"/>
          <w:highlight w:val="none"/>
        </w:rPr>
        <w:t>关于资格的声明函</w:t>
      </w:r>
    </w:p>
    <w:p w14:paraId="5B668840">
      <w:pPr>
        <w:spacing w:line="440" w:lineRule="exact"/>
        <w:rPr>
          <w:sz w:val="24"/>
          <w:highlight w:val="none"/>
        </w:rPr>
      </w:pPr>
    </w:p>
    <w:p w14:paraId="4F7629F9">
      <w:pPr>
        <w:spacing w:line="480" w:lineRule="auto"/>
        <w:rPr>
          <w:sz w:val="24"/>
          <w:highlight w:val="none"/>
        </w:rPr>
      </w:pPr>
      <w:r>
        <w:rPr>
          <w:sz w:val="24"/>
          <w:highlight w:val="none"/>
        </w:rPr>
        <w:t>致</w:t>
      </w:r>
      <w:r>
        <w:rPr>
          <w:rFonts w:hint="eastAsia"/>
          <w:sz w:val="24"/>
          <w:highlight w:val="none"/>
          <w:lang w:eastAsia="zh-CN"/>
        </w:rPr>
        <w:t>新疆经开项目管理有限公司</w:t>
      </w:r>
      <w:r>
        <w:rPr>
          <w:sz w:val="24"/>
          <w:highlight w:val="none"/>
        </w:rPr>
        <w:t>：</w:t>
      </w:r>
    </w:p>
    <w:p w14:paraId="319240D9">
      <w:pPr>
        <w:spacing w:line="480" w:lineRule="auto"/>
        <w:ind w:firstLine="570"/>
        <w:rPr>
          <w:sz w:val="24"/>
          <w:highlight w:val="none"/>
        </w:rPr>
      </w:pPr>
      <w:r>
        <w:rPr>
          <w:sz w:val="24"/>
          <w:highlight w:val="none"/>
        </w:rPr>
        <w:t>关于贵方20</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日招标公告关于</w:t>
      </w:r>
      <w:r>
        <w:rPr>
          <w:sz w:val="24"/>
          <w:highlight w:val="none"/>
          <w:u w:val="single"/>
        </w:rPr>
        <w:t>“     ”</w:t>
      </w:r>
      <w:r>
        <w:rPr>
          <w:sz w:val="24"/>
          <w:highlight w:val="none"/>
        </w:rPr>
        <w:t>的项目，本签字人愿意参加投标，并有能力提供项目中的相关</w:t>
      </w:r>
      <w:r>
        <w:rPr>
          <w:rFonts w:hint="eastAsia"/>
          <w:sz w:val="24"/>
          <w:highlight w:val="none"/>
          <w:lang w:val="en-US" w:eastAsia="zh-CN"/>
        </w:rPr>
        <w:t>服务</w:t>
      </w:r>
      <w:r>
        <w:rPr>
          <w:sz w:val="24"/>
          <w:highlight w:val="none"/>
        </w:rPr>
        <w:t>，并保证所提交的所有文件和说明是真实和准确的。</w:t>
      </w:r>
    </w:p>
    <w:p w14:paraId="44553E92">
      <w:pPr>
        <w:spacing w:line="480" w:lineRule="auto"/>
        <w:ind w:firstLine="570"/>
        <w:rPr>
          <w:sz w:val="24"/>
          <w:highlight w:val="none"/>
          <w:u w:val="single"/>
        </w:rPr>
      </w:pPr>
      <w:r>
        <w:rPr>
          <w:sz w:val="24"/>
          <w:highlight w:val="none"/>
        </w:rPr>
        <w:t xml:space="preserve">投标人：               签字人姓名、职务：               </w:t>
      </w:r>
    </w:p>
    <w:p w14:paraId="70A520A0">
      <w:pPr>
        <w:spacing w:line="480" w:lineRule="auto"/>
        <w:ind w:firstLine="570"/>
        <w:rPr>
          <w:sz w:val="24"/>
          <w:highlight w:val="none"/>
          <w:u w:val="single"/>
        </w:rPr>
      </w:pPr>
      <w:r>
        <w:rPr>
          <w:sz w:val="24"/>
          <w:highlight w:val="none"/>
        </w:rPr>
        <w:t xml:space="preserve">地址：                 授权签署本资格文件人： </w:t>
      </w:r>
    </w:p>
    <w:p w14:paraId="617E8FDA">
      <w:pPr>
        <w:spacing w:line="480" w:lineRule="auto"/>
        <w:ind w:firstLine="570"/>
        <w:rPr>
          <w:sz w:val="24"/>
          <w:highlight w:val="none"/>
        </w:rPr>
      </w:pPr>
      <w:r>
        <w:rPr>
          <w:sz w:val="24"/>
          <w:highlight w:val="none"/>
        </w:rPr>
        <w:t xml:space="preserve">传真：        </w:t>
      </w:r>
    </w:p>
    <w:p w14:paraId="34086F15">
      <w:pPr>
        <w:spacing w:line="480" w:lineRule="auto"/>
        <w:ind w:firstLine="570"/>
        <w:rPr>
          <w:sz w:val="24"/>
          <w:highlight w:val="none"/>
        </w:rPr>
      </w:pPr>
      <w:r>
        <w:rPr>
          <w:sz w:val="24"/>
          <w:highlight w:val="none"/>
        </w:rPr>
        <w:t>邮编：                      电话：</w:t>
      </w:r>
    </w:p>
    <w:p w14:paraId="5163AB31">
      <w:pPr>
        <w:spacing w:line="480" w:lineRule="auto"/>
        <w:ind w:firstLine="570"/>
        <w:rPr>
          <w:sz w:val="24"/>
          <w:highlight w:val="none"/>
        </w:rPr>
      </w:pPr>
      <w:r>
        <w:rPr>
          <w:sz w:val="24"/>
          <w:highlight w:val="none"/>
        </w:rPr>
        <w:t xml:space="preserve">投标人法人盖章：       </w:t>
      </w:r>
    </w:p>
    <w:p w14:paraId="2A44A818">
      <w:pPr>
        <w:spacing w:line="480" w:lineRule="auto"/>
        <w:ind w:firstLine="570"/>
        <w:rPr>
          <w:sz w:val="24"/>
          <w:highlight w:val="none"/>
        </w:rPr>
      </w:pPr>
      <w:r>
        <w:rPr>
          <w:sz w:val="24"/>
          <w:highlight w:val="none"/>
        </w:rPr>
        <w:t>投标人盖章：                                     20</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7BEE928B">
      <w:pPr>
        <w:rPr>
          <w:sz w:val="24"/>
          <w:highlight w:val="none"/>
        </w:rPr>
      </w:pPr>
      <w:r>
        <w:rPr>
          <w:sz w:val="24"/>
          <w:highlight w:val="none"/>
        </w:rPr>
        <w:br w:type="page"/>
      </w:r>
    </w:p>
    <w:p w14:paraId="22E88B0F">
      <w:pPr>
        <w:pStyle w:val="6"/>
        <w:numPr>
          <w:ilvl w:val="0"/>
          <w:numId w:val="0"/>
        </w:numPr>
        <w:spacing w:line="360" w:lineRule="auto"/>
        <w:ind w:leftChars="0" w:right="210" w:rightChars="100"/>
        <w:jc w:val="left"/>
        <w:rPr>
          <w:rFonts w:hint="eastAsia" w:ascii="宋体" w:hAnsi="宋体" w:cs="宋体"/>
          <w:sz w:val="28"/>
          <w:szCs w:val="28"/>
          <w:highlight w:val="none"/>
          <w:lang w:eastAsia="zh-CN"/>
        </w:rPr>
      </w:pPr>
      <w:r>
        <w:rPr>
          <w:b/>
          <w:sz w:val="28"/>
          <w:szCs w:val="28"/>
          <w:highlight w:val="none"/>
        </w:rPr>
        <w:t>附表</w:t>
      </w:r>
      <w:r>
        <w:rPr>
          <w:rFonts w:hint="eastAsia"/>
          <w:b/>
          <w:sz w:val="28"/>
          <w:szCs w:val="28"/>
          <w:highlight w:val="none"/>
          <w:lang w:eastAsia="zh-CN"/>
        </w:rPr>
        <w:t>五</w:t>
      </w:r>
      <w:r>
        <w:rPr>
          <w:b/>
          <w:sz w:val="28"/>
          <w:szCs w:val="28"/>
          <w:highlight w:val="none"/>
        </w:rPr>
        <w:t>：</w:t>
      </w:r>
    </w:p>
    <w:p w14:paraId="0F8537F6">
      <w:pPr>
        <w:pStyle w:val="6"/>
        <w:numPr>
          <w:ilvl w:val="0"/>
          <w:numId w:val="0"/>
        </w:numPr>
        <w:spacing w:line="360" w:lineRule="auto"/>
        <w:ind w:leftChars="0" w:right="210" w:rightChars="100"/>
        <w:jc w:val="center"/>
        <w:rPr>
          <w:rFonts w:hint="eastAsia" w:ascii="宋体" w:hAnsi="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cs="宋体"/>
          <w:sz w:val="28"/>
          <w:szCs w:val="28"/>
          <w:highlight w:val="none"/>
        </w:rPr>
        <w:t>基本情况表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1499"/>
        <w:gridCol w:w="1456"/>
        <w:gridCol w:w="304"/>
        <w:gridCol w:w="828"/>
        <w:gridCol w:w="1655"/>
      </w:tblGrid>
      <w:tr w14:paraId="07D1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50C925CD">
            <w:pPr>
              <w:jc w:val="center"/>
              <w:rPr>
                <w:rFonts w:hint="eastAsia" w:ascii="宋体" w:hAnsi="宋体" w:cs="宋体"/>
                <w:szCs w:val="21"/>
                <w:highlight w:val="none"/>
              </w:rPr>
            </w:pPr>
            <w:r>
              <w:rPr>
                <w:rFonts w:hint="eastAsia" w:ascii="宋体" w:hAnsi="宋体" w:cs="宋体"/>
                <w:szCs w:val="21"/>
                <w:highlight w:val="none"/>
                <w:lang w:eastAsia="zh-CN"/>
              </w:rPr>
              <w:t>投标人</w:t>
            </w:r>
            <w:r>
              <w:rPr>
                <w:rFonts w:hint="eastAsia" w:ascii="宋体" w:hAnsi="宋体" w:cs="宋体"/>
                <w:szCs w:val="21"/>
                <w:highlight w:val="none"/>
              </w:rPr>
              <w:t>名称</w:t>
            </w:r>
          </w:p>
        </w:tc>
        <w:tc>
          <w:tcPr>
            <w:tcW w:w="8202" w:type="dxa"/>
            <w:gridSpan w:val="8"/>
            <w:noWrap w:val="0"/>
            <w:vAlign w:val="center"/>
          </w:tcPr>
          <w:p w14:paraId="099BA0D3">
            <w:pPr>
              <w:jc w:val="center"/>
              <w:rPr>
                <w:rFonts w:hint="eastAsia" w:ascii="宋体" w:hAnsi="宋体" w:cs="宋体"/>
                <w:szCs w:val="21"/>
                <w:highlight w:val="none"/>
              </w:rPr>
            </w:pPr>
          </w:p>
        </w:tc>
      </w:tr>
      <w:tr w14:paraId="4F2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4C61EA51">
            <w:pPr>
              <w:jc w:val="center"/>
              <w:rPr>
                <w:rFonts w:hint="eastAsia" w:ascii="宋体" w:hAnsi="宋体" w:cs="宋体"/>
                <w:szCs w:val="21"/>
                <w:highlight w:val="none"/>
              </w:rPr>
            </w:pPr>
            <w:r>
              <w:rPr>
                <w:rFonts w:hint="eastAsia" w:ascii="宋体" w:hAnsi="宋体" w:cs="宋体"/>
                <w:szCs w:val="21"/>
                <w:highlight w:val="none"/>
              </w:rPr>
              <w:t>注册地址</w:t>
            </w:r>
          </w:p>
        </w:tc>
        <w:tc>
          <w:tcPr>
            <w:tcW w:w="3959" w:type="dxa"/>
            <w:gridSpan w:val="4"/>
            <w:noWrap w:val="0"/>
            <w:vAlign w:val="center"/>
          </w:tcPr>
          <w:p w14:paraId="52B9B153">
            <w:pPr>
              <w:jc w:val="center"/>
              <w:rPr>
                <w:rFonts w:hint="eastAsia" w:ascii="宋体" w:hAnsi="宋体" w:cs="宋体"/>
                <w:szCs w:val="21"/>
                <w:highlight w:val="none"/>
              </w:rPr>
            </w:pPr>
          </w:p>
        </w:tc>
        <w:tc>
          <w:tcPr>
            <w:tcW w:w="1456" w:type="dxa"/>
            <w:noWrap w:val="0"/>
            <w:vAlign w:val="center"/>
          </w:tcPr>
          <w:p w14:paraId="4A1A0C09">
            <w:pPr>
              <w:jc w:val="center"/>
              <w:rPr>
                <w:rFonts w:hint="eastAsia" w:ascii="宋体" w:hAnsi="宋体" w:cs="宋体"/>
                <w:szCs w:val="21"/>
                <w:highlight w:val="none"/>
              </w:rPr>
            </w:pPr>
            <w:r>
              <w:rPr>
                <w:rFonts w:hint="eastAsia" w:ascii="宋体" w:hAnsi="宋体" w:cs="宋体"/>
                <w:szCs w:val="21"/>
                <w:highlight w:val="none"/>
              </w:rPr>
              <w:t>邮政编码</w:t>
            </w:r>
          </w:p>
        </w:tc>
        <w:tc>
          <w:tcPr>
            <w:tcW w:w="2787" w:type="dxa"/>
            <w:gridSpan w:val="3"/>
            <w:noWrap w:val="0"/>
            <w:vAlign w:val="center"/>
          </w:tcPr>
          <w:p w14:paraId="08D4E3D7">
            <w:pPr>
              <w:jc w:val="center"/>
              <w:rPr>
                <w:rFonts w:hint="eastAsia" w:ascii="宋体" w:hAnsi="宋体" w:cs="宋体"/>
                <w:szCs w:val="21"/>
                <w:highlight w:val="none"/>
              </w:rPr>
            </w:pPr>
          </w:p>
        </w:tc>
      </w:tr>
      <w:tr w14:paraId="4D90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14:paraId="4087468F">
            <w:pPr>
              <w:jc w:val="center"/>
              <w:rPr>
                <w:rFonts w:hint="eastAsia" w:ascii="宋体" w:hAnsi="宋体" w:cs="宋体"/>
                <w:szCs w:val="21"/>
                <w:highlight w:val="none"/>
              </w:rPr>
            </w:pPr>
            <w:r>
              <w:rPr>
                <w:rFonts w:hint="eastAsia" w:ascii="宋体" w:hAnsi="宋体" w:cs="宋体"/>
                <w:szCs w:val="21"/>
                <w:highlight w:val="none"/>
              </w:rPr>
              <w:t>联系方式</w:t>
            </w:r>
          </w:p>
        </w:tc>
        <w:tc>
          <w:tcPr>
            <w:tcW w:w="1341" w:type="dxa"/>
            <w:gridSpan w:val="2"/>
            <w:noWrap w:val="0"/>
            <w:vAlign w:val="center"/>
          </w:tcPr>
          <w:p w14:paraId="69107E9F">
            <w:pPr>
              <w:jc w:val="center"/>
              <w:rPr>
                <w:rFonts w:hint="eastAsia" w:ascii="宋体" w:hAnsi="宋体" w:cs="宋体"/>
                <w:szCs w:val="21"/>
                <w:highlight w:val="none"/>
              </w:rPr>
            </w:pPr>
            <w:r>
              <w:rPr>
                <w:rFonts w:hint="eastAsia" w:ascii="宋体" w:hAnsi="宋体" w:cs="宋体"/>
                <w:szCs w:val="21"/>
                <w:highlight w:val="none"/>
              </w:rPr>
              <w:t>联系人</w:t>
            </w:r>
          </w:p>
        </w:tc>
        <w:tc>
          <w:tcPr>
            <w:tcW w:w="2618" w:type="dxa"/>
            <w:gridSpan w:val="2"/>
            <w:noWrap w:val="0"/>
            <w:vAlign w:val="center"/>
          </w:tcPr>
          <w:p w14:paraId="7D8F6F10">
            <w:pPr>
              <w:jc w:val="center"/>
              <w:rPr>
                <w:rFonts w:hint="eastAsia" w:ascii="宋体" w:hAnsi="宋体" w:cs="宋体"/>
                <w:szCs w:val="21"/>
                <w:highlight w:val="none"/>
              </w:rPr>
            </w:pPr>
          </w:p>
        </w:tc>
        <w:tc>
          <w:tcPr>
            <w:tcW w:w="1456" w:type="dxa"/>
            <w:noWrap w:val="0"/>
            <w:vAlign w:val="center"/>
          </w:tcPr>
          <w:p w14:paraId="309F842E">
            <w:pPr>
              <w:jc w:val="center"/>
              <w:rPr>
                <w:rFonts w:hint="eastAsia" w:ascii="宋体" w:hAnsi="宋体" w:cs="宋体"/>
                <w:szCs w:val="21"/>
                <w:highlight w:val="none"/>
              </w:rPr>
            </w:pPr>
            <w:r>
              <w:rPr>
                <w:rFonts w:hint="eastAsia" w:ascii="宋体" w:hAnsi="宋体" w:cs="宋体"/>
                <w:szCs w:val="21"/>
                <w:highlight w:val="none"/>
              </w:rPr>
              <w:t>电  话</w:t>
            </w:r>
          </w:p>
        </w:tc>
        <w:tc>
          <w:tcPr>
            <w:tcW w:w="2787" w:type="dxa"/>
            <w:gridSpan w:val="3"/>
            <w:noWrap w:val="0"/>
            <w:vAlign w:val="center"/>
          </w:tcPr>
          <w:p w14:paraId="151647EF">
            <w:pPr>
              <w:jc w:val="center"/>
              <w:rPr>
                <w:rFonts w:hint="eastAsia" w:ascii="宋体" w:hAnsi="宋体" w:cs="宋体"/>
                <w:szCs w:val="21"/>
                <w:highlight w:val="none"/>
              </w:rPr>
            </w:pPr>
          </w:p>
        </w:tc>
      </w:tr>
      <w:tr w14:paraId="7900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14:paraId="44BC201C">
            <w:pPr>
              <w:jc w:val="center"/>
              <w:rPr>
                <w:rFonts w:hint="eastAsia" w:ascii="宋体" w:hAnsi="宋体" w:cs="宋体"/>
                <w:szCs w:val="21"/>
                <w:highlight w:val="none"/>
              </w:rPr>
            </w:pPr>
          </w:p>
        </w:tc>
        <w:tc>
          <w:tcPr>
            <w:tcW w:w="1341" w:type="dxa"/>
            <w:gridSpan w:val="2"/>
            <w:noWrap w:val="0"/>
            <w:vAlign w:val="center"/>
          </w:tcPr>
          <w:p w14:paraId="713F0DBC">
            <w:pPr>
              <w:jc w:val="center"/>
              <w:rPr>
                <w:rFonts w:hint="eastAsia" w:ascii="宋体" w:hAnsi="宋体" w:cs="宋体"/>
                <w:szCs w:val="21"/>
                <w:highlight w:val="none"/>
              </w:rPr>
            </w:pPr>
            <w:r>
              <w:rPr>
                <w:rFonts w:hint="eastAsia" w:ascii="宋体" w:hAnsi="宋体" w:cs="宋体"/>
                <w:szCs w:val="21"/>
                <w:highlight w:val="none"/>
              </w:rPr>
              <w:t>传  真</w:t>
            </w:r>
          </w:p>
        </w:tc>
        <w:tc>
          <w:tcPr>
            <w:tcW w:w="2618" w:type="dxa"/>
            <w:gridSpan w:val="2"/>
            <w:noWrap w:val="0"/>
            <w:vAlign w:val="center"/>
          </w:tcPr>
          <w:p w14:paraId="46378A19">
            <w:pPr>
              <w:jc w:val="center"/>
              <w:rPr>
                <w:rFonts w:hint="eastAsia" w:ascii="宋体" w:hAnsi="宋体" w:cs="宋体"/>
                <w:szCs w:val="21"/>
                <w:highlight w:val="none"/>
              </w:rPr>
            </w:pPr>
          </w:p>
        </w:tc>
        <w:tc>
          <w:tcPr>
            <w:tcW w:w="1456" w:type="dxa"/>
            <w:noWrap w:val="0"/>
            <w:vAlign w:val="center"/>
          </w:tcPr>
          <w:p w14:paraId="270BBC4E">
            <w:pPr>
              <w:jc w:val="center"/>
              <w:rPr>
                <w:rFonts w:hint="eastAsia" w:ascii="宋体" w:hAnsi="宋体" w:cs="宋体"/>
                <w:szCs w:val="21"/>
                <w:highlight w:val="none"/>
              </w:rPr>
            </w:pPr>
            <w:r>
              <w:rPr>
                <w:rFonts w:hint="eastAsia" w:ascii="宋体" w:hAnsi="宋体" w:cs="宋体"/>
                <w:szCs w:val="21"/>
                <w:highlight w:val="none"/>
              </w:rPr>
              <w:t>网  址</w:t>
            </w:r>
          </w:p>
        </w:tc>
        <w:tc>
          <w:tcPr>
            <w:tcW w:w="2787" w:type="dxa"/>
            <w:gridSpan w:val="3"/>
            <w:noWrap w:val="0"/>
            <w:vAlign w:val="center"/>
          </w:tcPr>
          <w:p w14:paraId="76234A5F">
            <w:pPr>
              <w:jc w:val="center"/>
              <w:rPr>
                <w:rFonts w:hint="eastAsia" w:ascii="宋体" w:hAnsi="宋体" w:cs="宋体"/>
                <w:szCs w:val="21"/>
                <w:highlight w:val="none"/>
              </w:rPr>
            </w:pPr>
          </w:p>
        </w:tc>
      </w:tr>
      <w:tr w14:paraId="4471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50BAEF1A">
            <w:pPr>
              <w:jc w:val="center"/>
              <w:rPr>
                <w:rFonts w:hint="eastAsia" w:ascii="宋体" w:hAnsi="宋体" w:cs="宋体"/>
                <w:szCs w:val="21"/>
                <w:highlight w:val="none"/>
              </w:rPr>
            </w:pPr>
            <w:r>
              <w:rPr>
                <w:rFonts w:hint="eastAsia" w:ascii="宋体" w:hAnsi="宋体" w:cs="宋体"/>
                <w:szCs w:val="21"/>
                <w:highlight w:val="none"/>
              </w:rPr>
              <w:t>组织结构</w:t>
            </w:r>
          </w:p>
        </w:tc>
        <w:tc>
          <w:tcPr>
            <w:tcW w:w="8202" w:type="dxa"/>
            <w:gridSpan w:val="8"/>
            <w:noWrap w:val="0"/>
            <w:vAlign w:val="center"/>
          </w:tcPr>
          <w:p w14:paraId="0F8BCC13">
            <w:pPr>
              <w:jc w:val="center"/>
              <w:rPr>
                <w:rFonts w:hint="eastAsia" w:ascii="宋体" w:hAnsi="宋体" w:cs="宋体"/>
                <w:szCs w:val="21"/>
                <w:highlight w:val="none"/>
              </w:rPr>
            </w:pPr>
          </w:p>
        </w:tc>
      </w:tr>
      <w:tr w14:paraId="7A6F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44859F1C">
            <w:pPr>
              <w:jc w:val="center"/>
              <w:rPr>
                <w:rFonts w:hint="eastAsia" w:ascii="宋体" w:hAnsi="宋体" w:cs="宋体"/>
                <w:szCs w:val="21"/>
                <w:highlight w:val="none"/>
              </w:rPr>
            </w:pPr>
            <w:r>
              <w:rPr>
                <w:rFonts w:hint="eastAsia" w:ascii="宋体" w:hAnsi="宋体" w:cs="宋体"/>
                <w:szCs w:val="21"/>
                <w:highlight w:val="none"/>
              </w:rPr>
              <w:t>法定代表人</w:t>
            </w:r>
          </w:p>
        </w:tc>
        <w:tc>
          <w:tcPr>
            <w:tcW w:w="1048" w:type="dxa"/>
            <w:noWrap w:val="0"/>
            <w:vAlign w:val="center"/>
          </w:tcPr>
          <w:p w14:paraId="0490B277">
            <w:pPr>
              <w:jc w:val="center"/>
              <w:rPr>
                <w:rFonts w:hint="eastAsia" w:ascii="宋体" w:hAnsi="宋体" w:cs="宋体"/>
                <w:szCs w:val="21"/>
                <w:highlight w:val="none"/>
              </w:rPr>
            </w:pPr>
            <w:r>
              <w:rPr>
                <w:rFonts w:hint="eastAsia" w:ascii="宋体" w:hAnsi="宋体" w:cs="宋体"/>
                <w:szCs w:val="21"/>
                <w:highlight w:val="none"/>
              </w:rPr>
              <w:t>姓名</w:t>
            </w:r>
          </w:p>
        </w:tc>
        <w:tc>
          <w:tcPr>
            <w:tcW w:w="1412" w:type="dxa"/>
            <w:gridSpan w:val="2"/>
            <w:noWrap w:val="0"/>
            <w:vAlign w:val="center"/>
          </w:tcPr>
          <w:p w14:paraId="78D528BC">
            <w:pPr>
              <w:jc w:val="center"/>
              <w:rPr>
                <w:rFonts w:hint="eastAsia" w:ascii="宋体" w:hAnsi="宋体" w:cs="宋体"/>
                <w:szCs w:val="21"/>
                <w:highlight w:val="none"/>
              </w:rPr>
            </w:pPr>
          </w:p>
        </w:tc>
        <w:tc>
          <w:tcPr>
            <w:tcW w:w="1499" w:type="dxa"/>
            <w:noWrap w:val="0"/>
            <w:vAlign w:val="center"/>
          </w:tcPr>
          <w:p w14:paraId="4A7A8EBB">
            <w:pPr>
              <w:jc w:val="center"/>
              <w:rPr>
                <w:rFonts w:hint="eastAsia" w:ascii="宋体" w:hAnsi="宋体" w:cs="宋体"/>
                <w:szCs w:val="21"/>
                <w:highlight w:val="none"/>
              </w:rPr>
            </w:pPr>
            <w:r>
              <w:rPr>
                <w:rFonts w:hint="eastAsia" w:ascii="宋体" w:hAnsi="宋体" w:cs="宋体"/>
                <w:szCs w:val="21"/>
                <w:highlight w:val="none"/>
              </w:rPr>
              <w:t>技术职称</w:t>
            </w:r>
          </w:p>
        </w:tc>
        <w:tc>
          <w:tcPr>
            <w:tcW w:w="1760" w:type="dxa"/>
            <w:gridSpan w:val="2"/>
            <w:noWrap w:val="0"/>
            <w:vAlign w:val="center"/>
          </w:tcPr>
          <w:p w14:paraId="28111ED7">
            <w:pPr>
              <w:jc w:val="center"/>
              <w:rPr>
                <w:rFonts w:hint="eastAsia" w:ascii="宋体" w:hAnsi="宋体" w:cs="宋体"/>
                <w:szCs w:val="21"/>
                <w:highlight w:val="none"/>
              </w:rPr>
            </w:pPr>
          </w:p>
        </w:tc>
        <w:tc>
          <w:tcPr>
            <w:tcW w:w="828" w:type="dxa"/>
            <w:noWrap w:val="0"/>
            <w:vAlign w:val="center"/>
          </w:tcPr>
          <w:p w14:paraId="0C2A9EA4">
            <w:pPr>
              <w:jc w:val="center"/>
              <w:rPr>
                <w:rFonts w:hint="eastAsia" w:ascii="宋体" w:hAnsi="宋体" w:cs="宋体"/>
                <w:szCs w:val="21"/>
                <w:highlight w:val="none"/>
              </w:rPr>
            </w:pPr>
            <w:r>
              <w:rPr>
                <w:rFonts w:hint="eastAsia" w:ascii="宋体" w:hAnsi="宋体" w:cs="宋体"/>
                <w:szCs w:val="21"/>
                <w:highlight w:val="none"/>
              </w:rPr>
              <w:t>电话</w:t>
            </w:r>
          </w:p>
        </w:tc>
        <w:tc>
          <w:tcPr>
            <w:tcW w:w="1655" w:type="dxa"/>
            <w:noWrap w:val="0"/>
            <w:vAlign w:val="center"/>
          </w:tcPr>
          <w:p w14:paraId="42630FCE">
            <w:pPr>
              <w:jc w:val="center"/>
              <w:rPr>
                <w:rFonts w:hint="eastAsia" w:ascii="宋体" w:hAnsi="宋体" w:cs="宋体"/>
                <w:szCs w:val="21"/>
                <w:highlight w:val="none"/>
              </w:rPr>
            </w:pPr>
          </w:p>
        </w:tc>
      </w:tr>
      <w:tr w14:paraId="73AE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28C3D52C">
            <w:pPr>
              <w:jc w:val="center"/>
              <w:rPr>
                <w:rFonts w:hint="eastAsia" w:ascii="宋体" w:hAnsi="宋体" w:cs="宋体"/>
                <w:szCs w:val="21"/>
                <w:highlight w:val="none"/>
              </w:rPr>
            </w:pPr>
            <w:r>
              <w:rPr>
                <w:rFonts w:hint="eastAsia" w:ascii="宋体" w:hAnsi="宋体" w:cs="宋体"/>
                <w:szCs w:val="21"/>
                <w:highlight w:val="none"/>
              </w:rPr>
              <w:t>技术负责人</w:t>
            </w:r>
          </w:p>
        </w:tc>
        <w:tc>
          <w:tcPr>
            <w:tcW w:w="1048" w:type="dxa"/>
            <w:noWrap w:val="0"/>
            <w:vAlign w:val="center"/>
          </w:tcPr>
          <w:p w14:paraId="5A93E8D5">
            <w:pPr>
              <w:jc w:val="center"/>
              <w:rPr>
                <w:rFonts w:hint="eastAsia" w:ascii="宋体" w:hAnsi="宋体" w:cs="宋体"/>
                <w:szCs w:val="21"/>
                <w:highlight w:val="none"/>
              </w:rPr>
            </w:pPr>
            <w:r>
              <w:rPr>
                <w:rFonts w:hint="eastAsia" w:ascii="宋体" w:hAnsi="宋体" w:cs="宋体"/>
                <w:szCs w:val="21"/>
                <w:highlight w:val="none"/>
              </w:rPr>
              <w:t>姓名</w:t>
            </w:r>
          </w:p>
        </w:tc>
        <w:tc>
          <w:tcPr>
            <w:tcW w:w="1412" w:type="dxa"/>
            <w:gridSpan w:val="2"/>
            <w:noWrap w:val="0"/>
            <w:vAlign w:val="center"/>
          </w:tcPr>
          <w:p w14:paraId="1C974ACA">
            <w:pPr>
              <w:jc w:val="center"/>
              <w:rPr>
                <w:rFonts w:hint="eastAsia" w:ascii="宋体" w:hAnsi="宋体" w:cs="宋体"/>
                <w:szCs w:val="21"/>
                <w:highlight w:val="none"/>
              </w:rPr>
            </w:pPr>
          </w:p>
        </w:tc>
        <w:tc>
          <w:tcPr>
            <w:tcW w:w="1499" w:type="dxa"/>
            <w:noWrap w:val="0"/>
            <w:vAlign w:val="center"/>
          </w:tcPr>
          <w:p w14:paraId="0F59DF5D">
            <w:pPr>
              <w:jc w:val="center"/>
              <w:rPr>
                <w:rFonts w:hint="eastAsia" w:ascii="宋体" w:hAnsi="宋体" w:cs="宋体"/>
                <w:szCs w:val="21"/>
                <w:highlight w:val="none"/>
              </w:rPr>
            </w:pPr>
            <w:r>
              <w:rPr>
                <w:rFonts w:hint="eastAsia" w:ascii="宋体" w:hAnsi="宋体" w:cs="宋体"/>
                <w:szCs w:val="21"/>
                <w:highlight w:val="none"/>
              </w:rPr>
              <w:t>技术职称</w:t>
            </w:r>
          </w:p>
        </w:tc>
        <w:tc>
          <w:tcPr>
            <w:tcW w:w="1760" w:type="dxa"/>
            <w:gridSpan w:val="2"/>
            <w:noWrap w:val="0"/>
            <w:vAlign w:val="center"/>
          </w:tcPr>
          <w:p w14:paraId="4E4EF6A0">
            <w:pPr>
              <w:jc w:val="center"/>
              <w:rPr>
                <w:rFonts w:hint="eastAsia" w:ascii="宋体" w:hAnsi="宋体" w:cs="宋体"/>
                <w:szCs w:val="21"/>
                <w:highlight w:val="none"/>
              </w:rPr>
            </w:pPr>
          </w:p>
        </w:tc>
        <w:tc>
          <w:tcPr>
            <w:tcW w:w="828" w:type="dxa"/>
            <w:noWrap w:val="0"/>
            <w:vAlign w:val="center"/>
          </w:tcPr>
          <w:p w14:paraId="39DFE4BA">
            <w:pPr>
              <w:jc w:val="center"/>
              <w:rPr>
                <w:rFonts w:hint="eastAsia" w:ascii="宋体" w:hAnsi="宋体" w:cs="宋体"/>
                <w:szCs w:val="21"/>
                <w:highlight w:val="none"/>
              </w:rPr>
            </w:pPr>
            <w:r>
              <w:rPr>
                <w:rFonts w:hint="eastAsia" w:ascii="宋体" w:hAnsi="宋体" w:cs="宋体"/>
                <w:szCs w:val="21"/>
                <w:highlight w:val="none"/>
              </w:rPr>
              <w:t>电话</w:t>
            </w:r>
          </w:p>
        </w:tc>
        <w:tc>
          <w:tcPr>
            <w:tcW w:w="1655" w:type="dxa"/>
            <w:noWrap w:val="0"/>
            <w:vAlign w:val="center"/>
          </w:tcPr>
          <w:p w14:paraId="070D4966">
            <w:pPr>
              <w:jc w:val="center"/>
              <w:rPr>
                <w:rFonts w:hint="eastAsia" w:ascii="宋体" w:hAnsi="宋体" w:cs="宋体"/>
                <w:szCs w:val="21"/>
                <w:highlight w:val="none"/>
              </w:rPr>
            </w:pPr>
          </w:p>
        </w:tc>
      </w:tr>
      <w:tr w14:paraId="4DC4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4E9CBF57">
            <w:pPr>
              <w:jc w:val="center"/>
              <w:rPr>
                <w:rFonts w:hint="eastAsia" w:ascii="宋体" w:hAnsi="宋体" w:cs="宋体"/>
                <w:szCs w:val="21"/>
                <w:highlight w:val="none"/>
              </w:rPr>
            </w:pPr>
            <w:r>
              <w:rPr>
                <w:rFonts w:hint="eastAsia" w:ascii="宋体" w:hAnsi="宋体" w:cs="宋体"/>
                <w:szCs w:val="21"/>
                <w:highlight w:val="none"/>
              </w:rPr>
              <w:t>成立时间</w:t>
            </w:r>
          </w:p>
        </w:tc>
        <w:tc>
          <w:tcPr>
            <w:tcW w:w="2460" w:type="dxa"/>
            <w:gridSpan w:val="3"/>
            <w:noWrap w:val="0"/>
            <w:vAlign w:val="center"/>
          </w:tcPr>
          <w:p w14:paraId="49EE0083">
            <w:pPr>
              <w:jc w:val="center"/>
              <w:rPr>
                <w:rFonts w:hint="eastAsia" w:ascii="宋体" w:hAnsi="宋体" w:cs="宋体"/>
                <w:szCs w:val="21"/>
                <w:highlight w:val="none"/>
              </w:rPr>
            </w:pPr>
          </w:p>
        </w:tc>
        <w:tc>
          <w:tcPr>
            <w:tcW w:w="5742" w:type="dxa"/>
            <w:gridSpan w:val="5"/>
            <w:noWrap w:val="0"/>
            <w:vAlign w:val="center"/>
          </w:tcPr>
          <w:p w14:paraId="5FDC44DF">
            <w:pPr>
              <w:jc w:val="both"/>
              <w:rPr>
                <w:rFonts w:hint="eastAsia" w:ascii="宋体" w:hAnsi="宋体" w:cs="宋体"/>
                <w:szCs w:val="21"/>
                <w:highlight w:val="none"/>
              </w:rPr>
            </w:pPr>
            <w:r>
              <w:rPr>
                <w:rFonts w:hint="eastAsia" w:ascii="宋体" w:hAnsi="宋体" w:cs="宋体"/>
                <w:szCs w:val="21"/>
                <w:highlight w:val="none"/>
              </w:rPr>
              <w:t>员工总人数：</w:t>
            </w:r>
          </w:p>
        </w:tc>
      </w:tr>
      <w:tr w14:paraId="62C9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038D6ABD">
            <w:pPr>
              <w:jc w:val="center"/>
              <w:rPr>
                <w:rFonts w:hint="eastAsia" w:ascii="宋体" w:hAnsi="宋体" w:cs="宋体"/>
                <w:szCs w:val="21"/>
                <w:highlight w:val="none"/>
              </w:rPr>
            </w:pPr>
            <w:r>
              <w:rPr>
                <w:rFonts w:hint="eastAsia" w:ascii="宋体" w:hAnsi="宋体" w:cs="宋体"/>
                <w:szCs w:val="21"/>
                <w:highlight w:val="none"/>
              </w:rPr>
              <w:t>营业执照号</w:t>
            </w:r>
          </w:p>
        </w:tc>
        <w:tc>
          <w:tcPr>
            <w:tcW w:w="8202" w:type="dxa"/>
            <w:gridSpan w:val="8"/>
            <w:noWrap w:val="0"/>
            <w:vAlign w:val="center"/>
          </w:tcPr>
          <w:p w14:paraId="17D44992">
            <w:pPr>
              <w:jc w:val="center"/>
              <w:rPr>
                <w:rFonts w:hint="eastAsia" w:ascii="宋体" w:hAnsi="宋体" w:cs="宋体"/>
                <w:szCs w:val="21"/>
                <w:highlight w:val="none"/>
              </w:rPr>
            </w:pPr>
          </w:p>
        </w:tc>
      </w:tr>
      <w:tr w14:paraId="56DF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7A744D4E">
            <w:pPr>
              <w:jc w:val="center"/>
              <w:rPr>
                <w:rFonts w:hint="eastAsia" w:ascii="宋体" w:hAnsi="宋体" w:cs="宋体"/>
                <w:szCs w:val="21"/>
                <w:highlight w:val="none"/>
              </w:rPr>
            </w:pPr>
            <w:r>
              <w:rPr>
                <w:rFonts w:hint="eastAsia" w:ascii="宋体" w:hAnsi="宋体" w:cs="宋体"/>
                <w:szCs w:val="21"/>
                <w:highlight w:val="none"/>
              </w:rPr>
              <w:t>注册资金</w:t>
            </w:r>
          </w:p>
        </w:tc>
        <w:tc>
          <w:tcPr>
            <w:tcW w:w="8202" w:type="dxa"/>
            <w:gridSpan w:val="8"/>
            <w:noWrap w:val="0"/>
            <w:vAlign w:val="center"/>
          </w:tcPr>
          <w:p w14:paraId="145D62A3">
            <w:pPr>
              <w:jc w:val="center"/>
              <w:rPr>
                <w:rFonts w:hint="eastAsia" w:ascii="宋体" w:hAnsi="宋体" w:cs="宋体"/>
                <w:szCs w:val="21"/>
                <w:highlight w:val="none"/>
              </w:rPr>
            </w:pPr>
          </w:p>
        </w:tc>
      </w:tr>
      <w:tr w14:paraId="003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15044193">
            <w:pPr>
              <w:jc w:val="center"/>
              <w:rPr>
                <w:rFonts w:hint="eastAsia" w:ascii="宋体" w:hAnsi="宋体" w:cs="宋体"/>
                <w:szCs w:val="21"/>
                <w:highlight w:val="none"/>
              </w:rPr>
            </w:pPr>
            <w:r>
              <w:rPr>
                <w:rFonts w:hint="eastAsia" w:ascii="宋体" w:hAnsi="宋体" w:cs="宋体"/>
                <w:szCs w:val="21"/>
                <w:highlight w:val="none"/>
              </w:rPr>
              <w:t>开户银行</w:t>
            </w:r>
          </w:p>
        </w:tc>
        <w:tc>
          <w:tcPr>
            <w:tcW w:w="8202" w:type="dxa"/>
            <w:gridSpan w:val="8"/>
            <w:noWrap w:val="0"/>
            <w:vAlign w:val="center"/>
          </w:tcPr>
          <w:p w14:paraId="0C2E4130">
            <w:pPr>
              <w:jc w:val="center"/>
              <w:rPr>
                <w:rFonts w:hint="eastAsia" w:ascii="宋体" w:hAnsi="宋体" w:cs="宋体"/>
                <w:szCs w:val="21"/>
                <w:highlight w:val="none"/>
              </w:rPr>
            </w:pPr>
          </w:p>
        </w:tc>
      </w:tr>
      <w:tr w14:paraId="49C2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65AF4802">
            <w:pPr>
              <w:jc w:val="center"/>
              <w:rPr>
                <w:rFonts w:hint="eastAsia" w:ascii="宋体" w:hAnsi="宋体" w:cs="宋体"/>
                <w:szCs w:val="21"/>
                <w:highlight w:val="none"/>
              </w:rPr>
            </w:pPr>
            <w:r>
              <w:rPr>
                <w:rFonts w:hint="eastAsia" w:ascii="宋体" w:hAnsi="宋体" w:cs="宋体"/>
                <w:szCs w:val="21"/>
                <w:highlight w:val="none"/>
              </w:rPr>
              <w:t>账号</w:t>
            </w:r>
          </w:p>
        </w:tc>
        <w:tc>
          <w:tcPr>
            <w:tcW w:w="8202" w:type="dxa"/>
            <w:gridSpan w:val="8"/>
            <w:noWrap w:val="0"/>
            <w:vAlign w:val="center"/>
          </w:tcPr>
          <w:p w14:paraId="38206CAD">
            <w:pPr>
              <w:jc w:val="center"/>
              <w:rPr>
                <w:rFonts w:hint="eastAsia" w:ascii="宋体" w:hAnsi="宋体" w:cs="宋体"/>
                <w:szCs w:val="21"/>
                <w:highlight w:val="none"/>
              </w:rPr>
            </w:pPr>
          </w:p>
        </w:tc>
      </w:tr>
      <w:tr w14:paraId="633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735" w:type="dxa"/>
            <w:noWrap w:val="0"/>
            <w:vAlign w:val="center"/>
          </w:tcPr>
          <w:p w14:paraId="4E5EEDAE">
            <w:pPr>
              <w:jc w:val="center"/>
              <w:rPr>
                <w:rFonts w:hint="eastAsia" w:ascii="宋体" w:hAnsi="宋体" w:cs="宋体"/>
                <w:szCs w:val="21"/>
                <w:highlight w:val="none"/>
              </w:rPr>
            </w:pPr>
            <w:r>
              <w:rPr>
                <w:rFonts w:hint="eastAsia" w:ascii="宋体" w:hAnsi="宋体" w:cs="宋体"/>
                <w:szCs w:val="21"/>
                <w:highlight w:val="none"/>
              </w:rPr>
              <w:t>经营范围</w:t>
            </w:r>
          </w:p>
        </w:tc>
        <w:tc>
          <w:tcPr>
            <w:tcW w:w="8202" w:type="dxa"/>
            <w:gridSpan w:val="8"/>
            <w:noWrap w:val="0"/>
            <w:vAlign w:val="center"/>
          </w:tcPr>
          <w:p w14:paraId="794174E4">
            <w:pPr>
              <w:jc w:val="center"/>
              <w:rPr>
                <w:rFonts w:hint="eastAsia" w:ascii="宋体" w:hAnsi="宋体" w:cs="宋体"/>
                <w:szCs w:val="21"/>
                <w:highlight w:val="none"/>
              </w:rPr>
            </w:pPr>
          </w:p>
        </w:tc>
      </w:tr>
      <w:tr w14:paraId="0E1F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14:paraId="76541A11">
            <w:pPr>
              <w:jc w:val="center"/>
              <w:rPr>
                <w:rFonts w:hint="eastAsia" w:ascii="宋体" w:hAnsi="宋体" w:cs="宋体"/>
                <w:szCs w:val="21"/>
                <w:highlight w:val="none"/>
              </w:rPr>
            </w:pPr>
            <w:r>
              <w:rPr>
                <w:rFonts w:hint="eastAsia" w:ascii="宋体" w:hAnsi="宋体" w:cs="宋体"/>
                <w:szCs w:val="21"/>
                <w:highlight w:val="none"/>
              </w:rPr>
              <w:t>备注</w:t>
            </w:r>
          </w:p>
        </w:tc>
        <w:tc>
          <w:tcPr>
            <w:tcW w:w="8202" w:type="dxa"/>
            <w:gridSpan w:val="8"/>
            <w:noWrap w:val="0"/>
            <w:vAlign w:val="center"/>
          </w:tcPr>
          <w:p w14:paraId="19E3D9B4">
            <w:pPr>
              <w:jc w:val="center"/>
              <w:rPr>
                <w:rFonts w:hint="eastAsia" w:ascii="宋体" w:hAnsi="宋体" w:cs="宋体"/>
                <w:szCs w:val="21"/>
                <w:highlight w:val="none"/>
              </w:rPr>
            </w:pPr>
          </w:p>
        </w:tc>
      </w:tr>
    </w:tbl>
    <w:p w14:paraId="2C630702">
      <w:pPr>
        <w:pStyle w:val="12"/>
        <w:rPr>
          <w:highlight w:val="none"/>
        </w:rPr>
      </w:pPr>
      <w:r>
        <w:rPr>
          <w:rFonts w:hint="eastAsia" w:ascii="宋体" w:hAnsi="宋体" w:cs="宋体"/>
          <w:b/>
          <w:sz w:val="24"/>
          <w:szCs w:val="21"/>
          <w:highlight w:val="none"/>
        </w:rPr>
        <w:t>备注：本表后应附企业法人营业执照</w:t>
      </w:r>
      <w:r>
        <w:rPr>
          <w:rFonts w:hint="eastAsia" w:ascii="宋体" w:hAnsi="宋体" w:cs="宋体"/>
          <w:b/>
          <w:sz w:val="24"/>
          <w:szCs w:val="21"/>
          <w:highlight w:val="none"/>
          <w:lang w:eastAsia="zh-CN"/>
        </w:rPr>
        <w:t>、</w:t>
      </w:r>
      <w:r>
        <w:rPr>
          <w:rFonts w:hint="eastAsia" w:ascii="宋体" w:hAnsi="宋体" w:cs="宋体"/>
          <w:b/>
          <w:sz w:val="24"/>
          <w:szCs w:val="21"/>
          <w:highlight w:val="none"/>
          <w:lang w:val="en-US" w:eastAsia="zh-CN"/>
        </w:rPr>
        <w:t>资质证书（如有）、</w:t>
      </w:r>
      <w:r>
        <w:rPr>
          <w:rFonts w:hint="eastAsia" w:ascii="宋体" w:hAnsi="宋体" w:cs="宋体"/>
          <w:b/>
          <w:sz w:val="24"/>
          <w:szCs w:val="21"/>
          <w:highlight w:val="none"/>
        </w:rPr>
        <w:t>开户许可证</w:t>
      </w:r>
      <w:r>
        <w:rPr>
          <w:rFonts w:hint="eastAsia" w:ascii="宋体" w:hAnsi="宋体" w:cs="宋体"/>
          <w:b/>
          <w:sz w:val="24"/>
          <w:szCs w:val="21"/>
          <w:highlight w:val="none"/>
          <w:lang w:eastAsia="zh-CN"/>
        </w:rPr>
        <w:t>（</w:t>
      </w:r>
      <w:r>
        <w:rPr>
          <w:rFonts w:hint="eastAsia" w:ascii="宋体" w:hAnsi="宋体" w:cs="宋体"/>
          <w:b/>
          <w:sz w:val="24"/>
          <w:szCs w:val="21"/>
          <w:highlight w:val="none"/>
          <w:lang w:val="en-US" w:eastAsia="zh-CN"/>
        </w:rPr>
        <w:t>或</w:t>
      </w:r>
      <w:r>
        <w:rPr>
          <w:rFonts w:hint="eastAsia" w:ascii="宋体" w:hAnsi="宋体" w:cs="宋体"/>
          <w:b/>
          <w:sz w:val="24"/>
          <w:szCs w:val="21"/>
          <w:highlight w:val="none"/>
          <w:lang w:eastAsia="zh-CN"/>
        </w:rPr>
        <w:t>基本存款账户信息）、</w:t>
      </w:r>
      <w:r>
        <w:rPr>
          <w:rFonts w:hint="eastAsia" w:ascii="宋体" w:hAnsi="宋体" w:cs="宋体"/>
          <w:b/>
          <w:sz w:val="24"/>
          <w:szCs w:val="21"/>
          <w:highlight w:val="none"/>
          <w:lang w:val="en-US" w:eastAsia="zh-CN"/>
        </w:rPr>
        <w:t>财务审计报告或财务报表、完税社保</w:t>
      </w:r>
      <w:r>
        <w:rPr>
          <w:rFonts w:hint="eastAsia" w:ascii="宋体" w:hAnsi="宋体" w:cs="宋体"/>
          <w:b/>
          <w:sz w:val="24"/>
          <w:szCs w:val="21"/>
          <w:highlight w:val="none"/>
          <w:lang w:eastAsia="zh-CN"/>
        </w:rPr>
        <w:t>、</w:t>
      </w:r>
      <w:r>
        <w:rPr>
          <w:rFonts w:hint="eastAsia" w:ascii="宋体" w:hAnsi="宋体" w:cs="宋体"/>
          <w:b/>
          <w:sz w:val="24"/>
          <w:szCs w:val="21"/>
          <w:highlight w:val="none"/>
          <w:lang w:val="en-US" w:eastAsia="zh-CN"/>
        </w:rPr>
        <w:t>资格文件</w:t>
      </w:r>
      <w:r>
        <w:rPr>
          <w:rFonts w:hint="eastAsia" w:ascii="宋体" w:hAnsi="宋体" w:cs="宋体"/>
          <w:b/>
          <w:sz w:val="24"/>
          <w:szCs w:val="21"/>
          <w:highlight w:val="none"/>
        </w:rPr>
        <w:t>等材料的复印件。</w:t>
      </w:r>
    </w:p>
    <w:p w14:paraId="7D31A084">
      <w:pPr>
        <w:spacing w:line="440" w:lineRule="exact"/>
        <w:rPr>
          <w:b/>
          <w:sz w:val="28"/>
          <w:szCs w:val="28"/>
          <w:highlight w:val="none"/>
        </w:rPr>
      </w:pPr>
      <w:r>
        <w:rPr>
          <w:b/>
          <w:sz w:val="28"/>
          <w:szCs w:val="28"/>
          <w:highlight w:val="none"/>
        </w:rPr>
        <w:br w:type="page"/>
      </w:r>
      <w:r>
        <w:rPr>
          <w:b/>
          <w:sz w:val="28"/>
          <w:szCs w:val="28"/>
          <w:highlight w:val="none"/>
        </w:rPr>
        <w:t>附表</w:t>
      </w:r>
      <w:r>
        <w:rPr>
          <w:rFonts w:hint="eastAsia"/>
          <w:b/>
          <w:sz w:val="28"/>
          <w:szCs w:val="28"/>
          <w:highlight w:val="none"/>
          <w:lang w:eastAsia="zh-CN"/>
        </w:rPr>
        <w:t>六</w:t>
      </w:r>
      <w:r>
        <w:rPr>
          <w:b/>
          <w:sz w:val="28"/>
          <w:szCs w:val="28"/>
          <w:highlight w:val="none"/>
        </w:rPr>
        <w:t>：</w:t>
      </w:r>
    </w:p>
    <w:p w14:paraId="38041202">
      <w:pPr>
        <w:spacing w:before="156" w:beforeLines="50" w:after="156" w:afterLines="50" w:line="480" w:lineRule="auto"/>
        <w:jc w:val="center"/>
        <w:rPr>
          <w:b/>
          <w:sz w:val="28"/>
          <w:szCs w:val="28"/>
          <w:highlight w:val="none"/>
        </w:rPr>
      </w:pPr>
      <w:r>
        <w:rPr>
          <w:b/>
          <w:sz w:val="28"/>
          <w:szCs w:val="28"/>
          <w:highlight w:val="none"/>
        </w:rPr>
        <w:t>（投标人）《反商业贿赂承诺书》</w:t>
      </w:r>
    </w:p>
    <w:p w14:paraId="4587AA3B">
      <w:pPr>
        <w:pStyle w:val="3"/>
        <w:spacing w:line="480" w:lineRule="auto"/>
        <w:ind w:firstLine="482"/>
        <w:rPr>
          <w:b w:val="0"/>
          <w:highlight w:val="none"/>
        </w:rPr>
      </w:pPr>
      <w:r>
        <w:rPr>
          <w:b w:val="0"/>
          <w:highlight w:val="none"/>
        </w:rPr>
        <w:t>我公司承诺在</w:t>
      </w:r>
      <w:r>
        <w:rPr>
          <w:b w:val="0"/>
          <w:highlight w:val="none"/>
          <w:u w:val="single"/>
        </w:rPr>
        <w:t>（项目名称、项目编号）</w:t>
      </w:r>
      <w:r>
        <w:rPr>
          <w:b w:val="0"/>
          <w:highlight w:val="none"/>
        </w:rPr>
        <w:t xml:space="preserve">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0048971">
      <w:pPr>
        <w:pStyle w:val="3"/>
        <w:spacing w:line="480" w:lineRule="auto"/>
        <w:ind w:firstLine="482"/>
        <w:rPr>
          <w:b w:val="0"/>
          <w:bCs/>
          <w:highlight w:val="none"/>
        </w:rPr>
      </w:pPr>
      <w:r>
        <w:rPr>
          <w:b w:val="0"/>
          <w:bCs/>
          <w:sz w:val="24"/>
          <w:highlight w:val="none"/>
        </w:rPr>
        <w:t>投标人盖章：</w:t>
      </w:r>
    </w:p>
    <w:p w14:paraId="4CA4074B">
      <w:pPr>
        <w:pStyle w:val="3"/>
        <w:spacing w:line="480" w:lineRule="auto"/>
        <w:ind w:firstLine="482"/>
        <w:rPr>
          <w:b w:val="0"/>
          <w:highlight w:val="none"/>
        </w:rPr>
      </w:pPr>
      <w:r>
        <w:rPr>
          <w:b w:val="0"/>
          <w:highlight w:val="none"/>
        </w:rPr>
        <w:t>法定代表人：（盖章或签字）</w:t>
      </w:r>
    </w:p>
    <w:p w14:paraId="018DE025">
      <w:pPr>
        <w:pStyle w:val="3"/>
        <w:spacing w:line="480" w:lineRule="auto"/>
        <w:ind w:firstLine="482"/>
        <w:rPr>
          <w:b w:val="0"/>
          <w:highlight w:val="none"/>
        </w:rPr>
      </w:pPr>
      <w:r>
        <w:rPr>
          <w:b w:val="0"/>
          <w:highlight w:val="none"/>
        </w:rPr>
        <w:t xml:space="preserve">法人授权代表：（签字）   </w:t>
      </w:r>
      <w:r>
        <w:rPr>
          <w:rFonts w:hint="eastAsia"/>
          <w:b w:val="0"/>
          <w:highlight w:val="none"/>
        </w:rPr>
        <w:t xml:space="preserve">  </w:t>
      </w:r>
      <w:r>
        <w:rPr>
          <w:b w:val="0"/>
          <w:highlight w:val="none"/>
        </w:rPr>
        <w:t xml:space="preserve">                       日期：</w:t>
      </w:r>
    </w:p>
    <w:p w14:paraId="314DFB12">
      <w:pPr>
        <w:spacing w:line="440" w:lineRule="exact"/>
        <w:rPr>
          <w:b/>
          <w:sz w:val="28"/>
          <w:szCs w:val="28"/>
          <w:highlight w:val="none"/>
        </w:rPr>
      </w:pPr>
    </w:p>
    <w:p w14:paraId="6FA550A7">
      <w:pPr>
        <w:spacing w:line="440" w:lineRule="exact"/>
        <w:rPr>
          <w:b/>
          <w:sz w:val="28"/>
          <w:szCs w:val="28"/>
          <w:highlight w:val="none"/>
        </w:rPr>
      </w:pPr>
    </w:p>
    <w:p w14:paraId="5C7AE168">
      <w:pPr>
        <w:spacing w:line="440" w:lineRule="exact"/>
        <w:rPr>
          <w:b/>
          <w:sz w:val="28"/>
          <w:szCs w:val="28"/>
          <w:highlight w:val="none"/>
        </w:rPr>
      </w:pPr>
      <w:r>
        <w:rPr>
          <w:b/>
          <w:sz w:val="28"/>
          <w:szCs w:val="28"/>
          <w:highlight w:val="none"/>
        </w:rPr>
        <w:t>附表</w:t>
      </w:r>
      <w:r>
        <w:rPr>
          <w:rFonts w:hint="eastAsia"/>
          <w:b/>
          <w:sz w:val="28"/>
          <w:szCs w:val="28"/>
          <w:highlight w:val="none"/>
          <w:lang w:eastAsia="zh-CN"/>
        </w:rPr>
        <w:t>七</w:t>
      </w:r>
      <w:r>
        <w:rPr>
          <w:b/>
          <w:sz w:val="28"/>
          <w:szCs w:val="28"/>
          <w:highlight w:val="none"/>
        </w:rPr>
        <w:t>：</w:t>
      </w:r>
    </w:p>
    <w:p w14:paraId="26CCC37C">
      <w:pPr>
        <w:pStyle w:val="46"/>
        <w:spacing w:line="440" w:lineRule="exact"/>
        <w:jc w:val="center"/>
        <w:rPr>
          <w:rFonts w:hint="eastAsia" w:eastAsia="宋体"/>
          <w:b/>
          <w:color w:val="auto"/>
          <w:sz w:val="28"/>
          <w:szCs w:val="28"/>
          <w:highlight w:val="none"/>
          <w:lang w:eastAsia="zh-CN"/>
        </w:rPr>
      </w:pPr>
      <w:r>
        <w:rPr>
          <w:b/>
          <w:color w:val="auto"/>
          <w:sz w:val="28"/>
          <w:szCs w:val="28"/>
          <w:highlight w:val="none"/>
        </w:rPr>
        <w:t>近</w:t>
      </w:r>
      <w:r>
        <w:rPr>
          <w:rFonts w:hint="eastAsia"/>
          <w:b/>
          <w:color w:val="auto"/>
          <w:sz w:val="28"/>
          <w:szCs w:val="28"/>
          <w:highlight w:val="none"/>
          <w:lang w:val="en-US" w:eastAsia="zh-CN"/>
        </w:rPr>
        <w:t>三</w:t>
      </w:r>
      <w:r>
        <w:rPr>
          <w:b/>
          <w:color w:val="auto"/>
          <w:sz w:val="28"/>
          <w:szCs w:val="28"/>
          <w:highlight w:val="none"/>
        </w:rPr>
        <w:t>年（20</w:t>
      </w:r>
      <w:r>
        <w:rPr>
          <w:rFonts w:hint="eastAsia"/>
          <w:b/>
          <w:color w:val="auto"/>
          <w:sz w:val="28"/>
          <w:szCs w:val="28"/>
          <w:highlight w:val="none"/>
          <w:lang w:val="en-US" w:eastAsia="zh-CN"/>
        </w:rPr>
        <w:t>23</w:t>
      </w:r>
      <w:r>
        <w:rPr>
          <w:b/>
          <w:color w:val="auto"/>
          <w:sz w:val="28"/>
          <w:szCs w:val="28"/>
          <w:highlight w:val="none"/>
        </w:rPr>
        <w:t>年</w:t>
      </w:r>
      <w:r>
        <w:rPr>
          <w:rFonts w:hint="eastAsia"/>
          <w:b/>
          <w:color w:val="auto"/>
          <w:sz w:val="28"/>
          <w:szCs w:val="28"/>
          <w:highlight w:val="none"/>
          <w:lang w:val="en-US" w:eastAsia="zh-CN"/>
        </w:rPr>
        <w:t>1</w:t>
      </w:r>
      <w:r>
        <w:rPr>
          <w:b/>
          <w:color w:val="auto"/>
          <w:sz w:val="28"/>
          <w:szCs w:val="28"/>
          <w:highlight w:val="none"/>
        </w:rPr>
        <w:t>月至今）类似项目业绩表</w:t>
      </w:r>
      <w:r>
        <w:rPr>
          <w:rFonts w:hint="eastAsia"/>
          <w:b/>
          <w:color w:val="auto"/>
          <w:sz w:val="28"/>
          <w:szCs w:val="28"/>
          <w:highlight w:val="none"/>
          <w:lang w:eastAsia="zh-CN"/>
        </w:rPr>
        <w:t>（如有）</w:t>
      </w:r>
    </w:p>
    <w:p w14:paraId="53CD880D">
      <w:pPr>
        <w:pStyle w:val="46"/>
        <w:spacing w:line="440" w:lineRule="exact"/>
        <w:rPr>
          <w:color w:val="auto"/>
          <w:sz w:val="24"/>
          <w:highlight w:val="none"/>
        </w:rPr>
      </w:pPr>
      <w:r>
        <w:rPr>
          <w:color w:val="auto"/>
          <w:sz w:val="24"/>
          <w:highlight w:val="none"/>
        </w:rPr>
        <w:t xml:space="preserve">项目名称：                             </w:t>
      </w:r>
    </w:p>
    <w:tbl>
      <w:tblPr>
        <w:tblStyle w:val="25"/>
        <w:tblW w:w="978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538"/>
        <w:gridCol w:w="2106"/>
        <w:gridCol w:w="979"/>
        <w:gridCol w:w="2374"/>
        <w:gridCol w:w="1814"/>
      </w:tblGrid>
      <w:tr w14:paraId="5F73F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14:paraId="781F33D4">
            <w:pPr>
              <w:pStyle w:val="47"/>
              <w:spacing w:line="440" w:lineRule="exact"/>
              <w:jc w:val="center"/>
              <w:rPr>
                <w:color w:val="auto"/>
                <w:highlight w:val="none"/>
              </w:rPr>
            </w:pPr>
            <w:r>
              <w:rPr>
                <w:color w:val="auto"/>
                <w:highlight w:val="none"/>
              </w:rPr>
              <w:t>序号</w:t>
            </w:r>
          </w:p>
        </w:tc>
        <w:tc>
          <w:tcPr>
            <w:tcW w:w="1538" w:type="dxa"/>
            <w:tcBorders>
              <w:top w:val="double" w:color="auto" w:sz="4" w:space="0"/>
              <w:left w:val="single" w:color="auto" w:sz="6" w:space="0"/>
              <w:bottom w:val="single" w:color="auto" w:sz="6" w:space="0"/>
              <w:right w:val="single" w:color="auto" w:sz="6" w:space="0"/>
            </w:tcBorders>
            <w:vAlign w:val="center"/>
          </w:tcPr>
          <w:p w14:paraId="106B3EB7">
            <w:pPr>
              <w:pStyle w:val="47"/>
              <w:spacing w:line="440" w:lineRule="exact"/>
              <w:jc w:val="center"/>
              <w:rPr>
                <w:color w:val="auto"/>
                <w:highlight w:val="none"/>
              </w:rPr>
            </w:pPr>
            <w:r>
              <w:rPr>
                <w:color w:val="auto"/>
                <w:highlight w:val="none"/>
              </w:rPr>
              <w:t>项目名称</w:t>
            </w:r>
          </w:p>
        </w:tc>
        <w:tc>
          <w:tcPr>
            <w:tcW w:w="2106" w:type="dxa"/>
            <w:tcBorders>
              <w:top w:val="double" w:color="auto" w:sz="4" w:space="0"/>
              <w:left w:val="single" w:color="auto" w:sz="6" w:space="0"/>
              <w:bottom w:val="single" w:color="auto" w:sz="6" w:space="0"/>
              <w:right w:val="single" w:color="auto" w:sz="6" w:space="0"/>
            </w:tcBorders>
            <w:vAlign w:val="center"/>
          </w:tcPr>
          <w:p w14:paraId="2BF2A286">
            <w:pPr>
              <w:pStyle w:val="47"/>
              <w:spacing w:line="440" w:lineRule="exact"/>
              <w:jc w:val="center"/>
              <w:rPr>
                <w:color w:val="auto"/>
                <w:highlight w:val="none"/>
              </w:rPr>
            </w:pPr>
            <w:r>
              <w:rPr>
                <w:color w:val="auto"/>
                <w:highlight w:val="none"/>
              </w:rPr>
              <w:t>年份</w:t>
            </w:r>
          </w:p>
        </w:tc>
        <w:tc>
          <w:tcPr>
            <w:tcW w:w="979" w:type="dxa"/>
            <w:tcBorders>
              <w:top w:val="double" w:color="auto" w:sz="4" w:space="0"/>
              <w:left w:val="single" w:color="auto" w:sz="6" w:space="0"/>
              <w:bottom w:val="single" w:color="auto" w:sz="6" w:space="0"/>
              <w:right w:val="single" w:color="auto" w:sz="6" w:space="0"/>
            </w:tcBorders>
            <w:vAlign w:val="center"/>
          </w:tcPr>
          <w:p w14:paraId="5B0DDC26">
            <w:pPr>
              <w:pStyle w:val="47"/>
              <w:spacing w:line="440" w:lineRule="exact"/>
              <w:ind w:left="785" w:hanging="784" w:hangingChars="327"/>
              <w:jc w:val="center"/>
              <w:rPr>
                <w:color w:val="auto"/>
                <w:highlight w:val="none"/>
              </w:rPr>
            </w:pPr>
            <w:r>
              <w:rPr>
                <w:color w:val="auto"/>
                <w:highlight w:val="none"/>
              </w:rPr>
              <w:t>中标价</w:t>
            </w:r>
          </w:p>
        </w:tc>
        <w:tc>
          <w:tcPr>
            <w:tcW w:w="2374" w:type="dxa"/>
            <w:tcBorders>
              <w:top w:val="double" w:color="auto" w:sz="4" w:space="0"/>
              <w:left w:val="single" w:color="auto" w:sz="6" w:space="0"/>
              <w:bottom w:val="single" w:color="auto" w:sz="6" w:space="0"/>
              <w:right w:val="single" w:color="auto" w:sz="6" w:space="0"/>
            </w:tcBorders>
          </w:tcPr>
          <w:p w14:paraId="5000EA8A">
            <w:pPr>
              <w:pStyle w:val="47"/>
              <w:spacing w:line="440" w:lineRule="exact"/>
              <w:jc w:val="center"/>
              <w:rPr>
                <w:color w:val="auto"/>
                <w:highlight w:val="none"/>
              </w:rPr>
            </w:pPr>
            <w:r>
              <w:rPr>
                <w:color w:val="auto"/>
                <w:highlight w:val="none"/>
              </w:rPr>
              <w:t>项目实施单位</w:t>
            </w:r>
          </w:p>
        </w:tc>
        <w:tc>
          <w:tcPr>
            <w:tcW w:w="1814" w:type="dxa"/>
            <w:tcBorders>
              <w:top w:val="double" w:color="auto" w:sz="4" w:space="0"/>
              <w:left w:val="single" w:color="auto" w:sz="6" w:space="0"/>
              <w:bottom w:val="single" w:color="auto" w:sz="6" w:space="0"/>
              <w:right w:val="double" w:color="auto" w:sz="4" w:space="0"/>
            </w:tcBorders>
            <w:vAlign w:val="center"/>
          </w:tcPr>
          <w:p w14:paraId="688AC344">
            <w:pPr>
              <w:pStyle w:val="47"/>
              <w:spacing w:line="440" w:lineRule="exact"/>
              <w:jc w:val="center"/>
              <w:rPr>
                <w:color w:val="auto"/>
                <w:highlight w:val="none"/>
              </w:rPr>
            </w:pPr>
            <w:r>
              <w:rPr>
                <w:color w:val="auto"/>
                <w:highlight w:val="none"/>
              </w:rPr>
              <w:t>备注</w:t>
            </w:r>
          </w:p>
        </w:tc>
      </w:tr>
      <w:tr w14:paraId="18B49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14:paraId="20FEC0AA">
            <w:pPr>
              <w:pStyle w:val="47"/>
              <w:spacing w:line="440" w:lineRule="exact"/>
              <w:jc w:val="center"/>
              <w:rPr>
                <w:color w:val="auto"/>
                <w:highlight w:val="none"/>
              </w:rPr>
            </w:pPr>
            <w:r>
              <w:rPr>
                <w:color w:val="auto"/>
                <w:highlight w:val="none"/>
              </w:rPr>
              <w:t>1</w:t>
            </w:r>
          </w:p>
        </w:tc>
        <w:tc>
          <w:tcPr>
            <w:tcW w:w="1538" w:type="dxa"/>
            <w:tcBorders>
              <w:top w:val="single" w:color="auto" w:sz="6" w:space="0"/>
              <w:left w:val="single" w:color="auto" w:sz="6" w:space="0"/>
              <w:bottom w:val="single" w:color="auto" w:sz="6" w:space="0"/>
              <w:right w:val="single" w:color="auto" w:sz="6" w:space="0"/>
            </w:tcBorders>
            <w:vAlign w:val="center"/>
          </w:tcPr>
          <w:p w14:paraId="04942C2C">
            <w:pPr>
              <w:pStyle w:val="47"/>
              <w:spacing w:line="440" w:lineRule="exact"/>
              <w:jc w:val="center"/>
              <w:rPr>
                <w:color w:val="auto"/>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4612D1DE">
            <w:pPr>
              <w:pStyle w:val="47"/>
              <w:spacing w:line="440" w:lineRule="exact"/>
              <w:jc w:val="center"/>
              <w:rPr>
                <w:color w:val="auto"/>
                <w:highlight w:val="none"/>
              </w:rPr>
            </w:pPr>
          </w:p>
        </w:tc>
        <w:tc>
          <w:tcPr>
            <w:tcW w:w="979" w:type="dxa"/>
            <w:tcBorders>
              <w:top w:val="single" w:color="auto" w:sz="6" w:space="0"/>
              <w:left w:val="single" w:color="auto" w:sz="6" w:space="0"/>
              <w:bottom w:val="single" w:color="auto" w:sz="6" w:space="0"/>
              <w:right w:val="single" w:color="auto" w:sz="6" w:space="0"/>
            </w:tcBorders>
            <w:vAlign w:val="center"/>
          </w:tcPr>
          <w:p w14:paraId="16A1B164">
            <w:pPr>
              <w:pStyle w:val="47"/>
              <w:spacing w:line="440" w:lineRule="exact"/>
              <w:jc w:val="center"/>
              <w:rPr>
                <w:color w:val="auto"/>
                <w:highlight w:val="none"/>
              </w:rPr>
            </w:pPr>
          </w:p>
        </w:tc>
        <w:tc>
          <w:tcPr>
            <w:tcW w:w="2374" w:type="dxa"/>
            <w:tcBorders>
              <w:top w:val="single" w:color="auto" w:sz="6" w:space="0"/>
              <w:left w:val="single" w:color="auto" w:sz="6" w:space="0"/>
              <w:bottom w:val="single" w:color="auto" w:sz="6" w:space="0"/>
              <w:right w:val="single" w:color="auto" w:sz="6" w:space="0"/>
            </w:tcBorders>
          </w:tcPr>
          <w:p w14:paraId="44AA5BFE">
            <w:pPr>
              <w:pStyle w:val="47"/>
              <w:spacing w:line="440" w:lineRule="exact"/>
              <w:jc w:val="center"/>
              <w:rPr>
                <w:color w:val="auto"/>
                <w:highlight w:val="none"/>
              </w:rPr>
            </w:pPr>
          </w:p>
        </w:tc>
        <w:tc>
          <w:tcPr>
            <w:tcW w:w="1814" w:type="dxa"/>
            <w:tcBorders>
              <w:top w:val="single" w:color="auto" w:sz="6" w:space="0"/>
              <w:left w:val="single" w:color="auto" w:sz="6" w:space="0"/>
              <w:bottom w:val="single" w:color="auto" w:sz="6" w:space="0"/>
              <w:right w:val="double" w:color="auto" w:sz="4" w:space="0"/>
            </w:tcBorders>
            <w:vAlign w:val="center"/>
          </w:tcPr>
          <w:p w14:paraId="13BCD465">
            <w:pPr>
              <w:pStyle w:val="47"/>
              <w:spacing w:line="440" w:lineRule="exact"/>
              <w:jc w:val="center"/>
              <w:rPr>
                <w:color w:val="auto"/>
                <w:highlight w:val="none"/>
              </w:rPr>
            </w:pPr>
          </w:p>
        </w:tc>
      </w:tr>
      <w:tr w14:paraId="0E211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14:paraId="042E4199">
            <w:pPr>
              <w:pStyle w:val="47"/>
              <w:spacing w:line="440" w:lineRule="exact"/>
              <w:jc w:val="center"/>
              <w:rPr>
                <w:color w:val="auto"/>
                <w:highlight w:val="none"/>
              </w:rPr>
            </w:pPr>
            <w:r>
              <w:rPr>
                <w:color w:val="auto"/>
                <w:highlight w:val="none"/>
              </w:rPr>
              <w:t>2</w:t>
            </w:r>
          </w:p>
        </w:tc>
        <w:tc>
          <w:tcPr>
            <w:tcW w:w="1538" w:type="dxa"/>
            <w:tcBorders>
              <w:top w:val="single" w:color="auto" w:sz="6" w:space="0"/>
              <w:left w:val="single" w:color="auto" w:sz="6" w:space="0"/>
              <w:bottom w:val="single" w:color="auto" w:sz="6" w:space="0"/>
              <w:right w:val="single" w:color="auto" w:sz="6" w:space="0"/>
            </w:tcBorders>
            <w:vAlign w:val="center"/>
          </w:tcPr>
          <w:p w14:paraId="69BF3A1C">
            <w:pPr>
              <w:pStyle w:val="47"/>
              <w:spacing w:line="440" w:lineRule="exact"/>
              <w:jc w:val="center"/>
              <w:rPr>
                <w:color w:val="auto"/>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4D5B8EA7">
            <w:pPr>
              <w:pStyle w:val="47"/>
              <w:spacing w:line="440" w:lineRule="exact"/>
              <w:jc w:val="center"/>
              <w:rPr>
                <w:color w:val="auto"/>
                <w:highlight w:val="none"/>
              </w:rPr>
            </w:pPr>
          </w:p>
        </w:tc>
        <w:tc>
          <w:tcPr>
            <w:tcW w:w="979" w:type="dxa"/>
            <w:tcBorders>
              <w:top w:val="single" w:color="auto" w:sz="6" w:space="0"/>
              <w:left w:val="single" w:color="auto" w:sz="6" w:space="0"/>
              <w:bottom w:val="single" w:color="auto" w:sz="6" w:space="0"/>
              <w:right w:val="single" w:color="auto" w:sz="6" w:space="0"/>
            </w:tcBorders>
            <w:vAlign w:val="center"/>
          </w:tcPr>
          <w:p w14:paraId="4F2B1E40">
            <w:pPr>
              <w:pStyle w:val="47"/>
              <w:spacing w:line="440" w:lineRule="exact"/>
              <w:jc w:val="center"/>
              <w:rPr>
                <w:color w:val="auto"/>
                <w:highlight w:val="none"/>
              </w:rPr>
            </w:pPr>
          </w:p>
        </w:tc>
        <w:tc>
          <w:tcPr>
            <w:tcW w:w="2374" w:type="dxa"/>
            <w:tcBorders>
              <w:top w:val="single" w:color="auto" w:sz="6" w:space="0"/>
              <w:left w:val="single" w:color="auto" w:sz="6" w:space="0"/>
              <w:bottom w:val="single" w:color="auto" w:sz="6" w:space="0"/>
              <w:right w:val="single" w:color="auto" w:sz="6" w:space="0"/>
            </w:tcBorders>
          </w:tcPr>
          <w:p w14:paraId="02BEF00E">
            <w:pPr>
              <w:pStyle w:val="47"/>
              <w:spacing w:line="440" w:lineRule="exact"/>
              <w:jc w:val="center"/>
              <w:rPr>
                <w:color w:val="auto"/>
                <w:highlight w:val="none"/>
              </w:rPr>
            </w:pPr>
          </w:p>
        </w:tc>
        <w:tc>
          <w:tcPr>
            <w:tcW w:w="1814" w:type="dxa"/>
            <w:tcBorders>
              <w:top w:val="single" w:color="auto" w:sz="6" w:space="0"/>
              <w:left w:val="single" w:color="auto" w:sz="6" w:space="0"/>
              <w:bottom w:val="single" w:color="auto" w:sz="6" w:space="0"/>
              <w:right w:val="double" w:color="auto" w:sz="4" w:space="0"/>
            </w:tcBorders>
            <w:vAlign w:val="center"/>
          </w:tcPr>
          <w:p w14:paraId="4B95FDDB">
            <w:pPr>
              <w:pStyle w:val="47"/>
              <w:spacing w:line="440" w:lineRule="exact"/>
              <w:jc w:val="center"/>
              <w:rPr>
                <w:color w:val="auto"/>
                <w:highlight w:val="none"/>
              </w:rPr>
            </w:pPr>
          </w:p>
        </w:tc>
      </w:tr>
      <w:tr w14:paraId="51E27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14:paraId="3A011F8E">
            <w:pPr>
              <w:pStyle w:val="47"/>
              <w:spacing w:line="440" w:lineRule="exact"/>
              <w:jc w:val="center"/>
              <w:rPr>
                <w:color w:val="auto"/>
                <w:highlight w:val="none"/>
              </w:rPr>
            </w:pPr>
            <w:r>
              <w:rPr>
                <w:color w:val="auto"/>
                <w:highlight w:val="none"/>
              </w:rPr>
              <w:t>3</w:t>
            </w:r>
          </w:p>
        </w:tc>
        <w:tc>
          <w:tcPr>
            <w:tcW w:w="1538" w:type="dxa"/>
            <w:tcBorders>
              <w:top w:val="single" w:color="auto" w:sz="6" w:space="0"/>
              <w:left w:val="single" w:color="auto" w:sz="6" w:space="0"/>
              <w:bottom w:val="single" w:color="auto" w:sz="6" w:space="0"/>
              <w:right w:val="single" w:color="auto" w:sz="6" w:space="0"/>
            </w:tcBorders>
            <w:vAlign w:val="center"/>
          </w:tcPr>
          <w:p w14:paraId="4CCB3B61">
            <w:pPr>
              <w:pStyle w:val="47"/>
              <w:spacing w:line="440" w:lineRule="exact"/>
              <w:jc w:val="center"/>
              <w:rPr>
                <w:color w:val="auto"/>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220B619C">
            <w:pPr>
              <w:pStyle w:val="47"/>
              <w:spacing w:line="440" w:lineRule="exact"/>
              <w:jc w:val="center"/>
              <w:rPr>
                <w:color w:val="auto"/>
                <w:highlight w:val="none"/>
              </w:rPr>
            </w:pPr>
          </w:p>
        </w:tc>
        <w:tc>
          <w:tcPr>
            <w:tcW w:w="979" w:type="dxa"/>
            <w:tcBorders>
              <w:top w:val="single" w:color="auto" w:sz="6" w:space="0"/>
              <w:left w:val="single" w:color="auto" w:sz="6" w:space="0"/>
              <w:bottom w:val="single" w:color="auto" w:sz="6" w:space="0"/>
              <w:right w:val="single" w:color="auto" w:sz="6" w:space="0"/>
            </w:tcBorders>
            <w:vAlign w:val="center"/>
          </w:tcPr>
          <w:p w14:paraId="6F3C0DAA">
            <w:pPr>
              <w:pStyle w:val="47"/>
              <w:spacing w:line="440" w:lineRule="exact"/>
              <w:jc w:val="center"/>
              <w:rPr>
                <w:color w:val="auto"/>
                <w:highlight w:val="none"/>
              </w:rPr>
            </w:pPr>
          </w:p>
        </w:tc>
        <w:tc>
          <w:tcPr>
            <w:tcW w:w="2374" w:type="dxa"/>
            <w:tcBorders>
              <w:top w:val="single" w:color="auto" w:sz="6" w:space="0"/>
              <w:left w:val="single" w:color="auto" w:sz="6" w:space="0"/>
              <w:bottom w:val="single" w:color="auto" w:sz="6" w:space="0"/>
              <w:right w:val="single" w:color="auto" w:sz="6" w:space="0"/>
            </w:tcBorders>
          </w:tcPr>
          <w:p w14:paraId="2994ECDB">
            <w:pPr>
              <w:pStyle w:val="47"/>
              <w:spacing w:line="440" w:lineRule="exact"/>
              <w:jc w:val="center"/>
              <w:rPr>
                <w:color w:val="auto"/>
                <w:highlight w:val="none"/>
              </w:rPr>
            </w:pPr>
          </w:p>
        </w:tc>
        <w:tc>
          <w:tcPr>
            <w:tcW w:w="1814" w:type="dxa"/>
            <w:tcBorders>
              <w:top w:val="single" w:color="auto" w:sz="6" w:space="0"/>
              <w:left w:val="single" w:color="auto" w:sz="6" w:space="0"/>
              <w:bottom w:val="single" w:color="auto" w:sz="6" w:space="0"/>
              <w:right w:val="double" w:color="auto" w:sz="4" w:space="0"/>
            </w:tcBorders>
            <w:vAlign w:val="center"/>
          </w:tcPr>
          <w:p w14:paraId="5E45F790">
            <w:pPr>
              <w:pStyle w:val="47"/>
              <w:spacing w:line="440" w:lineRule="exact"/>
              <w:jc w:val="center"/>
              <w:rPr>
                <w:color w:val="auto"/>
                <w:highlight w:val="none"/>
              </w:rPr>
            </w:pPr>
          </w:p>
        </w:tc>
      </w:tr>
      <w:tr w14:paraId="5D0AF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14:paraId="4C066814">
            <w:pPr>
              <w:pStyle w:val="47"/>
              <w:spacing w:line="440" w:lineRule="exact"/>
              <w:jc w:val="center"/>
              <w:rPr>
                <w:color w:val="auto"/>
                <w:highlight w:val="none"/>
              </w:rPr>
            </w:pPr>
            <w:r>
              <w:rPr>
                <w:color w:val="auto"/>
                <w:highlight w:val="none"/>
              </w:rPr>
              <w:t>4</w:t>
            </w:r>
          </w:p>
        </w:tc>
        <w:tc>
          <w:tcPr>
            <w:tcW w:w="1538" w:type="dxa"/>
            <w:tcBorders>
              <w:top w:val="single" w:color="auto" w:sz="6" w:space="0"/>
              <w:left w:val="single" w:color="auto" w:sz="6" w:space="0"/>
              <w:bottom w:val="single" w:color="auto" w:sz="6" w:space="0"/>
              <w:right w:val="single" w:color="auto" w:sz="6" w:space="0"/>
            </w:tcBorders>
            <w:vAlign w:val="center"/>
          </w:tcPr>
          <w:p w14:paraId="7B435BA8">
            <w:pPr>
              <w:pStyle w:val="47"/>
              <w:spacing w:line="440" w:lineRule="exact"/>
              <w:jc w:val="center"/>
              <w:rPr>
                <w:color w:val="auto"/>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40DD48CE">
            <w:pPr>
              <w:pStyle w:val="47"/>
              <w:spacing w:line="440" w:lineRule="exact"/>
              <w:jc w:val="center"/>
              <w:rPr>
                <w:color w:val="auto"/>
                <w:highlight w:val="none"/>
              </w:rPr>
            </w:pPr>
          </w:p>
        </w:tc>
        <w:tc>
          <w:tcPr>
            <w:tcW w:w="979" w:type="dxa"/>
            <w:tcBorders>
              <w:top w:val="single" w:color="auto" w:sz="6" w:space="0"/>
              <w:left w:val="single" w:color="auto" w:sz="6" w:space="0"/>
              <w:bottom w:val="single" w:color="auto" w:sz="6" w:space="0"/>
              <w:right w:val="single" w:color="auto" w:sz="6" w:space="0"/>
            </w:tcBorders>
            <w:vAlign w:val="center"/>
          </w:tcPr>
          <w:p w14:paraId="4AB86DCE">
            <w:pPr>
              <w:pStyle w:val="47"/>
              <w:spacing w:line="440" w:lineRule="exact"/>
              <w:jc w:val="center"/>
              <w:rPr>
                <w:color w:val="auto"/>
                <w:highlight w:val="none"/>
              </w:rPr>
            </w:pPr>
          </w:p>
        </w:tc>
        <w:tc>
          <w:tcPr>
            <w:tcW w:w="2374" w:type="dxa"/>
            <w:tcBorders>
              <w:top w:val="single" w:color="auto" w:sz="6" w:space="0"/>
              <w:left w:val="single" w:color="auto" w:sz="6" w:space="0"/>
              <w:bottom w:val="single" w:color="auto" w:sz="6" w:space="0"/>
              <w:right w:val="single" w:color="auto" w:sz="6" w:space="0"/>
            </w:tcBorders>
          </w:tcPr>
          <w:p w14:paraId="6FE22717">
            <w:pPr>
              <w:pStyle w:val="47"/>
              <w:spacing w:line="440" w:lineRule="exact"/>
              <w:jc w:val="center"/>
              <w:rPr>
                <w:color w:val="auto"/>
                <w:highlight w:val="none"/>
              </w:rPr>
            </w:pPr>
          </w:p>
        </w:tc>
        <w:tc>
          <w:tcPr>
            <w:tcW w:w="1814" w:type="dxa"/>
            <w:tcBorders>
              <w:top w:val="single" w:color="auto" w:sz="6" w:space="0"/>
              <w:left w:val="single" w:color="auto" w:sz="6" w:space="0"/>
              <w:bottom w:val="single" w:color="auto" w:sz="6" w:space="0"/>
              <w:right w:val="double" w:color="auto" w:sz="4" w:space="0"/>
            </w:tcBorders>
            <w:vAlign w:val="center"/>
          </w:tcPr>
          <w:p w14:paraId="21A3BB44">
            <w:pPr>
              <w:pStyle w:val="47"/>
              <w:spacing w:line="440" w:lineRule="exact"/>
              <w:jc w:val="center"/>
              <w:rPr>
                <w:color w:val="auto"/>
                <w:highlight w:val="none"/>
              </w:rPr>
            </w:pPr>
          </w:p>
        </w:tc>
      </w:tr>
      <w:tr w14:paraId="38424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14:paraId="01D58B52">
            <w:pPr>
              <w:pStyle w:val="47"/>
              <w:spacing w:line="440" w:lineRule="exact"/>
              <w:jc w:val="center"/>
              <w:rPr>
                <w:color w:val="auto"/>
                <w:highlight w:val="none"/>
              </w:rPr>
            </w:pPr>
            <w:r>
              <w:rPr>
                <w:color w:val="auto"/>
                <w:highlight w:val="none"/>
              </w:rPr>
              <w:t>……</w:t>
            </w:r>
          </w:p>
        </w:tc>
        <w:tc>
          <w:tcPr>
            <w:tcW w:w="1538" w:type="dxa"/>
            <w:tcBorders>
              <w:top w:val="single" w:color="auto" w:sz="6" w:space="0"/>
              <w:left w:val="single" w:color="auto" w:sz="6" w:space="0"/>
              <w:bottom w:val="single" w:color="auto" w:sz="6" w:space="0"/>
              <w:right w:val="single" w:color="auto" w:sz="6" w:space="0"/>
            </w:tcBorders>
            <w:vAlign w:val="center"/>
          </w:tcPr>
          <w:p w14:paraId="6D997504">
            <w:pPr>
              <w:pStyle w:val="47"/>
              <w:spacing w:line="440" w:lineRule="exact"/>
              <w:jc w:val="center"/>
              <w:rPr>
                <w:color w:val="auto"/>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4805A04F">
            <w:pPr>
              <w:pStyle w:val="47"/>
              <w:spacing w:line="440" w:lineRule="exact"/>
              <w:jc w:val="center"/>
              <w:rPr>
                <w:color w:val="auto"/>
                <w:highlight w:val="none"/>
              </w:rPr>
            </w:pPr>
          </w:p>
        </w:tc>
        <w:tc>
          <w:tcPr>
            <w:tcW w:w="979" w:type="dxa"/>
            <w:tcBorders>
              <w:top w:val="single" w:color="auto" w:sz="6" w:space="0"/>
              <w:left w:val="single" w:color="auto" w:sz="6" w:space="0"/>
              <w:bottom w:val="single" w:color="auto" w:sz="6" w:space="0"/>
              <w:right w:val="single" w:color="auto" w:sz="6" w:space="0"/>
            </w:tcBorders>
            <w:vAlign w:val="center"/>
          </w:tcPr>
          <w:p w14:paraId="78DD3764">
            <w:pPr>
              <w:pStyle w:val="47"/>
              <w:spacing w:line="440" w:lineRule="exact"/>
              <w:jc w:val="center"/>
              <w:rPr>
                <w:color w:val="auto"/>
                <w:highlight w:val="none"/>
              </w:rPr>
            </w:pPr>
          </w:p>
        </w:tc>
        <w:tc>
          <w:tcPr>
            <w:tcW w:w="2374" w:type="dxa"/>
            <w:tcBorders>
              <w:top w:val="single" w:color="auto" w:sz="6" w:space="0"/>
              <w:left w:val="single" w:color="auto" w:sz="6" w:space="0"/>
              <w:bottom w:val="single" w:color="auto" w:sz="6" w:space="0"/>
              <w:right w:val="single" w:color="auto" w:sz="6" w:space="0"/>
            </w:tcBorders>
          </w:tcPr>
          <w:p w14:paraId="6568C2BB">
            <w:pPr>
              <w:pStyle w:val="47"/>
              <w:spacing w:line="440" w:lineRule="exact"/>
              <w:jc w:val="center"/>
              <w:rPr>
                <w:color w:val="auto"/>
                <w:highlight w:val="none"/>
              </w:rPr>
            </w:pPr>
          </w:p>
        </w:tc>
        <w:tc>
          <w:tcPr>
            <w:tcW w:w="1814" w:type="dxa"/>
            <w:tcBorders>
              <w:top w:val="single" w:color="auto" w:sz="6" w:space="0"/>
              <w:left w:val="single" w:color="auto" w:sz="6" w:space="0"/>
              <w:bottom w:val="single" w:color="auto" w:sz="6" w:space="0"/>
              <w:right w:val="double" w:color="auto" w:sz="4" w:space="0"/>
            </w:tcBorders>
            <w:vAlign w:val="center"/>
          </w:tcPr>
          <w:p w14:paraId="5EE9A491">
            <w:pPr>
              <w:pStyle w:val="47"/>
              <w:spacing w:line="440" w:lineRule="exact"/>
              <w:jc w:val="center"/>
              <w:rPr>
                <w:color w:val="auto"/>
                <w:highlight w:val="none"/>
              </w:rPr>
            </w:pPr>
          </w:p>
        </w:tc>
      </w:tr>
    </w:tbl>
    <w:p w14:paraId="183EFBAA">
      <w:pPr>
        <w:pStyle w:val="3"/>
        <w:spacing w:line="480" w:lineRule="auto"/>
        <w:ind w:left="0" w:leftChars="0" w:firstLine="0" w:firstLineChars="0"/>
        <w:rPr>
          <w:rFonts w:hint="eastAsia"/>
          <w:b w:val="0"/>
          <w:highlight w:val="none"/>
          <w:lang w:val="en-US" w:eastAsia="zh-CN"/>
        </w:rPr>
      </w:pPr>
      <w:r>
        <w:rPr>
          <w:rFonts w:hint="eastAsia"/>
          <w:b w:val="0"/>
          <w:highlight w:val="none"/>
          <w:lang w:val="en-US" w:eastAsia="zh-CN"/>
        </w:rPr>
        <w:t>注：需提供合同或中标（成交）通知书</w:t>
      </w:r>
    </w:p>
    <w:p w14:paraId="7BA1B0B6">
      <w:pPr>
        <w:wordWrap w:val="0"/>
        <w:spacing w:line="440" w:lineRule="exact"/>
        <w:ind w:right="120"/>
        <w:jc w:val="right"/>
        <w:rPr>
          <w:sz w:val="24"/>
          <w:highlight w:val="none"/>
        </w:rPr>
      </w:pPr>
      <w:r>
        <w:rPr>
          <w:sz w:val="24"/>
          <w:highlight w:val="none"/>
        </w:rPr>
        <w:t xml:space="preserve">投标人盖章：                     </w:t>
      </w:r>
    </w:p>
    <w:p w14:paraId="2CA79D25">
      <w:pPr>
        <w:spacing w:line="440" w:lineRule="exact"/>
        <w:jc w:val="right"/>
        <w:rPr>
          <w:sz w:val="24"/>
          <w:highlight w:val="none"/>
        </w:rPr>
      </w:pPr>
    </w:p>
    <w:p w14:paraId="0E1ED6E1">
      <w:pPr>
        <w:spacing w:line="440" w:lineRule="exact"/>
        <w:jc w:val="right"/>
        <w:rPr>
          <w:sz w:val="24"/>
          <w:highlight w:val="none"/>
        </w:rPr>
      </w:pPr>
      <w:r>
        <w:rPr>
          <w:sz w:val="24"/>
          <w:highlight w:val="none"/>
        </w:rPr>
        <w:t>投标人法人或代理人（盖章或签字）：</w:t>
      </w:r>
    </w:p>
    <w:p w14:paraId="6FE64AEC">
      <w:pPr>
        <w:spacing w:line="440" w:lineRule="exact"/>
        <w:jc w:val="right"/>
        <w:rPr>
          <w:sz w:val="24"/>
          <w:highlight w:val="none"/>
        </w:rPr>
      </w:pPr>
    </w:p>
    <w:p w14:paraId="421749E0">
      <w:pPr>
        <w:spacing w:line="440" w:lineRule="exact"/>
        <w:jc w:val="right"/>
        <w:rPr>
          <w:sz w:val="24"/>
          <w:highlight w:val="none"/>
        </w:rPr>
      </w:pPr>
      <w:r>
        <w:rPr>
          <w:sz w:val="24"/>
          <w:highlight w:val="none"/>
        </w:rPr>
        <w:t xml:space="preserve">                                      年    月     日</w:t>
      </w:r>
    </w:p>
    <w:p w14:paraId="691DCB29">
      <w:pPr>
        <w:spacing w:line="440" w:lineRule="exact"/>
        <w:jc w:val="right"/>
        <w:rPr>
          <w:sz w:val="24"/>
          <w:highlight w:val="none"/>
        </w:rPr>
      </w:pPr>
      <w:r>
        <w:rPr>
          <w:sz w:val="24"/>
          <w:highlight w:val="none"/>
        </w:rPr>
        <w:br w:type="page"/>
      </w:r>
    </w:p>
    <w:p w14:paraId="1AD0DAD1">
      <w:pPr>
        <w:spacing w:line="440" w:lineRule="exact"/>
        <w:rPr>
          <w:b/>
          <w:sz w:val="28"/>
          <w:szCs w:val="28"/>
          <w:highlight w:val="none"/>
        </w:rPr>
      </w:pPr>
      <w:r>
        <w:rPr>
          <w:b/>
          <w:sz w:val="28"/>
          <w:szCs w:val="28"/>
          <w:highlight w:val="none"/>
        </w:rPr>
        <w:t>附表</w:t>
      </w:r>
      <w:r>
        <w:rPr>
          <w:rFonts w:hint="eastAsia"/>
          <w:b/>
          <w:sz w:val="28"/>
          <w:szCs w:val="28"/>
          <w:highlight w:val="none"/>
          <w:lang w:eastAsia="zh-CN"/>
        </w:rPr>
        <w:t>八</w:t>
      </w:r>
      <w:r>
        <w:rPr>
          <w:b/>
          <w:sz w:val="28"/>
          <w:szCs w:val="28"/>
          <w:highlight w:val="none"/>
        </w:rPr>
        <w:t>：</w:t>
      </w:r>
    </w:p>
    <w:p w14:paraId="4F67150A">
      <w:pPr>
        <w:spacing w:line="440" w:lineRule="exact"/>
        <w:jc w:val="center"/>
        <w:rPr>
          <w:rFonts w:hint="eastAsia"/>
          <w:b/>
          <w:sz w:val="28"/>
          <w:szCs w:val="28"/>
          <w:highlight w:val="none"/>
          <w:lang w:eastAsia="zh-CN"/>
        </w:rPr>
      </w:pPr>
      <w:r>
        <w:rPr>
          <w:rFonts w:hint="eastAsia"/>
          <w:b/>
          <w:sz w:val="28"/>
          <w:szCs w:val="28"/>
          <w:highlight w:val="none"/>
        </w:rPr>
        <w:t>投标保证金缴纳凭证</w:t>
      </w:r>
    </w:p>
    <w:p w14:paraId="5AA660BB">
      <w:pPr>
        <w:pStyle w:val="12"/>
        <w:rPr>
          <w:rFonts w:hint="eastAsia"/>
          <w:highlight w:val="none"/>
          <w:lang w:eastAsia="zh-CN"/>
        </w:rPr>
      </w:pPr>
    </w:p>
    <w:p w14:paraId="3E68FA7C">
      <w:pPr>
        <w:pStyle w:val="12"/>
        <w:rPr>
          <w:rFonts w:hint="eastAsia"/>
          <w:highlight w:val="none"/>
          <w:lang w:eastAsia="zh-CN"/>
        </w:rPr>
      </w:pPr>
    </w:p>
    <w:p w14:paraId="7306B09D">
      <w:pPr>
        <w:pStyle w:val="12"/>
        <w:rPr>
          <w:rFonts w:hint="eastAsia"/>
          <w:b/>
          <w:bCs/>
          <w:highlight w:val="none"/>
          <w:lang w:eastAsia="zh-CN"/>
        </w:rPr>
      </w:pPr>
      <w:r>
        <w:rPr>
          <w:rFonts w:hint="eastAsia"/>
          <w:b/>
          <w:bCs/>
          <w:highlight w:val="none"/>
          <w:lang w:eastAsia="zh-CN"/>
        </w:rPr>
        <w:t>附：电子保函及</w:t>
      </w:r>
      <w:r>
        <w:rPr>
          <w:rFonts w:hint="eastAsia"/>
          <w:b/>
          <w:bCs/>
          <w:highlight w:val="none"/>
          <w:lang w:val="en-US" w:eastAsia="zh-CN"/>
        </w:rPr>
        <w:t>保函费支付凭证</w:t>
      </w:r>
    </w:p>
    <w:p w14:paraId="3E5F1297">
      <w:pPr>
        <w:pStyle w:val="12"/>
        <w:rPr>
          <w:rFonts w:hint="eastAsia"/>
          <w:highlight w:val="none"/>
          <w:lang w:eastAsia="zh-CN"/>
        </w:rPr>
      </w:pPr>
    </w:p>
    <w:p w14:paraId="74831D87">
      <w:pPr>
        <w:spacing w:line="440" w:lineRule="exact"/>
        <w:rPr>
          <w:b/>
          <w:sz w:val="28"/>
          <w:szCs w:val="28"/>
          <w:highlight w:val="none"/>
        </w:rPr>
      </w:pPr>
    </w:p>
    <w:p w14:paraId="0CFDABA0">
      <w:pPr>
        <w:spacing w:line="440" w:lineRule="exact"/>
        <w:rPr>
          <w:b/>
          <w:sz w:val="28"/>
          <w:szCs w:val="28"/>
          <w:highlight w:val="none"/>
        </w:rPr>
      </w:pPr>
    </w:p>
    <w:p w14:paraId="2BE24FAC">
      <w:pPr>
        <w:spacing w:line="440" w:lineRule="exact"/>
        <w:rPr>
          <w:b/>
          <w:sz w:val="28"/>
          <w:szCs w:val="28"/>
          <w:highlight w:val="none"/>
        </w:rPr>
      </w:pPr>
    </w:p>
    <w:p w14:paraId="7D56F675">
      <w:pPr>
        <w:rPr>
          <w:b/>
          <w:sz w:val="28"/>
          <w:szCs w:val="28"/>
          <w:highlight w:val="none"/>
        </w:rPr>
      </w:pPr>
    </w:p>
    <w:p w14:paraId="71710D50">
      <w:pPr>
        <w:rPr>
          <w:b/>
          <w:sz w:val="28"/>
          <w:szCs w:val="28"/>
          <w:highlight w:val="none"/>
        </w:rPr>
      </w:pPr>
    </w:p>
    <w:p w14:paraId="1FC74A9C">
      <w:pPr>
        <w:rPr>
          <w:b/>
          <w:sz w:val="28"/>
          <w:szCs w:val="28"/>
          <w:highlight w:val="none"/>
        </w:rPr>
      </w:pPr>
    </w:p>
    <w:p w14:paraId="34471D8C">
      <w:pPr>
        <w:rPr>
          <w:b/>
          <w:sz w:val="28"/>
          <w:szCs w:val="28"/>
          <w:highlight w:val="none"/>
        </w:rPr>
      </w:pPr>
    </w:p>
    <w:p w14:paraId="1CF15217">
      <w:pPr>
        <w:spacing w:line="440" w:lineRule="exact"/>
        <w:jc w:val="right"/>
        <w:rPr>
          <w:b/>
          <w:sz w:val="28"/>
          <w:szCs w:val="28"/>
          <w:highlight w:val="none"/>
        </w:rPr>
      </w:pPr>
      <w:r>
        <w:rPr>
          <w:b/>
          <w:sz w:val="28"/>
          <w:szCs w:val="28"/>
          <w:highlight w:val="none"/>
        </w:rPr>
        <w:br w:type="page"/>
      </w:r>
    </w:p>
    <w:p w14:paraId="7D7847ED">
      <w:pPr>
        <w:spacing w:line="440" w:lineRule="exact"/>
        <w:rPr>
          <w:rFonts w:hint="default" w:ascii="宋体" w:hAnsi="宋体" w:eastAsia="宋体"/>
          <w:b/>
          <w:sz w:val="28"/>
          <w:szCs w:val="28"/>
          <w:highlight w:val="none"/>
          <w:lang w:val="en-US" w:eastAsia="zh-CN"/>
        </w:rPr>
      </w:pPr>
      <w:r>
        <w:rPr>
          <w:rFonts w:hint="eastAsia" w:ascii="宋体" w:hAnsi="宋体"/>
          <w:b/>
          <w:sz w:val="28"/>
          <w:szCs w:val="28"/>
          <w:highlight w:val="none"/>
        </w:rPr>
        <w:t>附</w:t>
      </w:r>
      <w:r>
        <w:rPr>
          <w:rFonts w:hint="eastAsia" w:ascii="宋体" w:hAnsi="宋体"/>
          <w:b/>
          <w:sz w:val="28"/>
          <w:szCs w:val="28"/>
          <w:highlight w:val="none"/>
          <w:lang w:eastAsia="zh-CN"/>
        </w:rPr>
        <w:t>表九</w:t>
      </w:r>
      <w:r>
        <w:rPr>
          <w:rFonts w:hint="eastAsia" w:ascii="宋体" w:hAnsi="宋体"/>
          <w:b/>
          <w:sz w:val="28"/>
          <w:szCs w:val="28"/>
          <w:highlight w:val="none"/>
        </w:rPr>
        <w:t>：</w:t>
      </w:r>
      <w:r>
        <w:rPr>
          <w:rFonts w:ascii="宋体" w:hAnsi="宋体"/>
          <w:b/>
          <w:sz w:val="28"/>
          <w:szCs w:val="28"/>
          <w:highlight w:val="none"/>
        </w:rPr>
        <w:t xml:space="preserve"> </w:t>
      </w:r>
      <w:r>
        <w:rPr>
          <w:rFonts w:hint="eastAsia" w:ascii="宋体" w:hAnsi="宋体"/>
          <w:b/>
          <w:sz w:val="28"/>
          <w:szCs w:val="28"/>
          <w:highlight w:val="none"/>
          <w:lang w:val="en-US" w:eastAsia="zh-CN"/>
        </w:rPr>
        <w:t xml:space="preserve">     </w:t>
      </w:r>
    </w:p>
    <w:p w14:paraId="01F6EF83">
      <w:pPr>
        <w:spacing w:before="156" w:beforeLines="50" w:after="156" w:afterLines="50" w:line="480" w:lineRule="auto"/>
        <w:jc w:val="center"/>
        <w:rPr>
          <w:rFonts w:ascii="宋体" w:hAnsi="宋体"/>
          <w:b/>
          <w:sz w:val="28"/>
          <w:szCs w:val="28"/>
          <w:highlight w:val="none"/>
        </w:rPr>
      </w:pPr>
      <w:r>
        <w:rPr>
          <w:rFonts w:hint="eastAsia" w:ascii="宋体" w:hAnsi="宋体"/>
          <w:b/>
          <w:sz w:val="28"/>
          <w:szCs w:val="28"/>
          <w:highlight w:val="none"/>
          <w:lang w:eastAsia="zh-CN"/>
        </w:rPr>
        <w:t>（</w:t>
      </w:r>
      <w:r>
        <w:rPr>
          <w:rFonts w:hint="eastAsia" w:ascii="宋体" w:hAnsi="宋体"/>
          <w:b/>
          <w:sz w:val="28"/>
          <w:szCs w:val="28"/>
          <w:highlight w:val="none"/>
          <w:lang w:val="en-US" w:eastAsia="zh-CN"/>
        </w:rPr>
        <w:t>一</w:t>
      </w:r>
      <w:r>
        <w:rPr>
          <w:rFonts w:hint="eastAsia" w:ascii="宋体" w:hAnsi="宋体"/>
          <w:b/>
          <w:sz w:val="28"/>
          <w:szCs w:val="28"/>
          <w:highlight w:val="none"/>
          <w:lang w:eastAsia="zh-CN"/>
        </w:rPr>
        <w:t>）</w:t>
      </w:r>
      <w:r>
        <w:rPr>
          <w:rFonts w:hint="eastAsia" w:ascii="宋体" w:hAnsi="宋体"/>
          <w:b/>
          <w:sz w:val="28"/>
          <w:szCs w:val="28"/>
          <w:highlight w:val="none"/>
        </w:rPr>
        <w:t>项目负责人简历表</w:t>
      </w:r>
    </w:p>
    <w:tbl>
      <w:tblPr>
        <w:tblStyle w:val="25"/>
        <w:tblW w:w="9968" w:type="dxa"/>
        <w:jc w:val="center"/>
        <w:tblLayout w:type="fixed"/>
        <w:tblCellMar>
          <w:top w:w="0" w:type="dxa"/>
          <w:left w:w="108" w:type="dxa"/>
          <w:bottom w:w="0" w:type="dxa"/>
          <w:right w:w="108" w:type="dxa"/>
        </w:tblCellMar>
      </w:tblPr>
      <w:tblGrid>
        <w:gridCol w:w="3196"/>
        <w:gridCol w:w="1118"/>
        <w:gridCol w:w="1284"/>
        <w:gridCol w:w="1256"/>
        <w:gridCol w:w="1256"/>
        <w:gridCol w:w="1858"/>
      </w:tblGrid>
      <w:tr w14:paraId="03CBAC21">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72F895D8">
            <w:pPr>
              <w:adjustRightInd w:val="0"/>
              <w:snapToGrid w:val="0"/>
              <w:spacing w:line="276" w:lineRule="auto"/>
              <w:jc w:val="center"/>
              <w:rPr>
                <w:rFonts w:ascii="宋体" w:hAnsi="宋体"/>
                <w:sz w:val="24"/>
                <w:highlight w:val="none"/>
              </w:rPr>
            </w:pPr>
            <w:r>
              <w:rPr>
                <w:rFonts w:hint="eastAsia" w:ascii="宋体" w:hAnsi="宋体"/>
                <w:sz w:val="24"/>
                <w:highlight w:val="none"/>
              </w:rPr>
              <w:t>单位名称</w:t>
            </w:r>
          </w:p>
        </w:tc>
        <w:tc>
          <w:tcPr>
            <w:tcW w:w="3658" w:type="dxa"/>
            <w:gridSpan w:val="3"/>
            <w:tcBorders>
              <w:top w:val="single" w:color="auto" w:sz="4" w:space="0"/>
              <w:left w:val="single" w:color="auto" w:sz="4" w:space="0"/>
              <w:bottom w:val="single" w:color="auto" w:sz="4" w:space="0"/>
              <w:right w:val="single" w:color="auto" w:sz="4" w:space="0"/>
            </w:tcBorders>
            <w:vAlign w:val="center"/>
          </w:tcPr>
          <w:p w14:paraId="311C7507">
            <w:pPr>
              <w:adjustRightInd w:val="0"/>
              <w:snapToGrid w:val="0"/>
              <w:spacing w:line="276" w:lineRule="auto"/>
              <w:jc w:val="center"/>
              <w:rPr>
                <w:rFonts w:ascii="宋体" w:hAnsi="宋体"/>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092EDCB8">
            <w:pPr>
              <w:adjustRightInd w:val="0"/>
              <w:snapToGrid w:val="0"/>
              <w:spacing w:line="276" w:lineRule="auto"/>
              <w:jc w:val="center"/>
              <w:rPr>
                <w:rFonts w:ascii="宋体" w:hAnsi="宋体"/>
                <w:sz w:val="24"/>
                <w:highlight w:val="none"/>
              </w:rPr>
            </w:pPr>
            <w:r>
              <w:rPr>
                <w:rFonts w:hint="eastAsia" w:ascii="宋体" w:hAnsi="宋体"/>
                <w:sz w:val="24"/>
                <w:highlight w:val="none"/>
              </w:rPr>
              <w:t>职    务</w:t>
            </w:r>
          </w:p>
        </w:tc>
        <w:tc>
          <w:tcPr>
            <w:tcW w:w="1858" w:type="dxa"/>
            <w:tcBorders>
              <w:top w:val="single" w:color="auto" w:sz="4" w:space="0"/>
              <w:left w:val="single" w:color="auto" w:sz="4" w:space="0"/>
              <w:bottom w:val="single" w:color="auto" w:sz="4" w:space="0"/>
              <w:right w:val="single" w:color="auto" w:sz="4" w:space="0"/>
            </w:tcBorders>
            <w:vAlign w:val="center"/>
          </w:tcPr>
          <w:p w14:paraId="6F316F05">
            <w:pPr>
              <w:adjustRightInd w:val="0"/>
              <w:snapToGrid w:val="0"/>
              <w:spacing w:line="276" w:lineRule="auto"/>
              <w:jc w:val="center"/>
              <w:rPr>
                <w:rFonts w:ascii="宋体" w:hAnsi="宋体"/>
                <w:sz w:val="24"/>
                <w:highlight w:val="none"/>
              </w:rPr>
            </w:pPr>
          </w:p>
        </w:tc>
      </w:tr>
      <w:tr w14:paraId="16460C76">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4A2B785B">
            <w:pPr>
              <w:adjustRightInd w:val="0"/>
              <w:snapToGrid w:val="0"/>
              <w:spacing w:line="276" w:lineRule="auto"/>
              <w:jc w:val="center"/>
              <w:rPr>
                <w:rFonts w:ascii="宋体" w:hAnsi="宋体"/>
                <w:sz w:val="24"/>
                <w:highlight w:val="none"/>
              </w:rPr>
            </w:pPr>
            <w:r>
              <w:rPr>
                <w:rFonts w:hint="eastAsia" w:ascii="宋体" w:hAnsi="宋体"/>
                <w:sz w:val="24"/>
                <w:highlight w:val="none"/>
              </w:rPr>
              <w:t>姓    名</w:t>
            </w:r>
          </w:p>
        </w:tc>
        <w:tc>
          <w:tcPr>
            <w:tcW w:w="1118" w:type="dxa"/>
            <w:tcBorders>
              <w:top w:val="single" w:color="auto" w:sz="4" w:space="0"/>
              <w:left w:val="single" w:color="auto" w:sz="4" w:space="0"/>
              <w:bottom w:val="single" w:color="auto" w:sz="4" w:space="0"/>
              <w:right w:val="single" w:color="auto" w:sz="4" w:space="0"/>
            </w:tcBorders>
            <w:vAlign w:val="center"/>
          </w:tcPr>
          <w:p w14:paraId="2EB331DD">
            <w:pPr>
              <w:adjustRightInd w:val="0"/>
              <w:snapToGrid w:val="0"/>
              <w:spacing w:line="276" w:lineRule="auto"/>
              <w:jc w:val="center"/>
              <w:rPr>
                <w:rFonts w:ascii="宋体" w:hAnsi="宋体"/>
                <w:sz w:val="24"/>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03E356D">
            <w:pPr>
              <w:adjustRightInd w:val="0"/>
              <w:snapToGrid w:val="0"/>
              <w:spacing w:line="276" w:lineRule="auto"/>
              <w:jc w:val="center"/>
              <w:rPr>
                <w:rFonts w:ascii="宋体" w:hAnsi="宋体"/>
                <w:sz w:val="24"/>
                <w:highlight w:val="none"/>
              </w:rPr>
            </w:pPr>
            <w:r>
              <w:rPr>
                <w:rFonts w:hint="eastAsia" w:ascii="宋体" w:hAnsi="宋体"/>
                <w:sz w:val="24"/>
                <w:highlight w:val="none"/>
              </w:rPr>
              <w:t>性    别</w:t>
            </w:r>
          </w:p>
        </w:tc>
        <w:tc>
          <w:tcPr>
            <w:tcW w:w="1256" w:type="dxa"/>
            <w:tcBorders>
              <w:top w:val="single" w:color="auto" w:sz="4" w:space="0"/>
              <w:left w:val="single" w:color="auto" w:sz="4" w:space="0"/>
              <w:bottom w:val="single" w:color="auto" w:sz="4" w:space="0"/>
              <w:right w:val="single" w:color="auto" w:sz="4" w:space="0"/>
            </w:tcBorders>
            <w:vAlign w:val="center"/>
          </w:tcPr>
          <w:p w14:paraId="268437A4">
            <w:pPr>
              <w:adjustRightInd w:val="0"/>
              <w:snapToGrid w:val="0"/>
              <w:spacing w:line="276" w:lineRule="auto"/>
              <w:jc w:val="center"/>
              <w:rPr>
                <w:rFonts w:ascii="宋体" w:hAnsi="宋体"/>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7DDAE54D">
            <w:pPr>
              <w:adjustRightInd w:val="0"/>
              <w:snapToGrid w:val="0"/>
              <w:spacing w:line="276" w:lineRule="auto"/>
              <w:jc w:val="center"/>
              <w:rPr>
                <w:rFonts w:ascii="宋体" w:hAnsi="宋体"/>
                <w:sz w:val="24"/>
                <w:highlight w:val="none"/>
              </w:rPr>
            </w:pPr>
            <w:r>
              <w:rPr>
                <w:rFonts w:hint="eastAsia" w:ascii="宋体" w:hAnsi="宋体"/>
                <w:sz w:val="24"/>
                <w:highlight w:val="none"/>
              </w:rPr>
              <w:t>出生年月</w:t>
            </w:r>
          </w:p>
        </w:tc>
        <w:tc>
          <w:tcPr>
            <w:tcW w:w="1858" w:type="dxa"/>
            <w:tcBorders>
              <w:top w:val="single" w:color="auto" w:sz="4" w:space="0"/>
              <w:left w:val="single" w:color="auto" w:sz="4" w:space="0"/>
              <w:bottom w:val="single" w:color="auto" w:sz="4" w:space="0"/>
              <w:right w:val="single" w:color="auto" w:sz="4" w:space="0"/>
            </w:tcBorders>
            <w:vAlign w:val="center"/>
          </w:tcPr>
          <w:p w14:paraId="6ABB8922">
            <w:pPr>
              <w:adjustRightInd w:val="0"/>
              <w:snapToGrid w:val="0"/>
              <w:spacing w:line="276" w:lineRule="auto"/>
              <w:jc w:val="center"/>
              <w:rPr>
                <w:rFonts w:ascii="宋体" w:hAnsi="宋体"/>
                <w:sz w:val="24"/>
                <w:highlight w:val="none"/>
              </w:rPr>
            </w:pPr>
          </w:p>
        </w:tc>
      </w:tr>
      <w:tr w14:paraId="7B131816">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404A95DA">
            <w:pPr>
              <w:adjustRightInd w:val="0"/>
              <w:snapToGrid w:val="0"/>
              <w:spacing w:line="276" w:lineRule="auto"/>
              <w:jc w:val="center"/>
              <w:rPr>
                <w:rFonts w:ascii="宋体" w:hAnsi="宋体"/>
                <w:sz w:val="24"/>
                <w:highlight w:val="none"/>
              </w:rPr>
            </w:pPr>
            <w:r>
              <w:rPr>
                <w:rFonts w:hint="eastAsia" w:ascii="宋体" w:hAnsi="宋体"/>
                <w:sz w:val="24"/>
                <w:highlight w:val="none"/>
              </w:rPr>
              <w:t>文化程度</w:t>
            </w:r>
          </w:p>
        </w:tc>
        <w:tc>
          <w:tcPr>
            <w:tcW w:w="1118" w:type="dxa"/>
            <w:tcBorders>
              <w:top w:val="single" w:color="auto" w:sz="4" w:space="0"/>
              <w:left w:val="single" w:color="auto" w:sz="4" w:space="0"/>
              <w:bottom w:val="single" w:color="auto" w:sz="4" w:space="0"/>
              <w:right w:val="single" w:color="auto" w:sz="4" w:space="0"/>
            </w:tcBorders>
            <w:vAlign w:val="center"/>
          </w:tcPr>
          <w:p w14:paraId="2CC2284D">
            <w:pPr>
              <w:adjustRightInd w:val="0"/>
              <w:snapToGrid w:val="0"/>
              <w:spacing w:line="276" w:lineRule="auto"/>
              <w:jc w:val="center"/>
              <w:rPr>
                <w:rFonts w:ascii="宋体" w:hAnsi="宋体"/>
                <w:sz w:val="24"/>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195A41F">
            <w:pPr>
              <w:adjustRightInd w:val="0"/>
              <w:snapToGrid w:val="0"/>
              <w:spacing w:line="276" w:lineRule="auto"/>
              <w:jc w:val="center"/>
              <w:rPr>
                <w:rFonts w:ascii="宋体" w:hAnsi="宋体"/>
                <w:sz w:val="24"/>
                <w:highlight w:val="none"/>
              </w:rPr>
            </w:pPr>
            <w:r>
              <w:rPr>
                <w:rFonts w:hint="eastAsia" w:ascii="宋体" w:hAnsi="宋体"/>
                <w:sz w:val="24"/>
                <w:highlight w:val="none"/>
              </w:rPr>
              <w:t>毕业院校</w:t>
            </w:r>
          </w:p>
        </w:tc>
        <w:tc>
          <w:tcPr>
            <w:tcW w:w="4370" w:type="dxa"/>
            <w:gridSpan w:val="3"/>
            <w:tcBorders>
              <w:top w:val="single" w:color="auto" w:sz="4" w:space="0"/>
              <w:left w:val="single" w:color="auto" w:sz="4" w:space="0"/>
              <w:bottom w:val="single" w:color="auto" w:sz="4" w:space="0"/>
              <w:right w:val="single" w:color="auto" w:sz="4" w:space="0"/>
            </w:tcBorders>
            <w:vAlign w:val="center"/>
          </w:tcPr>
          <w:p w14:paraId="0C4E4D49">
            <w:pPr>
              <w:adjustRightInd w:val="0"/>
              <w:snapToGrid w:val="0"/>
              <w:spacing w:line="276" w:lineRule="auto"/>
              <w:jc w:val="center"/>
              <w:rPr>
                <w:rFonts w:ascii="宋体" w:hAnsi="宋体"/>
                <w:sz w:val="24"/>
                <w:highlight w:val="none"/>
              </w:rPr>
            </w:pPr>
          </w:p>
        </w:tc>
      </w:tr>
      <w:tr w14:paraId="5DC6C6FF">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0727E7C5">
            <w:pPr>
              <w:adjustRightInd w:val="0"/>
              <w:snapToGrid w:val="0"/>
              <w:spacing w:line="276" w:lineRule="auto"/>
              <w:jc w:val="center"/>
              <w:rPr>
                <w:rFonts w:ascii="宋体" w:hAnsi="宋体"/>
                <w:sz w:val="24"/>
                <w:highlight w:val="none"/>
              </w:rPr>
            </w:pPr>
            <w:r>
              <w:rPr>
                <w:rFonts w:hint="eastAsia" w:ascii="宋体" w:hAnsi="宋体"/>
                <w:sz w:val="24"/>
                <w:highlight w:val="none"/>
              </w:rPr>
              <w:t>从事相关专业工作年限</w:t>
            </w:r>
          </w:p>
        </w:tc>
        <w:tc>
          <w:tcPr>
            <w:tcW w:w="1118" w:type="dxa"/>
            <w:tcBorders>
              <w:top w:val="single" w:color="auto" w:sz="4" w:space="0"/>
              <w:left w:val="single" w:color="auto" w:sz="4" w:space="0"/>
              <w:bottom w:val="single" w:color="auto" w:sz="4" w:space="0"/>
              <w:right w:val="single" w:color="auto" w:sz="4" w:space="0"/>
            </w:tcBorders>
            <w:vAlign w:val="center"/>
          </w:tcPr>
          <w:p w14:paraId="13766098">
            <w:pPr>
              <w:adjustRightInd w:val="0"/>
              <w:snapToGrid w:val="0"/>
              <w:spacing w:line="276" w:lineRule="auto"/>
              <w:jc w:val="center"/>
              <w:rPr>
                <w:rFonts w:ascii="宋体" w:hAnsi="宋体"/>
                <w:sz w:val="24"/>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64DFCDE">
            <w:pPr>
              <w:adjustRightInd w:val="0"/>
              <w:snapToGrid w:val="0"/>
              <w:spacing w:line="276" w:lineRule="auto"/>
              <w:jc w:val="center"/>
              <w:rPr>
                <w:rFonts w:ascii="宋体" w:hAnsi="宋体"/>
                <w:sz w:val="24"/>
                <w:highlight w:val="none"/>
              </w:rPr>
            </w:pPr>
            <w:r>
              <w:rPr>
                <w:rFonts w:hint="eastAsia" w:ascii="宋体" w:hAnsi="宋体"/>
                <w:sz w:val="24"/>
                <w:highlight w:val="none"/>
              </w:rPr>
              <w:t>专业</w:t>
            </w:r>
          </w:p>
        </w:tc>
        <w:tc>
          <w:tcPr>
            <w:tcW w:w="4370" w:type="dxa"/>
            <w:gridSpan w:val="3"/>
            <w:tcBorders>
              <w:top w:val="single" w:color="auto" w:sz="4" w:space="0"/>
              <w:left w:val="single" w:color="auto" w:sz="4" w:space="0"/>
              <w:bottom w:val="single" w:color="auto" w:sz="4" w:space="0"/>
              <w:right w:val="single" w:color="auto" w:sz="4" w:space="0"/>
            </w:tcBorders>
            <w:vAlign w:val="center"/>
          </w:tcPr>
          <w:p w14:paraId="5C0BA96B">
            <w:pPr>
              <w:adjustRightInd w:val="0"/>
              <w:snapToGrid w:val="0"/>
              <w:spacing w:line="276" w:lineRule="auto"/>
              <w:jc w:val="center"/>
              <w:rPr>
                <w:rFonts w:ascii="宋体" w:hAnsi="宋体"/>
                <w:sz w:val="24"/>
                <w:highlight w:val="none"/>
              </w:rPr>
            </w:pPr>
          </w:p>
        </w:tc>
      </w:tr>
      <w:tr w14:paraId="20EB094E">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0C926A5D">
            <w:pPr>
              <w:adjustRightInd w:val="0"/>
              <w:snapToGrid w:val="0"/>
              <w:spacing w:line="276" w:lineRule="auto"/>
              <w:jc w:val="center"/>
              <w:rPr>
                <w:rFonts w:ascii="宋体" w:hAnsi="宋体"/>
                <w:sz w:val="24"/>
                <w:highlight w:val="none"/>
              </w:rPr>
            </w:pPr>
            <w:r>
              <w:rPr>
                <w:rFonts w:hint="eastAsia" w:ascii="宋体" w:hAnsi="宋体"/>
                <w:sz w:val="24"/>
                <w:highlight w:val="none"/>
              </w:rPr>
              <w:t>现任职务</w:t>
            </w:r>
          </w:p>
        </w:tc>
        <w:tc>
          <w:tcPr>
            <w:tcW w:w="1118" w:type="dxa"/>
            <w:tcBorders>
              <w:top w:val="single" w:color="auto" w:sz="4" w:space="0"/>
              <w:left w:val="single" w:color="auto" w:sz="4" w:space="0"/>
              <w:bottom w:val="single" w:color="auto" w:sz="4" w:space="0"/>
              <w:right w:val="single" w:color="auto" w:sz="4" w:space="0"/>
            </w:tcBorders>
            <w:vAlign w:val="center"/>
          </w:tcPr>
          <w:p w14:paraId="7816A168">
            <w:pPr>
              <w:adjustRightInd w:val="0"/>
              <w:snapToGrid w:val="0"/>
              <w:spacing w:line="276" w:lineRule="auto"/>
              <w:jc w:val="center"/>
              <w:rPr>
                <w:rFonts w:ascii="宋体" w:hAnsi="宋体"/>
                <w:sz w:val="24"/>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10F8A28">
            <w:pPr>
              <w:adjustRightInd w:val="0"/>
              <w:snapToGrid w:val="0"/>
              <w:spacing w:line="276" w:lineRule="auto"/>
              <w:jc w:val="center"/>
              <w:rPr>
                <w:rFonts w:ascii="宋体" w:hAnsi="宋体"/>
                <w:sz w:val="24"/>
                <w:highlight w:val="none"/>
              </w:rPr>
            </w:pPr>
            <w:r>
              <w:rPr>
                <w:rFonts w:hint="eastAsia" w:ascii="宋体" w:hAnsi="宋体"/>
                <w:sz w:val="24"/>
                <w:highlight w:val="none"/>
              </w:rPr>
              <w:t>技术职称</w:t>
            </w:r>
          </w:p>
        </w:tc>
        <w:tc>
          <w:tcPr>
            <w:tcW w:w="1256" w:type="dxa"/>
            <w:tcBorders>
              <w:top w:val="single" w:color="auto" w:sz="4" w:space="0"/>
              <w:left w:val="single" w:color="auto" w:sz="4" w:space="0"/>
              <w:bottom w:val="single" w:color="auto" w:sz="4" w:space="0"/>
              <w:right w:val="single" w:color="auto" w:sz="4" w:space="0"/>
            </w:tcBorders>
            <w:vAlign w:val="center"/>
          </w:tcPr>
          <w:p w14:paraId="7ABCE3A2">
            <w:pPr>
              <w:adjustRightInd w:val="0"/>
              <w:snapToGrid w:val="0"/>
              <w:spacing w:line="276" w:lineRule="auto"/>
              <w:jc w:val="center"/>
              <w:rPr>
                <w:rFonts w:ascii="宋体" w:hAnsi="宋体"/>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657B5CAB">
            <w:pPr>
              <w:adjustRightInd w:val="0"/>
              <w:snapToGrid w:val="0"/>
              <w:spacing w:line="276" w:lineRule="auto"/>
              <w:jc w:val="center"/>
              <w:rPr>
                <w:rFonts w:ascii="宋体" w:hAnsi="宋体"/>
                <w:sz w:val="24"/>
                <w:highlight w:val="none"/>
              </w:rPr>
            </w:pPr>
            <w:r>
              <w:rPr>
                <w:rFonts w:hint="eastAsia" w:ascii="宋体" w:hAnsi="宋体"/>
                <w:sz w:val="24"/>
                <w:highlight w:val="none"/>
              </w:rPr>
              <w:t>聘任时间</w:t>
            </w:r>
          </w:p>
        </w:tc>
        <w:tc>
          <w:tcPr>
            <w:tcW w:w="1858" w:type="dxa"/>
            <w:tcBorders>
              <w:top w:val="single" w:color="auto" w:sz="4" w:space="0"/>
              <w:left w:val="single" w:color="auto" w:sz="4" w:space="0"/>
              <w:bottom w:val="single" w:color="auto" w:sz="4" w:space="0"/>
              <w:right w:val="single" w:color="auto" w:sz="4" w:space="0"/>
            </w:tcBorders>
            <w:vAlign w:val="center"/>
          </w:tcPr>
          <w:p w14:paraId="5E0E8507">
            <w:pPr>
              <w:adjustRightInd w:val="0"/>
              <w:snapToGrid w:val="0"/>
              <w:spacing w:line="276" w:lineRule="auto"/>
              <w:jc w:val="center"/>
              <w:rPr>
                <w:rFonts w:ascii="宋体" w:hAnsi="宋体"/>
                <w:sz w:val="24"/>
                <w:highlight w:val="none"/>
              </w:rPr>
            </w:pPr>
          </w:p>
        </w:tc>
      </w:tr>
      <w:tr w14:paraId="35205357">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1D069974">
            <w:pPr>
              <w:adjustRightInd w:val="0"/>
              <w:snapToGrid w:val="0"/>
              <w:spacing w:line="276" w:lineRule="auto"/>
              <w:jc w:val="center"/>
              <w:rPr>
                <w:rFonts w:ascii="宋体" w:hAnsi="宋体"/>
                <w:sz w:val="24"/>
                <w:highlight w:val="none"/>
              </w:rPr>
            </w:pPr>
            <w:r>
              <w:rPr>
                <w:rFonts w:hint="eastAsia" w:ascii="宋体" w:hAnsi="宋体"/>
                <w:sz w:val="24"/>
                <w:highlight w:val="none"/>
              </w:rPr>
              <w:t>资格证书编号</w:t>
            </w:r>
          </w:p>
        </w:tc>
        <w:tc>
          <w:tcPr>
            <w:tcW w:w="2402" w:type="dxa"/>
            <w:gridSpan w:val="2"/>
            <w:tcBorders>
              <w:top w:val="single" w:color="auto" w:sz="4" w:space="0"/>
              <w:left w:val="single" w:color="auto" w:sz="4" w:space="0"/>
              <w:bottom w:val="single" w:color="auto" w:sz="4" w:space="0"/>
              <w:right w:val="single" w:color="auto" w:sz="4" w:space="0"/>
            </w:tcBorders>
            <w:vAlign w:val="center"/>
          </w:tcPr>
          <w:p w14:paraId="2AB57C4E">
            <w:pPr>
              <w:adjustRightInd w:val="0"/>
              <w:snapToGrid w:val="0"/>
              <w:spacing w:line="276" w:lineRule="auto"/>
              <w:jc w:val="center"/>
              <w:rPr>
                <w:rFonts w:ascii="宋体" w:hAnsi="宋体"/>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34B2DA7E">
            <w:pPr>
              <w:adjustRightInd w:val="0"/>
              <w:snapToGrid w:val="0"/>
              <w:spacing w:line="276" w:lineRule="auto"/>
              <w:jc w:val="center"/>
              <w:rPr>
                <w:rFonts w:ascii="宋体" w:hAnsi="宋体"/>
                <w:sz w:val="24"/>
                <w:highlight w:val="none"/>
              </w:rPr>
            </w:pPr>
            <w:r>
              <w:rPr>
                <w:rFonts w:hint="eastAsia" w:ascii="宋体" w:hAnsi="宋体"/>
                <w:sz w:val="24"/>
                <w:highlight w:val="none"/>
              </w:rPr>
              <w:t>发证单位</w:t>
            </w:r>
          </w:p>
        </w:tc>
        <w:tc>
          <w:tcPr>
            <w:tcW w:w="3114" w:type="dxa"/>
            <w:gridSpan w:val="2"/>
            <w:tcBorders>
              <w:top w:val="single" w:color="auto" w:sz="4" w:space="0"/>
              <w:left w:val="single" w:color="auto" w:sz="4" w:space="0"/>
              <w:bottom w:val="single" w:color="auto" w:sz="4" w:space="0"/>
              <w:right w:val="single" w:color="auto" w:sz="4" w:space="0"/>
            </w:tcBorders>
            <w:vAlign w:val="center"/>
          </w:tcPr>
          <w:p w14:paraId="2DA99E81">
            <w:pPr>
              <w:adjustRightInd w:val="0"/>
              <w:snapToGrid w:val="0"/>
              <w:spacing w:line="276" w:lineRule="auto"/>
              <w:jc w:val="center"/>
              <w:rPr>
                <w:rFonts w:ascii="宋体" w:hAnsi="宋体"/>
                <w:sz w:val="24"/>
                <w:highlight w:val="none"/>
              </w:rPr>
            </w:pPr>
          </w:p>
        </w:tc>
      </w:tr>
      <w:tr w14:paraId="2C468FEE">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14:paraId="2DA86113">
            <w:pPr>
              <w:adjustRightInd w:val="0"/>
              <w:snapToGrid w:val="0"/>
              <w:spacing w:line="276" w:lineRule="auto"/>
              <w:jc w:val="center"/>
              <w:rPr>
                <w:rFonts w:ascii="宋体" w:hAnsi="宋体"/>
                <w:sz w:val="24"/>
                <w:highlight w:val="none"/>
              </w:rPr>
            </w:pPr>
            <w:r>
              <w:rPr>
                <w:rFonts w:hint="eastAsia" w:ascii="宋体" w:hAnsi="宋体"/>
                <w:sz w:val="24"/>
                <w:highlight w:val="none"/>
              </w:rPr>
              <w:t>主要工作经历</w:t>
            </w:r>
          </w:p>
        </w:tc>
        <w:tc>
          <w:tcPr>
            <w:tcW w:w="6772" w:type="dxa"/>
            <w:gridSpan w:val="5"/>
            <w:tcBorders>
              <w:top w:val="single" w:color="auto" w:sz="4" w:space="0"/>
              <w:left w:val="single" w:color="auto" w:sz="4" w:space="0"/>
              <w:bottom w:val="single" w:color="auto" w:sz="4" w:space="0"/>
              <w:right w:val="single" w:color="auto" w:sz="4" w:space="0"/>
            </w:tcBorders>
            <w:vAlign w:val="center"/>
          </w:tcPr>
          <w:p w14:paraId="3D716508">
            <w:pPr>
              <w:adjustRightInd w:val="0"/>
              <w:snapToGrid w:val="0"/>
              <w:spacing w:line="276" w:lineRule="auto"/>
              <w:rPr>
                <w:rFonts w:ascii="宋体" w:hAnsi="宋体"/>
                <w:sz w:val="24"/>
                <w:highlight w:val="none"/>
              </w:rPr>
            </w:pPr>
          </w:p>
        </w:tc>
      </w:tr>
    </w:tbl>
    <w:p w14:paraId="182469F5">
      <w:pPr>
        <w:spacing w:line="360" w:lineRule="auto"/>
        <w:rPr>
          <w:rFonts w:ascii="宋体" w:hAnsi="宋体"/>
          <w:sz w:val="24"/>
          <w:highlight w:val="none"/>
        </w:rPr>
      </w:pPr>
      <w:r>
        <w:rPr>
          <w:rFonts w:hint="eastAsia" w:ascii="宋体" w:hAnsi="宋体"/>
          <w:sz w:val="24"/>
          <w:highlight w:val="none"/>
        </w:rPr>
        <w:t>注：1、项目负责人必须填报本表；</w:t>
      </w:r>
    </w:p>
    <w:p w14:paraId="60638DFE">
      <w:pPr>
        <w:spacing w:line="360" w:lineRule="auto"/>
        <w:ind w:firstLine="480" w:firstLineChars="200"/>
        <w:rPr>
          <w:rFonts w:ascii="宋体" w:hAnsi="宋体"/>
          <w:sz w:val="24"/>
          <w:highlight w:val="none"/>
        </w:rPr>
      </w:pPr>
      <w:r>
        <w:rPr>
          <w:rFonts w:hint="eastAsia" w:ascii="宋体" w:hAnsi="宋体"/>
          <w:sz w:val="24"/>
          <w:highlight w:val="none"/>
        </w:rPr>
        <w:t>2、须附上身份证、学历证书</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w:t>
      </w:r>
      <w:r>
        <w:rPr>
          <w:rFonts w:hint="eastAsia" w:ascii="宋体" w:hAnsi="宋体"/>
          <w:sz w:val="24"/>
          <w:highlight w:val="none"/>
        </w:rPr>
        <w:t>、职称证书</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）、岗位</w:t>
      </w:r>
      <w:r>
        <w:rPr>
          <w:rFonts w:hint="eastAsia" w:ascii="宋体" w:hAnsi="宋体"/>
          <w:sz w:val="24"/>
          <w:highlight w:val="none"/>
        </w:rPr>
        <w:t>证书</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）、社保缴纳证明</w:t>
      </w:r>
      <w:r>
        <w:rPr>
          <w:rFonts w:hint="eastAsia" w:ascii="宋体" w:hAnsi="宋体"/>
          <w:sz w:val="24"/>
          <w:highlight w:val="none"/>
          <w:lang w:val="en-US" w:eastAsia="zh-CN"/>
        </w:rPr>
        <w:t>等</w:t>
      </w:r>
      <w:r>
        <w:rPr>
          <w:rFonts w:hint="eastAsia" w:ascii="宋体" w:hAnsi="宋体"/>
          <w:sz w:val="24"/>
          <w:highlight w:val="none"/>
        </w:rPr>
        <w:t>复印件（加盖公章）</w:t>
      </w:r>
    </w:p>
    <w:p w14:paraId="60F09EB9">
      <w:pPr>
        <w:spacing w:line="360" w:lineRule="auto"/>
        <w:ind w:firstLine="5760" w:firstLineChars="2400"/>
        <w:rPr>
          <w:rFonts w:ascii="宋体" w:hAnsi="宋体"/>
          <w:sz w:val="24"/>
          <w:highlight w:val="none"/>
        </w:rPr>
      </w:pPr>
      <w:r>
        <w:rPr>
          <w:rFonts w:hint="eastAsia" w:ascii="宋体" w:hAnsi="宋体"/>
          <w:sz w:val="24"/>
          <w:highlight w:val="none"/>
        </w:rPr>
        <w:t>投标人：</w:t>
      </w:r>
      <w:r>
        <w:rPr>
          <w:rFonts w:hint="eastAsia" w:ascii="宋体" w:hAnsi="宋体"/>
          <w:sz w:val="24"/>
          <w:highlight w:val="none"/>
          <w:u w:val="single"/>
        </w:rPr>
        <w:t xml:space="preserve">               （公章）</w:t>
      </w:r>
    </w:p>
    <w:p w14:paraId="5C145654">
      <w:pPr>
        <w:spacing w:line="360" w:lineRule="auto"/>
        <w:ind w:firstLine="5760" w:firstLineChars="2400"/>
        <w:rPr>
          <w:rFonts w:ascii="宋体" w:hAnsi="宋体"/>
          <w:b/>
          <w:sz w:val="28"/>
          <w:szCs w:val="28"/>
          <w:highlight w:val="none"/>
        </w:rPr>
      </w:pPr>
      <w:r>
        <w:rPr>
          <w:rFonts w:hint="eastAsia" w:ascii="宋体" w:hAnsi="宋体"/>
          <w:sz w:val="24"/>
          <w:highlight w:val="none"/>
        </w:rPr>
        <w:t>日  期：</w:t>
      </w:r>
    </w:p>
    <w:p w14:paraId="427CAF52">
      <w:pPr>
        <w:spacing w:before="156" w:beforeLines="50" w:after="156" w:afterLines="50" w:line="480" w:lineRule="auto"/>
        <w:jc w:val="center"/>
        <w:rPr>
          <w:rFonts w:ascii="宋体" w:hAnsi="宋体"/>
          <w:b/>
          <w:sz w:val="28"/>
          <w:szCs w:val="28"/>
          <w:highlight w:val="none"/>
        </w:rPr>
      </w:pPr>
      <w:r>
        <w:rPr>
          <w:rFonts w:hint="eastAsia" w:ascii="宋体" w:hAnsi="宋体"/>
          <w:b/>
          <w:sz w:val="28"/>
          <w:szCs w:val="28"/>
          <w:highlight w:val="none"/>
          <w:lang w:eastAsia="zh-CN"/>
        </w:rPr>
        <w:t>（</w:t>
      </w:r>
      <w:r>
        <w:rPr>
          <w:rFonts w:hint="eastAsia" w:ascii="宋体" w:hAnsi="宋体"/>
          <w:b/>
          <w:sz w:val="28"/>
          <w:szCs w:val="28"/>
          <w:highlight w:val="none"/>
          <w:lang w:val="en-US" w:eastAsia="zh-CN"/>
        </w:rPr>
        <w:t>二</w:t>
      </w:r>
      <w:r>
        <w:rPr>
          <w:rFonts w:hint="eastAsia" w:ascii="宋体" w:hAnsi="宋体"/>
          <w:b/>
          <w:sz w:val="28"/>
          <w:szCs w:val="28"/>
          <w:highlight w:val="none"/>
          <w:lang w:eastAsia="zh-CN"/>
        </w:rPr>
        <w:t>）</w:t>
      </w:r>
      <w:r>
        <w:rPr>
          <w:rFonts w:hint="eastAsia" w:ascii="宋体" w:hAnsi="宋体"/>
          <w:b/>
          <w:sz w:val="28"/>
          <w:szCs w:val="28"/>
          <w:highlight w:val="none"/>
        </w:rPr>
        <w:t>投入本项目</w:t>
      </w:r>
      <w:r>
        <w:rPr>
          <w:rFonts w:hint="eastAsia" w:ascii="宋体" w:hAnsi="宋体"/>
          <w:b/>
          <w:sz w:val="28"/>
          <w:szCs w:val="28"/>
          <w:highlight w:val="none"/>
          <w:lang w:eastAsia="zh-CN"/>
        </w:rPr>
        <w:t>服务</w:t>
      </w:r>
      <w:r>
        <w:rPr>
          <w:rFonts w:hint="eastAsia" w:ascii="宋体" w:hAnsi="宋体"/>
          <w:b/>
          <w:sz w:val="28"/>
          <w:szCs w:val="28"/>
          <w:highlight w:val="none"/>
        </w:rPr>
        <w:t>人员表</w:t>
      </w:r>
    </w:p>
    <w:tbl>
      <w:tblPr>
        <w:tblStyle w:val="25"/>
        <w:tblW w:w="9966" w:type="dxa"/>
        <w:jc w:val="center"/>
        <w:tblLayout w:type="fixed"/>
        <w:tblCellMar>
          <w:top w:w="0" w:type="dxa"/>
          <w:left w:w="108" w:type="dxa"/>
          <w:bottom w:w="0" w:type="dxa"/>
          <w:right w:w="108" w:type="dxa"/>
        </w:tblCellMar>
      </w:tblPr>
      <w:tblGrid>
        <w:gridCol w:w="2635"/>
        <w:gridCol w:w="1225"/>
        <w:gridCol w:w="1225"/>
        <w:gridCol w:w="1225"/>
        <w:gridCol w:w="1227"/>
        <w:gridCol w:w="2429"/>
      </w:tblGrid>
      <w:tr w14:paraId="1A7C5235">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vAlign w:val="center"/>
          </w:tcPr>
          <w:p w14:paraId="676F9000">
            <w:pPr>
              <w:adjustRightInd w:val="0"/>
              <w:snapToGrid w:val="0"/>
              <w:spacing w:line="276" w:lineRule="auto"/>
              <w:ind w:firstLine="600" w:firstLineChars="250"/>
              <w:jc w:val="center"/>
              <w:rPr>
                <w:rFonts w:ascii="宋体" w:hAnsi="宋体"/>
                <w:sz w:val="24"/>
                <w:highlight w:val="none"/>
              </w:rPr>
            </w:pPr>
            <w:r>
              <w:rPr>
                <w:rFonts w:hint="eastAsia" w:ascii="宋体" w:hAnsi="宋体"/>
                <w:sz w:val="24"/>
                <w:highlight w:val="none"/>
              </w:rPr>
              <w:t xml:space="preserve">     资历</w:t>
            </w:r>
          </w:p>
          <w:p w14:paraId="79893E01">
            <w:pPr>
              <w:adjustRightInd w:val="0"/>
              <w:snapToGrid w:val="0"/>
              <w:spacing w:line="276" w:lineRule="auto"/>
              <w:rPr>
                <w:rFonts w:ascii="宋体" w:hAnsi="宋体"/>
                <w:sz w:val="24"/>
                <w:highlight w:val="none"/>
              </w:rPr>
            </w:pPr>
            <w:r>
              <w:rPr>
                <w:rFonts w:hint="eastAsia" w:ascii="宋体" w:hAnsi="宋体"/>
                <w:sz w:val="24"/>
                <w:highlight w:val="none"/>
              </w:rPr>
              <w:t>拟任职务</w:t>
            </w:r>
          </w:p>
        </w:tc>
        <w:tc>
          <w:tcPr>
            <w:tcW w:w="1225" w:type="dxa"/>
            <w:tcBorders>
              <w:top w:val="single" w:color="auto" w:sz="4" w:space="0"/>
              <w:left w:val="single" w:color="auto" w:sz="4" w:space="0"/>
              <w:bottom w:val="single" w:color="auto" w:sz="4" w:space="0"/>
              <w:right w:val="single" w:color="auto" w:sz="4" w:space="0"/>
            </w:tcBorders>
            <w:vAlign w:val="center"/>
          </w:tcPr>
          <w:p w14:paraId="1FBCEAA8">
            <w:pPr>
              <w:adjustRightInd w:val="0"/>
              <w:snapToGrid w:val="0"/>
              <w:spacing w:line="276" w:lineRule="auto"/>
              <w:jc w:val="center"/>
              <w:rPr>
                <w:rFonts w:ascii="宋体" w:hAnsi="宋体"/>
                <w:sz w:val="24"/>
                <w:highlight w:val="none"/>
              </w:rPr>
            </w:pPr>
            <w:r>
              <w:rPr>
                <w:rFonts w:hint="eastAsia" w:ascii="宋体" w:hAnsi="宋体"/>
                <w:sz w:val="24"/>
                <w:highlight w:val="none"/>
              </w:rPr>
              <w:t>姓名</w:t>
            </w:r>
          </w:p>
        </w:tc>
        <w:tc>
          <w:tcPr>
            <w:tcW w:w="1225" w:type="dxa"/>
            <w:tcBorders>
              <w:top w:val="single" w:color="auto" w:sz="4" w:space="0"/>
              <w:left w:val="single" w:color="auto" w:sz="4" w:space="0"/>
              <w:bottom w:val="single" w:color="auto" w:sz="4" w:space="0"/>
              <w:right w:val="single" w:color="auto" w:sz="4" w:space="0"/>
            </w:tcBorders>
            <w:vAlign w:val="center"/>
          </w:tcPr>
          <w:p w14:paraId="1E59F3A6">
            <w:pPr>
              <w:adjustRightInd w:val="0"/>
              <w:snapToGrid w:val="0"/>
              <w:spacing w:line="276" w:lineRule="auto"/>
              <w:jc w:val="center"/>
              <w:rPr>
                <w:rFonts w:hint="eastAsia" w:ascii="宋体" w:hAnsi="宋体" w:eastAsia="宋体"/>
                <w:sz w:val="24"/>
                <w:highlight w:val="none"/>
                <w:lang w:eastAsia="zh-CN"/>
              </w:rPr>
            </w:pPr>
            <w:r>
              <w:rPr>
                <w:rFonts w:hint="eastAsia" w:ascii="宋体" w:hAnsi="宋体"/>
                <w:sz w:val="24"/>
                <w:highlight w:val="none"/>
                <w:lang w:eastAsia="zh-CN"/>
              </w:rPr>
              <w:t>岗位</w:t>
            </w:r>
          </w:p>
        </w:tc>
        <w:tc>
          <w:tcPr>
            <w:tcW w:w="1225" w:type="dxa"/>
            <w:tcBorders>
              <w:top w:val="single" w:color="auto" w:sz="4" w:space="0"/>
              <w:left w:val="single" w:color="auto" w:sz="4" w:space="0"/>
              <w:bottom w:val="single" w:color="auto" w:sz="4" w:space="0"/>
              <w:right w:val="single" w:color="auto" w:sz="4" w:space="0"/>
            </w:tcBorders>
            <w:vAlign w:val="center"/>
          </w:tcPr>
          <w:p w14:paraId="078095F0">
            <w:pPr>
              <w:adjustRightInd w:val="0"/>
              <w:snapToGrid w:val="0"/>
              <w:spacing w:line="276" w:lineRule="auto"/>
              <w:jc w:val="center"/>
              <w:rPr>
                <w:rFonts w:ascii="宋体" w:hAnsi="宋体"/>
                <w:sz w:val="24"/>
                <w:highlight w:val="none"/>
              </w:rPr>
            </w:pPr>
            <w:r>
              <w:rPr>
                <w:rFonts w:hint="eastAsia" w:ascii="宋体" w:hAnsi="宋体"/>
                <w:sz w:val="24"/>
                <w:highlight w:val="none"/>
              </w:rPr>
              <w:t>专业</w:t>
            </w:r>
          </w:p>
        </w:tc>
        <w:tc>
          <w:tcPr>
            <w:tcW w:w="1227" w:type="dxa"/>
            <w:tcBorders>
              <w:top w:val="single" w:color="auto" w:sz="4" w:space="0"/>
              <w:left w:val="single" w:color="auto" w:sz="4" w:space="0"/>
              <w:bottom w:val="single" w:color="auto" w:sz="4" w:space="0"/>
              <w:right w:val="single" w:color="auto" w:sz="4" w:space="0"/>
            </w:tcBorders>
            <w:vAlign w:val="center"/>
          </w:tcPr>
          <w:p w14:paraId="5C5AB8B7">
            <w:pPr>
              <w:adjustRightInd w:val="0"/>
              <w:snapToGrid w:val="0"/>
              <w:spacing w:line="276" w:lineRule="auto"/>
              <w:jc w:val="center"/>
              <w:rPr>
                <w:rFonts w:ascii="宋体" w:hAnsi="宋体"/>
                <w:sz w:val="24"/>
                <w:highlight w:val="none"/>
              </w:rPr>
            </w:pPr>
            <w:r>
              <w:rPr>
                <w:rFonts w:hint="eastAsia" w:ascii="宋体" w:hAnsi="宋体"/>
                <w:sz w:val="24"/>
                <w:highlight w:val="none"/>
              </w:rPr>
              <w:t>工作年限</w:t>
            </w:r>
          </w:p>
        </w:tc>
        <w:tc>
          <w:tcPr>
            <w:tcW w:w="2429" w:type="dxa"/>
            <w:tcBorders>
              <w:top w:val="single" w:color="auto" w:sz="4" w:space="0"/>
              <w:left w:val="single" w:color="auto" w:sz="4" w:space="0"/>
              <w:bottom w:val="single" w:color="auto" w:sz="4" w:space="0"/>
              <w:right w:val="single" w:color="auto" w:sz="4" w:space="0"/>
            </w:tcBorders>
            <w:vAlign w:val="center"/>
          </w:tcPr>
          <w:p w14:paraId="6263FF7B">
            <w:pPr>
              <w:adjustRightInd w:val="0"/>
              <w:snapToGrid w:val="0"/>
              <w:spacing w:line="276" w:lineRule="auto"/>
              <w:jc w:val="center"/>
              <w:rPr>
                <w:rFonts w:ascii="宋体" w:hAnsi="宋体"/>
                <w:sz w:val="24"/>
                <w:highlight w:val="none"/>
              </w:rPr>
            </w:pPr>
            <w:r>
              <w:rPr>
                <w:rFonts w:hint="eastAsia" w:ascii="宋体" w:hAnsi="宋体"/>
                <w:sz w:val="24"/>
                <w:highlight w:val="none"/>
              </w:rPr>
              <w:t>备注</w:t>
            </w:r>
          </w:p>
        </w:tc>
      </w:tr>
      <w:tr w14:paraId="4EA79C31">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14:paraId="5A3B7E06">
            <w:pPr>
              <w:adjustRightInd w:val="0"/>
              <w:snapToGrid w:val="0"/>
              <w:spacing w:line="276" w:lineRule="auto"/>
              <w:jc w:val="center"/>
              <w:rPr>
                <w:rFonts w:ascii="宋体" w:hAnsi="宋体"/>
                <w:sz w:val="24"/>
                <w:highlight w:val="none"/>
              </w:rPr>
            </w:pPr>
            <w:r>
              <w:rPr>
                <w:rFonts w:ascii="宋体" w:hAnsi="宋体"/>
                <w:sz w:val="24"/>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1E350E52">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53B3722F">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15932774">
            <w:pPr>
              <w:adjustRightInd w:val="0"/>
              <w:snapToGrid w:val="0"/>
              <w:spacing w:line="276" w:lineRule="auto"/>
              <w:jc w:val="center"/>
              <w:rPr>
                <w:rFonts w:ascii="宋体" w:hAnsi="宋体"/>
                <w:sz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6FDC9F8">
            <w:pPr>
              <w:adjustRightInd w:val="0"/>
              <w:snapToGrid w:val="0"/>
              <w:spacing w:line="276" w:lineRule="auto"/>
              <w:jc w:val="center"/>
              <w:rPr>
                <w:rFonts w:ascii="宋体" w:hAnsi="宋体"/>
                <w:sz w:val="24"/>
                <w:highlight w:val="none"/>
              </w:rPr>
            </w:pPr>
          </w:p>
        </w:tc>
        <w:tc>
          <w:tcPr>
            <w:tcW w:w="2429" w:type="dxa"/>
            <w:tcBorders>
              <w:top w:val="single" w:color="auto" w:sz="4" w:space="0"/>
              <w:left w:val="single" w:color="auto" w:sz="4" w:space="0"/>
              <w:bottom w:val="single" w:color="auto" w:sz="4" w:space="0"/>
              <w:right w:val="single" w:color="auto" w:sz="4" w:space="0"/>
            </w:tcBorders>
            <w:vAlign w:val="center"/>
          </w:tcPr>
          <w:p w14:paraId="241C9FD2">
            <w:pPr>
              <w:adjustRightInd w:val="0"/>
              <w:snapToGrid w:val="0"/>
              <w:spacing w:line="276" w:lineRule="auto"/>
              <w:jc w:val="center"/>
              <w:rPr>
                <w:rFonts w:ascii="宋体" w:hAnsi="宋体"/>
                <w:sz w:val="24"/>
                <w:highlight w:val="none"/>
              </w:rPr>
            </w:pPr>
          </w:p>
        </w:tc>
      </w:tr>
      <w:tr w14:paraId="2821C84E">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14:paraId="6BD8B39D">
            <w:pPr>
              <w:adjustRightInd w:val="0"/>
              <w:snapToGrid w:val="0"/>
              <w:spacing w:line="276" w:lineRule="auto"/>
              <w:jc w:val="center"/>
              <w:rPr>
                <w:rFonts w:ascii="宋体" w:hAnsi="宋体"/>
                <w:sz w:val="24"/>
                <w:highlight w:val="none"/>
              </w:rPr>
            </w:pPr>
            <w:r>
              <w:rPr>
                <w:rFonts w:ascii="宋体" w:hAnsi="宋体"/>
                <w:sz w:val="24"/>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713C9F8C">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1B6D46D0">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B465178">
            <w:pPr>
              <w:adjustRightInd w:val="0"/>
              <w:snapToGrid w:val="0"/>
              <w:spacing w:line="276" w:lineRule="auto"/>
              <w:jc w:val="center"/>
              <w:rPr>
                <w:rFonts w:ascii="宋体" w:hAnsi="宋体"/>
                <w:sz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2744B47">
            <w:pPr>
              <w:adjustRightInd w:val="0"/>
              <w:snapToGrid w:val="0"/>
              <w:spacing w:line="276" w:lineRule="auto"/>
              <w:jc w:val="center"/>
              <w:rPr>
                <w:rFonts w:ascii="宋体" w:hAnsi="宋体"/>
                <w:sz w:val="24"/>
                <w:highlight w:val="none"/>
              </w:rPr>
            </w:pPr>
          </w:p>
        </w:tc>
        <w:tc>
          <w:tcPr>
            <w:tcW w:w="2429" w:type="dxa"/>
            <w:tcBorders>
              <w:top w:val="single" w:color="auto" w:sz="4" w:space="0"/>
              <w:left w:val="single" w:color="auto" w:sz="4" w:space="0"/>
              <w:bottom w:val="single" w:color="auto" w:sz="4" w:space="0"/>
              <w:right w:val="single" w:color="auto" w:sz="4" w:space="0"/>
            </w:tcBorders>
            <w:vAlign w:val="center"/>
          </w:tcPr>
          <w:p w14:paraId="7ED7F82D">
            <w:pPr>
              <w:adjustRightInd w:val="0"/>
              <w:snapToGrid w:val="0"/>
              <w:spacing w:line="276" w:lineRule="auto"/>
              <w:jc w:val="center"/>
              <w:rPr>
                <w:rFonts w:ascii="宋体" w:hAnsi="宋体"/>
                <w:sz w:val="24"/>
                <w:highlight w:val="none"/>
              </w:rPr>
            </w:pPr>
          </w:p>
        </w:tc>
      </w:tr>
      <w:tr w14:paraId="1060152F">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14:paraId="3C71DF81">
            <w:pPr>
              <w:adjustRightInd w:val="0"/>
              <w:snapToGrid w:val="0"/>
              <w:spacing w:line="276" w:lineRule="auto"/>
              <w:jc w:val="center"/>
              <w:rPr>
                <w:rFonts w:ascii="宋体" w:hAnsi="宋体"/>
                <w:sz w:val="24"/>
                <w:highlight w:val="none"/>
              </w:rPr>
            </w:pPr>
            <w:r>
              <w:rPr>
                <w:rFonts w:ascii="宋体" w:hAnsi="宋体"/>
                <w:sz w:val="24"/>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08761D79">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CBEBC7F">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1E55D06">
            <w:pPr>
              <w:adjustRightInd w:val="0"/>
              <w:snapToGrid w:val="0"/>
              <w:spacing w:line="276" w:lineRule="auto"/>
              <w:jc w:val="center"/>
              <w:rPr>
                <w:rFonts w:ascii="宋体" w:hAnsi="宋体"/>
                <w:sz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C2EB276">
            <w:pPr>
              <w:adjustRightInd w:val="0"/>
              <w:snapToGrid w:val="0"/>
              <w:spacing w:line="276" w:lineRule="auto"/>
              <w:jc w:val="center"/>
              <w:rPr>
                <w:rFonts w:ascii="宋体" w:hAnsi="宋体"/>
                <w:sz w:val="24"/>
                <w:highlight w:val="none"/>
              </w:rPr>
            </w:pPr>
          </w:p>
        </w:tc>
        <w:tc>
          <w:tcPr>
            <w:tcW w:w="2429" w:type="dxa"/>
            <w:tcBorders>
              <w:top w:val="single" w:color="auto" w:sz="4" w:space="0"/>
              <w:left w:val="single" w:color="auto" w:sz="4" w:space="0"/>
              <w:bottom w:val="single" w:color="auto" w:sz="4" w:space="0"/>
              <w:right w:val="single" w:color="auto" w:sz="4" w:space="0"/>
            </w:tcBorders>
            <w:vAlign w:val="center"/>
          </w:tcPr>
          <w:p w14:paraId="6D4A46EE">
            <w:pPr>
              <w:adjustRightInd w:val="0"/>
              <w:snapToGrid w:val="0"/>
              <w:spacing w:line="276" w:lineRule="auto"/>
              <w:jc w:val="center"/>
              <w:rPr>
                <w:rFonts w:ascii="宋体" w:hAnsi="宋体"/>
                <w:sz w:val="24"/>
                <w:highlight w:val="none"/>
              </w:rPr>
            </w:pPr>
          </w:p>
        </w:tc>
      </w:tr>
      <w:tr w14:paraId="24BB9D1E">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14:paraId="0817EC44">
            <w:pPr>
              <w:adjustRightInd w:val="0"/>
              <w:snapToGrid w:val="0"/>
              <w:spacing w:line="276" w:lineRule="auto"/>
              <w:jc w:val="center"/>
              <w:rPr>
                <w:rFonts w:ascii="宋体" w:hAnsi="宋体"/>
                <w:sz w:val="24"/>
                <w:highlight w:val="none"/>
              </w:rPr>
            </w:pPr>
            <w:r>
              <w:rPr>
                <w:rFonts w:ascii="宋体" w:hAnsi="宋体"/>
                <w:sz w:val="24"/>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3BB3D7BD">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4850234E">
            <w:pPr>
              <w:adjustRightInd w:val="0"/>
              <w:snapToGrid w:val="0"/>
              <w:spacing w:line="276" w:lineRule="auto"/>
              <w:jc w:val="center"/>
              <w:rPr>
                <w:rFonts w:ascii="宋体" w:hAnsi="宋体"/>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1090C4F3">
            <w:pPr>
              <w:adjustRightInd w:val="0"/>
              <w:snapToGrid w:val="0"/>
              <w:spacing w:line="276" w:lineRule="auto"/>
              <w:jc w:val="center"/>
              <w:rPr>
                <w:rFonts w:ascii="宋体" w:hAnsi="宋体"/>
                <w:sz w:val="24"/>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985C498">
            <w:pPr>
              <w:adjustRightInd w:val="0"/>
              <w:snapToGrid w:val="0"/>
              <w:spacing w:line="276" w:lineRule="auto"/>
              <w:jc w:val="center"/>
              <w:rPr>
                <w:rFonts w:ascii="宋体" w:hAnsi="宋体"/>
                <w:sz w:val="24"/>
                <w:highlight w:val="none"/>
              </w:rPr>
            </w:pPr>
          </w:p>
        </w:tc>
        <w:tc>
          <w:tcPr>
            <w:tcW w:w="2429" w:type="dxa"/>
            <w:tcBorders>
              <w:top w:val="single" w:color="auto" w:sz="4" w:space="0"/>
              <w:left w:val="single" w:color="auto" w:sz="4" w:space="0"/>
              <w:bottom w:val="single" w:color="auto" w:sz="4" w:space="0"/>
              <w:right w:val="single" w:color="auto" w:sz="4" w:space="0"/>
            </w:tcBorders>
            <w:vAlign w:val="center"/>
          </w:tcPr>
          <w:p w14:paraId="44048F9C">
            <w:pPr>
              <w:adjustRightInd w:val="0"/>
              <w:snapToGrid w:val="0"/>
              <w:spacing w:line="276" w:lineRule="auto"/>
              <w:jc w:val="center"/>
              <w:rPr>
                <w:rFonts w:ascii="宋体" w:hAnsi="宋体"/>
                <w:sz w:val="24"/>
                <w:highlight w:val="none"/>
              </w:rPr>
            </w:pPr>
          </w:p>
        </w:tc>
      </w:tr>
    </w:tbl>
    <w:p w14:paraId="2190468F">
      <w:pPr>
        <w:spacing w:line="360" w:lineRule="auto"/>
        <w:ind w:firstLine="480" w:firstLineChars="200"/>
        <w:rPr>
          <w:rFonts w:ascii="宋体" w:hAnsi="宋体"/>
          <w:sz w:val="24"/>
          <w:highlight w:val="none"/>
        </w:rPr>
      </w:pPr>
      <w:r>
        <w:rPr>
          <w:rFonts w:hint="eastAsia" w:ascii="宋体" w:hAnsi="宋体"/>
          <w:sz w:val="24"/>
          <w:highlight w:val="none"/>
        </w:rPr>
        <w:t>注：</w:t>
      </w:r>
      <w:r>
        <w:rPr>
          <w:rFonts w:hint="eastAsia" w:ascii="宋体" w:hAnsi="宋体"/>
          <w:sz w:val="24"/>
          <w:highlight w:val="none"/>
          <w:lang w:val="en-US" w:eastAsia="zh-CN"/>
        </w:rPr>
        <w:t>1</w:t>
      </w:r>
      <w:r>
        <w:rPr>
          <w:rFonts w:hint="eastAsia" w:ascii="宋体" w:hAnsi="宋体"/>
          <w:sz w:val="24"/>
          <w:highlight w:val="none"/>
        </w:rPr>
        <w:t>、须附上身份证、学历证书</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w:t>
      </w:r>
      <w:r>
        <w:rPr>
          <w:rFonts w:hint="eastAsia" w:ascii="宋体" w:hAnsi="宋体"/>
          <w:sz w:val="24"/>
          <w:highlight w:val="none"/>
        </w:rPr>
        <w:t>、职称证书</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）、岗位</w:t>
      </w:r>
      <w:r>
        <w:rPr>
          <w:rFonts w:hint="eastAsia" w:ascii="宋体" w:hAnsi="宋体"/>
          <w:sz w:val="24"/>
          <w:highlight w:val="none"/>
        </w:rPr>
        <w:t>证书</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w:t>
      </w:r>
      <w:r>
        <w:rPr>
          <w:rFonts w:hint="eastAsia" w:ascii="宋体" w:hAnsi="宋体"/>
          <w:sz w:val="24"/>
          <w:highlight w:val="none"/>
          <w:lang w:val="en-US" w:eastAsia="zh-CN"/>
        </w:rPr>
        <w:t>、</w:t>
      </w:r>
      <w:r>
        <w:rPr>
          <w:rFonts w:hint="eastAsia" w:ascii="宋体" w:hAnsi="宋体"/>
          <w:sz w:val="24"/>
          <w:highlight w:val="none"/>
          <w:lang w:eastAsia="zh-CN"/>
        </w:rPr>
        <w:t>社保缴纳证明</w:t>
      </w:r>
      <w:r>
        <w:rPr>
          <w:rFonts w:hint="eastAsia" w:ascii="宋体" w:hAnsi="宋体"/>
          <w:sz w:val="24"/>
          <w:highlight w:val="none"/>
          <w:lang w:val="en-US" w:eastAsia="zh-CN"/>
        </w:rPr>
        <w:t>等</w:t>
      </w:r>
      <w:r>
        <w:rPr>
          <w:rFonts w:hint="eastAsia" w:ascii="宋体" w:hAnsi="宋体"/>
          <w:sz w:val="24"/>
          <w:highlight w:val="none"/>
        </w:rPr>
        <w:t>复印件（加盖公章）</w:t>
      </w:r>
    </w:p>
    <w:p w14:paraId="49644D42">
      <w:pPr>
        <w:spacing w:line="360" w:lineRule="auto"/>
        <w:ind w:firstLine="6720" w:firstLineChars="2800"/>
        <w:rPr>
          <w:rFonts w:ascii="宋体" w:hAnsi="宋体"/>
          <w:sz w:val="24"/>
          <w:highlight w:val="none"/>
        </w:rPr>
      </w:pPr>
      <w:r>
        <w:rPr>
          <w:rFonts w:hint="eastAsia" w:ascii="宋体" w:hAnsi="宋体"/>
          <w:sz w:val="24"/>
          <w:highlight w:val="none"/>
        </w:rPr>
        <w:t>投标人：</w:t>
      </w:r>
      <w:r>
        <w:rPr>
          <w:rFonts w:hint="eastAsia" w:ascii="宋体" w:hAnsi="宋体"/>
          <w:sz w:val="24"/>
          <w:highlight w:val="none"/>
          <w:u w:val="single"/>
        </w:rPr>
        <w:t xml:space="preserve">           （公章）</w:t>
      </w:r>
    </w:p>
    <w:p w14:paraId="6AAEC459">
      <w:pPr>
        <w:jc w:val="center"/>
        <w:rPr>
          <w:rFonts w:ascii="宋体" w:hAnsi="宋体"/>
          <w:sz w:val="24"/>
          <w:highlight w:val="none"/>
        </w:rPr>
      </w:pPr>
      <w:r>
        <w:rPr>
          <w:rFonts w:hint="eastAsia" w:ascii="宋体" w:hAnsi="宋体"/>
          <w:sz w:val="24"/>
          <w:highlight w:val="none"/>
        </w:rPr>
        <w:t xml:space="preserve">                                        日  期：</w:t>
      </w:r>
    </w:p>
    <w:p w14:paraId="7AFEEEAE">
      <w:pPr>
        <w:pStyle w:val="8"/>
        <w:rPr>
          <w:b w:val="0"/>
          <w:bCs/>
          <w:highlight w:val="none"/>
        </w:rPr>
      </w:pPr>
    </w:p>
    <w:p w14:paraId="6863AC32">
      <w:pPr>
        <w:rPr>
          <w:b/>
          <w:sz w:val="28"/>
          <w:szCs w:val="28"/>
          <w:highlight w:val="none"/>
        </w:rPr>
      </w:pPr>
      <w:r>
        <w:rPr>
          <w:b/>
          <w:sz w:val="28"/>
          <w:szCs w:val="28"/>
          <w:highlight w:val="none"/>
        </w:rPr>
        <w:br w:type="page"/>
      </w:r>
    </w:p>
    <w:p w14:paraId="1D3BC3F4">
      <w:pPr>
        <w:rPr>
          <w:rFonts w:hint="eastAsia" w:ascii="宋体" w:hAnsi="宋体"/>
          <w:b/>
          <w:sz w:val="28"/>
          <w:szCs w:val="28"/>
          <w:highlight w:val="none"/>
        </w:rPr>
      </w:pPr>
      <w:r>
        <w:rPr>
          <w:rFonts w:hint="eastAsia" w:ascii="宋体" w:hAnsi="宋体"/>
          <w:b/>
          <w:sz w:val="28"/>
          <w:szCs w:val="28"/>
          <w:highlight w:val="none"/>
        </w:rPr>
        <w:t>附</w:t>
      </w:r>
      <w:r>
        <w:rPr>
          <w:rFonts w:hint="eastAsia" w:ascii="宋体" w:hAnsi="宋体"/>
          <w:b/>
          <w:sz w:val="28"/>
          <w:szCs w:val="28"/>
          <w:highlight w:val="none"/>
          <w:lang w:eastAsia="zh-CN"/>
        </w:rPr>
        <w:t>表十</w:t>
      </w:r>
      <w:r>
        <w:rPr>
          <w:rFonts w:hint="eastAsia" w:ascii="宋体" w:hAnsi="宋体"/>
          <w:b/>
          <w:sz w:val="28"/>
          <w:szCs w:val="28"/>
          <w:highlight w:val="none"/>
        </w:rPr>
        <w:t>：</w:t>
      </w:r>
    </w:p>
    <w:p w14:paraId="50C1D3D6">
      <w:pPr>
        <w:spacing w:line="440" w:lineRule="exact"/>
        <w:jc w:val="center"/>
        <w:rPr>
          <w:rFonts w:hint="eastAsia" w:eastAsia="宋体"/>
          <w:b/>
          <w:bCs/>
          <w:sz w:val="24"/>
          <w:highlight w:val="none"/>
          <w:lang w:eastAsia="zh-CN"/>
        </w:rPr>
      </w:pPr>
      <w:r>
        <w:rPr>
          <w:rFonts w:hint="eastAsia"/>
          <w:b/>
          <w:sz w:val="28"/>
          <w:szCs w:val="28"/>
          <w:highlight w:val="none"/>
          <w:lang w:val="en-US" w:eastAsia="zh-CN"/>
        </w:rPr>
        <w:t>技术标（</w:t>
      </w:r>
      <w:r>
        <w:rPr>
          <w:rFonts w:hint="eastAsia"/>
          <w:b/>
          <w:sz w:val="28"/>
          <w:szCs w:val="28"/>
          <w:highlight w:val="none"/>
        </w:rPr>
        <w:t>项目</w:t>
      </w:r>
      <w:r>
        <w:rPr>
          <w:rFonts w:hint="eastAsia"/>
          <w:b/>
          <w:sz w:val="28"/>
          <w:szCs w:val="28"/>
          <w:highlight w:val="none"/>
          <w:lang w:eastAsia="zh-CN"/>
        </w:rPr>
        <w:t>方案</w:t>
      </w:r>
      <w:r>
        <w:rPr>
          <w:rFonts w:hint="eastAsia"/>
          <w:b/>
          <w:sz w:val="28"/>
          <w:szCs w:val="28"/>
          <w:highlight w:val="none"/>
          <w:lang w:val="en-US" w:eastAsia="zh-CN"/>
        </w:rPr>
        <w:t>等）</w:t>
      </w:r>
    </w:p>
    <w:p w14:paraId="3EBC08C6">
      <w:pPr>
        <w:jc w:val="center"/>
        <w:rPr>
          <w:rFonts w:hint="eastAsia"/>
          <w:sz w:val="24"/>
          <w:highlight w:val="none"/>
          <w:lang w:eastAsia="zh-CN"/>
        </w:rPr>
      </w:pPr>
      <w:r>
        <w:rPr>
          <w:rFonts w:hint="eastAsia"/>
          <w:sz w:val="24"/>
          <w:highlight w:val="none"/>
          <w:lang w:eastAsia="zh-CN"/>
        </w:rPr>
        <w:t>（</w:t>
      </w:r>
      <w:r>
        <w:rPr>
          <w:rFonts w:hint="eastAsia" w:ascii="宋体" w:hAnsi="宋体"/>
          <w:sz w:val="24"/>
          <w:highlight w:val="none"/>
          <w:lang w:eastAsia="zh-CN"/>
        </w:rPr>
        <w:t>请</w:t>
      </w:r>
      <w:r>
        <w:rPr>
          <w:rFonts w:hint="eastAsia"/>
          <w:sz w:val="24"/>
          <w:highlight w:val="none"/>
          <w:lang w:eastAsia="zh-CN"/>
        </w:rPr>
        <w:t>根据评标办法中技术部分评分内容编制完善</w:t>
      </w:r>
      <w:r>
        <w:rPr>
          <w:sz w:val="24"/>
          <w:highlight w:val="none"/>
        </w:rPr>
        <w:t>。</w:t>
      </w:r>
      <w:r>
        <w:rPr>
          <w:rFonts w:hint="eastAsia"/>
          <w:sz w:val="24"/>
          <w:highlight w:val="none"/>
          <w:lang w:val="en-US" w:eastAsia="zh-CN"/>
        </w:rPr>
        <w:t>包括但不限于以下内容：</w:t>
      </w:r>
      <w:r>
        <w:rPr>
          <w:rFonts w:hint="eastAsia"/>
          <w:sz w:val="24"/>
          <w:highlight w:val="none"/>
          <w:lang w:eastAsia="zh-CN"/>
        </w:rPr>
        <w:t>）</w:t>
      </w:r>
    </w:p>
    <w:p w14:paraId="5CD12C1B">
      <w:pPr>
        <w:pStyle w:val="15"/>
        <w:rPr>
          <w:rFonts w:hint="default"/>
          <w:highlight w:val="none"/>
          <w:lang w:val="en-US" w:eastAsia="zh-CN"/>
        </w:rPr>
      </w:pPr>
      <w:r>
        <w:rPr>
          <w:rFonts w:hint="eastAsia"/>
          <w:highlight w:val="none"/>
          <w:lang w:val="en-US" w:eastAsia="zh-CN"/>
        </w:rPr>
        <w:t>1、</w:t>
      </w:r>
      <w:r>
        <w:rPr>
          <w:rFonts w:hint="default"/>
          <w:highlight w:val="none"/>
          <w:lang w:val="en-US" w:eastAsia="zh-CN"/>
        </w:rPr>
        <w:t>整体方案</w:t>
      </w:r>
    </w:p>
    <w:p w14:paraId="4028AAD0">
      <w:pPr>
        <w:pStyle w:val="15"/>
        <w:ind w:left="0" w:leftChars="0" w:firstLine="422" w:firstLineChars="200"/>
        <w:rPr>
          <w:rFonts w:hint="default"/>
          <w:highlight w:val="none"/>
          <w:lang w:val="en-US" w:eastAsia="zh-CN"/>
        </w:rPr>
      </w:pPr>
      <w:r>
        <w:rPr>
          <w:rFonts w:hint="eastAsia"/>
          <w:highlight w:val="none"/>
          <w:lang w:val="en-US" w:eastAsia="zh-CN"/>
        </w:rPr>
        <w:t>2、</w:t>
      </w:r>
      <w:r>
        <w:rPr>
          <w:rFonts w:hint="default"/>
          <w:highlight w:val="none"/>
          <w:lang w:val="en-US" w:eastAsia="zh-CN"/>
        </w:rPr>
        <w:t>效果图</w:t>
      </w:r>
    </w:p>
    <w:p w14:paraId="35173701">
      <w:pPr>
        <w:pStyle w:val="15"/>
        <w:ind w:left="0" w:leftChars="0" w:firstLine="422"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组织保障方案及措施</w:t>
      </w:r>
    </w:p>
    <w:p w14:paraId="36EEF04B">
      <w:pPr>
        <w:pStyle w:val="15"/>
        <w:ind w:left="0" w:leftChars="0" w:firstLine="422" w:firstLineChars="200"/>
        <w:rPr>
          <w:rFonts w:hint="default"/>
          <w:highlight w:val="none"/>
          <w:lang w:val="en-US" w:eastAsia="zh-CN"/>
        </w:rPr>
      </w:pPr>
      <w:r>
        <w:rPr>
          <w:rFonts w:hint="eastAsia"/>
          <w:highlight w:val="none"/>
          <w:lang w:val="en-US" w:eastAsia="zh-CN"/>
        </w:rPr>
        <w:t>4、</w:t>
      </w:r>
      <w:r>
        <w:rPr>
          <w:rFonts w:hint="default"/>
          <w:highlight w:val="none"/>
          <w:lang w:val="en-US" w:eastAsia="zh-CN"/>
        </w:rPr>
        <w:t>服务承诺</w:t>
      </w:r>
    </w:p>
    <w:p w14:paraId="061DDE35">
      <w:pPr>
        <w:pStyle w:val="15"/>
        <w:rPr>
          <w:rFonts w:hint="default"/>
          <w:highlight w:val="none"/>
          <w:lang w:val="en-US" w:eastAsia="zh-CN"/>
        </w:rPr>
      </w:pPr>
    </w:p>
    <w:p w14:paraId="6719F784">
      <w:pPr>
        <w:rPr>
          <w:rFonts w:hint="eastAsia" w:ascii="宋体" w:hAnsi="宋体"/>
          <w:b/>
          <w:sz w:val="28"/>
          <w:szCs w:val="28"/>
          <w:highlight w:val="none"/>
        </w:rPr>
      </w:pPr>
      <w:r>
        <w:rPr>
          <w:rFonts w:hint="eastAsia" w:ascii="宋体" w:hAnsi="宋体"/>
          <w:b/>
          <w:sz w:val="28"/>
          <w:szCs w:val="28"/>
          <w:highlight w:val="none"/>
        </w:rPr>
        <w:br w:type="page"/>
      </w:r>
    </w:p>
    <w:p w14:paraId="72D1BA4C">
      <w:pPr>
        <w:rPr>
          <w:rFonts w:hint="eastAsia" w:ascii="宋体" w:hAnsi="宋体"/>
          <w:b/>
          <w:sz w:val="28"/>
          <w:szCs w:val="28"/>
          <w:highlight w:val="none"/>
        </w:rPr>
      </w:pPr>
      <w:r>
        <w:rPr>
          <w:rFonts w:hint="eastAsia" w:ascii="宋体" w:hAnsi="宋体"/>
          <w:b/>
          <w:sz w:val="28"/>
          <w:szCs w:val="28"/>
          <w:highlight w:val="none"/>
        </w:rPr>
        <w:t>附</w:t>
      </w:r>
      <w:r>
        <w:rPr>
          <w:rFonts w:hint="eastAsia" w:ascii="宋体" w:hAnsi="宋体"/>
          <w:b/>
          <w:sz w:val="28"/>
          <w:szCs w:val="28"/>
          <w:highlight w:val="none"/>
          <w:lang w:eastAsia="zh-CN"/>
        </w:rPr>
        <w:t>表十</w:t>
      </w:r>
      <w:r>
        <w:rPr>
          <w:rFonts w:hint="eastAsia" w:ascii="宋体" w:hAnsi="宋体"/>
          <w:b/>
          <w:sz w:val="28"/>
          <w:szCs w:val="28"/>
          <w:highlight w:val="none"/>
          <w:lang w:val="en-US" w:eastAsia="zh-CN"/>
        </w:rPr>
        <w:t>一</w:t>
      </w:r>
      <w:r>
        <w:rPr>
          <w:rFonts w:hint="eastAsia" w:ascii="宋体" w:hAnsi="宋体"/>
          <w:b/>
          <w:sz w:val="28"/>
          <w:szCs w:val="28"/>
          <w:highlight w:val="none"/>
        </w:rPr>
        <w:t>：</w:t>
      </w:r>
    </w:p>
    <w:p w14:paraId="374674BD">
      <w:pPr>
        <w:pStyle w:val="15"/>
        <w:rPr>
          <w:rFonts w:hint="eastAsia"/>
          <w:highlight w:val="none"/>
          <w:lang w:eastAsia="zh-CN"/>
        </w:rPr>
      </w:pPr>
    </w:p>
    <w:p w14:paraId="7743E414">
      <w:pPr>
        <w:spacing w:before="247" w:line="225" w:lineRule="auto"/>
        <w:ind w:left="2687"/>
        <w:rPr>
          <w:rFonts w:ascii="宋体" w:hAnsi="宋体" w:eastAsia="宋体" w:cs="宋体"/>
          <w:b/>
          <w:bCs/>
          <w:sz w:val="31"/>
          <w:szCs w:val="31"/>
          <w:highlight w:val="none"/>
        </w:rPr>
      </w:pPr>
      <w:r>
        <w:rPr>
          <w:rFonts w:ascii="宋体" w:hAnsi="宋体" w:eastAsia="宋体" w:cs="宋体"/>
          <w:b/>
          <w:bCs/>
          <w:spacing w:val="8"/>
          <w:sz w:val="31"/>
          <w:szCs w:val="31"/>
          <w:highlight w:val="none"/>
        </w:rPr>
        <w:t>商务、技术条款偏差表</w:t>
      </w:r>
    </w:p>
    <w:p w14:paraId="3904CA64">
      <w:pPr>
        <w:spacing w:line="92" w:lineRule="exact"/>
        <w:rPr>
          <w:highlight w:val="none"/>
        </w:rPr>
      </w:pPr>
    </w:p>
    <w:tbl>
      <w:tblPr>
        <w:tblStyle w:val="82"/>
        <w:tblW w:w="85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2523"/>
        <w:gridCol w:w="2607"/>
        <w:gridCol w:w="1382"/>
        <w:gridCol w:w="1213"/>
      </w:tblGrid>
      <w:tr w14:paraId="39748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804" w:type="dxa"/>
            <w:vAlign w:val="center"/>
          </w:tcPr>
          <w:p w14:paraId="2B334A5F">
            <w:pPr>
              <w:pStyle w:val="84"/>
              <w:spacing w:before="246" w:line="229" w:lineRule="auto"/>
              <w:ind w:left="196"/>
              <w:jc w:val="center"/>
              <w:rPr>
                <w:sz w:val="20"/>
                <w:szCs w:val="20"/>
                <w:highlight w:val="none"/>
              </w:rPr>
            </w:pPr>
            <w:r>
              <w:rPr>
                <w:spacing w:val="5"/>
                <w:sz w:val="20"/>
                <w:szCs w:val="20"/>
                <w:highlight w:val="none"/>
              </w:rPr>
              <w:t>序号</w:t>
            </w:r>
          </w:p>
        </w:tc>
        <w:tc>
          <w:tcPr>
            <w:tcW w:w="2523" w:type="dxa"/>
            <w:vAlign w:val="center"/>
          </w:tcPr>
          <w:p w14:paraId="639F9F91">
            <w:pPr>
              <w:pStyle w:val="84"/>
              <w:spacing w:before="245" w:line="227" w:lineRule="auto"/>
              <w:ind w:left="121"/>
              <w:jc w:val="center"/>
              <w:rPr>
                <w:sz w:val="20"/>
                <w:szCs w:val="20"/>
                <w:highlight w:val="none"/>
              </w:rPr>
            </w:pPr>
            <w:r>
              <w:rPr>
                <w:spacing w:val="8"/>
                <w:sz w:val="20"/>
                <w:szCs w:val="20"/>
                <w:highlight w:val="none"/>
              </w:rPr>
              <w:t>招标文件</w:t>
            </w:r>
            <w:r>
              <w:rPr>
                <w:rFonts w:hint="eastAsia"/>
                <w:spacing w:val="8"/>
                <w:sz w:val="20"/>
                <w:szCs w:val="20"/>
                <w:highlight w:val="none"/>
                <w:lang w:val="en-US" w:eastAsia="zh-CN"/>
              </w:rPr>
              <w:t>商务、技术</w:t>
            </w:r>
            <w:r>
              <w:rPr>
                <w:spacing w:val="8"/>
                <w:sz w:val="20"/>
                <w:szCs w:val="20"/>
                <w:highlight w:val="none"/>
              </w:rPr>
              <w:t>条款</w:t>
            </w:r>
          </w:p>
        </w:tc>
        <w:tc>
          <w:tcPr>
            <w:tcW w:w="2607" w:type="dxa"/>
            <w:vAlign w:val="center"/>
          </w:tcPr>
          <w:p w14:paraId="760A13B3">
            <w:pPr>
              <w:pStyle w:val="84"/>
              <w:spacing w:before="245" w:line="227" w:lineRule="auto"/>
              <w:ind w:left="248"/>
              <w:jc w:val="center"/>
              <w:rPr>
                <w:sz w:val="20"/>
                <w:szCs w:val="20"/>
                <w:highlight w:val="none"/>
              </w:rPr>
            </w:pPr>
            <w:r>
              <w:rPr>
                <w:spacing w:val="8"/>
                <w:sz w:val="20"/>
                <w:szCs w:val="20"/>
                <w:highlight w:val="none"/>
              </w:rPr>
              <w:t>投标文件</w:t>
            </w:r>
            <w:r>
              <w:rPr>
                <w:rFonts w:hint="eastAsia"/>
                <w:spacing w:val="8"/>
                <w:sz w:val="20"/>
                <w:szCs w:val="20"/>
                <w:highlight w:val="none"/>
                <w:lang w:val="en-US" w:eastAsia="zh-CN"/>
              </w:rPr>
              <w:t>商务、技术</w:t>
            </w:r>
            <w:r>
              <w:rPr>
                <w:spacing w:val="8"/>
                <w:sz w:val="20"/>
                <w:szCs w:val="20"/>
                <w:highlight w:val="none"/>
              </w:rPr>
              <w:t>条款</w:t>
            </w:r>
          </w:p>
        </w:tc>
        <w:tc>
          <w:tcPr>
            <w:tcW w:w="1382" w:type="dxa"/>
            <w:vAlign w:val="center"/>
          </w:tcPr>
          <w:p w14:paraId="7A07C668">
            <w:pPr>
              <w:pStyle w:val="84"/>
              <w:spacing w:before="108"/>
              <w:ind w:left="301" w:right="169" w:hanging="122"/>
              <w:jc w:val="center"/>
              <w:rPr>
                <w:sz w:val="20"/>
                <w:szCs w:val="20"/>
                <w:highlight w:val="none"/>
              </w:rPr>
            </w:pPr>
            <w:r>
              <w:rPr>
                <w:spacing w:val="7"/>
                <w:sz w:val="20"/>
                <w:szCs w:val="20"/>
                <w:highlight w:val="none"/>
              </w:rPr>
              <w:t>偏差说明</w:t>
            </w:r>
          </w:p>
        </w:tc>
        <w:tc>
          <w:tcPr>
            <w:tcW w:w="1213" w:type="dxa"/>
            <w:vAlign w:val="center"/>
          </w:tcPr>
          <w:p w14:paraId="2A300AE2">
            <w:pPr>
              <w:pStyle w:val="84"/>
              <w:spacing w:before="245" w:line="228" w:lineRule="auto"/>
              <w:ind w:left="191"/>
              <w:jc w:val="center"/>
              <w:rPr>
                <w:rFonts w:hint="eastAsia" w:eastAsia="宋体"/>
                <w:sz w:val="20"/>
                <w:szCs w:val="20"/>
                <w:highlight w:val="none"/>
                <w:lang w:val="en-US" w:eastAsia="zh-CN"/>
              </w:rPr>
            </w:pPr>
            <w:r>
              <w:rPr>
                <w:rFonts w:hint="eastAsia"/>
                <w:sz w:val="20"/>
                <w:szCs w:val="20"/>
                <w:highlight w:val="none"/>
                <w:lang w:val="en-US" w:eastAsia="zh-CN"/>
              </w:rPr>
              <w:t>备注</w:t>
            </w:r>
          </w:p>
        </w:tc>
      </w:tr>
      <w:tr w14:paraId="7B26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04" w:type="dxa"/>
            <w:vAlign w:val="top"/>
          </w:tcPr>
          <w:p w14:paraId="11FC4A2B">
            <w:pPr>
              <w:pStyle w:val="84"/>
              <w:spacing w:before="235" w:line="187" w:lineRule="auto"/>
              <w:ind w:left="371"/>
              <w:rPr>
                <w:sz w:val="20"/>
                <w:szCs w:val="20"/>
                <w:highlight w:val="none"/>
              </w:rPr>
            </w:pPr>
            <w:r>
              <w:rPr>
                <w:sz w:val="20"/>
                <w:szCs w:val="20"/>
                <w:highlight w:val="none"/>
              </w:rPr>
              <w:t>1</w:t>
            </w:r>
          </w:p>
        </w:tc>
        <w:tc>
          <w:tcPr>
            <w:tcW w:w="2523" w:type="dxa"/>
            <w:vAlign w:val="top"/>
          </w:tcPr>
          <w:p w14:paraId="2E7730BA">
            <w:pPr>
              <w:jc w:val="center"/>
              <w:rPr>
                <w:rFonts w:ascii="Arial"/>
                <w:sz w:val="21"/>
                <w:highlight w:val="none"/>
              </w:rPr>
            </w:pPr>
            <w:r>
              <w:rPr>
                <w:spacing w:val="-2"/>
                <w:sz w:val="20"/>
                <w:szCs w:val="20"/>
                <w:highlight w:val="none"/>
              </w:rPr>
              <w:t>……</w:t>
            </w:r>
          </w:p>
        </w:tc>
        <w:tc>
          <w:tcPr>
            <w:tcW w:w="2607" w:type="dxa"/>
            <w:vAlign w:val="top"/>
          </w:tcPr>
          <w:p w14:paraId="47C5FF51">
            <w:pPr>
              <w:rPr>
                <w:rFonts w:ascii="Arial"/>
                <w:sz w:val="21"/>
                <w:highlight w:val="none"/>
              </w:rPr>
            </w:pPr>
          </w:p>
        </w:tc>
        <w:tc>
          <w:tcPr>
            <w:tcW w:w="1382" w:type="dxa"/>
            <w:vAlign w:val="top"/>
          </w:tcPr>
          <w:p w14:paraId="426447E7">
            <w:pPr>
              <w:rPr>
                <w:rFonts w:ascii="Arial"/>
                <w:sz w:val="21"/>
                <w:highlight w:val="none"/>
              </w:rPr>
            </w:pPr>
          </w:p>
        </w:tc>
        <w:tc>
          <w:tcPr>
            <w:tcW w:w="1213" w:type="dxa"/>
            <w:vAlign w:val="top"/>
          </w:tcPr>
          <w:p w14:paraId="7D6F2B18">
            <w:pPr>
              <w:rPr>
                <w:rFonts w:ascii="Arial"/>
                <w:sz w:val="21"/>
                <w:highlight w:val="none"/>
              </w:rPr>
            </w:pPr>
          </w:p>
        </w:tc>
      </w:tr>
      <w:tr w14:paraId="67FA8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04" w:type="dxa"/>
            <w:vAlign w:val="top"/>
          </w:tcPr>
          <w:p w14:paraId="4F067905">
            <w:pPr>
              <w:pStyle w:val="84"/>
              <w:spacing w:before="236" w:line="186" w:lineRule="auto"/>
              <w:ind w:left="358"/>
              <w:rPr>
                <w:sz w:val="20"/>
                <w:szCs w:val="20"/>
                <w:highlight w:val="none"/>
              </w:rPr>
            </w:pPr>
            <w:r>
              <w:rPr>
                <w:sz w:val="20"/>
                <w:szCs w:val="20"/>
                <w:highlight w:val="none"/>
              </w:rPr>
              <w:t>2</w:t>
            </w:r>
          </w:p>
        </w:tc>
        <w:tc>
          <w:tcPr>
            <w:tcW w:w="2523" w:type="dxa"/>
            <w:vAlign w:val="top"/>
          </w:tcPr>
          <w:p w14:paraId="4572C011">
            <w:pPr>
              <w:jc w:val="center"/>
              <w:rPr>
                <w:rFonts w:ascii="Arial"/>
                <w:sz w:val="21"/>
                <w:highlight w:val="none"/>
              </w:rPr>
            </w:pPr>
            <w:r>
              <w:rPr>
                <w:spacing w:val="-2"/>
                <w:sz w:val="20"/>
                <w:szCs w:val="20"/>
                <w:highlight w:val="none"/>
              </w:rPr>
              <w:t>……</w:t>
            </w:r>
          </w:p>
        </w:tc>
        <w:tc>
          <w:tcPr>
            <w:tcW w:w="2607" w:type="dxa"/>
            <w:vAlign w:val="top"/>
          </w:tcPr>
          <w:p w14:paraId="05BC918F">
            <w:pPr>
              <w:rPr>
                <w:rFonts w:ascii="Arial"/>
                <w:sz w:val="21"/>
                <w:highlight w:val="none"/>
              </w:rPr>
            </w:pPr>
          </w:p>
        </w:tc>
        <w:tc>
          <w:tcPr>
            <w:tcW w:w="1382" w:type="dxa"/>
            <w:vAlign w:val="top"/>
          </w:tcPr>
          <w:p w14:paraId="3A444819">
            <w:pPr>
              <w:rPr>
                <w:rFonts w:ascii="Arial"/>
                <w:sz w:val="21"/>
                <w:highlight w:val="none"/>
              </w:rPr>
            </w:pPr>
          </w:p>
        </w:tc>
        <w:tc>
          <w:tcPr>
            <w:tcW w:w="1213" w:type="dxa"/>
            <w:vAlign w:val="top"/>
          </w:tcPr>
          <w:p w14:paraId="3DFD6B5B">
            <w:pPr>
              <w:rPr>
                <w:rFonts w:ascii="Arial"/>
                <w:sz w:val="21"/>
                <w:highlight w:val="none"/>
              </w:rPr>
            </w:pPr>
          </w:p>
        </w:tc>
      </w:tr>
      <w:tr w14:paraId="12D1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04" w:type="dxa"/>
            <w:vAlign w:val="top"/>
          </w:tcPr>
          <w:p w14:paraId="6A73E042">
            <w:pPr>
              <w:pStyle w:val="84"/>
              <w:spacing w:before="239" w:line="183" w:lineRule="auto"/>
              <w:ind w:left="359"/>
              <w:rPr>
                <w:sz w:val="20"/>
                <w:szCs w:val="20"/>
                <w:highlight w:val="none"/>
              </w:rPr>
            </w:pPr>
            <w:r>
              <w:rPr>
                <w:sz w:val="20"/>
                <w:szCs w:val="20"/>
                <w:highlight w:val="none"/>
              </w:rPr>
              <w:t>3</w:t>
            </w:r>
          </w:p>
        </w:tc>
        <w:tc>
          <w:tcPr>
            <w:tcW w:w="2523" w:type="dxa"/>
            <w:vAlign w:val="top"/>
          </w:tcPr>
          <w:p w14:paraId="3653A499">
            <w:pPr>
              <w:jc w:val="center"/>
              <w:rPr>
                <w:rFonts w:ascii="Arial"/>
                <w:sz w:val="21"/>
                <w:highlight w:val="none"/>
              </w:rPr>
            </w:pPr>
            <w:r>
              <w:rPr>
                <w:spacing w:val="-2"/>
                <w:sz w:val="20"/>
                <w:szCs w:val="20"/>
                <w:highlight w:val="none"/>
              </w:rPr>
              <w:t>……</w:t>
            </w:r>
          </w:p>
        </w:tc>
        <w:tc>
          <w:tcPr>
            <w:tcW w:w="2607" w:type="dxa"/>
            <w:vAlign w:val="top"/>
          </w:tcPr>
          <w:p w14:paraId="0543FD26">
            <w:pPr>
              <w:rPr>
                <w:rFonts w:ascii="Arial"/>
                <w:sz w:val="21"/>
                <w:highlight w:val="none"/>
              </w:rPr>
            </w:pPr>
          </w:p>
        </w:tc>
        <w:tc>
          <w:tcPr>
            <w:tcW w:w="1382" w:type="dxa"/>
            <w:vAlign w:val="top"/>
          </w:tcPr>
          <w:p w14:paraId="0C54EBE9">
            <w:pPr>
              <w:rPr>
                <w:rFonts w:ascii="Arial"/>
                <w:sz w:val="21"/>
                <w:highlight w:val="none"/>
              </w:rPr>
            </w:pPr>
          </w:p>
        </w:tc>
        <w:tc>
          <w:tcPr>
            <w:tcW w:w="1213" w:type="dxa"/>
            <w:vAlign w:val="top"/>
          </w:tcPr>
          <w:p w14:paraId="4BD5B86E">
            <w:pPr>
              <w:rPr>
                <w:rFonts w:ascii="Arial"/>
                <w:sz w:val="21"/>
                <w:highlight w:val="none"/>
              </w:rPr>
            </w:pPr>
          </w:p>
        </w:tc>
      </w:tr>
      <w:tr w14:paraId="1A52F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04" w:type="dxa"/>
            <w:vAlign w:val="top"/>
          </w:tcPr>
          <w:p w14:paraId="23995DD8">
            <w:pPr>
              <w:pStyle w:val="84"/>
              <w:spacing w:before="239" w:line="184" w:lineRule="auto"/>
              <w:ind w:left="354"/>
              <w:rPr>
                <w:sz w:val="20"/>
                <w:szCs w:val="20"/>
                <w:highlight w:val="none"/>
              </w:rPr>
            </w:pPr>
            <w:r>
              <w:rPr>
                <w:sz w:val="20"/>
                <w:szCs w:val="20"/>
                <w:highlight w:val="none"/>
              </w:rPr>
              <w:t>4</w:t>
            </w:r>
          </w:p>
        </w:tc>
        <w:tc>
          <w:tcPr>
            <w:tcW w:w="2523" w:type="dxa"/>
            <w:vAlign w:val="top"/>
          </w:tcPr>
          <w:p w14:paraId="4BF1E16F">
            <w:pPr>
              <w:rPr>
                <w:rFonts w:ascii="Arial"/>
                <w:sz w:val="21"/>
                <w:highlight w:val="none"/>
              </w:rPr>
            </w:pPr>
          </w:p>
        </w:tc>
        <w:tc>
          <w:tcPr>
            <w:tcW w:w="2607" w:type="dxa"/>
            <w:vAlign w:val="top"/>
          </w:tcPr>
          <w:p w14:paraId="6BDD5E94">
            <w:pPr>
              <w:rPr>
                <w:rFonts w:ascii="Arial"/>
                <w:sz w:val="21"/>
                <w:highlight w:val="none"/>
              </w:rPr>
            </w:pPr>
          </w:p>
        </w:tc>
        <w:tc>
          <w:tcPr>
            <w:tcW w:w="1382" w:type="dxa"/>
            <w:vAlign w:val="top"/>
          </w:tcPr>
          <w:p w14:paraId="23F8F8A0">
            <w:pPr>
              <w:rPr>
                <w:rFonts w:ascii="Arial"/>
                <w:sz w:val="21"/>
                <w:highlight w:val="none"/>
              </w:rPr>
            </w:pPr>
          </w:p>
        </w:tc>
        <w:tc>
          <w:tcPr>
            <w:tcW w:w="1213" w:type="dxa"/>
            <w:vAlign w:val="top"/>
          </w:tcPr>
          <w:p w14:paraId="54A3BEB6">
            <w:pPr>
              <w:rPr>
                <w:rFonts w:ascii="Arial"/>
                <w:sz w:val="21"/>
                <w:highlight w:val="none"/>
              </w:rPr>
            </w:pPr>
          </w:p>
        </w:tc>
      </w:tr>
      <w:tr w14:paraId="547B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04" w:type="dxa"/>
            <w:vAlign w:val="top"/>
          </w:tcPr>
          <w:p w14:paraId="7DD4ADB9">
            <w:pPr>
              <w:pStyle w:val="84"/>
              <w:spacing w:before="240" w:line="182" w:lineRule="auto"/>
              <w:ind w:left="359"/>
              <w:rPr>
                <w:sz w:val="20"/>
                <w:szCs w:val="20"/>
                <w:highlight w:val="none"/>
              </w:rPr>
            </w:pPr>
            <w:r>
              <w:rPr>
                <w:sz w:val="20"/>
                <w:szCs w:val="20"/>
                <w:highlight w:val="none"/>
              </w:rPr>
              <w:t>5</w:t>
            </w:r>
          </w:p>
        </w:tc>
        <w:tc>
          <w:tcPr>
            <w:tcW w:w="2523" w:type="dxa"/>
            <w:vAlign w:val="top"/>
          </w:tcPr>
          <w:p w14:paraId="64FD5728">
            <w:pPr>
              <w:rPr>
                <w:rFonts w:ascii="Arial"/>
                <w:sz w:val="21"/>
                <w:highlight w:val="none"/>
              </w:rPr>
            </w:pPr>
          </w:p>
        </w:tc>
        <w:tc>
          <w:tcPr>
            <w:tcW w:w="2607" w:type="dxa"/>
            <w:vAlign w:val="top"/>
          </w:tcPr>
          <w:p w14:paraId="5C21DD8C">
            <w:pPr>
              <w:rPr>
                <w:rFonts w:ascii="Arial"/>
                <w:sz w:val="21"/>
                <w:highlight w:val="none"/>
              </w:rPr>
            </w:pPr>
          </w:p>
        </w:tc>
        <w:tc>
          <w:tcPr>
            <w:tcW w:w="1382" w:type="dxa"/>
            <w:vAlign w:val="top"/>
          </w:tcPr>
          <w:p w14:paraId="39F78DAA">
            <w:pPr>
              <w:rPr>
                <w:rFonts w:ascii="Arial"/>
                <w:sz w:val="21"/>
                <w:highlight w:val="none"/>
              </w:rPr>
            </w:pPr>
          </w:p>
        </w:tc>
        <w:tc>
          <w:tcPr>
            <w:tcW w:w="1213" w:type="dxa"/>
            <w:vAlign w:val="top"/>
          </w:tcPr>
          <w:p w14:paraId="7EA212F9">
            <w:pPr>
              <w:rPr>
                <w:rFonts w:ascii="Arial"/>
                <w:sz w:val="21"/>
                <w:highlight w:val="none"/>
              </w:rPr>
            </w:pPr>
          </w:p>
        </w:tc>
      </w:tr>
      <w:tr w14:paraId="61605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804" w:type="dxa"/>
            <w:vAlign w:val="top"/>
          </w:tcPr>
          <w:p w14:paraId="0C28536E">
            <w:pPr>
              <w:pStyle w:val="84"/>
              <w:spacing w:before="206" w:line="218" w:lineRule="auto"/>
              <w:ind w:left="210"/>
              <w:rPr>
                <w:sz w:val="20"/>
                <w:szCs w:val="20"/>
                <w:highlight w:val="none"/>
              </w:rPr>
            </w:pPr>
            <w:r>
              <w:rPr>
                <w:spacing w:val="-2"/>
                <w:sz w:val="20"/>
                <w:szCs w:val="20"/>
                <w:highlight w:val="none"/>
              </w:rPr>
              <w:t>……</w:t>
            </w:r>
          </w:p>
        </w:tc>
        <w:tc>
          <w:tcPr>
            <w:tcW w:w="2523" w:type="dxa"/>
            <w:vAlign w:val="top"/>
          </w:tcPr>
          <w:p w14:paraId="4639B666">
            <w:pPr>
              <w:rPr>
                <w:rFonts w:ascii="Arial"/>
                <w:sz w:val="21"/>
                <w:highlight w:val="none"/>
              </w:rPr>
            </w:pPr>
          </w:p>
        </w:tc>
        <w:tc>
          <w:tcPr>
            <w:tcW w:w="2607" w:type="dxa"/>
            <w:vAlign w:val="top"/>
          </w:tcPr>
          <w:p w14:paraId="369E68B7">
            <w:pPr>
              <w:rPr>
                <w:rFonts w:ascii="Arial"/>
                <w:sz w:val="21"/>
                <w:highlight w:val="none"/>
              </w:rPr>
            </w:pPr>
          </w:p>
        </w:tc>
        <w:tc>
          <w:tcPr>
            <w:tcW w:w="1382" w:type="dxa"/>
            <w:vAlign w:val="top"/>
          </w:tcPr>
          <w:p w14:paraId="723D3D97">
            <w:pPr>
              <w:rPr>
                <w:rFonts w:ascii="Arial"/>
                <w:sz w:val="21"/>
                <w:highlight w:val="none"/>
              </w:rPr>
            </w:pPr>
          </w:p>
        </w:tc>
        <w:tc>
          <w:tcPr>
            <w:tcW w:w="1213" w:type="dxa"/>
            <w:vAlign w:val="top"/>
          </w:tcPr>
          <w:p w14:paraId="37EF26D5">
            <w:pPr>
              <w:rPr>
                <w:rFonts w:ascii="Arial"/>
                <w:sz w:val="21"/>
                <w:highlight w:val="none"/>
              </w:rPr>
            </w:pPr>
          </w:p>
        </w:tc>
      </w:tr>
    </w:tbl>
    <w:p w14:paraId="2BB1F8A6">
      <w:pPr>
        <w:spacing w:line="440" w:lineRule="exact"/>
        <w:rPr>
          <w:b/>
          <w:sz w:val="28"/>
          <w:szCs w:val="28"/>
          <w:highlight w:val="none"/>
        </w:rPr>
      </w:pPr>
      <w:r>
        <w:rPr>
          <w:rFonts w:ascii="宋体" w:hAnsi="宋体" w:eastAsia="宋体" w:cs="宋体"/>
          <w:spacing w:val="9"/>
          <w:sz w:val="20"/>
          <w:szCs w:val="20"/>
          <w:highlight w:val="none"/>
        </w:rPr>
        <w:t>投标人保证：除上表列出的偏差外，投标人响应招标文件的全部要求。</w:t>
      </w:r>
    </w:p>
    <w:p w14:paraId="5D60CA0E">
      <w:pPr>
        <w:spacing w:line="440" w:lineRule="exact"/>
        <w:rPr>
          <w:b/>
          <w:sz w:val="28"/>
          <w:szCs w:val="28"/>
          <w:highlight w:val="none"/>
        </w:rPr>
      </w:pPr>
    </w:p>
    <w:p w14:paraId="04EB98B3">
      <w:pPr>
        <w:spacing w:before="173" w:line="228" w:lineRule="auto"/>
        <w:ind w:left="543"/>
        <w:rPr>
          <w:rFonts w:ascii="宋体" w:hAnsi="宋体" w:eastAsia="宋体" w:cs="宋体"/>
          <w:sz w:val="20"/>
          <w:szCs w:val="20"/>
          <w:highlight w:val="none"/>
        </w:rPr>
      </w:pPr>
    </w:p>
    <w:p w14:paraId="788DC770">
      <w:pPr>
        <w:pStyle w:val="12"/>
        <w:spacing w:line="318" w:lineRule="auto"/>
        <w:rPr>
          <w:highlight w:val="none"/>
        </w:rPr>
      </w:pPr>
    </w:p>
    <w:p w14:paraId="630F683C">
      <w:pPr>
        <w:pStyle w:val="12"/>
        <w:spacing w:line="319" w:lineRule="auto"/>
        <w:rPr>
          <w:highlight w:val="none"/>
        </w:rPr>
      </w:pPr>
    </w:p>
    <w:p w14:paraId="4883C66B">
      <w:pPr>
        <w:spacing w:before="78" w:line="219" w:lineRule="auto"/>
        <w:ind w:left="3380" w:firstLine="3304" w:firstLineChars="1400"/>
        <w:rPr>
          <w:rFonts w:ascii="宋体" w:hAnsi="宋体" w:eastAsia="宋体" w:cs="宋体"/>
          <w:sz w:val="24"/>
          <w:szCs w:val="24"/>
          <w:highlight w:val="none"/>
        </w:rPr>
      </w:pPr>
      <w:r>
        <w:rPr>
          <w:rFonts w:ascii="宋体" w:hAnsi="宋体" w:eastAsia="宋体" w:cs="宋体"/>
          <w:spacing w:val="-2"/>
          <w:sz w:val="24"/>
          <w:szCs w:val="24"/>
          <w:highlight w:val="none"/>
        </w:rPr>
        <w:t>企业名称（公章</w:t>
      </w:r>
      <w:r>
        <w:rPr>
          <w:rFonts w:ascii="宋体" w:hAnsi="宋体" w:eastAsia="宋体" w:cs="宋体"/>
          <w:sz w:val="24"/>
          <w:szCs w:val="24"/>
          <w:highlight w:val="none"/>
        </w:rPr>
        <w:t>）：</w:t>
      </w:r>
    </w:p>
    <w:p w14:paraId="5B3A5FB6">
      <w:pPr>
        <w:jc w:val="right"/>
        <w:rPr>
          <w:rFonts w:hint="eastAsia" w:ascii="宋体" w:hAnsi="宋体"/>
          <w:b/>
          <w:sz w:val="28"/>
          <w:szCs w:val="28"/>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29"/>
          <w:sz w:val="24"/>
          <w:szCs w:val="24"/>
          <w:highlight w:val="none"/>
          <w:u w:val="single" w:color="auto"/>
        </w:rPr>
        <w:t xml:space="preserve">    </w:t>
      </w:r>
      <w:r>
        <w:rPr>
          <w:rFonts w:ascii="宋体" w:hAnsi="宋体" w:eastAsia="宋体" w:cs="宋体"/>
          <w:spacing w:val="-101"/>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39"/>
          <w:sz w:val="24"/>
          <w:szCs w:val="24"/>
          <w:highlight w:val="none"/>
          <w:u w:val="single" w:color="auto"/>
        </w:rPr>
        <w:t xml:space="preserve">   </w:t>
      </w:r>
      <w:r>
        <w:rPr>
          <w:rFonts w:ascii="宋体" w:hAnsi="宋体" w:eastAsia="宋体" w:cs="宋体"/>
          <w:spacing w:val="-66"/>
          <w:sz w:val="24"/>
          <w:szCs w:val="24"/>
          <w:highlight w:val="none"/>
        </w:rPr>
        <w:t xml:space="preserve"> </w:t>
      </w:r>
      <w:r>
        <w:rPr>
          <w:rFonts w:ascii="宋体" w:hAnsi="宋体" w:eastAsia="宋体" w:cs="宋体"/>
          <w:spacing w:val="-13"/>
          <w:sz w:val="24"/>
          <w:szCs w:val="24"/>
          <w:highlight w:val="none"/>
        </w:rPr>
        <w:t>日</w:t>
      </w:r>
    </w:p>
    <w:p w14:paraId="7A190254">
      <w:pPr>
        <w:jc w:val="both"/>
        <w:rPr>
          <w:rFonts w:hint="eastAsia" w:ascii="宋体" w:hAnsi="宋体"/>
          <w:b/>
          <w:sz w:val="28"/>
          <w:szCs w:val="28"/>
          <w:highlight w:val="none"/>
        </w:rPr>
      </w:pPr>
      <w:r>
        <w:rPr>
          <w:rFonts w:hint="eastAsia" w:ascii="宋体" w:hAnsi="宋体"/>
          <w:b/>
          <w:sz w:val="28"/>
          <w:szCs w:val="28"/>
          <w:highlight w:val="none"/>
        </w:rPr>
        <w:br w:type="page"/>
      </w:r>
    </w:p>
    <w:p w14:paraId="204E020C">
      <w:pPr>
        <w:spacing w:line="440" w:lineRule="exact"/>
        <w:rPr>
          <w:rFonts w:ascii="宋体" w:hAnsi="宋体"/>
          <w:b/>
          <w:sz w:val="28"/>
          <w:szCs w:val="28"/>
          <w:highlight w:val="none"/>
        </w:rPr>
      </w:pPr>
      <w:r>
        <w:rPr>
          <w:b/>
          <w:sz w:val="28"/>
          <w:szCs w:val="28"/>
          <w:highlight w:val="none"/>
        </w:rPr>
        <w:t>附</w:t>
      </w:r>
      <w:r>
        <w:rPr>
          <w:rFonts w:hint="eastAsia"/>
          <w:b/>
          <w:sz w:val="28"/>
          <w:szCs w:val="28"/>
          <w:highlight w:val="none"/>
          <w:lang w:eastAsia="zh-CN"/>
        </w:rPr>
        <w:t>表</w:t>
      </w:r>
      <w:r>
        <w:rPr>
          <w:rFonts w:hint="eastAsia"/>
          <w:b/>
          <w:sz w:val="28"/>
          <w:szCs w:val="28"/>
          <w:highlight w:val="none"/>
        </w:rPr>
        <w:t>十</w:t>
      </w:r>
      <w:r>
        <w:rPr>
          <w:rFonts w:hint="eastAsia"/>
          <w:b/>
          <w:sz w:val="28"/>
          <w:szCs w:val="28"/>
          <w:highlight w:val="none"/>
          <w:lang w:val="en-US" w:eastAsia="zh-CN"/>
        </w:rPr>
        <w:t>二</w:t>
      </w:r>
      <w:r>
        <w:rPr>
          <w:b/>
          <w:sz w:val="28"/>
          <w:szCs w:val="28"/>
          <w:highlight w:val="none"/>
        </w:rPr>
        <w:t>：</w:t>
      </w:r>
    </w:p>
    <w:p w14:paraId="358CAB94">
      <w:pPr>
        <w:spacing w:line="360" w:lineRule="auto"/>
        <w:ind w:firstLine="482" w:firstLineChars="200"/>
        <w:rPr>
          <w:b/>
          <w:bCs/>
          <w:sz w:val="24"/>
          <w:highlight w:val="none"/>
        </w:rPr>
      </w:pPr>
      <w:r>
        <w:rPr>
          <w:rFonts w:hint="eastAsia"/>
          <w:b/>
          <w:bCs/>
          <w:sz w:val="24"/>
          <w:highlight w:val="none"/>
          <w:lang w:val="en-US" w:eastAsia="zh-CN"/>
        </w:rPr>
        <w:t>与采购人存在利害关系可能影响采购公正性的单位，不得参加投标。单位负责人为同一人或者存在直接控股、管理关系的不同供应商，不得参加同一合同项下的政府采购活动，否则，相关投标均无效。（可提供承诺函格式自拟）</w:t>
      </w:r>
    </w:p>
    <w:p w14:paraId="6B077411">
      <w:pPr>
        <w:rPr>
          <w:rFonts w:hint="eastAsia" w:ascii="宋体" w:hAnsi="宋体"/>
          <w:b/>
          <w:sz w:val="28"/>
          <w:szCs w:val="28"/>
          <w:highlight w:val="none"/>
        </w:rPr>
      </w:pPr>
      <w:r>
        <w:rPr>
          <w:rFonts w:hint="eastAsia" w:ascii="宋体" w:hAnsi="宋体"/>
          <w:b/>
          <w:sz w:val="28"/>
          <w:szCs w:val="28"/>
          <w:highlight w:val="none"/>
        </w:rPr>
        <w:br w:type="page"/>
      </w:r>
    </w:p>
    <w:p w14:paraId="18DA8DEF">
      <w:pPr>
        <w:spacing w:line="440" w:lineRule="exact"/>
        <w:rPr>
          <w:rFonts w:ascii="宋体" w:hAnsi="宋体"/>
          <w:b/>
          <w:sz w:val="28"/>
          <w:szCs w:val="28"/>
          <w:highlight w:val="none"/>
        </w:rPr>
      </w:pPr>
      <w:r>
        <w:rPr>
          <w:rFonts w:hint="eastAsia" w:ascii="宋体" w:hAnsi="宋体"/>
          <w:b/>
          <w:sz w:val="28"/>
          <w:szCs w:val="28"/>
          <w:highlight w:val="none"/>
        </w:rPr>
        <w:t>附</w:t>
      </w:r>
      <w:r>
        <w:rPr>
          <w:rFonts w:hint="eastAsia"/>
          <w:b/>
          <w:sz w:val="28"/>
          <w:szCs w:val="28"/>
          <w:highlight w:val="none"/>
          <w:lang w:eastAsia="zh-CN"/>
        </w:rPr>
        <w:t>表</w:t>
      </w:r>
      <w:r>
        <w:rPr>
          <w:rFonts w:hint="eastAsia" w:ascii="宋体" w:hAnsi="宋体"/>
          <w:b/>
          <w:sz w:val="28"/>
          <w:szCs w:val="28"/>
          <w:highlight w:val="none"/>
        </w:rPr>
        <w:t>十</w:t>
      </w:r>
      <w:r>
        <w:rPr>
          <w:rFonts w:hint="eastAsia" w:ascii="宋体" w:hAnsi="宋体"/>
          <w:b/>
          <w:sz w:val="28"/>
          <w:szCs w:val="28"/>
          <w:highlight w:val="none"/>
          <w:lang w:val="en-US" w:eastAsia="zh-CN"/>
        </w:rPr>
        <w:t>三</w:t>
      </w:r>
      <w:r>
        <w:rPr>
          <w:rFonts w:hint="eastAsia" w:ascii="宋体" w:hAnsi="宋体"/>
          <w:b/>
          <w:sz w:val="28"/>
          <w:szCs w:val="28"/>
          <w:highlight w:val="none"/>
        </w:rPr>
        <w:t xml:space="preserve">：               </w:t>
      </w:r>
    </w:p>
    <w:p w14:paraId="2BFCD159">
      <w:pPr>
        <w:spacing w:before="113" w:line="228" w:lineRule="auto"/>
        <w:jc w:val="center"/>
        <w:rPr>
          <w:rFonts w:hint="eastAsia" w:ascii="宋体" w:hAnsi="宋体" w:eastAsia="宋体" w:cs="宋体"/>
          <w:color w:val="auto"/>
          <w:sz w:val="35"/>
          <w:szCs w:val="35"/>
          <w:highlight w:val="none"/>
        </w:rPr>
      </w:pPr>
      <w:r>
        <w:rPr>
          <w:rFonts w:hint="eastAsia" w:ascii="宋体" w:hAnsi="宋体" w:eastAsia="宋体" w:cs="宋体"/>
          <w:color w:val="auto"/>
          <w:spacing w:val="8"/>
          <w:sz w:val="35"/>
          <w:szCs w:val="35"/>
          <w:highlight w:val="none"/>
          <w14:textOutline w14:w="6584" w14:cap="flat" w14:cmpd="sng">
            <w14:solidFill>
              <w14:srgbClr w14:val="000000"/>
            </w14:solidFill>
            <w14:prstDash w14:val="solid"/>
            <w14:miter w14:val="0"/>
          </w14:textOutline>
        </w:rPr>
        <w:t>中小企业声明函（工程、服务）</w:t>
      </w:r>
    </w:p>
    <w:p w14:paraId="4D6BC808">
      <w:pPr>
        <w:pStyle w:val="12"/>
        <w:spacing w:line="266" w:lineRule="auto"/>
        <w:rPr>
          <w:rFonts w:hint="eastAsia" w:ascii="宋体" w:hAnsi="宋体" w:eastAsia="宋体" w:cs="宋体"/>
          <w:color w:val="auto"/>
          <w:highlight w:val="none"/>
        </w:rPr>
      </w:pPr>
    </w:p>
    <w:p w14:paraId="0570FF16">
      <w:pPr>
        <w:pStyle w:val="12"/>
        <w:spacing w:line="266" w:lineRule="auto"/>
        <w:rPr>
          <w:rFonts w:hint="eastAsia" w:ascii="宋体" w:hAnsi="宋体" w:eastAsia="宋体" w:cs="宋体"/>
          <w:color w:val="auto"/>
          <w:highlight w:val="none"/>
        </w:rPr>
      </w:pPr>
    </w:p>
    <w:p w14:paraId="15000DFD">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本公司（联合体）郑重声明，根据《政府采购促进中小企业发展管理办法》 （财库[2020]46 号）的规定，本公司（联合体）参加</w:t>
      </w:r>
      <w:r>
        <w:rPr>
          <w:rFonts w:hint="eastAsia" w:ascii="宋体" w:hAnsi="宋体" w:eastAsia="宋体" w:cs="宋体"/>
          <w:color w:val="auto"/>
          <w:spacing w:val="17"/>
          <w:sz w:val="23"/>
          <w:szCs w:val="23"/>
          <w:highlight w:val="none"/>
          <w:u w:val="single"/>
        </w:rPr>
        <w:t>（单位名称）</w:t>
      </w:r>
      <w:r>
        <w:rPr>
          <w:rFonts w:hint="eastAsia" w:ascii="宋体" w:hAnsi="宋体" w:eastAsia="宋体" w:cs="宋体"/>
          <w:color w:val="auto"/>
          <w:spacing w:val="17"/>
          <w:sz w:val="23"/>
          <w:szCs w:val="23"/>
          <w:highlight w:val="none"/>
        </w:rPr>
        <w:t>的</w:t>
      </w:r>
      <w:r>
        <w:rPr>
          <w:rFonts w:hint="eastAsia" w:ascii="宋体" w:hAnsi="宋体" w:eastAsia="宋体" w:cs="宋体"/>
          <w:color w:val="auto"/>
          <w:spacing w:val="17"/>
          <w:sz w:val="23"/>
          <w:szCs w:val="23"/>
          <w:highlight w:val="none"/>
          <w:u w:val="single"/>
        </w:rPr>
        <w:t>（项目名称）</w:t>
      </w:r>
      <w:r>
        <w:rPr>
          <w:rFonts w:hint="eastAsia" w:ascii="宋体" w:hAnsi="宋体" w:eastAsia="宋体" w:cs="宋体"/>
          <w:color w:val="auto"/>
          <w:spacing w:val="17"/>
          <w:sz w:val="23"/>
          <w:szCs w:val="23"/>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B66C7F">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u w:val="none"/>
          <w:lang w:val="en-US" w:eastAsia="zh-CN"/>
        </w:rPr>
        <w:t>1.</w:t>
      </w:r>
      <w:r>
        <w:rPr>
          <w:rFonts w:hint="eastAsia" w:ascii="宋体" w:hAnsi="宋体" w:eastAsia="宋体" w:cs="宋体"/>
          <w:color w:val="auto"/>
          <w:spacing w:val="17"/>
          <w:sz w:val="23"/>
          <w:szCs w:val="23"/>
          <w:highlight w:val="none"/>
          <w:u w:val="single"/>
        </w:rPr>
        <w:t xml:space="preserve">（标的名称） </w:t>
      </w:r>
      <w:r>
        <w:rPr>
          <w:rFonts w:hint="eastAsia" w:ascii="宋体" w:hAnsi="宋体" w:eastAsia="宋体" w:cs="宋体"/>
          <w:color w:val="auto"/>
          <w:spacing w:val="17"/>
          <w:sz w:val="23"/>
          <w:szCs w:val="23"/>
          <w:highlight w:val="none"/>
        </w:rPr>
        <w:t>，属于</w:t>
      </w:r>
      <w:r>
        <w:rPr>
          <w:rFonts w:hint="eastAsia" w:ascii="宋体" w:hAnsi="宋体" w:eastAsia="宋体" w:cs="宋体"/>
          <w:color w:val="auto"/>
          <w:spacing w:val="17"/>
          <w:sz w:val="23"/>
          <w:szCs w:val="23"/>
          <w:highlight w:val="none"/>
          <w:u w:val="single"/>
        </w:rPr>
        <w:t>（采购文件中明确的所属行业）</w:t>
      </w:r>
      <w:r>
        <w:rPr>
          <w:rFonts w:hint="eastAsia" w:ascii="宋体" w:hAnsi="宋体" w:eastAsia="宋体" w:cs="宋体"/>
          <w:color w:val="auto"/>
          <w:spacing w:val="17"/>
          <w:sz w:val="23"/>
          <w:szCs w:val="23"/>
          <w:highlight w:val="none"/>
        </w:rPr>
        <w:t>；承建（承接）</w:t>
      </w:r>
      <w:r>
        <w:rPr>
          <w:rFonts w:hint="eastAsia" w:ascii="宋体" w:hAnsi="宋体" w:eastAsia="宋体" w:cs="宋体"/>
          <w:color w:val="auto"/>
          <w:spacing w:val="17"/>
          <w:sz w:val="23"/>
          <w:szCs w:val="23"/>
          <w:highlight w:val="none"/>
          <w:u w:val="none"/>
        </w:rPr>
        <w:t>企业为</w:t>
      </w:r>
      <w:r>
        <w:rPr>
          <w:rFonts w:hint="eastAsia" w:ascii="宋体" w:hAnsi="宋体" w:eastAsia="宋体" w:cs="宋体"/>
          <w:color w:val="auto"/>
          <w:spacing w:val="17"/>
          <w:sz w:val="23"/>
          <w:szCs w:val="23"/>
          <w:highlight w:val="none"/>
          <w:u w:val="single"/>
        </w:rPr>
        <w:t>（企业名称）</w:t>
      </w:r>
      <w:r>
        <w:rPr>
          <w:rFonts w:hint="eastAsia" w:ascii="宋体" w:hAnsi="宋体" w:eastAsia="宋体" w:cs="宋体"/>
          <w:color w:val="auto"/>
          <w:spacing w:val="17"/>
          <w:sz w:val="23"/>
          <w:szCs w:val="23"/>
          <w:highlight w:val="none"/>
        </w:rPr>
        <w:t>，从业人员</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人，营业收入为</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万元，资产总额为</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万元，属于</w:t>
      </w:r>
      <w:r>
        <w:rPr>
          <w:rFonts w:hint="eastAsia" w:ascii="宋体" w:hAnsi="宋体" w:eastAsia="宋体" w:cs="宋体"/>
          <w:color w:val="auto"/>
          <w:spacing w:val="17"/>
          <w:sz w:val="23"/>
          <w:szCs w:val="23"/>
          <w:highlight w:val="none"/>
          <w:u w:val="single"/>
        </w:rPr>
        <w:t>（中型企业、小型企业、微型企业）</w:t>
      </w:r>
      <w:r>
        <w:rPr>
          <w:rFonts w:hint="eastAsia" w:ascii="宋体" w:hAnsi="宋体" w:eastAsia="宋体" w:cs="宋体"/>
          <w:color w:val="auto"/>
          <w:spacing w:val="17"/>
          <w:sz w:val="23"/>
          <w:szCs w:val="23"/>
          <w:highlight w:val="none"/>
        </w:rPr>
        <w:t>；</w:t>
      </w:r>
    </w:p>
    <w:p w14:paraId="4267C499">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w:t>
      </w:r>
    </w:p>
    <w:p w14:paraId="18334C2D">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以上企业，不属于大企业的分支机构，不存在控股股东为大企业的情形，也不存在与大企业的负责人为同一人的情形。</w:t>
      </w:r>
    </w:p>
    <w:p w14:paraId="0B3E736D">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本企业对上述声明内容的真实性负责。如有虚假，将依法承担相应责任。</w:t>
      </w:r>
    </w:p>
    <w:p w14:paraId="11CF773A">
      <w:pPr>
        <w:spacing w:before="75" w:line="461" w:lineRule="exact"/>
        <w:ind w:firstLine="528" w:firstLineChars="200"/>
        <w:rPr>
          <w:rFonts w:hint="eastAsia" w:ascii="宋体" w:hAnsi="宋体" w:eastAsia="宋体" w:cs="宋体"/>
          <w:color w:val="auto"/>
          <w:spacing w:val="17"/>
          <w:sz w:val="23"/>
          <w:szCs w:val="23"/>
          <w:highlight w:val="none"/>
        </w:rPr>
      </w:pPr>
    </w:p>
    <w:p w14:paraId="3F17BC08">
      <w:pPr>
        <w:spacing w:before="75" w:line="461" w:lineRule="exact"/>
        <w:rPr>
          <w:rFonts w:hint="eastAsia" w:ascii="宋体" w:hAnsi="宋体" w:eastAsia="宋体" w:cs="宋体"/>
          <w:color w:val="auto"/>
          <w:spacing w:val="17"/>
          <w:sz w:val="23"/>
          <w:szCs w:val="23"/>
          <w:highlight w:val="none"/>
        </w:rPr>
      </w:pPr>
    </w:p>
    <w:p w14:paraId="683617FC">
      <w:pPr>
        <w:spacing w:before="75" w:line="461" w:lineRule="exact"/>
        <w:ind w:firstLine="528" w:firstLineChars="200"/>
        <w:rPr>
          <w:rFonts w:hint="eastAsia" w:ascii="宋体" w:hAnsi="宋体" w:eastAsia="宋体" w:cs="宋体"/>
          <w:color w:val="auto"/>
          <w:spacing w:val="17"/>
          <w:sz w:val="23"/>
          <w:szCs w:val="23"/>
          <w:highlight w:val="none"/>
        </w:rPr>
      </w:pPr>
    </w:p>
    <w:p w14:paraId="62D29CF2">
      <w:pPr>
        <w:spacing w:before="75" w:line="501" w:lineRule="auto"/>
        <w:ind w:right="5"/>
        <w:jc w:val="right"/>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rPr>
        <w:t>投标单位：</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22"/>
          <w:sz w:val="23"/>
          <w:szCs w:val="23"/>
          <w:highlight w:val="none"/>
        </w:rPr>
        <w:t xml:space="preserve"> </w:t>
      </w:r>
      <w:r>
        <w:rPr>
          <w:rFonts w:hint="eastAsia" w:ascii="宋体" w:hAnsi="宋体" w:eastAsia="宋体" w:cs="宋体"/>
          <w:color w:val="auto"/>
          <w:spacing w:val="17"/>
          <w:sz w:val="23"/>
          <w:szCs w:val="23"/>
          <w:highlight w:val="none"/>
        </w:rPr>
        <w:t>（盖章）</w:t>
      </w:r>
    </w:p>
    <w:p w14:paraId="5C7F232A">
      <w:pPr>
        <w:spacing w:before="75" w:line="231"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lang w:val="en-US" w:eastAsia="zh-CN"/>
        </w:rPr>
        <w:t xml:space="preserve">                                   </w:t>
      </w:r>
      <w:r>
        <w:rPr>
          <w:rFonts w:hint="eastAsia" w:ascii="宋体" w:hAnsi="宋体" w:eastAsia="宋体" w:cs="宋体"/>
          <w:color w:val="auto"/>
          <w:spacing w:val="17"/>
          <w:sz w:val="23"/>
          <w:szCs w:val="23"/>
          <w:highlight w:val="none"/>
        </w:rPr>
        <w:t>日 期：</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94"/>
          <w:sz w:val="23"/>
          <w:szCs w:val="23"/>
          <w:highlight w:val="none"/>
        </w:rPr>
        <w:t xml:space="preserve"> </w:t>
      </w:r>
      <w:r>
        <w:rPr>
          <w:rFonts w:hint="eastAsia" w:ascii="宋体" w:hAnsi="宋体" w:eastAsia="宋体" w:cs="宋体"/>
          <w:color w:val="auto"/>
          <w:spacing w:val="-38"/>
          <w:sz w:val="23"/>
          <w:szCs w:val="23"/>
          <w:highlight w:val="none"/>
        </w:rPr>
        <w:t>年</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82"/>
          <w:sz w:val="23"/>
          <w:szCs w:val="23"/>
          <w:highlight w:val="none"/>
        </w:rPr>
        <w:t xml:space="preserve"> </w:t>
      </w:r>
      <w:r>
        <w:rPr>
          <w:rFonts w:hint="eastAsia" w:ascii="宋体" w:hAnsi="宋体" w:eastAsia="宋体" w:cs="宋体"/>
          <w:color w:val="auto"/>
          <w:spacing w:val="-38"/>
          <w:sz w:val="23"/>
          <w:szCs w:val="23"/>
          <w:highlight w:val="none"/>
        </w:rPr>
        <w:t>月</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4"/>
          <w:sz w:val="23"/>
          <w:szCs w:val="23"/>
          <w:highlight w:val="none"/>
        </w:rPr>
        <w:t xml:space="preserve"> </w:t>
      </w:r>
      <w:r>
        <w:rPr>
          <w:rFonts w:hint="eastAsia" w:ascii="宋体" w:hAnsi="宋体" w:eastAsia="宋体" w:cs="宋体"/>
          <w:color w:val="auto"/>
          <w:spacing w:val="-38"/>
          <w:sz w:val="23"/>
          <w:szCs w:val="23"/>
          <w:highlight w:val="none"/>
        </w:rPr>
        <w:t>日</w:t>
      </w:r>
    </w:p>
    <w:p w14:paraId="1D686702">
      <w:pPr>
        <w:spacing w:before="75" w:line="461" w:lineRule="exact"/>
        <w:rPr>
          <w:rFonts w:hint="eastAsia" w:ascii="宋体" w:hAnsi="宋体" w:eastAsia="宋体" w:cs="宋体"/>
          <w:color w:val="auto"/>
          <w:spacing w:val="17"/>
          <w:sz w:val="23"/>
          <w:szCs w:val="23"/>
          <w:highlight w:val="none"/>
        </w:rPr>
      </w:pPr>
    </w:p>
    <w:p w14:paraId="5FEE434A">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1、从业人员、营业收入、资产总额填报上一年度数据，无上一年度数据的新成立企业可不填报。</w:t>
      </w:r>
    </w:p>
    <w:p w14:paraId="135C9AA4">
      <w:pPr>
        <w:numPr>
          <w:ilvl w:val="0"/>
          <w:numId w:val="0"/>
        </w:numPr>
        <w:spacing w:before="75" w:line="461" w:lineRule="exact"/>
        <w:ind w:firstLine="528" w:firstLineChars="200"/>
        <w:rPr>
          <w:rFonts w:hint="eastAsia" w:ascii="宋体" w:hAnsi="宋体" w:eastAsia="宋体" w:cs="宋体"/>
          <w:b/>
          <w:bCs/>
          <w:kern w:val="0"/>
          <w:sz w:val="24"/>
          <w:szCs w:val="24"/>
          <w:highlight w:val="none"/>
          <w:lang w:eastAsia="zh-CN"/>
        </w:rPr>
      </w:pPr>
      <w:r>
        <w:rPr>
          <w:rFonts w:hint="eastAsia" w:ascii="宋体" w:hAnsi="宋体" w:eastAsia="宋体" w:cs="宋体"/>
          <w:color w:val="auto"/>
          <w:spacing w:val="17"/>
          <w:sz w:val="23"/>
          <w:szCs w:val="23"/>
          <w:highlight w:val="none"/>
        </w:rPr>
        <w:t>2、投标单位应明确说明企业类型为中型企业或小型企业或微型企业，不得用中小微企业简单概括，否则，后果自负</w:t>
      </w:r>
      <w:r>
        <w:rPr>
          <w:rFonts w:hint="eastAsia" w:ascii="宋体" w:hAnsi="宋体" w:eastAsia="宋体" w:cs="宋体"/>
          <w:color w:val="auto"/>
          <w:spacing w:val="17"/>
          <w:sz w:val="23"/>
          <w:szCs w:val="23"/>
          <w:highlight w:val="none"/>
          <w:lang w:eastAsia="zh-CN"/>
        </w:rPr>
        <w:t>。</w:t>
      </w:r>
    </w:p>
    <w:p w14:paraId="6E9DE394">
      <w:pPr>
        <w:pStyle w:val="4"/>
        <w:jc w:val="both"/>
        <w:rPr>
          <w:rFonts w:hint="eastAsia" w:ascii="宋体" w:hAnsi="宋体" w:eastAsia="宋体" w:cs="宋体"/>
          <w:b/>
          <w:bCs/>
          <w:sz w:val="24"/>
          <w:szCs w:val="24"/>
          <w:highlight w:val="none"/>
        </w:rPr>
      </w:pPr>
      <w:r>
        <w:rPr>
          <w:b/>
          <w:bCs/>
          <w:sz w:val="28"/>
          <w:szCs w:val="28"/>
          <w:highlight w:val="none"/>
        </w:rPr>
        <w:t>附</w:t>
      </w:r>
      <w:r>
        <w:rPr>
          <w:rFonts w:hint="eastAsia"/>
          <w:b/>
          <w:sz w:val="28"/>
          <w:szCs w:val="28"/>
          <w:highlight w:val="none"/>
          <w:lang w:eastAsia="zh-CN"/>
        </w:rPr>
        <w:t>表</w:t>
      </w:r>
      <w:r>
        <w:rPr>
          <w:b/>
          <w:bCs/>
          <w:sz w:val="28"/>
          <w:szCs w:val="28"/>
          <w:highlight w:val="none"/>
        </w:rPr>
        <w:t>十</w:t>
      </w:r>
      <w:r>
        <w:rPr>
          <w:rFonts w:hint="eastAsia"/>
          <w:b/>
          <w:bCs/>
          <w:sz w:val="28"/>
          <w:szCs w:val="28"/>
          <w:highlight w:val="none"/>
          <w:lang w:val="en-US" w:eastAsia="zh-CN"/>
        </w:rPr>
        <w:t>四</w:t>
      </w:r>
      <w:r>
        <w:rPr>
          <w:b/>
          <w:bCs/>
          <w:sz w:val="28"/>
          <w:szCs w:val="28"/>
          <w:highlight w:val="none"/>
        </w:rPr>
        <w:t>：</w:t>
      </w:r>
    </w:p>
    <w:p w14:paraId="00120F52">
      <w:pPr>
        <w:spacing w:before="101" w:line="226" w:lineRule="auto"/>
        <w:jc w:val="center"/>
        <w:rPr>
          <w:rFonts w:hint="eastAsia" w:ascii="宋体" w:hAnsi="宋体" w:eastAsia="宋体" w:cs="宋体"/>
          <w:color w:val="auto"/>
          <w:sz w:val="31"/>
          <w:szCs w:val="31"/>
          <w:highlight w:val="none"/>
        </w:rPr>
      </w:pPr>
      <w:r>
        <w:rPr>
          <w:rFonts w:hint="eastAsia" w:ascii="宋体" w:hAnsi="宋体"/>
          <w:b/>
          <w:sz w:val="24"/>
          <w:highlight w:val="none"/>
        </w:rPr>
        <w:t xml:space="preserve"> </w:t>
      </w:r>
      <w:r>
        <w:rPr>
          <w:rFonts w:hint="eastAsia" w:ascii="宋体" w:hAnsi="宋体" w:eastAsia="宋体" w:cs="宋体"/>
          <w:color w:val="auto"/>
          <w:spacing w:val="9"/>
          <w:sz w:val="31"/>
          <w:szCs w:val="31"/>
          <w:highlight w:val="none"/>
          <w14:textOutline w14:w="5835" w14:cap="flat" w14:cmpd="sng">
            <w14:solidFill>
              <w14:srgbClr w14:val="000000"/>
            </w14:solidFill>
            <w14:prstDash w14:val="solid"/>
            <w14:miter w14:val="0"/>
          </w14:textOutline>
        </w:rPr>
        <w:t>残疾人福利性单位声明函（符合本声明函填写）</w:t>
      </w:r>
    </w:p>
    <w:p w14:paraId="0420FB2D">
      <w:pPr>
        <w:pStyle w:val="12"/>
        <w:spacing w:line="245" w:lineRule="auto"/>
        <w:rPr>
          <w:rFonts w:hint="eastAsia" w:ascii="宋体" w:hAnsi="宋体" w:eastAsia="宋体" w:cs="宋体"/>
          <w:color w:val="auto"/>
          <w:highlight w:val="none"/>
        </w:rPr>
      </w:pPr>
    </w:p>
    <w:p w14:paraId="7603FE51">
      <w:pPr>
        <w:pStyle w:val="12"/>
        <w:spacing w:line="245" w:lineRule="auto"/>
        <w:rPr>
          <w:rFonts w:hint="eastAsia" w:ascii="宋体" w:hAnsi="宋体" w:eastAsia="宋体" w:cs="宋体"/>
          <w:color w:val="auto"/>
          <w:highlight w:val="none"/>
        </w:rPr>
      </w:pPr>
    </w:p>
    <w:p w14:paraId="649E1219">
      <w:pPr>
        <w:pStyle w:val="12"/>
        <w:spacing w:line="245" w:lineRule="auto"/>
        <w:rPr>
          <w:rFonts w:hint="eastAsia" w:ascii="宋体" w:hAnsi="宋体" w:eastAsia="宋体" w:cs="宋体"/>
          <w:color w:val="auto"/>
          <w:highlight w:val="none"/>
        </w:rPr>
      </w:pPr>
    </w:p>
    <w:p w14:paraId="63A4F14B">
      <w:pPr>
        <w:pStyle w:val="12"/>
        <w:spacing w:line="245" w:lineRule="auto"/>
        <w:rPr>
          <w:rFonts w:hint="eastAsia" w:ascii="宋体" w:hAnsi="宋体" w:eastAsia="宋体" w:cs="宋体"/>
          <w:color w:val="auto"/>
          <w:highlight w:val="none"/>
        </w:rPr>
      </w:pPr>
    </w:p>
    <w:p w14:paraId="2CA8F0E1">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本单位郑重声明，根据《财政部 民政部 中国残疾人联合会关于促进残疾 人就业政府采购政策的通知》（财库〔2017〕141 号）的规定，本单位为符合条件的残疾人福利性单位，且本单位参加</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单位的</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 xml:space="preserve"> 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7BF84509">
      <w:pPr>
        <w:pStyle w:val="12"/>
        <w:spacing w:line="269" w:lineRule="auto"/>
        <w:rPr>
          <w:rFonts w:hint="eastAsia" w:ascii="宋体" w:hAnsi="宋体" w:eastAsia="宋体" w:cs="宋体"/>
          <w:color w:val="auto"/>
          <w:highlight w:val="none"/>
        </w:rPr>
      </w:pPr>
    </w:p>
    <w:p w14:paraId="5BE7B3BF">
      <w:pPr>
        <w:pStyle w:val="12"/>
        <w:spacing w:line="269" w:lineRule="auto"/>
        <w:rPr>
          <w:rFonts w:hint="eastAsia" w:ascii="宋体" w:hAnsi="宋体" w:eastAsia="宋体" w:cs="宋体"/>
          <w:color w:val="auto"/>
          <w:highlight w:val="none"/>
        </w:rPr>
      </w:pPr>
    </w:p>
    <w:p w14:paraId="46DD7AE9">
      <w:pPr>
        <w:pStyle w:val="12"/>
        <w:spacing w:line="269" w:lineRule="auto"/>
        <w:rPr>
          <w:rFonts w:hint="eastAsia" w:ascii="宋体" w:hAnsi="宋体" w:eastAsia="宋体" w:cs="宋体"/>
          <w:color w:val="auto"/>
          <w:highlight w:val="none"/>
        </w:rPr>
      </w:pPr>
    </w:p>
    <w:p w14:paraId="7E0228ED">
      <w:pPr>
        <w:pStyle w:val="12"/>
        <w:spacing w:line="270" w:lineRule="auto"/>
        <w:rPr>
          <w:rFonts w:hint="eastAsia" w:ascii="宋体" w:hAnsi="宋体" w:eastAsia="宋体" w:cs="宋体"/>
          <w:color w:val="auto"/>
          <w:highlight w:val="none"/>
        </w:rPr>
      </w:pPr>
    </w:p>
    <w:p w14:paraId="38A46FD7">
      <w:pPr>
        <w:spacing w:before="75" w:line="501" w:lineRule="auto"/>
        <w:ind w:right="5"/>
        <w:jc w:val="right"/>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rPr>
        <w:t>投标单位：</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22"/>
          <w:sz w:val="23"/>
          <w:szCs w:val="23"/>
          <w:highlight w:val="none"/>
        </w:rPr>
        <w:t xml:space="preserve"> </w:t>
      </w:r>
      <w:r>
        <w:rPr>
          <w:rFonts w:hint="eastAsia" w:ascii="宋体" w:hAnsi="宋体" w:eastAsia="宋体" w:cs="宋体"/>
          <w:color w:val="auto"/>
          <w:spacing w:val="17"/>
          <w:sz w:val="23"/>
          <w:szCs w:val="23"/>
          <w:highlight w:val="none"/>
        </w:rPr>
        <w:t>（盖章）</w:t>
      </w:r>
    </w:p>
    <w:p w14:paraId="4504CD0D">
      <w:pPr>
        <w:spacing w:before="75" w:line="231"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lang w:val="en-US" w:eastAsia="zh-CN"/>
        </w:rPr>
        <w:t xml:space="preserve">                                   </w:t>
      </w:r>
      <w:r>
        <w:rPr>
          <w:rFonts w:hint="eastAsia" w:ascii="宋体" w:hAnsi="宋体" w:eastAsia="宋体" w:cs="宋体"/>
          <w:color w:val="auto"/>
          <w:spacing w:val="17"/>
          <w:sz w:val="23"/>
          <w:szCs w:val="23"/>
          <w:highlight w:val="none"/>
        </w:rPr>
        <w:t>日 期：</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94"/>
          <w:sz w:val="23"/>
          <w:szCs w:val="23"/>
          <w:highlight w:val="none"/>
        </w:rPr>
        <w:t xml:space="preserve"> </w:t>
      </w:r>
      <w:r>
        <w:rPr>
          <w:rFonts w:hint="eastAsia" w:ascii="宋体" w:hAnsi="宋体" w:eastAsia="宋体" w:cs="宋体"/>
          <w:color w:val="auto"/>
          <w:spacing w:val="-38"/>
          <w:sz w:val="23"/>
          <w:szCs w:val="23"/>
          <w:highlight w:val="none"/>
        </w:rPr>
        <w:t>年</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82"/>
          <w:sz w:val="23"/>
          <w:szCs w:val="23"/>
          <w:highlight w:val="none"/>
        </w:rPr>
        <w:t xml:space="preserve"> </w:t>
      </w:r>
      <w:r>
        <w:rPr>
          <w:rFonts w:hint="eastAsia" w:ascii="宋体" w:hAnsi="宋体" w:eastAsia="宋体" w:cs="宋体"/>
          <w:color w:val="auto"/>
          <w:spacing w:val="-38"/>
          <w:sz w:val="23"/>
          <w:szCs w:val="23"/>
          <w:highlight w:val="none"/>
        </w:rPr>
        <w:t>月</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4"/>
          <w:sz w:val="23"/>
          <w:szCs w:val="23"/>
          <w:highlight w:val="none"/>
        </w:rPr>
        <w:t xml:space="preserve"> </w:t>
      </w:r>
      <w:r>
        <w:rPr>
          <w:rFonts w:hint="eastAsia" w:ascii="宋体" w:hAnsi="宋体" w:eastAsia="宋体" w:cs="宋体"/>
          <w:color w:val="auto"/>
          <w:spacing w:val="-38"/>
          <w:sz w:val="23"/>
          <w:szCs w:val="23"/>
          <w:highlight w:val="none"/>
        </w:rPr>
        <w:t>日</w:t>
      </w:r>
    </w:p>
    <w:p w14:paraId="2131E5BB">
      <w:pPr>
        <w:pStyle w:val="12"/>
        <w:spacing w:line="248" w:lineRule="auto"/>
        <w:rPr>
          <w:rFonts w:hint="eastAsia" w:ascii="宋体" w:hAnsi="宋体" w:eastAsia="宋体" w:cs="宋体"/>
          <w:color w:val="auto"/>
          <w:highlight w:val="none"/>
        </w:rPr>
      </w:pPr>
    </w:p>
    <w:p w14:paraId="0FEF03A1">
      <w:pPr>
        <w:pStyle w:val="12"/>
        <w:spacing w:line="249" w:lineRule="auto"/>
        <w:rPr>
          <w:rFonts w:hint="eastAsia" w:ascii="宋体" w:hAnsi="宋体" w:eastAsia="宋体" w:cs="宋体"/>
          <w:color w:val="auto"/>
          <w:highlight w:val="none"/>
        </w:rPr>
      </w:pPr>
    </w:p>
    <w:p w14:paraId="0067AE55">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说明：</w:t>
      </w:r>
    </w:p>
    <w:p w14:paraId="6274953D">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1、填写前请认真阅读《财政部 民政部 中国残疾人联合会关于促进残疾人就业政府采购政策的通知》（财库〔2017〕141 号）相关规定。</w:t>
      </w:r>
    </w:p>
    <w:p w14:paraId="649FCFD7">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2、残疾人福利性单位应在本声明函后提供相关证明材料。</w:t>
      </w:r>
    </w:p>
    <w:p w14:paraId="20BEAAA8">
      <w:pPr>
        <w:rPr>
          <w:b/>
          <w:bCs/>
          <w:sz w:val="28"/>
          <w:szCs w:val="28"/>
          <w:highlight w:val="none"/>
        </w:rPr>
      </w:pPr>
      <w:r>
        <w:rPr>
          <w:rFonts w:hint="eastAsia" w:ascii="宋体" w:hAnsi="宋体" w:eastAsia="宋体" w:cs="宋体"/>
          <w:color w:val="auto"/>
          <w:spacing w:val="17"/>
          <w:sz w:val="23"/>
          <w:szCs w:val="23"/>
          <w:highlight w:val="none"/>
        </w:rPr>
        <w:t>3、未按上述要求提供、填写的，评审时不予以考虑。</w:t>
      </w:r>
      <w:r>
        <w:rPr>
          <w:rFonts w:hint="eastAsia" w:ascii="宋体" w:hAnsi="宋体" w:eastAsia="宋体" w:cs="宋体"/>
          <w:kern w:val="0"/>
          <w:sz w:val="24"/>
          <w:szCs w:val="24"/>
          <w:highlight w:val="none"/>
        </w:rPr>
        <w:br w:type="page"/>
      </w:r>
    </w:p>
    <w:p w14:paraId="7B405700">
      <w:pPr>
        <w:pStyle w:val="4"/>
        <w:jc w:val="both"/>
        <w:rPr>
          <w:rFonts w:hint="eastAsia" w:ascii="宋体" w:hAnsi="宋体" w:eastAsia="宋体" w:cs="宋体"/>
          <w:color w:val="auto"/>
          <w:spacing w:val="9"/>
          <w:sz w:val="31"/>
          <w:szCs w:val="31"/>
          <w:highlight w:val="none"/>
          <w14:textOutline w14:w="5835" w14:cap="flat" w14:cmpd="sng">
            <w14:solidFill>
              <w14:srgbClr w14:val="000000"/>
            </w14:solidFill>
            <w14:prstDash w14:val="solid"/>
            <w14:miter w14:val="0"/>
          </w14:textOutline>
        </w:rPr>
      </w:pPr>
      <w:r>
        <w:rPr>
          <w:b/>
          <w:bCs/>
          <w:sz w:val="28"/>
          <w:szCs w:val="28"/>
          <w:highlight w:val="none"/>
        </w:rPr>
        <w:t>附</w:t>
      </w:r>
      <w:r>
        <w:rPr>
          <w:rFonts w:hint="eastAsia"/>
          <w:b/>
          <w:sz w:val="28"/>
          <w:szCs w:val="28"/>
          <w:highlight w:val="none"/>
          <w:lang w:eastAsia="zh-CN"/>
        </w:rPr>
        <w:t>表</w:t>
      </w:r>
      <w:r>
        <w:rPr>
          <w:b/>
          <w:bCs/>
          <w:sz w:val="28"/>
          <w:szCs w:val="28"/>
          <w:highlight w:val="none"/>
        </w:rPr>
        <w:t>十</w:t>
      </w:r>
      <w:r>
        <w:rPr>
          <w:rFonts w:hint="eastAsia"/>
          <w:b/>
          <w:bCs/>
          <w:sz w:val="28"/>
          <w:szCs w:val="28"/>
          <w:highlight w:val="none"/>
          <w:lang w:val="en-US" w:eastAsia="zh-CN"/>
        </w:rPr>
        <w:t>五</w:t>
      </w:r>
      <w:r>
        <w:rPr>
          <w:b/>
          <w:bCs/>
          <w:sz w:val="28"/>
          <w:szCs w:val="28"/>
          <w:highlight w:val="none"/>
        </w:rPr>
        <w:t>：</w:t>
      </w:r>
    </w:p>
    <w:p w14:paraId="47CEE25D">
      <w:pPr>
        <w:spacing w:before="101" w:line="226"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14:textOutline w14:w="5835" w14:cap="flat" w14:cmpd="sng">
            <w14:solidFill>
              <w14:srgbClr w14:val="000000"/>
            </w14:solidFill>
            <w14:prstDash w14:val="solid"/>
            <w14:miter w14:val="0"/>
          </w14:textOutline>
        </w:rPr>
        <w:t>监狱企业声明函（符合本声明函填写）</w:t>
      </w:r>
    </w:p>
    <w:p w14:paraId="1109D7A3">
      <w:pPr>
        <w:pStyle w:val="12"/>
        <w:spacing w:line="275" w:lineRule="auto"/>
        <w:rPr>
          <w:rFonts w:hint="eastAsia" w:ascii="宋体" w:hAnsi="宋体" w:eastAsia="宋体" w:cs="宋体"/>
          <w:color w:val="auto"/>
          <w:highlight w:val="none"/>
        </w:rPr>
      </w:pPr>
    </w:p>
    <w:p w14:paraId="16799D76">
      <w:pPr>
        <w:pStyle w:val="12"/>
        <w:spacing w:line="275" w:lineRule="auto"/>
        <w:rPr>
          <w:rFonts w:hint="eastAsia" w:ascii="宋体" w:hAnsi="宋体" w:eastAsia="宋体" w:cs="宋体"/>
          <w:color w:val="auto"/>
          <w:highlight w:val="none"/>
        </w:rPr>
      </w:pPr>
    </w:p>
    <w:p w14:paraId="6F08A152">
      <w:pPr>
        <w:pStyle w:val="12"/>
        <w:spacing w:line="276" w:lineRule="auto"/>
        <w:rPr>
          <w:rFonts w:hint="eastAsia" w:ascii="宋体" w:hAnsi="宋体" w:eastAsia="宋体" w:cs="宋体"/>
          <w:color w:val="auto"/>
          <w:highlight w:val="none"/>
        </w:rPr>
      </w:pPr>
    </w:p>
    <w:p w14:paraId="05481A21">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本单位郑重声明，根据《财政部、司法部关于政府采购支持监狱企业发展有 关问题的通知》（财库［2014］68 号）的规定，本单位为符合条件的政府采购 支持的监狱和戒毒企业，且本单位参加</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单位的</w:t>
      </w:r>
      <w:r>
        <w:rPr>
          <w:rFonts w:hint="eastAsia" w:ascii="宋体" w:hAnsi="宋体" w:eastAsia="宋体" w:cs="宋体"/>
          <w:color w:val="auto"/>
          <w:spacing w:val="17"/>
          <w:sz w:val="23"/>
          <w:szCs w:val="23"/>
          <w:highlight w:val="none"/>
          <w:u w:val="single"/>
        </w:rPr>
        <w:t xml:space="preserve">       </w:t>
      </w:r>
      <w:r>
        <w:rPr>
          <w:rFonts w:hint="eastAsia" w:ascii="宋体" w:hAnsi="宋体" w:eastAsia="宋体" w:cs="宋体"/>
          <w:color w:val="auto"/>
          <w:spacing w:val="17"/>
          <w:sz w:val="23"/>
          <w:szCs w:val="23"/>
          <w:highlight w:val="none"/>
        </w:rPr>
        <w:t>项目采购活动提供本 单位制造的货物（由本单位承担工程/提供服务） ，或者提供其他监狱企业制造的货物（不包括使用监狱企业注册商标的货物）。</w:t>
      </w:r>
    </w:p>
    <w:p w14:paraId="600EEE62">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本单位对上述声明的真实性负责。如有虚假，将依法承担相应责任。</w:t>
      </w:r>
    </w:p>
    <w:p w14:paraId="4CBF3D27">
      <w:pPr>
        <w:pStyle w:val="12"/>
        <w:spacing w:line="256" w:lineRule="auto"/>
        <w:rPr>
          <w:rFonts w:hint="eastAsia" w:ascii="宋体" w:hAnsi="宋体" w:eastAsia="宋体" w:cs="宋体"/>
          <w:color w:val="auto"/>
          <w:highlight w:val="none"/>
        </w:rPr>
      </w:pPr>
    </w:p>
    <w:p w14:paraId="39A8AE19">
      <w:pPr>
        <w:pStyle w:val="12"/>
        <w:spacing w:line="256" w:lineRule="auto"/>
        <w:rPr>
          <w:rFonts w:hint="eastAsia" w:ascii="宋体" w:hAnsi="宋体" w:eastAsia="宋体" w:cs="宋体"/>
          <w:color w:val="auto"/>
          <w:highlight w:val="none"/>
        </w:rPr>
      </w:pPr>
    </w:p>
    <w:p w14:paraId="67A0CCC1">
      <w:pPr>
        <w:pStyle w:val="12"/>
        <w:spacing w:line="257" w:lineRule="auto"/>
        <w:rPr>
          <w:rFonts w:hint="eastAsia" w:ascii="宋体" w:hAnsi="宋体" w:eastAsia="宋体" w:cs="宋体"/>
          <w:color w:val="auto"/>
          <w:highlight w:val="none"/>
        </w:rPr>
      </w:pPr>
    </w:p>
    <w:p w14:paraId="225B5ECB">
      <w:pPr>
        <w:pStyle w:val="12"/>
        <w:spacing w:line="257" w:lineRule="auto"/>
        <w:rPr>
          <w:rFonts w:hint="eastAsia" w:ascii="宋体" w:hAnsi="宋体" w:eastAsia="宋体" w:cs="宋体"/>
          <w:color w:val="auto"/>
          <w:highlight w:val="none"/>
        </w:rPr>
      </w:pPr>
    </w:p>
    <w:p w14:paraId="0407E36B">
      <w:pPr>
        <w:spacing w:before="75" w:line="501" w:lineRule="auto"/>
        <w:ind w:right="5"/>
        <w:jc w:val="right"/>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rPr>
        <w:t>投标单位：</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22"/>
          <w:sz w:val="23"/>
          <w:szCs w:val="23"/>
          <w:highlight w:val="none"/>
        </w:rPr>
        <w:t xml:space="preserve"> </w:t>
      </w:r>
      <w:r>
        <w:rPr>
          <w:rFonts w:hint="eastAsia" w:ascii="宋体" w:hAnsi="宋体" w:eastAsia="宋体" w:cs="宋体"/>
          <w:color w:val="auto"/>
          <w:spacing w:val="17"/>
          <w:sz w:val="23"/>
          <w:szCs w:val="23"/>
          <w:highlight w:val="none"/>
        </w:rPr>
        <w:t>（盖章）</w:t>
      </w:r>
    </w:p>
    <w:p w14:paraId="1BA69FD7">
      <w:pPr>
        <w:spacing w:before="75" w:line="231"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lang w:val="en-US" w:eastAsia="zh-CN"/>
        </w:rPr>
        <w:t xml:space="preserve">                                   </w:t>
      </w:r>
      <w:r>
        <w:rPr>
          <w:rFonts w:hint="eastAsia" w:ascii="宋体" w:hAnsi="宋体" w:eastAsia="宋体" w:cs="宋体"/>
          <w:color w:val="auto"/>
          <w:spacing w:val="17"/>
          <w:sz w:val="23"/>
          <w:szCs w:val="23"/>
          <w:highlight w:val="none"/>
        </w:rPr>
        <w:t>日 期：</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94"/>
          <w:sz w:val="23"/>
          <w:szCs w:val="23"/>
          <w:highlight w:val="none"/>
        </w:rPr>
        <w:t xml:space="preserve"> </w:t>
      </w:r>
      <w:r>
        <w:rPr>
          <w:rFonts w:hint="eastAsia" w:ascii="宋体" w:hAnsi="宋体" w:eastAsia="宋体" w:cs="宋体"/>
          <w:color w:val="auto"/>
          <w:spacing w:val="-38"/>
          <w:sz w:val="23"/>
          <w:szCs w:val="23"/>
          <w:highlight w:val="none"/>
        </w:rPr>
        <w:t>年</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82"/>
          <w:sz w:val="23"/>
          <w:szCs w:val="23"/>
          <w:highlight w:val="none"/>
        </w:rPr>
        <w:t xml:space="preserve"> </w:t>
      </w:r>
      <w:r>
        <w:rPr>
          <w:rFonts w:hint="eastAsia" w:ascii="宋体" w:hAnsi="宋体" w:eastAsia="宋体" w:cs="宋体"/>
          <w:color w:val="auto"/>
          <w:spacing w:val="-38"/>
          <w:sz w:val="23"/>
          <w:szCs w:val="23"/>
          <w:highlight w:val="none"/>
        </w:rPr>
        <w:t>月</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4"/>
          <w:sz w:val="23"/>
          <w:szCs w:val="23"/>
          <w:highlight w:val="none"/>
        </w:rPr>
        <w:t xml:space="preserve"> </w:t>
      </w:r>
      <w:r>
        <w:rPr>
          <w:rFonts w:hint="eastAsia" w:ascii="宋体" w:hAnsi="宋体" w:eastAsia="宋体" w:cs="宋体"/>
          <w:color w:val="auto"/>
          <w:spacing w:val="-38"/>
          <w:sz w:val="23"/>
          <w:szCs w:val="23"/>
          <w:highlight w:val="none"/>
        </w:rPr>
        <w:t>日</w:t>
      </w:r>
    </w:p>
    <w:p w14:paraId="4D58F2C6">
      <w:pPr>
        <w:pStyle w:val="12"/>
        <w:spacing w:line="294" w:lineRule="auto"/>
        <w:rPr>
          <w:rFonts w:hint="eastAsia" w:ascii="宋体" w:hAnsi="宋体" w:eastAsia="宋体" w:cs="宋体"/>
          <w:color w:val="auto"/>
          <w:highlight w:val="none"/>
        </w:rPr>
      </w:pPr>
    </w:p>
    <w:p w14:paraId="4F6451F9">
      <w:pPr>
        <w:spacing w:before="75" w:line="232" w:lineRule="auto"/>
        <w:ind w:left="30"/>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说明：</w:t>
      </w:r>
    </w:p>
    <w:p w14:paraId="7B369D25">
      <w:pPr>
        <w:pStyle w:val="12"/>
        <w:spacing w:line="334" w:lineRule="auto"/>
        <w:rPr>
          <w:rFonts w:hint="eastAsia" w:ascii="宋体" w:hAnsi="宋体" w:eastAsia="宋体" w:cs="宋体"/>
          <w:color w:val="auto"/>
          <w:highlight w:val="none"/>
        </w:rPr>
      </w:pPr>
    </w:p>
    <w:p w14:paraId="790FA5B6">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1、监狱企业参加政府采购活动时，应当提供由省级以上监狱管理局，戒毒管理局（含新疆生产建设兵团）出具的属于监狱企业的证明文件。</w:t>
      </w:r>
    </w:p>
    <w:p w14:paraId="6F852DCD">
      <w:pPr>
        <w:spacing w:before="75" w:line="461" w:lineRule="exact"/>
        <w:ind w:firstLine="528" w:firstLineChars="200"/>
        <w:rPr>
          <w:rFonts w:hint="eastAsia" w:ascii="宋体" w:hAnsi="宋体" w:eastAsia="宋体" w:cs="宋体"/>
          <w:color w:val="auto"/>
          <w:spacing w:val="17"/>
          <w:sz w:val="23"/>
          <w:szCs w:val="23"/>
          <w:highlight w:val="none"/>
        </w:rPr>
      </w:pPr>
      <w:r>
        <w:rPr>
          <w:rFonts w:hint="eastAsia" w:ascii="宋体" w:hAnsi="宋体" w:eastAsia="宋体" w:cs="宋体"/>
          <w:color w:val="auto"/>
          <w:spacing w:val="17"/>
          <w:sz w:val="23"/>
          <w:szCs w:val="23"/>
          <w:highlight w:val="none"/>
        </w:rPr>
        <w:t>2、监狱企业：是指由司法部认定的为罪犯，戒毒人员提供生产项目和劳动对象， 且全部产权属于司法部监狱管理局、戒毒管理局、直属煤矿管理局，各省、自 治区、直辖市监狱管理局、戒毒管理局，各地（设区的市）监狱、强制隔离戒毒所、戒毒康复所，以及新疆生产建设兵团监狱管理局、戒毒管理局的企业。</w:t>
      </w:r>
    </w:p>
    <w:p w14:paraId="047B984A">
      <w:pPr>
        <w:rPr>
          <w:b/>
          <w:sz w:val="28"/>
          <w:szCs w:val="28"/>
          <w:highlight w:val="none"/>
        </w:rPr>
      </w:pPr>
      <w:r>
        <w:rPr>
          <w:rFonts w:hint="eastAsia" w:ascii="宋体" w:hAnsi="宋体" w:eastAsia="宋体" w:cs="宋体"/>
          <w:color w:val="auto"/>
          <w:spacing w:val="17"/>
          <w:sz w:val="23"/>
          <w:szCs w:val="23"/>
          <w:highlight w:val="none"/>
        </w:rPr>
        <w:t>3、未按上述要求提供、填写的，评审时不予以考虑。</w:t>
      </w:r>
    </w:p>
    <w:p w14:paraId="4A90C0F0">
      <w:pPr>
        <w:rPr>
          <w:b/>
          <w:sz w:val="28"/>
          <w:szCs w:val="28"/>
          <w:highlight w:val="none"/>
        </w:rPr>
      </w:pPr>
      <w:r>
        <w:rPr>
          <w:b/>
          <w:sz w:val="28"/>
          <w:szCs w:val="28"/>
          <w:highlight w:val="none"/>
        </w:rPr>
        <w:br w:type="page"/>
      </w:r>
    </w:p>
    <w:p w14:paraId="4B056A73">
      <w:pPr>
        <w:spacing w:before="101" w:line="226" w:lineRule="auto"/>
        <w:jc w:val="left"/>
        <w:rPr>
          <w:rFonts w:hint="eastAsia" w:ascii="宋体" w:hAnsi="宋体" w:eastAsia="宋体" w:cs="宋体"/>
          <w:color w:val="auto"/>
          <w:spacing w:val="9"/>
          <w:sz w:val="31"/>
          <w:szCs w:val="31"/>
          <w:highlight w:val="none"/>
          <w14:textOutline w14:w="5835" w14:cap="flat" w14:cmpd="sng">
            <w14:solidFill>
              <w14:srgbClr w14:val="000000"/>
            </w14:solidFill>
            <w14:prstDash w14:val="solid"/>
            <w14:miter w14:val="0"/>
          </w14:textOutline>
        </w:rPr>
      </w:pPr>
      <w:r>
        <w:rPr>
          <w:b/>
          <w:bCs/>
          <w:sz w:val="28"/>
          <w:szCs w:val="28"/>
          <w:highlight w:val="none"/>
        </w:rPr>
        <w:t>附</w:t>
      </w:r>
      <w:r>
        <w:rPr>
          <w:rFonts w:hint="eastAsia" w:eastAsia="宋体"/>
          <w:b/>
          <w:sz w:val="28"/>
          <w:szCs w:val="28"/>
          <w:highlight w:val="none"/>
          <w:lang w:eastAsia="zh-CN"/>
        </w:rPr>
        <w:t>表</w:t>
      </w:r>
      <w:r>
        <w:rPr>
          <w:b/>
          <w:bCs/>
          <w:sz w:val="28"/>
          <w:szCs w:val="28"/>
          <w:highlight w:val="none"/>
        </w:rPr>
        <w:t>十</w:t>
      </w:r>
      <w:r>
        <w:rPr>
          <w:rFonts w:hint="eastAsia"/>
          <w:b/>
          <w:bCs/>
          <w:sz w:val="28"/>
          <w:szCs w:val="28"/>
          <w:highlight w:val="none"/>
          <w:lang w:eastAsia="zh-CN"/>
        </w:rPr>
        <w:t>六</w:t>
      </w:r>
      <w:r>
        <w:rPr>
          <w:b/>
          <w:bCs/>
          <w:sz w:val="28"/>
          <w:szCs w:val="28"/>
          <w:highlight w:val="none"/>
        </w:rPr>
        <w:t>：</w:t>
      </w:r>
    </w:p>
    <w:p w14:paraId="67DCA6BB">
      <w:pPr>
        <w:spacing w:before="101" w:line="226" w:lineRule="auto"/>
        <w:jc w:val="center"/>
        <w:rPr>
          <w:rFonts w:hint="eastAsia" w:ascii="宋体" w:hAnsi="宋体" w:eastAsia="宋体" w:cs="宋体"/>
          <w:color w:val="auto"/>
          <w:spacing w:val="9"/>
          <w:sz w:val="31"/>
          <w:szCs w:val="31"/>
          <w:highlight w:val="none"/>
          <w14:textOutline w14:w="5835" w14:cap="flat" w14:cmpd="sng">
            <w14:solidFill>
              <w14:srgbClr w14:val="000000"/>
            </w14:solidFill>
            <w14:prstDash w14:val="solid"/>
            <w14:miter w14:val="0"/>
          </w14:textOutline>
        </w:rPr>
      </w:pPr>
      <w:r>
        <w:rPr>
          <w:rFonts w:hint="eastAsia" w:ascii="宋体" w:hAnsi="宋体" w:eastAsia="宋体" w:cs="宋体"/>
          <w:color w:val="auto"/>
          <w:spacing w:val="9"/>
          <w:sz w:val="31"/>
          <w:szCs w:val="31"/>
          <w:highlight w:val="none"/>
          <w14:textOutline w14:w="5835" w14:cap="flat" w14:cmpd="sng">
            <w14:solidFill>
              <w14:srgbClr w14:val="000000"/>
            </w14:solidFill>
            <w14:prstDash w14:val="solid"/>
            <w14:miter w14:val="0"/>
          </w14:textOutline>
        </w:rPr>
        <w:t>关于符合本国产品标准的声明函</w:t>
      </w:r>
    </w:p>
    <w:p w14:paraId="56E95612">
      <w:pPr>
        <w:spacing w:before="75" w:line="461" w:lineRule="exact"/>
        <w:ind w:firstLine="548" w:firstLineChars="200"/>
        <w:rPr>
          <w:rFonts w:hint="eastAsia" w:ascii="宋体" w:hAnsi="宋体" w:eastAsia="宋体" w:cs="宋体"/>
          <w:color w:val="auto"/>
          <w:spacing w:val="17"/>
          <w:sz w:val="24"/>
          <w:szCs w:val="24"/>
          <w:highlight w:val="none"/>
        </w:rPr>
      </w:pPr>
    </w:p>
    <w:p w14:paraId="1F20EE99">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 xml:space="preserve"> 本公司（单位）郑重声明，根据《国务院办公厅关于在政府采购中实施本国产品标准及相关政策的通知》（国办发〔2025〕34号）的规定，本公司（单位）提供的以下产品属于本国产品。具体情况如下：</w:t>
      </w:r>
    </w:p>
    <w:p w14:paraId="5FB897E4">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1.</w:t>
      </w:r>
      <w:r>
        <w:rPr>
          <w:rFonts w:hint="eastAsia" w:ascii="宋体" w:hAnsi="宋体" w:eastAsia="宋体" w:cs="宋体"/>
          <w:color w:val="auto"/>
          <w:spacing w:val="17"/>
          <w:sz w:val="24"/>
          <w:szCs w:val="24"/>
          <w:highlight w:val="none"/>
          <w:u w:val="single"/>
        </w:rPr>
        <w:t>（产品名称1）</w:t>
      </w:r>
      <w:r>
        <w:rPr>
          <w:rFonts w:hint="eastAsia" w:ascii="宋体" w:hAnsi="宋体" w:eastAsia="宋体" w:cs="宋体"/>
          <w:color w:val="auto"/>
          <w:spacing w:val="17"/>
          <w:sz w:val="24"/>
          <w:szCs w:val="24"/>
          <w:highlight w:val="none"/>
        </w:rPr>
        <w:t>1，生产厂为</w:t>
      </w:r>
      <w:r>
        <w:rPr>
          <w:rFonts w:hint="eastAsia" w:ascii="宋体" w:hAnsi="宋体" w:eastAsia="宋体" w:cs="宋体"/>
          <w:color w:val="auto"/>
          <w:spacing w:val="17"/>
          <w:sz w:val="24"/>
          <w:szCs w:val="24"/>
          <w:highlight w:val="none"/>
          <w:u w:val="single"/>
        </w:rPr>
        <w:t>（厂名）</w:t>
      </w:r>
      <w:r>
        <w:rPr>
          <w:rFonts w:hint="eastAsia" w:ascii="宋体" w:hAnsi="宋体" w:eastAsia="宋体" w:cs="宋体"/>
          <w:color w:val="auto"/>
          <w:spacing w:val="17"/>
          <w:sz w:val="24"/>
          <w:szCs w:val="24"/>
          <w:highlight w:val="none"/>
        </w:rPr>
        <w:t>2，厂址为</w:t>
      </w:r>
      <w:r>
        <w:rPr>
          <w:rFonts w:hint="eastAsia" w:ascii="宋体" w:hAnsi="宋体" w:eastAsia="宋体" w:cs="宋体"/>
          <w:color w:val="auto"/>
          <w:spacing w:val="17"/>
          <w:sz w:val="24"/>
          <w:szCs w:val="24"/>
          <w:highlight w:val="none"/>
          <w:u w:val="single"/>
        </w:rPr>
        <w:t>（生产厂址）</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rPr>
        <w:t>（产品名称1）</w:t>
      </w:r>
      <w:r>
        <w:rPr>
          <w:rFonts w:hint="eastAsia" w:ascii="宋体" w:hAnsi="宋体" w:eastAsia="宋体" w:cs="宋体"/>
          <w:color w:val="auto"/>
          <w:spacing w:val="17"/>
          <w:sz w:val="24"/>
          <w:szCs w:val="24"/>
          <w:highlight w:val="none"/>
        </w:rPr>
        <w:t>的中国境内生产的组件成本占比≥</w:t>
      </w:r>
      <w:r>
        <w:rPr>
          <w:rFonts w:hint="eastAsia" w:ascii="宋体" w:hAnsi="宋体" w:eastAsia="宋体" w:cs="宋体"/>
          <w:color w:val="auto"/>
          <w:spacing w:val="17"/>
          <w:sz w:val="24"/>
          <w:szCs w:val="24"/>
          <w:highlight w:val="none"/>
          <w:u w:val="single"/>
        </w:rPr>
        <w:t>（规定比例）</w:t>
      </w:r>
      <w:r>
        <w:rPr>
          <w:rFonts w:hint="eastAsia" w:ascii="宋体" w:hAnsi="宋体" w:eastAsia="宋体" w:cs="宋体"/>
          <w:color w:val="auto"/>
          <w:spacing w:val="17"/>
          <w:sz w:val="24"/>
          <w:szCs w:val="24"/>
          <w:highlight w:val="none"/>
        </w:rPr>
        <w:t>3。</w:t>
      </w:r>
      <w:r>
        <w:rPr>
          <w:rFonts w:hint="eastAsia" w:ascii="宋体" w:hAnsi="宋体" w:eastAsia="宋体" w:cs="宋体"/>
          <w:color w:val="auto"/>
          <w:spacing w:val="17"/>
          <w:sz w:val="24"/>
          <w:szCs w:val="24"/>
          <w:highlight w:val="none"/>
          <w:u w:val="single"/>
        </w:rPr>
        <w:t>（产品名称1）</w:t>
      </w:r>
      <w:r>
        <w:rPr>
          <w:rFonts w:hint="eastAsia" w:ascii="宋体" w:hAnsi="宋体" w:eastAsia="宋体" w:cs="宋体"/>
          <w:color w:val="auto"/>
          <w:spacing w:val="17"/>
          <w:sz w:val="24"/>
          <w:szCs w:val="24"/>
          <w:highlight w:val="none"/>
        </w:rPr>
        <w:t>的</w:t>
      </w:r>
      <w:r>
        <w:rPr>
          <w:rFonts w:hint="eastAsia" w:ascii="宋体" w:hAnsi="宋体" w:eastAsia="宋体" w:cs="宋体"/>
          <w:color w:val="auto"/>
          <w:spacing w:val="17"/>
          <w:sz w:val="24"/>
          <w:szCs w:val="24"/>
          <w:highlight w:val="none"/>
          <w:u w:val="single"/>
        </w:rPr>
        <w:t>（关键组件）</w:t>
      </w:r>
      <w:r>
        <w:rPr>
          <w:rFonts w:hint="eastAsia" w:ascii="宋体" w:hAnsi="宋体" w:eastAsia="宋体" w:cs="宋体"/>
          <w:color w:val="auto"/>
          <w:spacing w:val="17"/>
          <w:sz w:val="24"/>
          <w:szCs w:val="24"/>
          <w:highlight w:val="none"/>
        </w:rPr>
        <w:t>4在中国境内生产。</w:t>
      </w:r>
      <w:r>
        <w:rPr>
          <w:rFonts w:hint="eastAsia" w:ascii="宋体" w:hAnsi="宋体" w:eastAsia="宋体" w:cs="宋体"/>
          <w:color w:val="auto"/>
          <w:spacing w:val="17"/>
          <w:sz w:val="24"/>
          <w:szCs w:val="24"/>
          <w:highlight w:val="none"/>
          <w:u w:val="single"/>
        </w:rPr>
        <w:t>（产品名称1）</w:t>
      </w:r>
      <w:r>
        <w:rPr>
          <w:rFonts w:hint="eastAsia" w:ascii="宋体" w:hAnsi="宋体" w:eastAsia="宋体" w:cs="宋体"/>
          <w:color w:val="auto"/>
          <w:spacing w:val="17"/>
          <w:sz w:val="24"/>
          <w:szCs w:val="24"/>
          <w:highlight w:val="none"/>
        </w:rPr>
        <w:t>的</w:t>
      </w:r>
      <w:r>
        <w:rPr>
          <w:rFonts w:hint="eastAsia" w:ascii="宋体" w:hAnsi="宋体" w:eastAsia="宋体" w:cs="宋体"/>
          <w:color w:val="auto"/>
          <w:spacing w:val="17"/>
          <w:sz w:val="24"/>
          <w:szCs w:val="24"/>
          <w:highlight w:val="none"/>
          <w:u w:val="single"/>
        </w:rPr>
        <w:t>（关键工序）</w:t>
      </w:r>
      <w:r>
        <w:rPr>
          <w:rFonts w:hint="eastAsia" w:ascii="宋体" w:hAnsi="宋体" w:eastAsia="宋体" w:cs="宋体"/>
          <w:color w:val="auto"/>
          <w:spacing w:val="17"/>
          <w:sz w:val="24"/>
          <w:szCs w:val="24"/>
          <w:highlight w:val="none"/>
        </w:rPr>
        <w:t>5在中国境内完成。</w:t>
      </w:r>
    </w:p>
    <w:p w14:paraId="39943D8B">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2.</w:t>
      </w:r>
      <w:r>
        <w:rPr>
          <w:rFonts w:hint="eastAsia" w:ascii="宋体" w:hAnsi="宋体" w:eastAsia="宋体" w:cs="宋体"/>
          <w:color w:val="auto"/>
          <w:spacing w:val="17"/>
          <w:sz w:val="24"/>
          <w:szCs w:val="24"/>
          <w:highlight w:val="none"/>
          <w:u w:val="single"/>
        </w:rPr>
        <w:t>（产品名称2）</w:t>
      </w:r>
      <w:r>
        <w:rPr>
          <w:rFonts w:hint="eastAsia" w:ascii="宋体" w:hAnsi="宋体" w:eastAsia="宋体" w:cs="宋体"/>
          <w:color w:val="auto"/>
          <w:spacing w:val="17"/>
          <w:sz w:val="24"/>
          <w:szCs w:val="24"/>
          <w:highlight w:val="none"/>
        </w:rPr>
        <w:t>，生产厂为</w:t>
      </w:r>
      <w:r>
        <w:rPr>
          <w:rFonts w:hint="eastAsia" w:ascii="宋体" w:hAnsi="宋体" w:eastAsia="宋体" w:cs="宋体"/>
          <w:color w:val="auto"/>
          <w:spacing w:val="17"/>
          <w:sz w:val="24"/>
          <w:szCs w:val="24"/>
          <w:highlight w:val="none"/>
          <w:u w:val="single"/>
        </w:rPr>
        <w:t>（厂名）</w:t>
      </w:r>
      <w:r>
        <w:rPr>
          <w:rFonts w:hint="eastAsia" w:ascii="宋体" w:hAnsi="宋体" w:eastAsia="宋体" w:cs="宋体"/>
          <w:color w:val="auto"/>
          <w:spacing w:val="17"/>
          <w:sz w:val="24"/>
          <w:szCs w:val="24"/>
          <w:highlight w:val="none"/>
        </w:rPr>
        <w:t>，厂址为</w:t>
      </w:r>
      <w:r>
        <w:rPr>
          <w:rFonts w:hint="eastAsia" w:ascii="宋体" w:hAnsi="宋体" w:eastAsia="宋体" w:cs="宋体"/>
          <w:color w:val="auto"/>
          <w:spacing w:val="17"/>
          <w:sz w:val="24"/>
          <w:szCs w:val="24"/>
          <w:highlight w:val="none"/>
          <w:u w:val="single"/>
        </w:rPr>
        <w:t>（生产厂址）</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rPr>
        <w:t>（产品名称2）</w:t>
      </w:r>
      <w:r>
        <w:rPr>
          <w:rFonts w:hint="eastAsia" w:ascii="宋体" w:hAnsi="宋体" w:eastAsia="宋体" w:cs="宋体"/>
          <w:color w:val="auto"/>
          <w:spacing w:val="17"/>
          <w:sz w:val="24"/>
          <w:szCs w:val="24"/>
          <w:highlight w:val="none"/>
        </w:rPr>
        <w:t>的中国境内生产的组件成本占比≥</w:t>
      </w:r>
      <w:r>
        <w:rPr>
          <w:rFonts w:hint="eastAsia" w:ascii="宋体" w:hAnsi="宋体" w:eastAsia="宋体" w:cs="宋体"/>
          <w:color w:val="auto"/>
          <w:spacing w:val="17"/>
          <w:sz w:val="24"/>
          <w:szCs w:val="24"/>
          <w:highlight w:val="none"/>
          <w:u w:val="single"/>
        </w:rPr>
        <w:t>（规定比例）</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rPr>
        <w:t>（产品名称2）</w:t>
      </w:r>
      <w:r>
        <w:rPr>
          <w:rFonts w:hint="eastAsia" w:ascii="宋体" w:hAnsi="宋体" w:eastAsia="宋体" w:cs="宋体"/>
          <w:color w:val="auto"/>
          <w:spacing w:val="17"/>
          <w:sz w:val="24"/>
          <w:szCs w:val="24"/>
          <w:highlight w:val="none"/>
        </w:rPr>
        <w:t>的</w:t>
      </w:r>
      <w:r>
        <w:rPr>
          <w:rFonts w:hint="eastAsia" w:ascii="宋体" w:hAnsi="宋体" w:eastAsia="宋体" w:cs="宋体"/>
          <w:color w:val="auto"/>
          <w:spacing w:val="17"/>
          <w:sz w:val="24"/>
          <w:szCs w:val="24"/>
          <w:highlight w:val="none"/>
          <w:u w:val="single"/>
        </w:rPr>
        <w:t>（关键组件）</w:t>
      </w:r>
      <w:r>
        <w:rPr>
          <w:rFonts w:hint="eastAsia" w:ascii="宋体" w:hAnsi="宋体" w:eastAsia="宋体" w:cs="宋体"/>
          <w:color w:val="auto"/>
          <w:spacing w:val="17"/>
          <w:sz w:val="24"/>
          <w:szCs w:val="24"/>
          <w:highlight w:val="none"/>
        </w:rPr>
        <w:t>在中国境内生产。</w:t>
      </w:r>
      <w:r>
        <w:rPr>
          <w:rFonts w:hint="eastAsia" w:ascii="宋体" w:hAnsi="宋体" w:eastAsia="宋体" w:cs="宋体"/>
          <w:color w:val="auto"/>
          <w:spacing w:val="17"/>
          <w:sz w:val="24"/>
          <w:szCs w:val="24"/>
          <w:highlight w:val="none"/>
          <w:u w:val="single"/>
        </w:rPr>
        <w:t>（产品名称2</w:t>
      </w:r>
      <w:r>
        <w:rPr>
          <w:rFonts w:hint="eastAsia" w:ascii="宋体" w:hAnsi="宋体" w:eastAsia="宋体" w:cs="宋体"/>
          <w:color w:val="auto"/>
          <w:spacing w:val="17"/>
          <w:sz w:val="24"/>
          <w:szCs w:val="24"/>
          <w:highlight w:val="none"/>
        </w:rPr>
        <w:t>）的</w:t>
      </w:r>
      <w:r>
        <w:rPr>
          <w:rFonts w:hint="eastAsia" w:ascii="宋体" w:hAnsi="宋体" w:eastAsia="宋体" w:cs="宋体"/>
          <w:color w:val="auto"/>
          <w:spacing w:val="17"/>
          <w:sz w:val="24"/>
          <w:szCs w:val="24"/>
          <w:highlight w:val="none"/>
          <w:u w:val="single"/>
        </w:rPr>
        <w:t>（关键工序）</w:t>
      </w:r>
      <w:r>
        <w:rPr>
          <w:rFonts w:hint="eastAsia" w:ascii="宋体" w:hAnsi="宋体" w:eastAsia="宋体" w:cs="宋体"/>
          <w:color w:val="auto"/>
          <w:spacing w:val="17"/>
          <w:sz w:val="24"/>
          <w:szCs w:val="24"/>
          <w:highlight w:val="none"/>
        </w:rPr>
        <w:t>在中国境内完成。</w:t>
      </w:r>
    </w:p>
    <w:p w14:paraId="290338D8">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w:t>
      </w:r>
    </w:p>
    <w:p w14:paraId="074F9EF7">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本公司（单位）对上述声明内容的真实性负责。如有虚假，愿承担相应法律责任。</w:t>
      </w:r>
    </w:p>
    <w:p w14:paraId="723A9913">
      <w:pPr>
        <w:spacing w:before="75" w:line="461" w:lineRule="exact"/>
        <w:ind w:firstLine="548" w:firstLineChars="200"/>
        <w:jc w:val="right"/>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公司（单位）名称（盖章）：　        </w:t>
      </w:r>
    </w:p>
    <w:p w14:paraId="16FD5583">
      <w:pPr>
        <w:spacing w:before="75" w:line="461" w:lineRule="exact"/>
        <w:ind w:firstLine="548" w:firstLineChars="200"/>
        <w:jc w:val="right"/>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日期：　     年　  月　  日         </w:t>
      </w:r>
    </w:p>
    <w:p w14:paraId="65CBD728">
      <w:pPr>
        <w:spacing w:before="75" w:line="461" w:lineRule="exact"/>
        <w:ind w:firstLine="548" w:firstLineChars="200"/>
        <w:rPr>
          <w:rFonts w:hint="eastAsia" w:ascii="宋体" w:hAnsi="宋体" w:eastAsia="宋体" w:cs="宋体"/>
          <w:color w:val="auto"/>
          <w:spacing w:val="17"/>
          <w:sz w:val="24"/>
          <w:szCs w:val="24"/>
          <w:highlight w:val="none"/>
        </w:rPr>
      </w:pPr>
    </w:p>
    <w:p w14:paraId="597A1143">
      <w:pPr>
        <w:spacing w:before="75" w:line="461" w:lineRule="exact"/>
        <w:ind w:firstLine="548" w:firstLineChars="200"/>
        <w:rPr>
          <w:rFonts w:hint="eastAsia" w:ascii="宋体" w:hAnsi="宋体" w:eastAsia="宋体" w:cs="宋体"/>
          <w:color w:val="auto"/>
          <w:spacing w:val="17"/>
          <w:sz w:val="24"/>
          <w:szCs w:val="24"/>
          <w:highlight w:val="none"/>
        </w:rPr>
      </w:pPr>
    </w:p>
    <w:p w14:paraId="6BD5A6B5">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1.产品如有型号，请在“产品名称”栏一并填写。</w:t>
      </w:r>
    </w:p>
    <w:p w14:paraId="43125F22">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2.生产厂名与厂址应与生产厂营业执照载明的相关信息保持一致。</w:t>
      </w:r>
    </w:p>
    <w:p w14:paraId="501004D7">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3.该产品的中国境内生产的组件成本占比相关要求实施前，“规定比例”栏可不填，下同。</w:t>
      </w:r>
    </w:p>
    <w:p w14:paraId="02769AD5">
      <w:pPr>
        <w:spacing w:before="75" w:line="461" w:lineRule="exact"/>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4.该产品的关键组件要求实施前，“关键组件”栏可不填，下同。</w:t>
      </w:r>
    </w:p>
    <w:p w14:paraId="786CC275">
      <w:pPr>
        <w:spacing w:before="75" w:line="461" w:lineRule="exact"/>
        <w:ind w:firstLine="548" w:firstLineChars="200"/>
        <w:rPr>
          <w:b/>
          <w:sz w:val="24"/>
          <w:szCs w:val="24"/>
          <w:highlight w:val="none"/>
        </w:rPr>
      </w:pPr>
      <w:r>
        <w:rPr>
          <w:rFonts w:hint="eastAsia" w:ascii="宋体" w:hAnsi="宋体" w:eastAsia="宋体" w:cs="宋体"/>
          <w:color w:val="auto"/>
          <w:spacing w:val="17"/>
          <w:sz w:val="24"/>
          <w:szCs w:val="24"/>
          <w:highlight w:val="none"/>
        </w:rPr>
        <w:t>5.该产品的关键工序要求实施前，“关键工序”栏可不填，下同。</w:t>
      </w:r>
    </w:p>
    <w:p w14:paraId="669FD0EC">
      <w:pPr>
        <w:rPr>
          <w:b/>
          <w:sz w:val="28"/>
          <w:szCs w:val="28"/>
          <w:highlight w:val="none"/>
        </w:rPr>
      </w:pPr>
      <w:r>
        <w:rPr>
          <w:b/>
          <w:sz w:val="28"/>
          <w:szCs w:val="28"/>
          <w:highlight w:val="none"/>
        </w:rPr>
        <w:br w:type="page"/>
      </w:r>
    </w:p>
    <w:p w14:paraId="70419520">
      <w:pPr>
        <w:spacing w:line="440" w:lineRule="exact"/>
        <w:rPr>
          <w:rFonts w:ascii="宋体" w:hAnsi="宋体"/>
          <w:b/>
          <w:sz w:val="28"/>
          <w:szCs w:val="28"/>
          <w:highlight w:val="none"/>
        </w:rPr>
      </w:pPr>
      <w:r>
        <w:rPr>
          <w:b/>
          <w:sz w:val="28"/>
          <w:szCs w:val="28"/>
          <w:highlight w:val="none"/>
        </w:rPr>
        <w:t>附</w:t>
      </w:r>
      <w:r>
        <w:rPr>
          <w:rFonts w:hint="eastAsia"/>
          <w:b/>
          <w:sz w:val="28"/>
          <w:szCs w:val="28"/>
          <w:highlight w:val="none"/>
          <w:lang w:eastAsia="zh-CN"/>
        </w:rPr>
        <w:t>表</w:t>
      </w:r>
      <w:r>
        <w:rPr>
          <w:rFonts w:hint="eastAsia"/>
          <w:b/>
          <w:sz w:val="28"/>
          <w:szCs w:val="28"/>
          <w:highlight w:val="none"/>
        </w:rPr>
        <w:t>十</w:t>
      </w:r>
      <w:r>
        <w:rPr>
          <w:rFonts w:hint="eastAsia"/>
          <w:b/>
          <w:sz w:val="28"/>
          <w:szCs w:val="28"/>
          <w:highlight w:val="none"/>
          <w:lang w:val="en-US" w:eastAsia="zh-CN"/>
        </w:rPr>
        <w:t>七</w:t>
      </w:r>
      <w:r>
        <w:rPr>
          <w:b/>
          <w:sz w:val="28"/>
          <w:szCs w:val="28"/>
          <w:highlight w:val="none"/>
        </w:rPr>
        <w:t>：</w:t>
      </w:r>
    </w:p>
    <w:p w14:paraId="4131836D">
      <w:pPr>
        <w:pStyle w:val="43"/>
        <w:ind w:firstLine="562"/>
        <w:jc w:val="center"/>
        <w:rPr>
          <w:highlight w:val="none"/>
        </w:rPr>
      </w:pPr>
      <w:r>
        <w:rPr>
          <w:rFonts w:hint="eastAsia" w:ascii="宋体" w:hAnsi="宋体" w:eastAsia="宋体"/>
          <w:b/>
          <w:szCs w:val="28"/>
          <w:highlight w:val="none"/>
        </w:rPr>
        <w:t>其他证明材料</w:t>
      </w:r>
    </w:p>
    <w:p w14:paraId="4BB111DE">
      <w:pPr>
        <w:spacing w:line="360" w:lineRule="auto"/>
        <w:jc w:val="center"/>
        <w:rPr>
          <w:b/>
          <w:bCs/>
          <w:sz w:val="24"/>
          <w:highlight w:val="none"/>
        </w:rPr>
      </w:pPr>
    </w:p>
    <w:p w14:paraId="2A0DC11C">
      <w:pPr>
        <w:rPr>
          <w:b/>
          <w:sz w:val="32"/>
          <w:szCs w:val="32"/>
          <w:highlight w:val="none"/>
        </w:rPr>
      </w:pPr>
      <w:r>
        <w:rPr>
          <w:sz w:val="24"/>
          <w:highlight w:val="none"/>
        </w:rPr>
        <w:t>投标人认为有必要提供的其他资料。</w:t>
      </w:r>
    </w:p>
    <w:p w14:paraId="3CEDE8FB">
      <w:pPr>
        <w:rPr>
          <w:b/>
          <w:sz w:val="32"/>
          <w:szCs w:val="32"/>
          <w:highlight w:val="none"/>
        </w:rPr>
      </w:pPr>
      <w:bookmarkStart w:id="28" w:name="_Toc7351"/>
      <w:r>
        <w:rPr>
          <w:b/>
          <w:sz w:val="32"/>
          <w:szCs w:val="32"/>
          <w:highlight w:val="none"/>
        </w:rPr>
        <w:br w:type="page"/>
      </w:r>
    </w:p>
    <w:p w14:paraId="22957353">
      <w:pPr>
        <w:adjustRightInd w:val="0"/>
        <w:snapToGrid w:val="0"/>
        <w:spacing w:before="100" w:beforeAutospacing="1" w:after="100" w:afterAutospacing="1" w:line="360" w:lineRule="auto"/>
        <w:jc w:val="center"/>
        <w:outlineLvl w:val="0"/>
        <w:rPr>
          <w:b/>
          <w:sz w:val="28"/>
          <w:szCs w:val="28"/>
          <w:highlight w:val="none"/>
        </w:rPr>
      </w:pPr>
      <w:r>
        <w:rPr>
          <w:b/>
          <w:sz w:val="32"/>
          <w:szCs w:val="32"/>
          <w:highlight w:val="none"/>
        </w:rPr>
        <w:t>第七部分  评标办法和细则</w:t>
      </w:r>
      <w:bookmarkEnd w:id="28"/>
    </w:p>
    <w:p w14:paraId="70F4C00E">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根据《中华人民共和国政府采购法》、《政府采购招标采购方式管理暂行办法》《政府采购货物和服务招标投标管理办法》《评标委员会和评标方法暂行规定》、《政府采购评审专家管理办法》以及国家和地方颁布的有关法令、法规，并结合本项目的实际，按照公正、公平、科学、择优的原则选择中标人，特制定本办法。</w:t>
      </w:r>
    </w:p>
    <w:p w14:paraId="496F4268">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一、评定总则和规定</w:t>
      </w:r>
    </w:p>
    <w:p w14:paraId="3E0FB188">
      <w:pPr>
        <w:adjustRightInd w:val="0"/>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1.1 为最大限度地保护各当事人的权益，评审小组应严格按照招标文件的要求进行评定，编制评标报告。评审人员必须严格遵守保密规定，不得泄漏评审有关的情况，不得索贿受贿，不得参加影响评审的任何活动。</w:t>
      </w:r>
    </w:p>
    <w:p w14:paraId="764F08E4">
      <w:pPr>
        <w:adjustRightInd w:val="0"/>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价格排序从低到高的顺序确定中标人。</w:t>
      </w:r>
    </w:p>
    <w:p w14:paraId="5C6FC787">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非单一产品采购项目，以招标文件中载明，根据采购项目技术构成、产品价格比重等合理确定的核心产品品牌为准。多家投标人提供的核心产品品牌相同的，按前款规定处理。</w:t>
      </w:r>
    </w:p>
    <w:p w14:paraId="6B766676">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1.2 评审时，评审小组应当对照招标文件规定的条件和标准，对各投标人投标文件的合格性、完整性和有效性进行审查、比较和评估，其中对投标人的资格条件、主要技术参数、商务报价和其他评审要素等，评定人员应逐项进行审查、比较，不得漏评少评。如发现与招标文件要求相偏离的，应对其偏离情况进行必要的核实，并在工作底稿中予以说明；如属于实质性偏离或符合无效响应条件的，应当询问投标人，并允许投标人进行陈述申辩，但不允许其对实质性偏离条款进行补充、修正或撤回。</w:t>
      </w:r>
    </w:p>
    <w:p w14:paraId="3E9B78A6">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1.3 评定原则</w:t>
      </w:r>
    </w:p>
    <w:p w14:paraId="1E59A320">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1.3.1采取综合评分法。由评审小组采用综合评分法对提交有效报价的投标人的投标文件进行综合评分。综合评分法，是指投标文件满足招标文件全部实质性要求且按评审因素的量化指标评审得分最高的投标人为中标候选投标人的评审方法。</w:t>
      </w:r>
    </w:p>
    <w:p w14:paraId="2453612F">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1.3.2评审小组应当根据综合评分情况，按照评审得分由高到低顺序推荐3 名以上中标候选投标人，并编写评标报告。评审得分相同的，按照最后报价由低到高的顺序推荐。评审得分且最后报价相同的，由评审小组确定以按照技术指标优劣顺序或抽签确定排名先后推荐。</w:t>
      </w:r>
    </w:p>
    <w:p w14:paraId="5E4FF692">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1.4 本评标办法仅适用于本次招标。</w:t>
      </w:r>
    </w:p>
    <w:p w14:paraId="4610C449">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二、机构组成和职能</w:t>
      </w:r>
    </w:p>
    <w:p w14:paraId="50C4C841">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2.1 本次招标将设监督小组、组织机构和评审小组。</w:t>
      </w:r>
    </w:p>
    <w:p w14:paraId="5AECFEEF">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2.2 监督小组机构组成和职能</w:t>
      </w:r>
    </w:p>
    <w:p w14:paraId="1423A7A6">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2.2.1机构成员：由</w:t>
      </w:r>
      <w:r>
        <w:rPr>
          <w:rFonts w:hint="eastAsia" w:ascii="宋体" w:hAnsi="宋体" w:cs="宋体"/>
          <w:sz w:val="24"/>
          <w:highlight w:val="none"/>
          <w:lang w:eastAsia="zh-CN"/>
        </w:rPr>
        <w:t>库车市文化体育广播电视和旅游局</w:t>
      </w:r>
      <w:r>
        <w:rPr>
          <w:rFonts w:hint="eastAsia" w:ascii="宋体" w:hAnsi="宋体" w:cs="宋体"/>
          <w:sz w:val="24"/>
          <w:highlight w:val="none"/>
        </w:rPr>
        <w:t>相关部门负责。</w:t>
      </w:r>
    </w:p>
    <w:p w14:paraId="3531B128">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2.2.2职能：独立行使监督工作，对所有招标工作做出复审意见。</w:t>
      </w:r>
    </w:p>
    <w:p w14:paraId="5041C260">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2.3 组织机构的组成和职能</w:t>
      </w:r>
    </w:p>
    <w:p w14:paraId="783D6494">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2.3.1机构成员：由本项目采购代理机构相关人员组成。</w:t>
      </w:r>
    </w:p>
    <w:p w14:paraId="3A29203F">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2.3.2职能：按规定的程序和要求依法严密组织招标、评定等各项活动，且客观如实予以记录和反映，对评审小组的评分记录，评定过程中不干扰和影响评审小组正常的评定工作。</w:t>
      </w:r>
    </w:p>
    <w:p w14:paraId="46FC4524">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2.4 评审小组组成和职能</w:t>
      </w:r>
    </w:p>
    <w:p w14:paraId="1031889F">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2.4.1机构成员：由采购人和专家共</w:t>
      </w:r>
      <w:r>
        <w:rPr>
          <w:rFonts w:hint="eastAsia" w:ascii="宋体" w:hAnsi="宋体" w:cs="宋体"/>
          <w:sz w:val="24"/>
          <w:highlight w:val="none"/>
          <w:u w:val="single"/>
          <w:lang w:val="en-US" w:eastAsia="zh-CN"/>
        </w:rPr>
        <w:t>5</w:t>
      </w:r>
      <w:r>
        <w:rPr>
          <w:rFonts w:hint="eastAsia" w:ascii="宋体" w:hAnsi="宋体" w:cs="宋体"/>
          <w:sz w:val="24"/>
          <w:highlight w:val="none"/>
        </w:rPr>
        <w:t>人组成，其中相关行业专家</w:t>
      </w:r>
      <w:r>
        <w:rPr>
          <w:rFonts w:hint="eastAsia" w:ascii="宋体" w:hAnsi="宋体" w:cs="宋体"/>
          <w:sz w:val="24"/>
          <w:highlight w:val="none"/>
          <w:lang w:val="en-US" w:eastAsia="zh-CN"/>
        </w:rPr>
        <w:t>4</w:t>
      </w:r>
      <w:r>
        <w:rPr>
          <w:rFonts w:hint="eastAsia" w:ascii="宋体" w:hAnsi="宋体" w:cs="宋体"/>
          <w:sz w:val="24"/>
          <w:highlight w:val="none"/>
        </w:rPr>
        <w:t>人，业主代表</w:t>
      </w:r>
      <w:r>
        <w:rPr>
          <w:rFonts w:hint="eastAsia" w:ascii="宋体" w:hAnsi="宋体" w:cs="宋体"/>
          <w:sz w:val="24"/>
          <w:highlight w:val="none"/>
          <w:lang w:val="en-US" w:eastAsia="zh-CN"/>
        </w:rPr>
        <w:t>1</w:t>
      </w:r>
      <w:r>
        <w:rPr>
          <w:rFonts w:hint="eastAsia" w:ascii="宋体" w:hAnsi="宋体" w:cs="宋体"/>
          <w:sz w:val="24"/>
          <w:highlight w:val="none"/>
        </w:rPr>
        <w:t>人。</w:t>
      </w:r>
    </w:p>
    <w:p w14:paraId="32402343">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2.4.2职能：根据招标文件的要求，对投标文件进行初步检查、汇总、分析和比较，并做好记录；对合格的投标人提出投标文件中需要澄清的问题。对不合格的投标人说明原因；对合格的投标文件认真、客观、公正地评审；对合格的投标人进行评定；完成所评审项目的评定报告，评审小组按评定原则推荐中标候选人。</w:t>
      </w:r>
    </w:p>
    <w:p w14:paraId="561DD430">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2.5 评审小组的专家由采购人和采购代理机构在相关专家库随机抽取。</w:t>
      </w:r>
    </w:p>
    <w:p w14:paraId="5E5748EB">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2.6 各评审小组成员的评分情况和评审意见由采购代理机构审查，如发现评审小组的评审意见带有明显倾向性，或不按规定程序和标准评审、计分的，必须要求评审小组进行书面澄清和说明。</w:t>
      </w:r>
    </w:p>
    <w:p w14:paraId="7046AB6A">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2.7 评标原则</w:t>
      </w:r>
    </w:p>
    <w:p w14:paraId="5B905638">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2.7.1评标遵循公平、公正、科学、择优的原则。</w:t>
      </w:r>
    </w:p>
    <w:p w14:paraId="61C8A792">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2.7.2对所有投标人的投标评估，都采用相同的程序和标准。</w:t>
      </w:r>
    </w:p>
    <w:p w14:paraId="1E3DEFB7">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2.7.3评标将严格按照招标文件的要求和评标标准及办法进行。</w:t>
      </w:r>
    </w:p>
    <w:p w14:paraId="162AC9CF">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2.7.4根据招标文件规定的各项评价标准通过评审打分排序推荐出1-3名中标候选人。</w:t>
      </w:r>
    </w:p>
    <w:p w14:paraId="58E257BE">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2.7.5评标委员会判断投标文件的响应性仅基于投标文件本身而不靠外部证据。</w:t>
      </w:r>
    </w:p>
    <w:p w14:paraId="3582A086">
      <w:pPr>
        <w:adjustRightInd w:val="0"/>
        <w:snapToGrid w:val="0"/>
        <w:spacing w:line="440" w:lineRule="exact"/>
        <w:ind w:firstLine="480" w:firstLineChars="200"/>
        <w:rPr>
          <w:rFonts w:ascii="宋体" w:hAnsi="宋体" w:cs="宋体"/>
          <w:sz w:val="24"/>
          <w:highlight w:val="none"/>
        </w:rPr>
      </w:pPr>
      <w:r>
        <w:rPr>
          <w:rFonts w:hint="eastAsia" w:ascii="宋体" w:hAnsi="宋体" w:cs="宋体"/>
          <w:bCs/>
          <w:sz w:val="24"/>
          <w:highlight w:val="none"/>
        </w:rPr>
        <w:t>2.7.6评标委员会拒绝被确定为非实质性响应的投标，投标人不能通过修正或撤销不符之处而使其投标成为实质性响应的投标。</w:t>
      </w:r>
    </w:p>
    <w:p w14:paraId="0EEF2A2C">
      <w:pPr>
        <w:adjustRightInd w:val="0"/>
        <w:snapToGrid w:val="0"/>
        <w:spacing w:line="440" w:lineRule="exact"/>
        <w:ind w:firstLine="480" w:firstLineChars="200"/>
        <w:rPr>
          <w:rFonts w:ascii="宋体" w:hAnsi="宋体" w:cs="宋体"/>
          <w:sz w:val="24"/>
          <w:highlight w:val="none"/>
        </w:rPr>
      </w:pPr>
      <w:r>
        <w:rPr>
          <w:rFonts w:hint="eastAsia" w:ascii="宋体" w:hAnsi="宋体" w:cs="宋体"/>
          <w:bCs/>
          <w:sz w:val="24"/>
          <w:highlight w:val="none"/>
        </w:rPr>
        <w:t>2.</w:t>
      </w:r>
      <w:r>
        <w:rPr>
          <w:rFonts w:hint="eastAsia" w:ascii="宋体" w:hAnsi="宋体" w:cs="宋体"/>
          <w:sz w:val="24"/>
          <w:highlight w:val="none"/>
        </w:rPr>
        <w:t>8 评标纪律</w:t>
      </w:r>
    </w:p>
    <w:p w14:paraId="453338F4">
      <w:pPr>
        <w:adjustRightInd w:val="0"/>
        <w:snapToGrid w:val="0"/>
        <w:spacing w:line="440" w:lineRule="exact"/>
        <w:ind w:firstLine="480" w:firstLineChars="200"/>
        <w:rPr>
          <w:rFonts w:ascii="宋体" w:hAnsi="宋体" w:cs="宋体"/>
          <w:sz w:val="24"/>
          <w:highlight w:val="none"/>
        </w:rPr>
      </w:pPr>
      <w:r>
        <w:rPr>
          <w:rFonts w:hint="eastAsia" w:ascii="宋体" w:hAnsi="宋体" w:cs="宋体"/>
          <w:bCs/>
          <w:sz w:val="24"/>
          <w:highlight w:val="none"/>
        </w:rPr>
        <w:t>2.</w:t>
      </w:r>
      <w:r>
        <w:rPr>
          <w:rFonts w:hint="eastAsia" w:ascii="宋体" w:hAnsi="宋体" w:cs="宋体"/>
          <w:sz w:val="24"/>
          <w:highlight w:val="none"/>
        </w:rPr>
        <w:t>8.1评标委员会成员应当客观、公正地履行职责，遵守职业道德，对所提出的评审意见承担个人责任；</w:t>
      </w:r>
    </w:p>
    <w:p w14:paraId="3BCB953D">
      <w:pPr>
        <w:adjustRightInd w:val="0"/>
        <w:snapToGrid w:val="0"/>
        <w:spacing w:line="440" w:lineRule="exact"/>
        <w:ind w:firstLine="480" w:firstLineChars="200"/>
        <w:rPr>
          <w:rFonts w:ascii="宋体" w:hAnsi="宋体" w:cs="宋体"/>
          <w:sz w:val="24"/>
          <w:highlight w:val="none"/>
        </w:rPr>
      </w:pPr>
      <w:r>
        <w:rPr>
          <w:rFonts w:hint="eastAsia" w:ascii="宋体" w:hAnsi="宋体" w:cs="宋体"/>
          <w:bCs/>
          <w:sz w:val="24"/>
          <w:highlight w:val="none"/>
        </w:rPr>
        <w:t>2.</w:t>
      </w:r>
      <w:r>
        <w:rPr>
          <w:rFonts w:hint="eastAsia" w:ascii="宋体" w:hAnsi="宋体" w:cs="宋体"/>
          <w:sz w:val="24"/>
          <w:highlight w:val="none"/>
        </w:rPr>
        <w:t>8.2评标委员会成员和与评标活动有关的工作人员不得向任何投标人或与评标工作无关的人员透露与评标有关的任何情况；</w:t>
      </w:r>
    </w:p>
    <w:p w14:paraId="65E99E17">
      <w:pPr>
        <w:adjustRightInd w:val="0"/>
        <w:snapToGrid w:val="0"/>
        <w:spacing w:line="440" w:lineRule="exact"/>
        <w:ind w:firstLine="480" w:firstLineChars="200"/>
        <w:rPr>
          <w:rFonts w:ascii="宋体" w:hAnsi="宋体" w:cs="宋体"/>
          <w:sz w:val="24"/>
          <w:highlight w:val="none"/>
        </w:rPr>
      </w:pPr>
      <w:r>
        <w:rPr>
          <w:rFonts w:hint="eastAsia" w:ascii="宋体" w:hAnsi="宋体" w:cs="宋体"/>
          <w:bCs/>
          <w:sz w:val="24"/>
          <w:highlight w:val="none"/>
        </w:rPr>
        <w:t>2.</w:t>
      </w:r>
      <w:r>
        <w:rPr>
          <w:rFonts w:hint="eastAsia" w:ascii="宋体" w:hAnsi="宋体" w:cs="宋体"/>
          <w:sz w:val="24"/>
          <w:highlight w:val="none"/>
        </w:rPr>
        <w:t>8.3封闭评标期间，评委不得独自与外界接触，个人的通讯工具均应交由招标监督人员集中保管。需要和外部联系应通过招标监督人员联系。</w:t>
      </w:r>
    </w:p>
    <w:p w14:paraId="6753E3D3">
      <w:pPr>
        <w:adjustRightInd w:val="0"/>
        <w:snapToGrid w:val="0"/>
        <w:spacing w:line="440" w:lineRule="exact"/>
        <w:ind w:firstLine="480" w:firstLineChars="200"/>
        <w:rPr>
          <w:rFonts w:ascii="宋体" w:hAnsi="宋体" w:cs="宋体"/>
          <w:sz w:val="24"/>
          <w:highlight w:val="none"/>
        </w:rPr>
      </w:pPr>
      <w:r>
        <w:rPr>
          <w:rFonts w:hint="eastAsia" w:ascii="宋体" w:hAnsi="宋体" w:cs="宋体"/>
          <w:bCs/>
          <w:sz w:val="24"/>
          <w:highlight w:val="none"/>
        </w:rPr>
        <w:t>2.</w:t>
      </w:r>
      <w:r>
        <w:rPr>
          <w:rFonts w:hint="eastAsia" w:ascii="宋体" w:hAnsi="宋体" w:cs="宋体"/>
          <w:sz w:val="24"/>
          <w:highlight w:val="none"/>
        </w:rPr>
        <w:t>8.4评标期间，投标人应服从工作人员的指挥，不得出现干扰评标工作的正常进行或影响评标公正性的现象，否则，将视为废标。</w:t>
      </w:r>
    </w:p>
    <w:p w14:paraId="5D7E2723">
      <w:pPr>
        <w:adjustRightInd w:val="0"/>
        <w:snapToGrid w:val="0"/>
        <w:spacing w:line="440" w:lineRule="exact"/>
        <w:ind w:firstLine="482" w:firstLineChars="200"/>
        <w:rPr>
          <w:b/>
          <w:sz w:val="24"/>
          <w:highlight w:val="none"/>
        </w:rPr>
      </w:pPr>
      <w:r>
        <w:rPr>
          <w:b/>
          <w:sz w:val="24"/>
          <w:highlight w:val="none"/>
        </w:rPr>
        <w:t>三、评定程序</w:t>
      </w:r>
    </w:p>
    <w:p w14:paraId="4C4A8102">
      <w:pPr>
        <w:adjustRightInd w:val="0"/>
        <w:snapToGrid w:val="0"/>
        <w:spacing w:line="440" w:lineRule="exact"/>
        <w:ind w:firstLine="482" w:firstLineChars="200"/>
        <w:rPr>
          <w:b/>
          <w:bCs/>
          <w:sz w:val="24"/>
          <w:highlight w:val="none"/>
        </w:rPr>
      </w:pPr>
      <w:r>
        <w:rPr>
          <w:b/>
          <w:bCs/>
          <w:sz w:val="24"/>
          <w:highlight w:val="none"/>
        </w:rPr>
        <w:t>3.1 初步评审</w:t>
      </w:r>
      <w:r>
        <w:rPr>
          <w:rFonts w:hint="eastAsia"/>
          <w:b/>
          <w:bCs/>
          <w:sz w:val="24"/>
          <w:highlight w:val="none"/>
          <w:lang w:eastAsia="zh-CN"/>
        </w:rPr>
        <w:t>（</w:t>
      </w:r>
      <w:r>
        <w:rPr>
          <w:rFonts w:hint="eastAsia"/>
          <w:b/>
          <w:sz w:val="24"/>
          <w:highlight w:val="none"/>
          <w:lang w:eastAsia="zh-CN"/>
        </w:rPr>
        <w:t>资格审查、</w:t>
      </w:r>
      <w:r>
        <w:rPr>
          <w:rFonts w:hint="eastAsia"/>
          <w:b/>
          <w:bCs/>
          <w:sz w:val="24"/>
          <w:highlight w:val="none"/>
          <w:lang w:eastAsia="zh-CN"/>
        </w:rPr>
        <w:t>符合性审查）</w:t>
      </w:r>
      <w:r>
        <w:rPr>
          <w:b/>
          <w:bCs/>
          <w:sz w:val="24"/>
          <w:highlight w:val="none"/>
        </w:rPr>
        <w:t>及报价复核</w:t>
      </w:r>
    </w:p>
    <w:p w14:paraId="27CD100D">
      <w:pPr>
        <w:adjustRightInd w:val="0"/>
        <w:snapToGrid w:val="0"/>
        <w:spacing w:line="440" w:lineRule="exact"/>
        <w:ind w:firstLine="480" w:firstLineChars="200"/>
        <w:rPr>
          <w:sz w:val="24"/>
          <w:highlight w:val="none"/>
        </w:rPr>
      </w:pPr>
      <w:r>
        <w:rPr>
          <w:bCs/>
          <w:sz w:val="24"/>
          <w:highlight w:val="none"/>
        </w:rPr>
        <w:t>3.1.1初步评审将对开标时有效的投标文件进行</w:t>
      </w:r>
      <w:r>
        <w:rPr>
          <w:rFonts w:hint="eastAsia"/>
          <w:bCs/>
          <w:sz w:val="24"/>
          <w:highlight w:val="none"/>
        </w:rPr>
        <w:t>，</w:t>
      </w:r>
      <w:r>
        <w:rPr>
          <w:bCs/>
          <w:sz w:val="24"/>
          <w:highlight w:val="none"/>
        </w:rPr>
        <w:t>根据招标文件</w:t>
      </w:r>
      <w:r>
        <w:rPr>
          <w:rFonts w:hint="eastAsia"/>
          <w:bCs/>
          <w:sz w:val="24"/>
          <w:highlight w:val="none"/>
        </w:rPr>
        <w:t>，</w:t>
      </w:r>
      <w:r>
        <w:rPr>
          <w:bCs/>
          <w:sz w:val="24"/>
          <w:highlight w:val="none"/>
        </w:rPr>
        <w:t>审查并逐项列出投标文件的全部投标重大偏差。</w:t>
      </w:r>
    </w:p>
    <w:p w14:paraId="4BF5360D">
      <w:pPr>
        <w:adjustRightInd w:val="0"/>
        <w:snapToGrid w:val="0"/>
        <w:spacing w:line="440" w:lineRule="exact"/>
        <w:ind w:firstLine="480" w:firstLineChars="200"/>
        <w:rPr>
          <w:sz w:val="24"/>
          <w:highlight w:val="none"/>
        </w:rPr>
      </w:pPr>
      <w:r>
        <w:rPr>
          <w:sz w:val="24"/>
          <w:highlight w:val="none"/>
        </w:rPr>
        <w:t>3.1.2下列情况属于重大偏差：</w:t>
      </w:r>
    </w:p>
    <w:p w14:paraId="1FDE1DD5">
      <w:pPr>
        <w:adjustRightInd w:val="0"/>
        <w:snapToGrid w:val="0"/>
        <w:spacing w:line="440" w:lineRule="exact"/>
        <w:ind w:firstLine="480" w:firstLineChars="200"/>
        <w:rPr>
          <w:sz w:val="24"/>
          <w:highlight w:val="none"/>
        </w:rPr>
      </w:pPr>
      <w:bookmarkStart w:id="29" w:name="OLE_LINK18"/>
      <w:bookmarkStart w:id="30" w:name="OLE_LINK17"/>
      <w:r>
        <w:rPr>
          <w:sz w:val="24"/>
          <w:highlight w:val="none"/>
        </w:rPr>
        <w:t>（1）没有按照招标文件要求提供投标保证金，或者提供的投标保证金有瑕疵；</w:t>
      </w:r>
    </w:p>
    <w:p w14:paraId="145FAFA8">
      <w:pPr>
        <w:adjustRightInd w:val="0"/>
        <w:snapToGrid w:val="0"/>
        <w:spacing w:line="440" w:lineRule="exact"/>
        <w:ind w:firstLine="480" w:firstLineChars="200"/>
        <w:rPr>
          <w:sz w:val="24"/>
          <w:highlight w:val="none"/>
        </w:rPr>
      </w:pPr>
      <w:r>
        <w:rPr>
          <w:sz w:val="24"/>
          <w:highlight w:val="none"/>
        </w:rPr>
        <w:t>（2）投标文件没有投标单位法定代表人或其授权代表签字加盖投标单位公章的；</w:t>
      </w:r>
    </w:p>
    <w:p w14:paraId="1E56F8E1">
      <w:pPr>
        <w:adjustRightInd w:val="0"/>
        <w:snapToGrid w:val="0"/>
        <w:spacing w:line="440" w:lineRule="exact"/>
        <w:ind w:firstLine="480" w:firstLineChars="200"/>
        <w:rPr>
          <w:sz w:val="24"/>
          <w:highlight w:val="none"/>
        </w:rPr>
      </w:pPr>
      <w:r>
        <w:rPr>
          <w:sz w:val="24"/>
          <w:highlight w:val="none"/>
        </w:rPr>
        <w:t>（3）无法定代表人出具的授权委托书的；</w:t>
      </w:r>
    </w:p>
    <w:p w14:paraId="77048EC1">
      <w:pPr>
        <w:adjustRightInd w:val="0"/>
        <w:snapToGrid w:val="0"/>
        <w:spacing w:line="440" w:lineRule="exact"/>
        <w:ind w:firstLine="480" w:firstLineChars="200"/>
        <w:rPr>
          <w:sz w:val="24"/>
          <w:highlight w:val="none"/>
        </w:rPr>
      </w:pPr>
      <w:r>
        <w:rPr>
          <w:sz w:val="24"/>
          <w:highlight w:val="none"/>
        </w:rPr>
        <w:t>（4）不满足第四</w:t>
      </w:r>
      <w:r>
        <w:rPr>
          <w:rFonts w:hint="eastAsia"/>
          <w:sz w:val="24"/>
          <w:highlight w:val="none"/>
          <w:lang w:val="en-US" w:eastAsia="zh-CN"/>
        </w:rPr>
        <w:t>部分</w:t>
      </w:r>
      <w:r>
        <w:rPr>
          <w:sz w:val="24"/>
          <w:highlight w:val="none"/>
        </w:rPr>
        <w:t>“</w:t>
      </w:r>
      <w:r>
        <w:rPr>
          <w:rFonts w:hint="eastAsia"/>
          <w:sz w:val="24"/>
          <w:highlight w:val="none"/>
          <w:lang w:val="en-US" w:eastAsia="zh-CN"/>
        </w:rPr>
        <w:t>采购需求</w:t>
      </w:r>
      <w:r>
        <w:rPr>
          <w:sz w:val="24"/>
          <w:highlight w:val="none"/>
        </w:rPr>
        <w:t>”中</w:t>
      </w:r>
      <w:r>
        <w:rPr>
          <w:rFonts w:hint="eastAsia"/>
          <w:sz w:val="24"/>
          <w:highlight w:val="none"/>
          <w:lang w:val="en-US" w:eastAsia="zh-CN"/>
        </w:rPr>
        <w:t>的要求</w:t>
      </w:r>
      <w:r>
        <w:rPr>
          <w:sz w:val="24"/>
          <w:highlight w:val="none"/>
        </w:rPr>
        <w:t>；</w:t>
      </w:r>
    </w:p>
    <w:p w14:paraId="16EDF68F">
      <w:pPr>
        <w:adjustRightInd w:val="0"/>
        <w:snapToGrid w:val="0"/>
        <w:spacing w:line="440" w:lineRule="exact"/>
        <w:ind w:firstLine="480" w:firstLineChars="200"/>
        <w:rPr>
          <w:sz w:val="24"/>
          <w:highlight w:val="none"/>
        </w:rPr>
      </w:pPr>
      <w:r>
        <w:rPr>
          <w:sz w:val="24"/>
          <w:highlight w:val="none"/>
        </w:rPr>
        <w:t>（5）投标人对同一招标项目作出两个以上报价未明确效力的；</w:t>
      </w:r>
    </w:p>
    <w:p w14:paraId="02A95CEF">
      <w:pPr>
        <w:adjustRightInd w:val="0"/>
        <w:snapToGrid w:val="0"/>
        <w:spacing w:line="440" w:lineRule="exact"/>
        <w:ind w:firstLine="480" w:firstLineChars="200"/>
        <w:rPr>
          <w:sz w:val="24"/>
          <w:highlight w:val="none"/>
        </w:rPr>
      </w:pPr>
      <w:r>
        <w:rPr>
          <w:sz w:val="24"/>
          <w:highlight w:val="none"/>
        </w:rPr>
        <w:t>（6）未按招标文件的格式填写，内容不全或关键字迹模糊、无法辨认的；</w:t>
      </w:r>
    </w:p>
    <w:p w14:paraId="6D1D9EEC">
      <w:pPr>
        <w:adjustRightInd w:val="0"/>
        <w:snapToGrid w:val="0"/>
        <w:spacing w:line="440" w:lineRule="exact"/>
        <w:ind w:firstLine="480" w:firstLineChars="200"/>
        <w:rPr>
          <w:sz w:val="24"/>
          <w:highlight w:val="none"/>
        </w:rPr>
      </w:pPr>
      <w:r>
        <w:rPr>
          <w:sz w:val="24"/>
          <w:highlight w:val="none"/>
        </w:rPr>
        <w:t>（7）投标有效期不满足招标文件要求的；</w:t>
      </w:r>
    </w:p>
    <w:p w14:paraId="18D37C6F">
      <w:pPr>
        <w:adjustRightInd w:val="0"/>
        <w:snapToGrid w:val="0"/>
        <w:spacing w:line="440" w:lineRule="exact"/>
        <w:ind w:firstLine="480" w:firstLineChars="200"/>
        <w:rPr>
          <w:sz w:val="24"/>
          <w:highlight w:val="none"/>
        </w:rPr>
      </w:pPr>
      <w:r>
        <w:rPr>
          <w:sz w:val="24"/>
          <w:highlight w:val="none"/>
        </w:rPr>
        <w:t>（8）投标文件附有招标人不能接受的条件。</w:t>
      </w:r>
    </w:p>
    <w:p w14:paraId="001087C5">
      <w:pPr>
        <w:adjustRightInd w:val="0"/>
        <w:snapToGrid w:val="0"/>
        <w:spacing w:line="440" w:lineRule="exact"/>
        <w:ind w:firstLine="480" w:firstLineChars="200"/>
        <w:rPr>
          <w:sz w:val="24"/>
          <w:highlight w:val="none"/>
        </w:rPr>
      </w:pPr>
      <w:r>
        <w:rPr>
          <w:sz w:val="24"/>
          <w:highlight w:val="none"/>
        </w:rPr>
        <w:t>（9）存在招标文件规定的其它废标情况。</w:t>
      </w:r>
    </w:p>
    <w:bookmarkEnd w:id="29"/>
    <w:bookmarkEnd w:id="30"/>
    <w:p w14:paraId="2D5FA8A0">
      <w:pPr>
        <w:adjustRightInd w:val="0"/>
        <w:snapToGrid w:val="0"/>
        <w:spacing w:line="440" w:lineRule="exact"/>
        <w:ind w:firstLine="480" w:firstLineChars="200"/>
        <w:rPr>
          <w:sz w:val="24"/>
          <w:highlight w:val="none"/>
        </w:rPr>
      </w:pPr>
      <w:r>
        <w:rPr>
          <w:sz w:val="24"/>
          <w:highlight w:val="none"/>
        </w:rPr>
        <w:t>3.1.3投标文件有上述重大偏差之一的，为未能对招标文件做出实质性响应，作废标处理，不再进入以后的评标程序。</w:t>
      </w:r>
    </w:p>
    <w:p w14:paraId="22B55D27">
      <w:pPr>
        <w:adjustRightInd w:val="0"/>
        <w:snapToGrid w:val="0"/>
        <w:spacing w:line="440" w:lineRule="exact"/>
        <w:ind w:firstLine="480" w:firstLineChars="200"/>
        <w:rPr>
          <w:sz w:val="24"/>
          <w:highlight w:val="none"/>
        </w:rPr>
      </w:pPr>
      <w:r>
        <w:rPr>
          <w:sz w:val="24"/>
          <w:highlight w:val="none"/>
        </w:rPr>
        <w:t>3.1.4细微偏差是指投标文件在实质上响应招标文件要求，但在个别地方存在漏项或者提供了不完整的技术信息和数据等情况，并且补正这些遗漏或者不完整不会对其他投标人造成不公平结果。细微偏差不影响投标文件的有效性。</w:t>
      </w:r>
    </w:p>
    <w:p w14:paraId="11761D35">
      <w:pPr>
        <w:adjustRightInd w:val="0"/>
        <w:snapToGrid w:val="0"/>
        <w:spacing w:line="440" w:lineRule="exact"/>
        <w:ind w:firstLine="480" w:firstLineChars="200"/>
        <w:rPr>
          <w:sz w:val="24"/>
          <w:highlight w:val="none"/>
        </w:rPr>
      </w:pPr>
      <w:r>
        <w:rPr>
          <w:sz w:val="24"/>
          <w:highlight w:val="none"/>
        </w:rPr>
        <w:t>3.1.5评标委员会应当书面要求存在细微偏差的投标人在评标结果前予以补正。</w:t>
      </w:r>
    </w:p>
    <w:p w14:paraId="6DA05798">
      <w:pPr>
        <w:adjustRightInd w:val="0"/>
        <w:snapToGrid w:val="0"/>
        <w:spacing w:line="440" w:lineRule="exact"/>
        <w:ind w:firstLine="480" w:firstLineChars="200"/>
        <w:rPr>
          <w:sz w:val="24"/>
          <w:highlight w:val="none"/>
        </w:rPr>
      </w:pPr>
      <w:r>
        <w:rPr>
          <w:bCs/>
          <w:sz w:val="24"/>
          <w:highlight w:val="none"/>
        </w:rPr>
        <w:t>3.1</w:t>
      </w:r>
      <w:r>
        <w:rPr>
          <w:sz w:val="24"/>
          <w:highlight w:val="none"/>
        </w:rPr>
        <w:t>.6计算错误将按以下方法更正：若按单价计算的结果与总价不一致，以单价为准修改总价；若用文字表示的数值与用数字表示的数值不一致，以文字表示的数值为准。如果投标人不接受对其错误的更正，其投标将被拒绝。</w:t>
      </w:r>
    </w:p>
    <w:p w14:paraId="2FCF3F1D">
      <w:pPr>
        <w:adjustRightInd w:val="0"/>
        <w:snapToGrid w:val="0"/>
        <w:spacing w:line="440" w:lineRule="exact"/>
        <w:ind w:firstLine="480" w:firstLineChars="200"/>
        <w:rPr>
          <w:sz w:val="24"/>
          <w:highlight w:val="none"/>
        </w:rPr>
      </w:pPr>
      <w:r>
        <w:rPr>
          <w:bCs/>
          <w:sz w:val="24"/>
          <w:highlight w:val="none"/>
        </w:rPr>
        <w:t>3.1</w:t>
      </w:r>
      <w:r>
        <w:rPr>
          <w:sz w:val="24"/>
          <w:highlight w:val="none"/>
        </w:rPr>
        <w:t>.7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的实质性内容。拒不按照要求对投标文件进行澄清、说明或者补正的，评标委员会可以否决其投标，作废标处理。</w:t>
      </w:r>
    </w:p>
    <w:p w14:paraId="085D59A2">
      <w:pPr>
        <w:adjustRightInd w:val="0"/>
        <w:snapToGrid w:val="0"/>
        <w:spacing w:line="440" w:lineRule="exact"/>
        <w:ind w:firstLine="480" w:firstLineChars="200"/>
        <w:rPr>
          <w:sz w:val="24"/>
          <w:highlight w:val="none"/>
        </w:rPr>
      </w:pPr>
      <w:r>
        <w:rPr>
          <w:bCs/>
          <w:sz w:val="24"/>
          <w:highlight w:val="none"/>
        </w:rPr>
        <w:t>3.1.8</w:t>
      </w:r>
      <w:r>
        <w:rPr>
          <w:sz w:val="24"/>
          <w:highlight w:val="none"/>
        </w:rPr>
        <w:t>评标委员会判断投标文件的响应程度仅基于投标文件本身，而不靠外部证据。</w:t>
      </w:r>
    </w:p>
    <w:p w14:paraId="0C85F51A">
      <w:pPr>
        <w:adjustRightInd w:val="0"/>
        <w:snapToGrid w:val="0"/>
        <w:spacing w:line="440" w:lineRule="exact"/>
        <w:ind w:firstLine="480" w:firstLineChars="200"/>
        <w:rPr>
          <w:sz w:val="24"/>
          <w:highlight w:val="none"/>
        </w:rPr>
      </w:pPr>
      <w:r>
        <w:rPr>
          <w:bCs/>
          <w:sz w:val="24"/>
          <w:highlight w:val="none"/>
        </w:rPr>
        <w:t>3.</w:t>
      </w:r>
      <w:r>
        <w:rPr>
          <w:sz w:val="24"/>
          <w:highlight w:val="none"/>
        </w:rPr>
        <w:t>1.9在评标过程中，评标委员会发现投标人以他人的名义投标、串通投标、以行贿手段谋取中标或者以其它弄虚作假方式投标的,该投标将作废标处理。</w:t>
      </w:r>
    </w:p>
    <w:p w14:paraId="1A246AA9">
      <w:pPr>
        <w:adjustRightInd w:val="0"/>
        <w:snapToGrid w:val="0"/>
        <w:spacing w:line="440" w:lineRule="exact"/>
        <w:ind w:firstLine="480" w:firstLineChars="200"/>
        <w:rPr>
          <w:sz w:val="24"/>
          <w:highlight w:val="none"/>
        </w:rPr>
      </w:pPr>
      <w:r>
        <w:rPr>
          <w:bCs/>
          <w:sz w:val="24"/>
          <w:highlight w:val="none"/>
        </w:rPr>
        <w:t>3.</w:t>
      </w:r>
      <w:r>
        <w:rPr>
          <w:sz w:val="24"/>
          <w:highlight w:val="none"/>
        </w:rPr>
        <w:t>1.10评标委员会经评审，认为所有投标都不符合招标文件要求的或所有投标报价均过高时，可以否决所有投标。评标委员会经评审，认定投标人以低于成本报价竟标的，其投标将作废标处理。</w:t>
      </w:r>
    </w:p>
    <w:p w14:paraId="1D311EA4">
      <w:pPr>
        <w:adjustRightInd w:val="0"/>
        <w:snapToGrid w:val="0"/>
        <w:spacing w:line="440" w:lineRule="exact"/>
        <w:ind w:firstLine="480" w:firstLineChars="200"/>
        <w:rPr>
          <w:bCs/>
          <w:sz w:val="24"/>
          <w:highlight w:val="none"/>
        </w:rPr>
      </w:pPr>
      <w:r>
        <w:rPr>
          <w:bCs/>
          <w:sz w:val="24"/>
          <w:highlight w:val="none"/>
        </w:rPr>
        <w:t>3.1.11经过初步评审，如果由于有效投标不足三家使得投标明显缺乏竞争的，评标委员会可以否决全部投标。</w:t>
      </w:r>
    </w:p>
    <w:p w14:paraId="0F325863">
      <w:pPr>
        <w:adjustRightInd w:val="0"/>
        <w:snapToGrid w:val="0"/>
        <w:spacing w:line="440" w:lineRule="exact"/>
        <w:ind w:firstLine="482" w:firstLineChars="200"/>
        <w:rPr>
          <w:b/>
          <w:bCs/>
          <w:sz w:val="24"/>
          <w:highlight w:val="none"/>
        </w:rPr>
      </w:pPr>
      <w:r>
        <w:rPr>
          <w:b/>
          <w:bCs/>
          <w:sz w:val="24"/>
          <w:highlight w:val="none"/>
        </w:rPr>
        <w:t>3.2 详细评审</w:t>
      </w:r>
    </w:p>
    <w:p w14:paraId="68FCEE5D">
      <w:pPr>
        <w:adjustRightInd w:val="0"/>
        <w:snapToGrid w:val="0"/>
        <w:spacing w:line="440" w:lineRule="exact"/>
        <w:ind w:firstLine="480" w:firstLineChars="200"/>
        <w:rPr>
          <w:bCs/>
          <w:sz w:val="24"/>
          <w:highlight w:val="none"/>
        </w:rPr>
      </w:pPr>
      <w:r>
        <w:rPr>
          <w:bCs/>
          <w:sz w:val="24"/>
          <w:highlight w:val="none"/>
        </w:rPr>
        <w:t>经初步评审合格的投标文件，评标委员会成员将对投标文件进行进一步评审、比较。</w:t>
      </w:r>
    </w:p>
    <w:p w14:paraId="70FE35E2">
      <w:pPr>
        <w:adjustRightInd w:val="0"/>
        <w:snapToGrid w:val="0"/>
        <w:spacing w:line="440" w:lineRule="exact"/>
        <w:ind w:firstLine="482" w:firstLineChars="200"/>
        <w:rPr>
          <w:b/>
          <w:sz w:val="24"/>
          <w:highlight w:val="none"/>
        </w:rPr>
      </w:pPr>
      <w:r>
        <w:rPr>
          <w:b/>
          <w:bCs/>
          <w:sz w:val="24"/>
          <w:highlight w:val="none"/>
        </w:rPr>
        <w:t>3.</w:t>
      </w:r>
      <w:r>
        <w:rPr>
          <w:b/>
          <w:sz w:val="24"/>
          <w:highlight w:val="none"/>
        </w:rPr>
        <w:t>3 评分办法</w:t>
      </w:r>
    </w:p>
    <w:p w14:paraId="1FCF9946">
      <w:pPr>
        <w:adjustRightInd w:val="0"/>
        <w:snapToGrid w:val="0"/>
        <w:spacing w:line="440" w:lineRule="exact"/>
        <w:ind w:firstLine="480" w:firstLineChars="200"/>
        <w:rPr>
          <w:bCs/>
          <w:sz w:val="24"/>
          <w:highlight w:val="none"/>
        </w:rPr>
      </w:pPr>
      <w:r>
        <w:rPr>
          <w:bCs/>
          <w:sz w:val="24"/>
          <w:highlight w:val="none"/>
        </w:rPr>
        <w:t>3.3.1经济标（</w:t>
      </w:r>
      <w:r>
        <w:rPr>
          <w:rFonts w:hint="eastAsia"/>
          <w:bCs/>
          <w:sz w:val="24"/>
          <w:highlight w:val="none"/>
          <w:lang w:val="en-US" w:eastAsia="zh-CN"/>
        </w:rPr>
        <w:t>1</w:t>
      </w:r>
      <w:r>
        <w:rPr>
          <w:bCs/>
          <w:sz w:val="24"/>
          <w:highlight w:val="none"/>
        </w:rPr>
        <w:t>0分）</w:t>
      </w:r>
    </w:p>
    <w:p w14:paraId="147F627C">
      <w:pPr>
        <w:adjustRightInd w:val="0"/>
        <w:snapToGrid w:val="0"/>
        <w:spacing w:line="440" w:lineRule="exact"/>
        <w:ind w:firstLine="480" w:firstLineChars="200"/>
        <w:rPr>
          <w:bCs/>
          <w:sz w:val="24"/>
          <w:highlight w:val="none"/>
        </w:rPr>
      </w:pPr>
      <w:r>
        <w:rPr>
          <w:bCs/>
          <w:sz w:val="24"/>
          <w:highlight w:val="none"/>
        </w:rPr>
        <w:t>3.3.2商务</w:t>
      </w:r>
      <w:r>
        <w:rPr>
          <w:rFonts w:hint="eastAsia"/>
          <w:bCs/>
          <w:sz w:val="24"/>
          <w:highlight w:val="none"/>
        </w:rPr>
        <w:t>及技术</w:t>
      </w:r>
      <w:r>
        <w:rPr>
          <w:bCs/>
          <w:sz w:val="24"/>
          <w:highlight w:val="none"/>
        </w:rPr>
        <w:t>标（</w:t>
      </w:r>
      <w:r>
        <w:rPr>
          <w:rFonts w:hint="eastAsia"/>
          <w:bCs/>
          <w:sz w:val="24"/>
          <w:highlight w:val="none"/>
          <w:lang w:val="en-US" w:eastAsia="zh-CN"/>
        </w:rPr>
        <w:t>9</w:t>
      </w:r>
      <w:r>
        <w:rPr>
          <w:bCs/>
          <w:sz w:val="24"/>
          <w:highlight w:val="none"/>
        </w:rPr>
        <w:t>0分）</w:t>
      </w:r>
    </w:p>
    <w:p w14:paraId="0381FDE9">
      <w:pPr>
        <w:adjustRightInd w:val="0"/>
        <w:snapToGrid w:val="0"/>
        <w:spacing w:line="440" w:lineRule="exact"/>
        <w:ind w:firstLine="482" w:firstLineChars="200"/>
        <w:rPr>
          <w:b/>
          <w:sz w:val="24"/>
          <w:highlight w:val="none"/>
        </w:rPr>
      </w:pPr>
      <w:r>
        <w:rPr>
          <w:b/>
          <w:sz w:val="24"/>
          <w:highlight w:val="none"/>
        </w:rPr>
        <w:t>3.3.4价格调整原则</w:t>
      </w:r>
    </w:p>
    <w:p w14:paraId="6921A6E7">
      <w:pPr>
        <w:adjustRightInd w:val="0"/>
        <w:snapToGrid w:val="0"/>
        <w:spacing w:line="440" w:lineRule="exact"/>
        <w:ind w:firstLine="480" w:firstLineChars="200"/>
        <w:rPr>
          <w:sz w:val="24"/>
          <w:highlight w:val="none"/>
        </w:rPr>
      </w:pPr>
      <w:r>
        <w:rPr>
          <w:sz w:val="24"/>
          <w:highlight w:val="none"/>
        </w:rPr>
        <w:t>1）投标人的报价必须包含所有服务内容。</w:t>
      </w:r>
    </w:p>
    <w:p w14:paraId="67017A19">
      <w:pPr>
        <w:adjustRightInd w:val="0"/>
        <w:snapToGrid w:val="0"/>
        <w:spacing w:line="440" w:lineRule="exact"/>
        <w:ind w:firstLine="480" w:firstLineChars="200"/>
        <w:rPr>
          <w:sz w:val="24"/>
          <w:highlight w:val="none"/>
        </w:rPr>
      </w:pPr>
      <w:r>
        <w:rPr>
          <w:sz w:val="24"/>
          <w:highlight w:val="none"/>
        </w:rPr>
        <w:t>2）投标人报价如有漏项，则须将其他投标人报价中该项价格的最高价加计入该投标人的投标总价。</w:t>
      </w:r>
    </w:p>
    <w:p w14:paraId="07CAA95F">
      <w:pPr>
        <w:adjustRightInd w:val="0"/>
        <w:snapToGrid w:val="0"/>
        <w:spacing w:line="440" w:lineRule="exact"/>
        <w:ind w:firstLine="480" w:firstLineChars="200"/>
        <w:rPr>
          <w:sz w:val="24"/>
          <w:highlight w:val="none"/>
        </w:rPr>
      </w:pPr>
      <w:r>
        <w:rPr>
          <w:sz w:val="24"/>
          <w:highlight w:val="none"/>
        </w:rPr>
        <w:t>3）调整后的价格作为投标人的评标价。根据评标价测算各投标人的经济标分值。</w:t>
      </w:r>
    </w:p>
    <w:p w14:paraId="0BDC9B44">
      <w:pPr>
        <w:adjustRightInd w:val="0"/>
        <w:snapToGrid w:val="0"/>
        <w:spacing w:line="440" w:lineRule="exact"/>
        <w:ind w:firstLine="482" w:firstLineChars="200"/>
        <w:rPr>
          <w:sz w:val="24"/>
          <w:highlight w:val="none"/>
        </w:rPr>
      </w:pPr>
      <w:r>
        <w:rPr>
          <w:b/>
          <w:sz w:val="24"/>
          <w:highlight w:val="none"/>
        </w:rPr>
        <w:t>3.3.</w:t>
      </w:r>
      <w:r>
        <w:rPr>
          <w:rFonts w:hint="eastAsia"/>
          <w:b/>
          <w:sz w:val="24"/>
          <w:highlight w:val="none"/>
        </w:rPr>
        <w:t>5</w:t>
      </w:r>
      <w:r>
        <w:rPr>
          <w:b/>
          <w:sz w:val="24"/>
          <w:highlight w:val="none"/>
        </w:rPr>
        <w:t>经济标不设标底，依照如下标准计算商务标得分：</w:t>
      </w:r>
    </w:p>
    <w:p w14:paraId="360C6293">
      <w:pPr>
        <w:adjustRightInd w:val="0"/>
        <w:snapToGrid w:val="0"/>
        <w:spacing w:line="440" w:lineRule="exact"/>
        <w:ind w:firstLine="480" w:firstLineChars="200"/>
        <w:rPr>
          <w:sz w:val="24"/>
        </w:rPr>
      </w:pPr>
      <w:r>
        <w:rPr>
          <w:sz w:val="24"/>
        </w:rPr>
        <w:t>1</w:t>
      </w:r>
      <w:r>
        <w:rPr>
          <w:rFonts w:hint="eastAsia"/>
          <w:sz w:val="24"/>
        </w:rPr>
        <w:t>）</w:t>
      </w:r>
      <w:r>
        <w:rPr>
          <w:sz w:val="24"/>
        </w:rPr>
        <w:t>基准价为合理低价，即满足招标文件要求且投标价格最低的投标报价为评标基准价，其价格分为满分。其他投标投标人的价格分统一按照下列公式计算：</w:t>
      </w:r>
    </w:p>
    <w:p w14:paraId="09CA4413">
      <w:pPr>
        <w:adjustRightInd w:val="0"/>
        <w:snapToGrid w:val="0"/>
        <w:spacing w:line="440" w:lineRule="exact"/>
        <w:ind w:firstLine="480" w:firstLineChars="200"/>
        <w:rPr>
          <w:sz w:val="24"/>
          <w:highlight w:val="none"/>
        </w:rPr>
      </w:pPr>
      <w:r>
        <w:rPr>
          <w:sz w:val="24"/>
        </w:rPr>
        <w:t>投标报价得分=</w:t>
      </w:r>
      <w:r>
        <w:rPr>
          <w:rFonts w:hint="eastAsia"/>
          <w:sz w:val="24"/>
        </w:rPr>
        <w:t>（</w:t>
      </w:r>
      <w:r>
        <w:rPr>
          <w:sz w:val="24"/>
        </w:rPr>
        <w:t>评标基准价／投标报价</w:t>
      </w:r>
      <w:r>
        <w:rPr>
          <w:rFonts w:hint="eastAsia"/>
          <w:sz w:val="24"/>
        </w:rPr>
        <w:t>）</w:t>
      </w:r>
      <w:r>
        <w:rPr>
          <w:sz w:val="24"/>
        </w:rPr>
        <w:t>×价格分值×100%</w:t>
      </w:r>
      <w:r>
        <w:rPr>
          <w:sz w:val="24"/>
          <w:highlight w:val="none"/>
        </w:rPr>
        <w:t xml:space="preserve"> </w:t>
      </w:r>
    </w:p>
    <w:p w14:paraId="3CEF7944">
      <w:pPr>
        <w:adjustRightInd w:val="0"/>
        <w:snapToGrid w:val="0"/>
        <w:spacing w:line="440" w:lineRule="exact"/>
        <w:ind w:firstLine="480" w:firstLineChars="200"/>
        <w:rPr>
          <w:sz w:val="24"/>
          <w:highlight w:val="none"/>
        </w:rPr>
      </w:pPr>
      <w:r>
        <w:rPr>
          <w:sz w:val="24"/>
          <w:highlight w:val="none"/>
        </w:rPr>
        <w:t>结果保留两位小数。</w:t>
      </w:r>
    </w:p>
    <w:p w14:paraId="3F7F6644">
      <w:pPr>
        <w:adjustRightInd w:val="0"/>
        <w:snapToGrid w:val="0"/>
        <w:spacing w:line="440" w:lineRule="exact"/>
        <w:ind w:firstLine="480" w:firstLineChars="200"/>
        <w:rPr>
          <w:sz w:val="24"/>
          <w:highlight w:val="none"/>
        </w:rPr>
      </w:pPr>
      <w:r>
        <w:rPr>
          <w:sz w:val="24"/>
          <w:highlight w:val="none"/>
        </w:rPr>
        <w:t>2</w:t>
      </w:r>
      <w:r>
        <w:rPr>
          <w:rFonts w:hint="eastAsia"/>
          <w:sz w:val="24"/>
          <w:highlight w:val="none"/>
        </w:rPr>
        <w:t>）</w:t>
      </w:r>
      <w:r>
        <w:rPr>
          <w:sz w:val="24"/>
          <w:highlight w:val="none"/>
        </w:rPr>
        <w:t>如果得分为负分时</w:t>
      </w:r>
      <w:r>
        <w:rPr>
          <w:rFonts w:hint="eastAsia"/>
          <w:sz w:val="24"/>
          <w:highlight w:val="none"/>
        </w:rPr>
        <w:t>，</w:t>
      </w:r>
      <w:r>
        <w:rPr>
          <w:sz w:val="24"/>
          <w:highlight w:val="none"/>
        </w:rPr>
        <w:t>按零分计。</w:t>
      </w:r>
    </w:p>
    <w:p w14:paraId="09BEC4AA">
      <w:pPr>
        <w:spacing w:line="360" w:lineRule="auto"/>
        <w:rPr>
          <w:rFonts w:hint="eastAsia" w:eastAsia="宋体"/>
          <w:b/>
          <w:sz w:val="24"/>
          <w:highlight w:val="none"/>
          <w:lang w:eastAsia="zh-CN"/>
        </w:rPr>
      </w:pPr>
      <w:r>
        <w:rPr>
          <w:b/>
          <w:sz w:val="24"/>
          <w:highlight w:val="none"/>
        </w:rPr>
        <w:t>附表1：</w:t>
      </w:r>
      <w:r>
        <w:rPr>
          <w:rFonts w:hint="eastAsia"/>
          <w:b/>
          <w:sz w:val="24"/>
          <w:highlight w:val="none"/>
          <w:lang w:eastAsia="zh-CN"/>
        </w:rPr>
        <w:t>资格审查表</w:t>
      </w:r>
    </w:p>
    <w:tbl>
      <w:tblPr>
        <w:tblStyle w:val="25"/>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8958"/>
      </w:tblGrid>
      <w:tr w14:paraId="1FC69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jc w:val="center"/>
        </w:trPr>
        <w:tc>
          <w:tcPr>
            <w:tcW w:w="807" w:type="dxa"/>
            <w:vAlign w:val="center"/>
          </w:tcPr>
          <w:p w14:paraId="62B6AE53">
            <w:pPr>
              <w:snapToGrid w:val="0"/>
              <w:jc w:val="center"/>
              <w:rPr>
                <w:b/>
                <w:sz w:val="24"/>
                <w:highlight w:val="none"/>
              </w:rPr>
            </w:pPr>
            <w:r>
              <w:rPr>
                <w:b/>
                <w:sz w:val="24"/>
                <w:highlight w:val="none"/>
              </w:rPr>
              <w:t>序号</w:t>
            </w:r>
          </w:p>
        </w:tc>
        <w:tc>
          <w:tcPr>
            <w:tcW w:w="8958" w:type="dxa"/>
            <w:vAlign w:val="center"/>
          </w:tcPr>
          <w:p w14:paraId="60011EBE">
            <w:pPr>
              <w:snapToGrid w:val="0"/>
              <w:jc w:val="center"/>
              <w:rPr>
                <w:b/>
                <w:sz w:val="24"/>
                <w:highlight w:val="none"/>
              </w:rPr>
            </w:pPr>
            <w:r>
              <w:rPr>
                <w:b/>
                <w:bCs/>
                <w:sz w:val="24"/>
                <w:highlight w:val="none"/>
              </w:rPr>
              <w:t>检查项目</w:t>
            </w:r>
          </w:p>
        </w:tc>
      </w:tr>
      <w:tr w14:paraId="33735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jc w:val="center"/>
        </w:trPr>
        <w:tc>
          <w:tcPr>
            <w:tcW w:w="807" w:type="dxa"/>
            <w:vAlign w:val="center"/>
          </w:tcPr>
          <w:p w14:paraId="4634D009">
            <w:pPr>
              <w:snapToGrid w:val="0"/>
              <w:jc w:val="center"/>
              <w:rPr>
                <w:rFonts w:hint="eastAsia" w:eastAsia="宋体"/>
                <w:b/>
                <w:sz w:val="24"/>
                <w:highlight w:val="none"/>
                <w:lang w:val="en-US" w:eastAsia="zh-CN"/>
              </w:rPr>
            </w:pPr>
            <w:r>
              <w:rPr>
                <w:rFonts w:hint="eastAsia"/>
                <w:b/>
                <w:sz w:val="24"/>
                <w:highlight w:val="none"/>
                <w:lang w:val="en-US" w:eastAsia="zh-CN"/>
              </w:rPr>
              <w:t>1</w:t>
            </w:r>
          </w:p>
        </w:tc>
        <w:tc>
          <w:tcPr>
            <w:tcW w:w="8958" w:type="dxa"/>
            <w:vAlign w:val="center"/>
          </w:tcPr>
          <w:p w14:paraId="45936B81">
            <w:pPr>
              <w:snapToGrid w:val="0"/>
              <w:jc w:val="left"/>
              <w:rPr>
                <w:rFonts w:hint="eastAsia" w:eastAsia="宋体"/>
                <w:b/>
                <w:bCs/>
                <w:sz w:val="24"/>
                <w:highlight w:val="none"/>
                <w:lang w:eastAsia="zh-CN"/>
              </w:rPr>
            </w:pPr>
            <w:r>
              <w:rPr>
                <w:rFonts w:hint="eastAsia" w:cs="宋体"/>
                <w:color w:val="333333"/>
                <w:sz w:val="24"/>
                <w:szCs w:val="24"/>
                <w:highlight w:val="none"/>
                <w:shd w:val="clear" w:color="auto" w:fill="FFFFFF"/>
                <w:lang w:val="en-US" w:eastAsia="zh-CN"/>
              </w:rPr>
              <w:t>本项目专门面向中小企业（提供</w:t>
            </w:r>
            <w:r>
              <w:rPr>
                <w:rFonts w:hint="eastAsia" w:ascii="宋体" w:hAnsi="宋体" w:cs="宋体"/>
                <w:sz w:val="24"/>
                <w:highlight w:val="none"/>
              </w:rPr>
              <w:t>中小企业声明函</w:t>
            </w:r>
            <w:r>
              <w:rPr>
                <w:rFonts w:hint="eastAsia" w:ascii="宋体" w:hAnsi="宋体" w:cs="宋体"/>
                <w:sz w:val="24"/>
                <w:highlight w:val="none"/>
                <w:lang w:eastAsia="zh-CN"/>
              </w:rPr>
              <w:t>）</w:t>
            </w:r>
          </w:p>
        </w:tc>
      </w:tr>
      <w:tr w14:paraId="2D86F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807" w:type="dxa"/>
            <w:vAlign w:val="center"/>
          </w:tcPr>
          <w:p w14:paraId="532814C9">
            <w:pPr>
              <w:ind w:firstLine="232" w:firstLineChars="97"/>
              <w:rPr>
                <w:rFonts w:hint="eastAsia" w:eastAsia="宋体"/>
                <w:b/>
                <w:sz w:val="24"/>
                <w:highlight w:val="none"/>
                <w:lang w:eastAsia="zh-CN"/>
              </w:rPr>
            </w:pPr>
            <w:r>
              <w:rPr>
                <w:rFonts w:hint="eastAsia"/>
                <w:sz w:val="24"/>
                <w:highlight w:val="none"/>
                <w:lang w:val="en-US" w:eastAsia="zh-CN"/>
              </w:rPr>
              <w:t>2</w:t>
            </w:r>
          </w:p>
        </w:tc>
        <w:tc>
          <w:tcPr>
            <w:tcW w:w="8958" w:type="dxa"/>
            <w:vAlign w:val="center"/>
          </w:tcPr>
          <w:p w14:paraId="755A47E0">
            <w:pPr>
              <w:rPr>
                <w:b/>
                <w:bCs/>
                <w:sz w:val="24"/>
                <w:highlight w:val="none"/>
              </w:rPr>
            </w:pPr>
            <w:r>
              <w:rPr>
                <w:rFonts w:hint="eastAsia" w:ascii="Times New Roman" w:hAnsi="Times New Roman" w:eastAsia="宋体" w:cs="Times New Roman"/>
                <w:sz w:val="24"/>
                <w:highlight w:val="none"/>
                <w:lang w:eastAsia="zh-CN"/>
              </w:rPr>
              <w:t>有效经年检的营业执照；</w:t>
            </w:r>
          </w:p>
        </w:tc>
      </w:tr>
      <w:tr w14:paraId="6A21A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07" w:type="dxa"/>
            <w:vAlign w:val="center"/>
          </w:tcPr>
          <w:p w14:paraId="2434E5AF">
            <w:pPr>
              <w:ind w:firstLine="232" w:firstLineChars="97"/>
              <w:rPr>
                <w:rFonts w:hint="eastAsia" w:eastAsia="宋体"/>
                <w:sz w:val="24"/>
                <w:highlight w:val="none"/>
                <w:lang w:val="en-US" w:eastAsia="zh-CN"/>
              </w:rPr>
            </w:pPr>
            <w:r>
              <w:rPr>
                <w:rFonts w:hint="eastAsia"/>
                <w:sz w:val="24"/>
                <w:highlight w:val="none"/>
                <w:lang w:val="en-US" w:eastAsia="zh-CN"/>
              </w:rPr>
              <w:t>3</w:t>
            </w:r>
          </w:p>
        </w:tc>
        <w:tc>
          <w:tcPr>
            <w:tcW w:w="8958" w:type="dxa"/>
            <w:vAlign w:val="center"/>
          </w:tcPr>
          <w:p w14:paraId="05FEAA92">
            <w:pPr>
              <w:rPr>
                <w:rFonts w:hint="eastAsia" w:ascii="Times New Roman" w:hAnsi="Times New Roman" w:cs="Times New Roman"/>
                <w:sz w:val="24"/>
                <w:highlight w:val="none"/>
              </w:rPr>
            </w:pPr>
            <w:r>
              <w:rPr>
                <w:rFonts w:hint="eastAsia" w:ascii="Times New Roman" w:hAnsi="Times New Roman" w:eastAsia="宋体" w:cs="Times New Roman"/>
                <w:sz w:val="24"/>
                <w:highlight w:val="none"/>
                <w:lang w:eastAsia="zh-CN"/>
              </w:rPr>
              <w:t>法人身份证明（投标代表为法人时）或法人授权委托书、被授权人身份证和法人身份证；</w:t>
            </w:r>
          </w:p>
        </w:tc>
      </w:tr>
      <w:tr w14:paraId="306E7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07" w:type="dxa"/>
            <w:vAlign w:val="center"/>
          </w:tcPr>
          <w:p w14:paraId="4BC7F618">
            <w:pPr>
              <w:ind w:firstLine="232" w:firstLineChars="97"/>
              <w:rPr>
                <w:rFonts w:hint="eastAsia" w:eastAsia="宋体"/>
                <w:sz w:val="24"/>
                <w:highlight w:val="none"/>
                <w:lang w:eastAsia="zh-CN"/>
              </w:rPr>
            </w:pPr>
            <w:r>
              <w:rPr>
                <w:rFonts w:hint="eastAsia"/>
                <w:sz w:val="24"/>
                <w:highlight w:val="none"/>
                <w:lang w:val="en-US" w:eastAsia="zh-CN"/>
              </w:rPr>
              <w:t>4</w:t>
            </w:r>
          </w:p>
        </w:tc>
        <w:tc>
          <w:tcPr>
            <w:tcW w:w="8958" w:type="dxa"/>
            <w:vAlign w:val="center"/>
          </w:tcPr>
          <w:p w14:paraId="13137345">
            <w:pPr>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有依法缴纳税收和社会保障资金的良好纪录，提供202</w:t>
            </w:r>
            <w:r>
              <w:rPr>
                <w:rFonts w:hint="eastAsia" w:cs="Times New Roman"/>
                <w:sz w:val="24"/>
                <w:highlight w:val="none"/>
                <w:lang w:val="en-US" w:eastAsia="zh-CN"/>
              </w:rPr>
              <w:t>6</w:t>
            </w:r>
            <w:r>
              <w:rPr>
                <w:rFonts w:hint="eastAsia" w:ascii="Times New Roman" w:hAnsi="Times New Roman" w:eastAsia="宋体" w:cs="Times New Roman"/>
                <w:sz w:val="24"/>
                <w:highlight w:val="none"/>
                <w:lang w:val="en-US" w:eastAsia="zh-CN"/>
              </w:rPr>
              <w:t>年内任意一个月完税、缴纳社保证明原件或复印件加盖公章（公司成立不到三个月的从成立之日起）</w:t>
            </w:r>
            <w:r>
              <w:rPr>
                <w:rFonts w:hint="eastAsia" w:ascii="Times New Roman" w:hAnsi="Times New Roman" w:eastAsia="宋体" w:cs="Times New Roman"/>
                <w:sz w:val="24"/>
                <w:highlight w:val="none"/>
                <w:lang w:eastAsia="zh-CN"/>
              </w:rPr>
              <w:t>；</w:t>
            </w:r>
          </w:p>
        </w:tc>
      </w:tr>
      <w:tr w14:paraId="11900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807" w:type="dxa"/>
            <w:vAlign w:val="center"/>
          </w:tcPr>
          <w:p w14:paraId="0F22C963">
            <w:pPr>
              <w:ind w:firstLine="232" w:firstLineChars="97"/>
              <w:rPr>
                <w:rFonts w:hint="default"/>
                <w:sz w:val="24"/>
                <w:highlight w:val="none"/>
                <w:lang w:val="en-US" w:eastAsia="zh-CN"/>
              </w:rPr>
            </w:pPr>
            <w:r>
              <w:rPr>
                <w:rFonts w:hint="eastAsia"/>
                <w:sz w:val="24"/>
                <w:highlight w:val="none"/>
                <w:lang w:val="en-US" w:eastAsia="zh-CN"/>
              </w:rPr>
              <w:t>5</w:t>
            </w:r>
          </w:p>
        </w:tc>
        <w:tc>
          <w:tcPr>
            <w:tcW w:w="8958" w:type="dxa"/>
            <w:vAlign w:val="center"/>
          </w:tcPr>
          <w:p w14:paraId="780D1D65">
            <w:pPr>
              <w:rPr>
                <w:rFonts w:hint="eastAsia" w:ascii="Times New Roman" w:hAnsi="Times New Roman" w:eastAsia="宋体" w:cs="Times New Roman"/>
                <w:sz w:val="24"/>
                <w:highlight w:val="none"/>
                <w:lang w:eastAsia="zh-CN"/>
              </w:rPr>
            </w:pPr>
            <w:r>
              <w:rPr>
                <w:rFonts w:hint="eastAsia" w:ascii="Times New Roman" w:eastAsia="宋体"/>
                <w:color w:val="000000" w:themeColor="text1"/>
                <w:sz w:val="24"/>
                <w:szCs w:val="24"/>
                <w:highlight w:val="none"/>
                <w:lang w:val="en-US" w:eastAsia="zh-CN"/>
                <w14:textFill>
                  <w14:solidFill>
                    <w14:schemeClr w14:val="tx1"/>
                  </w14:solidFill>
                </w14:textFill>
              </w:rPr>
              <w:t>提供2023年至2025年任意一年的财务审计报告或财务报表</w:t>
            </w:r>
            <w:r>
              <w:rPr>
                <w:rFonts w:hint="eastAsia" w:ascii="Times New Roman" w:hAnsi="Times New Roman" w:eastAsia="宋体" w:cs="Times New Roman"/>
                <w:sz w:val="24"/>
                <w:highlight w:val="none"/>
                <w:lang w:val="en-US" w:eastAsia="zh-CN"/>
              </w:rPr>
              <w:t>（成立不足一年的提供成立至今的财务报表，包含资产负债表、现金流量表、利润表）；</w:t>
            </w:r>
          </w:p>
        </w:tc>
      </w:tr>
      <w:tr w14:paraId="3D395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07" w:type="dxa"/>
            <w:vAlign w:val="center"/>
          </w:tcPr>
          <w:p w14:paraId="70DDA772">
            <w:pPr>
              <w:ind w:firstLine="232" w:firstLineChars="97"/>
              <w:rPr>
                <w:rFonts w:hint="default"/>
                <w:sz w:val="24"/>
                <w:highlight w:val="none"/>
                <w:lang w:val="en-US" w:eastAsia="zh-CN"/>
              </w:rPr>
            </w:pPr>
            <w:r>
              <w:rPr>
                <w:rFonts w:hint="eastAsia"/>
                <w:sz w:val="24"/>
                <w:highlight w:val="none"/>
                <w:lang w:val="en-US" w:eastAsia="zh-CN"/>
              </w:rPr>
              <w:t>6</w:t>
            </w:r>
          </w:p>
        </w:tc>
        <w:tc>
          <w:tcPr>
            <w:tcW w:w="8958" w:type="dxa"/>
            <w:vAlign w:val="center"/>
          </w:tcPr>
          <w:p w14:paraId="17C65AF3">
            <w:pPr>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未被信用中国（www.creditchina.gov.cn）、中国政府采购网（www.ccgp.gov.cn）、列入失信被执行人、重大税收违法案件当事人名单、政府采购严重违法失信行为记录名单；</w:t>
            </w:r>
            <w:r>
              <w:rPr>
                <w:rFonts w:hint="eastAsia" w:cs="Times New Roman"/>
                <w:sz w:val="24"/>
                <w:highlight w:val="none"/>
                <w:lang w:val="en-US" w:eastAsia="zh-CN"/>
              </w:rPr>
              <w:t>（由招标人或评标委员会自行在相关网站查询）</w:t>
            </w:r>
          </w:p>
        </w:tc>
      </w:tr>
      <w:tr w14:paraId="06935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07" w:type="dxa"/>
            <w:vAlign w:val="center"/>
          </w:tcPr>
          <w:p w14:paraId="465AC531">
            <w:pPr>
              <w:ind w:firstLine="232" w:firstLineChars="97"/>
              <w:rPr>
                <w:rFonts w:hint="default"/>
                <w:sz w:val="24"/>
                <w:highlight w:val="none"/>
                <w:lang w:val="en-US" w:eastAsia="zh-CN"/>
              </w:rPr>
            </w:pPr>
            <w:r>
              <w:rPr>
                <w:rFonts w:hint="eastAsia"/>
                <w:sz w:val="24"/>
                <w:highlight w:val="none"/>
                <w:lang w:val="en-US" w:eastAsia="zh-CN"/>
              </w:rPr>
              <w:t>7</w:t>
            </w:r>
          </w:p>
        </w:tc>
        <w:tc>
          <w:tcPr>
            <w:tcW w:w="8958" w:type="dxa"/>
            <w:vAlign w:val="center"/>
          </w:tcPr>
          <w:p w14:paraId="690DBDD5">
            <w:pPr>
              <w:rPr>
                <w:rFonts w:hint="eastAsia" w:ascii="Times New Roman" w:hAnsi="Times New Roman" w:eastAsia="宋体" w:cs="Times New Roman"/>
                <w:sz w:val="24"/>
                <w:highlight w:val="none"/>
                <w:lang w:eastAsia="zh-CN"/>
              </w:rPr>
            </w:pPr>
            <w:r>
              <w:rPr>
                <w:rFonts w:hint="eastAsia" w:ascii="宋体" w:hAnsi="宋体" w:eastAsia="宋体" w:cs="宋体"/>
                <w:sz w:val="24"/>
                <w:highlight w:val="none"/>
                <w:lang w:val="en-US" w:eastAsia="zh-CN"/>
              </w:rPr>
              <w:t>与采购人存在利害关系可能影响采购公正性的单位，不得参加</w:t>
            </w:r>
            <w:r>
              <w:rPr>
                <w:rFonts w:hint="eastAsia" w:ascii="宋体" w:hAnsi="宋体" w:cs="宋体"/>
                <w:sz w:val="24"/>
                <w:highlight w:val="none"/>
                <w:lang w:val="en-US" w:eastAsia="zh-CN"/>
              </w:rPr>
              <w:t>投标</w:t>
            </w:r>
            <w:r>
              <w:rPr>
                <w:rFonts w:hint="eastAsia" w:ascii="宋体" w:hAnsi="宋体" w:eastAsia="宋体" w:cs="宋体"/>
                <w:sz w:val="24"/>
                <w:highlight w:val="none"/>
                <w:lang w:val="en-US" w:eastAsia="zh-CN"/>
              </w:rPr>
              <w:t>。单位负责人为同一人或者存在直接控股、管理关系的不同供应商，不得参加同一合同项下的政府采购活动，否则，相关</w:t>
            </w:r>
            <w:r>
              <w:rPr>
                <w:rFonts w:hint="eastAsia" w:ascii="宋体" w:hAnsi="宋体" w:cs="宋体"/>
                <w:sz w:val="24"/>
                <w:highlight w:val="none"/>
                <w:lang w:val="en-US" w:eastAsia="zh-CN"/>
              </w:rPr>
              <w:t>投标</w:t>
            </w:r>
            <w:r>
              <w:rPr>
                <w:rFonts w:hint="eastAsia" w:ascii="宋体" w:hAnsi="宋体" w:eastAsia="宋体" w:cs="宋体"/>
                <w:sz w:val="24"/>
                <w:highlight w:val="none"/>
                <w:lang w:val="en-US" w:eastAsia="zh-CN"/>
              </w:rPr>
              <w:t>均无效。</w:t>
            </w:r>
            <w:r>
              <w:rPr>
                <w:rFonts w:hint="eastAsia" w:cs="Times New Roman"/>
                <w:sz w:val="24"/>
                <w:highlight w:val="none"/>
                <w:lang w:val="en-US" w:eastAsia="zh-CN"/>
              </w:rPr>
              <w:t>（可</w:t>
            </w:r>
            <w:r>
              <w:rPr>
                <w:rFonts w:hint="eastAsia" w:ascii="宋体" w:hAnsi="宋体" w:eastAsia="宋体" w:cs="宋体"/>
                <w:sz w:val="24"/>
                <w:szCs w:val="24"/>
                <w:highlight w:val="none"/>
                <w:lang w:val="en-US" w:eastAsia="zh-CN"/>
              </w:rPr>
              <w:t>提供承诺函格式自拟）</w:t>
            </w:r>
          </w:p>
        </w:tc>
      </w:tr>
    </w:tbl>
    <w:p w14:paraId="493392CB">
      <w:pPr>
        <w:spacing w:line="360" w:lineRule="auto"/>
        <w:rPr>
          <w:b/>
          <w:sz w:val="24"/>
          <w:highlight w:val="none"/>
        </w:rPr>
      </w:pPr>
    </w:p>
    <w:p w14:paraId="4140F055">
      <w:pPr>
        <w:spacing w:line="360" w:lineRule="auto"/>
        <w:rPr>
          <w:rFonts w:hint="eastAsia" w:eastAsia="宋体"/>
          <w:b/>
          <w:bCs/>
          <w:sz w:val="24"/>
          <w:highlight w:val="none"/>
          <w:lang w:eastAsia="zh-CN"/>
        </w:rPr>
      </w:pPr>
      <w:r>
        <w:rPr>
          <w:b/>
          <w:sz w:val="24"/>
          <w:highlight w:val="none"/>
        </w:rPr>
        <w:t>附表</w:t>
      </w:r>
      <w:r>
        <w:rPr>
          <w:rFonts w:hint="eastAsia"/>
          <w:b/>
          <w:sz w:val="24"/>
          <w:highlight w:val="none"/>
          <w:lang w:val="en-US" w:eastAsia="zh-CN"/>
        </w:rPr>
        <w:t>2</w:t>
      </w:r>
      <w:r>
        <w:rPr>
          <w:b/>
          <w:sz w:val="24"/>
          <w:highlight w:val="none"/>
        </w:rPr>
        <w:t>：</w:t>
      </w:r>
      <w:r>
        <w:rPr>
          <w:rFonts w:hint="eastAsia"/>
          <w:b/>
          <w:bCs/>
          <w:sz w:val="24"/>
          <w:highlight w:val="none"/>
          <w:lang w:eastAsia="zh-CN"/>
        </w:rPr>
        <w:t>符合性审查表</w:t>
      </w:r>
    </w:p>
    <w:tbl>
      <w:tblPr>
        <w:tblStyle w:val="25"/>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
        <w:gridCol w:w="8928"/>
      </w:tblGrid>
      <w:tr w14:paraId="2A09A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837" w:type="dxa"/>
            <w:vAlign w:val="center"/>
          </w:tcPr>
          <w:p w14:paraId="15965929">
            <w:pPr>
              <w:snapToGrid w:val="0"/>
              <w:jc w:val="center"/>
              <w:rPr>
                <w:b/>
                <w:sz w:val="24"/>
                <w:highlight w:val="none"/>
              </w:rPr>
            </w:pPr>
            <w:r>
              <w:rPr>
                <w:b/>
                <w:sz w:val="24"/>
                <w:highlight w:val="none"/>
              </w:rPr>
              <w:t>序号</w:t>
            </w:r>
          </w:p>
        </w:tc>
        <w:tc>
          <w:tcPr>
            <w:tcW w:w="8928" w:type="dxa"/>
            <w:vAlign w:val="center"/>
          </w:tcPr>
          <w:p w14:paraId="44F1EF87">
            <w:pPr>
              <w:snapToGrid w:val="0"/>
              <w:jc w:val="center"/>
              <w:rPr>
                <w:b/>
                <w:sz w:val="24"/>
                <w:highlight w:val="none"/>
              </w:rPr>
            </w:pPr>
            <w:r>
              <w:rPr>
                <w:b/>
                <w:bCs/>
                <w:sz w:val="24"/>
                <w:highlight w:val="none"/>
              </w:rPr>
              <w:t>检查项目</w:t>
            </w:r>
          </w:p>
        </w:tc>
      </w:tr>
      <w:tr w14:paraId="07A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37" w:type="dxa"/>
            <w:vAlign w:val="center"/>
          </w:tcPr>
          <w:p w14:paraId="58AAC370">
            <w:pPr>
              <w:ind w:firstLine="232" w:firstLineChars="97"/>
              <w:rPr>
                <w:sz w:val="24"/>
                <w:highlight w:val="none"/>
              </w:rPr>
            </w:pPr>
            <w:r>
              <w:rPr>
                <w:sz w:val="24"/>
                <w:highlight w:val="none"/>
              </w:rPr>
              <w:t>1</w:t>
            </w:r>
          </w:p>
        </w:tc>
        <w:tc>
          <w:tcPr>
            <w:tcW w:w="8928" w:type="dxa"/>
            <w:vAlign w:val="center"/>
          </w:tcPr>
          <w:p w14:paraId="50D8461E">
            <w:pPr>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是否只有一个有效报价且不超过预算金额。</w:t>
            </w:r>
          </w:p>
        </w:tc>
      </w:tr>
      <w:tr w14:paraId="3E775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37" w:type="dxa"/>
            <w:vAlign w:val="center"/>
          </w:tcPr>
          <w:p w14:paraId="78699361">
            <w:pPr>
              <w:ind w:firstLine="232" w:firstLineChars="97"/>
              <w:rPr>
                <w:rFonts w:hint="eastAsia" w:eastAsia="宋体"/>
                <w:sz w:val="24"/>
                <w:highlight w:val="none"/>
                <w:lang w:val="en-US" w:eastAsia="zh-CN"/>
              </w:rPr>
            </w:pPr>
            <w:r>
              <w:rPr>
                <w:rFonts w:hint="eastAsia"/>
                <w:sz w:val="24"/>
                <w:highlight w:val="none"/>
                <w:lang w:val="en-US" w:eastAsia="zh-CN"/>
              </w:rPr>
              <w:t>2</w:t>
            </w:r>
          </w:p>
        </w:tc>
        <w:tc>
          <w:tcPr>
            <w:tcW w:w="8928" w:type="dxa"/>
            <w:vAlign w:val="center"/>
          </w:tcPr>
          <w:p w14:paraId="4DA38B97">
            <w:pPr>
              <w:rPr>
                <w:rFonts w:hint="default" w:ascii="Times New Roman" w:hAnsi="Times New Roman" w:cs="Times New Roman"/>
                <w:sz w:val="24"/>
                <w:highlight w:val="none"/>
                <w:lang w:val="en-US" w:eastAsia="zh-CN"/>
              </w:rPr>
            </w:pPr>
            <w:r>
              <w:rPr>
                <w:rFonts w:hint="eastAsia" w:cs="Times New Roman"/>
                <w:sz w:val="24"/>
                <w:highlight w:val="none"/>
                <w:lang w:val="en-US" w:eastAsia="zh-CN"/>
              </w:rPr>
              <w:t>签章</w:t>
            </w:r>
            <w:r>
              <w:rPr>
                <w:rFonts w:hint="eastAsia"/>
                <w:sz w:val="24"/>
                <w:highlight w:val="none"/>
                <w:lang w:eastAsia="zh-CN"/>
              </w:rPr>
              <w:t>符合招标文件要求。</w:t>
            </w:r>
          </w:p>
        </w:tc>
      </w:tr>
      <w:tr w14:paraId="0B4EE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37" w:type="dxa"/>
            <w:vAlign w:val="center"/>
          </w:tcPr>
          <w:p w14:paraId="416FC7CE">
            <w:pPr>
              <w:ind w:firstLine="232" w:firstLineChars="97"/>
              <w:rPr>
                <w:rFonts w:hint="eastAsia" w:eastAsia="宋体"/>
                <w:sz w:val="24"/>
                <w:highlight w:val="none"/>
                <w:lang w:val="en-US" w:eastAsia="zh-CN"/>
              </w:rPr>
            </w:pPr>
            <w:r>
              <w:rPr>
                <w:rFonts w:hint="eastAsia"/>
                <w:sz w:val="24"/>
                <w:highlight w:val="none"/>
                <w:lang w:val="en-US" w:eastAsia="zh-CN"/>
              </w:rPr>
              <w:t>3</w:t>
            </w:r>
          </w:p>
        </w:tc>
        <w:tc>
          <w:tcPr>
            <w:tcW w:w="8928" w:type="dxa"/>
            <w:vAlign w:val="center"/>
          </w:tcPr>
          <w:p w14:paraId="22AF73BC">
            <w:pPr>
              <w:rPr>
                <w:rFonts w:hint="eastAsia" w:ascii="Times New Roman" w:hAnsi="Times New Roman" w:cs="Times New Roman"/>
                <w:sz w:val="24"/>
                <w:highlight w:val="none"/>
                <w:lang w:val="en-US" w:eastAsia="zh-CN"/>
              </w:rPr>
            </w:pPr>
            <w:r>
              <w:rPr>
                <w:sz w:val="24"/>
                <w:highlight w:val="none"/>
              </w:rPr>
              <w:t>投标保证金</w:t>
            </w:r>
            <w:r>
              <w:rPr>
                <w:rFonts w:hint="eastAsia" w:eastAsia="宋体"/>
                <w:sz w:val="24"/>
                <w:highlight w:val="none"/>
                <w:lang w:eastAsia="zh-CN"/>
              </w:rPr>
              <w:t>符合招标文件要求</w:t>
            </w:r>
            <w:r>
              <w:rPr>
                <w:rFonts w:hint="eastAsia"/>
                <w:sz w:val="24"/>
                <w:highlight w:val="none"/>
                <w:lang w:eastAsia="zh-CN"/>
              </w:rPr>
              <w:t>。</w:t>
            </w:r>
          </w:p>
        </w:tc>
      </w:tr>
      <w:tr w14:paraId="3E83A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37" w:type="dxa"/>
            <w:vAlign w:val="center"/>
          </w:tcPr>
          <w:p w14:paraId="623EE686">
            <w:pPr>
              <w:ind w:firstLine="232" w:firstLineChars="97"/>
              <w:rPr>
                <w:rFonts w:hint="eastAsia" w:eastAsia="宋体"/>
                <w:sz w:val="24"/>
                <w:highlight w:val="none"/>
                <w:lang w:val="en-US" w:eastAsia="zh-CN"/>
              </w:rPr>
            </w:pPr>
            <w:r>
              <w:rPr>
                <w:rFonts w:hint="eastAsia"/>
                <w:sz w:val="24"/>
                <w:highlight w:val="none"/>
                <w:lang w:val="en-US" w:eastAsia="zh-CN"/>
              </w:rPr>
              <w:t>4</w:t>
            </w:r>
          </w:p>
        </w:tc>
        <w:tc>
          <w:tcPr>
            <w:tcW w:w="8928" w:type="dxa"/>
            <w:vAlign w:val="center"/>
          </w:tcPr>
          <w:p w14:paraId="1DC3115F">
            <w:pPr>
              <w:rPr>
                <w:rFonts w:hint="default" w:ascii="Times New Roman" w:hAnsi="Times New Roman" w:cs="Times New Roman"/>
                <w:sz w:val="24"/>
                <w:highlight w:val="none"/>
                <w:lang w:val="en-US" w:eastAsia="zh-CN"/>
              </w:rPr>
            </w:pPr>
            <w:r>
              <w:rPr>
                <w:rFonts w:hint="eastAsia" w:cs="Times New Roman"/>
                <w:sz w:val="24"/>
                <w:highlight w:val="none"/>
                <w:lang w:val="en-US" w:eastAsia="zh-CN"/>
              </w:rPr>
              <w:t>服务内容</w:t>
            </w:r>
            <w:r>
              <w:rPr>
                <w:rFonts w:hint="eastAsia"/>
                <w:sz w:val="24"/>
                <w:highlight w:val="none"/>
                <w:lang w:eastAsia="zh-CN"/>
              </w:rPr>
              <w:t>符合招标文件要求。</w:t>
            </w:r>
          </w:p>
        </w:tc>
      </w:tr>
      <w:tr w14:paraId="27989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37" w:type="dxa"/>
            <w:vAlign w:val="center"/>
          </w:tcPr>
          <w:p w14:paraId="2EFAE6D1">
            <w:pPr>
              <w:ind w:firstLine="232" w:firstLineChars="97"/>
              <w:rPr>
                <w:rFonts w:hint="eastAsia" w:eastAsia="宋体"/>
                <w:sz w:val="24"/>
                <w:highlight w:val="none"/>
                <w:lang w:eastAsia="zh-CN"/>
              </w:rPr>
            </w:pPr>
            <w:r>
              <w:rPr>
                <w:rFonts w:hint="eastAsia"/>
                <w:sz w:val="24"/>
                <w:highlight w:val="none"/>
                <w:lang w:val="en-US" w:eastAsia="zh-CN"/>
              </w:rPr>
              <w:t>5</w:t>
            </w:r>
          </w:p>
        </w:tc>
        <w:tc>
          <w:tcPr>
            <w:tcW w:w="8928" w:type="dxa"/>
            <w:vAlign w:val="center"/>
          </w:tcPr>
          <w:p w14:paraId="6914325F">
            <w:pPr>
              <w:rPr>
                <w:rFonts w:hint="eastAsia" w:ascii="Times New Roman" w:hAnsi="Times New Roman" w:cs="Times New Roman"/>
                <w:sz w:val="24"/>
                <w:highlight w:val="none"/>
                <w:lang w:val="en-US" w:eastAsia="zh-CN"/>
              </w:rPr>
            </w:pPr>
            <w:r>
              <w:rPr>
                <w:rFonts w:hint="eastAsia" w:eastAsia="宋体"/>
                <w:sz w:val="24"/>
                <w:highlight w:val="none"/>
                <w:lang w:eastAsia="zh-CN"/>
              </w:rPr>
              <w:t>合同履行期限符合招标文件要求</w:t>
            </w:r>
            <w:r>
              <w:rPr>
                <w:rFonts w:hint="eastAsia"/>
                <w:sz w:val="24"/>
                <w:highlight w:val="none"/>
                <w:lang w:eastAsia="zh-CN"/>
              </w:rPr>
              <w:t>。</w:t>
            </w:r>
          </w:p>
        </w:tc>
      </w:tr>
      <w:tr w14:paraId="6A9D8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37" w:type="dxa"/>
            <w:vAlign w:val="center"/>
          </w:tcPr>
          <w:p w14:paraId="6ACB7C58">
            <w:pPr>
              <w:ind w:firstLine="232" w:firstLineChars="97"/>
              <w:rPr>
                <w:rFonts w:hint="eastAsia" w:eastAsia="宋体"/>
                <w:sz w:val="24"/>
                <w:highlight w:val="none"/>
                <w:lang w:eastAsia="zh-CN"/>
              </w:rPr>
            </w:pPr>
            <w:r>
              <w:rPr>
                <w:rFonts w:hint="eastAsia"/>
                <w:sz w:val="24"/>
                <w:highlight w:val="none"/>
                <w:lang w:val="en-US" w:eastAsia="zh-CN"/>
              </w:rPr>
              <w:t>6</w:t>
            </w:r>
          </w:p>
        </w:tc>
        <w:tc>
          <w:tcPr>
            <w:tcW w:w="8928" w:type="dxa"/>
            <w:vAlign w:val="center"/>
          </w:tcPr>
          <w:p w14:paraId="5629BB9D">
            <w:pPr>
              <w:rPr>
                <w:rFonts w:hint="eastAsia" w:eastAsia="宋体"/>
                <w:sz w:val="24"/>
                <w:highlight w:val="none"/>
                <w:lang w:eastAsia="zh-CN"/>
              </w:rPr>
            </w:pPr>
            <w:r>
              <w:rPr>
                <w:rFonts w:hint="eastAsia"/>
                <w:sz w:val="24"/>
                <w:highlight w:val="none"/>
                <w:lang w:eastAsia="zh-CN"/>
              </w:rPr>
              <w:t>投标有效期符合招标文件要求。</w:t>
            </w:r>
          </w:p>
        </w:tc>
      </w:tr>
      <w:tr w14:paraId="0B84E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37" w:type="dxa"/>
            <w:vAlign w:val="center"/>
          </w:tcPr>
          <w:p w14:paraId="32A40595">
            <w:pPr>
              <w:ind w:firstLine="232" w:firstLineChars="97"/>
              <w:rPr>
                <w:rFonts w:hint="default"/>
                <w:sz w:val="24"/>
                <w:highlight w:val="none"/>
                <w:lang w:val="en-US" w:eastAsia="zh-CN"/>
              </w:rPr>
            </w:pPr>
            <w:r>
              <w:rPr>
                <w:rFonts w:hint="eastAsia"/>
                <w:sz w:val="24"/>
                <w:highlight w:val="none"/>
                <w:lang w:val="en-US" w:eastAsia="zh-CN"/>
              </w:rPr>
              <w:t>7</w:t>
            </w:r>
          </w:p>
        </w:tc>
        <w:tc>
          <w:tcPr>
            <w:tcW w:w="8928" w:type="dxa"/>
            <w:vAlign w:val="center"/>
          </w:tcPr>
          <w:p w14:paraId="3B3A2E8C">
            <w:pPr>
              <w:rPr>
                <w:rFonts w:hint="default"/>
                <w:sz w:val="24"/>
                <w:highlight w:val="none"/>
                <w:lang w:val="en-US" w:eastAsia="zh-CN"/>
              </w:rPr>
            </w:pPr>
            <w:r>
              <w:rPr>
                <w:rFonts w:hint="eastAsia"/>
                <w:sz w:val="24"/>
                <w:highlight w:val="none"/>
                <w:lang w:val="en-US" w:eastAsia="zh-CN"/>
              </w:rPr>
              <w:t>质量要求</w:t>
            </w:r>
            <w:r>
              <w:rPr>
                <w:rFonts w:hint="eastAsia"/>
                <w:sz w:val="24"/>
                <w:highlight w:val="none"/>
                <w:lang w:eastAsia="zh-CN"/>
              </w:rPr>
              <w:t>符合招标文件要求。</w:t>
            </w:r>
          </w:p>
        </w:tc>
      </w:tr>
      <w:tr w14:paraId="60AC2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37" w:type="dxa"/>
            <w:vAlign w:val="center"/>
          </w:tcPr>
          <w:p w14:paraId="401B1103">
            <w:pPr>
              <w:ind w:firstLine="232" w:firstLineChars="97"/>
              <w:rPr>
                <w:rFonts w:hint="default"/>
                <w:sz w:val="24"/>
                <w:highlight w:val="none"/>
                <w:lang w:val="en-US" w:eastAsia="zh-CN"/>
              </w:rPr>
            </w:pPr>
            <w:r>
              <w:rPr>
                <w:rFonts w:hint="eastAsia"/>
                <w:sz w:val="24"/>
                <w:highlight w:val="none"/>
                <w:lang w:val="en-US" w:eastAsia="zh-CN"/>
              </w:rPr>
              <w:t>8</w:t>
            </w:r>
          </w:p>
        </w:tc>
        <w:tc>
          <w:tcPr>
            <w:tcW w:w="8928" w:type="dxa"/>
            <w:vAlign w:val="center"/>
          </w:tcPr>
          <w:p w14:paraId="55B11E9D">
            <w:pPr>
              <w:rPr>
                <w:rFonts w:hint="eastAsia"/>
                <w:sz w:val="24"/>
                <w:highlight w:val="none"/>
                <w:lang w:val="en-US" w:eastAsia="zh-CN"/>
              </w:rPr>
            </w:pPr>
            <w:r>
              <w:rPr>
                <w:rFonts w:hint="eastAsia"/>
                <w:sz w:val="24"/>
                <w:highlight w:val="none"/>
                <w:lang w:val="en-US" w:eastAsia="zh-CN"/>
              </w:rPr>
              <w:t>服务地点</w:t>
            </w:r>
            <w:r>
              <w:rPr>
                <w:rFonts w:hint="eastAsia"/>
                <w:sz w:val="24"/>
                <w:highlight w:val="none"/>
                <w:lang w:eastAsia="zh-CN"/>
              </w:rPr>
              <w:t>符合招标文件要求。</w:t>
            </w:r>
          </w:p>
        </w:tc>
      </w:tr>
      <w:tr w14:paraId="3616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37" w:type="dxa"/>
            <w:vAlign w:val="center"/>
          </w:tcPr>
          <w:p w14:paraId="4F456051">
            <w:pPr>
              <w:ind w:firstLine="232" w:firstLineChars="97"/>
              <w:rPr>
                <w:rFonts w:hint="default" w:eastAsia="宋体"/>
                <w:sz w:val="24"/>
                <w:highlight w:val="none"/>
                <w:lang w:val="en-US" w:eastAsia="zh-CN"/>
              </w:rPr>
            </w:pPr>
            <w:r>
              <w:rPr>
                <w:rFonts w:hint="eastAsia"/>
                <w:sz w:val="24"/>
                <w:highlight w:val="none"/>
                <w:lang w:val="en-US" w:eastAsia="zh-CN"/>
              </w:rPr>
              <w:t>9</w:t>
            </w:r>
          </w:p>
        </w:tc>
        <w:tc>
          <w:tcPr>
            <w:tcW w:w="8928" w:type="dxa"/>
            <w:vAlign w:val="center"/>
          </w:tcPr>
          <w:p w14:paraId="7BF545AF">
            <w:pPr>
              <w:rPr>
                <w:rFonts w:hint="eastAsia"/>
                <w:sz w:val="24"/>
                <w:highlight w:val="none"/>
                <w:lang w:eastAsia="zh-CN"/>
              </w:rPr>
            </w:pPr>
            <w:r>
              <w:rPr>
                <w:rFonts w:hint="eastAsia"/>
                <w:sz w:val="24"/>
                <w:highlight w:val="none"/>
              </w:rPr>
              <w:t>投标文件</w:t>
            </w:r>
            <w:r>
              <w:rPr>
                <w:rFonts w:hint="eastAsia"/>
                <w:sz w:val="24"/>
                <w:highlight w:val="none"/>
                <w:lang w:eastAsia="zh-CN"/>
              </w:rPr>
              <w:t>未</w:t>
            </w:r>
            <w:r>
              <w:rPr>
                <w:rFonts w:hint="eastAsia"/>
                <w:sz w:val="24"/>
                <w:highlight w:val="none"/>
              </w:rPr>
              <w:t>附有采购人不能接受条件的</w:t>
            </w:r>
            <w:r>
              <w:rPr>
                <w:rFonts w:hint="eastAsia"/>
                <w:sz w:val="24"/>
                <w:highlight w:val="none"/>
                <w:lang w:eastAsia="zh-CN"/>
              </w:rPr>
              <w:t>。</w:t>
            </w:r>
          </w:p>
        </w:tc>
      </w:tr>
      <w:tr w14:paraId="0DE5F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37" w:type="dxa"/>
            <w:vAlign w:val="center"/>
          </w:tcPr>
          <w:p w14:paraId="17A9588D">
            <w:pPr>
              <w:ind w:firstLine="232" w:firstLineChars="97"/>
              <w:rPr>
                <w:rFonts w:hint="default"/>
                <w:sz w:val="24"/>
                <w:highlight w:val="none"/>
                <w:lang w:val="en-US" w:eastAsia="zh-CN"/>
              </w:rPr>
            </w:pPr>
            <w:r>
              <w:rPr>
                <w:rFonts w:hint="eastAsia"/>
                <w:sz w:val="24"/>
                <w:highlight w:val="none"/>
                <w:lang w:val="en-US" w:eastAsia="zh-CN"/>
              </w:rPr>
              <w:t>10</w:t>
            </w:r>
          </w:p>
        </w:tc>
        <w:tc>
          <w:tcPr>
            <w:tcW w:w="8928" w:type="dxa"/>
            <w:vAlign w:val="center"/>
          </w:tcPr>
          <w:p w14:paraId="536DA61E">
            <w:pPr>
              <w:rPr>
                <w:rFonts w:hint="eastAsia"/>
                <w:sz w:val="24"/>
                <w:highlight w:val="none"/>
              </w:rPr>
            </w:pPr>
            <w:r>
              <w:rPr>
                <w:rFonts w:hint="eastAsia"/>
                <w:sz w:val="24"/>
                <w:highlight w:val="none"/>
              </w:rPr>
              <w:t>符合法律、法规和招标文件中规定的其他实质性要求。</w:t>
            </w:r>
          </w:p>
        </w:tc>
      </w:tr>
    </w:tbl>
    <w:p w14:paraId="2DCA43BA">
      <w:pPr>
        <w:spacing w:line="360" w:lineRule="auto"/>
        <w:ind w:firstLine="482" w:firstLineChars="200"/>
        <w:rPr>
          <w:b/>
          <w:sz w:val="24"/>
          <w:highlight w:val="none"/>
        </w:rPr>
      </w:pPr>
      <w:r>
        <w:rPr>
          <w:b/>
          <w:bCs/>
          <w:sz w:val="24"/>
          <w:highlight w:val="none"/>
        </w:rPr>
        <w:t>特别说明：</w:t>
      </w:r>
      <w:r>
        <w:rPr>
          <w:sz w:val="24"/>
          <w:highlight w:val="none"/>
        </w:rPr>
        <w:t>如投标人的投标文件中没有按此表的内容提供相关证明文件（如无特别要求，均提供复印件）或不符合上述审查内容的任意一条，其投标文件将视为无效投标文件。</w:t>
      </w:r>
    </w:p>
    <w:p w14:paraId="40318A95">
      <w:pPr>
        <w:pStyle w:val="8"/>
        <w:rPr>
          <w:highlight w:val="none"/>
        </w:rPr>
      </w:pPr>
    </w:p>
    <w:p w14:paraId="29B0E5EE">
      <w:pPr>
        <w:spacing w:line="360" w:lineRule="auto"/>
        <w:rPr>
          <w:b/>
          <w:sz w:val="24"/>
          <w:highlight w:val="none"/>
        </w:rPr>
      </w:pPr>
      <w:r>
        <w:rPr>
          <w:b/>
          <w:sz w:val="24"/>
          <w:highlight w:val="none"/>
        </w:rPr>
        <w:t>附表2：经济标得分（</w:t>
      </w:r>
      <w:r>
        <w:rPr>
          <w:rFonts w:hint="eastAsia"/>
          <w:b/>
          <w:sz w:val="24"/>
          <w:highlight w:val="none"/>
          <w:lang w:val="en-US" w:eastAsia="zh-CN"/>
        </w:rPr>
        <w:t>1</w:t>
      </w:r>
      <w:r>
        <w:rPr>
          <w:rFonts w:hint="eastAsia"/>
          <w:b/>
          <w:sz w:val="24"/>
          <w:highlight w:val="none"/>
        </w:rPr>
        <w:t>0</w:t>
      </w:r>
      <w:r>
        <w:rPr>
          <w:b/>
          <w:sz w:val="24"/>
          <w:highlight w:val="none"/>
        </w:rPr>
        <w:t>分）</w:t>
      </w:r>
    </w:p>
    <w:tbl>
      <w:tblPr>
        <w:tblStyle w:val="25"/>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483"/>
      </w:tblGrid>
      <w:tr w14:paraId="2352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shd w:val="clear" w:color="auto" w:fill="D7D7D7" w:themeFill="background1" w:themeFillShade="D8"/>
            <w:vAlign w:val="center"/>
          </w:tcPr>
          <w:p w14:paraId="730CA6C3">
            <w:pPr>
              <w:spacing w:line="276" w:lineRule="auto"/>
              <w:jc w:val="center"/>
              <w:rPr>
                <w:b/>
                <w:bCs/>
                <w:sz w:val="24"/>
                <w:highlight w:val="none"/>
              </w:rPr>
            </w:pPr>
            <w:r>
              <w:rPr>
                <w:b/>
                <w:bCs/>
                <w:sz w:val="24"/>
                <w:highlight w:val="none"/>
              </w:rPr>
              <w:t>评分项目</w:t>
            </w:r>
          </w:p>
        </w:tc>
        <w:tc>
          <w:tcPr>
            <w:tcW w:w="850" w:type="dxa"/>
            <w:shd w:val="clear" w:color="auto" w:fill="D7D7D7" w:themeFill="background1" w:themeFillShade="D8"/>
            <w:vAlign w:val="center"/>
          </w:tcPr>
          <w:p w14:paraId="0AFAAA02">
            <w:pPr>
              <w:spacing w:line="276" w:lineRule="auto"/>
              <w:jc w:val="center"/>
              <w:rPr>
                <w:b/>
                <w:bCs/>
                <w:sz w:val="24"/>
                <w:highlight w:val="none"/>
              </w:rPr>
            </w:pPr>
            <w:r>
              <w:rPr>
                <w:b/>
                <w:bCs/>
                <w:sz w:val="24"/>
                <w:highlight w:val="none"/>
              </w:rPr>
              <w:t>分值</w:t>
            </w:r>
          </w:p>
        </w:tc>
        <w:tc>
          <w:tcPr>
            <w:tcW w:w="7483" w:type="dxa"/>
            <w:shd w:val="clear" w:color="auto" w:fill="D7D7D7" w:themeFill="background1" w:themeFillShade="D8"/>
            <w:vAlign w:val="center"/>
          </w:tcPr>
          <w:p w14:paraId="7ACC269F">
            <w:pPr>
              <w:spacing w:line="276" w:lineRule="auto"/>
              <w:jc w:val="center"/>
              <w:rPr>
                <w:b/>
                <w:bCs/>
                <w:sz w:val="24"/>
                <w:highlight w:val="none"/>
              </w:rPr>
            </w:pPr>
            <w:r>
              <w:rPr>
                <w:b/>
                <w:bCs/>
                <w:sz w:val="24"/>
                <w:highlight w:val="none"/>
              </w:rPr>
              <w:t>评分细则</w:t>
            </w:r>
          </w:p>
        </w:tc>
      </w:tr>
      <w:tr w14:paraId="1A1F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14:paraId="524C9885">
            <w:pPr>
              <w:spacing w:line="276"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经济标</w:t>
            </w:r>
          </w:p>
        </w:tc>
        <w:tc>
          <w:tcPr>
            <w:tcW w:w="850" w:type="dxa"/>
            <w:vAlign w:val="center"/>
          </w:tcPr>
          <w:p w14:paraId="0D2B62EE">
            <w:pPr>
              <w:spacing w:line="276" w:lineRule="auto"/>
              <w:jc w:val="center"/>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r>
              <w:rPr>
                <w:color w:val="000000" w:themeColor="text1"/>
                <w:sz w:val="24"/>
                <w:highlight w:val="none"/>
                <w14:textFill>
                  <w14:solidFill>
                    <w14:schemeClr w14:val="tx1"/>
                  </w14:solidFill>
                </w14:textFill>
              </w:rPr>
              <w:t>分</w:t>
            </w:r>
          </w:p>
        </w:tc>
        <w:tc>
          <w:tcPr>
            <w:tcW w:w="7483" w:type="dxa"/>
          </w:tcPr>
          <w:p w14:paraId="312E6B75">
            <w:pPr>
              <w:widowControl/>
              <w:jc w:val="left"/>
              <w:rPr>
                <w:rFonts w:hint="default" w:asciiTheme="minorEastAsia" w:hAnsiTheme="minorEastAsia" w:eastAsiaTheme="minorEastAsia" w:cstheme="minorEastAsia"/>
                <w:b/>
                <w:bCs/>
                <w:color w:val="000000" w:themeColor="text1"/>
                <w:kern w:val="0"/>
                <w:sz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投标报价得分=(评标基准价/修正后投标报价)×100%×</w:t>
            </w:r>
            <w: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t>10</w:t>
            </w:r>
          </w:p>
          <w:p w14:paraId="4F1E0AB8">
            <w:pPr>
              <w:widowControl/>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1、投标价格评分采用低价优先法计算；</w:t>
            </w:r>
          </w:p>
          <w:p w14:paraId="68440E96">
            <w:pPr>
              <w:widowControl/>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2、评标基准价：满足招标文件要求且经算术修正，依据政府采购政策进行价格扣除后的最低报价为评标基准价；</w:t>
            </w:r>
          </w:p>
          <w:p w14:paraId="2EE91980">
            <w:pPr>
              <w:widowControl/>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3、修正后投标报价：评标委员会以开标一览表中投标报价为基础，对其进行算术修正，依据政府采购政策进行价格扣除后，作为投标报价计算的依据。</w:t>
            </w:r>
          </w:p>
          <w:p w14:paraId="4FFFB0AE">
            <w:pPr>
              <w:pStyle w:val="12"/>
              <w:rPr>
                <w:highlight w:val="none"/>
              </w:rPr>
            </w:pPr>
            <w:r>
              <w:rPr>
                <w:rFonts w:hint="eastAsia" w:ascii="宋体" w:hAnsi="宋体" w:cs="宋体"/>
                <w:b/>
                <w:sz w:val="24"/>
                <w:highlight w:val="none"/>
              </w:rPr>
              <w:t>本项目专门面向中小企业，不再执行价格扣除。</w:t>
            </w:r>
          </w:p>
        </w:tc>
      </w:tr>
    </w:tbl>
    <w:p w14:paraId="74C7A010">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709572B3">
      <w:pPr>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附表3、商务</w:t>
      </w:r>
      <w:r>
        <w:rPr>
          <w:rFonts w:hint="eastAsia"/>
          <w:b/>
          <w:color w:val="000000" w:themeColor="text1"/>
          <w:sz w:val="24"/>
          <w:highlight w:val="none"/>
          <w14:textFill>
            <w14:solidFill>
              <w14:schemeClr w14:val="tx1"/>
            </w14:solidFill>
          </w14:textFill>
        </w:rPr>
        <w:t>及技术</w:t>
      </w:r>
      <w:r>
        <w:rPr>
          <w:b/>
          <w:color w:val="000000" w:themeColor="text1"/>
          <w:sz w:val="24"/>
          <w:highlight w:val="none"/>
          <w14:textFill>
            <w14:solidFill>
              <w14:schemeClr w14:val="tx1"/>
            </w14:solidFill>
          </w14:textFill>
        </w:rPr>
        <w:t>部分评审表（</w:t>
      </w:r>
      <w:r>
        <w:rPr>
          <w:rFonts w:hint="eastAsia"/>
          <w:b/>
          <w:color w:val="000000" w:themeColor="text1"/>
          <w:sz w:val="24"/>
          <w:highlight w:val="none"/>
          <w:lang w:val="en-US" w:eastAsia="zh-CN"/>
          <w14:textFill>
            <w14:solidFill>
              <w14:schemeClr w14:val="tx1"/>
            </w14:solidFill>
          </w14:textFill>
        </w:rPr>
        <w:t>90</w:t>
      </w:r>
      <w:r>
        <w:rPr>
          <w:b/>
          <w:color w:val="000000" w:themeColor="text1"/>
          <w:sz w:val="24"/>
          <w:highlight w:val="none"/>
          <w14:textFill>
            <w14:solidFill>
              <w14:schemeClr w14:val="tx1"/>
            </w14:solidFill>
          </w14:textFill>
        </w:rPr>
        <w:t>分）</w:t>
      </w:r>
    </w:p>
    <w:tbl>
      <w:tblPr>
        <w:tblStyle w:val="2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35"/>
        <w:gridCol w:w="436"/>
        <w:gridCol w:w="7544"/>
      </w:tblGrid>
      <w:tr w14:paraId="732D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A44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9F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20F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评分方法</w:t>
            </w:r>
          </w:p>
        </w:tc>
      </w:tr>
      <w:tr w14:paraId="2272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7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7"/>
                <w:lang w:val="en-US" w:eastAsia="zh-CN" w:bidi="ar"/>
              </w:rPr>
              <w:t>商务技术标90分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E3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BB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542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（1）供应商具有2023年1月1日以来(以合同签订日期为准)VR设计、制作类项目业绩的得3分。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业绩证明材料须提供中标（成交）通知书或合同关键页复印件加盖公章，关键页包括体现合同标的、供货时间、合同金额、签字盖章页。)加盖公章,以合同签订时间为准。每提供一项业绩得分，最高得3分，不提供不得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业绩证明材料需清晰可辨认，否则视为无效业绩不得分。</w:t>
            </w:r>
          </w:p>
        </w:tc>
      </w:tr>
      <w:tr w14:paraId="0B00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D8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4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供应商资信（</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1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AAF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（1）供应商具有有效的信息安全管理体系、信息技术服务管理体系证书的,每项有效证书得1分，最高 2分。</w:t>
            </w:r>
          </w:p>
          <w:p w14:paraId="5D0E59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（2）供应商具有有效的高新技术企业证书的得1分，具有专精特新中小企业认定的得1分，最高2分；</w:t>
            </w:r>
          </w:p>
          <w:p w14:paraId="52AB18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（3）供应商具有游客体验类或数据采集类相关知识产权证（如软件著作权证书、实用新型专利证书、发明专利证书），每1项得1分，最高2分。</w:t>
            </w:r>
          </w:p>
          <w:p w14:paraId="171B1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注：提供证书复印件加盖公章。</w:t>
            </w:r>
          </w:p>
        </w:tc>
      </w:tr>
      <w:tr w14:paraId="0B3D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1B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4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人员配备（7分）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6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00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1.项目经理：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(1)具备信息系统集成及服务项目管理证书的得1分,具有中级及以上</w:t>
            </w:r>
            <w:r>
              <w:rPr>
                <w:rFonts w:hint="eastAsia" w:ascii="宋体" w:hAnsi="宋体" w:cs="宋体"/>
                <w:i w:val="0"/>
                <w:iCs w:val="0"/>
                <w:color w:val="000000"/>
                <w:kern w:val="0"/>
                <w:sz w:val="24"/>
                <w:szCs w:val="24"/>
                <w:u w:val="none"/>
                <w:lang w:val="en-US" w:eastAsia="zh-CN" w:bidi="ar"/>
              </w:rPr>
              <w:t>职称</w:t>
            </w:r>
            <w:r>
              <w:rPr>
                <w:rFonts w:hint="eastAsia" w:ascii="宋体" w:hAnsi="宋体" w:eastAsia="宋体" w:cs="宋体"/>
                <w:i w:val="0"/>
                <w:iCs w:val="0"/>
                <w:color w:val="000000"/>
                <w:kern w:val="0"/>
                <w:sz w:val="24"/>
                <w:szCs w:val="24"/>
                <w:u w:val="none"/>
                <w:lang w:val="en-US" w:eastAsia="zh-CN" w:bidi="ar"/>
              </w:rPr>
              <w:t>证书的得1分，本项最高得2分。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同类VR项目项目经理工作经验的得3分，本项最高得3分（证明材料为负责过VR项目经理的项目合同复印件或扫描件加盖供应商公章（如业绩上未体现项目负责姓名的，则提供项目业主证明材料，否则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2.项目成员：项目成员每具有 1 名中级及以上职称人员得 1 分，本项最多得 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（以上成员均须提供相关证书及人员在投标单位近半年内任意连续三个月的社保缴纳证明材料复印件，未按要求提供不计分。</w:t>
            </w:r>
          </w:p>
        </w:tc>
      </w:tr>
      <w:tr w14:paraId="6EC3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5344">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3FE73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整体方案（</w:t>
            </w:r>
            <w:r>
              <w:rPr>
                <w:rFonts w:hint="eastAsia" w:ascii="宋体" w:hAnsi="宋体" w:cs="宋体"/>
                <w:i w:val="0"/>
                <w:iCs w:val="0"/>
                <w:color w:val="000000"/>
                <w:kern w:val="0"/>
                <w:sz w:val="22"/>
                <w:szCs w:val="22"/>
                <w:u w:val="none"/>
                <w:lang w:val="en-US" w:eastAsia="zh-CN" w:bidi="ar"/>
              </w:rPr>
              <w:t>42</w:t>
            </w:r>
            <w:r>
              <w:rPr>
                <w:rFonts w:hint="eastAsia" w:ascii="宋体" w:hAnsi="宋体" w:eastAsia="宋体" w:cs="宋体"/>
                <w:i w:val="0"/>
                <w:iCs w:val="0"/>
                <w:color w:val="000000"/>
                <w:kern w:val="0"/>
                <w:sz w:val="22"/>
                <w:szCs w:val="22"/>
                <w:u w:val="none"/>
                <w:lang w:val="en-US" w:eastAsia="zh-CN" w:bidi="ar"/>
              </w:rPr>
              <w:t>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6AC1A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78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1.项目理解与分析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（1）根据本项目的整体情况，提供方案包括但不限于①设计原则和总体构思、②规划理念、③主题定位、④发展目标、⑤空间利用规划、⑥项目现状调查、⑦现状问题分析等。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完整提供上述 7 项内容的得 </w:t>
            </w: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 xml:space="preserve"> 分。每有一项未提供扣 </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分，扣完为止；每有一处有缺陷扣 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分，扣完为止。（缺陷是指：存在不适用项目实际情况的情形、凭空编造、套用其他项目方案、内容前后不一致、前后逻辑错误、涉及的规范及标准错误、地点区域错误、内容缺失、不符合采购需求、不可能实现的情形等任意一种情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2.策划设计方案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（1）根据项目需求，提供方案包括但不限于①内容策划、②整体方案创意、③展现形式及设计与美观性、④项目布局与区块配置、⑤技术手段、⑥编剧内容脚本方案、⑦平面功能设计等。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完整提供上述 7 项内容的得 </w:t>
            </w: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 xml:space="preserve"> 分。每有一项未提供扣 </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分，扣完为止；每有一处有缺陷扣 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分，扣完为止。（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6250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2E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90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效果图（</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ED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77E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根据供应商提供的原创虚拟场景的设计图、示意图的数量、表现力、创造性情况进行打分;</w:t>
            </w:r>
          </w:p>
          <w:p w14:paraId="69AD109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场景设计效果图不少于10张，角色设计三视图说明不少于10张，项目核心角色三维模型制作图不少于1张（正面、侧面、背面），项目核心角色的布线效果图不少于1张（展示正面，侧面，背面布线图）</w:t>
            </w:r>
          </w:p>
          <w:p w14:paraId="495EFB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角色的绑定效果图1张，需要展示三维角色的绑定骨骼效果。</w:t>
            </w:r>
          </w:p>
          <w:p w14:paraId="714109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本项满分</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0分，每少一张扣</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分，扣完为止，不提供设计图、三视图、三维模型</w:t>
            </w:r>
            <w:r>
              <w:rPr>
                <w:rFonts w:hint="eastAsia" w:ascii="宋体" w:hAnsi="宋体" w:cs="宋体"/>
                <w:i w:val="0"/>
                <w:iCs w:val="0"/>
                <w:color w:val="000000"/>
                <w:kern w:val="0"/>
                <w:sz w:val="24"/>
                <w:szCs w:val="24"/>
                <w:u w:val="none"/>
                <w:lang w:val="en-US" w:eastAsia="zh-CN" w:bidi="ar"/>
              </w:rPr>
              <w:t>图、</w:t>
            </w:r>
            <w:r>
              <w:rPr>
                <w:rFonts w:hint="eastAsia" w:ascii="宋体" w:hAnsi="宋体" w:eastAsia="宋体" w:cs="宋体"/>
                <w:i w:val="0"/>
                <w:iCs w:val="0"/>
                <w:color w:val="000000"/>
                <w:kern w:val="0"/>
                <w:sz w:val="24"/>
                <w:szCs w:val="24"/>
                <w:u w:val="none"/>
                <w:lang w:val="en-US" w:eastAsia="zh-CN" w:bidi="ar"/>
              </w:rPr>
              <w:t>布线图和角色绑定效果图的不得分。</w:t>
            </w:r>
          </w:p>
        </w:tc>
      </w:tr>
      <w:tr w14:paraId="1FD3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33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00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组织保障方案及措施（8分）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A52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67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组织保障方案及措施包括但不限于①组织保障优势分析、②工作质量保证措施、③进度控制措施、④安全保障措施、等方面。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完整提供上述 4 项内容的得 8分。每有一项未提供扣 2分，扣完为止；每有一处有缺陷扣 1分，扣完为止。（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23CB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DC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F6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服务承诺（</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9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958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根据本项目的整体情况，提供有①固定的服务团队；②明确项目对接人及电话；③有详细的调配措施、分工明确④服务响应时限等情况。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完整提供上述 4 项内容的得 </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分。每有一项未提供扣 </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分，扣完为止；每有一处有缺陷扣 </w:t>
            </w:r>
            <w:r>
              <w:rPr>
                <w:rFonts w:hint="eastAsia" w:ascii="宋体" w:hAnsi="宋体" w:cs="宋体"/>
                <w:i w:val="0"/>
                <w:iCs w:val="0"/>
                <w:color w:val="000000"/>
                <w:kern w:val="0"/>
                <w:sz w:val="24"/>
                <w:szCs w:val="24"/>
                <w:u w:val="none"/>
                <w:lang w:val="en-US" w:eastAsia="zh-CN" w:bidi="ar"/>
              </w:rPr>
              <w:t>0.5</w:t>
            </w:r>
            <w:r>
              <w:rPr>
                <w:rFonts w:hint="eastAsia" w:ascii="宋体" w:hAnsi="宋体" w:eastAsia="宋体" w:cs="宋体"/>
                <w:i w:val="0"/>
                <w:iCs w:val="0"/>
                <w:color w:val="000000"/>
                <w:kern w:val="0"/>
                <w:sz w:val="24"/>
                <w:szCs w:val="24"/>
                <w:u w:val="none"/>
                <w:lang w:val="en-US" w:eastAsia="zh-CN" w:bidi="ar"/>
              </w:rPr>
              <w:t>分，扣完为止。（缺陷是指：存在不适用项目实际情况的情形、凭空编造、套用其他项目方案、内容前后不一致、前后逻辑错误、涉及的规范及标准错误、地点区域错误、内容缺失、不符合采购需求、不可能实现的情形等任意一种情形）</w:t>
            </w:r>
          </w:p>
        </w:tc>
      </w:tr>
    </w:tbl>
    <w:p w14:paraId="230ECF17">
      <w:pPr>
        <w:ind w:firstLine="482" w:firstLineChars="200"/>
        <w:rPr>
          <w:rFonts w:hint="eastAsia" w:ascii="宋体" w:hAnsi="宋体" w:cs="宋体"/>
          <w:b/>
          <w:sz w:val="24"/>
          <w:highlight w:val="none"/>
          <w:lang w:eastAsia="zh-CN"/>
        </w:rPr>
      </w:pPr>
    </w:p>
    <w:p w14:paraId="132E1516">
      <w:pPr>
        <w:ind w:firstLine="482" w:firstLineChars="200"/>
        <w:rPr>
          <w:highlight w:val="none"/>
        </w:rPr>
      </w:pPr>
      <w:r>
        <w:rPr>
          <w:rFonts w:hint="eastAsia" w:ascii="宋体" w:hAnsi="宋体" w:cs="宋体"/>
          <w:b/>
          <w:sz w:val="24"/>
          <w:highlight w:val="none"/>
          <w:lang w:eastAsia="zh-CN"/>
        </w:rPr>
        <w:t>注：以上内容均应在投标文件中体现，投标人应根据评标办法来完善投标文件。</w:t>
      </w:r>
    </w:p>
    <w:p w14:paraId="4C2235AB">
      <w:pPr>
        <w:spacing w:line="440" w:lineRule="exact"/>
        <w:ind w:firstLine="482" w:firstLineChars="200"/>
        <w:rPr>
          <w:rFonts w:hint="eastAsia" w:ascii="宋体" w:hAnsi="宋体" w:cs="宋体"/>
          <w:b/>
          <w:sz w:val="24"/>
          <w:highlight w:val="none"/>
        </w:rPr>
      </w:pPr>
      <w:r>
        <w:rPr>
          <w:rFonts w:hint="eastAsia" w:ascii="宋体" w:hAnsi="宋体" w:cs="宋体"/>
          <w:b/>
          <w:sz w:val="24"/>
          <w:highlight w:val="none"/>
        </w:rPr>
        <w:t>投标报价计算备注：本项目专门面向中小企业，不再执行价格扣除。</w:t>
      </w:r>
    </w:p>
    <w:p w14:paraId="710E62FD">
      <w:pPr>
        <w:spacing w:line="440" w:lineRule="exact"/>
        <w:ind w:firstLine="482" w:firstLineChars="200"/>
        <w:rPr>
          <w:rFonts w:hint="eastAsia" w:ascii="宋体" w:hAnsi="宋体" w:cs="宋体"/>
          <w:b/>
          <w:sz w:val="24"/>
          <w:highlight w:val="none"/>
        </w:rPr>
      </w:pPr>
      <w:r>
        <w:rPr>
          <w:rFonts w:hint="eastAsia" w:ascii="宋体" w:hAnsi="宋体" w:cs="宋体"/>
          <w:b/>
          <w:sz w:val="24"/>
          <w:highlight w:val="none"/>
        </w:rPr>
        <w:t xml:space="preserve">1、小微企业报价的价格扣除 </w:t>
      </w:r>
    </w:p>
    <w:p w14:paraId="0CC034ED">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（1）采购限额标准以上，200万元以下的货物和服务采购项目、400万元以下的工程采购项目，适宜由中小企业提供的，采购人应当专门面向中小企业采购。</w:t>
      </w:r>
    </w:p>
    <w:p w14:paraId="26C05DDD">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（2）超过200万元的货物和服务采购项目，预留该部分采购项目预算总额的30%以上专门面向中小企业采购，其中预留给小微企业的比例不低于60%。</w:t>
      </w:r>
    </w:p>
    <w:p w14:paraId="1AB53CFD">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（3）超过400万元的工程采购项目中适宜由中小企业提供的，预留该部分采购项目预算总额的40%以上专门面向中小企业采购，其中预留给小微企业的比例不低于60%。</w:t>
      </w:r>
    </w:p>
    <w:p w14:paraId="10FDAB2B">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cs="宋体"/>
          <w:b w:val="0"/>
          <w:bCs/>
          <w:sz w:val="24"/>
          <w:highlight w:val="none"/>
          <w:lang w:val="en-US" w:eastAsia="zh-CN"/>
        </w:rPr>
        <w:t>20%</w:t>
      </w:r>
      <w:r>
        <w:rPr>
          <w:rFonts w:hint="eastAsia" w:ascii="宋体" w:hAnsi="宋体" w:cs="宋体"/>
          <w:b w:val="0"/>
          <w:bCs/>
          <w:sz w:val="24"/>
          <w:highlight w:val="none"/>
        </w:rPr>
        <w:t>（工程项目为</w:t>
      </w:r>
      <w:r>
        <w:rPr>
          <w:rFonts w:hint="eastAsia" w:ascii="宋体" w:hAnsi="宋体" w:cs="宋体"/>
          <w:b w:val="0"/>
          <w:bCs/>
          <w:sz w:val="24"/>
          <w:highlight w:val="none"/>
          <w:lang w:val="en-US" w:eastAsia="zh-CN"/>
        </w:rPr>
        <w:t>3</w:t>
      </w:r>
      <w:r>
        <w:rPr>
          <w:rFonts w:hint="eastAsia" w:ascii="宋体" w:hAnsi="宋体" w:cs="宋体"/>
          <w:b w:val="0"/>
          <w:bCs/>
          <w:sz w:val="24"/>
          <w:highlight w:val="none"/>
        </w:rPr>
        <w:t>%~</w:t>
      </w:r>
      <w:r>
        <w:rPr>
          <w:rFonts w:hint="eastAsia" w:ascii="宋体" w:hAnsi="宋体" w:cs="宋体"/>
          <w:b w:val="0"/>
          <w:bCs/>
          <w:sz w:val="24"/>
          <w:highlight w:val="none"/>
          <w:lang w:val="en-US" w:eastAsia="zh-CN"/>
        </w:rPr>
        <w:t>5%</w:t>
      </w:r>
      <w:r>
        <w:rPr>
          <w:rFonts w:hint="eastAsia" w:ascii="宋体" w:hAnsi="宋体" w:cs="宋体"/>
          <w:b w:val="0"/>
          <w:bCs/>
          <w:sz w:val="24"/>
          <w:highlight w:val="none"/>
        </w:rPr>
        <w:t>）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38914D6">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32E8354">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2、残疾人福利性单位报价的价格扣除</w:t>
      </w:r>
    </w:p>
    <w:p w14:paraId="04BD512F">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（1）根据《财政部、民政部、 中国残疾人联合会关于促进残疾人就业政府采 购政策的通知》（财库[2017]141号）文件规定，本项目对残疾人福利性单位视同小微企业，给予10%的价格扣除，用扣除后的价格参与评审。</w:t>
      </w:r>
    </w:p>
    <w:p w14:paraId="5580652D">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（2）残疾人福利性单位需按照</w:t>
      </w:r>
      <w:r>
        <w:rPr>
          <w:rFonts w:hint="eastAsia" w:ascii="宋体" w:hAnsi="宋体" w:cs="宋体"/>
          <w:b w:val="0"/>
          <w:bCs/>
          <w:sz w:val="24"/>
          <w:highlight w:val="none"/>
          <w:lang w:val="en-US" w:eastAsia="zh-CN"/>
        </w:rPr>
        <w:t>采购</w:t>
      </w:r>
      <w:r>
        <w:rPr>
          <w:rFonts w:hint="eastAsia" w:ascii="宋体" w:hAnsi="宋体" w:cs="宋体"/>
          <w:b w:val="0"/>
          <w:bCs/>
          <w:sz w:val="24"/>
          <w:highlight w:val="none"/>
          <w:lang w:eastAsia="zh-CN"/>
        </w:rPr>
        <w:t>文件</w:t>
      </w:r>
      <w:r>
        <w:rPr>
          <w:rFonts w:hint="eastAsia" w:ascii="宋体" w:hAnsi="宋体" w:cs="宋体"/>
          <w:b w:val="0"/>
          <w:bCs/>
          <w:sz w:val="24"/>
          <w:highlight w:val="none"/>
        </w:rPr>
        <w:t>的要求提供《残疾人福利性单位声明函》。</w:t>
      </w:r>
    </w:p>
    <w:p w14:paraId="0A5756A3">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（3）残疾人福利性单位标准请参照《关于促进残疾人就业政府采购政策的通知》（财库〔2017〕141 号）。</w:t>
      </w:r>
    </w:p>
    <w:p w14:paraId="32F7F912">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3、监狱和戒毒企业报价的价格扣除</w:t>
      </w:r>
    </w:p>
    <w:p w14:paraId="50FFBACB">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（1）根据《财政部、司法部关于政府采购支持监狱企业发展有关问题的通知》（财库[2014]68号）规定，本项目对监狱和戒毒企业（简称监狱企业）视同小微企业，给予10%的价格扣除，用扣除后的价格参与评审。</w:t>
      </w:r>
    </w:p>
    <w:p w14:paraId="032D595A">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365EFA64">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（3）监狱企业标准请参照《关于政府采购支持监狱企业发展有关问题的通知》（财库 [2014]68 号）。</w:t>
      </w:r>
    </w:p>
    <w:p w14:paraId="1E943832">
      <w:pPr>
        <w:spacing w:line="44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4、残疾人福利单位、监狱企业属于小型、微型企业的，不重复享受政策。</w:t>
      </w:r>
    </w:p>
    <w:p w14:paraId="1A822B7A">
      <w:pPr>
        <w:spacing w:line="440" w:lineRule="exact"/>
        <w:ind w:firstLine="482" w:firstLineChars="200"/>
        <w:rPr>
          <w:rFonts w:ascii="宋体" w:hAnsi="宋体" w:cs="宋体"/>
          <w:b/>
          <w:sz w:val="24"/>
          <w:highlight w:val="none"/>
        </w:rPr>
      </w:pPr>
      <w:r>
        <w:rPr>
          <w:rFonts w:hint="eastAsia" w:ascii="宋体" w:hAnsi="宋体" w:cs="宋体"/>
          <w:b/>
          <w:sz w:val="24"/>
          <w:highlight w:val="none"/>
        </w:rPr>
        <w:t>四、招标注意事项</w:t>
      </w:r>
    </w:p>
    <w:p w14:paraId="06050641">
      <w:pPr>
        <w:spacing w:line="440" w:lineRule="exact"/>
        <w:ind w:firstLine="480" w:firstLineChars="200"/>
        <w:rPr>
          <w:rFonts w:ascii="宋体" w:hAnsi="宋体" w:cs="宋体"/>
          <w:sz w:val="24"/>
          <w:highlight w:val="none"/>
        </w:rPr>
      </w:pPr>
      <w:r>
        <w:rPr>
          <w:rFonts w:hint="eastAsia" w:ascii="宋体" w:hAnsi="宋体" w:cs="宋体"/>
          <w:sz w:val="24"/>
          <w:highlight w:val="none"/>
        </w:rPr>
        <w:t>4.1投标时，投标人应派代表在指定的地点参加投标。投标人人员必须及时解释和澄清投标文件内容，并以书面的形式签署确定等。</w:t>
      </w:r>
    </w:p>
    <w:p w14:paraId="1439D097">
      <w:pPr>
        <w:spacing w:line="440" w:lineRule="exact"/>
        <w:ind w:firstLine="480" w:firstLineChars="200"/>
        <w:rPr>
          <w:rFonts w:ascii="宋体" w:hAnsi="宋体" w:cs="宋体"/>
          <w:sz w:val="24"/>
          <w:highlight w:val="none"/>
        </w:rPr>
      </w:pPr>
      <w:r>
        <w:rPr>
          <w:rFonts w:hint="eastAsia" w:ascii="宋体" w:hAnsi="宋体" w:cs="宋体"/>
          <w:sz w:val="24"/>
          <w:highlight w:val="none"/>
        </w:rPr>
        <w:t>4.2评审时如发现投标人的报价明显高于其市场报价或低于成本价的，应要求该投标人书面说明并提供相关证明材料。该投标人不能合理说明原因并提供证明材料的，评审小组应将该投标人的采购投标文件作无效处理，同时采购组织机构应将该情况报同级财政部门，并视情将其列入不良投标人名单。</w:t>
      </w:r>
    </w:p>
    <w:p w14:paraId="7B485B7A">
      <w:pPr>
        <w:spacing w:line="440" w:lineRule="exact"/>
        <w:ind w:firstLine="482" w:firstLineChars="200"/>
        <w:rPr>
          <w:rFonts w:ascii="宋体" w:hAnsi="宋体" w:cs="宋体"/>
          <w:b/>
          <w:sz w:val="24"/>
          <w:highlight w:val="none"/>
        </w:rPr>
      </w:pPr>
      <w:r>
        <w:rPr>
          <w:rFonts w:hint="eastAsia" w:ascii="宋体" w:hAnsi="宋体" w:cs="宋体"/>
          <w:b/>
          <w:sz w:val="24"/>
          <w:highlight w:val="none"/>
        </w:rPr>
        <w:t>五、评定纪律</w:t>
      </w:r>
    </w:p>
    <w:p w14:paraId="5C4E223C">
      <w:pPr>
        <w:spacing w:line="440" w:lineRule="exact"/>
        <w:ind w:firstLine="480" w:firstLineChars="200"/>
        <w:rPr>
          <w:rFonts w:ascii="宋体" w:hAnsi="宋体" w:cs="宋体"/>
          <w:sz w:val="24"/>
          <w:highlight w:val="none"/>
        </w:rPr>
      </w:pPr>
      <w:r>
        <w:rPr>
          <w:rFonts w:hint="eastAsia" w:ascii="宋体" w:hAnsi="宋体" w:cs="宋体"/>
          <w:sz w:val="24"/>
          <w:highlight w:val="none"/>
        </w:rPr>
        <w:t>5.1评审小组必须公平、公正评定；遵纪守法，客观、廉洁地履行职责；</w:t>
      </w:r>
    </w:p>
    <w:p w14:paraId="71981DD9">
      <w:pPr>
        <w:spacing w:line="440" w:lineRule="exact"/>
        <w:ind w:firstLine="480" w:firstLineChars="200"/>
        <w:rPr>
          <w:rFonts w:ascii="宋体" w:hAnsi="宋体" w:cs="宋体"/>
          <w:sz w:val="24"/>
          <w:highlight w:val="none"/>
        </w:rPr>
      </w:pPr>
      <w:r>
        <w:rPr>
          <w:rFonts w:hint="eastAsia" w:ascii="宋体" w:hAnsi="宋体" w:cs="宋体"/>
          <w:sz w:val="24"/>
          <w:highlight w:val="none"/>
        </w:rPr>
        <w:t>5.2评审小组在评定开始前，应关闭随身携带的各种通信工具；</w:t>
      </w:r>
    </w:p>
    <w:p w14:paraId="31B54D18">
      <w:pPr>
        <w:spacing w:line="440" w:lineRule="exact"/>
        <w:ind w:firstLine="480" w:firstLineChars="200"/>
        <w:rPr>
          <w:rFonts w:ascii="宋体" w:hAnsi="宋体" w:cs="宋体"/>
          <w:sz w:val="24"/>
          <w:highlight w:val="none"/>
        </w:rPr>
      </w:pPr>
      <w:r>
        <w:rPr>
          <w:rFonts w:hint="eastAsia" w:ascii="宋体" w:hAnsi="宋体" w:cs="宋体"/>
          <w:sz w:val="24"/>
          <w:highlight w:val="none"/>
        </w:rPr>
        <w:t>5.3评审小组在评定过程中，未经许可不得中途离开评定现场，不得迟到早退；</w:t>
      </w:r>
    </w:p>
    <w:p w14:paraId="65FE7E4E">
      <w:pPr>
        <w:spacing w:line="440" w:lineRule="exact"/>
        <w:ind w:firstLine="480" w:firstLineChars="200"/>
        <w:rPr>
          <w:rFonts w:ascii="宋体" w:hAnsi="宋体" w:cs="宋体"/>
          <w:sz w:val="24"/>
          <w:highlight w:val="none"/>
        </w:rPr>
      </w:pPr>
      <w:r>
        <w:rPr>
          <w:rFonts w:hint="eastAsia" w:ascii="宋体" w:hAnsi="宋体" w:cs="宋体"/>
          <w:sz w:val="24"/>
          <w:highlight w:val="none"/>
        </w:rPr>
        <w:t>5.4评审小组和工作人员不得透露评定过程中的讨论情况和评定结果。</w:t>
      </w:r>
    </w:p>
    <w:p w14:paraId="11E20D1E">
      <w:pPr>
        <w:spacing w:line="440" w:lineRule="exact"/>
        <w:ind w:firstLine="480" w:firstLineChars="200"/>
        <w:rPr>
          <w:rFonts w:ascii="宋体" w:hAnsi="宋体" w:cs="宋体"/>
          <w:sz w:val="24"/>
          <w:highlight w:val="none"/>
        </w:rPr>
      </w:pPr>
      <w:r>
        <w:rPr>
          <w:rFonts w:hint="eastAsia" w:ascii="宋体" w:hAnsi="宋体" w:cs="宋体"/>
          <w:sz w:val="24"/>
          <w:highlight w:val="none"/>
        </w:rPr>
        <w:t>5.5评审小组应当对照招标文件规定的条件和标准，对各投标人投标文件的合格性、完整性和有效性进行审查、比较和评估，其中对投标人的资格条件、主要技术参数、商务报价和其他评审要素等，评审专家应逐项进行审查、比较，不得漏评少评。如发现与采购文件要求相偏离的，应对其偏离情形进行必要的核实，并在评审报告中予以说明；如属于实质性偏离或符合无效响应条件的，应当询问投标人，并允许投标人进行陈述申辩，但不允许其对偏离条款时行补充、修正或搞撤回。</w:t>
      </w:r>
    </w:p>
    <w:p w14:paraId="2D4CD966">
      <w:pPr>
        <w:spacing w:line="440" w:lineRule="exact"/>
        <w:ind w:firstLine="480" w:firstLineChars="200"/>
        <w:rPr>
          <w:rFonts w:ascii="宋体" w:hAnsi="宋体" w:cs="宋体"/>
          <w:sz w:val="24"/>
          <w:highlight w:val="none"/>
        </w:rPr>
      </w:pPr>
      <w:r>
        <w:rPr>
          <w:rFonts w:hint="eastAsia" w:ascii="宋体" w:hAnsi="宋体" w:cs="宋体"/>
          <w:sz w:val="24"/>
          <w:highlight w:val="none"/>
        </w:rPr>
        <w:t>5.6评审小组在评定过程中不得将自己的观点，强加给其他评审小组，评审小组应自主发表见解，对评审意见承担个人责任。</w:t>
      </w:r>
    </w:p>
    <w:p w14:paraId="5DEA43C9">
      <w:pPr>
        <w:spacing w:line="440" w:lineRule="exact"/>
        <w:ind w:firstLine="480" w:firstLineChars="200"/>
        <w:rPr>
          <w:rFonts w:ascii="宋体" w:hAnsi="宋体" w:cs="宋体"/>
          <w:sz w:val="24"/>
          <w:highlight w:val="none"/>
        </w:rPr>
      </w:pPr>
      <w:r>
        <w:rPr>
          <w:rFonts w:hint="eastAsia" w:ascii="宋体" w:hAnsi="宋体" w:cs="宋体"/>
          <w:sz w:val="24"/>
          <w:highlight w:val="none"/>
        </w:rPr>
        <w:t>5.7评审小组应根据评定办法确定项目得分，并参与评标报告的起草，按评定原则推荐1-3名中标候选人。</w:t>
      </w:r>
    </w:p>
    <w:p w14:paraId="28A31904">
      <w:pPr>
        <w:spacing w:line="440" w:lineRule="exact"/>
        <w:ind w:firstLine="480" w:firstLineChars="200"/>
        <w:rPr>
          <w:rFonts w:ascii="宋体" w:hAnsi="宋体" w:cs="宋体"/>
          <w:sz w:val="24"/>
          <w:highlight w:val="none"/>
        </w:rPr>
      </w:pPr>
      <w:r>
        <w:rPr>
          <w:rFonts w:hint="eastAsia" w:ascii="宋体" w:hAnsi="宋体" w:cs="宋体"/>
          <w:sz w:val="24"/>
          <w:highlight w:val="none"/>
        </w:rPr>
        <w:t>5.8各评审人员应当独立、客观、公正地提出评审意见，不得带有倾向性，不得影响其他人员评审，并在评标报告上签字；如对评标报告有异议的，可以在报告上签署不同意见，并说明理由，否则将视为同意。</w:t>
      </w:r>
    </w:p>
    <w:p w14:paraId="04CC0F47">
      <w:pPr>
        <w:spacing w:line="440" w:lineRule="exact"/>
        <w:ind w:firstLine="480" w:firstLineChars="200"/>
        <w:rPr>
          <w:rFonts w:ascii="宋体" w:hAnsi="宋体" w:cs="宋体"/>
          <w:sz w:val="24"/>
          <w:highlight w:val="none"/>
        </w:rPr>
      </w:pPr>
      <w:r>
        <w:rPr>
          <w:rFonts w:hint="eastAsia" w:ascii="宋体" w:hAnsi="宋体" w:cs="宋体"/>
          <w:sz w:val="24"/>
          <w:highlight w:val="none"/>
        </w:rPr>
        <w:t>5.9配合财政部门的投诉处理工作。</w:t>
      </w:r>
    </w:p>
    <w:p w14:paraId="60A66A07">
      <w:pPr>
        <w:spacing w:line="440" w:lineRule="exact"/>
        <w:ind w:firstLine="480" w:firstLineChars="200"/>
        <w:rPr>
          <w:rFonts w:ascii="宋体" w:hAnsi="宋体" w:cs="宋体"/>
          <w:sz w:val="24"/>
          <w:highlight w:val="none"/>
        </w:rPr>
      </w:pPr>
      <w:r>
        <w:rPr>
          <w:rFonts w:hint="eastAsia" w:ascii="宋体" w:hAnsi="宋体" w:cs="宋体"/>
          <w:sz w:val="24"/>
          <w:highlight w:val="none"/>
        </w:rPr>
        <w:t>5.10配合采购代理机构单位答复投标人提出的质疑。</w:t>
      </w:r>
    </w:p>
    <w:p w14:paraId="5AE9153D">
      <w:pPr>
        <w:spacing w:line="440" w:lineRule="exact"/>
        <w:ind w:firstLine="480" w:firstLineChars="200"/>
        <w:rPr>
          <w:rFonts w:ascii="宋体" w:hAnsi="宋体" w:cs="宋体"/>
          <w:sz w:val="24"/>
          <w:highlight w:val="none"/>
        </w:rPr>
      </w:pPr>
      <w:r>
        <w:rPr>
          <w:rFonts w:hint="eastAsia" w:ascii="宋体" w:hAnsi="宋体" w:cs="宋体"/>
          <w:sz w:val="24"/>
          <w:highlight w:val="none"/>
        </w:rPr>
        <w:t>5.11评定委员会成员有如下行为之一的，责令改正，给予警告，可以并处一千元以下的罚款：</w:t>
      </w:r>
    </w:p>
    <w:p w14:paraId="4EB7713A">
      <w:pPr>
        <w:spacing w:line="440" w:lineRule="exact"/>
        <w:ind w:firstLine="480" w:firstLineChars="200"/>
        <w:rPr>
          <w:rFonts w:ascii="宋体" w:hAnsi="宋体" w:cs="宋体"/>
          <w:sz w:val="24"/>
          <w:highlight w:val="none"/>
        </w:rPr>
      </w:pPr>
      <w:r>
        <w:rPr>
          <w:rFonts w:hint="eastAsia" w:ascii="宋体" w:hAnsi="宋体" w:cs="宋体"/>
          <w:sz w:val="24"/>
          <w:highlight w:val="none"/>
        </w:rPr>
        <w:t>5.11.1明知应当回避而未主动回避的；</w:t>
      </w:r>
    </w:p>
    <w:p w14:paraId="70E71BA0">
      <w:pPr>
        <w:spacing w:line="440" w:lineRule="exact"/>
        <w:ind w:firstLine="480" w:firstLineChars="200"/>
        <w:rPr>
          <w:rFonts w:ascii="宋体" w:hAnsi="宋体" w:cs="宋体"/>
          <w:sz w:val="24"/>
          <w:highlight w:val="none"/>
        </w:rPr>
      </w:pPr>
      <w:r>
        <w:rPr>
          <w:rFonts w:hint="eastAsia" w:ascii="宋体" w:hAnsi="宋体" w:cs="宋体"/>
          <w:sz w:val="24"/>
          <w:highlight w:val="none"/>
        </w:rPr>
        <w:t>5.11.2在知道自己为评审小组身份后至评定结束前的时段内私下接触投标人的；</w:t>
      </w:r>
    </w:p>
    <w:p w14:paraId="1C531134">
      <w:pPr>
        <w:spacing w:line="440" w:lineRule="exact"/>
        <w:ind w:firstLine="480" w:firstLineChars="200"/>
        <w:rPr>
          <w:rFonts w:ascii="宋体" w:hAnsi="宋体" w:cs="宋体"/>
          <w:sz w:val="24"/>
          <w:highlight w:val="none"/>
        </w:rPr>
      </w:pPr>
      <w:r>
        <w:rPr>
          <w:rFonts w:hint="eastAsia" w:ascii="宋体" w:hAnsi="宋体" w:cs="宋体"/>
          <w:sz w:val="24"/>
          <w:highlight w:val="none"/>
        </w:rPr>
        <w:t>5.11.3在评定过程中擅离职守，影响评定程序正常进行的；</w:t>
      </w:r>
    </w:p>
    <w:p w14:paraId="2A1F0227">
      <w:pPr>
        <w:spacing w:line="440" w:lineRule="exact"/>
        <w:ind w:firstLine="480" w:firstLineChars="200"/>
        <w:rPr>
          <w:rFonts w:ascii="宋体" w:hAnsi="宋体" w:cs="宋体"/>
          <w:sz w:val="24"/>
          <w:highlight w:val="none"/>
        </w:rPr>
      </w:pPr>
      <w:r>
        <w:rPr>
          <w:rFonts w:hint="eastAsia" w:ascii="宋体" w:hAnsi="宋体" w:cs="宋体"/>
          <w:sz w:val="24"/>
          <w:highlight w:val="none"/>
        </w:rPr>
        <w:t>5.11.4在评定过程有明显不合理或者不正当倾向性的；</w:t>
      </w:r>
    </w:p>
    <w:p w14:paraId="08094F3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5.11.5未按招标文件规定的评定方法和标准进行评定的。 </w:t>
      </w:r>
    </w:p>
    <w:p w14:paraId="392C515A">
      <w:pPr>
        <w:rPr>
          <w:rFonts w:hint="eastAsia" w:ascii="宋体" w:hAnsi="宋体" w:cs="宋体"/>
          <w:sz w:val="24"/>
          <w:highlight w:val="none"/>
        </w:rPr>
      </w:pPr>
      <w:r>
        <w:rPr>
          <w:rFonts w:hint="eastAsia" w:ascii="宋体" w:hAnsi="宋体" w:cs="宋体"/>
          <w:sz w:val="24"/>
          <w:highlight w:val="none"/>
        </w:rPr>
        <w:br w:type="page"/>
      </w:r>
    </w:p>
    <w:p w14:paraId="12207DFC">
      <w:pPr>
        <w:adjustRightInd w:val="0"/>
        <w:snapToGrid w:val="0"/>
        <w:spacing w:before="100" w:beforeAutospacing="1" w:after="100" w:afterAutospacing="1" w:line="360" w:lineRule="auto"/>
        <w:jc w:val="center"/>
        <w:outlineLvl w:val="0"/>
        <w:rPr>
          <w:rFonts w:hint="eastAsia"/>
          <w:b/>
          <w:sz w:val="32"/>
          <w:szCs w:val="32"/>
          <w:highlight w:val="none"/>
        </w:rPr>
      </w:pPr>
      <w:bookmarkStart w:id="31" w:name="_Toc576"/>
      <w:r>
        <w:rPr>
          <w:rFonts w:hint="eastAsia"/>
          <w:b/>
          <w:sz w:val="32"/>
          <w:szCs w:val="32"/>
          <w:highlight w:val="none"/>
          <w:lang w:eastAsia="zh-CN"/>
        </w:rPr>
        <w:t>第八部分</w:t>
      </w:r>
      <w:r>
        <w:rPr>
          <w:rFonts w:hint="eastAsia"/>
          <w:b/>
          <w:sz w:val="32"/>
          <w:szCs w:val="32"/>
          <w:highlight w:val="none"/>
          <w:lang w:val="en-US" w:eastAsia="zh-CN"/>
        </w:rPr>
        <w:t xml:space="preserve">  </w:t>
      </w:r>
      <w:r>
        <w:rPr>
          <w:rFonts w:hint="eastAsia"/>
          <w:b/>
          <w:sz w:val="32"/>
          <w:szCs w:val="32"/>
          <w:highlight w:val="none"/>
        </w:rPr>
        <w:t>政府采购项目招标代理协议书</w:t>
      </w:r>
      <w:bookmarkEnd w:id="31"/>
    </w:p>
    <w:p w14:paraId="057EB280">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委托人：</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库车市文化体育广播电视和旅游局</w:t>
      </w:r>
      <w:r>
        <w:rPr>
          <w:rFonts w:hint="eastAsia" w:ascii="宋体" w:hAnsi="宋体" w:cs="宋体"/>
          <w:sz w:val="24"/>
          <w:highlight w:val="none"/>
          <w:u w:val="single"/>
        </w:rPr>
        <w:t xml:space="preserve">   </w:t>
      </w:r>
    </w:p>
    <w:p w14:paraId="5F1DB071">
      <w:pPr>
        <w:snapToGrid w:val="0"/>
        <w:spacing w:line="6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受委托人：</w:t>
      </w:r>
      <w:r>
        <w:rPr>
          <w:rFonts w:hint="eastAsia"/>
          <w:sz w:val="24"/>
          <w:highlight w:val="none"/>
          <w:u w:val="single"/>
          <w:lang w:eastAsia="zh-CN"/>
        </w:rPr>
        <w:t>新疆经开项目管理有限公司</w:t>
      </w:r>
    </w:p>
    <w:p w14:paraId="6010E30F">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依照《中华人民共和国民法典》、《中华人民共和国政府采购法》及国家的有关法律、行政法规，遵循平等、自愿、公平和诚实信用的原则，双方就</w:t>
      </w:r>
      <w:r>
        <w:rPr>
          <w:rFonts w:hint="eastAsia" w:ascii="宋体" w:hAnsi="宋体" w:cs="宋体"/>
          <w:sz w:val="24"/>
          <w:highlight w:val="none"/>
          <w:u w:val="single"/>
        </w:rPr>
        <w:t>本项目</w:t>
      </w:r>
      <w:r>
        <w:rPr>
          <w:rFonts w:hint="eastAsia" w:ascii="宋体" w:hAnsi="宋体" w:cs="宋体"/>
          <w:sz w:val="24"/>
          <w:highlight w:val="none"/>
          <w:u w:val="none"/>
        </w:rPr>
        <w:t>的</w:t>
      </w:r>
      <w:r>
        <w:rPr>
          <w:rFonts w:hint="eastAsia" w:ascii="宋体" w:hAnsi="宋体" w:cs="宋体"/>
          <w:sz w:val="24"/>
          <w:highlight w:val="none"/>
        </w:rPr>
        <w:t>招标代理事项协商一致，订立本合同。</w:t>
      </w:r>
    </w:p>
    <w:p w14:paraId="04BB7E61">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一、项目概况</w:t>
      </w:r>
    </w:p>
    <w:p w14:paraId="5F54A033">
      <w:pPr>
        <w:tabs>
          <w:tab w:val="left" w:pos="8820"/>
        </w:tabs>
        <w:snapToGrid w:val="0"/>
        <w:spacing w:line="600" w:lineRule="exact"/>
        <w:ind w:firstLine="480" w:firstLineChars="200"/>
        <w:jc w:val="left"/>
        <w:rPr>
          <w:rFonts w:hint="eastAsia"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lang w:eastAsia="zh-CN"/>
        </w:rPr>
        <w:t>库车市沉浸式文旅体验项目</w:t>
      </w:r>
    </w:p>
    <w:p w14:paraId="022D06B3">
      <w:pPr>
        <w:tabs>
          <w:tab w:val="left" w:pos="8820"/>
        </w:tabs>
        <w:snapToGrid w:val="0"/>
        <w:spacing w:line="600" w:lineRule="exact"/>
        <w:ind w:firstLine="480" w:firstLineChars="200"/>
        <w:jc w:val="left"/>
        <w:rPr>
          <w:rFonts w:hint="eastAsia"/>
          <w:sz w:val="24"/>
          <w:highlight w:val="none"/>
          <w:u w:val="single"/>
        </w:rPr>
      </w:pPr>
      <w:r>
        <w:rPr>
          <w:rFonts w:hint="eastAsia"/>
          <w:sz w:val="24"/>
          <w:highlight w:val="none"/>
          <w:u w:val="none"/>
          <w:lang w:eastAsia="zh-CN"/>
        </w:rPr>
        <w:t>项目</w:t>
      </w:r>
      <w:r>
        <w:rPr>
          <w:rFonts w:hint="eastAsia"/>
          <w:sz w:val="24"/>
          <w:highlight w:val="none"/>
          <w:u w:val="none"/>
        </w:rPr>
        <w:t>地址：</w:t>
      </w:r>
      <w:r>
        <w:rPr>
          <w:rFonts w:hint="eastAsia"/>
          <w:sz w:val="24"/>
          <w:highlight w:val="none"/>
          <w:u w:val="single"/>
        </w:rPr>
        <w:t>本项目位于库车市。</w:t>
      </w:r>
    </w:p>
    <w:p w14:paraId="0A5DE75D">
      <w:pPr>
        <w:tabs>
          <w:tab w:val="left" w:pos="8820"/>
        </w:tabs>
        <w:snapToGrid w:val="0"/>
        <w:spacing w:line="600" w:lineRule="exact"/>
        <w:ind w:firstLine="480" w:firstLineChars="200"/>
        <w:jc w:val="left"/>
        <w:rPr>
          <w:rFonts w:hint="eastAsia" w:ascii="宋体" w:hAnsi="宋体" w:cs="宋体"/>
          <w:sz w:val="24"/>
          <w:highlight w:val="none"/>
          <w:u w:val="single"/>
        </w:rPr>
      </w:pPr>
      <w:r>
        <w:rPr>
          <w:rFonts w:hint="eastAsia" w:ascii="宋体" w:hAnsi="宋体" w:cs="宋体"/>
          <w:sz w:val="24"/>
          <w:highlight w:val="none"/>
          <w:u w:val="none"/>
          <w:lang w:eastAsia="zh-CN"/>
        </w:rPr>
        <w:t>采购需求</w:t>
      </w:r>
      <w:r>
        <w:rPr>
          <w:rFonts w:hint="eastAsia" w:ascii="宋体" w:hAnsi="宋体" w:cs="宋体"/>
          <w:sz w:val="24"/>
          <w:highlight w:val="none"/>
          <w:u w:val="none"/>
        </w:rPr>
        <w:t>：</w:t>
      </w:r>
      <w:r>
        <w:rPr>
          <w:rFonts w:hint="eastAsia" w:ascii="宋体" w:hAnsi="宋体" w:cs="宋体"/>
          <w:sz w:val="24"/>
          <w:highlight w:val="none"/>
          <w:u w:val="single"/>
        </w:rPr>
        <w:t>为突破季节、天气与地理限制，打造四季皆宜的沉浸式旅游体验空间，以“穿越时空的独库之旅”为核心概念，通过VR、AR、XR等数字技术手段，在库车市部署VR/AR设备，展现独库公路沿线的四季美景与多变气候，从雪山冰川到草原湖泊，从峡谷森林到戈壁荒漠，通过数字技术强化景观的视觉冲击力。（具体详见采购需求）。</w:t>
      </w:r>
    </w:p>
    <w:p w14:paraId="4E8B1487">
      <w:pPr>
        <w:tabs>
          <w:tab w:val="left" w:pos="8400"/>
        </w:tabs>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预算金额：</w:t>
      </w:r>
      <w:r>
        <w:rPr>
          <w:rFonts w:hint="eastAsia" w:ascii="宋体" w:hAnsi="宋体" w:cs="宋体"/>
          <w:sz w:val="24"/>
          <w:highlight w:val="none"/>
          <w:u w:val="single"/>
          <w:lang w:val="en-US" w:eastAsia="zh-CN"/>
        </w:rPr>
        <w:t>400万元</w:t>
      </w:r>
    </w:p>
    <w:p w14:paraId="7740E42D">
      <w:pPr>
        <w:snapToGrid w:val="0"/>
        <w:spacing w:line="6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二、委托人委托受托人为本次采购项目的招标代理机构，承担本项目的</w:t>
      </w:r>
      <w:r>
        <w:rPr>
          <w:rFonts w:hint="eastAsia" w:ascii="宋体" w:hAnsi="宋体" w:cs="宋体"/>
          <w:sz w:val="24"/>
          <w:highlight w:val="none"/>
          <w:u w:val="single"/>
          <w:lang w:val="en-US" w:eastAsia="zh-CN"/>
        </w:rPr>
        <w:t>服务</w:t>
      </w:r>
      <w:r>
        <w:rPr>
          <w:rFonts w:hint="eastAsia" w:ascii="宋体" w:hAnsi="宋体" w:cs="宋体"/>
          <w:sz w:val="24"/>
          <w:highlight w:val="none"/>
        </w:rPr>
        <w:t>招标代理工作。</w:t>
      </w:r>
    </w:p>
    <w:p w14:paraId="3BE72B2A">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三、合同价款</w:t>
      </w:r>
    </w:p>
    <w:p w14:paraId="26BE6A02">
      <w:pPr>
        <w:snapToGrid w:val="0"/>
        <w:spacing w:line="600" w:lineRule="exact"/>
        <w:ind w:firstLine="480" w:firstLineChars="200"/>
        <w:rPr>
          <w:rFonts w:hint="eastAsia" w:ascii="宋体" w:hAnsi="宋体" w:cs="宋体"/>
          <w:sz w:val="24"/>
          <w:highlight w:val="none"/>
          <w:u w:val="single"/>
        </w:rPr>
      </w:pPr>
      <w:r>
        <w:rPr>
          <w:rFonts w:hint="eastAsia" w:ascii="宋体" w:hAnsi="宋体" w:cs="宋体"/>
          <w:sz w:val="24"/>
          <w:highlight w:val="none"/>
        </w:rPr>
        <w:t>代理报酬为</w:t>
      </w:r>
      <w:r>
        <w:rPr>
          <w:rFonts w:hint="eastAsia" w:ascii="宋体" w:hAnsi="宋体" w:cs="宋体"/>
          <w:sz w:val="24"/>
          <w:highlight w:val="none"/>
          <w:lang w:eastAsia="zh-CN"/>
        </w:rPr>
        <w:t>：</w:t>
      </w:r>
      <w:r>
        <w:rPr>
          <w:rFonts w:hint="eastAsia" w:ascii="宋体" w:hAnsi="宋体" w:cs="宋体"/>
          <w:sz w:val="24"/>
          <w:highlight w:val="none"/>
          <w:u w:val="single"/>
        </w:rPr>
        <w:t>参考发改价格【2015】299 号，国家计委价格【2002】1980 号文及发改价格【2011】534 号文的差额定率累进法计算，以中标价为基数计算</w:t>
      </w:r>
      <w:r>
        <w:rPr>
          <w:rFonts w:hint="eastAsia" w:ascii="宋体" w:hAnsi="宋体" w:cs="宋体"/>
          <w:sz w:val="24"/>
          <w:highlight w:val="none"/>
          <w:u w:val="single"/>
          <w:lang w:eastAsia="zh-CN"/>
        </w:rPr>
        <w:t>，</w:t>
      </w:r>
      <w:r>
        <w:rPr>
          <w:rFonts w:hint="eastAsia"/>
          <w:sz w:val="24"/>
          <w:highlight w:val="none"/>
          <w:u w:val="single"/>
        </w:rPr>
        <w:t>由中标人支付</w:t>
      </w:r>
      <w:r>
        <w:rPr>
          <w:rFonts w:hint="eastAsia" w:ascii="宋体" w:hAnsi="宋体" w:cs="宋体"/>
          <w:sz w:val="24"/>
          <w:highlight w:val="none"/>
          <w:u w:val="single"/>
        </w:rPr>
        <w:t>。</w:t>
      </w:r>
      <w:r>
        <w:rPr>
          <w:rFonts w:hint="eastAsia" w:ascii="宋体" w:hAnsi="宋体" w:cs="宋体"/>
          <w:sz w:val="24"/>
          <w:highlight w:val="none"/>
          <w:u w:val="none"/>
        </w:rPr>
        <w:t xml:space="preserve"> </w:t>
      </w:r>
    </w:p>
    <w:p w14:paraId="5C982C40">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四、合同订立</w:t>
      </w:r>
    </w:p>
    <w:p w14:paraId="69083982">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合同订立时间：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2026</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13</w:t>
      </w:r>
      <w:r>
        <w:rPr>
          <w:rFonts w:hint="eastAsia" w:ascii="宋体" w:hAnsi="宋体" w:cs="宋体"/>
          <w:sz w:val="24"/>
          <w:highlight w:val="none"/>
          <w:u w:val="single"/>
        </w:rPr>
        <w:t xml:space="preserve"> </w:t>
      </w:r>
      <w:r>
        <w:rPr>
          <w:rFonts w:hint="eastAsia" w:ascii="宋体" w:hAnsi="宋体" w:cs="宋体"/>
          <w:sz w:val="24"/>
          <w:highlight w:val="none"/>
        </w:rPr>
        <w:t>日</w:t>
      </w:r>
    </w:p>
    <w:p w14:paraId="658E4AE3">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合同订立地点：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库车市文化体育广播电视和旅游局</w:t>
      </w:r>
      <w:r>
        <w:rPr>
          <w:rFonts w:hint="eastAsia" w:ascii="宋体" w:hAnsi="宋体" w:cs="宋体"/>
          <w:sz w:val="24"/>
          <w:highlight w:val="none"/>
          <w:u w:val="single"/>
        </w:rPr>
        <w:t xml:space="preserve">   </w:t>
      </w:r>
    </w:p>
    <w:p w14:paraId="769E9EB0">
      <w:pPr>
        <w:snapToGrid w:val="0"/>
        <w:spacing w:line="600" w:lineRule="exact"/>
        <w:rPr>
          <w:rFonts w:hint="eastAsia" w:ascii="宋体" w:hAnsi="宋体" w:cs="宋体"/>
          <w:sz w:val="24"/>
          <w:highlight w:val="none"/>
        </w:rPr>
        <w:sectPr>
          <w:footerReference r:id="rId10" w:type="default"/>
          <w:pgSz w:w="11906" w:h="16838"/>
          <w:pgMar w:top="1440" w:right="1083" w:bottom="1440" w:left="1083" w:header="850" w:footer="992" w:gutter="0"/>
          <w:pgNumType w:fmt="decimal"/>
          <w:cols w:space="0" w:num="1"/>
          <w:rtlGutter w:val="0"/>
          <w:docGrid w:type="lines" w:linePitch="314" w:charSpace="0"/>
        </w:sectPr>
      </w:pPr>
    </w:p>
    <w:p w14:paraId="5E921170">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五、合同生效</w:t>
      </w:r>
    </w:p>
    <w:p w14:paraId="7B072A76">
      <w:pPr>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本合同双方约定</w:t>
      </w:r>
      <w:r>
        <w:rPr>
          <w:rFonts w:hint="eastAsia" w:ascii="宋体" w:hAnsi="宋体" w:cs="宋体"/>
          <w:sz w:val="24"/>
          <w:highlight w:val="none"/>
          <w:u w:val="single"/>
        </w:rPr>
        <w:t xml:space="preserve">  签字盖章  </w:t>
      </w:r>
      <w:r>
        <w:rPr>
          <w:rFonts w:hint="eastAsia" w:ascii="宋体" w:hAnsi="宋体" w:cs="宋体"/>
          <w:sz w:val="24"/>
          <w:highlight w:val="none"/>
        </w:rPr>
        <w:t>后生效</w:t>
      </w:r>
    </w:p>
    <w:p w14:paraId="568CFA76">
      <w:pPr>
        <w:snapToGrid w:val="0"/>
        <w:spacing w:line="460" w:lineRule="exact"/>
        <w:ind w:firstLine="480" w:firstLineChars="200"/>
        <w:rPr>
          <w:rFonts w:hint="eastAsia" w:ascii="宋体" w:hAnsi="宋体" w:cs="宋体"/>
          <w:sz w:val="24"/>
          <w:highlight w:val="none"/>
        </w:rPr>
      </w:pPr>
    </w:p>
    <w:p w14:paraId="20BC15D7">
      <w:pPr>
        <w:snapToGrid w:val="0"/>
        <w:spacing w:line="460" w:lineRule="exact"/>
        <w:rPr>
          <w:rFonts w:hint="eastAsia" w:ascii="宋体" w:hAnsi="宋体" w:cs="宋体"/>
          <w:sz w:val="24"/>
          <w:highlight w:val="none"/>
        </w:rPr>
      </w:pPr>
    </w:p>
    <w:p w14:paraId="61C2A99C">
      <w:pPr>
        <w:tabs>
          <w:tab w:val="left" w:pos="4680"/>
        </w:tabs>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委托人(盖章)：                   </w:t>
      </w:r>
    </w:p>
    <w:p w14:paraId="4F8F0AB5">
      <w:pPr>
        <w:tabs>
          <w:tab w:val="left" w:pos="4680"/>
        </w:tabs>
        <w:snapToGrid w:val="0"/>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p>
    <w:p w14:paraId="152D31CF">
      <w:pPr>
        <w:tabs>
          <w:tab w:val="left" w:pos="4680"/>
        </w:tabs>
        <w:snapToGrid w:val="0"/>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授权代理人(签字或盖章)：</w:t>
      </w:r>
      <w:r>
        <w:rPr>
          <w:rFonts w:hint="eastAsia" w:ascii="宋体" w:hAnsi="宋体" w:cs="宋体"/>
          <w:sz w:val="24"/>
          <w:highlight w:val="none"/>
          <w:u w:val="single"/>
        </w:rPr>
        <w:t xml:space="preserve">                                               </w:t>
      </w:r>
    </w:p>
    <w:p w14:paraId="5E956A38">
      <w:pPr>
        <w:tabs>
          <w:tab w:val="left" w:pos="4680"/>
        </w:tabs>
        <w:snapToGrid w:val="0"/>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单位地址：</w:t>
      </w:r>
      <w:r>
        <w:rPr>
          <w:rFonts w:hint="eastAsia" w:ascii="宋体" w:hAnsi="宋体" w:cs="宋体"/>
          <w:sz w:val="24"/>
          <w:highlight w:val="none"/>
          <w:u w:val="single"/>
        </w:rPr>
        <w:t xml:space="preserve">                                                            </w:t>
      </w:r>
    </w:p>
    <w:p w14:paraId="175BCCA4">
      <w:pPr>
        <w:tabs>
          <w:tab w:val="left" w:pos="4680"/>
        </w:tabs>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邮政编码：</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736B872">
      <w:pPr>
        <w:tabs>
          <w:tab w:val="left" w:pos="4140"/>
        </w:tabs>
        <w:snapToGrid w:val="0"/>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p>
    <w:p w14:paraId="6FA05FD6">
      <w:pPr>
        <w:tabs>
          <w:tab w:val="left" w:pos="4140"/>
        </w:tabs>
        <w:snapToGrid w:val="0"/>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传    真：</w:t>
      </w:r>
      <w:r>
        <w:rPr>
          <w:rFonts w:hint="eastAsia" w:ascii="宋体" w:hAnsi="宋体" w:cs="宋体"/>
          <w:sz w:val="24"/>
          <w:highlight w:val="none"/>
          <w:u w:val="single"/>
        </w:rPr>
        <w:tab/>
      </w:r>
      <w:r>
        <w:rPr>
          <w:rFonts w:hint="eastAsia" w:ascii="宋体" w:hAnsi="宋体" w:cs="宋体"/>
          <w:sz w:val="24"/>
          <w:highlight w:val="none"/>
          <w:u w:val="single"/>
        </w:rPr>
        <w:t xml:space="preserve">                                         </w:t>
      </w:r>
    </w:p>
    <w:p w14:paraId="26F74035">
      <w:pPr>
        <w:snapToGrid w:val="0"/>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电子信箱：</w:t>
      </w:r>
      <w:r>
        <w:rPr>
          <w:rFonts w:hint="eastAsia" w:ascii="宋体" w:hAnsi="宋体" w:cs="宋体"/>
          <w:sz w:val="24"/>
          <w:highlight w:val="none"/>
          <w:u w:val="single"/>
        </w:rPr>
        <w:tab/>
      </w:r>
      <w:r>
        <w:rPr>
          <w:rFonts w:hint="eastAsia" w:ascii="宋体" w:hAnsi="宋体" w:cs="宋体"/>
          <w:sz w:val="24"/>
          <w:highlight w:val="none"/>
          <w:u w:val="single"/>
        </w:rPr>
        <w:t xml:space="preserve">                                                          </w:t>
      </w:r>
    </w:p>
    <w:p w14:paraId="009C4DDA">
      <w:pPr>
        <w:tabs>
          <w:tab w:val="left" w:pos="4140"/>
        </w:tabs>
        <w:snapToGrid w:val="0"/>
        <w:spacing w:line="460" w:lineRule="exact"/>
        <w:ind w:left="479" w:leftChars="228"/>
        <w:rPr>
          <w:rFonts w:hint="eastAsia" w:ascii="宋体" w:hAnsi="宋体" w:cs="宋体"/>
          <w:sz w:val="24"/>
          <w:highlight w:val="none"/>
          <w:u w:val="single"/>
        </w:rPr>
      </w:pPr>
      <w:r>
        <w:rPr>
          <w:rFonts w:hint="eastAsia" w:ascii="宋体" w:hAnsi="宋体" w:cs="宋体"/>
          <w:sz w:val="24"/>
          <w:highlight w:val="none"/>
        </w:rPr>
        <w:t>开户银行：</w:t>
      </w:r>
      <w:r>
        <w:rPr>
          <w:rFonts w:hint="eastAsia" w:ascii="宋体" w:hAnsi="宋体" w:cs="宋体"/>
          <w:sz w:val="24"/>
          <w:highlight w:val="none"/>
          <w:u w:val="single"/>
        </w:rPr>
        <w:tab/>
      </w:r>
      <w:r>
        <w:rPr>
          <w:rFonts w:hint="eastAsia" w:ascii="宋体" w:hAnsi="宋体" w:cs="宋体"/>
          <w:sz w:val="24"/>
          <w:highlight w:val="none"/>
          <w:u w:val="single"/>
        </w:rPr>
        <w:t xml:space="preserve">                                        </w:t>
      </w:r>
    </w:p>
    <w:p w14:paraId="1DCBA6A4">
      <w:pPr>
        <w:tabs>
          <w:tab w:val="left" w:pos="4140"/>
        </w:tabs>
        <w:snapToGrid w:val="0"/>
        <w:spacing w:line="460" w:lineRule="exact"/>
        <w:ind w:left="479" w:leftChars="228"/>
        <w:rPr>
          <w:rFonts w:hint="eastAsia" w:ascii="宋体" w:hAnsi="宋体" w:cs="宋体"/>
          <w:sz w:val="24"/>
          <w:highlight w:val="none"/>
          <w:u w:val="single"/>
        </w:rPr>
      </w:pPr>
      <w:r>
        <w:rPr>
          <w:rFonts w:hint="eastAsia" w:ascii="宋体" w:hAnsi="宋体" w:cs="宋体"/>
          <w:sz w:val="24"/>
          <w:highlight w:val="none"/>
        </w:rPr>
        <w:t>帐    号：</w:t>
      </w:r>
      <w:r>
        <w:rPr>
          <w:rFonts w:hint="eastAsia" w:ascii="宋体" w:hAnsi="宋体" w:cs="宋体"/>
          <w:sz w:val="24"/>
          <w:highlight w:val="none"/>
          <w:u w:val="single"/>
        </w:rPr>
        <w:t xml:space="preserve">                                                             </w:t>
      </w:r>
    </w:p>
    <w:p w14:paraId="27D835DE">
      <w:pPr>
        <w:tabs>
          <w:tab w:val="left" w:pos="4110"/>
        </w:tabs>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 xml:space="preserve">                                </w:t>
      </w:r>
    </w:p>
    <w:p w14:paraId="2304DA5D">
      <w:pPr>
        <w:tabs>
          <w:tab w:val="left" w:pos="3750"/>
        </w:tabs>
        <w:snapToGrid w:val="0"/>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受托人(盖章)：</w:t>
      </w:r>
      <w:r>
        <w:rPr>
          <w:rFonts w:hint="eastAsia" w:ascii="宋体" w:hAnsi="宋体" w:eastAsia="宋体" w:cs="宋体"/>
          <w:sz w:val="24"/>
          <w:szCs w:val="20"/>
          <w:u w:val="single"/>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rPr>
        <w:t xml:space="preserve"> </w:t>
      </w:r>
    </w:p>
    <w:p w14:paraId="7119871C">
      <w:pPr>
        <w:tabs>
          <w:tab w:val="left" w:pos="3750"/>
        </w:tabs>
        <w:snapToGrid w:val="0"/>
        <w:spacing w:line="440" w:lineRule="exact"/>
        <w:ind w:left="479" w:leftChars="228"/>
        <w:rPr>
          <w:rFonts w:hint="eastAsia" w:ascii="宋体" w:hAnsi="宋体" w:eastAsia="宋体" w:cs="宋体"/>
          <w:sz w:val="24"/>
          <w:szCs w:val="20"/>
          <w:u w:val="single"/>
        </w:rPr>
      </w:pPr>
      <w:r>
        <w:rPr>
          <w:rFonts w:hint="eastAsia" w:ascii="宋体" w:hAnsi="宋体" w:eastAsia="宋体" w:cs="宋体"/>
          <w:sz w:val="24"/>
          <w:szCs w:val="20"/>
        </w:rPr>
        <w:t>法定代表人(签字或盖章)：</w:t>
      </w:r>
      <w:r>
        <w:rPr>
          <w:rFonts w:hint="eastAsia" w:ascii="宋体" w:hAnsi="宋体" w:eastAsia="宋体" w:cs="宋体"/>
          <w:sz w:val="24"/>
          <w:szCs w:val="20"/>
          <w:u w:val="single"/>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rPr>
        <w:t xml:space="preserve"> </w:t>
      </w:r>
      <w:r>
        <w:rPr>
          <w:rFonts w:hint="eastAsia" w:ascii="宋体" w:hAnsi="宋体" w:eastAsia="宋体" w:cs="宋体"/>
          <w:sz w:val="24"/>
          <w:szCs w:val="20"/>
        </w:rPr>
        <w:br w:type="textWrapping"/>
      </w:r>
      <w:r>
        <w:rPr>
          <w:rFonts w:hint="eastAsia" w:ascii="宋体" w:hAnsi="宋体" w:eastAsia="宋体" w:cs="宋体"/>
          <w:sz w:val="24"/>
          <w:szCs w:val="20"/>
        </w:rPr>
        <w:t>单位地址：</w:t>
      </w:r>
      <w:r>
        <w:rPr>
          <w:rFonts w:hint="eastAsia" w:ascii="宋体" w:hAnsi="宋体" w:eastAsia="宋体" w:cs="宋体"/>
          <w:sz w:val="24"/>
          <w:szCs w:val="20"/>
          <w:u w:val="single"/>
        </w:rPr>
        <w:t>新疆阿克苏地区库车市东城街道长安社区幸福路65号开发区企业公馆B座1</w:t>
      </w:r>
      <w:r>
        <w:rPr>
          <w:rFonts w:hint="eastAsia" w:ascii="宋体" w:hAnsi="宋体" w:eastAsia="宋体" w:cs="宋体"/>
          <w:sz w:val="24"/>
          <w:szCs w:val="20"/>
          <w:u w:val="single"/>
          <w:lang w:val="en-US" w:eastAsia="zh-CN"/>
        </w:rPr>
        <w:t>02</w:t>
      </w:r>
      <w:r>
        <w:rPr>
          <w:rFonts w:hint="eastAsia" w:ascii="宋体" w:hAnsi="宋体" w:eastAsia="宋体" w:cs="宋体"/>
          <w:sz w:val="24"/>
          <w:szCs w:val="20"/>
          <w:u w:val="single"/>
        </w:rPr>
        <w:t>室</w:t>
      </w:r>
    </w:p>
    <w:p w14:paraId="7D70FFC6">
      <w:pPr>
        <w:tabs>
          <w:tab w:val="left" w:pos="3750"/>
        </w:tabs>
        <w:snapToGrid w:val="0"/>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邮政编码：</w:t>
      </w:r>
      <w:r>
        <w:rPr>
          <w:rFonts w:hint="eastAsia" w:ascii="宋体" w:hAnsi="宋体" w:eastAsia="宋体" w:cs="宋体"/>
          <w:sz w:val="24"/>
          <w:szCs w:val="20"/>
          <w:u w:val="single"/>
        </w:rPr>
        <w:t>842000</w:t>
      </w:r>
    </w:p>
    <w:p w14:paraId="26FAE187">
      <w:pPr>
        <w:tabs>
          <w:tab w:val="left" w:pos="3750"/>
        </w:tabs>
        <w:snapToGrid w:val="0"/>
        <w:spacing w:line="440" w:lineRule="exact"/>
        <w:ind w:firstLine="480" w:firstLineChars="200"/>
        <w:rPr>
          <w:rFonts w:hint="eastAsia" w:ascii="宋体" w:hAnsi="宋体" w:eastAsia="宋体" w:cs="宋体"/>
          <w:sz w:val="24"/>
          <w:szCs w:val="20"/>
          <w:u w:val="single"/>
        </w:rPr>
      </w:pPr>
      <w:r>
        <w:rPr>
          <w:rFonts w:hint="eastAsia" w:ascii="宋体" w:hAnsi="宋体" w:eastAsia="宋体" w:cs="宋体"/>
          <w:sz w:val="24"/>
          <w:szCs w:val="20"/>
        </w:rPr>
        <w:t>联系电话：</w:t>
      </w:r>
      <w:r>
        <w:rPr>
          <w:rFonts w:hint="eastAsia" w:ascii="宋体" w:hAnsi="宋体" w:eastAsia="宋体" w:cs="宋体"/>
          <w:sz w:val="24"/>
          <w:szCs w:val="20"/>
          <w:u w:val="single"/>
        </w:rPr>
        <w:t>18699068456</w:t>
      </w:r>
    </w:p>
    <w:p w14:paraId="5BE1BF96">
      <w:pPr>
        <w:tabs>
          <w:tab w:val="left" w:pos="3750"/>
        </w:tabs>
        <w:snapToGrid w:val="0"/>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电子信箱：</w:t>
      </w:r>
      <w:r>
        <w:rPr>
          <w:rFonts w:hint="eastAsia" w:ascii="宋体" w:hAnsi="宋体" w:eastAsia="宋体" w:cs="宋体"/>
          <w:color w:val="auto"/>
          <w:sz w:val="24"/>
          <w:szCs w:val="18"/>
          <w:u w:val="single"/>
        </w:rPr>
        <w:t>407157814</w:t>
      </w:r>
      <w:r>
        <w:rPr>
          <w:rFonts w:hint="eastAsia" w:ascii="宋体" w:hAnsi="宋体" w:eastAsia="宋体" w:cs="宋体"/>
          <w:sz w:val="24"/>
          <w:szCs w:val="20"/>
          <w:u w:val="single"/>
        </w:rPr>
        <w:t>@qq.com</w:t>
      </w:r>
    </w:p>
    <w:p w14:paraId="0A1D4701">
      <w:pPr>
        <w:tabs>
          <w:tab w:val="left" w:pos="3750"/>
        </w:tabs>
        <w:snapToGrid w:val="0"/>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开户银行：</w:t>
      </w:r>
      <w:r>
        <w:rPr>
          <w:rFonts w:hint="eastAsia" w:ascii="宋体" w:hAnsi="宋体" w:eastAsia="宋体" w:cs="宋体"/>
          <w:sz w:val="24"/>
          <w:szCs w:val="20"/>
          <w:u w:val="single"/>
        </w:rPr>
        <w:t>中国工商银行股份有限公司库车支行营业部</w:t>
      </w:r>
    </w:p>
    <w:p w14:paraId="0EE79D7D">
      <w:pPr>
        <w:tabs>
          <w:tab w:val="left" w:pos="3750"/>
        </w:tabs>
        <w:snapToGrid w:val="0"/>
        <w:spacing w:line="440" w:lineRule="exact"/>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szCs w:val="20"/>
        </w:rPr>
        <w:t>帐    号：</w:t>
      </w:r>
      <w:r>
        <w:rPr>
          <w:rFonts w:hint="eastAsia" w:ascii="宋体" w:hAnsi="宋体" w:eastAsia="宋体" w:cs="宋体"/>
          <w:sz w:val="24"/>
          <w:szCs w:val="20"/>
          <w:u w:val="single"/>
        </w:rPr>
        <w:t>3014120109200197604</w:t>
      </w:r>
    </w:p>
    <w:p w14:paraId="208681FE">
      <w:pPr>
        <w:tabs>
          <w:tab w:val="left" w:pos="3750"/>
        </w:tabs>
        <w:snapToGrid w:val="0"/>
        <w:spacing w:line="440" w:lineRule="exact"/>
        <w:ind w:firstLine="480" w:firstLineChars="200"/>
        <w:rPr>
          <w:rFonts w:hint="eastAsia" w:ascii="宋体" w:hAnsi="宋体" w:cs="宋体"/>
          <w:sz w:val="24"/>
          <w:highlight w:val="none"/>
        </w:rPr>
      </w:pPr>
    </w:p>
    <w:p w14:paraId="3EBF660F">
      <w:pPr>
        <w:tabs>
          <w:tab w:val="left" w:pos="3750"/>
        </w:tabs>
        <w:snapToGrid w:val="0"/>
        <w:spacing w:line="440" w:lineRule="exact"/>
        <w:ind w:firstLine="480" w:firstLineChars="200"/>
        <w:rPr>
          <w:rFonts w:hint="eastAsia" w:ascii="宋体" w:hAnsi="宋体" w:cs="宋体"/>
          <w:sz w:val="24"/>
          <w:highlight w:val="none"/>
        </w:rPr>
      </w:pPr>
    </w:p>
    <w:p w14:paraId="7A3544A8">
      <w:pPr>
        <w:tabs>
          <w:tab w:val="left" w:pos="3750"/>
        </w:tabs>
        <w:snapToGrid w:val="0"/>
        <w:spacing w:line="440" w:lineRule="exact"/>
        <w:ind w:firstLine="480" w:firstLineChars="200"/>
        <w:rPr>
          <w:rFonts w:hint="eastAsia" w:ascii="宋体" w:hAnsi="宋体" w:cs="宋体"/>
          <w:sz w:val="24"/>
          <w:highlight w:val="none"/>
        </w:rPr>
      </w:pPr>
    </w:p>
    <w:p w14:paraId="776245D7">
      <w:pPr>
        <w:tabs>
          <w:tab w:val="left" w:pos="3750"/>
        </w:tabs>
        <w:snapToGrid w:val="0"/>
        <w:spacing w:line="440" w:lineRule="exact"/>
        <w:ind w:firstLine="480" w:firstLineChars="200"/>
        <w:rPr>
          <w:rFonts w:hint="eastAsia" w:ascii="宋体" w:hAnsi="宋体" w:cs="宋体"/>
          <w:sz w:val="24"/>
          <w:highlight w:val="none"/>
        </w:rPr>
      </w:pPr>
    </w:p>
    <w:p w14:paraId="74F70C72">
      <w:pPr>
        <w:tabs>
          <w:tab w:val="left" w:pos="3750"/>
        </w:tabs>
        <w:snapToGrid w:val="0"/>
        <w:spacing w:line="440" w:lineRule="exact"/>
        <w:ind w:firstLine="480" w:firstLineChars="200"/>
        <w:rPr>
          <w:rFonts w:hint="eastAsia" w:ascii="宋体" w:hAnsi="宋体" w:cs="宋体"/>
          <w:sz w:val="24"/>
          <w:highlight w:val="none"/>
        </w:rPr>
      </w:pPr>
    </w:p>
    <w:p w14:paraId="2BD2A8E0">
      <w:pPr>
        <w:rPr>
          <w:rFonts w:hint="eastAsia" w:ascii="宋体" w:hAnsi="宋体" w:cs="宋体"/>
          <w:highlight w:val="none"/>
        </w:rPr>
      </w:pPr>
    </w:p>
    <w:p w14:paraId="5E3DB2DB">
      <w:pPr>
        <w:rPr>
          <w:rFonts w:hint="eastAsia" w:ascii="宋体" w:hAnsi="宋体" w:cs="宋体"/>
          <w:b/>
          <w:sz w:val="24"/>
          <w:szCs w:val="24"/>
          <w:highlight w:val="none"/>
        </w:rPr>
      </w:pPr>
      <w:r>
        <w:rPr>
          <w:rFonts w:hint="eastAsia" w:ascii="宋体" w:hAnsi="宋体" w:cs="宋体"/>
          <w:b/>
          <w:sz w:val="24"/>
          <w:szCs w:val="24"/>
          <w:highlight w:val="none"/>
        </w:rPr>
        <w:br w:type="page"/>
      </w:r>
    </w:p>
    <w:p w14:paraId="76785331">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一、委托代理范围</w:t>
      </w:r>
    </w:p>
    <w:p w14:paraId="36A1D15D">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组织招标工作的内容和时间：招标前期咨询；项目招标备案；发布招标公告；投标报名单位资质审查；编制招标文件；组织澄清和答疑；组织开标、评标、定标；发布中标公示；签发中标通知书；协助处理异议、投诉；协调合同的签订等服务。具体时间安排依据项目的实际进展情况。</w:t>
      </w:r>
    </w:p>
    <w:p w14:paraId="71D6F306">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二、委托人的权利</w:t>
      </w:r>
    </w:p>
    <w:p w14:paraId="34BBCDD0">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委托人有权参与招投标的有关活动，审定代理人提交的招标公告、资格预审文件、招标文件、评标办法等相关文件文本。并有权要求代理人对其中与采购需要相关的地方进行修改，但修改不得违反相关法律、法规的规定。</w:t>
      </w:r>
    </w:p>
    <w:p w14:paraId="55717939">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2、委托人有权要求代理人及时提供代理工作阶段性的进展情况。</w:t>
      </w:r>
    </w:p>
    <w:p w14:paraId="091AEEEC">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3、委托人有权要求代理人更换不称职的人员或应回避的人员。</w:t>
      </w:r>
    </w:p>
    <w:p w14:paraId="11CFC616">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4、委托人有权确定代理人的具体工作内容。</w:t>
      </w:r>
    </w:p>
    <w:p w14:paraId="57399C46">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5、如委托人或政府采购主管部门发现代理人在代理活动中违反有关的法律、法规或采购程序并经确认，委托人有权要求代理人纠正，直至中止合同。</w:t>
      </w:r>
    </w:p>
    <w:p w14:paraId="2B502564">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三、委托人的义务和责任</w:t>
      </w:r>
    </w:p>
    <w:p w14:paraId="2C8356C1">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1、委托人在代理人开展招标代理业务之前应按照有关规定办全本项目招标所需的有关审批手续，编制政府采购计划，落实本次采购活动的资金，使招标工作具备条件。</w:t>
      </w:r>
    </w:p>
    <w:p w14:paraId="720D3089">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委托人应当向代理人及时、无偿、真实、详细的提供招投标代理工作范围内所需的文件和资料（如采购标的的服务、商务等有关采购需求）。并负责对供应商有关采购标的的服务、商务等与采购需求有关询问、质疑的答复。</w:t>
      </w:r>
    </w:p>
    <w:p w14:paraId="615FE23A">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3、对代理人提出的书面要求，委托人应当在三日内做出书面答复，如因此造成的时间延长由委托人负责。</w:t>
      </w:r>
    </w:p>
    <w:p w14:paraId="6A9C4272">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4、在合同履行期间，委派熟悉业务、知晓法律法规、工作认真负责的作为委托人的代表，配合代理人工作。</w:t>
      </w:r>
    </w:p>
    <w:p w14:paraId="45F29D2F">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5、委托代理咨询项目中如内容、时间等有重大调整，委托人应当书面提前三日通知代理人，以便调整相应的工作安排，如因此造成的时间延长由委托人负责。</w:t>
      </w:r>
    </w:p>
    <w:p w14:paraId="372EAC0B">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6、委托人不得泄露依法应当保密的任何信息。</w:t>
      </w:r>
    </w:p>
    <w:p w14:paraId="7B7418D8">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7、在法律规定的时限内签订采购合同，并在签订合同后提交政府采购监管机构备案。</w:t>
      </w:r>
    </w:p>
    <w:p w14:paraId="43A4219D">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8、委托人应负责对供应商履约的验收。</w:t>
      </w:r>
    </w:p>
    <w:p w14:paraId="6F6BBC01">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9、承担由于自己过失造成代理人的经济损失。</w:t>
      </w:r>
    </w:p>
    <w:p w14:paraId="35E7D06C">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10、委托方及其工作人员，不得以任何形式向代理人收受或索要回扣、好处费、礼金、有价证券和其它礼物，不得要求代理人报销应由个人支付的费用。</w:t>
      </w:r>
    </w:p>
    <w:p w14:paraId="2302C7E5">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11、委托人应当完成的其它工作：</w:t>
      </w:r>
    </w:p>
    <w:p w14:paraId="47773F04">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 xml:space="preserve">                              /                                            </w:t>
      </w:r>
    </w:p>
    <w:p w14:paraId="6F0E6BA2">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四、代理人的权利</w:t>
      </w:r>
    </w:p>
    <w:p w14:paraId="25EB2340">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1、有权拒绝违反国家法律、法规和规章以及政府采购主管部门有关规定的人为干预。</w:t>
      </w:r>
    </w:p>
    <w:p w14:paraId="2B30D698">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2、依据国家有关法律法规的规定，在授权范围内办理委托项目的招标工作。</w:t>
      </w:r>
    </w:p>
    <w:p w14:paraId="42B0DF23">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3、有权建议更换不称职或有其它原因不宜参与招标活动的委托方人员。</w:t>
      </w:r>
    </w:p>
    <w:p w14:paraId="4B58CB76">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4、如委托人的某些条件和要求不符合现行的法律、法规或程序，代理人可以建议委托人进行修改。拒不修改的，代理人有权单方面终止履行合同。</w:t>
      </w:r>
    </w:p>
    <w:p w14:paraId="5DBE6D51">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五、代理人的义务和责任</w:t>
      </w:r>
    </w:p>
    <w:p w14:paraId="7D48C689">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1、按照国家法律、法规以及政府采购行政主管部门的有关规定从事招投标代理活动。</w:t>
      </w:r>
    </w:p>
    <w:p w14:paraId="584E0F5D">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2、在本合同规定的范围内为委托方提供招标代理服务，不得将本合同所确定的招标代理服务转让给第三方。</w:t>
      </w:r>
    </w:p>
    <w:p w14:paraId="2BA87991">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3、有义务向委托方提供招标计划以及相关的招投标资料，做好相关法律、法规及规章的解释工作。并协助委托人做好采购供应商的询问、质疑的答复。</w:t>
      </w:r>
    </w:p>
    <w:p w14:paraId="7EA76E28">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4、代理方工作人员如与本采购项目潜在投标人有任何利益关系应主动提出回避。</w:t>
      </w:r>
    </w:p>
    <w:p w14:paraId="2FEC1B8F">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5、在代理活动中不得泄露依法应当保密的任何信息。</w:t>
      </w:r>
    </w:p>
    <w:p w14:paraId="4CB4348A">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6、对代理人在代理过程中自行提出的技术方案、数据参数、技术经济的分析结论负责。</w:t>
      </w:r>
    </w:p>
    <w:p w14:paraId="572FEB2A">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7、代理人成立招标代理项目组，并任命具有中级及以上职称的技术人员为项目组组长，负责该项目招标代理工作。</w:t>
      </w:r>
    </w:p>
    <w:p w14:paraId="1BE4AD39">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8、因代理人的单方过失造成的经济损失，应当向委托人进行赔偿。累计赔偿总额不应超过招标代理服务费总额（除去税金）。</w:t>
      </w:r>
    </w:p>
    <w:p w14:paraId="1EF52B35">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9、因不可抗力导致代理合同不能全部或部分履行，代理人不承担责任。</w:t>
      </w:r>
    </w:p>
    <w:p w14:paraId="04446CFC">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10、代理人不得采用行贿、给予其他利益或者诋毁他人等不正当手段进行竞争。</w:t>
      </w:r>
    </w:p>
    <w:p w14:paraId="2F363855">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六、招标代理服务收费的计取</w:t>
      </w:r>
    </w:p>
    <w:p w14:paraId="0017B159">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1、根据国家现行取费政策，按照以下计算方法确定招标代理服务费金额：</w:t>
      </w:r>
    </w:p>
    <w:p w14:paraId="2A26D62B">
      <w:pPr>
        <w:snapToGrid w:val="0"/>
        <w:spacing w:line="600" w:lineRule="exact"/>
        <w:ind w:firstLine="480" w:firstLineChars="200"/>
        <w:rPr>
          <w:rFonts w:hint="eastAsia" w:ascii="宋体" w:hAnsi="宋体" w:cs="宋体"/>
          <w:color w:val="auto"/>
          <w:sz w:val="24"/>
          <w:szCs w:val="24"/>
          <w:highlight w:val="none"/>
          <w:u w:val="single"/>
        </w:rPr>
      </w:pPr>
      <w:r>
        <w:rPr>
          <w:rFonts w:hint="eastAsia" w:ascii="宋体" w:hAnsi="宋体" w:cs="宋体"/>
          <w:sz w:val="24"/>
          <w:szCs w:val="24"/>
          <w:highlight w:val="none"/>
        </w:rPr>
        <w:t>公开（邀请）招标：</w:t>
      </w:r>
      <w:r>
        <w:rPr>
          <w:rFonts w:hint="eastAsia" w:ascii="宋体" w:hAnsi="宋体" w:cs="宋体"/>
          <w:sz w:val="24"/>
          <w:szCs w:val="24"/>
          <w:highlight w:val="none"/>
          <w:u w:val="single"/>
        </w:rPr>
        <w:t xml:space="preserve">  </w:t>
      </w:r>
      <w:r>
        <w:rPr>
          <w:rFonts w:hint="eastAsia" w:ascii="宋体" w:hAnsi="宋体" w:cs="宋体"/>
          <w:color w:val="auto"/>
          <w:sz w:val="24"/>
          <w:highlight w:val="none"/>
          <w:u w:val="single"/>
        </w:rPr>
        <w:t>同招标代理协议书第三款“合同价款”的要求</w:t>
      </w:r>
      <w:r>
        <w:rPr>
          <w:rFonts w:hint="eastAsia" w:ascii="宋体" w:hAnsi="宋体" w:cs="宋体"/>
          <w:color w:val="auto"/>
          <w:sz w:val="24"/>
          <w:szCs w:val="24"/>
          <w:highlight w:val="none"/>
        </w:rPr>
        <w:t xml:space="preserve"> </w:t>
      </w:r>
    </w:p>
    <w:p w14:paraId="40B19C2E">
      <w:pPr>
        <w:spacing w:line="6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非招标采购方式：</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rPr>
        <w:t>同招标代理协议书第三款“合同价款”的要求</w:t>
      </w:r>
      <w:r>
        <w:rPr>
          <w:rFonts w:hint="eastAsia" w:ascii="宋体" w:hAnsi="宋体" w:cs="宋体"/>
          <w:color w:val="auto"/>
          <w:sz w:val="24"/>
          <w:szCs w:val="24"/>
          <w:highlight w:val="none"/>
        </w:rPr>
        <w:t xml:space="preserve"> </w:t>
      </w:r>
    </w:p>
    <w:p w14:paraId="1FEAB923">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2、招标代理服务费的支付，采用以下</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方式。</w:t>
      </w:r>
    </w:p>
    <w:p w14:paraId="5FA8DFD6">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（1）由委托人支付。</w:t>
      </w:r>
    </w:p>
    <w:p w14:paraId="3BF1BA5E">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（2）由中标人支付。</w:t>
      </w:r>
    </w:p>
    <w:p w14:paraId="2C11D8FD">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七、委托人对代理人完成本合同委托内容的时间要求</w:t>
      </w:r>
    </w:p>
    <w:p w14:paraId="1F15B962">
      <w:pPr>
        <w:spacing w:line="6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1、代理工作开始时间：</w:t>
      </w:r>
      <w:r>
        <w:rPr>
          <w:rFonts w:hint="eastAsia" w:ascii="宋体" w:hAnsi="宋体" w:cs="宋体"/>
          <w:sz w:val="24"/>
          <w:szCs w:val="24"/>
          <w:highlight w:val="none"/>
          <w:u w:val="single"/>
        </w:rPr>
        <w:t xml:space="preserve">    合同签订之日起    </w:t>
      </w:r>
    </w:p>
    <w:p w14:paraId="431C365F">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2、代理工作完成时间：</w:t>
      </w:r>
      <w:r>
        <w:rPr>
          <w:rFonts w:hint="eastAsia" w:ascii="宋体" w:hAnsi="宋体" w:cs="宋体"/>
          <w:sz w:val="24"/>
          <w:szCs w:val="24"/>
          <w:highlight w:val="none"/>
          <w:u w:val="single"/>
        </w:rPr>
        <w:t xml:space="preserve">    项目招投标档案资料交接完毕        </w:t>
      </w:r>
    </w:p>
    <w:p w14:paraId="5152F142">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非代理方原因造成的时间延误，结束时间相应延长；代理结束以完成</w:t>
      </w:r>
      <w:r>
        <w:rPr>
          <w:rFonts w:hint="eastAsia" w:ascii="宋体" w:hAnsi="宋体" w:cs="宋体"/>
          <w:sz w:val="24"/>
          <w:szCs w:val="24"/>
          <w:highlight w:val="none"/>
          <w:u w:val="single"/>
        </w:rPr>
        <w:t>委托人与中标人签订合同并生效</w:t>
      </w:r>
      <w:r>
        <w:rPr>
          <w:rFonts w:hint="eastAsia" w:ascii="宋体" w:hAnsi="宋体" w:cs="宋体"/>
          <w:sz w:val="24"/>
          <w:szCs w:val="24"/>
          <w:highlight w:val="none"/>
        </w:rPr>
        <w:t>时间为准。</w:t>
      </w:r>
    </w:p>
    <w:p w14:paraId="7F9BE30D">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八、违约和争议的解决</w:t>
      </w:r>
    </w:p>
    <w:p w14:paraId="59035DAB">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1、由于一方违约造成的损失，由违约方承担，另一方要求违约方继续履行合同时，违约方承担上述违约责任后仍应继续履行合同。</w:t>
      </w:r>
    </w:p>
    <w:p w14:paraId="1DA0CB60">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2、由于违约造成第三方损失的，也由违约方在赔偿另一方损失的基础上再赔偿第三方损失。</w:t>
      </w:r>
    </w:p>
    <w:p w14:paraId="2C270C94">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3、双方对代理合同条款变更时必须另签补充合同条款，补充合同条款作为本代理合同的组成部分与主合同具有同等法律效力。</w:t>
      </w:r>
    </w:p>
    <w:p w14:paraId="1352E472">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4、委托人与代理人在合同履行期间发生争议时，可以和解或者要求有关主管部门调解。一方不愿和解、调解或者和解、调解不成的，双方可以选择以下</w:t>
      </w:r>
      <w:r>
        <w:rPr>
          <w:rFonts w:hint="eastAsia" w:ascii="宋体" w:hAnsi="宋体" w:cs="宋体"/>
          <w:sz w:val="24"/>
          <w:szCs w:val="24"/>
          <w:highlight w:val="none"/>
          <w:u w:val="single"/>
        </w:rPr>
        <w:t>（2）</w:t>
      </w:r>
      <w:r>
        <w:rPr>
          <w:rFonts w:hint="eastAsia" w:ascii="宋体" w:hAnsi="宋体" w:cs="宋体"/>
          <w:sz w:val="24"/>
          <w:szCs w:val="24"/>
          <w:highlight w:val="none"/>
        </w:rPr>
        <w:t>方式解决争议：</w:t>
      </w:r>
    </w:p>
    <w:p w14:paraId="31D78D8E">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（1）双方约定向</w:t>
      </w:r>
      <w:r>
        <w:rPr>
          <w:rFonts w:hint="eastAsia" w:ascii="宋体" w:hAnsi="宋体" w:cs="宋体"/>
          <w:sz w:val="24"/>
          <w:szCs w:val="24"/>
          <w:highlight w:val="none"/>
          <w:u w:val="single"/>
        </w:rPr>
        <w:t xml:space="preserve">      /       </w:t>
      </w:r>
      <w:r>
        <w:rPr>
          <w:rFonts w:hint="eastAsia" w:ascii="宋体" w:hAnsi="宋体" w:cs="宋体"/>
          <w:sz w:val="24"/>
          <w:szCs w:val="24"/>
          <w:highlight w:val="none"/>
        </w:rPr>
        <w:t>仲裁委员会申请仲裁。</w:t>
      </w:r>
    </w:p>
    <w:p w14:paraId="1874E864">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库车</w:t>
      </w:r>
      <w:r>
        <w:rPr>
          <w:rFonts w:hint="eastAsia" w:ascii="宋体" w:hAnsi="宋体" w:cs="宋体"/>
          <w:sz w:val="24"/>
          <w:szCs w:val="24"/>
          <w:highlight w:val="none"/>
          <w:u w:val="single"/>
        </w:rPr>
        <w:t xml:space="preserve">市   </w:t>
      </w:r>
      <w:r>
        <w:rPr>
          <w:rFonts w:hint="eastAsia" w:ascii="宋体" w:hAnsi="宋体" w:cs="宋体"/>
          <w:sz w:val="24"/>
          <w:szCs w:val="24"/>
          <w:highlight w:val="none"/>
        </w:rPr>
        <w:t>人民法院起诉。</w:t>
      </w:r>
    </w:p>
    <w:p w14:paraId="3F707F3C">
      <w:pPr>
        <w:spacing w:line="60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九、合同份数</w:t>
      </w:r>
    </w:p>
    <w:p w14:paraId="00918F47">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双方约定本合同一式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四</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份，双方各执</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两</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14:paraId="6C6E26D6">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补充条款：</w:t>
      </w:r>
    </w:p>
    <w:p w14:paraId="34CA8B92">
      <w:pPr>
        <w:spacing w:line="6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eastAsia="zh-CN"/>
        </w:rPr>
        <w:t>无</w:t>
      </w:r>
      <w:r>
        <w:rPr>
          <w:rFonts w:hint="eastAsia" w:ascii="宋体" w:hAnsi="宋体" w:cs="宋体"/>
          <w:sz w:val="24"/>
          <w:szCs w:val="24"/>
          <w:highlight w:val="none"/>
          <w:u w:val="single"/>
        </w:rPr>
        <w:t xml:space="preserve">                                                                             </w:t>
      </w:r>
    </w:p>
    <w:p w14:paraId="1C964F9B">
      <w:pPr>
        <w:spacing w:line="6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14:paraId="6CE1D48C">
      <w:pPr>
        <w:spacing w:line="600" w:lineRule="exact"/>
        <w:ind w:firstLine="480" w:firstLineChars="200"/>
        <w:rPr>
          <w:rFonts w:hint="eastAsia" w:ascii="宋体" w:hAnsi="宋体" w:cs="宋体"/>
          <w:sz w:val="24"/>
          <w:szCs w:val="24"/>
          <w:highlight w:val="none"/>
          <w:u w:val="single"/>
        </w:rPr>
      </w:pPr>
    </w:p>
    <w:p w14:paraId="4EED3E6A">
      <w:pPr>
        <w:spacing w:line="600" w:lineRule="exact"/>
        <w:ind w:firstLine="480" w:firstLineChars="200"/>
        <w:rPr>
          <w:rFonts w:hint="eastAsia" w:ascii="宋体" w:hAnsi="宋体" w:cs="宋体"/>
          <w:sz w:val="24"/>
          <w:szCs w:val="24"/>
          <w:highlight w:val="none"/>
          <w:u w:val="single"/>
        </w:rPr>
      </w:pPr>
    </w:p>
    <w:p w14:paraId="372D444B">
      <w:pPr>
        <w:spacing w:line="600" w:lineRule="exact"/>
        <w:ind w:firstLine="480" w:firstLineChars="200"/>
        <w:rPr>
          <w:rFonts w:hint="eastAsia" w:ascii="宋体" w:hAnsi="宋体" w:cs="宋体"/>
          <w:sz w:val="24"/>
          <w:szCs w:val="24"/>
          <w:highlight w:val="none"/>
          <w:u w:val="single"/>
        </w:rPr>
      </w:pPr>
    </w:p>
    <w:p w14:paraId="65540797">
      <w:pPr>
        <w:spacing w:line="600" w:lineRule="exact"/>
        <w:ind w:firstLine="480" w:firstLineChars="200"/>
        <w:rPr>
          <w:rFonts w:hint="eastAsia" w:ascii="宋体" w:hAnsi="宋体" w:cs="宋体"/>
          <w:sz w:val="24"/>
          <w:szCs w:val="24"/>
          <w:highlight w:val="none"/>
          <w:u w:val="single"/>
        </w:rPr>
      </w:pPr>
    </w:p>
    <w:p w14:paraId="0AC4446F">
      <w:pPr>
        <w:spacing w:line="600" w:lineRule="exact"/>
        <w:ind w:firstLine="480" w:firstLineChars="200"/>
        <w:rPr>
          <w:rFonts w:hint="eastAsia" w:ascii="宋体" w:hAnsi="宋体" w:cs="宋体"/>
          <w:sz w:val="24"/>
          <w:szCs w:val="24"/>
          <w:highlight w:val="none"/>
          <w:u w:val="single"/>
        </w:rPr>
      </w:pPr>
    </w:p>
    <w:p w14:paraId="6E68ABF3">
      <w:pPr>
        <w:spacing w:line="600" w:lineRule="exact"/>
        <w:ind w:firstLine="480" w:firstLineChars="200"/>
        <w:rPr>
          <w:rFonts w:hint="eastAsia" w:ascii="宋体" w:hAnsi="宋体" w:cs="宋体"/>
          <w:sz w:val="24"/>
          <w:szCs w:val="24"/>
          <w:highlight w:val="none"/>
          <w:u w:val="single"/>
        </w:rPr>
      </w:pPr>
    </w:p>
    <w:p w14:paraId="2F46EE72">
      <w:pPr>
        <w:spacing w:line="600" w:lineRule="exact"/>
        <w:rPr>
          <w:rFonts w:hint="eastAsia" w:ascii="宋体" w:hAnsi="宋体" w:cs="宋体"/>
          <w:sz w:val="24"/>
          <w:szCs w:val="24"/>
          <w:highlight w:val="none"/>
          <w:u w:val="single"/>
        </w:rPr>
      </w:pPr>
    </w:p>
    <w:p w14:paraId="250F45D0">
      <w:pPr>
        <w:spacing w:line="600" w:lineRule="exact"/>
        <w:rPr>
          <w:rFonts w:hint="eastAsia" w:ascii="宋体" w:hAnsi="宋体" w:cs="宋体"/>
          <w:sz w:val="24"/>
          <w:szCs w:val="24"/>
          <w:highlight w:val="none"/>
          <w:u w:val="single"/>
        </w:rPr>
      </w:pPr>
    </w:p>
    <w:p w14:paraId="45C3EE22">
      <w:pPr>
        <w:rPr>
          <w:rFonts w:hint="eastAsia" w:ascii="宋体" w:hAnsi="宋体" w:cs="宋体"/>
          <w:sz w:val="24"/>
          <w:szCs w:val="24"/>
          <w:highlight w:val="none"/>
        </w:rPr>
      </w:pPr>
    </w:p>
    <w:p w14:paraId="203CC7A4">
      <w:pPr>
        <w:rPr>
          <w:rFonts w:hint="eastAsia" w:ascii="宋体" w:hAnsi="宋体" w:cs="宋体"/>
          <w:sz w:val="24"/>
          <w:szCs w:val="24"/>
          <w:highlight w:val="none"/>
        </w:rPr>
      </w:pPr>
      <w:r>
        <w:rPr>
          <w:rFonts w:hint="eastAsia" w:ascii="宋体" w:hAnsi="宋体" w:cs="宋体"/>
          <w:sz w:val="24"/>
          <w:szCs w:val="24"/>
          <w:highlight w:val="none"/>
        </w:rPr>
        <w:br w:type="page"/>
      </w:r>
    </w:p>
    <w:p w14:paraId="7FA12BBA">
      <w:pPr>
        <w:spacing w:line="380" w:lineRule="exact"/>
        <w:rPr>
          <w:rFonts w:hint="eastAsia" w:ascii="宋体" w:hAnsi="宋体" w:cs="宋体"/>
          <w:sz w:val="24"/>
          <w:szCs w:val="24"/>
          <w:highlight w:val="none"/>
        </w:rPr>
      </w:pPr>
      <w:r>
        <w:rPr>
          <w:rFonts w:hint="eastAsia" w:ascii="宋体" w:hAnsi="宋体" w:cs="宋体"/>
          <w:sz w:val="24"/>
          <w:szCs w:val="24"/>
          <w:highlight w:val="none"/>
        </w:rPr>
        <w:t>附:</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"http://www.cin.gov.cn/law/other/2003010201.doc" \t "_blank" </w:instrText>
      </w:r>
      <w:r>
        <w:rPr>
          <w:rFonts w:hint="eastAsia" w:ascii="宋体" w:hAnsi="宋体" w:cs="宋体"/>
          <w:sz w:val="24"/>
          <w:szCs w:val="24"/>
          <w:highlight w:val="none"/>
        </w:rPr>
        <w:fldChar w:fldCharType="separate"/>
      </w:r>
      <w:r>
        <w:rPr>
          <w:rStyle w:val="34"/>
          <w:rFonts w:hint="eastAsia" w:ascii="宋体" w:hAnsi="宋体" w:cs="宋体"/>
          <w:color w:val="auto"/>
          <w:sz w:val="24"/>
          <w:szCs w:val="24"/>
          <w:highlight w:val="none"/>
        </w:rPr>
        <w:t>招标代理服务计</w:t>
      </w:r>
      <w:r>
        <w:rPr>
          <w:rFonts w:hint="eastAsia" w:ascii="宋体" w:hAnsi="宋体" w:cs="宋体"/>
          <w:sz w:val="24"/>
          <w:szCs w:val="24"/>
          <w:highlight w:val="none"/>
        </w:rPr>
        <w:fldChar w:fldCharType="end"/>
      </w:r>
      <w:r>
        <w:rPr>
          <w:rFonts w:hint="eastAsia" w:ascii="宋体" w:hAnsi="宋体" w:cs="宋体"/>
          <w:sz w:val="24"/>
          <w:szCs w:val="24"/>
          <w:highlight w:val="none"/>
        </w:rPr>
        <w:t>算方法</w:t>
      </w:r>
    </w:p>
    <w:tbl>
      <w:tblPr>
        <w:tblStyle w:val="25"/>
        <w:tblpPr w:leftFromText="180" w:rightFromText="180" w:vertAnchor="text" w:horzAnchor="page" w:tblpXSpec="center" w:tblpY="3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352"/>
        <w:gridCol w:w="2351"/>
        <w:gridCol w:w="2352"/>
      </w:tblGrid>
      <w:tr w14:paraId="22EA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907" w:type="dxa"/>
            <w:tcBorders>
              <w:tl2br w:val="single" w:color="auto" w:sz="4" w:space="0"/>
            </w:tcBorders>
            <w:noWrap w:val="0"/>
            <w:vAlign w:val="center"/>
          </w:tcPr>
          <w:p w14:paraId="5C81DD54">
            <w:pPr>
              <w:spacing w:line="440" w:lineRule="exact"/>
              <w:ind w:firstLine="1205" w:firstLineChars="500"/>
              <w:jc w:val="right"/>
              <w:rPr>
                <w:rFonts w:hint="eastAsia" w:ascii="宋体" w:hAnsi="宋体" w:cs="宋体"/>
                <w:b/>
                <w:sz w:val="24"/>
                <w:szCs w:val="24"/>
                <w:highlight w:val="none"/>
              </w:rPr>
            </w:pPr>
            <w:r>
              <w:rPr>
                <w:rFonts w:hint="eastAsia" w:ascii="宋体" w:hAnsi="宋体" w:cs="宋体"/>
                <w:b/>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R037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sz w:val="24"/>
                <w:szCs w:val="24"/>
                <w:highlight w:val="none"/>
              </w:rPr>
              <w:t>服务类型</w:t>
            </w:r>
          </w:p>
          <w:p w14:paraId="515C48E1">
            <w:pPr>
              <w:spacing w:line="440" w:lineRule="exact"/>
              <w:jc w:val="left"/>
              <w:rPr>
                <w:rFonts w:hint="eastAsia" w:ascii="宋体" w:hAnsi="宋体" w:cs="宋体"/>
                <w:b/>
                <w:sz w:val="24"/>
                <w:szCs w:val="24"/>
                <w:highlight w:val="none"/>
              </w:rPr>
            </w:pPr>
            <w:r>
              <w:rPr>
                <w:rFonts w:hint="eastAsia" w:ascii="宋体" w:hAnsi="宋体" w:cs="宋体"/>
                <w:b/>
                <w:sz w:val="24"/>
                <w:szCs w:val="24"/>
                <w:highlight w:val="none"/>
              </w:rPr>
              <w:t>中标金额</w:t>
            </w:r>
          </w:p>
        </w:tc>
        <w:tc>
          <w:tcPr>
            <w:tcW w:w="2352" w:type="dxa"/>
            <w:noWrap w:val="0"/>
            <w:vAlign w:val="center"/>
          </w:tcPr>
          <w:p w14:paraId="50D681DD">
            <w:pPr>
              <w:spacing w:line="440" w:lineRule="exact"/>
              <w:jc w:val="center"/>
              <w:rPr>
                <w:rFonts w:hint="eastAsia" w:ascii="宋体" w:hAnsi="宋体" w:cs="宋体"/>
                <w:b/>
                <w:sz w:val="24"/>
                <w:szCs w:val="24"/>
                <w:highlight w:val="none"/>
              </w:rPr>
            </w:pPr>
            <w:r>
              <w:rPr>
                <w:rFonts w:hint="eastAsia" w:ascii="宋体" w:hAnsi="宋体" w:cs="宋体"/>
                <w:b/>
                <w:sz w:val="24"/>
                <w:szCs w:val="24"/>
                <w:highlight w:val="none"/>
              </w:rPr>
              <w:t>货物招标</w:t>
            </w:r>
          </w:p>
        </w:tc>
        <w:tc>
          <w:tcPr>
            <w:tcW w:w="2351" w:type="dxa"/>
            <w:noWrap w:val="0"/>
            <w:vAlign w:val="center"/>
          </w:tcPr>
          <w:p w14:paraId="2C7045D1">
            <w:pPr>
              <w:spacing w:line="440" w:lineRule="exact"/>
              <w:jc w:val="center"/>
              <w:rPr>
                <w:rFonts w:hint="eastAsia" w:ascii="宋体" w:hAnsi="宋体" w:cs="宋体"/>
                <w:b/>
                <w:sz w:val="24"/>
                <w:szCs w:val="24"/>
                <w:highlight w:val="none"/>
              </w:rPr>
            </w:pPr>
            <w:r>
              <w:rPr>
                <w:rFonts w:hint="eastAsia" w:ascii="宋体" w:hAnsi="宋体" w:cs="宋体"/>
                <w:b/>
                <w:sz w:val="24"/>
                <w:szCs w:val="24"/>
                <w:highlight w:val="none"/>
              </w:rPr>
              <w:t>服务招标</w:t>
            </w:r>
          </w:p>
        </w:tc>
        <w:tc>
          <w:tcPr>
            <w:tcW w:w="2352" w:type="dxa"/>
            <w:noWrap w:val="0"/>
            <w:vAlign w:val="center"/>
          </w:tcPr>
          <w:p w14:paraId="756112FE">
            <w:pPr>
              <w:spacing w:line="440" w:lineRule="exact"/>
              <w:jc w:val="center"/>
              <w:rPr>
                <w:rFonts w:hint="eastAsia" w:ascii="宋体" w:hAnsi="宋体" w:cs="宋体"/>
                <w:b/>
                <w:sz w:val="24"/>
                <w:szCs w:val="24"/>
                <w:highlight w:val="none"/>
              </w:rPr>
            </w:pPr>
            <w:r>
              <w:rPr>
                <w:rFonts w:hint="eastAsia" w:ascii="宋体" w:hAnsi="宋体" w:cs="宋体"/>
                <w:b/>
                <w:sz w:val="24"/>
                <w:szCs w:val="24"/>
                <w:highlight w:val="none"/>
              </w:rPr>
              <w:t>工程招标</w:t>
            </w:r>
          </w:p>
        </w:tc>
      </w:tr>
      <w:tr w14:paraId="6E89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2D5EE5ED">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100万元以下</w:t>
            </w:r>
          </w:p>
        </w:tc>
        <w:tc>
          <w:tcPr>
            <w:tcW w:w="2352" w:type="dxa"/>
            <w:noWrap w:val="0"/>
            <w:vAlign w:val="center"/>
          </w:tcPr>
          <w:p w14:paraId="5E2A3B1D">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1.5%</w:t>
            </w:r>
          </w:p>
        </w:tc>
        <w:tc>
          <w:tcPr>
            <w:tcW w:w="2351" w:type="dxa"/>
            <w:noWrap w:val="0"/>
            <w:vAlign w:val="center"/>
          </w:tcPr>
          <w:p w14:paraId="7D764FFA">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1.5%</w:t>
            </w:r>
          </w:p>
        </w:tc>
        <w:tc>
          <w:tcPr>
            <w:tcW w:w="2352" w:type="dxa"/>
            <w:noWrap w:val="0"/>
            <w:vAlign w:val="center"/>
          </w:tcPr>
          <w:p w14:paraId="5DF81A2A">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1.0%</w:t>
            </w:r>
          </w:p>
        </w:tc>
      </w:tr>
      <w:tr w14:paraId="794C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039CD7FD">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100-500万元</w:t>
            </w:r>
          </w:p>
        </w:tc>
        <w:tc>
          <w:tcPr>
            <w:tcW w:w="2352" w:type="dxa"/>
            <w:noWrap w:val="0"/>
            <w:vAlign w:val="center"/>
          </w:tcPr>
          <w:p w14:paraId="23CEA96A">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1.1%</w:t>
            </w:r>
          </w:p>
        </w:tc>
        <w:tc>
          <w:tcPr>
            <w:tcW w:w="2351" w:type="dxa"/>
            <w:noWrap w:val="0"/>
            <w:vAlign w:val="center"/>
          </w:tcPr>
          <w:p w14:paraId="50E4802E">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0.8%</w:t>
            </w:r>
          </w:p>
        </w:tc>
        <w:tc>
          <w:tcPr>
            <w:tcW w:w="2352" w:type="dxa"/>
            <w:noWrap w:val="0"/>
            <w:vAlign w:val="center"/>
          </w:tcPr>
          <w:p w14:paraId="52B0EFA9">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0.7%</w:t>
            </w:r>
          </w:p>
        </w:tc>
      </w:tr>
      <w:tr w14:paraId="219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40D603CA">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500-1000万元</w:t>
            </w:r>
          </w:p>
        </w:tc>
        <w:tc>
          <w:tcPr>
            <w:tcW w:w="2352" w:type="dxa"/>
            <w:noWrap w:val="0"/>
            <w:vAlign w:val="center"/>
          </w:tcPr>
          <w:p w14:paraId="0FA66952">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0.8%</w:t>
            </w:r>
          </w:p>
        </w:tc>
        <w:tc>
          <w:tcPr>
            <w:tcW w:w="2351" w:type="dxa"/>
            <w:noWrap w:val="0"/>
            <w:vAlign w:val="center"/>
          </w:tcPr>
          <w:p w14:paraId="3945611C">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0.45%</w:t>
            </w:r>
          </w:p>
        </w:tc>
        <w:tc>
          <w:tcPr>
            <w:tcW w:w="2352" w:type="dxa"/>
            <w:noWrap w:val="0"/>
            <w:vAlign w:val="center"/>
          </w:tcPr>
          <w:p w14:paraId="04985360">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0.55%</w:t>
            </w:r>
          </w:p>
        </w:tc>
      </w:tr>
      <w:tr w14:paraId="678B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7008C533">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1000-5000万元</w:t>
            </w:r>
          </w:p>
        </w:tc>
        <w:tc>
          <w:tcPr>
            <w:tcW w:w="2352" w:type="dxa"/>
            <w:noWrap w:val="0"/>
            <w:vAlign w:val="center"/>
          </w:tcPr>
          <w:p w14:paraId="2BA090FD">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0.5%</w:t>
            </w:r>
          </w:p>
        </w:tc>
        <w:tc>
          <w:tcPr>
            <w:tcW w:w="2351" w:type="dxa"/>
            <w:noWrap w:val="0"/>
            <w:vAlign w:val="center"/>
          </w:tcPr>
          <w:p w14:paraId="5F743CDC">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0.25%</w:t>
            </w:r>
          </w:p>
        </w:tc>
        <w:tc>
          <w:tcPr>
            <w:tcW w:w="2352" w:type="dxa"/>
            <w:noWrap w:val="0"/>
            <w:vAlign w:val="center"/>
          </w:tcPr>
          <w:p w14:paraId="70343987">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0.35%</w:t>
            </w:r>
          </w:p>
        </w:tc>
      </w:tr>
      <w:tr w14:paraId="35AD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5EEB554B">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5000万元-1亿元</w:t>
            </w:r>
          </w:p>
        </w:tc>
        <w:tc>
          <w:tcPr>
            <w:tcW w:w="2352" w:type="dxa"/>
            <w:noWrap w:val="0"/>
            <w:vAlign w:val="center"/>
          </w:tcPr>
          <w:p w14:paraId="4930A4BA">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0.25%</w:t>
            </w:r>
          </w:p>
        </w:tc>
        <w:tc>
          <w:tcPr>
            <w:tcW w:w="2351" w:type="dxa"/>
            <w:noWrap w:val="0"/>
            <w:vAlign w:val="center"/>
          </w:tcPr>
          <w:p w14:paraId="771A03DA">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0.1%</w:t>
            </w:r>
          </w:p>
        </w:tc>
        <w:tc>
          <w:tcPr>
            <w:tcW w:w="2352" w:type="dxa"/>
            <w:noWrap w:val="0"/>
            <w:vAlign w:val="center"/>
          </w:tcPr>
          <w:p w14:paraId="06D807EE">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0.2%</w:t>
            </w:r>
          </w:p>
        </w:tc>
      </w:tr>
      <w:tr w14:paraId="39DF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7037702E">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1-5亿元</w:t>
            </w:r>
          </w:p>
        </w:tc>
        <w:tc>
          <w:tcPr>
            <w:tcW w:w="2352" w:type="dxa"/>
            <w:noWrap w:val="0"/>
            <w:vAlign w:val="center"/>
          </w:tcPr>
          <w:p w14:paraId="33722163">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0.05%</w:t>
            </w:r>
          </w:p>
        </w:tc>
        <w:tc>
          <w:tcPr>
            <w:tcW w:w="2351" w:type="dxa"/>
            <w:noWrap w:val="0"/>
            <w:vAlign w:val="center"/>
          </w:tcPr>
          <w:p w14:paraId="5F247087">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0.05%</w:t>
            </w:r>
          </w:p>
        </w:tc>
        <w:tc>
          <w:tcPr>
            <w:tcW w:w="2352" w:type="dxa"/>
            <w:noWrap w:val="0"/>
            <w:vAlign w:val="center"/>
          </w:tcPr>
          <w:p w14:paraId="05E2B29F">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0.05%</w:t>
            </w:r>
          </w:p>
        </w:tc>
      </w:tr>
      <w:tr w14:paraId="7314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6F8A8851">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5-10亿元</w:t>
            </w:r>
          </w:p>
        </w:tc>
        <w:tc>
          <w:tcPr>
            <w:tcW w:w="2352" w:type="dxa"/>
            <w:noWrap w:val="0"/>
            <w:vAlign w:val="center"/>
          </w:tcPr>
          <w:p w14:paraId="6414F2F4">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0.035%</w:t>
            </w:r>
          </w:p>
        </w:tc>
        <w:tc>
          <w:tcPr>
            <w:tcW w:w="2351" w:type="dxa"/>
            <w:noWrap w:val="0"/>
            <w:vAlign w:val="center"/>
          </w:tcPr>
          <w:p w14:paraId="7CC2F565">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0.035%</w:t>
            </w:r>
          </w:p>
        </w:tc>
        <w:tc>
          <w:tcPr>
            <w:tcW w:w="2352" w:type="dxa"/>
            <w:noWrap w:val="0"/>
            <w:vAlign w:val="center"/>
          </w:tcPr>
          <w:p w14:paraId="3C1A0123">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0.035%</w:t>
            </w:r>
          </w:p>
        </w:tc>
      </w:tr>
      <w:tr w14:paraId="0585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0AF329F1">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10-50亿元</w:t>
            </w:r>
          </w:p>
        </w:tc>
        <w:tc>
          <w:tcPr>
            <w:tcW w:w="2352" w:type="dxa"/>
            <w:noWrap w:val="0"/>
            <w:vAlign w:val="center"/>
          </w:tcPr>
          <w:p w14:paraId="3DD45192">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0.008%</w:t>
            </w:r>
          </w:p>
        </w:tc>
        <w:tc>
          <w:tcPr>
            <w:tcW w:w="2351" w:type="dxa"/>
            <w:noWrap w:val="0"/>
            <w:vAlign w:val="center"/>
          </w:tcPr>
          <w:p w14:paraId="29EF27D4">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0.008%</w:t>
            </w:r>
          </w:p>
        </w:tc>
        <w:tc>
          <w:tcPr>
            <w:tcW w:w="2352" w:type="dxa"/>
            <w:noWrap w:val="0"/>
            <w:vAlign w:val="center"/>
          </w:tcPr>
          <w:p w14:paraId="1711403C">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0.008%</w:t>
            </w:r>
          </w:p>
        </w:tc>
      </w:tr>
      <w:tr w14:paraId="414C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6ED2D5B1">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50-100亿元</w:t>
            </w:r>
          </w:p>
        </w:tc>
        <w:tc>
          <w:tcPr>
            <w:tcW w:w="2352" w:type="dxa"/>
            <w:noWrap w:val="0"/>
            <w:vAlign w:val="center"/>
          </w:tcPr>
          <w:p w14:paraId="3FE616E4">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0.006%</w:t>
            </w:r>
          </w:p>
        </w:tc>
        <w:tc>
          <w:tcPr>
            <w:tcW w:w="2351" w:type="dxa"/>
            <w:noWrap w:val="0"/>
            <w:vAlign w:val="center"/>
          </w:tcPr>
          <w:p w14:paraId="1A865D69">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0.006%</w:t>
            </w:r>
          </w:p>
        </w:tc>
        <w:tc>
          <w:tcPr>
            <w:tcW w:w="2352" w:type="dxa"/>
            <w:noWrap w:val="0"/>
            <w:vAlign w:val="center"/>
          </w:tcPr>
          <w:p w14:paraId="27861F20">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0.006%</w:t>
            </w:r>
          </w:p>
        </w:tc>
      </w:tr>
      <w:tr w14:paraId="0468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14:paraId="4082D336">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100亿元以上</w:t>
            </w:r>
          </w:p>
        </w:tc>
        <w:tc>
          <w:tcPr>
            <w:tcW w:w="2352" w:type="dxa"/>
            <w:noWrap w:val="0"/>
            <w:vAlign w:val="center"/>
          </w:tcPr>
          <w:p w14:paraId="5859D572">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0.004%</w:t>
            </w:r>
          </w:p>
        </w:tc>
        <w:tc>
          <w:tcPr>
            <w:tcW w:w="2351" w:type="dxa"/>
            <w:noWrap w:val="0"/>
            <w:vAlign w:val="center"/>
          </w:tcPr>
          <w:p w14:paraId="123FA322">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0.004%</w:t>
            </w:r>
          </w:p>
        </w:tc>
        <w:tc>
          <w:tcPr>
            <w:tcW w:w="2352" w:type="dxa"/>
            <w:noWrap w:val="0"/>
            <w:vAlign w:val="center"/>
          </w:tcPr>
          <w:p w14:paraId="2905731D">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0.004%</w:t>
            </w:r>
          </w:p>
        </w:tc>
      </w:tr>
    </w:tbl>
    <w:p w14:paraId="34311058">
      <w:pPr>
        <w:rPr>
          <w:rFonts w:hint="eastAsia" w:ascii="宋体" w:hAnsi="宋体" w:cs="宋体"/>
          <w:sz w:val="24"/>
          <w:szCs w:val="24"/>
          <w:highlight w:val="none"/>
        </w:rPr>
      </w:pPr>
    </w:p>
    <w:p w14:paraId="36F7E7C9">
      <w:pPr>
        <w:spacing w:line="600" w:lineRule="exact"/>
        <w:rPr>
          <w:rFonts w:hint="eastAsia" w:ascii="宋体" w:hAnsi="宋体" w:cs="宋体"/>
          <w:sz w:val="24"/>
          <w:szCs w:val="24"/>
          <w:highlight w:val="none"/>
        </w:rPr>
      </w:pPr>
      <w:r>
        <w:rPr>
          <w:rFonts w:hint="eastAsia" w:ascii="宋体" w:hAnsi="宋体" w:cs="宋体"/>
          <w:sz w:val="24"/>
          <w:szCs w:val="24"/>
          <w:highlight w:val="none"/>
        </w:rPr>
        <w:t>注：1.按本表费率计算的收费为招标代理服务全过程的收费基准价格，单独提供编制招标文件（有标底的含标底）服务的，可按规定标准的30%计收。</w:t>
      </w:r>
    </w:p>
    <w:p w14:paraId="2B066490">
      <w:pPr>
        <w:spacing w:line="600" w:lineRule="exact"/>
        <w:rPr>
          <w:rFonts w:hint="eastAsia" w:ascii="宋体" w:hAnsi="宋体" w:cs="宋体"/>
          <w:sz w:val="24"/>
          <w:szCs w:val="24"/>
          <w:highlight w:val="none"/>
        </w:rPr>
      </w:pPr>
      <w:r>
        <w:rPr>
          <w:rFonts w:hint="eastAsia" w:ascii="宋体" w:hAnsi="宋体" w:cs="宋体"/>
          <w:sz w:val="24"/>
          <w:szCs w:val="24"/>
          <w:highlight w:val="none"/>
        </w:rPr>
        <w:t>2.招标代理服务收费按差额定率累进法计算。例如：某工程招标代理业务中标金额为6000万元，计算招标代理服务收费额如下：</w:t>
      </w:r>
    </w:p>
    <w:p w14:paraId="4781DFDF">
      <w:pPr>
        <w:spacing w:line="600" w:lineRule="exact"/>
        <w:rPr>
          <w:rFonts w:hint="eastAsia" w:ascii="宋体" w:hAnsi="宋体" w:cs="宋体"/>
          <w:sz w:val="24"/>
          <w:szCs w:val="24"/>
          <w:highlight w:val="none"/>
        </w:rPr>
      </w:pPr>
      <w:r>
        <w:rPr>
          <w:rFonts w:hint="eastAsia" w:ascii="宋体" w:hAnsi="宋体" w:cs="宋体"/>
          <w:sz w:val="24"/>
          <w:szCs w:val="24"/>
          <w:highlight w:val="none"/>
        </w:rPr>
        <w:t>100万元×1.0%=1万元</w:t>
      </w:r>
    </w:p>
    <w:p w14:paraId="01739399">
      <w:pPr>
        <w:spacing w:line="600" w:lineRule="exact"/>
        <w:rPr>
          <w:rFonts w:hint="eastAsia" w:ascii="宋体" w:hAnsi="宋体" w:cs="宋体"/>
          <w:sz w:val="24"/>
          <w:szCs w:val="24"/>
          <w:highlight w:val="none"/>
        </w:rPr>
      </w:pPr>
      <w:r>
        <w:rPr>
          <w:rFonts w:hint="eastAsia" w:ascii="宋体" w:hAnsi="宋体" w:cs="宋体"/>
          <w:sz w:val="24"/>
          <w:szCs w:val="24"/>
          <w:highlight w:val="none"/>
        </w:rPr>
        <w:t>（500-100）万元×0.7%=2.8万元</w:t>
      </w:r>
    </w:p>
    <w:p w14:paraId="312AA42F">
      <w:pPr>
        <w:spacing w:line="600" w:lineRule="exact"/>
        <w:rPr>
          <w:rFonts w:hint="eastAsia" w:ascii="宋体" w:hAnsi="宋体" w:cs="宋体"/>
          <w:sz w:val="24"/>
          <w:szCs w:val="24"/>
          <w:highlight w:val="none"/>
        </w:rPr>
      </w:pPr>
      <w:r>
        <w:rPr>
          <w:rFonts w:hint="eastAsia" w:ascii="宋体" w:hAnsi="宋体" w:cs="宋体"/>
          <w:sz w:val="24"/>
          <w:szCs w:val="24"/>
          <w:highlight w:val="none"/>
        </w:rPr>
        <w:t>（1000-500）×0.55%=2.75万元</w:t>
      </w:r>
    </w:p>
    <w:p w14:paraId="3EEE6EFB">
      <w:pPr>
        <w:spacing w:line="600" w:lineRule="exact"/>
        <w:rPr>
          <w:rFonts w:hint="eastAsia" w:ascii="宋体" w:hAnsi="宋体" w:cs="宋体"/>
          <w:sz w:val="24"/>
          <w:szCs w:val="24"/>
          <w:highlight w:val="none"/>
        </w:rPr>
      </w:pPr>
      <w:r>
        <w:rPr>
          <w:rFonts w:hint="eastAsia" w:ascii="宋体" w:hAnsi="宋体" w:cs="宋体"/>
          <w:sz w:val="24"/>
          <w:szCs w:val="24"/>
          <w:highlight w:val="none"/>
        </w:rPr>
        <w:t>（5000-1000）×0.35%=14万元</w:t>
      </w:r>
    </w:p>
    <w:p w14:paraId="4246FBB5">
      <w:pPr>
        <w:spacing w:line="600" w:lineRule="exact"/>
        <w:rPr>
          <w:rFonts w:hint="eastAsia" w:ascii="宋体" w:hAnsi="宋体" w:cs="宋体"/>
          <w:sz w:val="24"/>
          <w:szCs w:val="24"/>
          <w:highlight w:val="none"/>
        </w:rPr>
      </w:pPr>
      <w:r>
        <w:rPr>
          <w:rFonts w:hint="eastAsia" w:ascii="宋体" w:hAnsi="宋体" w:cs="宋体"/>
          <w:sz w:val="24"/>
          <w:szCs w:val="24"/>
          <w:highlight w:val="none"/>
        </w:rPr>
        <w:t>（6000-5000）×0.2%=2万元</w:t>
      </w:r>
    </w:p>
    <w:p w14:paraId="66F43A2D">
      <w:pPr>
        <w:pStyle w:val="41"/>
        <w:rPr>
          <w:highlight w:val="none"/>
        </w:rPr>
      </w:pPr>
      <w:r>
        <w:rPr>
          <w:rFonts w:hint="eastAsia" w:ascii="宋体" w:hAnsi="宋体" w:cs="宋体"/>
          <w:sz w:val="24"/>
          <w:szCs w:val="24"/>
          <w:highlight w:val="none"/>
        </w:rPr>
        <w:t xml:space="preserve"> 合计收费=1+2.8+2.75+14+2=22.55（万元）</w:t>
      </w:r>
    </w:p>
    <w:p w14:paraId="31D1D4A5">
      <w:pPr>
        <w:rPr>
          <w:highlight w:val="none"/>
        </w:rPr>
      </w:pPr>
    </w:p>
    <w:sectPr>
      <w:pgSz w:w="11906" w:h="16838"/>
      <w:pgMar w:top="1440" w:right="1083" w:bottom="1440" w:left="1083" w:header="850"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0733F8D-E6C8-401B-8121-02D196E326FD}"/>
  </w:font>
  <w:font w:name="黑体">
    <w:panose1 w:val="02010609060101010101"/>
    <w:charset w:val="86"/>
    <w:family w:val="auto"/>
    <w:pitch w:val="default"/>
    <w:sig w:usb0="800002BF" w:usb1="38CF7CFA" w:usb2="00000016" w:usb3="00000000" w:csb0="00040001" w:csb1="00000000"/>
    <w:embedRegular r:id="rId2" w:fontKey="{BD6E61FD-ADEB-41E9-914B-D782197FD9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D079632-B2BF-4E77-8844-72650C8F72F8}"/>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A00002BF" w:usb1="78CF7CFB" w:usb2="00000016" w:usb3="00000000" w:csb0="6006009F" w:csb1="DFD70000"/>
    <w:embedRegular r:id="rId4" w:fontKey="{5B29F389-3778-4CB3-BE48-3243C2DE8983}"/>
  </w:font>
  <w:font w:name="Angsana New">
    <w:panose1 w:val="02020603050405020304"/>
    <w:charset w:val="00"/>
    <w:family w:val="roman"/>
    <w:pitch w:val="default"/>
    <w:sig w:usb0="81000003" w:usb1="00000000" w:usb2="00000000" w:usb3="00000000" w:csb0="0001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E04B497A-1D28-4288-BDD5-5BB46F775506}"/>
  </w:font>
  <w:font w:name="Microsoft Uighur">
    <w:panose1 w:val="02000000000000000000"/>
    <w:charset w:val="00"/>
    <w:family w:val="auto"/>
    <w:pitch w:val="default"/>
    <w:sig w:usb0="00002003" w:usb1="80000000" w:usb2="00000008" w:usb3="00000000" w:csb0="0000004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6" w:fontKey="{0E41A313-4AD7-4D05-A6BE-047408155C17}"/>
  </w:font>
  <w:font w:name="WPSEMBED2">
    <w:panose1 w:val="02010600040101010101"/>
    <w:charset w:val="86"/>
    <w:family w:val="auto"/>
    <w:pitch w:val="default"/>
    <w:sig w:usb0="A00002BF" w:usb1="78CF7CFB"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5830">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284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51BC4">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C190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45C190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805E">
    <w:pPr>
      <w:pStyle w:val="17"/>
      <w:jc w:val="center"/>
    </w:pPr>
  </w:p>
  <w:p w14:paraId="2CCEEC26">
    <w:pPr>
      <w:pStyle w:val="17"/>
      <w:rPr>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CD18">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EEFC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A3EEFCA">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37218009">
    <w:pPr>
      <w:pStyle w:val="17"/>
      <w:rPr>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35E5">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08B3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B608B3B">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78857DA3">
    <w:pPr>
      <w:pStyle w:val="17"/>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74CC">
    <w:pPr>
      <w:spacing w:line="360" w:lineRule="auto"/>
      <w:jc w:val="left"/>
      <w:rPr>
        <w:rFonts w:ascii="仿宋_GB2312" w:hAnsi="华文楷体" w:eastAsia="仿宋_GB2312"/>
        <w:b/>
        <w:bCs/>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4D11">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44CA0"/>
    <w:multiLevelType w:val="singleLevel"/>
    <w:tmpl w:val="D4844CA0"/>
    <w:lvl w:ilvl="0" w:tentative="0">
      <w:start w:val="4"/>
      <w:numFmt w:val="chineseCounting"/>
      <w:suff w:val="space"/>
      <w:lvlText w:val="第%1部分"/>
      <w:lvlJc w:val="left"/>
      <w:rPr>
        <w:rFonts w:hint="eastAsia"/>
      </w:rPr>
    </w:lvl>
  </w:abstractNum>
  <w:abstractNum w:abstractNumId="1">
    <w:nsid w:val="543C69CF"/>
    <w:multiLevelType w:val="singleLevel"/>
    <w:tmpl w:val="543C69CF"/>
    <w:lvl w:ilvl="0" w:tentative="0">
      <w:start w:val="6"/>
      <w:numFmt w:val="chineseCounting"/>
      <w:suff w:val="space"/>
      <w:lvlText w:val="第%1部分"/>
      <w:lvlJc w:val="left"/>
      <w:rPr>
        <w:rFonts w:hint="eastAsia"/>
      </w:rPr>
    </w:lvl>
  </w:abstractNum>
  <w:abstractNum w:abstractNumId="2">
    <w:nsid w:val="64487842"/>
    <w:multiLevelType w:val="multilevel"/>
    <w:tmpl w:val="64487842"/>
    <w:lvl w:ilvl="0" w:tentative="0">
      <w:start w:val="1"/>
      <w:numFmt w:val="decimal"/>
      <w:pStyle w:val="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0E499E"/>
    <w:multiLevelType w:val="multilevel"/>
    <w:tmpl w:val="6F0E499E"/>
    <w:lvl w:ilvl="0" w:tentative="0">
      <w:start w:val="1"/>
      <w:numFmt w:val="decimal"/>
      <w:pStyle w:val="6"/>
      <w:lvlText w:val="%1、"/>
      <w:lvlJc w:val="left"/>
      <w:pPr>
        <w:ind w:left="704" w:hanging="420"/>
      </w:pPr>
      <w:rPr>
        <w:rFonts w:hint="default"/>
      </w:rPr>
    </w:lvl>
    <w:lvl w:ilvl="1" w:tentative="0">
      <w:start w:val="1"/>
      <w:numFmt w:val="lowerLetter"/>
      <w:lvlText w:val="%2)"/>
      <w:lvlJc w:val="left"/>
      <w:pPr>
        <w:ind w:left="5094" w:hanging="420"/>
      </w:pPr>
    </w:lvl>
    <w:lvl w:ilvl="2" w:tentative="0">
      <w:start w:val="1"/>
      <w:numFmt w:val="lowerRoman"/>
      <w:lvlText w:val="%3."/>
      <w:lvlJc w:val="right"/>
      <w:pPr>
        <w:ind w:left="5514" w:hanging="420"/>
      </w:pPr>
    </w:lvl>
    <w:lvl w:ilvl="3" w:tentative="0">
      <w:start w:val="1"/>
      <w:numFmt w:val="decimal"/>
      <w:lvlText w:val="%4."/>
      <w:lvlJc w:val="left"/>
      <w:pPr>
        <w:ind w:left="5934" w:hanging="420"/>
      </w:pPr>
    </w:lvl>
    <w:lvl w:ilvl="4" w:tentative="0">
      <w:start w:val="1"/>
      <w:numFmt w:val="lowerLetter"/>
      <w:lvlText w:val="%5)"/>
      <w:lvlJc w:val="left"/>
      <w:pPr>
        <w:ind w:left="6354" w:hanging="420"/>
      </w:pPr>
    </w:lvl>
    <w:lvl w:ilvl="5" w:tentative="0">
      <w:start w:val="1"/>
      <w:numFmt w:val="lowerRoman"/>
      <w:lvlText w:val="%6."/>
      <w:lvlJc w:val="right"/>
      <w:pPr>
        <w:ind w:left="6774" w:hanging="420"/>
      </w:pPr>
    </w:lvl>
    <w:lvl w:ilvl="6" w:tentative="0">
      <w:start w:val="1"/>
      <w:numFmt w:val="decimal"/>
      <w:lvlText w:val="%7."/>
      <w:lvlJc w:val="left"/>
      <w:pPr>
        <w:ind w:left="7194" w:hanging="420"/>
      </w:pPr>
    </w:lvl>
    <w:lvl w:ilvl="7" w:tentative="0">
      <w:start w:val="1"/>
      <w:numFmt w:val="lowerLetter"/>
      <w:lvlText w:val="%8)"/>
      <w:lvlJc w:val="left"/>
      <w:pPr>
        <w:ind w:left="7614" w:hanging="420"/>
      </w:pPr>
    </w:lvl>
    <w:lvl w:ilvl="8" w:tentative="0">
      <w:start w:val="1"/>
      <w:numFmt w:val="lowerRoman"/>
      <w:lvlText w:val="%9."/>
      <w:lvlJc w:val="right"/>
      <w:pPr>
        <w:ind w:left="8034"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WM0MWYxYTc4Y2FiYjNmNjc4NTkzY2E3YjcyNzMifQ=="/>
  </w:docVars>
  <w:rsids>
    <w:rsidRoot w:val="04A10F5C"/>
    <w:rsid w:val="00025388"/>
    <w:rsid w:val="000423BA"/>
    <w:rsid w:val="000759A5"/>
    <w:rsid w:val="00080820"/>
    <w:rsid w:val="00094D67"/>
    <w:rsid w:val="000955B0"/>
    <w:rsid w:val="000E0E13"/>
    <w:rsid w:val="000E144D"/>
    <w:rsid w:val="000E3FC3"/>
    <w:rsid w:val="000E411D"/>
    <w:rsid w:val="001009ED"/>
    <w:rsid w:val="00124C2E"/>
    <w:rsid w:val="00131FC5"/>
    <w:rsid w:val="001452DA"/>
    <w:rsid w:val="001705D7"/>
    <w:rsid w:val="001C379F"/>
    <w:rsid w:val="001D2F6F"/>
    <w:rsid w:val="001D4206"/>
    <w:rsid w:val="001F4C71"/>
    <w:rsid w:val="00270CEC"/>
    <w:rsid w:val="00280B1B"/>
    <w:rsid w:val="0028565E"/>
    <w:rsid w:val="002A316A"/>
    <w:rsid w:val="002A7346"/>
    <w:rsid w:val="002B0F3C"/>
    <w:rsid w:val="002B49EE"/>
    <w:rsid w:val="002F09E1"/>
    <w:rsid w:val="00304A7E"/>
    <w:rsid w:val="00352FE0"/>
    <w:rsid w:val="00354510"/>
    <w:rsid w:val="00356005"/>
    <w:rsid w:val="00374080"/>
    <w:rsid w:val="00376872"/>
    <w:rsid w:val="00377EFE"/>
    <w:rsid w:val="003925CB"/>
    <w:rsid w:val="003A3AEF"/>
    <w:rsid w:val="003D6A01"/>
    <w:rsid w:val="0041192A"/>
    <w:rsid w:val="00417DD7"/>
    <w:rsid w:val="00423D60"/>
    <w:rsid w:val="0046293C"/>
    <w:rsid w:val="00473F00"/>
    <w:rsid w:val="00496CCE"/>
    <w:rsid w:val="004A5330"/>
    <w:rsid w:val="004B25A2"/>
    <w:rsid w:val="004D592C"/>
    <w:rsid w:val="004E0F63"/>
    <w:rsid w:val="004F3314"/>
    <w:rsid w:val="005139AD"/>
    <w:rsid w:val="00522057"/>
    <w:rsid w:val="005535BF"/>
    <w:rsid w:val="005606BA"/>
    <w:rsid w:val="00572B40"/>
    <w:rsid w:val="00587C54"/>
    <w:rsid w:val="00595FBC"/>
    <w:rsid w:val="005B2260"/>
    <w:rsid w:val="005C6A18"/>
    <w:rsid w:val="005D3880"/>
    <w:rsid w:val="005F6E15"/>
    <w:rsid w:val="00614BCB"/>
    <w:rsid w:val="00614FB5"/>
    <w:rsid w:val="00630321"/>
    <w:rsid w:val="00671D07"/>
    <w:rsid w:val="00674899"/>
    <w:rsid w:val="006818C1"/>
    <w:rsid w:val="006A47A7"/>
    <w:rsid w:val="006B3A30"/>
    <w:rsid w:val="006B5DFC"/>
    <w:rsid w:val="006D695D"/>
    <w:rsid w:val="006F433D"/>
    <w:rsid w:val="006F68F1"/>
    <w:rsid w:val="0070030F"/>
    <w:rsid w:val="00707435"/>
    <w:rsid w:val="00735D4F"/>
    <w:rsid w:val="00740B71"/>
    <w:rsid w:val="00746AE7"/>
    <w:rsid w:val="007572E5"/>
    <w:rsid w:val="007B53CD"/>
    <w:rsid w:val="007D5EB3"/>
    <w:rsid w:val="007F015C"/>
    <w:rsid w:val="007F4A9F"/>
    <w:rsid w:val="00815A9F"/>
    <w:rsid w:val="00815C31"/>
    <w:rsid w:val="00821789"/>
    <w:rsid w:val="00826009"/>
    <w:rsid w:val="00835472"/>
    <w:rsid w:val="008725A3"/>
    <w:rsid w:val="008B73C2"/>
    <w:rsid w:val="008C651E"/>
    <w:rsid w:val="008D1543"/>
    <w:rsid w:val="008F1784"/>
    <w:rsid w:val="00902E92"/>
    <w:rsid w:val="009230BA"/>
    <w:rsid w:val="00923438"/>
    <w:rsid w:val="009615A1"/>
    <w:rsid w:val="00970733"/>
    <w:rsid w:val="00A25A08"/>
    <w:rsid w:val="00AC09FC"/>
    <w:rsid w:val="00AD5837"/>
    <w:rsid w:val="00AE75C4"/>
    <w:rsid w:val="00B03E26"/>
    <w:rsid w:val="00B14DB4"/>
    <w:rsid w:val="00B32B72"/>
    <w:rsid w:val="00B37484"/>
    <w:rsid w:val="00B5323E"/>
    <w:rsid w:val="00B63A66"/>
    <w:rsid w:val="00B708C9"/>
    <w:rsid w:val="00B8118E"/>
    <w:rsid w:val="00BA256F"/>
    <w:rsid w:val="00BC46D9"/>
    <w:rsid w:val="00BD5D7F"/>
    <w:rsid w:val="00C44682"/>
    <w:rsid w:val="00C51C42"/>
    <w:rsid w:val="00CD094A"/>
    <w:rsid w:val="00D030BB"/>
    <w:rsid w:val="00D344B7"/>
    <w:rsid w:val="00D40CCD"/>
    <w:rsid w:val="00D5285B"/>
    <w:rsid w:val="00DD6500"/>
    <w:rsid w:val="00DF4433"/>
    <w:rsid w:val="00E01495"/>
    <w:rsid w:val="00E0260A"/>
    <w:rsid w:val="00E11A29"/>
    <w:rsid w:val="00E15163"/>
    <w:rsid w:val="00E15234"/>
    <w:rsid w:val="00E2349B"/>
    <w:rsid w:val="00E24262"/>
    <w:rsid w:val="00E348E1"/>
    <w:rsid w:val="00E46AD2"/>
    <w:rsid w:val="00E52194"/>
    <w:rsid w:val="00E645F8"/>
    <w:rsid w:val="00EC52C3"/>
    <w:rsid w:val="00EF550D"/>
    <w:rsid w:val="00F06C7B"/>
    <w:rsid w:val="00F1543D"/>
    <w:rsid w:val="00F22F9D"/>
    <w:rsid w:val="00F41FC5"/>
    <w:rsid w:val="00F42B57"/>
    <w:rsid w:val="00F62216"/>
    <w:rsid w:val="00F63F5A"/>
    <w:rsid w:val="00F73896"/>
    <w:rsid w:val="00FA4EBD"/>
    <w:rsid w:val="00FC02BF"/>
    <w:rsid w:val="00FD2601"/>
    <w:rsid w:val="00FD7E74"/>
    <w:rsid w:val="00FE394E"/>
    <w:rsid w:val="00FE6902"/>
    <w:rsid w:val="00FE6A9D"/>
    <w:rsid w:val="00FF6DE1"/>
    <w:rsid w:val="01101675"/>
    <w:rsid w:val="01211AD4"/>
    <w:rsid w:val="012810B4"/>
    <w:rsid w:val="012A0989"/>
    <w:rsid w:val="012D2A7A"/>
    <w:rsid w:val="013730A5"/>
    <w:rsid w:val="014A102B"/>
    <w:rsid w:val="014B08FF"/>
    <w:rsid w:val="01534979"/>
    <w:rsid w:val="0156177E"/>
    <w:rsid w:val="015C1D7C"/>
    <w:rsid w:val="015C2B0C"/>
    <w:rsid w:val="0174398E"/>
    <w:rsid w:val="017610A5"/>
    <w:rsid w:val="018A6BE2"/>
    <w:rsid w:val="019B2EF9"/>
    <w:rsid w:val="01A02587"/>
    <w:rsid w:val="01A06E9D"/>
    <w:rsid w:val="01A66976"/>
    <w:rsid w:val="01B464A4"/>
    <w:rsid w:val="01C831C4"/>
    <w:rsid w:val="01D07742"/>
    <w:rsid w:val="01DF6CD4"/>
    <w:rsid w:val="01E160C9"/>
    <w:rsid w:val="01E50D53"/>
    <w:rsid w:val="01EC3E90"/>
    <w:rsid w:val="0200793B"/>
    <w:rsid w:val="022C3ECA"/>
    <w:rsid w:val="022E44A8"/>
    <w:rsid w:val="023458FA"/>
    <w:rsid w:val="02586ABC"/>
    <w:rsid w:val="02647ECA"/>
    <w:rsid w:val="02780693"/>
    <w:rsid w:val="029F53A6"/>
    <w:rsid w:val="02B135F8"/>
    <w:rsid w:val="02B625AB"/>
    <w:rsid w:val="02B7510C"/>
    <w:rsid w:val="02D45050"/>
    <w:rsid w:val="02ED6112"/>
    <w:rsid w:val="02FB2420"/>
    <w:rsid w:val="02FC1D07"/>
    <w:rsid w:val="03012D45"/>
    <w:rsid w:val="0313544C"/>
    <w:rsid w:val="032064E7"/>
    <w:rsid w:val="03326D42"/>
    <w:rsid w:val="034B4BE6"/>
    <w:rsid w:val="034F43D4"/>
    <w:rsid w:val="03597303"/>
    <w:rsid w:val="035D6DC5"/>
    <w:rsid w:val="038B088A"/>
    <w:rsid w:val="03AE265E"/>
    <w:rsid w:val="045D1075"/>
    <w:rsid w:val="046B5540"/>
    <w:rsid w:val="04730898"/>
    <w:rsid w:val="047F2DDF"/>
    <w:rsid w:val="048B3E34"/>
    <w:rsid w:val="049727D9"/>
    <w:rsid w:val="049C1B9D"/>
    <w:rsid w:val="04A10F5C"/>
    <w:rsid w:val="04A44EF6"/>
    <w:rsid w:val="04BA0275"/>
    <w:rsid w:val="04C2436B"/>
    <w:rsid w:val="04C33E81"/>
    <w:rsid w:val="04D8694E"/>
    <w:rsid w:val="04D94B9F"/>
    <w:rsid w:val="05017C52"/>
    <w:rsid w:val="05031C1C"/>
    <w:rsid w:val="051554AC"/>
    <w:rsid w:val="051D1CC1"/>
    <w:rsid w:val="051E6A56"/>
    <w:rsid w:val="053915D1"/>
    <w:rsid w:val="055B791C"/>
    <w:rsid w:val="056401E1"/>
    <w:rsid w:val="056F2E0E"/>
    <w:rsid w:val="057B4A25"/>
    <w:rsid w:val="059705B7"/>
    <w:rsid w:val="05BB604E"/>
    <w:rsid w:val="05C553A5"/>
    <w:rsid w:val="05D215EF"/>
    <w:rsid w:val="05D435B9"/>
    <w:rsid w:val="05DB4D76"/>
    <w:rsid w:val="05F2473E"/>
    <w:rsid w:val="05FB572F"/>
    <w:rsid w:val="06007F0A"/>
    <w:rsid w:val="060E0879"/>
    <w:rsid w:val="061B3570"/>
    <w:rsid w:val="06345E06"/>
    <w:rsid w:val="063D115E"/>
    <w:rsid w:val="065B747D"/>
    <w:rsid w:val="065F4D96"/>
    <w:rsid w:val="06670486"/>
    <w:rsid w:val="06776C4C"/>
    <w:rsid w:val="067D77AC"/>
    <w:rsid w:val="06846D8D"/>
    <w:rsid w:val="06943F80"/>
    <w:rsid w:val="069528B5"/>
    <w:rsid w:val="06AA1A32"/>
    <w:rsid w:val="06C87947"/>
    <w:rsid w:val="06C947A0"/>
    <w:rsid w:val="06CC603E"/>
    <w:rsid w:val="06CE1DB6"/>
    <w:rsid w:val="06E415DA"/>
    <w:rsid w:val="06EB13F0"/>
    <w:rsid w:val="06FC6923"/>
    <w:rsid w:val="07275FCD"/>
    <w:rsid w:val="07302A71"/>
    <w:rsid w:val="07320597"/>
    <w:rsid w:val="073D09B5"/>
    <w:rsid w:val="074D717F"/>
    <w:rsid w:val="075306D3"/>
    <w:rsid w:val="07623775"/>
    <w:rsid w:val="07723089"/>
    <w:rsid w:val="07846919"/>
    <w:rsid w:val="078604E1"/>
    <w:rsid w:val="078E1545"/>
    <w:rsid w:val="079223B4"/>
    <w:rsid w:val="079860C2"/>
    <w:rsid w:val="07A23DDE"/>
    <w:rsid w:val="07CB3F4E"/>
    <w:rsid w:val="07CD206E"/>
    <w:rsid w:val="07E07FF3"/>
    <w:rsid w:val="07E15B19"/>
    <w:rsid w:val="07EE2A40"/>
    <w:rsid w:val="082223BA"/>
    <w:rsid w:val="08304130"/>
    <w:rsid w:val="08314CF2"/>
    <w:rsid w:val="083A61D5"/>
    <w:rsid w:val="084F1FE0"/>
    <w:rsid w:val="085608FD"/>
    <w:rsid w:val="08701417"/>
    <w:rsid w:val="087E07B8"/>
    <w:rsid w:val="08941AA5"/>
    <w:rsid w:val="08A454C4"/>
    <w:rsid w:val="08BB45BC"/>
    <w:rsid w:val="08BC7646"/>
    <w:rsid w:val="08BD0334"/>
    <w:rsid w:val="08C171BC"/>
    <w:rsid w:val="08C23B9D"/>
    <w:rsid w:val="08C276F9"/>
    <w:rsid w:val="08CA572C"/>
    <w:rsid w:val="08CB0CA3"/>
    <w:rsid w:val="08DF64FD"/>
    <w:rsid w:val="08E9404F"/>
    <w:rsid w:val="08EF122D"/>
    <w:rsid w:val="08F5187C"/>
    <w:rsid w:val="0902043D"/>
    <w:rsid w:val="09137F54"/>
    <w:rsid w:val="092E24FE"/>
    <w:rsid w:val="095A5813"/>
    <w:rsid w:val="096C6BA2"/>
    <w:rsid w:val="098470A4"/>
    <w:rsid w:val="0988416A"/>
    <w:rsid w:val="098E057A"/>
    <w:rsid w:val="09944DDA"/>
    <w:rsid w:val="09AC2584"/>
    <w:rsid w:val="09AD53AF"/>
    <w:rsid w:val="09BA7A3B"/>
    <w:rsid w:val="09DE0562"/>
    <w:rsid w:val="09FE6AEA"/>
    <w:rsid w:val="0A0A52A0"/>
    <w:rsid w:val="0A1C72DC"/>
    <w:rsid w:val="0A2F7010"/>
    <w:rsid w:val="0A3665F0"/>
    <w:rsid w:val="0A6D7B38"/>
    <w:rsid w:val="0A725D8F"/>
    <w:rsid w:val="0A7C3D9F"/>
    <w:rsid w:val="0A894677"/>
    <w:rsid w:val="0A8D3D36"/>
    <w:rsid w:val="0A9357F1"/>
    <w:rsid w:val="0A9774C0"/>
    <w:rsid w:val="0A9934A8"/>
    <w:rsid w:val="0A9B032F"/>
    <w:rsid w:val="0AA3665C"/>
    <w:rsid w:val="0AB92482"/>
    <w:rsid w:val="0AC17553"/>
    <w:rsid w:val="0ADD4CBE"/>
    <w:rsid w:val="0B1361DB"/>
    <w:rsid w:val="0B2F3D58"/>
    <w:rsid w:val="0B3C7C36"/>
    <w:rsid w:val="0B472137"/>
    <w:rsid w:val="0B48482D"/>
    <w:rsid w:val="0B651A09"/>
    <w:rsid w:val="0B665F39"/>
    <w:rsid w:val="0B6D4294"/>
    <w:rsid w:val="0B772A1C"/>
    <w:rsid w:val="0BA31A63"/>
    <w:rsid w:val="0BA852CC"/>
    <w:rsid w:val="0BAE0408"/>
    <w:rsid w:val="0BB537FB"/>
    <w:rsid w:val="0BBA7D82"/>
    <w:rsid w:val="0BC85764"/>
    <w:rsid w:val="0BD460C1"/>
    <w:rsid w:val="0BDC4F6E"/>
    <w:rsid w:val="0BE15762"/>
    <w:rsid w:val="0BE91440"/>
    <w:rsid w:val="0BFC1173"/>
    <w:rsid w:val="0BFF5B37"/>
    <w:rsid w:val="0C0A3890"/>
    <w:rsid w:val="0C0B7CD8"/>
    <w:rsid w:val="0C1B5A9E"/>
    <w:rsid w:val="0C1F2F11"/>
    <w:rsid w:val="0C42559B"/>
    <w:rsid w:val="0C47156F"/>
    <w:rsid w:val="0C660306"/>
    <w:rsid w:val="0C66480D"/>
    <w:rsid w:val="0C692E54"/>
    <w:rsid w:val="0C7C7FF7"/>
    <w:rsid w:val="0C842572"/>
    <w:rsid w:val="0C862A2E"/>
    <w:rsid w:val="0C8B665C"/>
    <w:rsid w:val="0C944FBF"/>
    <w:rsid w:val="0CA35A93"/>
    <w:rsid w:val="0CA913CF"/>
    <w:rsid w:val="0CB53909"/>
    <w:rsid w:val="0CC021A1"/>
    <w:rsid w:val="0CCA3020"/>
    <w:rsid w:val="0CCF21BE"/>
    <w:rsid w:val="0CE43377"/>
    <w:rsid w:val="0CE91379"/>
    <w:rsid w:val="0D0522AA"/>
    <w:rsid w:val="0D3A63F7"/>
    <w:rsid w:val="0D4002A7"/>
    <w:rsid w:val="0D465956"/>
    <w:rsid w:val="0D4E1D85"/>
    <w:rsid w:val="0D556D8D"/>
    <w:rsid w:val="0D576FA9"/>
    <w:rsid w:val="0D6C40D7"/>
    <w:rsid w:val="0DA01926"/>
    <w:rsid w:val="0DAB2E51"/>
    <w:rsid w:val="0DB461AA"/>
    <w:rsid w:val="0DC8579F"/>
    <w:rsid w:val="0DC90240"/>
    <w:rsid w:val="0DC932D7"/>
    <w:rsid w:val="0DD0598D"/>
    <w:rsid w:val="0DD55107"/>
    <w:rsid w:val="0DEC6F5F"/>
    <w:rsid w:val="0DF76096"/>
    <w:rsid w:val="0E0F1632"/>
    <w:rsid w:val="0E214EC1"/>
    <w:rsid w:val="0E2D6480"/>
    <w:rsid w:val="0E341099"/>
    <w:rsid w:val="0E56100F"/>
    <w:rsid w:val="0E574D87"/>
    <w:rsid w:val="0E6B25E0"/>
    <w:rsid w:val="0E770F85"/>
    <w:rsid w:val="0E7B120A"/>
    <w:rsid w:val="0E87741A"/>
    <w:rsid w:val="0EA16002"/>
    <w:rsid w:val="0EBA0110"/>
    <w:rsid w:val="0EBE394A"/>
    <w:rsid w:val="0EBE6BB4"/>
    <w:rsid w:val="0ECC3AAF"/>
    <w:rsid w:val="0ECD6DF7"/>
    <w:rsid w:val="0ED71A24"/>
    <w:rsid w:val="0EEC6497"/>
    <w:rsid w:val="0EF3685E"/>
    <w:rsid w:val="0F10078F"/>
    <w:rsid w:val="0F2F3E65"/>
    <w:rsid w:val="0F6F19F5"/>
    <w:rsid w:val="0F77258F"/>
    <w:rsid w:val="0F86221E"/>
    <w:rsid w:val="0F9D2E3B"/>
    <w:rsid w:val="0FAD73ED"/>
    <w:rsid w:val="0FCB06D7"/>
    <w:rsid w:val="0FD001C2"/>
    <w:rsid w:val="1021389E"/>
    <w:rsid w:val="10240C99"/>
    <w:rsid w:val="102B2027"/>
    <w:rsid w:val="103670A0"/>
    <w:rsid w:val="104430E9"/>
    <w:rsid w:val="10501A8E"/>
    <w:rsid w:val="105552F6"/>
    <w:rsid w:val="106F29BB"/>
    <w:rsid w:val="10806817"/>
    <w:rsid w:val="10A2678D"/>
    <w:rsid w:val="10A65B52"/>
    <w:rsid w:val="10B0549C"/>
    <w:rsid w:val="10BA62DC"/>
    <w:rsid w:val="10CA1840"/>
    <w:rsid w:val="10D40911"/>
    <w:rsid w:val="10DE353E"/>
    <w:rsid w:val="10E24DDC"/>
    <w:rsid w:val="10EC77C3"/>
    <w:rsid w:val="10EF12A7"/>
    <w:rsid w:val="10EF724A"/>
    <w:rsid w:val="10F44FB2"/>
    <w:rsid w:val="10F949FD"/>
    <w:rsid w:val="11036B00"/>
    <w:rsid w:val="110A4333"/>
    <w:rsid w:val="110F36F7"/>
    <w:rsid w:val="113A4C18"/>
    <w:rsid w:val="11543174"/>
    <w:rsid w:val="11567578"/>
    <w:rsid w:val="115958C6"/>
    <w:rsid w:val="115A7068"/>
    <w:rsid w:val="11625F1D"/>
    <w:rsid w:val="117F087D"/>
    <w:rsid w:val="1193052D"/>
    <w:rsid w:val="11934328"/>
    <w:rsid w:val="11A35E37"/>
    <w:rsid w:val="11A50E79"/>
    <w:rsid w:val="11BB562D"/>
    <w:rsid w:val="11C52008"/>
    <w:rsid w:val="11ED1C8A"/>
    <w:rsid w:val="11F03528"/>
    <w:rsid w:val="11FE3E97"/>
    <w:rsid w:val="12131DF4"/>
    <w:rsid w:val="121E2100"/>
    <w:rsid w:val="122F1CA3"/>
    <w:rsid w:val="124A70DD"/>
    <w:rsid w:val="125C5139"/>
    <w:rsid w:val="126902C7"/>
    <w:rsid w:val="12753A2E"/>
    <w:rsid w:val="127B42E6"/>
    <w:rsid w:val="128B3251"/>
    <w:rsid w:val="129640D0"/>
    <w:rsid w:val="12B84F7B"/>
    <w:rsid w:val="12C66037"/>
    <w:rsid w:val="12D544CC"/>
    <w:rsid w:val="12E52961"/>
    <w:rsid w:val="12EC2D29"/>
    <w:rsid w:val="13076D7C"/>
    <w:rsid w:val="131018D8"/>
    <w:rsid w:val="13207E3D"/>
    <w:rsid w:val="132711CC"/>
    <w:rsid w:val="13294F44"/>
    <w:rsid w:val="132F322B"/>
    <w:rsid w:val="133438E9"/>
    <w:rsid w:val="13421B62"/>
    <w:rsid w:val="13685340"/>
    <w:rsid w:val="136E6DFB"/>
    <w:rsid w:val="136F66CF"/>
    <w:rsid w:val="13892430"/>
    <w:rsid w:val="139F590B"/>
    <w:rsid w:val="13A02D2C"/>
    <w:rsid w:val="13B35A4F"/>
    <w:rsid w:val="13BD1122"/>
    <w:rsid w:val="13E9022F"/>
    <w:rsid w:val="13E96D0C"/>
    <w:rsid w:val="13EA2A63"/>
    <w:rsid w:val="13F32DFD"/>
    <w:rsid w:val="13FA779F"/>
    <w:rsid w:val="14042DB7"/>
    <w:rsid w:val="14065285"/>
    <w:rsid w:val="140908D1"/>
    <w:rsid w:val="140C03C2"/>
    <w:rsid w:val="14101C60"/>
    <w:rsid w:val="141421B6"/>
    <w:rsid w:val="14157276"/>
    <w:rsid w:val="141E0EA8"/>
    <w:rsid w:val="141F00F5"/>
    <w:rsid w:val="142C1457"/>
    <w:rsid w:val="144D623B"/>
    <w:rsid w:val="145558C5"/>
    <w:rsid w:val="146F48E9"/>
    <w:rsid w:val="14780BF1"/>
    <w:rsid w:val="14797507"/>
    <w:rsid w:val="14830684"/>
    <w:rsid w:val="14912710"/>
    <w:rsid w:val="14983A03"/>
    <w:rsid w:val="14A8633C"/>
    <w:rsid w:val="14B95E54"/>
    <w:rsid w:val="14CA6F83"/>
    <w:rsid w:val="14CD5DA3"/>
    <w:rsid w:val="14D26F15"/>
    <w:rsid w:val="14D7531B"/>
    <w:rsid w:val="14EA24B1"/>
    <w:rsid w:val="14ED1FA1"/>
    <w:rsid w:val="14F21366"/>
    <w:rsid w:val="150A66AF"/>
    <w:rsid w:val="15155054"/>
    <w:rsid w:val="1528122B"/>
    <w:rsid w:val="152D59F9"/>
    <w:rsid w:val="15312B70"/>
    <w:rsid w:val="1532074D"/>
    <w:rsid w:val="15415E49"/>
    <w:rsid w:val="154A2F50"/>
    <w:rsid w:val="154C4F1A"/>
    <w:rsid w:val="154E0CCD"/>
    <w:rsid w:val="15595808"/>
    <w:rsid w:val="156A4F48"/>
    <w:rsid w:val="156D4E90"/>
    <w:rsid w:val="15714980"/>
    <w:rsid w:val="15783F61"/>
    <w:rsid w:val="157C0577"/>
    <w:rsid w:val="159B6B6B"/>
    <w:rsid w:val="15AE34DE"/>
    <w:rsid w:val="15D33DF0"/>
    <w:rsid w:val="15F6656E"/>
    <w:rsid w:val="15FB48C3"/>
    <w:rsid w:val="160133BB"/>
    <w:rsid w:val="162144D2"/>
    <w:rsid w:val="162B70C9"/>
    <w:rsid w:val="163836F0"/>
    <w:rsid w:val="16414353"/>
    <w:rsid w:val="16662F5D"/>
    <w:rsid w:val="16687B33"/>
    <w:rsid w:val="166B5873"/>
    <w:rsid w:val="167D1103"/>
    <w:rsid w:val="16865DF7"/>
    <w:rsid w:val="16893F4C"/>
    <w:rsid w:val="168E1562"/>
    <w:rsid w:val="16907AC1"/>
    <w:rsid w:val="16A27929"/>
    <w:rsid w:val="16A3500D"/>
    <w:rsid w:val="16A36DBB"/>
    <w:rsid w:val="16A53A7D"/>
    <w:rsid w:val="16D0184C"/>
    <w:rsid w:val="16DE3658"/>
    <w:rsid w:val="16F95816"/>
    <w:rsid w:val="172A04F7"/>
    <w:rsid w:val="173B5412"/>
    <w:rsid w:val="173E0892"/>
    <w:rsid w:val="174152AC"/>
    <w:rsid w:val="174340FA"/>
    <w:rsid w:val="174D4F79"/>
    <w:rsid w:val="174F4060"/>
    <w:rsid w:val="17542220"/>
    <w:rsid w:val="17771FF6"/>
    <w:rsid w:val="178A1F00"/>
    <w:rsid w:val="17991F6C"/>
    <w:rsid w:val="17A74689"/>
    <w:rsid w:val="17B005EC"/>
    <w:rsid w:val="17B370DB"/>
    <w:rsid w:val="17BD5B44"/>
    <w:rsid w:val="17E21B65"/>
    <w:rsid w:val="17E340BC"/>
    <w:rsid w:val="17E7717C"/>
    <w:rsid w:val="17FD24FB"/>
    <w:rsid w:val="18075128"/>
    <w:rsid w:val="181E6AA7"/>
    <w:rsid w:val="183A54FD"/>
    <w:rsid w:val="184027AC"/>
    <w:rsid w:val="184243B2"/>
    <w:rsid w:val="184629F8"/>
    <w:rsid w:val="184A3267"/>
    <w:rsid w:val="18511A82"/>
    <w:rsid w:val="18534811"/>
    <w:rsid w:val="185F4BD8"/>
    <w:rsid w:val="1880614A"/>
    <w:rsid w:val="18AF5EEB"/>
    <w:rsid w:val="18B03A11"/>
    <w:rsid w:val="18B776FF"/>
    <w:rsid w:val="18C96881"/>
    <w:rsid w:val="18D70F9E"/>
    <w:rsid w:val="18E15979"/>
    <w:rsid w:val="18E4746B"/>
    <w:rsid w:val="19033E41"/>
    <w:rsid w:val="19135D94"/>
    <w:rsid w:val="19173A91"/>
    <w:rsid w:val="193A152D"/>
    <w:rsid w:val="193F0930"/>
    <w:rsid w:val="19406B43"/>
    <w:rsid w:val="194128BC"/>
    <w:rsid w:val="19483C4A"/>
    <w:rsid w:val="19634C35"/>
    <w:rsid w:val="19682338"/>
    <w:rsid w:val="19704DB0"/>
    <w:rsid w:val="19726F19"/>
    <w:rsid w:val="19810F0A"/>
    <w:rsid w:val="199271FE"/>
    <w:rsid w:val="19B25567"/>
    <w:rsid w:val="19B4383D"/>
    <w:rsid w:val="19B72B7E"/>
    <w:rsid w:val="19B80DD0"/>
    <w:rsid w:val="19C257AA"/>
    <w:rsid w:val="19C72DC1"/>
    <w:rsid w:val="19DC4392"/>
    <w:rsid w:val="19DE6968"/>
    <w:rsid w:val="19E20B38"/>
    <w:rsid w:val="19EC54DE"/>
    <w:rsid w:val="19F416DC"/>
    <w:rsid w:val="19F85670"/>
    <w:rsid w:val="1A082C7B"/>
    <w:rsid w:val="1A0E6C42"/>
    <w:rsid w:val="1A165502"/>
    <w:rsid w:val="1A2A15A2"/>
    <w:rsid w:val="1A385ECC"/>
    <w:rsid w:val="1A3A1D53"/>
    <w:rsid w:val="1A3F6DFB"/>
    <w:rsid w:val="1A495ECC"/>
    <w:rsid w:val="1A516B2E"/>
    <w:rsid w:val="1A536139"/>
    <w:rsid w:val="1A60788F"/>
    <w:rsid w:val="1A6B4094"/>
    <w:rsid w:val="1A703458"/>
    <w:rsid w:val="1A707A6D"/>
    <w:rsid w:val="1A7A244E"/>
    <w:rsid w:val="1A7F369B"/>
    <w:rsid w:val="1A973807"/>
    <w:rsid w:val="1AB232E4"/>
    <w:rsid w:val="1ABE660E"/>
    <w:rsid w:val="1AC45552"/>
    <w:rsid w:val="1AED715D"/>
    <w:rsid w:val="1AFD2812"/>
    <w:rsid w:val="1B1474C5"/>
    <w:rsid w:val="1B1A1616"/>
    <w:rsid w:val="1B1B527C"/>
    <w:rsid w:val="1B2168A4"/>
    <w:rsid w:val="1B2C77E9"/>
    <w:rsid w:val="1B68296A"/>
    <w:rsid w:val="1B6F54BE"/>
    <w:rsid w:val="1B702951"/>
    <w:rsid w:val="1B860A5A"/>
    <w:rsid w:val="1B9211AC"/>
    <w:rsid w:val="1B9B4505"/>
    <w:rsid w:val="1BA24DBD"/>
    <w:rsid w:val="1BAF14AC"/>
    <w:rsid w:val="1BB003F9"/>
    <w:rsid w:val="1BC7354C"/>
    <w:rsid w:val="1BD14A1C"/>
    <w:rsid w:val="1BD209BD"/>
    <w:rsid w:val="1BE22134"/>
    <w:rsid w:val="1BFD51C0"/>
    <w:rsid w:val="1C1826E0"/>
    <w:rsid w:val="1C2362A8"/>
    <w:rsid w:val="1C2B1C40"/>
    <w:rsid w:val="1C4A27F6"/>
    <w:rsid w:val="1C677169"/>
    <w:rsid w:val="1C692927"/>
    <w:rsid w:val="1C784846"/>
    <w:rsid w:val="1C7F4AD4"/>
    <w:rsid w:val="1C874A89"/>
    <w:rsid w:val="1C9E36FB"/>
    <w:rsid w:val="1CB27013"/>
    <w:rsid w:val="1CEB14BC"/>
    <w:rsid w:val="1CFF3E3D"/>
    <w:rsid w:val="1D0D6025"/>
    <w:rsid w:val="1D130FDA"/>
    <w:rsid w:val="1D1522F2"/>
    <w:rsid w:val="1D302D06"/>
    <w:rsid w:val="1D417BBA"/>
    <w:rsid w:val="1D444728"/>
    <w:rsid w:val="1D57445C"/>
    <w:rsid w:val="1D6D3C7F"/>
    <w:rsid w:val="1D807E56"/>
    <w:rsid w:val="1D953906"/>
    <w:rsid w:val="1DA01267"/>
    <w:rsid w:val="1DCF018E"/>
    <w:rsid w:val="1DD652A4"/>
    <w:rsid w:val="1E026ABD"/>
    <w:rsid w:val="1E222CBC"/>
    <w:rsid w:val="1E262347"/>
    <w:rsid w:val="1E2973BC"/>
    <w:rsid w:val="1E390E69"/>
    <w:rsid w:val="1E3E4C49"/>
    <w:rsid w:val="1E463C41"/>
    <w:rsid w:val="1E4F496B"/>
    <w:rsid w:val="1E5170FD"/>
    <w:rsid w:val="1E547805"/>
    <w:rsid w:val="1E5B2EFF"/>
    <w:rsid w:val="1E6A01BF"/>
    <w:rsid w:val="1E6D0ADF"/>
    <w:rsid w:val="1E753245"/>
    <w:rsid w:val="1E7B3C38"/>
    <w:rsid w:val="1EB8717C"/>
    <w:rsid w:val="1EFF4CE4"/>
    <w:rsid w:val="1F02211F"/>
    <w:rsid w:val="1F0B19A2"/>
    <w:rsid w:val="1F132604"/>
    <w:rsid w:val="1F15637C"/>
    <w:rsid w:val="1F1620F4"/>
    <w:rsid w:val="1F432F96"/>
    <w:rsid w:val="1F470500"/>
    <w:rsid w:val="1F4B4494"/>
    <w:rsid w:val="1F4E5D32"/>
    <w:rsid w:val="1F552C1D"/>
    <w:rsid w:val="1F572E39"/>
    <w:rsid w:val="1F5A0233"/>
    <w:rsid w:val="1F5A6485"/>
    <w:rsid w:val="1F5E5F75"/>
    <w:rsid w:val="1F690E94"/>
    <w:rsid w:val="1F7216C1"/>
    <w:rsid w:val="1F7350DB"/>
    <w:rsid w:val="1F792DAF"/>
    <w:rsid w:val="1F8452B0"/>
    <w:rsid w:val="1F933745"/>
    <w:rsid w:val="1F9B1C25"/>
    <w:rsid w:val="1FB75686"/>
    <w:rsid w:val="1FBE07C2"/>
    <w:rsid w:val="1FCD30FB"/>
    <w:rsid w:val="1FE560C6"/>
    <w:rsid w:val="1FEF6BCD"/>
    <w:rsid w:val="1FF61523"/>
    <w:rsid w:val="20085EE1"/>
    <w:rsid w:val="200B777F"/>
    <w:rsid w:val="200D799B"/>
    <w:rsid w:val="202408C8"/>
    <w:rsid w:val="202F0045"/>
    <w:rsid w:val="20323B1D"/>
    <w:rsid w:val="2039104C"/>
    <w:rsid w:val="204B3751"/>
    <w:rsid w:val="20517888"/>
    <w:rsid w:val="20592BE1"/>
    <w:rsid w:val="205D447F"/>
    <w:rsid w:val="206E426A"/>
    <w:rsid w:val="208048FB"/>
    <w:rsid w:val="20823EE5"/>
    <w:rsid w:val="20854AE6"/>
    <w:rsid w:val="20894213"/>
    <w:rsid w:val="2091237A"/>
    <w:rsid w:val="20A17F3B"/>
    <w:rsid w:val="20A91472"/>
    <w:rsid w:val="20AA6F98"/>
    <w:rsid w:val="20AE4CDA"/>
    <w:rsid w:val="20B34CB4"/>
    <w:rsid w:val="20C1485B"/>
    <w:rsid w:val="20CA2B64"/>
    <w:rsid w:val="20CB2D23"/>
    <w:rsid w:val="20CE17ED"/>
    <w:rsid w:val="20D364EF"/>
    <w:rsid w:val="20E61C84"/>
    <w:rsid w:val="20EA55E7"/>
    <w:rsid w:val="20F3093F"/>
    <w:rsid w:val="210448FA"/>
    <w:rsid w:val="21072BF0"/>
    <w:rsid w:val="2107788D"/>
    <w:rsid w:val="210963B5"/>
    <w:rsid w:val="21134B3E"/>
    <w:rsid w:val="211A411E"/>
    <w:rsid w:val="21261959"/>
    <w:rsid w:val="21294361"/>
    <w:rsid w:val="21371D65"/>
    <w:rsid w:val="21475894"/>
    <w:rsid w:val="215A2846"/>
    <w:rsid w:val="216B2819"/>
    <w:rsid w:val="2181453C"/>
    <w:rsid w:val="218E28AD"/>
    <w:rsid w:val="21D41DD3"/>
    <w:rsid w:val="21D50045"/>
    <w:rsid w:val="21D70261"/>
    <w:rsid w:val="21D73DBD"/>
    <w:rsid w:val="21D81213"/>
    <w:rsid w:val="21E25BC6"/>
    <w:rsid w:val="21E85FCA"/>
    <w:rsid w:val="21EA79F8"/>
    <w:rsid w:val="22063845"/>
    <w:rsid w:val="22066450"/>
    <w:rsid w:val="221A1157"/>
    <w:rsid w:val="221B014E"/>
    <w:rsid w:val="22373980"/>
    <w:rsid w:val="22497B05"/>
    <w:rsid w:val="227456E7"/>
    <w:rsid w:val="22851372"/>
    <w:rsid w:val="22851A6B"/>
    <w:rsid w:val="22A7378F"/>
    <w:rsid w:val="22AF4D3A"/>
    <w:rsid w:val="22B24EA1"/>
    <w:rsid w:val="22C6648E"/>
    <w:rsid w:val="22CC58EC"/>
    <w:rsid w:val="22E345E0"/>
    <w:rsid w:val="22E57ED1"/>
    <w:rsid w:val="22EA0CBF"/>
    <w:rsid w:val="22EA5BCE"/>
    <w:rsid w:val="22F41543"/>
    <w:rsid w:val="230D27BA"/>
    <w:rsid w:val="23103A2A"/>
    <w:rsid w:val="2318468D"/>
    <w:rsid w:val="231A3C2B"/>
    <w:rsid w:val="231E22FE"/>
    <w:rsid w:val="231F3C6E"/>
    <w:rsid w:val="23203D54"/>
    <w:rsid w:val="23215484"/>
    <w:rsid w:val="2335523F"/>
    <w:rsid w:val="23390F0A"/>
    <w:rsid w:val="23502079"/>
    <w:rsid w:val="235E3CD9"/>
    <w:rsid w:val="23737B15"/>
    <w:rsid w:val="237815D0"/>
    <w:rsid w:val="23963804"/>
    <w:rsid w:val="23A534B2"/>
    <w:rsid w:val="23AA1E83"/>
    <w:rsid w:val="23B720F8"/>
    <w:rsid w:val="23D36806"/>
    <w:rsid w:val="23DF3883"/>
    <w:rsid w:val="23E72ABF"/>
    <w:rsid w:val="23EC3205"/>
    <w:rsid w:val="23F925C2"/>
    <w:rsid w:val="240370EB"/>
    <w:rsid w:val="241115F5"/>
    <w:rsid w:val="241A2687"/>
    <w:rsid w:val="242B4894"/>
    <w:rsid w:val="24333BE3"/>
    <w:rsid w:val="24425BFA"/>
    <w:rsid w:val="244514B2"/>
    <w:rsid w:val="24480FA2"/>
    <w:rsid w:val="244E3DAE"/>
    <w:rsid w:val="245F6A86"/>
    <w:rsid w:val="246D4540"/>
    <w:rsid w:val="24790899"/>
    <w:rsid w:val="247E4070"/>
    <w:rsid w:val="2480139F"/>
    <w:rsid w:val="24883A94"/>
    <w:rsid w:val="24997A50"/>
    <w:rsid w:val="24A37BC2"/>
    <w:rsid w:val="24A645D9"/>
    <w:rsid w:val="24AA57B9"/>
    <w:rsid w:val="24B65F0C"/>
    <w:rsid w:val="24BD4B8E"/>
    <w:rsid w:val="24C20D54"/>
    <w:rsid w:val="24C50DD5"/>
    <w:rsid w:val="24C85E3A"/>
    <w:rsid w:val="24CF521F"/>
    <w:rsid w:val="24EF71D2"/>
    <w:rsid w:val="24F9229C"/>
    <w:rsid w:val="24FE5B05"/>
    <w:rsid w:val="250E5D48"/>
    <w:rsid w:val="250F1AC0"/>
    <w:rsid w:val="25186BC6"/>
    <w:rsid w:val="251B6CD4"/>
    <w:rsid w:val="253A7ACB"/>
    <w:rsid w:val="253D66F8"/>
    <w:rsid w:val="2543433B"/>
    <w:rsid w:val="25473008"/>
    <w:rsid w:val="254E083A"/>
    <w:rsid w:val="255676EF"/>
    <w:rsid w:val="25707940"/>
    <w:rsid w:val="258129BE"/>
    <w:rsid w:val="25873D4C"/>
    <w:rsid w:val="25A55F80"/>
    <w:rsid w:val="25AB6067"/>
    <w:rsid w:val="25AC694C"/>
    <w:rsid w:val="25C805EC"/>
    <w:rsid w:val="26117E15"/>
    <w:rsid w:val="261F5D33"/>
    <w:rsid w:val="26222A19"/>
    <w:rsid w:val="2628108B"/>
    <w:rsid w:val="263168D5"/>
    <w:rsid w:val="26461511"/>
    <w:rsid w:val="264B6B28"/>
    <w:rsid w:val="264D0AF2"/>
    <w:rsid w:val="265A4FBD"/>
    <w:rsid w:val="265A6D6B"/>
    <w:rsid w:val="265D6B71"/>
    <w:rsid w:val="266B24B8"/>
    <w:rsid w:val="26756B74"/>
    <w:rsid w:val="26775B6F"/>
    <w:rsid w:val="26844E74"/>
    <w:rsid w:val="26887C85"/>
    <w:rsid w:val="26962499"/>
    <w:rsid w:val="269B7AAF"/>
    <w:rsid w:val="26C708A4"/>
    <w:rsid w:val="26D1527F"/>
    <w:rsid w:val="26E0017C"/>
    <w:rsid w:val="26E054C2"/>
    <w:rsid w:val="26EF7DFB"/>
    <w:rsid w:val="26F10419"/>
    <w:rsid w:val="26F15921"/>
    <w:rsid w:val="27085BFB"/>
    <w:rsid w:val="27092ACA"/>
    <w:rsid w:val="27133AE9"/>
    <w:rsid w:val="27233601"/>
    <w:rsid w:val="273870AC"/>
    <w:rsid w:val="27475541"/>
    <w:rsid w:val="274A360B"/>
    <w:rsid w:val="2756376F"/>
    <w:rsid w:val="275D4D64"/>
    <w:rsid w:val="276A7481"/>
    <w:rsid w:val="277852DF"/>
    <w:rsid w:val="278E4F1E"/>
    <w:rsid w:val="279544FE"/>
    <w:rsid w:val="27A13903"/>
    <w:rsid w:val="27A44741"/>
    <w:rsid w:val="27BA21B7"/>
    <w:rsid w:val="27BC2A82"/>
    <w:rsid w:val="27C052F3"/>
    <w:rsid w:val="27CE5C62"/>
    <w:rsid w:val="27D77E4D"/>
    <w:rsid w:val="27E91D37"/>
    <w:rsid w:val="27F356C9"/>
    <w:rsid w:val="27FB1E1E"/>
    <w:rsid w:val="27FD48FE"/>
    <w:rsid w:val="28125B4F"/>
    <w:rsid w:val="281318C7"/>
    <w:rsid w:val="281C4C20"/>
    <w:rsid w:val="28537F15"/>
    <w:rsid w:val="28795BCE"/>
    <w:rsid w:val="289C366A"/>
    <w:rsid w:val="28BA505F"/>
    <w:rsid w:val="28CD1A76"/>
    <w:rsid w:val="28D20030"/>
    <w:rsid w:val="28DE0127"/>
    <w:rsid w:val="28E53263"/>
    <w:rsid w:val="28F17E5A"/>
    <w:rsid w:val="28FC235B"/>
    <w:rsid w:val="29015BC3"/>
    <w:rsid w:val="290C1448"/>
    <w:rsid w:val="291E49C7"/>
    <w:rsid w:val="29235B3A"/>
    <w:rsid w:val="292673D8"/>
    <w:rsid w:val="29304698"/>
    <w:rsid w:val="294F2DD3"/>
    <w:rsid w:val="29745A9F"/>
    <w:rsid w:val="297E0FC2"/>
    <w:rsid w:val="29BD1AEA"/>
    <w:rsid w:val="29C27101"/>
    <w:rsid w:val="29D15596"/>
    <w:rsid w:val="29D60DFE"/>
    <w:rsid w:val="29D924A0"/>
    <w:rsid w:val="29E452C9"/>
    <w:rsid w:val="29EB7177"/>
    <w:rsid w:val="29EC23D0"/>
    <w:rsid w:val="29EC615C"/>
    <w:rsid w:val="2A043BBD"/>
    <w:rsid w:val="2A0C2212"/>
    <w:rsid w:val="2A0C2316"/>
    <w:rsid w:val="2A0E2346"/>
    <w:rsid w:val="2A10667D"/>
    <w:rsid w:val="2A202079"/>
    <w:rsid w:val="2A336761"/>
    <w:rsid w:val="2A353271"/>
    <w:rsid w:val="2A50504C"/>
    <w:rsid w:val="2A571F3F"/>
    <w:rsid w:val="2A602AE0"/>
    <w:rsid w:val="2A64465C"/>
    <w:rsid w:val="2ACE4ACA"/>
    <w:rsid w:val="2AD55A18"/>
    <w:rsid w:val="2ADB491E"/>
    <w:rsid w:val="2AE6620E"/>
    <w:rsid w:val="2AEA2D75"/>
    <w:rsid w:val="2AF161D4"/>
    <w:rsid w:val="2AF86FFB"/>
    <w:rsid w:val="2B010761"/>
    <w:rsid w:val="2B02634F"/>
    <w:rsid w:val="2B400C25"/>
    <w:rsid w:val="2B4A5600"/>
    <w:rsid w:val="2B5446D0"/>
    <w:rsid w:val="2B5A3C59"/>
    <w:rsid w:val="2B670055"/>
    <w:rsid w:val="2B7E34FB"/>
    <w:rsid w:val="2BA50A88"/>
    <w:rsid w:val="2BAC1E16"/>
    <w:rsid w:val="2BB37649"/>
    <w:rsid w:val="2BCA6741"/>
    <w:rsid w:val="2BD3243F"/>
    <w:rsid w:val="2BDF21EC"/>
    <w:rsid w:val="2BE33EDA"/>
    <w:rsid w:val="2C105B86"/>
    <w:rsid w:val="2C1C3C0F"/>
    <w:rsid w:val="2C2A71DF"/>
    <w:rsid w:val="2C520C10"/>
    <w:rsid w:val="2C537301"/>
    <w:rsid w:val="2C7768C8"/>
    <w:rsid w:val="2C7C3EDF"/>
    <w:rsid w:val="2C9C5A41"/>
    <w:rsid w:val="2C9E3E55"/>
    <w:rsid w:val="2CAD4098"/>
    <w:rsid w:val="2CB371D5"/>
    <w:rsid w:val="2CBA0319"/>
    <w:rsid w:val="2CBD21FA"/>
    <w:rsid w:val="2CC460B5"/>
    <w:rsid w:val="2CCA6412"/>
    <w:rsid w:val="2CD044A4"/>
    <w:rsid w:val="2CD6590B"/>
    <w:rsid w:val="2CDA0C05"/>
    <w:rsid w:val="2CFF241A"/>
    <w:rsid w:val="2D030F68"/>
    <w:rsid w:val="2D3C541C"/>
    <w:rsid w:val="2D480265"/>
    <w:rsid w:val="2D4A7B39"/>
    <w:rsid w:val="2D4D5798"/>
    <w:rsid w:val="2D7872E5"/>
    <w:rsid w:val="2D853B95"/>
    <w:rsid w:val="2D880661"/>
    <w:rsid w:val="2D964B2C"/>
    <w:rsid w:val="2D9A0DB1"/>
    <w:rsid w:val="2D9C735E"/>
    <w:rsid w:val="2DA03BFD"/>
    <w:rsid w:val="2DA60AE7"/>
    <w:rsid w:val="2DA83F99"/>
    <w:rsid w:val="2DB43204"/>
    <w:rsid w:val="2DBD5646"/>
    <w:rsid w:val="2DC225E3"/>
    <w:rsid w:val="2DC7118A"/>
    <w:rsid w:val="2DEC299E"/>
    <w:rsid w:val="2DFB7085"/>
    <w:rsid w:val="2E02243A"/>
    <w:rsid w:val="2E1A575D"/>
    <w:rsid w:val="2E262354"/>
    <w:rsid w:val="2E277E7A"/>
    <w:rsid w:val="2E3916CB"/>
    <w:rsid w:val="2E58756D"/>
    <w:rsid w:val="2E5A3DAC"/>
    <w:rsid w:val="2E6B420B"/>
    <w:rsid w:val="2E6E3CFB"/>
    <w:rsid w:val="2E7F3812"/>
    <w:rsid w:val="2E857DAE"/>
    <w:rsid w:val="2E8E614B"/>
    <w:rsid w:val="2E905B07"/>
    <w:rsid w:val="2E9D013C"/>
    <w:rsid w:val="2E9F751D"/>
    <w:rsid w:val="2EB21E3A"/>
    <w:rsid w:val="2EC4391B"/>
    <w:rsid w:val="2EC456C9"/>
    <w:rsid w:val="2EC61641"/>
    <w:rsid w:val="2ED718A0"/>
    <w:rsid w:val="2EF82401"/>
    <w:rsid w:val="2EFC44C7"/>
    <w:rsid w:val="2F037C30"/>
    <w:rsid w:val="2F042982"/>
    <w:rsid w:val="2F171E02"/>
    <w:rsid w:val="2F1E0F22"/>
    <w:rsid w:val="2F2A5E74"/>
    <w:rsid w:val="2F4862FA"/>
    <w:rsid w:val="2F4F0498"/>
    <w:rsid w:val="2F5D4BE5"/>
    <w:rsid w:val="2F613F0D"/>
    <w:rsid w:val="2F687EEB"/>
    <w:rsid w:val="2F754C15"/>
    <w:rsid w:val="2F8B61E7"/>
    <w:rsid w:val="2F974B8C"/>
    <w:rsid w:val="2FBB2F70"/>
    <w:rsid w:val="2FD7142C"/>
    <w:rsid w:val="3005243D"/>
    <w:rsid w:val="30134A8B"/>
    <w:rsid w:val="302D3FB4"/>
    <w:rsid w:val="303F0EEB"/>
    <w:rsid w:val="30444D13"/>
    <w:rsid w:val="304A184C"/>
    <w:rsid w:val="305666F0"/>
    <w:rsid w:val="30617E20"/>
    <w:rsid w:val="30894E1C"/>
    <w:rsid w:val="30965626"/>
    <w:rsid w:val="30A25EDE"/>
    <w:rsid w:val="30BB2AFC"/>
    <w:rsid w:val="30C13AA8"/>
    <w:rsid w:val="30C418AA"/>
    <w:rsid w:val="30C776F3"/>
    <w:rsid w:val="30EC5878"/>
    <w:rsid w:val="30F1626C"/>
    <w:rsid w:val="30F57DBC"/>
    <w:rsid w:val="31022FFD"/>
    <w:rsid w:val="312B1D4E"/>
    <w:rsid w:val="31304977"/>
    <w:rsid w:val="3172765E"/>
    <w:rsid w:val="317C04DD"/>
    <w:rsid w:val="318178A1"/>
    <w:rsid w:val="319A0963"/>
    <w:rsid w:val="31A23A12"/>
    <w:rsid w:val="31AE3035"/>
    <w:rsid w:val="31B639EF"/>
    <w:rsid w:val="31B934DF"/>
    <w:rsid w:val="31C45729"/>
    <w:rsid w:val="31C872F8"/>
    <w:rsid w:val="31CA1248"/>
    <w:rsid w:val="31CA75B2"/>
    <w:rsid w:val="31D04385"/>
    <w:rsid w:val="31E247E4"/>
    <w:rsid w:val="31E537D3"/>
    <w:rsid w:val="31F340BE"/>
    <w:rsid w:val="32030F40"/>
    <w:rsid w:val="320809B0"/>
    <w:rsid w:val="32146967"/>
    <w:rsid w:val="3216448E"/>
    <w:rsid w:val="321766D4"/>
    <w:rsid w:val="32317C87"/>
    <w:rsid w:val="323C2E8C"/>
    <w:rsid w:val="323F73DA"/>
    <w:rsid w:val="32584F3D"/>
    <w:rsid w:val="325B4596"/>
    <w:rsid w:val="3260395B"/>
    <w:rsid w:val="32791867"/>
    <w:rsid w:val="3291620A"/>
    <w:rsid w:val="32A16ECB"/>
    <w:rsid w:val="32AD727A"/>
    <w:rsid w:val="32B44047"/>
    <w:rsid w:val="32BF01BA"/>
    <w:rsid w:val="32BF68D3"/>
    <w:rsid w:val="32C5265C"/>
    <w:rsid w:val="32D97B55"/>
    <w:rsid w:val="32DE7BE5"/>
    <w:rsid w:val="32E334F3"/>
    <w:rsid w:val="32F02F31"/>
    <w:rsid w:val="33254336"/>
    <w:rsid w:val="33266952"/>
    <w:rsid w:val="33354DE7"/>
    <w:rsid w:val="335407C2"/>
    <w:rsid w:val="33576B0C"/>
    <w:rsid w:val="3361379C"/>
    <w:rsid w:val="338C0A3B"/>
    <w:rsid w:val="33944CE4"/>
    <w:rsid w:val="339A6D9C"/>
    <w:rsid w:val="33AD24F1"/>
    <w:rsid w:val="33AD6236"/>
    <w:rsid w:val="33C22138"/>
    <w:rsid w:val="33C566E9"/>
    <w:rsid w:val="33D44600"/>
    <w:rsid w:val="33F86541"/>
    <w:rsid w:val="33FB1B8D"/>
    <w:rsid w:val="341113B0"/>
    <w:rsid w:val="34164C19"/>
    <w:rsid w:val="34362BC5"/>
    <w:rsid w:val="34474DD2"/>
    <w:rsid w:val="34A12E66"/>
    <w:rsid w:val="34A653F2"/>
    <w:rsid w:val="34AA710F"/>
    <w:rsid w:val="34B955A4"/>
    <w:rsid w:val="34BB4C66"/>
    <w:rsid w:val="34BF705E"/>
    <w:rsid w:val="34D67F04"/>
    <w:rsid w:val="34E326FC"/>
    <w:rsid w:val="34EA6CF9"/>
    <w:rsid w:val="34F152D1"/>
    <w:rsid w:val="34F94FD1"/>
    <w:rsid w:val="35015395"/>
    <w:rsid w:val="35110564"/>
    <w:rsid w:val="3522630E"/>
    <w:rsid w:val="352549E8"/>
    <w:rsid w:val="352E5F92"/>
    <w:rsid w:val="35386E11"/>
    <w:rsid w:val="353A0493"/>
    <w:rsid w:val="35466E38"/>
    <w:rsid w:val="355A2FBA"/>
    <w:rsid w:val="3582679B"/>
    <w:rsid w:val="358834AE"/>
    <w:rsid w:val="35887BD1"/>
    <w:rsid w:val="35B1007D"/>
    <w:rsid w:val="35BC17F0"/>
    <w:rsid w:val="35DA3A24"/>
    <w:rsid w:val="35DC33EC"/>
    <w:rsid w:val="35E93C67"/>
    <w:rsid w:val="360867E3"/>
    <w:rsid w:val="3650773F"/>
    <w:rsid w:val="36511F38"/>
    <w:rsid w:val="36592B9B"/>
    <w:rsid w:val="3660007A"/>
    <w:rsid w:val="36606BF9"/>
    <w:rsid w:val="367B3E03"/>
    <w:rsid w:val="368A544A"/>
    <w:rsid w:val="368E4F3A"/>
    <w:rsid w:val="369B4CBF"/>
    <w:rsid w:val="369E2CA4"/>
    <w:rsid w:val="36B21D04"/>
    <w:rsid w:val="36B95684"/>
    <w:rsid w:val="36C739BA"/>
    <w:rsid w:val="36CC0EB0"/>
    <w:rsid w:val="36DA1F2E"/>
    <w:rsid w:val="36DA644C"/>
    <w:rsid w:val="36ED4CD5"/>
    <w:rsid w:val="36F079A3"/>
    <w:rsid w:val="36FB1EA4"/>
    <w:rsid w:val="37166CDE"/>
    <w:rsid w:val="37353608"/>
    <w:rsid w:val="373D2F9E"/>
    <w:rsid w:val="373D426B"/>
    <w:rsid w:val="3747231F"/>
    <w:rsid w:val="37557806"/>
    <w:rsid w:val="375A5B41"/>
    <w:rsid w:val="376E47A7"/>
    <w:rsid w:val="37721F5F"/>
    <w:rsid w:val="37723F3C"/>
    <w:rsid w:val="3781684D"/>
    <w:rsid w:val="378B76CC"/>
    <w:rsid w:val="379540A7"/>
    <w:rsid w:val="3798145C"/>
    <w:rsid w:val="37991EBF"/>
    <w:rsid w:val="37AE5168"/>
    <w:rsid w:val="37B00EE0"/>
    <w:rsid w:val="37C14E9C"/>
    <w:rsid w:val="37C84F19"/>
    <w:rsid w:val="37D96425"/>
    <w:rsid w:val="37E64902"/>
    <w:rsid w:val="37EA43F2"/>
    <w:rsid w:val="37F32068"/>
    <w:rsid w:val="38351008"/>
    <w:rsid w:val="385950D4"/>
    <w:rsid w:val="386B4E07"/>
    <w:rsid w:val="386C3059"/>
    <w:rsid w:val="386D0B7F"/>
    <w:rsid w:val="38790164"/>
    <w:rsid w:val="3894435E"/>
    <w:rsid w:val="38983E4E"/>
    <w:rsid w:val="38B779DA"/>
    <w:rsid w:val="38DE3B01"/>
    <w:rsid w:val="390E4110"/>
    <w:rsid w:val="395D29A2"/>
    <w:rsid w:val="396B1563"/>
    <w:rsid w:val="397D1D03"/>
    <w:rsid w:val="39900FC9"/>
    <w:rsid w:val="39902D77"/>
    <w:rsid w:val="399D36E6"/>
    <w:rsid w:val="39B164FC"/>
    <w:rsid w:val="39D32C64"/>
    <w:rsid w:val="39DF5AAD"/>
    <w:rsid w:val="39F2758E"/>
    <w:rsid w:val="3A32526F"/>
    <w:rsid w:val="3A3C6CAC"/>
    <w:rsid w:val="3A4A1178"/>
    <w:rsid w:val="3A4D58B7"/>
    <w:rsid w:val="3A794F7C"/>
    <w:rsid w:val="3A7F2761"/>
    <w:rsid w:val="3A87079F"/>
    <w:rsid w:val="3AA407BD"/>
    <w:rsid w:val="3AB17449"/>
    <w:rsid w:val="3AB74334"/>
    <w:rsid w:val="3AC10958"/>
    <w:rsid w:val="3AC90F7D"/>
    <w:rsid w:val="3AFB06C4"/>
    <w:rsid w:val="3AFB2473"/>
    <w:rsid w:val="3B0532F1"/>
    <w:rsid w:val="3B0C6285"/>
    <w:rsid w:val="3B110927"/>
    <w:rsid w:val="3B246063"/>
    <w:rsid w:val="3B265113"/>
    <w:rsid w:val="3B2714BA"/>
    <w:rsid w:val="3B304812"/>
    <w:rsid w:val="3B3C613D"/>
    <w:rsid w:val="3B4C7D7B"/>
    <w:rsid w:val="3B4E4C98"/>
    <w:rsid w:val="3B516536"/>
    <w:rsid w:val="3B7F30A4"/>
    <w:rsid w:val="3B840735"/>
    <w:rsid w:val="3B862684"/>
    <w:rsid w:val="3B8C3A12"/>
    <w:rsid w:val="3B936CA3"/>
    <w:rsid w:val="3BBA7AA0"/>
    <w:rsid w:val="3BC27434"/>
    <w:rsid w:val="3BDD7DCA"/>
    <w:rsid w:val="3BE61375"/>
    <w:rsid w:val="3BEB24E7"/>
    <w:rsid w:val="3BF72025"/>
    <w:rsid w:val="3BFA6BCE"/>
    <w:rsid w:val="3C027831"/>
    <w:rsid w:val="3C2829AE"/>
    <w:rsid w:val="3C2F15AC"/>
    <w:rsid w:val="3C3F51B6"/>
    <w:rsid w:val="3C5B491C"/>
    <w:rsid w:val="3C6D42A2"/>
    <w:rsid w:val="3C7526A2"/>
    <w:rsid w:val="3C797AF3"/>
    <w:rsid w:val="3C812E4B"/>
    <w:rsid w:val="3CA05045"/>
    <w:rsid w:val="3CC634D7"/>
    <w:rsid w:val="3CD70087"/>
    <w:rsid w:val="3CDB69FF"/>
    <w:rsid w:val="3CF257A2"/>
    <w:rsid w:val="3CF4361D"/>
    <w:rsid w:val="3D0371AF"/>
    <w:rsid w:val="3D164601"/>
    <w:rsid w:val="3D2F28A7"/>
    <w:rsid w:val="3D3F1946"/>
    <w:rsid w:val="3D430B38"/>
    <w:rsid w:val="3D436353"/>
    <w:rsid w:val="3D45031D"/>
    <w:rsid w:val="3D4C54F7"/>
    <w:rsid w:val="3D606F05"/>
    <w:rsid w:val="3D69223C"/>
    <w:rsid w:val="3D7B45E7"/>
    <w:rsid w:val="3D987913"/>
    <w:rsid w:val="3D9C3168"/>
    <w:rsid w:val="3DBC05DF"/>
    <w:rsid w:val="3DC33C6A"/>
    <w:rsid w:val="3DD671C7"/>
    <w:rsid w:val="3DD86A9B"/>
    <w:rsid w:val="3DF5589F"/>
    <w:rsid w:val="3DF71617"/>
    <w:rsid w:val="3E077380"/>
    <w:rsid w:val="3E1279E1"/>
    <w:rsid w:val="3E1F0B6E"/>
    <w:rsid w:val="3E37499A"/>
    <w:rsid w:val="3E391C30"/>
    <w:rsid w:val="3E532C8F"/>
    <w:rsid w:val="3E55633E"/>
    <w:rsid w:val="3E594080"/>
    <w:rsid w:val="3E6E11AD"/>
    <w:rsid w:val="3E7B2753"/>
    <w:rsid w:val="3E806557"/>
    <w:rsid w:val="3E8409D1"/>
    <w:rsid w:val="3EAF2B6F"/>
    <w:rsid w:val="3EB56AD2"/>
    <w:rsid w:val="3EBD1FBA"/>
    <w:rsid w:val="3ECA1683"/>
    <w:rsid w:val="3EE618F9"/>
    <w:rsid w:val="3EFE0783"/>
    <w:rsid w:val="3F0D2EBA"/>
    <w:rsid w:val="3F1735F3"/>
    <w:rsid w:val="3F2B3D4A"/>
    <w:rsid w:val="3F2C3542"/>
    <w:rsid w:val="3F3F6447"/>
    <w:rsid w:val="3F516B05"/>
    <w:rsid w:val="3F5A449A"/>
    <w:rsid w:val="3F5B3E28"/>
    <w:rsid w:val="3F660736"/>
    <w:rsid w:val="3F731171"/>
    <w:rsid w:val="3F761F7B"/>
    <w:rsid w:val="3F7647BE"/>
    <w:rsid w:val="3F80388E"/>
    <w:rsid w:val="3FB62E0C"/>
    <w:rsid w:val="3FBE50DF"/>
    <w:rsid w:val="3FC20F62"/>
    <w:rsid w:val="3FEC0F24"/>
    <w:rsid w:val="3FEE07F8"/>
    <w:rsid w:val="3FF76BCA"/>
    <w:rsid w:val="3FFE5DE2"/>
    <w:rsid w:val="40146731"/>
    <w:rsid w:val="40174B03"/>
    <w:rsid w:val="40231A17"/>
    <w:rsid w:val="402E32EA"/>
    <w:rsid w:val="4075017B"/>
    <w:rsid w:val="40786313"/>
    <w:rsid w:val="4084103D"/>
    <w:rsid w:val="40AF29F5"/>
    <w:rsid w:val="40B7508E"/>
    <w:rsid w:val="40C1415E"/>
    <w:rsid w:val="40C325EF"/>
    <w:rsid w:val="40C7345C"/>
    <w:rsid w:val="40C77D36"/>
    <w:rsid w:val="40D23C76"/>
    <w:rsid w:val="40D810FE"/>
    <w:rsid w:val="40D95004"/>
    <w:rsid w:val="40E90FBF"/>
    <w:rsid w:val="4103323B"/>
    <w:rsid w:val="41150E86"/>
    <w:rsid w:val="411B6911"/>
    <w:rsid w:val="411E335F"/>
    <w:rsid w:val="412C6529"/>
    <w:rsid w:val="41390199"/>
    <w:rsid w:val="413B1790"/>
    <w:rsid w:val="41542EB3"/>
    <w:rsid w:val="415D7AAC"/>
    <w:rsid w:val="416442EA"/>
    <w:rsid w:val="416A0352"/>
    <w:rsid w:val="417D38D7"/>
    <w:rsid w:val="41870F04"/>
    <w:rsid w:val="419158DF"/>
    <w:rsid w:val="41994793"/>
    <w:rsid w:val="41A25D3E"/>
    <w:rsid w:val="41AD023F"/>
    <w:rsid w:val="41AE6491"/>
    <w:rsid w:val="41C45CB4"/>
    <w:rsid w:val="41CC4B69"/>
    <w:rsid w:val="41F128CD"/>
    <w:rsid w:val="420610DF"/>
    <w:rsid w:val="42165DE4"/>
    <w:rsid w:val="42187DAE"/>
    <w:rsid w:val="425D7EB7"/>
    <w:rsid w:val="42650575"/>
    <w:rsid w:val="42892A5A"/>
    <w:rsid w:val="429733C9"/>
    <w:rsid w:val="429C09DF"/>
    <w:rsid w:val="42BB1633"/>
    <w:rsid w:val="42CD0B98"/>
    <w:rsid w:val="42E6365C"/>
    <w:rsid w:val="42FE51F6"/>
    <w:rsid w:val="430912E0"/>
    <w:rsid w:val="430976F7"/>
    <w:rsid w:val="4317039A"/>
    <w:rsid w:val="431A1904"/>
    <w:rsid w:val="431E3928"/>
    <w:rsid w:val="432033BE"/>
    <w:rsid w:val="432664FB"/>
    <w:rsid w:val="433C618D"/>
    <w:rsid w:val="434846C3"/>
    <w:rsid w:val="434E13A9"/>
    <w:rsid w:val="43615785"/>
    <w:rsid w:val="436E4930"/>
    <w:rsid w:val="43776534"/>
    <w:rsid w:val="43790D20"/>
    <w:rsid w:val="43891618"/>
    <w:rsid w:val="439D4A0F"/>
    <w:rsid w:val="43AB5691"/>
    <w:rsid w:val="43B56997"/>
    <w:rsid w:val="43D146B8"/>
    <w:rsid w:val="43D7687B"/>
    <w:rsid w:val="43DC60B2"/>
    <w:rsid w:val="43E91F39"/>
    <w:rsid w:val="43F3462F"/>
    <w:rsid w:val="43F8280E"/>
    <w:rsid w:val="440D6621"/>
    <w:rsid w:val="440D7267"/>
    <w:rsid w:val="441632C2"/>
    <w:rsid w:val="441C730E"/>
    <w:rsid w:val="444529B0"/>
    <w:rsid w:val="44541936"/>
    <w:rsid w:val="446F7A2D"/>
    <w:rsid w:val="44775260"/>
    <w:rsid w:val="44797F00"/>
    <w:rsid w:val="449556E6"/>
    <w:rsid w:val="44B03F00"/>
    <w:rsid w:val="44B33DBE"/>
    <w:rsid w:val="44DF4BB3"/>
    <w:rsid w:val="44E81CBA"/>
    <w:rsid w:val="44F468B0"/>
    <w:rsid w:val="45034D45"/>
    <w:rsid w:val="4508012C"/>
    <w:rsid w:val="450F36EA"/>
    <w:rsid w:val="45194F9E"/>
    <w:rsid w:val="45202AE4"/>
    <w:rsid w:val="45206EA7"/>
    <w:rsid w:val="45232CF2"/>
    <w:rsid w:val="45357EA7"/>
    <w:rsid w:val="453B3CB1"/>
    <w:rsid w:val="45554082"/>
    <w:rsid w:val="45663891"/>
    <w:rsid w:val="45685D0B"/>
    <w:rsid w:val="45790967"/>
    <w:rsid w:val="458F65D9"/>
    <w:rsid w:val="459E681C"/>
    <w:rsid w:val="45BE408F"/>
    <w:rsid w:val="45C83899"/>
    <w:rsid w:val="45C84DC2"/>
    <w:rsid w:val="45CC15DB"/>
    <w:rsid w:val="45E5269D"/>
    <w:rsid w:val="45F20916"/>
    <w:rsid w:val="46072613"/>
    <w:rsid w:val="46245607"/>
    <w:rsid w:val="46396545"/>
    <w:rsid w:val="463B22BD"/>
    <w:rsid w:val="46410BC6"/>
    <w:rsid w:val="46736CD7"/>
    <w:rsid w:val="467A1ACD"/>
    <w:rsid w:val="46991FE4"/>
    <w:rsid w:val="46C06704"/>
    <w:rsid w:val="46C4213A"/>
    <w:rsid w:val="46C73B51"/>
    <w:rsid w:val="46D02A05"/>
    <w:rsid w:val="46D149CF"/>
    <w:rsid w:val="46D93082"/>
    <w:rsid w:val="46DA1AD6"/>
    <w:rsid w:val="46E841F3"/>
    <w:rsid w:val="46EE165C"/>
    <w:rsid w:val="472E107D"/>
    <w:rsid w:val="47305B9A"/>
    <w:rsid w:val="473E4DBB"/>
    <w:rsid w:val="473F5DDD"/>
    <w:rsid w:val="47490A0A"/>
    <w:rsid w:val="47584B66"/>
    <w:rsid w:val="47637D1D"/>
    <w:rsid w:val="476475F1"/>
    <w:rsid w:val="47AC4EEE"/>
    <w:rsid w:val="47B9793D"/>
    <w:rsid w:val="47BB389B"/>
    <w:rsid w:val="47BE31A6"/>
    <w:rsid w:val="47C77B61"/>
    <w:rsid w:val="47D324F0"/>
    <w:rsid w:val="47D91D8D"/>
    <w:rsid w:val="47DB411D"/>
    <w:rsid w:val="47E575C8"/>
    <w:rsid w:val="47EB74A0"/>
    <w:rsid w:val="48056718"/>
    <w:rsid w:val="480C3F11"/>
    <w:rsid w:val="48157446"/>
    <w:rsid w:val="48161EA3"/>
    <w:rsid w:val="48217291"/>
    <w:rsid w:val="482B1A8E"/>
    <w:rsid w:val="48372C59"/>
    <w:rsid w:val="48474F49"/>
    <w:rsid w:val="48691363"/>
    <w:rsid w:val="486F0E49"/>
    <w:rsid w:val="4880045B"/>
    <w:rsid w:val="488D12D0"/>
    <w:rsid w:val="48CA7928"/>
    <w:rsid w:val="48CE11C6"/>
    <w:rsid w:val="48D04F3E"/>
    <w:rsid w:val="48D20BCE"/>
    <w:rsid w:val="48F53A77"/>
    <w:rsid w:val="48FB5D34"/>
    <w:rsid w:val="49074DFE"/>
    <w:rsid w:val="490D6193"/>
    <w:rsid w:val="49155047"/>
    <w:rsid w:val="49211C3E"/>
    <w:rsid w:val="49276B29"/>
    <w:rsid w:val="493059DD"/>
    <w:rsid w:val="494E2307"/>
    <w:rsid w:val="496B110B"/>
    <w:rsid w:val="49753D38"/>
    <w:rsid w:val="499F2B63"/>
    <w:rsid w:val="49A60395"/>
    <w:rsid w:val="49C600F0"/>
    <w:rsid w:val="49CB3958"/>
    <w:rsid w:val="49D361E3"/>
    <w:rsid w:val="49ED7D72"/>
    <w:rsid w:val="49EF0827"/>
    <w:rsid w:val="4A02381D"/>
    <w:rsid w:val="4A073FC5"/>
    <w:rsid w:val="4A0F604F"/>
    <w:rsid w:val="4A1379A0"/>
    <w:rsid w:val="4A1470AD"/>
    <w:rsid w:val="4A392FB7"/>
    <w:rsid w:val="4A435BE4"/>
    <w:rsid w:val="4A4554B8"/>
    <w:rsid w:val="4A477482"/>
    <w:rsid w:val="4A4B3126"/>
    <w:rsid w:val="4A5477E6"/>
    <w:rsid w:val="4A555C30"/>
    <w:rsid w:val="4A742241"/>
    <w:rsid w:val="4A756F9E"/>
    <w:rsid w:val="4A76141A"/>
    <w:rsid w:val="4A8B4CF8"/>
    <w:rsid w:val="4ABB1C1E"/>
    <w:rsid w:val="4ACA1E61"/>
    <w:rsid w:val="4ADF3B5F"/>
    <w:rsid w:val="4ADF590D"/>
    <w:rsid w:val="4AEB42B2"/>
    <w:rsid w:val="4B187071"/>
    <w:rsid w:val="4B1A6945"/>
    <w:rsid w:val="4B2257F9"/>
    <w:rsid w:val="4B271062"/>
    <w:rsid w:val="4B38326F"/>
    <w:rsid w:val="4B5F25AA"/>
    <w:rsid w:val="4B62209A"/>
    <w:rsid w:val="4B7818BD"/>
    <w:rsid w:val="4B787A3F"/>
    <w:rsid w:val="4B906C07"/>
    <w:rsid w:val="4BB5666E"/>
    <w:rsid w:val="4BC028A6"/>
    <w:rsid w:val="4BC32B39"/>
    <w:rsid w:val="4BE40055"/>
    <w:rsid w:val="4BEA1743"/>
    <w:rsid w:val="4BF32AB7"/>
    <w:rsid w:val="4BFF1F54"/>
    <w:rsid w:val="4C0A12CF"/>
    <w:rsid w:val="4C1C53BF"/>
    <w:rsid w:val="4C3C5617"/>
    <w:rsid w:val="4C4F261E"/>
    <w:rsid w:val="4C570CD8"/>
    <w:rsid w:val="4C700260"/>
    <w:rsid w:val="4C8756E3"/>
    <w:rsid w:val="4C951AAA"/>
    <w:rsid w:val="4C982217"/>
    <w:rsid w:val="4CA41BA7"/>
    <w:rsid w:val="4CAD0BE6"/>
    <w:rsid w:val="4CB62B01"/>
    <w:rsid w:val="4CC35BEB"/>
    <w:rsid w:val="4CCA2BFB"/>
    <w:rsid w:val="4CE27936"/>
    <w:rsid w:val="4CE3349F"/>
    <w:rsid w:val="4CEC2563"/>
    <w:rsid w:val="4CF34742"/>
    <w:rsid w:val="4D044DB4"/>
    <w:rsid w:val="4D096C71"/>
    <w:rsid w:val="4D26247E"/>
    <w:rsid w:val="4D387556"/>
    <w:rsid w:val="4D4001B9"/>
    <w:rsid w:val="4D4013DD"/>
    <w:rsid w:val="4D4203D5"/>
    <w:rsid w:val="4D4B557E"/>
    <w:rsid w:val="4D4C3688"/>
    <w:rsid w:val="4D4E28D6"/>
    <w:rsid w:val="4D557329"/>
    <w:rsid w:val="4D5819A6"/>
    <w:rsid w:val="4D5B14B4"/>
    <w:rsid w:val="4D6245D3"/>
    <w:rsid w:val="4D736443"/>
    <w:rsid w:val="4D747446"/>
    <w:rsid w:val="4D7C20CA"/>
    <w:rsid w:val="4D7F33D7"/>
    <w:rsid w:val="4D807DB7"/>
    <w:rsid w:val="4D8D29C9"/>
    <w:rsid w:val="4DAB1AD6"/>
    <w:rsid w:val="4DB43081"/>
    <w:rsid w:val="4DB84022"/>
    <w:rsid w:val="4DC94652"/>
    <w:rsid w:val="4DCC059D"/>
    <w:rsid w:val="4DD23507"/>
    <w:rsid w:val="4DD70B1D"/>
    <w:rsid w:val="4DEC2FFC"/>
    <w:rsid w:val="4DF3347D"/>
    <w:rsid w:val="4DF73D65"/>
    <w:rsid w:val="4E0D09E3"/>
    <w:rsid w:val="4E127DA7"/>
    <w:rsid w:val="4E165F61"/>
    <w:rsid w:val="4E203E0E"/>
    <w:rsid w:val="4E23222F"/>
    <w:rsid w:val="4E503BAA"/>
    <w:rsid w:val="4E810A89"/>
    <w:rsid w:val="4E86506C"/>
    <w:rsid w:val="4E8F351A"/>
    <w:rsid w:val="4E916F1E"/>
    <w:rsid w:val="4EAC1FAA"/>
    <w:rsid w:val="4ECF7A46"/>
    <w:rsid w:val="4ED432AF"/>
    <w:rsid w:val="4EE334F2"/>
    <w:rsid w:val="4EFC5790"/>
    <w:rsid w:val="4EFF5BBA"/>
    <w:rsid w:val="4F0C2A48"/>
    <w:rsid w:val="4F142BB7"/>
    <w:rsid w:val="4F1638C7"/>
    <w:rsid w:val="4F1D55C9"/>
    <w:rsid w:val="4F416B96"/>
    <w:rsid w:val="4F4B5368"/>
    <w:rsid w:val="4F500DD8"/>
    <w:rsid w:val="4F5A1A06"/>
    <w:rsid w:val="4F5B577E"/>
    <w:rsid w:val="4F7C7BCE"/>
    <w:rsid w:val="4F7D3946"/>
    <w:rsid w:val="4F7F4EB2"/>
    <w:rsid w:val="4F846A83"/>
    <w:rsid w:val="4F8E16AF"/>
    <w:rsid w:val="4FA62E9D"/>
    <w:rsid w:val="4FA90297"/>
    <w:rsid w:val="4FAB4475"/>
    <w:rsid w:val="4FB9443F"/>
    <w:rsid w:val="4FBD08DF"/>
    <w:rsid w:val="4FC13833"/>
    <w:rsid w:val="4FC46117"/>
    <w:rsid w:val="4FDD1C15"/>
    <w:rsid w:val="4FE6207D"/>
    <w:rsid w:val="4FEB08B0"/>
    <w:rsid w:val="4FFD51C6"/>
    <w:rsid w:val="500009EA"/>
    <w:rsid w:val="50281B04"/>
    <w:rsid w:val="5029771A"/>
    <w:rsid w:val="50612555"/>
    <w:rsid w:val="507B46B0"/>
    <w:rsid w:val="509251CF"/>
    <w:rsid w:val="50B05148"/>
    <w:rsid w:val="50B17533"/>
    <w:rsid w:val="50C57353"/>
    <w:rsid w:val="50CF3D2E"/>
    <w:rsid w:val="50DF0CC9"/>
    <w:rsid w:val="50E35A2B"/>
    <w:rsid w:val="50EC2B32"/>
    <w:rsid w:val="511A6D8B"/>
    <w:rsid w:val="511E4CB5"/>
    <w:rsid w:val="51246D13"/>
    <w:rsid w:val="51257DF2"/>
    <w:rsid w:val="5133250E"/>
    <w:rsid w:val="51434D02"/>
    <w:rsid w:val="5167665C"/>
    <w:rsid w:val="51694182"/>
    <w:rsid w:val="516C77CE"/>
    <w:rsid w:val="517A662C"/>
    <w:rsid w:val="51B64EEE"/>
    <w:rsid w:val="51C05FDF"/>
    <w:rsid w:val="51CF7E46"/>
    <w:rsid w:val="51D6733E"/>
    <w:rsid w:val="51D80421"/>
    <w:rsid w:val="51D830B6"/>
    <w:rsid w:val="51DC2D32"/>
    <w:rsid w:val="51E47CAD"/>
    <w:rsid w:val="51E655A8"/>
    <w:rsid w:val="51E67581"/>
    <w:rsid w:val="51FA302C"/>
    <w:rsid w:val="52162096"/>
    <w:rsid w:val="52241EAC"/>
    <w:rsid w:val="52293911"/>
    <w:rsid w:val="522E717A"/>
    <w:rsid w:val="52495D62"/>
    <w:rsid w:val="524C3D9F"/>
    <w:rsid w:val="524F47E9"/>
    <w:rsid w:val="52505342"/>
    <w:rsid w:val="52522E68"/>
    <w:rsid w:val="52756B57"/>
    <w:rsid w:val="52770B21"/>
    <w:rsid w:val="52903D7D"/>
    <w:rsid w:val="52A80CDA"/>
    <w:rsid w:val="52DC721D"/>
    <w:rsid w:val="52F474CB"/>
    <w:rsid w:val="52F924B9"/>
    <w:rsid w:val="53016CFD"/>
    <w:rsid w:val="531405EC"/>
    <w:rsid w:val="531C5BCB"/>
    <w:rsid w:val="532C5467"/>
    <w:rsid w:val="533E66BE"/>
    <w:rsid w:val="533F163E"/>
    <w:rsid w:val="53530C46"/>
    <w:rsid w:val="536746F1"/>
    <w:rsid w:val="5382152B"/>
    <w:rsid w:val="5385101B"/>
    <w:rsid w:val="538B4884"/>
    <w:rsid w:val="539A6875"/>
    <w:rsid w:val="539B3EAD"/>
    <w:rsid w:val="53B4545D"/>
    <w:rsid w:val="53CE4770"/>
    <w:rsid w:val="53D068D4"/>
    <w:rsid w:val="53DB6E8D"/>
    <w:rsid w:val="53E126F6"/>
    <w:rsid w:val="53E43F94"/>
    <w:rsid w:val="53F4459D"/>
    <w:rsid w:val="54210B62"/>
    <w:rsid w:val="54271FE7"/>
    <w:rsid w:val="543A1A24"/>
    <w:rsid w:val="543F0341"/>
    <w:rsid w:val="54513065"/>
    <w:rsid w:val="545C3B2A"/>
    <w:rsid w:val="54723DEB"/>
    <w:rsid w:val="54751090"/>
    <w:rsid w:val="5478427C"/>
    <w:rsid w:val="54A656ED"/>
    <w:rsid w:val="54AD53A0"/>
    <w:rsid w:val="54C6369A"/>
    <w:rsid w:val="54D062C6"/>
    <w:rsid w:val="54D2649A"/>
    <w:rsid w:val="54F15BD5"/>
    <w:rsid w:val="54FD1D3E"/>
    <w:rsid w:val="55103E40"/>
    <w:rsid w:val="55142657"/>
    <w:rsid w:val="55264138"/>
    <w:rsid w:val="55306D65"/>
    <w:rsid w:val="553457C6"/>
    <w:rsid w:val="554051FA"/>
    <w:rsid w:val="555A1148"/>
    <w:rsid w:val="555E7D76"/>
    <w:rsid w:val="556C5FEF"/>
    <w:rsid w:val="557B06BC"/>
    <w:rsid w:val="557D6F17"/>
    <w:rsid w:val="55800C15"/>
    <w:rsid w:val="55920CA6"/>
    <w:rsid w:val="55A439DB"/>
    <w:rsid w:val="55A66B18"/>
    <w:rsid w:val="55A90FF1"/>
    <w:rsid w:val="55B37D19"/>
    <w:rsid w:val="55B61960"/>
    <w:rsid w:val="55D3606E"/>
    <w:rsid w:val="55E30486"/>
    <w:rsid w:val="55E464CD"/>
    <w:rsid w:val="55F33BA2"/>
    <w:rsid w:val="55F95084"/>
    <w:rsid w:val="55FB55C5"/>
    <w:rsid w:val="56072502"/>
    <w:rsid w:val="560B1CAC"/>
    <w:rsid w:val="56170651"/>
    <w:rsid w:val="56180F27"/>
    <w:rsid w:val="5627460C"/>
    <w:rsid w:val="562B40FC"/>
    <w:rsid w:val="562E599A"/>
    <w:rsid w:val="563F1955"/>
    <w:rsid w:val="564E3947"/>
    <w:rsid w:val="56660C90"/>
    <w:rsid w:val="56723AD9"/>
    <w:rsid w:val="5682380F"/>
    <w:rsid w:val="56947CB9"/>
    <w:rsid w:val="56955A19"/>
    <w:rsid w:val="56A87D26"/>
    <w:rsid w:val="56C31910"/>
    <w:rsid w:val="56CD475D"/>
    <w:rsid w:val="56D009EE"/>
    <w:rsid w:val="56E36785"/>
    <w:rsid w:val="56F40992"/>
    <w:rsid w:val="56FB3ACE"/>
    <w:rsid w:val="56FC7846"/>
    <w:rsid w:val="57034731"/>
    <w:rsid w:val="57174680"/>
    <w:rsid w:val="571B5F1F"/>
    <w:rsid w:val="572C012C"/>
    <w:rsid w:val="57354A9E"/>
    <w:rsid w:val="57494A63"/>
    <w:rsid w:val="574C432A"/>
    <w:rsid w:val="57554F08"/>
    <w:rsid w:val="57603931"/>
    <w:rsid w:val="57853398"/>
    <w:rsid w:val="578C0BCA"/>
    <w:rsid w:val="57945CD1"/>
    <w:rsid w:val="57BA777E"/>
    <w:rsid w:val="57BE4AFC"/>
    <w:rsid w:val="57D2216F"/>
    <w:rsid w:val="58146A07"/>
    <w:rsid w:val="582232DD"/>
    <w:rsid w:val="58255348"/>
    <w:rsid w:val="586E4240"/>
    <w:rsid w:val="58733B38"/>
    <w:rsid w:val="58737694"/>
    <w:rsid w:val="58772B82"/>
    <w:rsid w:val="588A66DF"/>
    <w:rsid w:val="589760B9"/>
    <w:rsid w:val="58AE2DC2"/>
    <w:rsid w:val="58BD1B3B"/>
    <w:rsid w:val="58C53696"/>
    <w:rsid w:val="58C61EBA"/>
    <w:rsid w:val="58DF4D2A"/>
    <w:rsid w:val="58E80082"/>
    <w:rsid w:val="58EC42D4"/>
    <w:rsid w:val="58F6733F"/>
    <w:rsid w:val="58FA7DB6"/>
    <w:rsid w:val="5903310E"/>
    <w:rsid w:val="59176D0E"/>
    <w:rsid w:val="59260BAB"/>
    <w:rsid w:val="5937763B"/>
    <w:rsid w:val="59377FE6"/>
    <w:rsid w:val="594828CF"/>
    <w:rsid w:val="59554FEC"/>
    <w:rsid w:val="5979360D"/>
    <w:rsid w:val="5987231B"/>
    <w:rsid w:val="59892CB1"/>
    <w:rsid w:val="59961CCE"/>
    <w:rsid w:val="599761D5"/>
    <w:rsid w:val="59AC7302"/>
    <w:rsid w:val="59BD150F"/>
    <w:rsid w:val="59E051FD"/>
    <w:rsid w:val="59F6057D"/>
    <w:rsid w:val="59F91B3E"/>
    <w:rsid w:val="59FE5684"/>
    <w:rsid w:val="5A0802B0"/>
    <w:rsid w:val="5A4C4641"/>
    <w:rsid w:val="5A5D5CA9"/>
    <w:rsid w:val="5A6E2809"/>
    <w:rsid w:val="5A8F631C"/>
    <w:rsid w:val="5A90452E"/>
    <w:rsid w:val="5A9A0292"/>
    <w:rsid w:val="5A9F51BF"/>
    <w:rsid w:val="5AA21243"/>
    <w:rsid w:val="5AAC5A5A"/>
    <w:rsid w:val="5AAD1584"/>
    <w:rsid w:val="5ABA09C3"/>
    <w:rsid w:val="5AC6484C"/>
    <w:rsid w:val="5AC8016B"/>
    <w:rsid w:val="5ACB22C3"/>
    <w:rsid w:val="5ADA0D78"/>
    <w:rsid w:val="5B1A473F"/>
    <w:rsid w:val="5B2E54E1"/>
    <w:rsid w:val="5B461090"/>
    <w:rsid w:val="5B5A4B3C"/>
    <w:rsid w:val="5B5E287E"/>
    <w:rsid w:val="5B8816A9"/>
    <w:rsid w:val="5BB72DFA"/>
    <w:rsid w:val="5BC76675"/>
    <w:rsid w:val="5BCA1CC1"/>
    <w:rsid w:val="5BD20B76"/>
    <w:rsid w:val="5BD52C8B"/>
    <w:rsid w:val="5BEA2363"/>
    <w:rsid w:val="5BF1122A"/>
    <w:rsid w:val="5BF14209"/>
    <w:rsid w:val="5BFE5E0F"/>
    <w:rsid w:val="5C0D324F"/>
    <w:rsid w:val="5C243387"/>
    <w:rsid w:val="5C2D3FFE"/>
    <w:rsid w:val="5C533A65"/>
    <w:rsid w:val="5C5A7255"/>
    <w:rsid w:val="5C6C7B95"/>
    <w:rsid w:val="5C786B55"/>
    <w:rsid w:val="5C8005D2"/>
    <w:rsid w:val="5C807472"/>
    <w:rsid w:val="5C877BB2"/>
    <w:rsid w:val="5C8B4720"/>
    <w:rsid w:val="5CA00C74"/>
    <w:rsid w:val="5CEE19DF"/>
    <w:rsid w:val="5CF43966"/>
    <w:rsid w:val="5D0D332C"/>
    <w:rsid w:val="5D170F36"/>
    <w:rsid w:val="5D270DF1"/>
    <w:rsid w:val="5D276C9F"/>
    <w:rsid w:val="5D2C42B6"/>
    <w:rsid w:val="5D35760E"/>
    <w:rsid w:val="5D3F223B"/>
    <w:rsid w:val="5D47794D"/>
    <w:rsid w:val="5D5E6B65"/>
    <w:rsid w:val="5D6718A8"/>
    <w:rsid w:val="5DA4378F"/>
    <w:rsid w:val="5DA44433"/>
    <w:rsid w:val="5DBA48BB"/>
    <w:rsid w:val="5DC0337C"/>
    <w:rsid w:val="5DC10EA2"/>
    <w:rsid w:val="5DC11677"/>
    <w:rsid w:val="5DD200E2"/>
    <w:rsid w:val="5DD30D2A"/>
    <w:rsid w:val="5DE27796"/>
    <w:rsid w:val="5DF3699F"/>
    <w:rsid w:val="5DF47470"/>
    <w:rsid w:val="5DFE3EA4"/>
    <w:rsid w:val="5DFE6F3B"/>
    <w:rsid w:val="5DFF3FD4"/>
    <w:rsid w:val="5E033269"/>
    <w:rsid w:val="5E084D23"/>
    <w:rsid w:val="5E141DC9"/>
    <w:rsid w:val="5E3A3D24"/>
    <w:rsid w:val="5E422C68"/>
    <w:rsid w:val="5E4A026A"/>
    <w:rsid w:val="5E68756F"/>
    <w:rsid w:val="5E7B72A3"/>
    <w:rsid w:val="5E8819C0"/>
    <w:rsid w:val="5E8A5738"/>
    <w:rsid w:val="5E9642F5"/>
    <w:rsid w:val="5E9B16F3"/>
    <w:rsid w:val="5E9D36BD"/>
    <w:rsid w:val="5EA315E6"/>
    <w:rsid w:val="5EAB50CF"/>
    <w:rsid w:val="5EB7471A"/>
    <w:rsid w:val="5EB75082"/>
    <w:rsid w:val="5ED0376F"/>
    <w:rsid w:val="5ED82947"/>
    <w:rsid w:val="5EDF7832"/>
    <w:rsid w:val="5EF62413"/>
    <w:rsid w:val="5F04716E"/>
    <w:rsid w:val="5F090D52"/>
    <w:rsid w:val="5F1119B5"/>
    <w:rsid w:val="5F150709"/>
    <w:rsid w:val="5F1A373D"/>
    <w:rsid w:val="5F357D99"/>
    <w:rsid w:val="5F3758C0"/>
    <w:rsid w:val="5F6B2401"/>
    <w:rsid w:val="5F6D308F"/>
    <w:rsid w:val="5F6D434A"/>
    <w:rsid w:val="5F797C86"/>
    <w:rsid w:val="5F85487D"/>
    <w:rsid w:val="5F8C2ACD"/>
    <w:rsid w:val="5F940380"/>
    <w:rsid w:val="5FA62A45"/>
    <w:rsid w:val="5FB05672"/>
    <w:rsid w:val="5FBA204D"/>
    <w:rsid w:val="5FBC4017"/>
    <w:rsid w:val="5FC83FAD"/>
    <w:rsid w:val="5FCC6AA8"/>
    <w:rsid w:val="5FD21C15"/>
    <w:rsid w:val="5FDA624B"/>
    <w:rsid w:val="5FDC0D4A"/>
    <w:rsid w:val="5FDC6467"/>
    <w:rsid w:val="5FE33352"/>
    <w:rsid w:val="5FE92684"/>
    <w:rsid w:val="5FEC0C3B"/>
    <w:rsid w:val="5FED5F7E"/>
    <w:rsid w:val="5FF76DFD"/>
    <w:rsid w:val="6036592F"/>
    <w:rsid w:val="60430294"/>
    <w:rsid w:val="6048238E"/>
    <w:rsid w:val="60696BC9"/>
    <w:rsid w:val="606A5821"/>
    <w:rsid w:val="60713851"/>
    <w:rsid w:val="6072739C"/>
    <w:rsid w:val="60880A4D"/>
    <w:rsid w:val="608D09A3"/>
    <w:rsid w:val="609B3C2C"/>
    <w:rsid w:val="60B719D8"/>
    <w:rsid w:val="60C82547"/>
    <w:rsid w:val="60D07D7A"/>
    <w:rsid w:val="60D4713E"/>
    <w:rsid w:val="60D84E80"/>
    <w:rsid w:val="60DF620F"/>
    <w:rsid w:val="60F15F42"/>
    <w:rsid w:val="60F35816"/>
    <w:rsid w:val="60F5158E"/>
    <w:rsid w:val="60FB291D"/>
    <w:rsid w:val="611D0AE5"/>
    <w:rsid w:val="6122664B"/>
    <w:rsid w:val="612479FF"/>
    <w:rsid w:val="612E2CF2"/>
    <w:rsid w:val="613876CD"/>
    <w:rsid w:val="61471ACE"/>
    <w:rsid w:val="616A7F28"/>
    <w:rsid w:val="616F73DC"/>
    <w:rsid w:val="61700C15"/>
    <w:rsid w:val="61734BA9"/>
    <w:rsid w:val="61842912"/>
    <w:rsid w:val="61932B55"/>
    <w:rsid w:val="61970898"/>
    <w:rsid w:val="619F68A3"/>
    <w:rsid w:val="61A44D62"/>
    <w:rsid w:val="61C13B66"/>
    <w:rsid w:val="61C509A2"/>
    <w:rsid w:val="61CC66FB"/>
    <w:rsid w:val="61D75138"/>
    <w:rsid w:val="620677CB"/>
    <w:rsid w:val="62161F3E"/>
    <w:rsid w:val="62247D3F"/>
    <w:rsid w:val="622B71B9"/>
    <w:rsid w:val="624C1682"/>
    <w:rsid w:val="625C72D6"/>
    <w:rsid w:val="62620EA5"/>
    <w:rsid w:val="6270239D"/>
    <w:rsid w:val="627C183B"/>
    <w:rsid w:val="628A03FC"/>
    <w:rsid w:val="6292105F"/>
    <w:rsid w:val="629B6165"/>
    <w:rsid w:val="62CD2097"/>
    <w:rsid w:val="62D11B87"/>
    <w:rsid w:val="62D376AD"/>
    <w:rsid w:val="62E053D1"/>
    <w:rsid w:val="62E53885"/>
    <w:rsid w:val="62EB733F"/>
    <w:rsid w:val="62F80177"/>
    <w:rsid w:val="62FE04A2"/>
    <w:rsid w:val="63035AB9"/>
    <w:rsid w:val="630A262A"/>
    <w:rsid w:val="631A1780"/>
    <w:rsid w:val="6320666B"/>
    <w:rsid w:val="632E23BD"/>
    <w:rsid w:val="63666773"/>
    <w:rsid w:val="63703C30"/>
    <w:rsid w:val="63771F1D"/>
    <w:rsid w:val="63812B2C"/>
    <w:rsid w:val="639F3A33"/>
    <w:rsid w:val="63B92BCC"/>
    <w:rsid w:val="63CE7438"/>
    <w:rsid w:val="63DA032C"/>
    <w:rsid w:val="63E06A7E"/>
    <w:rsid w:val="63E1404C"/>
    <w:rsid w:val="63EA73A4"/>
    <w:rsid w:val="63EC01F2"/>
    <w:rsid w:val="63F0621E"/>
    <w:rsid w:val="63F208C0"/>
    <w:rsid w:val="64015D03"/>
    <w:rsid w:val="64155AA4"/>
    <w:rsid w:val="641E51DF"/>
    <w:rsid w:val="64261175"/>
    <w:rsid w:val="642C178F"/>
    <w:rsid w:val="643E324C"/>
    <w:rsid w:val="646C600B"/>
    <w:rsid w:val="646F78AA"/>
    <w:rsid w:val="648A46E4"/>
    <w:rsid w:val="648B3FB8"/>
    <w:rsid w:val="64915A72"/>
    <w:rsid w:val="64917820"/>
    <w:rsid w:val="64D20964"/>
    <w:rsid w:val="64D21BE7"/>
    <w:rsid w:val="64E21E2A"/>
    <w:rsid w:val="64E75692"/>
    <w:rsid w:val="64F97173"/>
    <w:rsid w:val="650A75D2"/>
    <w:rsid w:val="651112BF"/>
    <w:rsid w:val="6525705F"/>
    <w:rsid w:val="65270184"/>
    <w:rsid w:val="652C1320"/>
    <w:rsid w:val="655A2308"/>
    <w:rsid w:val="65654809"/>
    <w:rsid w:val="65711400"/>
    <w:rsid w:val="6584299C"/>
    <w:rsid w:val="658D310C"/>
    <w:rsid w:val="658E1FB1"/>
    <w:rsid w:val="658F0C8A"/>
    <w:rsid w:val="65943C08"/>
    <w:rsid w:val="65960E66"/>
    <w:rsid w:val="659E5E1D"/>
    <w:rsid w:val="659F41BF"/>
    <w:rsid w:val="65AD4628"/>
    <w:rsid w:val="65B01F28"/>
    <w:rsid w:val="65B55E97"/>
    <w:rsid w:val="65C00E13"/>
    <w:rsid w:val="65C571F4"/>
    <w:rsid w:val="65DC3A1F"/>
    <w:rsid w:val="65DE7A95"/>
    <w:rsid w:val="65DF45BB"/>
    <w:rsid w:val="65E6594A"/>
    <w:rsid w:val="65F53DDF"/>
    <w:rsid w:val="65FA7647"/>
    <w:rsid w:val="66002466"/>
    <w:rsid w:val="660202AA"/>
    <w:rsid w:val="66185489"/>
    <w:rsid w:val="66195D1F"/>
    <w:rsid w:val="662B5A52"/>
    <w:rsid w:val="664A6716"/>
    <w:rsid w:val="66501015"/>
    <w:rsid w:val="66521231"/>
    <w:rsid w:val="665705F5"/>
    <w:rsid w:val="665A497F"/>
    <w:rsid w:val="666F3B91"/>
    <w:rsid w:val="66725BFB"/>
    <w:rsid w:val="667C0290"/>
    <w:rsid w:val="667C4500"/>
    <w:rsid w:val="669827C7"/>
    <w:rsid w:val="66A575B3"/>
    <w:rsid w:val="66C27D6F"/>
    <w:rsid w:val="66C337DE"/>
    <w:rsid w:val="66C37A39"/>
    <w:rsid w:val="66CF63DE"/>
    <w:rsid w:val="66D26775"/>
    <w:rsid w:val="66E16111"/>
    <w:rsid w:val="66ED2D08"/>
    <w:rsid w:val="66EF5AA1"/>
    <w:rsid w:val="66F52335"/>
    <w:rsid w:val="67006EDF"/>
    <w:rsid w:val="67184229"/>
    <w:rsid w:val="671D477F"/>
    <w:rsid w:val="67362901"/>
    <w:rsid w:val="6736645D"/>
    <w:rsid w:val="67452B44"/>
    <w:rsid w:val="676D394E"/>
    <w:rsid w:val="678673E4"/>
    <w:rsid w:val="6787315C"/>
    <w:rsid w:val="67A07D7A"/>
    <w:rsid w:val="67A17E43"/>
    <w:rsid w:val="67A35B3A"/>
    <w:rsid w:val="67C0431D"/>
    <w:rsid w:val="67CE0AC3"/>
    <w:rsid w:val="67CF0D07"/>
    <w:rsid w:val="67E265E5"/>
    <w:rsid w:val="67E452A7"/>
    <w:rsid w:val="67E83C27"/>
    <w:rsid w:val="67ED7A99"/>
    <w:rsid w:val="67F0485E"/>
    <w:rsid w:val="67F307F2"/>
    <w:rsid w:val="68085F5A"/>
    <w:rsid w:val="68131D4B"/>
    <w:rsid w:val="68272C9C"/>
    <w:rsid w:val="68273FF7"/>
    <w:rsid w:val="682E2526"/>
    <w:rsid w:val="684D3A5E"/>
    <w:rsid w:val="68623356"/>
    <w:rsid w:val="6865011A"/>
    <w:rsid w:val="687E3344"/>
    <w:rsid w:val="68996CA3"/>
    <w:rsid w:val="689E075E"/>
    <w:rsid w:val="689E1495"/>
    <w:rsid w:val="689E292E"/>
    <w:rsid w:val="68A33FC6"/>
    <w:rsid w:val="68B8295B"/>
    <w:rsid w:val="68D8555E"/>
    <w:rsid w:val="68DC4DE2"/>
    <w:rsid w:val="68DD679C"/>
    <w:rsid w:val="68E00A78"/>
    <w:rsid w:val="690540BF"/>
    <w:rsid w:val="690A7BA1"/>
    <w:rsid w:val="69180510"/>
    <w:rsid w:val="691B0000"/>
    <w:rsid w:val="692A7707"/>
    <w:rsid w:val="694A4DB3"/>
    <w:rsid w:val="696873C7"/>
    <w:rsid w:val="69A578CA"/>
    <w:rsid w:val="69B75EDF"/>
    <w:rsid w:val="69C42446"/>
    <w:rsid w:val="69CC4E56"/>
    <w:rsid w:val="69D51D38"/>
    <w:rsid w:val="69DB6C70"/>
    <w:rsid w:val="69DC0762"/>
    <w:rsid w:val="6A057816"/>
    <w:rsid w:val="6A072332"/>
    <w:rsid w:val="6A096CD3"/>
    <w:rsid w:val="6A18009C"/>
    <w:rsid w:val="6A2922A9"/>
    <w:rsid w:val="6A3A44B6"/>
    <w:rsid w:val="6A44693C"/>
    <w:rsid w:val="6A577655"/>
    <w:rsid w:val="6A5A55C2"/>
    <w:rsid w:val="6A641533"/>
    <w:rsid w:val="6A755CB7"/>
    <w:rsid w:val="6A75729C"/>
    <w:rsid w:val="6A7F45BF"/>
    <w:rsid w:val="6A95793E"/>
    <w:rsid w:val="6A995680"/>
    <w:rsid w:val="6AA858C3"/>
    <w:rsid w:val="6AA95198"/>
    <w:rsid w:val="6AB3678B"/>
    <w:rsid w:val="6AB44268"/>
    <w:rsid w:val="6AB86D8B"/>
    <w:rsid w:val="6ABA600F"/>
    <w:rsid w:val="6AC46FA1"/>
    <w:rsid w:val="6ACA4F42"/>
    <w:rsid w:val="6ACF10A2"/>
    <w:rsid w:val="6AD761A9"/>
    <w:rsid w:val="6AD8488D"/>
    <w:rsid w:val="6B06502A"/>
    <w:rsid w:val="6B11490F"/>
    <w:rsid w:val="6B1747F7"/>
    <w:rsid w:val="6B2036AC"/>
    <w:rsid w:val="6B296E17"/>
    <w:rsid w:val="6B302937"/>
    <w:rsid w:val="6B35036A"/>
    <w:rsid w:val="6B4D1FC7"/>
    <w:rsid w:val="6B571085"/>
    <w:rsid w:val="6B572DC3"/>
    <w:rsid w:val="6B614B0C"/>
    <w:rsid w:val="6B6537B4"/>
    <w:rsid w:val="6B7834E8"/>
    <w:rsid w:val="6B80414A"/>
    <w:rsid w:val="6B8D0CB3"/>
    <w:rsid w:val="6B902452"/>
    <w:rsid w:val="6B9F4B52"/>
    <w:rsid w:val="6BA6556B"/>
    <w:rsid w:val="6BB64010"/>
    <w:rsid w:val="6BBB1626"/>
    <w:rsid w:val="6BBD51C1"/>
    <w:rsid w:val="6BC56001"/>
    <w:rsid w:val="6BC93666"/>
    <w:rsid w:val="6BD149A6"/>
    <w:rsid w:val="6BF16DF6"/>
    <w:rsid w:val="6C060AF4"/>
    <w:rsid w:val="6C111246"/>
    <w:rsid w:val="6C197995"/>
    <w:rsid w:val="6C1D5E3D"/>
    <w:rsid w:val="6C3D203B"/>
    <w:rsid w:val="6C803039"/>
    <w:rsid w:val="6C8F6784"/>
    <w:rsid w:val="6C916AB9"/>
    <w:rsid w:val="6C93245A"/>
    <w:rsid w:val="6C9854C4"/>
    <w:rsid w:val="6C9F6852"/>
    <w:rsid w:val="6CA9147F"/>
    <w:rsid w:val="6CB43503"/>
    <w:rsid w:val="6CCB5899"/>
    <w:rsid w:val="6CDB4DC4"/>
    <w:rsid w:val="6CED5810"/>
    <w:rsid w:val="6CFE0684"/>
    <w:rsid w:val="6D022650"/>
    <w:rsid w:val="6D0752D9"/>
    <w:rsid w:val="6D0C2FBA"/>
    <w:rsid w:val="6D0D4104"/>
    <w:rsid w:val="6D102777"/>
    <w:rsid w:val="6D22603A"/>
    <w:rsid w:val="6D2D0302"/>
    <w:rsid w:val="6D3722AC"/>
    <w:rsid w:val="6D3F3B91"/>
    <w:rsid w:val="6D4078A1"/>
    <w:rsid w:val="6D561607"/>
    <w:rsid w:val="6D6C2BD8"/>
    <w:rsid w:val="6D7B106D"/>
    <w:rsid w:val="6D823EBE"/>
    <w:rsid w:val="6D8C0532"/>
    <w:rsid w:val="6D8F3676"/>
    <w:rsid w:val="6D8F4B19"/>
    <w:rsid w:val="6DD34C67"/>
    <w:rsid w:val="6DE210EC"/>
    <w:rsid w:val="6E113780"/>
    <w:rsid w:val="6E1B63AC"/>
    <w:rsid w:val="6E1D0376"/>
    <w:rsid w:val="6E214824"/>
    <w:rsid w:val="6E35746E"/>
    <w:rsid w:val="6E4C47B8"/>
    <w:rsid w:val="6E657628"/>
    <w:rsid w:val="6E6B6F27"/>
    <w:rsid w:val="6E7156FD"/>
    <w:rsid w:val="6E80505B"/>
    <w:rsid w:val="6E8126B3"/>
    <w:rsid w:val="6E835C32"/>
    <w:rsid w:val="6E91666F"/>
    <w:rsid w:val="6E946089"/>
    <w:rsid w:val="6E9A5523"/>
    <w:rsid w:val="6E9D034A"/>
    <w:rsid w:val="6EAE77A9"/>
    <w:rsid w:val="6EB42BD3"/>
    <w:rsid w:val="6EB505AF"/>
    <w:rsid w:val="6EC868A2"/>
    <w:rsid w:val="6ED94286"/>
    <w:rsid w:val="6EDA1DC4"/>
    <w:rsid w:val="6EDC04F7"/>
    <w:rsid w:val="6EEA69AD"/>
    <w:rsid w:val="6EF914F5"/>
    <w:rsid w:val="6F0B6421"/>
    <w:rsid w:val="6F116FF4"/>
    <w:rsid w:val="6F156D3B"/>
    <w:rsid w:val="6F1572A0"/>
    <w:rsid w:val="6F190B3E"/>
    <w:rsid w:val="6F255735"/>
    <w:rsid w:val="6F260569"/>
    <w:rsid w:val="6F2971C4"/>
    <w:rsid w:val="6F2C51E7"/>
    <w:rsid w:val="6F3E308A"/>
    <w:rsid w:val="6F476480"/>
    <w:rsid w:val="6F4B0F13"/>
    <w:rsid w:val="6F54601A"/>
    <w:rsid w:val="6F564F1C"/>
    <w:rsid w:val="6F641E77"/>
    <w:rsid w:val="6F6618A9"/>
    <w:rsid w:val="6F6D2C38"/>
    <w:rsid w:val="6F6E2C8D"/>
    <w:rsid w:val="6F775864"/>
    <w:rsid w:val="6F814935"/>
    <w:rsid w:val="6FA1728E"/>
    <w:rsid w:val="6FA46DD8"/>
    <w:rsid w:val="6FA81EC2"/>
    <w:rsid w:val="6FB5053F"/>
    <w:rsid w:val="6FC860C0"/>
    <w:rsid w:val="6FD42CB7"/>
    <w:rsid w:val="6FE50A20"/>
    <w:rsid w:val="6FF15617"/>
    <w:rsid w:val="6FF43359"/>
    <w:rsid w:val="70006D09"/>
    <w:rsid w:val="70025A76"/>
    <w:rsid w:val="7006027C"/>
    <w:rsid w:val="70065DD2"/>
    <w:rsid w:val="701249CD"/>
    <w:rsid w:val="701E7DA9"/>
    <w:rsid w:val="701F03D6"/>
    <w:rsid w:val="70381498"/>
    <w:rsid w:val="70425E72"/>
    <w:rsid w:val="704716DB"/>
    <w:rsid w:val="706E686D"/>
    <w:rsid w:val="707324D0"/>
    <w:rsid w:val="70812E3F"/>
    <w:rsid w:val="70871AD7"/>
    <w:rsid w:val="70875F7B"/>
    <w:rsid w:val="70891CF3"/>
    <w:rsid w:val="708923AF"/>
    <w:rsid w:val="70972D4C"/>
    <w:rsid w:val="70A1703D"/>
    <w:rsid w:val="70AB7EBB"/>
    <w:rsid w:val="70B054D2"/>
    <w:rsid w:val="70CB1085"/>
    <w:rsid w:val="70CB40BA"/>
    <w:rsid w:val="70D535B7"/>
    <w:rsid w:val="70D806F3"/>
    <w:rsid w:val="70DF5DB7"/>
    <w:rsid w:val="70E23EAC"/>
    <w:rsid w:val="710C34F4"/>
    <w:rsid w:val="712612F0"/>
    <w:rsid w:val="712C56E3"/>
    <w:rsid w:val="7132172F"/>
    <w:rsid w:val="71381023"/>
    <w:rsid w:val="713F6856"/>
    <w:rsid w:val="714B0D57"/>
    <w:rsid w:val="714D0F73"/>
    <w:rsid w:val="714E0847"/>
    <w:rsid w:val="71664F1F"/>
    <w:rsid w:val="716B764B"/>
    <w:rsid w:val="718304F0"/>
    <w:rsid w:val="71943060"/>
    <w:rsid w:val="719646C8"/>
    <w:rsid w:val="71A1306D"/>
    <w:rsid w:val="71A4371E"/>
    <w:rsid w:val="71D40D4C"/>
    <w:rsid w:val="71DD22F7"/>
    <w:rsid w:val="71E76CD1"/>
    <w:rsid w:val="71ED62B2"/>
    <w:rsid w:val="720E5988"/>
    <w:rsid w:val="721105CF"/>
    <w:rsid w:val="723B526F"/>
    <w:rsid w:val="723F63A5"/>
    <w:rsid w:val="72442376"/>
    <w:rsid w:val="724579AD"/>
    <w:rsid w:val="724F2AC9"/>
    <w:rsid w:val="72541E8D"/>
    <w:rsid w:val="725D6F93"/>
    <w:rsid w:val="726F1F3A"/>
    <w:rsid w:val="727268E0"/>
    <w:rsid w:val="727F7559"/>
    <w:rsid w:val="72830C57"/>
    <w:rsid w:val="72916C3D"/>
    <w:rsid w:val="7298621E"/>
    <w:rsid w:val="72D336FA"/>
    <w:rsid w:val="72D72D41"/>
    <w:rsid w:val="72DF3E4C"/>
    <w:rsid w:val="72F25224"/>
    <w:rsid w:val="72F71196"/>
    <w:rsid w:val="72FE49E0"/>
    <w:rsid w:val="73027B3B"/>
    <w:rsid w:val="73125FD0"/>
    <w:rsid w:val="731B14E6"/>
    <w:rsid w:val="73353A6C"/>
    <w:rsid w:val="73612AB3"/>
    <w:rsid w:val="7363682B"/>
    <w:rsid w:val="7372081D"/>
    <w:rsid w:val="73756254"/>
    <w:rsid w:val="73797DFD"/>
    <w:rsid w:val="737A29C8"/>
    <w:rsid w:val="738B2725"/>
    <w:rsid w:val="738B5D82"/>
    <w:rsid w:val="739C1D3D"/>
    <w:rsid w:val="73A40BF2"/>
    <w:rsid w:val="73A6496A"/>
    <w:rsid w:val="73A8484B"/>
    <w:rsid w:val="73CC2623"/>
    <w:rsid w:val="73D43285"/>
    <w:rsid w:val="73E01C2A"/>
    <w:rsid w:val="73EB6821"/>
    <w:rsid w:val="73EC265C"/>
    <w:rsid w:val="74075062"/>
    <w:rsid w:val="741713C4"/>
    <w:rsid w:val="741C69DA"/>
    <w:rsid w:val="741D7F20"/>
    <w:rsid w:val="741E09A4"/>
    <w:rsid w:val="741E5701"/>
    <w:rsid w:val="7423420D"/>
    <w:rsid w:val="74250E3F"/>
    <w:rsid w:val="74341F76"/>
    <w:rsid w:val="744C72C0"/>
    <w:rsid w:val="74746816"/>
    <w:rsid w:val="747F7695"/>
    <w:rsid w:val="748205C3"/>
    <w:rsid w:val="7491404D"/>
    <w:rsid w:val="74923DD8"/>
    <w:rsid w:val="74980757"/>
    <w:rsid w:val="749D4F31"/>
    <w:rsid w:val="74A16D28"/>
    <w:rsid w:val="74A23383"/>
    <w:rsid w:val="74D45518"/>
    <w:rsid w:val="74D55507"/>
    <w:rsid w:val="74DB106B"/>
    <w:rsid w:val="74E219D2"/>
    <w:rsid w:val="75106440"/>
    <w:rsid w:val="753D12FE"/>
    <w:rsid w:val="753F5515"/>
    <w:rsid w:val="754461E9"/>
    <w:rsid w:val="754D1541"/>
    <w:rsid w:val="755521A4"/>
    <w:rsid w:val="75644ADD"/>
    <w:rsid w:val="756C51E3"/>
    <w:rsid w:val="756D0933"/>
    <w:rsid w:val="759C6025"/>
    <w:rsid w:val="75A0762E"/>
    <w:rsid w:val="75AB479D"/>
    <w:rsid w:val="75CE7D56"/>
    <w:rsid w:val="75DD2AFA"/>
    <w:rsid w:val="75DF7A37"/>
    <w:rsid w:val="75EB6F14"/>
    <w:rsid w:val="75F25761"/>
    <w:rsid w:val="75F55735"/>
    <w:rsid w:val="76165DD7"/>
    <w:rsid w:val="761756AB"/>
    <w:rsid w:val="762F455C"/>
    <w:rsid w:val="763A3FE7"/>
    <w:rsid w:val="763D65F0"/>
    <w:rsid w:val="764346F2"/>
    <w:rsid w:val="76447F3E"/>
    <w:rsid w:val="764C7A4B"/>
    <w:rsid w:val="764F12E9"/>
    <w:rsid w:val="764F3C94"/>
    <w:rsid w:val="766F54E7"/>
    <w:rsid w:val="76742AFE"/>
    <w:rsid w:val="768E1E11"/>
    <w:rsid w:val="76911902"/>
    <w:rsid w:val="7691545E"/>
    <w:rsid w:val="76A11F6D"/>
    <w:rsid w:val="76AE6010"/>
    <w:rsid w:val="76B61334"/>
    <w:rsid w:val="76C9109B"/>
    <w:rsid w:val="76DD433C"/>
    <w:rsid w:val="76DE7925"/>
    <w:rsid w:val="76E80AD7"/>
    <w:rsid w:val="76F517C0"/>
    <w:rsid w:val="7702635B"/>
    <w:rsid w:val="77073972"/>
    <w:rsid w:val="771B4819"/>
    <w:rsid w:val="7723168A"/>
    <w:rsid w:val="7736125B"/>
    <w:rsid w:val="77383B2B"/>
    <w:rsid w:val="774626EC"/>
    <w:rsid w:val="775972A4"/>
    <w:rsid w:val="77626DFA"/>
    <w:rsid w:val="77642210"/>
    <w:rsid w:val="777702D8"/>
    <w:rsid w:val="778E3A71"/>
    <w:rsid w:val="778F4F02"/>
    <w:rsid w:val="77A967D7"/>
    <w:rsid w:val="77C655DB"/>
    <w:rsid w:val="77D23F80"/>
    <w:rsid w:val="77E07113"/>
    <w:rsid w:val="77E9509B"/>
    <w:rsid w:val="781B7937"/>
    <w:rsid w:val="7825412B"/>
    <w:rsid w:val="78324A1E"/>
    <w:rsid w:val="784604CA"/>
    <w:rsid w:val="784C7EB0"/>
    <w:rsid w:val="7859644F"/>
    <w:rsid w:val="785D4FB6"/>
    <w:rsid w:val="785E52D9"/>
    <w:rsid w:val="78825428"/>
    <w:rsid w:val="788F1E71"/>
    <w:rsid w:val="788F3C1F"/>
    <w:rsid w:val="78957F17"/>
    <w:rsid w:val="78A551F0"/>
    <w:rsid w:val="78C935D5"/>
    <w:rsid w:val="78CD5ADC"/>
    <w:rsid w:val="78DD156C"/>
    <w:rsid w:val="78F21413"/>
    <w:rsid w:val="78FD14F2"/>
    <w:rsid w:val="79132AA2"/>
    <w:rsid w:val="79305402"/>
    <w:rsid w:val="79330A4E"/>
    <w:rsid w:val="793A6280"/>
    <w:rsid w:val="793D1D39"/>
    <w:rsid w:val="793F6D0E"/>
    <w:rsid w:val="796450AB"/>
    <w:rsid w:val="798839A6"/>
    <w:rsid w:val="798C015E"/>
    <w:rsid w:val="79904AAD"/>
    <w:rsid w:val="79915775"/>
    <w:rsid w:val="79921B7D"/>
    <w:rsid w:val="79955265"/>
    <w:rsid w:val="799A1440"/>
    <w:rsid w:val="799B66FE"/>
    <w:rsid w:val="79A100AE"/>
    <w:rsid w:val="79A438AD"/>
    <w:rsid w:val="79B606C6"/>
    <w:rsid w:val="79CB0C87"/>
    <w:rsid w:val="79D44CD2"/>
    <w:rsid w:val="79DD4AE3"/>
    <w:rsid w:val="79E65AC0"/>
    <w:rsid w:val="79ED703A"/>
    <w:rsid w:val="7A187C44"/>
    <w:rsid w:val="7A2F7467"/>
    <w:rsid w:val="7A325BF9"/>
    <w:rsid w:val="7A373042"/>
    <w:rsid w:val="7A37456E"/>
    <w:rsid w:val="7A390E51"/>
    <w:rsid w:val="7A3E14F9"/>
    <w:rsid w:val="7A431664"/>
    <w:rsid w:val="7A635363"/>
    <w:rsid w:val="7A6A04A0"/>
    <w:rsid w:val="7A7E03EF"/>
    <w:rsid w:val="7A804167"/>
    <w:rsid w:val="7A8D6872"/>
    <w:rsid w:val="7A943D7D"/>
    <w:rsid w:val="7A9674E6"/>
    <w:rsid w:val="7A98273D"/>
    <w:rsid w:val="7A9C2087"/>
    <w:rsid w:val="7AA53BCD"/>
    <w:rsid w:val="7AC62AC8"/>
    <w:rsid w:val="7AD51C0E"/>
    <w:rsid w:val="7AF20495"/>
    <w:rsid w:val="7AF2795C"/>
    <w:rsid w:val="7AF4420D"/>
    <w:rsid w:val="7AF83CFD"/>
    <w:rsid w:val="7B007431"/>
    <w:rsid w:val="7B057AEC"/>
    <w:rsid w:val="7B071BD6"/>
    <w:rsid w:val="7B073F40"/>
    <w:rsid w:val="7B087DC6"/>
    <w:rsid w:val="7B1152C8"/>
    <w:rsid w:val="7B183073"/>
    <w:rsid w:val="7B18614D"/>
    <w:rsid w:val="7B2B1D58"/>
    <w:rsid w:val="7B3B2BBC"/>
    <w:rsid w:val="7B3F060A"/>
    <w:rsid w:val="7B430CF1"/>
    <w:rsid w:val="7B615D46"/>
    <w:rsid w:val="7B6C7864"/>
    <w:rsid w:val="7B8F013F"/>
    <w:rsid w:val="7B9F686F"/>
    <w:rsid w:val="7BA7127F"/>
    <w:rsid w:val="7BA774D1"/>
    <w:rsid w:val="7BA9718D"/>
    <w:rsid w:val="7BAD0F8C"/>
    <w:rsid w:val="7BB10004"/>
    <w:rsid w:val="7BB702A7"/>
    <w:rsid w:val="7BC66537"/>
    <w:rsid w:val="7BC93656"/>
    <w:rsid w:val="7BC938EC"/>
    <w:rsid w:val="7BC9569A"/>
    <w:rsid w:val="7BC96752"/>
    <w:rsid w:val="7BD76009"/>
    <w:rsid w:val="7BEB7DCC"/>
    <w:rsid w:val="7BFB0ABB"/>
    <w:rsid w:val="7C125848"/>
    <w:rsid w:val="7C1728A9"/>
    <w:rsid w:val="7C1F275F"/>
    <w:rsid w:val="7C370855"/>
    <w:rsid w:val="7C4A287E"/>
    <w:rsid w:val="7C4A4A2C"/>
    <w:rsid w:val="7C540886"/>
    <w:rsid w:val="7C5533D1"/>
    <w:rsid w:val="7C5C02BC"/>
    <w:rsid w:val="7C5F6F1C"/>
    <w:rsid w:val="7C63789C"/>
    <w:rsid w:val="7C6465C1"/>
    <w:rsid w:val="7C66738C"/>
    <w:rsid w:val="7C780A48"/>
    <w:rsid w:val="7C7C0683"/>
    <w:rsid w:val="7C7C66A8"/>
    <w:rsid w:val="7C7D3061"/>
    <w:rsid w:val="7C812119"/>
    <w:rsid w:val="7C82611E"/>
    <w:rsid w:val="7C971835"/>
    <w:rsid w:val="7CA659DB"/>
    <w:rsid w:val="7CAA6373"/>
    <w:rsid w:val="7CAE4C51"/>
    <w:rsid w:val="7CB43C54"/>
    <w:rsid w:val="7CE7227B"/>
    <w:rsid w:val="7CE85FC4"/>
    <w:rsid w:val="7CE94D88"/>
    <w:rsid w:val="7CF404F4"/>
    <w:rsid w:val="7D05671F"/>
    <w:rsid w:val="7D3667B4"/>
    <w:rsid w:val="7D384020"/>
    <w:rsid w:val="7D5E0064"/>
    <w:rsid w:val="7D6878F6"/>
    <w:rsid w:val="7D796C4C"/>
    <w:rsid w:val="7D7A30EF"/>
    <w:rsid w:val="7D8E2A11"/>
    <w:rsid w:val="7D9A7679"/>
    <w:rsid w:val="7DA45A1C"/>
    <w:rsid w:val="7DC205F3"/>
    <w:rsid w:val="7DC30D31"/>
    <w:rsid w:val="7DD6409E"/>
    <w:rsid w:val="7E024E93"/>
    <w:rsid w:val="7E026C41"/>
    <w:rsid w:val="7E110BB2"/>
    <w:rsid w:val="7E293129"/>
    <w:rsid w:val="7E2C3CBE"/>
    <w:rsid w:val="7E3E411D"/>
    <w:rsid w:val="7E3F60E7"/>
    <w:rsid w:val="7E4159BB"/>
    <w:rsid w:val="7E662C36"/>
    <w:rsid w:val="7E6D055E"/>
    <w:rsid w:val="7E71154E"/>
    <w:rsid w:val="7E733D51"/>
    <w:rsid w:val="7E86775F"/>
    <w:rsid w:val="7E955D07"/>
    <w:rsid w:val="7EE36A72"/>
    <w:rsid w:val="7EE611F5"/>
    <w:rsid w:val="7EF21420"/>
    <w:rsid w:val="7F0A2251"/>
    <w:rsid w:val="7F1565E0"/>
    <w:rsid w:val="7F2B3C8E"/>
    <w:rsid w:val="7F305AED"/>
    <w:rsid w:val="7F3177DE"/>
    <w:rsid w:val="7F4F235A"/>
    <w:rsid w:val="7F507DBC"/>
    <w:rsid w:val="7F531E4A"/>
    <w:rsid w:val="7F5931D8"/>
    <w:rsid w:val="7F5C05D3"/>
    <w:rsid w:val="7F6776A3"/>
    <w:rsid w:val="7F735436"/>
    <w:rsid w:val="7F7B4D7A"/>
    <w:rsid w:val="7F82628B"/>
    <w:rsid w:val="7F932247"/>
    <w:rsid w:val="7F934D2E"/>
    <w:rsid w:val="7F9F6E3D"/>
    <w:rsid w:val="7FBA13A9"/>
    <w:rsid w:val="7FBD3767"/>
    <w:rsid w:val="7FCB7F71"/>
    <w:rsid w:val="7FDF548C"/>
    <w:rsid w:val="7FE65E0B"/>
    <w:rsid w:val="7FF4373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340" w:after="330" w:line="576" w:lineRule="auto"/>
      <w:outlineLvl w:val="0"/>
    </w:pPr>
    <w:rPr>
      <w:b/>
      <w:kern w:val="44"/>
      <w:sz w:val="44"/>
      <w:szCs w:val="20"/>
    </w:rPr>
  </w:style>
  <w:style w:type="paragraph" w:styleId="5">
    <w:name w:val="heading 2"/>
    <w:basedOn w:val="1"/>
    <w:next w:val="1"/>
    <w:qFormat/>
    <w:uiPriority w:val="0"/>
    <w:pPr>
      <w:keepNext/>
      <w:keepLines/>
      <w:spacing w:before="260" w:after="120" w:line="415" w:lineRule="auto"/>
      <w:outlineLvl w:val="1"/>
    </w:pPr>
    <w:rPr>
      <w:rFonts w:ascii="Arial" w:hAnsi="Arial"/>
      <w:b/>
      <w:bCs/>
      <w:kern w:val="0"/>
      <w:sz w:val="32"/>
      <w:szCs w:val="32"/>
    </w:rPr>
  </w:style>
  <w:style w:type="paragraph" w:styleId="6">
    <w:name w:val="heading 3"/>
    <w:basedOn w:val="1"/>
    <w:next w:val="1"/>
    <w:unhideWhenUsed/>
    <w:qFormat/>
    <w:uiPriority w:val="0"/>
    <w:pPr>
      <w:keepNext/>
      <w:keepLines/>
      <w:numPr>
        <w:ilvl w:val="0"/>
        <w:numId w:val="1"/>
      </w:numPr>
      <w:spacing w:before="260" w:line="360" w:lineRule="auto"/>
      <w:ind w:left="420" w:right="100" w:rightChars="100"/>
      <w:jc w:val="left"/>
      <w:outlineLvl w:val="2"/>
    </w:pPr>
    <w:rPr>
      <w:b/>
      <w:bCs/>
      <w:sz w:val="28"/>
      <w:szCs w:val="32"/>
    </w:rPr>
  </w:style>
  <w:style w:type="paragraph" w:styleId="7">
    <w:name w:val="heading 4"/>
    <w:basedOn w:val="1"/>
    <w:next w:val="1"/>
    <w:unhideWhenUsed/>
    <w:qFormat/>
    <w:uiPriority w:val="0"/>
    <w:pPr>
      <w:keepNext/>
      <w:keepLines/>
      <w:numPr>
        <w:ilvl w:val="0"/>
        <w:numId w:val="2"/>
      </w:numPr>
      <w:spacing w:before="280" w:line="377"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930"/>
      </w:tabs>
      <w:ind w:left="0" w:leftChars="0" w:firstLine="210"/>
    </w:pPr>
    <w:rPr>
      <w:szCs w:val="20"/>
    </w:rPr>
  </w:style>
  <w:style w:type="paragraph" w:styleId="3">
    <w:name w:val="Body Text Indent"/>
    <w:basedOn w:val="1"/>
    <w:qFormat/>
    <w:uiPriority w:val="0"/>
    <w:pPr>
      <w:ind w:firstLine="444"/>
    </w:pPr>
    <w:rPr>
      <w:b/>
      <w:kern w:val="0"/>
      <w:sz w:val="24"/>
    </w:rPr>
  </w:style>
  <w:style w:type="paragraph" w:styleId="8">
    <w:name w:val="Normal Indent"/>
    <w:basedOn w:val="1"/>
    <w:qFormat/>
    <w:uiPriority w:val="0"/>
    <w:pPr>
      <w:ind w:firstLine="420" w:firstLineChars="200"/>
    </w:p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annotation text"/>
    <w:basedOn w:val="1"/>
    <w:link w:val="56"/>
    <w:qFormat/>
    <w:uiPriority w:val="0"/>
    <w:pPr>
      <w:jc w:val="left"/>
    </w:pPr>
  </w:style>
  <w:style w:type="paragraph" w:styleId="11">
    <w:name w:val="Body Text 3"/>
    <w:basedOn w:val="1"/>
    <w:qFormat/>
    <w:uiPriority w:val="0"/>
    <w:pPr>
      <w:spacing w:line="440" w:lineRule="exact"/>
    </w:pPr>
    <w:rPr>
      <w:color w:val="000000"/>
      <w:szCs w:val="18"/>
    </w:rPr>
  </w:style>
  <w:style w:type="paragraph" w:styleId="12">
    <w:name w:val="Body Text"/>
    <w:basedOn w:val="1"/>
    <w:qFormat/>
    <w:uiPriority w:val="0"/>
    <w:pPr>
      <w:spacing w:after="12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line="440" w:lineRule="exact"/>
      <w:ind w:firstLine="412" w:firstLineChars="200"/>
    </w:pPr>
    <w:rPr>
      <w:rFonts w:ascii="宋体" w:hAnsi="宋体"/>
      <w:b/>
      <w:bCs/>
      <w:szCs w:val="20"/>
    </w:rPr>
  </w:style>
  <w:style w:type="paragraph" w:styleId="16">
    <w:name w:val="Balloon Text"/>
    <w:basedOn w:val="1"/>
    <w:link w:val="53"/>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dotted" w:color="auto" w:sz="4" w:space="1"/>
      </w:pBdr>
      <w:tabs>
        <w:tab w:val="center" w:pos="4153"/>
        <w:tab w:val="right" w:pos="8306"/>
      </w:tabs>
      <w:adjustRightInd w:val="0"/>
      <w:spacing w:line="240" w:lineRule="atLeast"/>
      <w:textAlignment w:val="baseline"/>
    </w:pPr>
    <w:rPr>
      <w:rFonts w:ascii="华文楷体" w:hAnsi="华文楷体" w:eastAsia="华文楷体"/>
      <w:kern w:val="0"/>
      <w:sz w:val="18"/>
      <w:szCs w:val="18"/>
    </w:rPr>
  </w:style>
  <w:style w:type="paragraph" w:styleId="19">
    <w:name w:val="toc 1"/>
    <w:basedOn w:val="1"/>
    <w:next w:val="1"/>
    <w:qFormat/>
    <w:uiPriority w:val="39"/>
    <w:rPr>
      <w:rFonts w:cs="Angsana New"/>
      <w:lang w:bidi="th-TH"/>
    </w:rPr>
  </w:style>
  <w:style w:type="paragraph" w:styleId="20">
    <w:name w:val="footnote text"/>
    <w:basedOn w:val="1"/>
    <w:qFormat/>
    <w:uiPriority w:val="0"/>
    <w:rPr>
      <w:sz w:val="20"/>
      <w:szCs w:val="20"/>
    </w:rPr>
  </w:style>
  <w:style w:type="paragraph" w:styleId="21">
    <w:name w:val="toc 2"/>
    <w:basedOn w:val="1"/>
    <w:next w:val="1"/>
    <w:qFormat/>
    <w:uiPriority w:val="39"/>
    <w:pPr>
      <w:ind w:left="420" w:leftChars="200"/>
    </w:pPr>
    <w:rPr>
      <w:rFonts w:cs="Angsana New"/>
      <w:lang w:bidi="th-TH"/>
    </w:rPr>
  </w:style>
  <w:style w:type="paragraph" w:styleId="22">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10"/>
    <w:next w:val="10"/>
    <w:link w:val="57"/>
    <w:qFormat/>
    <w:uiPriority w:val="0"/>
    <w:rPr>
      <w:b/>
      <w:bCs/>
    </w:rPr>
  </w:style>
  <w:style w:type="paragraph" w:styleId="24">
    <w:name w:val="Body Text First Indent"/>
    <w:basedOn w:val="12"/>
    <w:qFormat/>
    <w:uiPriority w:val="0"/>
    <w:pPr>
      <w:ind w:firstLine="100" w:firstLineChars="100"/>
    </w:pPr>
    <w:rPr>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basedOn w:val="27"/>
    <w:semiHidden/>
    <w:unhideWhenUsed/>
    <w:qFormat/>
    <w:uiPriority w:val="0"/>
    <w:rPr>
      <w:color w:val="800080"/>
      <w:u w:val="single"/>
    </w:rPr>
  </w:style>
  <w:style w:type="character" w:styleId="30">
    <w:name w:val="HTML Definition"/>
    <w:basedOn w:val="27"/>
    <w:semiHidden/>
    <w:unhideWhenUsed/>
    <w:qFormat/>
    <w:uiPriority w:val="0"/>
  </w:style>
  <w:style w:type="character" w:styleId="31">
    <w:name w:val="HTML Typewriter"/>
    <w:basedOn w:val="27"/>
    <w:semiHidden/>
    <w:unhideWhenUsed/>
    <w:qFormat/>
    <w:uiPriority w:val="0"/>
    <w:rPr>
      <w:rFonts w:ascii="monospace" w:hAnsi="monospace" w:eastAsia="monospace" w:cs="monospace"/>
      <w:sz w:val="20"/>
    </w:rPr>
  </w:style>
  <w:style w:type="character" w:styleId="32">
    <w:name w:val="HTML Acronym"/>
    <w:basedOn w:val="27"/>
    <w:semiHidden/>
    <w:unhideWhenUsed/>
    <w:qFormat/>
    <w:uiPriority w:val="0"/>
  </w:style>
  <w:style w:type="character" w:styleId="33">
    <w:name w:val="HTML Variable"/>
    <w:basedOn w:val="27"/>
    <w:semiHidden/>
    <w:unhideWhenUsed/>
    <w:qFormat/>
    <w:uiPriority w:val="0"/>
  </w:style>
  <w:style w:type="character" w:styleId="34">
    <w:name w:val="Hyperlink"/>
    <w:qFormat/>
    <w:uiPriority w:val="99"/>
    <w:rPr>
      <w:color w:val="0000FF"/>
      <w:u w:val="single"/>
    </w:rPr>
  </w:style>
  <w:style w:type="character" w:styleId="35">
    <w:name w:val="HTML Code"/>
    <w:basedOn w:val="27"/>
    <w:semiHidden/>
    <w:unhideWhenUsed/>
    <w:qFormat/>
    <w:uiPriority w:val="0"/>
    <w:rPr>
      <w:rFonts w:hint="default" w:ascii="monospace" w:hAnsi="monospace" w:eastAsia="monospace" w:cs="monospace"/>
      <w:sz w:val="20"/>
    </w:rPr>
  </w:style>
  <w:style w:type="character" w:styleId="36">
    <w:name w:val="annotation reference"/>
    <w:basedOn w:val="27"/>
    <w:qFormat/>
    <w:uiPriority w:val="0"/>
    <w:rPr>
      <w:sz w:val="21"/>
      <w:szCs w:val="21"/>
    </w:rPr>
  </w:style>
  <w:style w:type="character" w:styleId="37">
    <w:name w:val="HTML Cite"/>
    <w:basedOn w:val="27"/>
    <w:semiHidden/>
    <w:unhideWhenUsed/>
    <w:qFormat/>
    <w:uiPriority w:val="0"/>
  </w:style>
  <w:style w:type="character" w:styleId="38">
    <w:name w:val="HTML Keyboard"/>
    <w:basedOn w:val="27"/>
    <w:semiHidden/>
    <w:unhideWhenUsed/>
    <w:qFormat/>
    <w:uiPriority w:val="0"/>
    <w:rPr>
      <w:rFonts w:hint="default" w:ascii="monospace" w:hAnsi="monospace" w:eastAsia="monospace" w:cs="monospace"/>
      <w:sz w:val="20"/>
    </w:rPr>
  </w:style>
  <w:style w:type="character" w:styleId="39">
    <w:name w:val="HTML Sample"/>
    <w:basedOn w:val="27"/>
    <w:semiHidden/>
    <w:unhideWhenUsed/>
    <w:qFormat/>
    <w:uiPriority w:val="0"/>
    <w:rPr>
      <w:rFonts w:hint="default" w:ascii="monospace" w:hAnsi="monospace" w:eastAsia="monospace" w:cs="monospace"/>
    </w:rPr>
  </w:style>
  <w:style w:type="paragraph" w:customStyle="1" w:styleId="40">
    <w:name w:val="_Style 1"/>
    <w:qFormat/>
    <w:uiPriority w:val="99"/>
    <w:pPr>
      <w:widowControl w:val="0"/>
      <w:ind w:firstLine="200" w:firstLineChars="200"/>
      <w:jc w:val="both"/>
    </w:pPr>
    <w:rPr>
      <w:rFonts w:ascii="Times New Roman" w:hAnsi="Times New Roman" w:eastAsia="方正仿宋_GB2312" w:cs="Times New Roman"/>
      <w:kern w:val="2"/>
      <w:sz w:val="24"/>
      <w:szCs w:val="22"/>
      <w:lang w:val="en-US" w:eastAsia="zh-CN" w:bidi="ar-SA"/>
    </w:rPr>
  </w:style>
  <w:style w:type="paragraph" w:styleId="41">
    <w:name w:val="No Spacing"/>
    <w:qFormat/>
    <w:uiPriority w:val="0"/>
    <w:rPr>
      <w:rFonts w:ascii="Times New Roman" w:hAnsi="Times New Roman" w:eastAsia="宋体" w:cs="Times New Roman"/>
      <w:sz w:val="22"/>
      <w:szCs w:val="22"/>
      <w:lang w:val="en-US" w:eastAsia="zh-CN" w:bidi="ar-SA"/>
    </w:rPr>
  </w:style>
  <w:style w:type="character" w:customStyle="1" w:styleId="42">
    <w:name w:val="标题 1 字符"/>
    <w:link w:val="4"/>
    <w:qFormat/>
    <w:uiPriority w:val="0"/>
    <w:rPr>
      <w:rFonts w:ascii="Times New Roman" w:hAnsi="Times New Roman" w:eastAsia="宋体" w:cs="Times New Roman"/>
      <w:b/>
      <w:kern w:val="44"/>
      <w:sz w:val="44"/>
    </w:rPr>
  </w:style>
  <w:style w:type="paragraph" w:customStyle="1" w:styleId="43">
    <w:name w:val="z-正文"/>
    <w:basedOn w:val="1"/>
    <w:qFormat/>
    <w:uiPriority w:val="0"/>
    <w:pPr>
      <w:spacing w:line="560" w:lineRule="exact"/>
      <w:ind w:firstLine="200" w:firstLineChars="200"/>
      <w:jc w:val="left"/>
    </w:pPr>
    <w:rPr>
      <w:rFonts w:eastAsia="仿宋_GB2312"/>
      <w:sz w:val="28"/>
      <w:szCs w:val="44"/>
    </w:rPr>
  </w:style>
  <w:style w:type="paragraph" w:customStyle="1" w:styleId="44">
    <w:name w:val="列出段落11"/>
    <w:basedOn w:val="1"/>
    <w:qFormat/>
    <w:uiPriority w:val="34"/>
    <w:pPr>
      <w:ind w:firstLine="420" w:firstLineChars="200"/>
    </w:pPr>
    <w:rPr>
      <w:rFonts w:ascii="宋体" w:hAnsi="宋体"/>
      <w:szCs w:val="22"/>
    </w:rPr>
  </w:style>
  <w:style w:type="paragraph" w:styleId="45">
    <w:name w:val="List Paragraph"/>
    <w:basedOn w:val="1"/>
    <w:qFormat/>
    <w:uiPriority w:val="34"/>
    <w:pPr>
      <w:ind w:firstLine="420" w:firstLineChars="200"/>
    </w:pPr>
  </w:style>
  <w:style w:type="paragraph" w:customStyle="1" w:styleId="4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49">
    <w:name w:val="列出段落2"/>
    <w:basedOn w:val="1"/>
    <w:qFormat/>
    <w:uiPriority w:val="34"/>
    <w:pPr>
      <w:spacing w:line="360" w:lineRule="auto"/>
      <w:ind w:firstLine="420" w:firstLineChars="200"/>
    </w:pPr>
    <w:rPr>
      <w:rFonts w:ascii="Calibri" w:hAnsi="Calibri"/>
      <w:sz w:val="24"/>
      <w:szCs w:val="22"/>
    </w:rPr>
  </w:style>
  <w:style w:type="paragraph" w:customStyle="1" w:styleId="50">
    <w:name w:val="正文（绿盟科技）"/>
    <w:qFormat/>
    <w:uiPriority w:val="0"/>
    <w:pPr>
      <w:spacing w:line="300" w:lineRule="auto"/>
    </w:pPr>
    <w:rPr>
      <w:rFonts w:ascii="Arial" w:hAnsi="Arial" w:eastAsia="宋体" w:cs="Times New Roman"/>
      <w:szCs w:val="21"/>
      <w:lang w:val="en-US" w:eastAsia="zh-CN" w:bidi="ar-SA"/>
    </w:rPr>
  </w:style>
  <w:style w:type="paragraph" w:customStyle="1" w:styleId="51">
    <w:name w:val="正文_河南黄河信息技术公司模板"/>
    <w:basedOn w:val="1"/>
    <w:qFormat/>
    <w:uiPriority w:val="99"/>
    <w:pPr>
      <w:spacing w:line="360" w:lineRule="auto"/>
      <w:ind w:firstLine="200" w:firstLineChars="200"/>
    </w:pPr>
    <w:rPr>
      <w:rFonts w:ascii="Calibri" w:hAnsi="Calibri" w:cs="Microsoft Uighur"/>
      <w:sz w:val="24"/>
    </w:rPr>
  </w:style>
  <w:style w:type="paragraph" w:customStyle="1" w:styleId="52">
    <w:name w:val="正文 Char Char"/>
    <w:basedOn w:val="1"/>
    <w:qFormat/>
    <w:uiPriority w:val="0"/>
    <w:pPr>
      <w:adjustRightInd w:val="0"/>
      <w:spacing w:line="360" w:lineRule="auto"/>
      <w:ind w:firstLine="480" w:firstLineChars="200"/>
      <w:textAlignment w:val="baseline"/>
    </w:pPr>
    <w:rPr>
      <w:rFonts w:ascii="宋体" w:hAnsi="宋体"/>
      <w:kern w:val="0"/>
      <w:sz w:val="24"/>
    </w:rPr>
  </w:style>
  <w:style w:type="character" w:customStyle="1" w:styleId="53">
    <w:name w:val="批注框文本 字符"/>
    <w:basedOn w:val="27"/>
    <w:link w:val="16"/>
    <w:qFormat/>
    <w:uiPriority w:val="0"/>
    <w:rPr>
      <w:kern w:val="2"/>
      <w:sz w:val="18"/>
      <w:szCs w:val="18"/>
    </w:rPr>
  </w:style>
  <w:style w:type="paragraph" w:customStyle="1" w:styleId="54">
    <w:name w:val="正文A"/>
    <w:basedOn w:val="1"/>
    <w:qFormat/>
    <w:uiPriority w:val="0"/>
    <w:pPr>
      <w:spacing w:line="360" w:lineRule="auto"/>
      <w:ind w:firstLine="200" w:firstLineChars="200"/>
    </w:pPr>
    <w:rPr>
      <w:sz w:val="24"/>
    </w:rPr>
  </w:style>
  <w:style w:type="paragraph" w:customStyle="1" w:styleId="55">
    <w:name w:val="正文_河南黄河信息技术公司"/>
    <w:basedOn w:val="1"/>
    <w:qFormat/>
    <w:uiPriority w:val="0"/>
    <w:pPr>
      <w:spacing w:line="360" w:lineRule="auto"/>
      <w:ind w:left="105" w:leftChars="50" w:firstLine="480" w:firstLineChars="200"/>
    </w:pPr>
    <w:rPr>
      <w:sz w:val="24"/>
    </w:rPr>
  </w:style>
  <w:style w:type="character" w:customStyle="1" w:styleId="56">
    <w:name w:val="批注文字 字符"/>
    <w:basedOn w:val="27"/>
    <w:link w:val="10"/>
    <w:qFormat/>
    <w:uiPriority w:val="0"/>
    <w:rPr>
      <w:kern w:val="2"/>
      <w:sz w:val="21"/>
      <w:szCs w:val="24"/>
    </w:rPr>
  </w:style>
  <w:style w:type="character" w:customStyle="1" w:styleId="57">
    <w:name w:val="批注主题 字符"/>
    <w:basedOn w:val="56"/>
    <w:link w:val="23"/>
    <w:qFormat/>
    <w:uiPriority w:val="0"/>
    <w:rPr>
      <w:b/>
      <w:bCs/>
      <w:kern w:val="2"/>
      <w:sz w:val="21"/>
      <w:szCs w:val="24"/>
    </w:rPr>
  </w:style>
  <w:style w:type="paragraph" w:customStyle="1" w:styleId="58">
    <w:name w:val="图表标题"/>
    <w:basedOn w:val="1"/>
    <w:qFormat/>
    <w:uiPriority w:val="0"/>
    <w:pPr>
      <w:spacing w:line="360" w:lineRule="auto"/>
      <w:jc w:val="center"/>
    </w:pPr>
    <w:rPr>
      <w:rFonts w:eastAsia="黑体"/>
    </w:rPr>
  </w:style>
  <w:style w:type="paragraph" w:customStyle="1" w:styleId="59">
    <w:name w:val="A 正文"/>
    <w:basedOn w:val="1"/>
    <w:qFormat/>
    <w:uiPriority w:val="0"/>
    <w:pPr>
      <w:adjustRightInd w:val="0"/>
      <w:snapToGrid w:val="0"/>
      <w:spacing w:line="288" w:lineRule="auto"/>
      <w:ind w:firstLine="200" w:firstLineChars="200"/>
    </w:pPr>
    <w:rPr>
      <w:rFonts w:ascii="宋体" w:hAnsi="宋体"/>
      <w:sz w:val="28"/>
    </w:rPr>
  </w:style>
  <w:style w:type="paragraph" w:customStyle="1" w:styleId="60">
    <w:name w:val="样式 首行缩进:  2 字符 行距: 单倍行距"/>
    <w:basedOn w:val="1"/>
    <w:qFormat/>
    <w:uiPriority w:val="0"/>
    <w:pPr>
      <w:adjustRightInd w:val="0"/>
      <w:snapToGrid w:val="0"/>
      <w:spacing w:line="288" w:lineRule="auto"/>
      <w:ind w:firstLine="200" w:firstLineChars="200"/>
    </w:pPr>
    <w:rPr>
      <w:rFonts w:ascii="Calibri" w:hAnsi="Calibri" w:cs="宋体"/>
      <w:sz w:val="28"/>
      <w:szCs w:val="20"/>
    </w:rPr>
  </w:style>
  <w:style w:type="paragraph" w:customStyle="1" w:styleId="61">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62">
    <w:name w:val="正文_塔河"/>
    <w:basedOn w:val="1"/>
    <w:qFormat/>
    <w:uiPriority w:val="0"/>
    <w:pPr>
      <w:spacing w:line="360" w:lineRule="auto"/>
      <w:ind w:firstLine="200" w:firstLineChars="200"/>
    </w:pPr>
    <w:rPr>
      <w:rFonts w:ascii="Calibri" w:hAnsi="Calibri" w:cs="黑体"/>
      <w:sz w:val="24"/>
    </w:rPr>
  </w:style>
  <w:style w:type="paragraph" w:customStyle="1" w:styleId="63">
    <w:name w:val="烽火正文"/>
    <w:basedOn w:val="8"/>
    <w:qFormat/>
    <w:uiPriority w:val="0"/>
    <w:pPr>
      <w:spacing w:line="360" w:lineRule="auto"/>
      <w:ind w:firstLine="200"/>
      <w:jc w:val="left"/>
    </w:pPr>
    <w:rPr>
      <w:szCs w:val="21"/>
    </w:rPr>
  </w:style>
  <w:style w:type="character" w:customStyle="1" w:styleId="64">
    <w:name w:val="font151"/>
    <w:basedOn w:val="27"/>
    <w:qFormat/>
    <w:uiPriority w:val="0"/>
    <w:rPr>
      <w:rFonts w:hint="eastAsia" w:ascii="宋体" w:hAnsi="宋体" w:eastAsia="宋体" w:cs="宋体"/>
      <w:color w:val="000000"/>
      <w:sz w:val="18"/>
      <w:szCs w:val="18"/>
      <w:u w:val="none"/>
    </w:rPr>
  </w:style>
  <w:style w:type="character" w:customStyle="1" w:styleId="65">
    <w:name w:val="font251"/>
    <w:basedOn w:val="27"/>
    <w:qFormat/>
    <w:uiPriority w:val="0"/>
    <w:rPr>
      <w:rFonts w:ascii="Wingdings 2" w:hAnsi="Wingdings 2" w:eastAsia="Wingdings 2" w:cs="Wingdings 2"/>
      <w:color w:val="000000"/>
      <w:sz w:val="18"/>
      <w:szCs w:val="18"/>
      <w:u w:val="none"/>
    </w:rPr>
  </w:style>
  <w:style w:type="character" w:customStyle="1" w:styleId="66">
    <w:name w:val="font281"/>
    <w:basedOn w:val="27"/>
    <w:qFormat/>
    <w:uiPriority w:val="0"/>
    <w:rPr>
      <w:rFonts w:hint="default" w:ascii="Wingdings 2" w:hAnsi="Wingdings 2" w:eastAsia="Wingdings 2" w:cs="Wingdings 2"/>
      <w:color w:val="000000"/>
      <w:sz w:val="18"/>
      <w:szCs w:val="18"/>
      <w:u w:val="none"/>
    </w:rPr>
  </w:style>
  <w:style w:type="character" w:customStyle="1" w:styleId="67">
    <w:name w:val="font241"/>
    <w:basedOn w:val="27"/>
    <w:qFormat/>
    <w:uiPriority w:val="0"/>
    <w:rPr>
      <w:rFonts w:hint="eastAsia" w:ascii="宋体" w:hAnsi="宋体" w:eastAsia="宋体" w:cs="宋体"/>
      <w:b/>
      <w:bCs/>
      <w:color w:val="000000"/>
      <w:sz w:val="18"/>
      <w:szCs w:val="18"/>
      <w:u w:val="single"/>
    </w:rPr>
  </w:style>
  <w:style w:type="character" w:customStyle="1" w:styleId="68">
    <w:name w:val="font51"/>
    <w:basedOn w:val="27"/>
    <w:qFormat/>
    <w:uiPriority w:val="0"/>
    <w:rPr>
      <w:rFonts w:hint="eastAsia" w:ascii="宋体" w:hAnsi="宋体" w:eastAsia="宋体" w:cs="宋体"/>
      <w:color w:val="000000"/>
      <w:sz w:val="18"/>
      <w:szCs w:val="18"/>
      <w:u w:val="none"/>
    </w:rPr>
  </w:style>
  <w:style w:type="character" w:customStyle="1" w:styleId="69">
    <w:name w:val="font291"/>
    <w:basedOn w:val="27"/>
    <w:qFormat/>
    <w:uiPriority w:val="0"/>
    <w:rPr>
      <w:rFonts w:hint="default" w:ascii="Times New Roman" w:hAnsi="Times New Roman" w:cs="Times New Roman"/>
      <w:color w:val="000000"/>
      <w:sz w:val="24"/>
      <w:szCs w:val="24"/>
      <w:u w:val="none"/>
    </w:rPr>
  </w:style>
  <w:style w:type="character" w:customStyle="1" w:styleId="70">
    <w:name w:val="font271"/>
    <w:basedOn w:val="27"/>
    <w:qFormat/>
    <w:uiPriority w:val="0"/>
    <w:rPr>
      <w:rFonts w:hint="eastAsia" w:ascii="微软雅黑" w:hAnsi="微软雅黑" w:eastAsia="微软雅黑" w:cs="微软雅黑"/>
      <w:color w:val="000000"/>
      <w:sz w:val="24"/>
      <w:szCs w:val="24"/>
      <w:u w:val="none"/>
    </w:rPr>
  </w:style>
  <w:style w:type="character" w:customStyle="1" w:styleId="71">
    <w:name w:val="font141"/>
    <w:basedOn w:val="27"/>
    <w:qFormat/>
    <w:uiPriority w:val="0"/>
    <w:rPr>
      <w:rFonts w:hint="eastAsia" w:ascii="宋体" w:hAnsi="宋体" w:eastAsia="宋体" w:cs="宋体"/>
      <w:color w:val="000000"/>
      <w:sz w:val="18"/>
      <w:szCs w:val="18"/>
      <w:u w:val="none"/>
    </w:rPr>
  </w:style>
  <w:style w:type="character" w:customStyle="1" w:styleId="72">
    <w:name w:val="font381"/>
    <w:basedOn w:val="27"/>
    <w:qFormat/>
    <w:uiPriority w:val="0"/>
    <w:rPr>
      <w:rFonts w:hint="eastAsia" w:ascii="宋体" w:hAnsi="宋体" w:eastAsia="宋体" w:cs="宋体"/>
      <w:b/>
      <w:bCs/>
      <w:color w:val="000000"/>
      <w:sz w:val="18"/>
      <w:szCs w:val="18"/>
      <w:u w:val="single"/>
    </w:rPr>
  </w:style>
  <w:style w:type="character" w:customStyle="1" w:styleId="73">
    <w:name w:val="font341"/>
    <w:basedOn w:val="27"/>
    <w:qFormat/>
    <w:uiPriority w:val="0"/>
    <w:rPr>
      <w:rFonts w:hint="eastAsia" w:ascii="微软雅黑" w:hAnsi="微软雅黑" w:eastAsia="微软雅黑" w:cs="微软雅黑"/>
      <w:color w:val="000000"/>
      <w:sz w:val="24"/>
      <w:szCs w:val="24"/>
      <w:u w:val="none"/>
    </w:rPr>
  </w:style>
  <w:style w:type="character" w:customStyle="1" w:styleId="74">
    <w:name w:val="font11"/>
    <w:basedOn w:val="27"/>
    <w:qFormat/>
    <w:uiPriority w:val="0"/>
    <w:rPr>
      <w:rFonts w:hint="eastAsia" w:ascii="微软雅黑" w:hAnsi="微软雅黑" w:eastAsia="微软雅黑" w:cs="微软雅黑"/>
      <w:color w:val="000000"/>
      <w:sz w:val="20"/>
      <w:szCs w:val="20"/>
      <w:u w:val="none"/>
    </w:rPr>
  </w:style>
  <w:style w:type="character" w:customStyle="1" w:styleId="75">
    <w:name w:val="font321"/>
    <w:basedOn w:val="27"/>
    <w:qFormat/>
    <w:uiPriority w:val="0"/>
    <w:rPr>
      <w:rFonts w:hint="eastAsia" w:ascii="宋体" w:hAnsi="宋体" w:eastAsia="宋体" w:cs="宋体"/>
      <w:b/>
      <w:bCs/>
      <w:color w:val="000000"/>
      <w:sz w:val="18"/>
      <w:szCs w:val="18"/>
      <w:u w:val="single"/>
    </w:rPr>
  </w:style>
  <w:style w:type="character" w:customStyle="1" w:styleId="76">
    <w:name w:val="font41"/>
    <w:basedOn w:val="27"/>
    <w:qFormat/>
    <w:uiPriority w:val="0"/>
    <w:rPr>
      <w:rFonts w:hint="eastAsia" w:ascii="宋体" w:hAnsi="宋体" w:eastAsia="宋体" w:cs="宋体"/>
      <w:color w:val="000000"/>
      <w:sz w:val="20"/>
      <w:szCs w:val="20"/>
      <w:u w:val="none"/>
    </w:rPr>
  </w:style>
  <w:style w:type="character" w:customStyle="1" w:styleId="77">
    <w:name w:val="font12"/>
    <w:basedOn w:val="27"/>
    <w:qFormat/>
    <w:uiPriority w:val="0"/>
    <w:rPr>
      <w:rFonts w:hint="eastAsia" w:ascii="宋体" w:hAnsi="宋体" w:eastAsia="宋体" w:cs="宋体"/>
      <w:b/>
      <w:bCs/>
      <w:color w:val="000000"/>
      <w:sz w:val="18"/>
      <w:szCs w:val="18"/>
      <w:u w:val="none"/>
    </w:rPr>
  </w:style>
  <w:style w:type="character" w:customStyle="1" w:styleId="78">
    <w:name w:val="font71"/>
    <w:basedOn w:val="27"/>
    <w:qFormat/>
    <w:uiPriority w:val="0"/>
    <w:rPr>
      <w:rFonts w:hint="default" w:ascii="Times New Roman" w:hAnsi="Times New Roman" w:cs="Times New Roman"/>
      <w:b/>
      <w:bCs/>
      <w:color w:val="000000"/>
      <w:sz w:val="18"/>
      <w:szCs w:val="18"/>
      <w:u w:val="none"/>
    </w:rPr>
  </w:style>
  <w:style w:type="character" w:customStyle="1" w:styleId="79">
    <w:name w:val="font61"/>
    <w:basedOn w:val="27"/>
    <w:qFormat/>
    <w:uiPriority w:val="0"/>
    <w:rPr>
      <w:rFonts w:hint="eastAsia" w:ascii="宋体" w:hAnsi="宋体" w:eastAsia="宋体" w:cs="宋体"/>
      <w:b/>
      <w:bCs/>
      <w:color w:val="000000"/>
      <w:sz w:val="20"/>
      <w:szCs w:val="20"/>
      <w:u w:val="none"/>
    </w:rPr>
  </w:style>
  <w:style w:type="character" w:customStyle="1" w:styleId="80">
    <w:name w:val="NormalCharacter"/>
    <w:semiHidden/>
    <w:qFormat/>
    <w:uiPriority w:val="0"/>
    <w:rPr>
      <w:kern w:val="2"/>
      <w:sz w:val="21"/>
      <w:lang w:val="en-US" w:eastAsia="zh-CN" w:bidi="ar-SA"/>
    </w:rPr>
  </w:style>
  <w:style w:type="paragraph" w:customStyle="1" w:styleId="81">
    <w:name w:val="Default"/>
    <w:qFormat/>
    <w:uiPriority w:val="0"/>
    <w:pPr>
      <w:widowControl w:val="0"/>
      <w:autoSpaceDE w:val="0"/>
      <w:autoSpaceDN w:val="0"/>
      <w:adjustRightInd w:val="0"/>
    </w:pPr>
    <w:rPr>
      <w:rFonts w:ascii="华文中宋" w:hAnsi="Times New Roman" w:eastAsia="华文中宋" w:cs="Arial"/>
      <w:color w:val="000000"/>
      <w:sz w:val="24"/>
      <w:szCs w:val="22"/>
      <w:lang w:val="en-US" w:eastAsia="zh-CN" w:bidi="ar-SA"/>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Table Paragraph"/>
    <w:basedOn w:val="1"/>
    <w:qFormat/>
    <w:uiPriority w:val="1"/>
    <w:pPr>
      <w:autoSpaceDE w:val="0"/>
      <w:autoSpaceDN w:val="0"/>
    </w:pPr>
    <w:rPr>
      <w:rFonts w:ascii="Calibri" w:hAnsi="Calibri" w:eastAsia="宋体" w:cs="宋体"/>
    </w:rPr>
  </w:style>
  <w:style w:type="paragraph" w:customStyle="1" w:styleId="84">
    <w:name w:val="Table Text"/>
    <w:basedOn w:val="1"/>
    <w:semiHidden/>
    <w:qFormat/>
    <w:uiPriority w:val="0"/>
    <w:rPr>
      <w:rFonts w:ascii="宋体" w:hAnsi="宋体" w:eastAsia="宋体" w:cs="宋体"/>
      <w:sz w:val="24"/>
      <w:szCs w:val="24"/>
      <w:lang w:val="en-US" w:eastAsia="en-US" w:bidi="ar-SA"/>
    </w:rPr>
  </w:style>
  <w:style w:type="character" w:customStyle="1" w:styleId="85">
    <w:name w:val="font21"/>
    <w:basedOn w:val="27"/>
    <w:qFormat/>
    <w:uiPriority w:val="0"/>
    <w:rPr>
      <w:rFonts w:hint="eastAsia" w:ascii="宋体" w:hAnsi="宋体" w:eastAsia="宋体" w:cs="宋体"/>
      <w:color w:val="000000"/>
      <w:sz w:val="24"/>
      <w:szCs w:val="24"/>
      <w:u w:val="none"/>
    </w:rPr>
  </w:style>
  <w:style w:type="character" w:customStyle="1" w:styleId="86">
    <w:name w:val="font31"/>
    <w:basedOn w:val="27"/>
    <w:qFormat/>
    <w:uiPriority w:val="0"/>
    <w:rPr>
      <w:rFonts w:hint="eastAsia" w:ascii="宋体" w:hAnsi="宋体" w:eastAsia="宋体" w:cs="宋体"/>
      <w:color w:val="000000"/>
      <w:sz w:val="28"/>
      <w:szCs w:val="28"/>
      <w:u w:val="single"/>
    </w:rPr>
  </w:style>
  <w:style w:type="character" w:customStyle="1" w:styleId="8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85</Pages>
  <Words>20921</Words>
  <Characters>22378</Characters>
  <Lines>235</Lines>
  <Paragraphs>66</Paragraphs>
  <TotalTime>24</TotalTime>
  <ScaleCrop>false</ScaleCrop>
  <LinksUpToDate>false</LinksUpToDate>
  <CharactersWithSpaces>22712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2021-04-21T06:01:00Z</dcterms:created>
  <dc:creator>Ray</dc:creator>
  <cp:lastModifiedBy>单枪匹马</cp:lastModifiedBy>
  <cp:lastPrinted>2021-11-24T04:49:00Z</cp:lastPrinted>
  <dcterms:modified xsi:type="dcterms:W3CDTF">2026-04-15T10:50:04Z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03413D718E654318B2B0B3A2E258958E_13</vt:lpwstr>
  </property>
  <property fmtid="{D5CDD505-2E9C-101B-9397-08002B2CF9AE}" pid="4" name="KSOTemplateDocerSaveRecord">
    <vt:lpwstr>eyJoZGlkIjoiZDAxYzc4ZTQzZjZkMzFiZDA3YTUyNmQ0NDU3NTY5YzQiLCJ1c2VySWQiOiIyNjEzODc2OSJ9</vt:lpwstr>
  </property>
</Properties>
</file>